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CD36F" w14:textId="5CF5C1F2" w:rsidR="00D23FD6" w:rsidRDefault="547BD938" w:rsidP="00274A5E">
      <w:pPr>
        <w:pStyle w:val="Bullet1"/>
      </w:pPr>
      <w:r>
        <w:t xml:space="preserve">   </w:t>
      </w:r>
    </w:p>
    <w:p w14:paraId="6962D502" w14:textId="4A7D5405" w:rsidR="00D23FD6" w:rsidRDefault="00B13866">
      <w:pPr>
        <w:spacing w:before="0" w:after="0"/>
      </w:pPr>
      <w:r>
        <w:rPr>
          <w:noProof/>
        </w:rPr>
        <w:drawing>
          <wp:inline distT="0" distB="0" distL="0" distR="0" wp14:anchorId="42662924" wp14:editId="2A930D4E">
            <wp:extent cx="6613071" cy="4361419"/>
            <wp:effectExtent l="0" t="0" r="0" b="1270"/>
            <wp:docPr id="79370788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07884" name="Picture 4">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36418" cy="4376817"/>
                    </a:xfrm>
                    <a:prstGeom prst="rect">
                      <a:avLst/>
                    </a:prstGeom>
                    <a:noFill/>
                  </pic:spPr>
                </pic:pic>
              </a:graphicData>
            </a:graphic>
          </wp:inline>
        </w:drawing>
      </w:r>
    </w:p>
    <w:p w14:paraId="152087E6" w14:textId="77777777" w:rsidR="00D23FD6" w:rsidRDefault="00D23FD6">
      <w:pPr>
        <w:spacing w:before="0" w:after="0"/>
      </w:pPr>
    </w:p>
    <w:p w14:paraId="35FA661D" w14:textId="77777777" w:rsidR="00D23FD6" w:rsidRDefault="00D23FD6">
      <w:pPr>
        <w:spacing w:before="0" w:after="0"/>
      </w:pPr>
    </w:p>
    <w:p w14:paraId="3C647038" w14:textId="77777777" w:rsidR="00D23FD6" w:rsidRDefault="00D23FD6">
      <w:pPr>
        <w:spacing w:before="0" w:after="0"/>
      </w:pPr>
    </w:p>
    <w:p w14:paraId="47F26F6D" w14:textId="64A775F5" w:rsidR="00676BE2" w:rsidRDefault="00676BE2">
      <w:pPr>
        <w:pStyle w:val="CoverSubtitle"/>
        <w:jc w:val="center"/>
        <w:rPr>
          <w:bCs w:val="0"/>
          <w:caps w:val="0"/>
          <w:sz w:val="64"/>
          <w:szCs w:val="64"/>
        </w:rPr>
      </w:pPr>
      <w:r w:rsidRPr="00676BE2">
        <w:rPr>
          <w:bCs w:val="0"/>
          <w:caps w:val="0"/>
          <w:sz w:val="64"/>
          <w:szCs w:val="64"/>
        </w:rPr>
        <w:t xml:space="preserve">Australia Solomon Islands Program Support </w:t>
      </w:r>
      <w:r w:rsidR="00F64E8A" w:rsidRPr="00676BE2">
        <w:rPr>
          <w:bCs w:val="0"/>
          <w:caps w:val="0"/>
          <w:sz w:val="64"/>
          <w:szCs w:val="64"/>
        </w:rPr>
        <w:t xml:space="preserve">Facility </w:t>
      </w:r>
      <w:r w:rsidRPr="00676BE2">
        <w:rPr>
          <w:bCs w:val="0"/>
          <w:caps w:val="0"/>
          <w:sz w:val="64"/>
          <w:szCs w:val="64"/>
        </w:rPr>
        <w:t>(ASIPS+)</w:t>
      </w:r>
    </w:p>
    <w:p w14:paraId="1ED7F04C" w14:textId="0B81D1A5" w:rsidR="00216F3D" w:rsidRDefault="00676BE2" w:rsidP="00F64E8A">
      <w:pPr>
        <w:pStyle w:val="CoverSubtitle"/>
        <w:spacing w:before="600"/>
        <w:jc w:val="center"/>
      </w:pPr>
      <w:r>
        <w:t xml:space="preserve">Mid-term Review </w:t>
      </w:r>
      <w:r w:rsidR="00640188">
        <w:t>REPORT</w:t>
      </w:r>
      <w:r>
        <w:t xml:space="preserve"> </w:t>
      </w:r>
    </w:p>
    <w:p w14:paraId="54F5D4DD" w14:textId="1AD503F0" w:rsidR="008F5190" w:rsidRPr="00B13866" w:rsidRDefault="006F4E5D" w:rsidP="00F64E8A">
      <w:pPr>
        <w:spacing w:before="600"/>
        <w:jc w:val="center"/>
        <w:rPr>
          <w:color w:val="002060"/>
          <w:sz w:val="34"/>
          <w:szCs w:val="34"/>
        </w:rPr>
      </w:pPr>
      <w:r w:rsidRPr="56771C67">
        <w:rPr>
          <w:color w:val="002060"/>
          <w:sz w:val="34"/>
          <w:szCs w:val="34"/>
        </w:rPr>
        <w:t>1</w:t>
      </w:r>
      <w:r w:rsidR="7FFB78F2" w:rsidRPr="56771C67">
        <w:rPr>
          <w:color w:val="002060"/>
          <w:sz w:val="34"/>
          <w:szCs w:val="34"/>
        </w:rPr>
        <w:t>2</w:t>
      </w:r>
      <w:r w:rsidR="0043173A" w:rsidRPr="56771C67">
        <w:rPr>
          <w:color w:val="002060"/>
          <w:sz w:val="34"/>
          <w:szCs w:val="34"/>
        </w:rPr>
        <w:t xml:space="preserve"> </w:t>
      </w:r>
      <w:r w:rsidR="2554C010" w:rsidRPr="56771C67">
        <w:rPr>
          <w:color w:val="002060"/>
          <w:sz w:val="34"/>
          <w:szCs w:val="34"/>
        </w:rPr>
        <w:t>August</w:t>
      </w:r>
      <w:r w:rsidR="00676BE2" w:rsidRPr="56771C67">
        <w:rPr>
          <w:color w:val="002060"/>
          <w:sz w:val="34"/>
          <w:szCs w:val="34"/>
        </w:rPr>
        <w:t xml:space="preserve"> 2026</w:t>
      </w:r>
    </w:p>
    <w:p w14:paraId="309A4706" w14:textId="6D489D8F" w:rsidR="008F5190" w:rsidRDefault="008F5190">
      <w:pPr>
        <w:jc w:val="right"/>
      </w:pPr>
    </w:p>
    <w:p w14:paraId="29A38A32" w14:textId="77777777" w:rsidR="008F5190" w:rsidRDefault="00640188">
      <w:r>
        <w:br w:type="page"/>
      </w:r>
    </w:p>
    <w:p w14:paraId="31BC77D1" w14:textId="77777777" w:rsidR="00676BE2" w:rsidRDefault="00676BE2" w:rsidP="00676BE2"/>
    <w:p w14:paraId="0132ECFA" w14:textId="77777777" w:rsidR="00676BE2" w:rsidRDefault="00676BE2" w:rsidP="00676BE2"/>
    <w:p w14:paraId="0A073755" w14:textId="77777777" w:rsidR="00676BE2" w:rsidRDefault="00676BE2" w:rsidP="00676BE2"/>
    <w:p w14:paraId="75E2C7CD" w14:textId="77777777" w:rsidR="00676BE2" w:rsidRDefault="00676BE2" w:rsidP="00676BE2"/>
    <w:p w14:paraId="6B96FE13" w14:textId="77777777" w:rsidR="00676BE2" w:rsidRDefault="00676BE2" w:rsidP="00676BE2"/>
    <w:p w14:paraId="3B47ECBB" w14:textId="77777777" w:rsidR="00676BE2" w:rsidRDefault="00676BE2" w:rsidP="00676BE2"/>
    <w:p w14:paraId="42B7EDC4" w14:textId="77777777" w:rsidR="00676BE2" w:rsidRDefault="00676BE2" w:rsidP="00676BE2"/>
    <w:p w14:paraId="3CFB24A5" w14:textId="77777777" w:rsidR="00676BE2" w:rsidRDefault="00676BE2" w:rsidP="00676BE2"/>
    <w:p w14:paraId="2F4A3927" w14:textId="77777777" w:rsidR="00676BE2" w:rsidRDefault="00676BE2" w:rsidP="00676BE2"/>
    <w:p w14:paraId="2A26FA57" w14:textId="77777777" w:rsidR="00676BE2" w:rsidRDefault="00676BE2" w:rsidP="00676BE2"/>
    <w:p w14:paraId="30BCC414" w14:textId="77777777" w:rsidR="00676BE2" w:rsidRDefault="00676BE2" w:rsidP="00676BE2"/>
    <w:p w14:paraId="24FB8D1D" w14:textId="77777777" w:rsidR="00676BE2" w:rsidRDefault="00676BE2" w:rsidP="00676BE2"/>
    <w:p w14:paraId="7027C1A4" w14:textId="77777777" w:rsidR="00676BE2" w:rsidRDefault="00676BE2" w:rsidP="00676BE2"/>
    <w:p w14:paraId="71992E5F" w14:textId="77777777" w:rsidR="00676BE2" w:rsidRDefault="00676BE2" w:rsidP="00676BE2"/>
    <w:p w14:paraId="171C603B" w14:textId="77777777" w:rsidR="00676BE2" w:rsidRDefault="00676BE2" w:rsidP="00676BE2"/>
    <w:p w14:paraId="5DF0CF71" w14:textId="77777777" w:rsidR="00676BE2" w:rsidRDefault="00676BE2" w:rsidP="00676BE2"/>
    <w:p w14:paraId="603C6178" w14:textId="77777777" w:rsidR="00676BE2" w:rsidRDefault="00676BE2" w:rsidP="00676BE2"/>
    <w:p w14:paraId="0B66F8D4" w14:textId="77777777" w:rsidR="00676BE2" w:rsidRDefault="00676BE2" w:rsidP="00676BE2"/>
    <w:p w14:paraId="1341D7E2" w14:textId="77777777" w:rsidR="00676BE2" w:rsidRDefault="00676BE2" w:rsidP="00676BE2"/>
    <w:p w14:paraId="07C6FE07" w14:textId="77777777" w:rsidR="00676BE2" w:rsidRDefault="00676BE2" w:rsidP="00676BE2"/>
    <w:p w14:paraId="65BF2314" w14:textId="77777777" w:rsidR="00676BE2" w:rsidRDefault="00676BE2" w:rsidP="00676BE2"/>
    <w:p w14:paraId="462F2A40" w14:textId="77777777" w:rsidR="00676BE2" w:rsidRDefault="00676BE2" w:rsidP="00676BE2"/>
    <w:p w14:paraId="0843FF56" w14:textId="77777777" w:rsidR="00676BE2" w:rsidRDefault="00676BE2" w:rsidP="00676BE2"/>
    <w:p w14:paraId="6BB7D684" w14:textId="77777777" w:rsidR="00676BE2" w:rsidRDefault="00676BE2" w:rsidP="00676BE2"/>
    <w:p w14:paraId="30868337" w14:textId="77777777" w:rsidR="00676BE2" w:rsidRDefault="00676BE2" w:rsidP="00676BE2"/>
    <w:p w14:paraId="38D59CFD" w14:textId="77777777" w:rsidR="00676BE2" w:rsidRDefault="00676BE2" w:rsidP="00676BE2"/>
    <w:p w14:paraId="3AA9EA5E" w14:textId="77777777" w:rsidR="00676BE2" w:rsidRDefault="00676BE2" w:rsidP="00676BE2"/>
    <w:p w14:paraId="07E2E824" w14:textId="77777777" w:rsidR="00676BE2" w:rsidRDefault="00676BE2" w:rsidP="00676BE2"/>
    <w:p w14:paraId="6656B2F6" w14:textId="77777777" w:rsidR="00676BE2" w:rsidRDefault="00676BE2" w:rsidP="00676BE2"/>
    <w:p w14:paraId="09E35C3C" w14:textId="77777777" w:rsidR="00676BE2" w:rsidRDefault="00676BE2" w:rsidP="00676BE2"/>
    <w:p w14:paraId="6FDA2C10" w14:textId="77777777" w:rsidR="00676BE2" w:rsidRDefault="00676BE2" w:rsidP="00676BE2"/>
    <w:p w14:paraId="71C00321" w14:textId="77777777" w:rsidR="00676BE2" w:rsidRDefault="00676BE2" w:rsidP="00676BE2"/>
    <w:p w14:paraId="760CAC6D" w14:textId="70B1AFF2" w:rsidR="00676BE2" w:rsidRPr="00676BE2" w:rsidRDefault="00676BE2" w:rsidP="00676BE2">
      <w:pPr>
        <w:pStyle w:val="CoverInsideDetail"/>
        <w:rPr>
          <w:color w:val="002060"/>
        </w:rPr>
      </w:pPr>
      <w:r w:rsidRPr="00676BE2">
        <w:rPr>
          <w:color w:val="002060"/>
        </w:rPr>
        <w:t>Report prepared by:</w:t>
      </w:r>
    </w:p>
    <w:p w14:paraId="71BA353D" w14:textId="374D86A8" w:rsidR="00676BE2" w:rsidRDefault="00EB2655" w:rsidP="00676BE2">
      <w:pPr>
        <w:pStyle w:val="CoverDetailWhite"/>
        <w:spacing w:after="120" w:line="240" w:lineRule="auto"/>
        <w:contextualSpacing w:val="0"/>
        <w:rPr>
          <w:color w:val="002060"/>
          <w:lang w:val="en-GB"/>
        </w:rPr>
      </w:pPr>
      <w:sdt>
        <w:sdtPr>
          <w:rPr>
            <w:color w:val="002060"/>
          </w:rPr>
          <w:alias w:val="Name"/>
          <w:tag w:val="Name"/>
          <w:id w:val="-733462005"/>
          <w:placeholder>
            <w:docPart w:val="6D063A7EF91A4D10A9DC230892C1D19D"/>
          </w:placeholder>
          <w:text/>
        </w:sdtPr>
        <w:sdtEndPr/>
        <w:sdtContent>
          <w:r w:rsidR="00676BE2" w:rsidRPr="2B9594AF">
            <w:rPr>
              <w:color w:val="002060"/>
              <w:lang w:val="en-GB"/>
            </w:rPr>
            <w:t>Steven Barraclough, Ana Ilic, Emmanuel Pitakaka</w:t>
          </w:r>
        </w:sdtContent>
      </w:sdt>
      <w:r w:rsidR="00676BE2" w:rsidRPr="2B9594AF">
        <w:rPr>
          <w:color w:val="002060"/>
          <w:lang w:val="en-GB"/>
        </w:rPr>
        <w:t xml:space="preserve"> – </w:t>
      </w:r>
      <w:sdt>
        <w:sdtPr>
          <w:rPr>
            <w:color w:val="002060"/>
          </w:rPr>
          <w:alias w:val="Position"/>
          <w:tag w:val="Position"/>
          <w:id w:val="-1891483211"/>
          <w:placeholder>
            <w:docPart w:val="80BAFDBD6F81459CA04117C3799A03B8"/>
          </w:placeholder>
          <w:text/>
        </w:sdtPr>
        <w:sdtEndPr/>
        <w:sdtContent>
          <w:r w:rsidR="00676BE2" w:rsidRPr="2B9594AF">
            <w:rPr>
              <w:color w:val="002060"/>
              <w:lang w:val="en-GB"/>
            </w:rPr>
            <w:t>Alinea International</w:t>
          </w:r>
        </w:sdtContent>
      </w:sdt>
    </w:p>
    <w:p w14:paraId="4037D07D" w14:textId="3433AE34" w:rsidR="00676BE2" w:rsidRPr="00676BE2" w:rsidRDefault="00676BE2" w:rsidP="00676BE2">
      <w:pPr>
        <w:pStyle w:val="CoverDetailWhite"/>
        <w:spacing w:after="120" w:line="240" w:lineRule="auto"/>
        <w:contextualSpacing w:val="0"/>
        <w:rPr>
          <w:color w:val="002060"/>
        </w:rPr>
      </w:pPr>
      <w:r w:rsidRPr="00676BE2">
        <w:rPr>
          <w:color w:val="002060"/>
        </w:rPr>
        <w:t xml:space="preserve">alineainternational.com </w:t>
      </w:r>
    </w:p>
    <w:p w14:paraId="17D26879" w14:textId="71F85EFB" w:rsidR="004B25B9" w:rsidRPr="00676BE2" w:rsidRDefault="00676BE2" w:rsidP="00676BE2">
      <w:pPr>
        <w:pStyle w:val="CoverDetailWhite"/>
        <w:spacing w:after="120" w:line="240" w:lineRule="auto"/>
        <w:contextualSpacing w:val="0"/>
        <w:rPr>
          <w:color w:val="002060"/>
        </w:rPr>
      </w:pPr>
      <w:r w:rsidRPr="00676BE2">
        <w:rPr>
          <w:color w:val="002060"/>
        </w:rPr>
        <w:t xml:space="preserve">Front </w:t>
      </w:r>
      <w:r>
        <w:rPr>
          <w:color w:val="002060"/>
        </w:rPr>
        <w:t>c</w:t>
      </w:r>
      <w:r w:rsidRPr="00676BE2">
        <w:rPr>
          <w:color w:val="002060"/>
        </w:rPr>
        <w:t xml:space="preserve">over </w:t>
      </w:r>
      <w:r>
        <w:rPr>
          <w:color w:val="002060"/>
        </w:rPr>
        <w:t>i</w:t>
      </w:r>
      <w:r w:rsidRPr="00676BE2">
        <w:rPr>
          <w:color w:val="002060"/>
        </w:rPr>
        <w:t>mage</w:t>
      </w:r>
      <w:r>
        <w:rPr>
          <w:color w:val="002060"/>
        </w:rPr>
        <w:t xml:space="preserve">: </w:t>
      </w:r>
      <w:r w:rsidRPr="00676BE2">
        <w:rPr>
          <w:color w:val="002060"/>
          <w:lang w:val="en-GB"/>
        </w:rPr>
        <w:t xml:space="preserve">Andy Lerner, </w:t>
      </w:r>
      <w:r w:rsidRPr="00676BE2">
        <w:rPr>
          <w:i/>
          <w:color w:val="002060"/>
          <w:lang w:val="en-GB"/>
        </w:rPr>
        <w:t>Village women enjoy a traditional dance in the Solomon Islands</w:t>
      </w:r>
      <w:r w:rsidRPr="00676BE2">
        <w:rPr>
          <w:color w:val="002060"/>
          <w:lang w:val="en-GB"/>
        </w:rPr>
        <w:t>, Smithsonian Magazine Photo Contest, uploaded August 2014.</w:t>
      </w:r>
      <w:r w:rsidR="00306A84" w:rsidRPr="00676BE2">
        <w:rPr>
          <w:color w:val="002060"/>
        </w:rPr>
        <w:br w:type="page"/>
      </w:r>
    </w:p>
    <w:sdt>
      <w:sdtPr>
        <w:rPr>
          <w:rFonts w:asciiTheme="minorHAnsi" w:hAnsiTheme="minorHAnsi"/>
          <w:bCs w:val="0"/>
          <w:caps w:val="0"/>
          <w:color w:val="000000" w:themeColor="text1"/>
          <w:sz w:val="20"/>
          <w:szCs w:val="20"/>
        </w:rPr>
        <w:id w:val="1888913354"/>
        <w:docPartObj>
          <w:docPartGallery w:val="Table of Contents"/>
          <w:docPartUnique/>
        </w:docPartObj>
      </w:sdtPr>
      <w:sdtEndPr>
        <w:rPr>
          <w:b/>
          <w:bCs/>
          <w:noProof/>
        </w:rPr>
      </w:sdtEndPr>
      <w:sdtContent>
        <w:p w14:paraId="57964A0C" w14:textId="4F743614" w:rsidR="004056A1" w:rsidRPr="004056A1" w:rsidRDefault="004056A1" w:rsidP="004056A1">
          <w:pPr>
            <w:pStyle w:val="TOCHeading"/>
            <w:spacing w:after="240"/>
            <w:rPr>
              <w:sz w:val="32"/>
              <w:szCs w:val="32"/>
              <w:u w:val="single"/>
            </w:rPr>
          </w:pPr>
          <w:r w:rsidRPr="004056A1">
            <w:rPr>
              <w:sz w:val="32"/>
              <w:szCs w:val="32"/>
              <w:u w:val="single"/>
            </w:rPr>
            <w:t>Table of Contents</w:t>
          </w:r>
        </w:p>
        <w:p w14:paraId="3EEAF4A8" w14:textId="5669F6EA" w:rsidR="00394670" w:rsidRDefault="004056A1">
          <w:pPr>
            <w:pStyle w:val="TOC1"/>
            <w:rPr>
              <w:rFonts w:eastAsiaTheme="minorEastAsia" w:cstheme="minorBidi"/>
              <w:b w:val="0"/>
              <w:bCs w:val="0"/>
              <w:caps w:val="0"/>
              <w:noProof/>
              <w:color w:val="auto"/>
              <w:kern w:val="2"/>
              <w:sz w:val="24"/>
              <w:szCs w:val="24"/>
              <w:lang w:val="en-AU"/>
              <w14:ligatures w14:val="standardContextual"/>
            </w:rPr>
          </w:pPr>
          <w:r>
            <w:fldChar w:fldCharType="begin"/>
          </w:r>
          <w:r>
            <w:instrText xml:space="preserve"> TOC \o "1-3" \h \z \u </w:instrText>
          </w:r>
          <w:r>
            <w:fldChar w:fldCharType="separate"/>
          </w:r>
          <w:hyperlink w:anchor="_Toc234426714" w:history="1">
            <w:r w:rsidR="00394670" w:rsidRPr="003618C1">
              <w:rPr>
                <w:rStyle w:val="Hyperlink"/>
                <w:noProof/>
              </w:rPr>
              <w:t>ABBREVIATIONS AND ACRONYMS</w:t>
            </w:r>
            <w:r w:rsidR="00394670">
              <w:rPr>
                <w:noProof/>
                <w:webHidden/>
              </w:rPr>
              <w:tab/>
            </w:r>
            <w:r w:rsidR="00394670">
              <w:rPr>
                <w:noProof/>
                <w:webHidden/>
              </w:rPr>
              <w:fldChar w:fldCharType="begin"/>
            </w:r>
            <w:r w:rsidR="00394670">
              <w:rPr>
                <w:noProof/>
                <w:webHidden/>
              </w:rPr>
              <w:instrText xml:space="preserve"> PAGEREF _Toc234426714 \h </w:instrText>
            </w:r>
            <w:r w:rsidR="00394670">
              <w:rPr>
                <w:noProof/>
                <w:webHidden/>
              </w:rPr>
            </w:r>
            <w:r w:rsidR="00394670">
              <w:rPr>
                <w:noProof/>
                <w:webHidden/>
              </w:rPr>
              <w:fldChar w:fldCharType="separate"/>
            </w:r>
            <w:r w:rsidR="00493E30">
              <w:rPr>
                <w:noProof/>
                <w:webHidden/>
              </w:rPr>
              <w:t>4</w:t>
            </w:r>
            <w:r w:rsidR="00394670">
              <w:rPr>
                <w:noProof/>
                <w:webHidden/>
              </w:rPr>
              <w:fldChar w:fldCharType="end"/>
            </w:r>
          </w:hyperlink>
        </w:p>
        <w:p w14:paraId="56B8B210" w14:textId="46E5140D" w:rsidR="00394670" w:rsidRDefault="00394670">
          <w:pPr>
            <w:pStyle w:val="TOC1"/>
            <w:rPr>
              <w:rFonts w:eastAsiaTheme="minorEastAsia" w:cstheme="minorBidi"/>
              <w:b w:val="0"/>
              <w:bCs w:val="0"/>
              <w:caps w:val="0"/>
              <w:noProof/>
              <w:color w:val="auto"/>
              <w:kern w:val="2"/>
              <w:sz w:val="24"/>
              <w:szCs w:val="24"/>
              <w:lang w:val="en-AU"/>
              <w14:ligatures w14:val="standardContextual"/>
            </w:rPr>
          </w:pPr>
          <w:hyperlink w:anchor="_Toc234426715" w:history="1">
            <w:r w:rsidRPr="003618C1">
              <w:rPr>
                <w:rStyle w:val="Hyperlink"/>
                <w:noProof/>
              </w:rPr>
              <w:t>EXECUTIVE SUMMARY</w:t>
            </w:r>
            <w:r>
              <w:rPr>
                <w:noProof/>
                <w:webHidden/>
              </w:rPr>
              <w:tab/>
            </w:r>
            <w:r>
              <w:rPr>
                <w:noProof/>
                <w:webHidden/>
              </w:rPr>
              <w:fldChar w:fldCharType="begin"/>
            </w:r>
            <w:r>
              <w:rPr>
                <w:noProof/>
                <w:webHidden/>
              </w:rPr>
              <w:instrText xml:space="preserve"> PAGEREF _Toc234426715 \h </w:instrText>
            </w:r>
            <w:r>
              <w:rPr>
                <w:noProof/>
                <w:webHidden/>
              </w:rPr>
            </w:r>
            <w:r>
              <w:rPr>
                <w:noProof/>
                <w:webHidden/>
              </w:rPr>
              <w:fldChar w:fldCharType="separate"/>
            </w:r>
            <w:r w:rsidR="00493E30">
              <w:rPr>
                <w:noProof/>
                <w:webHidden/>
              </w:rPr>
              <w:t>5</w:t>
            </w:r>
            <w:r>
              <w:rPr>
                <w:noProof/>
                <w:webHidden/>
              </w:rPr>
              <w:fldChar w:fldCharType="end"/>
            </w:r>
          </w:hyperlink>
        </w:p>
        <w:p w14:paraId="0693F246" w14:textId="379AAC68" w:rsidR="00394670" w:rsidRDefault="00394670">
          <w:pPr>
            <w:pStyle w:val="TOC1"/>
            <w:rPr>
              <w:rFonts w:eastAsiaTheme="minorEastAsia" w:cstheme="minorBidi"/>
              <w:b w:val="0"/>
              <w:bCs w:val="0"/>
              <w:caps w:val="0"/>
              <w:noProof/>
              <w:color w:val="auto"/>
              <w:kern w:val="2"/>
              <w:sz w:val="24"/>
              <w:szCs w:val="24"/>
              <w:lang w:val="en-AU"/>
              <w14:ligatures w14:val="standardContextual"/>
            </w:rPr>
          </w:pPr>
          <w:hyperlink w:anchor="_Toc234426716" w:history="1">
            <w:r w:rsidRPr="003618C1">
              <w:rPr>
                <w:rStyle w:val="Hyperlink"/>
                <w:noProof/>
              </w:rPr>
              <w:t>1. INTRODUCTION AND BACKGROUND</w:t>
            </w:r>
            <w:r>
              <w:rPr>
                <w:noProof/>
                <w:webHidden/>
              </w:rPr>
              <w:tab/>
            </w:r>
            <w:r>
              <w:rPr>
                <w:noProof/>
                <w:webHidden/>
              </w:rPr>
              <w:fldChar w:fldCharType="begin"/>
            </w:r>
            <w:r>
              <w:rPr>
                <w:noProof/>
                <w:webHidden/>
              </w:rPr>
              <w:instrText xml:space="preserve"> PAGEREF _Toc234426716 \h </w:instrText>
            </w:r>
            <w:r>
              <w:rPr>
                <w:noProof/>
                <w:webHidden/>
              </w:rPr>
            </w:r>
            <w:r>
              <w:rPr>
                <w:noProof/>
                <w:webHidden/>
              </w:rPr>
              <w:fldChar w:fldCharType="separate"/>
            </w:r>
            <w:r w:rsidR="00493E30">
              <w:rPr>
                <w:noProof/>
                <w:webHidden/>
              </w:rPr>
              <w:t>8</w:t>
            </w:r>
            <w:r>
              <w:rPr>
                <w:noProof/>
                <w:webHidden/>
              </w:rPr>
              <w:fldChar w:fldCharType="end"/>
            </w:r>
          </w:hyperlink>
        </w:p>
        <w:p w14:paraId="74C20E77" w14:textId="0CBEE51E"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17" w:history="1">
            <w:r w:rsidRPr="003618C1">
              <w:rPr>
                <w:rStyle w:val="Hyperlink"/>
                <w:noProof/>
              </w:rPr>
              <w:t>1.1.</w:t>
            </w:r>
            <w:r>
              <w:rPr>
                <w:rFonts w:eastAsiaTheme="minorEastAsia" w:cstheme="minorBidi"/>
                <w:bCs w:val="0"/>
                <w:noProof/>
                <w:color w:val="auto"/>
                <w:kern w:val="2"/>
                <w:sz w:val="24"/>
                <w:szCs w:val="24"/>
                <w:lang w:val="en-AU"/>
                <w14:ligatures w14:val="standardContextual"/>
              </w:rPr>
              <w:tab/>
            </w:r>
            <w:r w:rsidRPr="003618C1">
              <w:rPr>
                <w:rStyle w:val="Hyperlink"/>
                <w:noProof/>
              </w:rPr>
              <w:t>The ASIPS+ overview</w:t>
            </w:r>
            <w:r>
              <w:rPr>
                <w:noProof/>
                <w:webHidden/>
              </w:rPr>
              <w:tab/>
            </w:r>
            <w:r>
              <w:rPr>
                <w:noProof/>
                <w:webHidden/>
              </w:rPr>
              <w:fldChar w:fldCharType="begin"/>
            </w:r>
            <w:r>
              <w:rPr>
                <w:noProof/>
                <w:webHidden/>
              </w:rPr>
              <w:instrText xml:space="preserve"> PAGEREF _Toc234426717 \h </w:instrText>
            </w:r>
            <w:r>
              <w:rPr>
                <w:noProof/>
                <w:webHidden/>
              </w:rPr>
            </w:r>
            <w:r>
              <w:rPr>
                <w:noProof/>
                <w:webHidden/>
              </w:rPr>
              <w:fldChar w:fldCharType="separate"/>
            </w:r>
            <w:r w:rsidR="00493E30">
              <w:rPr>
                <w:noProof/>
                <w:webHidden/>
              </w:rPr>
              <w:t>8</w:t>
            </w:r>
            <w:r>
              <w:rPr>
                <w:noProof/>
                <w:webHidden/>
              </w:rPr>
              <w:fldChar w:fldCharType="end"/>
            </w:r>
          </w:hyperlink>
        </w:p>
        <w:p w14:paraId="53B1DD6C" w14:textId="744A6061"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18" w:history="1">
            <w:r w:rsidRPr="003618C1">
              <w:rPr>
                <w:rStyle w:val="Hyperlink"/>
                <w:noProof/>
              </w:rPr>
              <w:t>1.2.</w:t>
            </w:r>
            <w:r>
              <w:rPr>
                <w:rFonts w:eastAsiaTheme="minorEastAsia" w:cstheme="minorBidi"/>
                <w:bCs w:val="0"/>
                <w:noProof/>
                <w:color w:val="auto"/>
                <w:kern w:val="2"/>
                <w:sz w:val="24"/>
                <w:szCs w:val="24"/>
                <w:lang w:val="en-AU"/>
                <w14:ligatures w14:val="standardContextual"/>
              </w:rPr>
              <w:tab/>
            </w:r>
            <w:r w:rsidRPr="003618C1">
              <w:rPr>
                <w:rStyle w:val="Hyperlink"/>
                <w:noProof/>
              </w:rPr>
              <w:t>Context and strategic setting</w:t>
            </w:r>
            <w:r>
              <w:rPr>
                <w:noProof/>
                <w:webHidden/>
              </w:rPr>
              <w:tab/>
            </w:r>
            <w:r>
              <w:rPr>
                <w:noProof/>
                <w:webHidden/>
              </w:rPr>
              <w:fldChar w:fldCharType="begin"/>
            </w:r>
            <w:r>
              <w:rPr>
                <w:noProof/>
                <w:webHidden/>
              </w:rPr>
              <w:instrText xml:space="preserve"> PAGEREF _Toc234426718 \h </w:instrText>
            </w:r>
            <w:r>
              <w:rPr>
                <w:noProof/>
                <w:webHidden/>
              </w:rPr>
            </w:r>
            <w:r>
              <w:rPr>
                <w:noProof/>
                <w:webHidden/>
              </w:rPr>
              <w:fldChar w:fldCharType="separate"/>
            </w:r>
            <w:r w:rsidR="00493E30">
              <w:rPr>
                <w:noProof/>
                <w:webHidden/>
              </w:rPr>
              <w:t>9</w:t>
            </w:r>
            <w:r>
              <w:rPr>
                <w:noProof/>
                <w:webHidden/>
              </w:rPr>
              <w:fldChar w:fldCharType="end"/>
            </w:r>
          </w:hyperlink>
        </w:p>
        <w:p w14:paraId="69884B2E" w14:textId="211E4A7D" w:rsidR="00394670" w:rsidRDefault="00394670">
          <w:pPr>
            <w:pStyle w:val="TOC1"/>
            <w:rPr>
              <w:rFonts w:eastAsiaTheme="minorEastAsia" w:cstheme="minorBidi"/>
              <w:b w:val="0"/>
              <w:bCs w:val="0"/>
              <w:caps w:val="0"/>
              <w:noProof/>
              <w:color w:val="auto"/>
              <w:kern w:val="2"/>
              <w:sz w:val="24"/>
              <w:szCs w:val="24"/>
              <w:lang w:val="en-AU"/>
              <w14:ligatures w14:val="standardContextual"/>
            </w:rPr>
          </w:pPr>
          <w:hyperlink w:anchor="_Toc234426719" w:history="1">
            <w:r w:rsidRPr="003618C1">
              <w:rPr>
                <w:rStyle w:val="Hyperlink"/>
                <w:noProof/>
              </w:rPr>
              <w:t>2. METHODOLOGY</w:t>
            </w:r>
            <w:r>
              <w:rPr>
                <w:noProof/>
                <w:webHidden/>
              </w:rPr>
              <w:tab/>
            </w:r>
            <w:r>
              <w:rPr>
                <w:noProof/>
                <w:webHidden/>
              </w:rPr>
              <w:fldChar w:fldCharType="begin"/>
            </w:r>
            <w:r>
              <w:rPr>
                <w:noProof/>
                <w:webHidden/>
              </w:rPr>
              <w:instrText xml:space="preserve"> PAGEREF _Toc234426719 \h </w:instrText>
            </w:r>
            <w:r>
              <w:rPr>
                <w:noProof/>
                <w:webHidden/>
              </w:rPr>
            </w:r>
            <w:r>
              <w:rPr>
                <w:noProof/>
                <w:webHidden/>
              </w:rPr>
              <w:fldChar w:fldCharType="separate"/>
            </w:r>
            <w:r w:rsidR="00493E30">
              <w:rPr>
                <w:noProof/>
                <w:webHidden/>
              </w:rPr>
              <w:t>10</w:t>
            </w:r>
            <w:r>
              <w:rPr>
                <w:noProof/>
                <w:webHidden/>
              </w:rPr>
              <w:fldChar w:fldCharType="end"/>
            </w:r>
          </w:hyperlink>
        </w:p>
        <w:p w14:paraId="2CB90079" w14:textId="166DB1CE" w:rsidR="00394670" w:rsidRDefault="00394670">
          <w:pPr>
            <w:pStyle w:val="TOC1"/>
            <w:rPr>
              <w:rFonts w:eastAsiaTheme="minorEastAsia" w:cstheme="minorBidi"/>
              <w:b w:val="0"/>
              <w:bCs w:val="0"/>
              <w:caps w:val="0"/>
              <w:noProof/>
              <w:color w:val="auto"/>
              <w:kern w:val="2"/>
              <w:sz w:val="24"/>
              <w:szCs w:val="24"/>
              <w:lang w:val="en-AU"/>
              <w14:ligatures w14:val="standardContextual"/>
            </w:rPr>
          </w:pPr>
          <w:hyperlink w:anchor="_Toc234426720" w:history="1">
            <w:r w:rsidRPr="003618C1">
              <w:rPr>
                <w:rStyle w:val="Hyperlink"/>
                <w:noProof/>
              </w:rPr>
              <w:t>3. FINDINGS</w:t>
            </w:r>
            <w:r>
              <w:rPr>
                <w:noProof/>
                <w:webHidden/>
              </w:rPr>
              <w:tab/>
            </w:r>
            <w:r>
              <w:rPr>
                <w:noProof/>
                <w:webHidden/>
              </w:rPr>
              <w:fldChar w:fldCharType="begin"/>
            </w:r>
            <w:r>
              <w:rPr>
                <w:noProof/>
                <w:webHidden/>
              </w:rPr>
              <w:instrText xml:space="preserve"> PAGEREF _Toc234426720 \h </w:instrText>
            </w:r>
            <w:r>
              <w:rPr>
                <w:noProof/>
                <w:webHidden/>
              </w:rPr>
            </w:r>
            <w:r>
              <w:rPr>
                <w:noProof/>
                <w:webHidden/>
              </w:rPr>
              <w:fldChar w:fldCharType="separate"/>
            </w:r>
            <w:r w:rsidR="00493E30">
              <w:rPr>
                <w:noProof/>
                <w:webHidden/>
              </w:rPr>
              <w:t>10</w:t>
            </w:r>
            <w:r>
              <w:rPr>
                <w:noProof/>
                <w:webHidden/>
              </w:rPr>
              <w:fldChar w:fldCharType="end"/>
            </w:r>
          </w:hyperlink>
        </w:p>
        <w:p w14:paraId="5053F6DA" w14:textId="16560330"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21" w:history="1">
            <w:r w:rsidRPr="003618C1">
              <w:rPr>
                <w:rStyle w:val="Hyperlink"/>
                <w:noProof/>
              </w:rPr>
              <w:t>3.1. Effectiveness and efficiency</w:t>
            </w:r>
            <w:r>
              <w:rPr>
                <w:noProof/>
                <w:webHidden/>
              </w:rPr>
              <w:tab/>
            </w:r>
            <w:r>
              <w:rPr>
                <w:noProof/>
                <w:webHidden/>
              </w:rPr>
              <w:fldChar w:fldCharType="begin"/>
            </w:r>
            <w:r>
              <w:rPr>
                <w:noProof/>
                <w:webHidden/>
              </w:rPr>
              <w:instrText xml:space="preserve"> PAGEREF _Toc234426721 \h </w:instrText>
            </w:r>
            <w:r>
              <w:rPr>
                <w:noProof/>
                <w:webHidden/>
              </w:rPr>
            </w:r>
            <w:r>
              <w:rPr>
                <w:noProof/>
                <w:webHidden/>
              </w:rPr>
              <w:fldChar w:fldCharType="separate"/>
            </w:r>
            <w:r w:rsidR="00493E30">
              <w:rPr>
                <w:noProof/>
                <w:webHidden/>
              </w:rPr>
              <w:t>11</w:t>
            </w:r>
            <w:r>
              <w:rPr>
                <w:noProof/>
                <w:webHidden/>
              </w:rPr>
              <w:fldChar w:fldCharType="end"/>
            </w:r>
          </w:hyperlink>
        </w:p>
        <w:p w14:paraId="4031DB51" w14:textId="33447CAA"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22" w:history="1">
            <w:r w:rsidRPr="003618C1">
              <w:rPr>
                <w:rStyle w:val="Hyperlink"/>
                <w:noProof/>
              </w:rPr>
              <w:t>3.2. Cross-cutting priorities and policies</w:t>
            </w:r>
            <w:r>
              <w:rPr>
                <w:noProof/>
                <w:webHidden/>
              </w:rPr>
              <w:tab/>
            </w:r>
            <w:r>
              <w:rPr>
                <w:noProof/>
                <w:webHidden/>
              </w:rPr>
              <w:fldChar w:fldCharType="begin"/>
            </w:r>
            <w:r>
              <w:rPr>
                <w:noProof/>
                <w:webHidden/>
              </w:rPr>
              <w:instrText xml:space="preserve"> PAGEREF _Toc234426722 \h </w:instrText>
            </w:r>
            <w:r>
              <w:rPr>
                <w:noProof/>
                <w:webHidden/>
              </w:rPr>
            </w:r>
            <w:r>
              <w:rPr>
                <w:noProof/>
                <w:webHidden/>
              </w:rPr>
              <w:fldChar w:fldCharType="separate"/>
            </w:r>
            <w:r w:rsidR="00493E30">
              <w:rPr>
                <w:noProof/>
                <w:webHidden/>
              </w:rPr>
              <w:t>15</w:t>
            </w:r>
            <w:r>
              <w:rPr>
                <w:noProof/>
                <w:webHidden/>
              </w:rPr>
              <w:fldChar w:fldCharType="end"/>
            </w:r>
          </w:hyperlink>
        </w:p>
        <w:p w14:paraId="53B78F43" w14:textId="434B9171"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23" w:history="1">
            <w:r w:rsidRPr="003618C1">
              <w:rPr>
                <w:rStyle w:val="Hyperlink"/>
                <w:noProof/>
              </w:rPr>
              <w:t>3.3. Learning and adapting</w:t>
            </w:r>
            <w:r>
              <w:rPr>
                <w:noProof/>
                <w:webHidden/>
              </w:rPr>
              <w:tab/>
            </w:r>
            <w:r>
              <w:rPr>
                <w:noProof/>
                <w:webHidden/>
              </w:rPr>
              <w:fldChar w:fldCharType="begin"/>
            </w:r>
            <w:r>
              <w:rPr>
                <w:noProof/>
                <w:webHidden/>
              </w:rPr>
              <w:instrText xml:space="preserve"> PAGEREF _Toc234426723 \h </w:instrText>
            </w:r>
            <w:r>
              <w:rPr>
                <w:noProof/>
                <w:webHidden/>
              </w:rPr>
            </w:r>
            <w:r>
              <w:rPr>
                <w:noProof/>
                <w:webHidden/>
              </w:rPr>
              <w:fldChar w:fldCharType="separate"/>
            </w:r>
            <w:r w:rsidR="00493E30">
              <w:rPr>
                <w:noProof/>
                <w:webHidden/>
              </w:rPr>
              <w:t>16</w:t>
            </w:r>
            <w:r>
              <w:rPr>
                <w:noProof/>
                <w:webHidden/>
              </w:rPr>
              <w:fldChar w:fldCharType="end"/>
            </w:r>
          </w:hyperlink>
        </w:p>
        <w:p w14:paraId="43FFD934" w14:textId="69CE097A"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24" w:history="1">
            <w:r w:rsidRPr="003618C1">
              <w:rPr>
                <w:rStyle w:val="Hyperlink"/>
                <w:noProof/>
              </w:rPr>
              <w:t>3.4. Stakeholders and partnerships</w:t>
            </w:r>
            <w:r>
              <w:rPr>
                <w:noProof/>
                <w:webHidden/>
              </w:rPr>
              <w:tab/>
            </w:r>
            <w:r>
              <w:rPr>
                <w:noProof/>
                <w:webHidden/>
              </w:rPr>
              <w:fldChar w:fldCharType="begin"/>
            </w:r>
            <w:r>
              <w:rPr>
                <w:noProof/>
                <w:webHidden/>
              </w:rPr>
              <w:instrText xml:space="preserve"> PAGEREF _Toc234426724 \h </w:instrText>
            </w:r>
            <w:r>
              <w:rPr>
                <w:noProof/>
                <w:webHidden/>
              </w:rPr>
            </w:r>
            <w:r>
              <w:rPr>
                <w:noProof/>
                <w:webHidden/>
              </w:rPr>
              <w:fldChar w:fldCharType="separate"/>
            </w:r>
            <w:r w:rsidR="00493E30">
              <w:rPr>
                <w:noProof/>
                <w:webHidden/>
              </w:rPr>
              <w:t>17</w:t>
            </w:r>
            <w:r>
              <w:rPr>
                <w:noProof/>
                <w:webHidden/>
              </w:rPr>
              <w:fldChar w:fldCharType="end"/>
            </w:r>
          </w:hyperlink>
        </w:p>
        <w:p w14:paraId="493C6DE4" w14:textId="7833EC07"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25" w:history="1">
            <w:r w:rsidRPr="003618C1">
              <w:rPr>
                <w:rStyle w:val="Hyperlink"/>
                <w:noProof/>
              </w:rPr>
              <w:t>3.5. Value for money</w:t>
            </w:r>
            <w:r>
              <w:rPr>
                <w:noProof/>
                <w:webHidden/>
              </w:rPr>
              <w:tab/>
            </w:r>
            <w:r>
              <w:rPr>
                <w:noProof/>
                <w:webHidden/>
              </w:rPr>
              <w:fldChar w:fldCharType="begin"/>
            </w:r>
            <w:r>
              <w:rPr>
                <w:noProof/>
                <w:webHidden/>
              </w:rPr>
              <w:instrText xml:space="preserve"> PAGEREF _Toc234426725 \h </w:instrText>
            </w:r>
            <w:r>
              <w:rPr>
                <w:noProof/>
                <w:webHidden/>
              </w:rPr>
            </w:r>
            <w:r>
              <w:rPr>
                <w:noProof/>
                <w:webHidden/>
              </w:rPr>
              <w:fldChar w:fldCharType="separate"/>
            </w:r>
            <w:r w:rsidR="00493E30">
              <w:rPr>
                <w:noProof/>
                <w:webHidden/>
              </w:rPr>
              <w:t>18</w:t>
            </w:r>
            <w:r>
              <w:rPr>
                <w:noProof/>
                <w:webHidden/>
              </w:rPr>
              <w:fldChar w:fldCharType="end"/>
            </w:r>
          </w:hyperlink>
        </w:p>
        <w:p w14:paraId="2E50A10A" w14:textId="5EB4E664" w:rsidR="00394670" w:rsidRDefault="00394670">
          <w:pPr>
            <w:pStyle w:val="TOC1"/>
            <w:rPr>
              <w:rFonts w:eastAsiaTheme="minorEastAsia" w:cstheme="minorBidi"/>
              <w:b w:val="0"/>
              <w:bCs w:val="0"/>
              <w:caps w:val="0"/>
              <w:noProof/>
              <w:color w:val="auto"/>
              <w:kern w:val="2"/>
              <w:sz w:val="24"/>
              <w:szCs w:val="24"/>
              <w:lang w:val="en-AU"/>
              <w14:ligatures w14:val="standardContextual"/>
            </w:rPr>
          </w:pPr>
          <w:hyperlink w:anchor="_Toc234426726" w:history="1">
            <w:r w:rsidRPr="003618C1">
              <w:rPr>
                <w:rStyle w:val="Hyperlink"/>
                <w:noProof/>
              </w:rPr>
              <w:t>4. OPTIONS AND RECOMMENDATIONS</w:t>
            </w:r>
            <w:r>
              <w:rPr>
                <w:noProof/>
                <w:webHidden/>
              </w:rPr>
              <w:tab/>
            </w:r>
            <w:r>
              <w:rPr>
                <w:noProof/>
                <w:webHidden/>
              </w:rPr>
              <w:fldChar w:fldCharType="begin"/>
            </w:r>
            <w:r>
              <w:rPr>
                <w:noProof/>
                <w:webHidden/>
              </w:rPr>
              <w:instrText xml:space="preserve"> PAGEREF _Toc234426726 \h </w:instrText>
            </w:r>
            <w:r>
              <w:rPr>
                <w:noProof/>
                <w:webHidden/>
              </w:rPr>
            </w:r>
            <w:r>
              <w:rPr>
                <w:noProof/>
                <w:webHidden/>
              </w:rPr>
              <w:fldChar w:fldCharType="separate"/>
            </w:r>
            <w:r w:rsidR="00493E30">
              <w:rPr>
                <w:noProof/>
                <w:webHidden/>
              </w:rPr>
              <w:t>20</w:t>
            </w:r>
            <w:r>
              <w:rPr>
                <w:noProof/>
                <w:webHidden/>
              </w:rPr>
              <w:fldChar w:fldCharType="end"/>
            </w:r>
          </w:hyperlink>
        </w:p>
        <w:p w14:paraId="663ED4F9" w14:textId="393B1B22"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27" w:history="1">
            <w:r w:rsidRPr="003618C1">
              <w:rPr>
                <w:rStyle w:val="Hyperlink"/>
                <w:noProof/>
                <w:lang w:val="en-AU"/>
              </w:rPr>
              <w:t>4.1. Strategic options</w:t>
            </w:r>
            <w:r>
              <w:rPr>
                <w:noProof/>
                <w:webHidden/>
              </w:rPr>
              <w:tab/>
            </w:r>
            <w:r>
              <w:rPr>
                <w:noProof/>
                <w:webHidden/>
              </w:rPr>
              <w:fldChar w:fldCharType="begin"/>
            </w:r>
            <w:r>
              <w:rPr>
                <w:noProof/>
                <w:webHidden/>
              </w:rPr>
              <w:instrText xml:space="preserve"> PAGEREF _Toc234426727 \h </w:instrText>
            </w:r>
            <w:r>
              <w:rPr>
                <w:noProof/>
                <w:webHidden/>
              </w:rPr>
            </w:r>
            <w:r>
              <w:rPr>
                <w:noProof/>
                <w:webHidden/>
              </w:rPr>
              <w:fldChar w:fldCharType="separate"/>
            </w:r>
            <w:r w:rsidR="00493E30">
              <w:rPr>
                <w:noProof/>
                <w:webHidden/>
              </w:rPr>
              <w:t>20</w:t>
            </w:r>
            <w:r>
              <w:rPr>
                <w:noProof/>
                <w:webHidden/>
              </w:rPr>
              <w:fldChar w:fldCharType="end"/>
            </w:r>
          </w:hyperlink>
        </w:p>
        <w:p w14:paraId="137D3438" w14:textId="17F388B6"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28" w:history="1">
            <w:r w:rsidRPr="003618C1">
              <w:rPr>
                <w:rStyle w:val="Hyperlink"/>
                <w:noProof/>
                <w:lang w:val="en-AU"/>
              </w:rPr>
              <w:t>4.2. Recommendations</w:t>
            </w:r>
            <w:r>
              <w:rPr>
                <w:noProof/>
                <w:webHidden/>
              </w:rPr>
              <w:tab/>
            </w:r>
            <w:r>
              <w:rPr>
                <w:noProof/>
                <w:webHidden/>
              </w:rPr>
              <w:fldChar w:fldCharType="begin"/>
            </w:r>
            <w:r>
              <w:rPr>
                <w:noProof/>
                <w:webHidden/>
              </w:rPr>
              <w:instrText xml:space="preserve"> PAGEREF _Toc234426728 \h </w:instrText>
            </w:r>
            <w:r>
              <w:rPr>
                <w:noProof/>
                <w:webHidden/>
              </w:rPr>
            </w:r>
            <w:r>
              <w:rPr>
                <w:noProof/>
                <w:webHidden/>
              </w:rPr>
              <w:fldChar w:fldCharType="separate"/>
            </w:r>
            <w:r w:rsidR="00493E30">
              <w:rPr>
                <w:noProof/>
                <w:webHidden/>
              </w:rPr>
              <w:t>21</w:t>
            </w:r>
            <w:r>
              <w:rPr>
                <w:noProof/>
                <w:webHidden/>
              </w:rPr>
              <w:fldChar w:fldCharType="end"/>
            </w:r>
          </w:hyperlink>
        </w:p>
        <w:p w14:paraId="45490111" w14:textId="4DAEB7F5" w:rsidR="00394670" w:rsidRDefault="00394670">
          <w:pPr>
            <w:pStyle w:val="TOC1"/>
            <w:rPr>
              <w:rFonts w:eastAsiaTheme="minorEastAsia" w:cstheme="minorBidi"/>
              <w:b w:val="0"/>
              <w:bCs w:val="0"/>
              <w:caps w:val="0"/>
              <w:noProof/>
              <w:color w:val="auto"/>
              <w:kern w:val="2"/>
              <w:sz w:val="24"/>
              <w:szCs w:val="24"/>
              <w:lang w:val="en-AU"/>
              <w14:ligatures w14:val="standardContextual"/>
            </w:rPr>
          </w:pPr>
          <w:hyperlink w:anchor="_Toc234426729" w:history="1">
            <w:r w:rsidRPr="003618C1">
              <w:rPr>
                <w:rStyle w:val="Hyperlink"/>
                <w:noProof/>
              </w:rPr>
              <w:t>ANNEXES</w:t>
            </w:r>
            <w:r>
              <w:rPr>
                <w:noProof/>
                <w:webHidden/>
              </w:rPr>
              <w:tab/>
            </w:r>
            <w:r>
              <w:rPr>
                <w:noProof/>
                <w:webHidden/>
              </w:rPr>
              <w:fldChar w:fldCharType="begin"/>
            </w:r>
            <w:r>
              <w:rPr>
                <w:noProof/>
                <w:webHidden/>
              </w:rPr>
              <w:instrText xml:space="preserve"> PAGEREF _Toc234426729 \h </w:instrText>
            </w:r>
            <w:r>
              <w:rPr>
                <w:noProof/>
                <w:webHidden/>
              </w:rPr>
            </w:r>
            <w:r>
              <w:rPr>
                <w:noProof/>
                <w:webHidden/>
              </w:rPr>
              <w:fldChar w:fldCharType="separate"/>
            </w:r>
            <w:r w:rsidR="00493E30">
              <w:rPr>
                <w:noProof/>
                <w:webHidden/>
              </w:rPr>
              <w:t>24</w:t>
            </w:r>
            <w:r>
              <w:rPr>
                <w:noProof/>
                <w:webHidden/>
              </w:rPr>
              <w:fldChar w:fldCharType="end"/>
            </w:r>
          </w:hyperlink>
        </w:p>
        <w:p w14:paraId="1CBAAFE9" w14:textId="0D933468"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0" w:history="1">
            <w:r w:rsidRPr="003618C1">
              <w:rPr>
                <w:rStyle w:val="Hyperlink"/>
                <w:noProof/>
              </w:rPr>
              <w:t>Annex 1. Mid-term review methodology</w:t>
            </w:r>
            <w:r>
              <w:rPr>
                <w:noProof/>
                <w:webHidden/>
              </w:rPr>
              <w:tab/>
            </w:r>
            <w:r>
              <w:rPr>
                <w:noProof/>
                <w:webHidden/>
              </w:rPr>
              <w:fldChar w:fldCharType="begin"/>
            </w:r>
            <w:r>
              <w:rPr>
                <w:noProof/>
                <w:webHidden/>
              </w:rPr>
              <w:instrText xml:space="preserve"> PAGEREF _Toc234426730 \h </w:instrText>
            </w:r>
            <w:r>
              <w:rPr>
                <w:noProof/>
                <w:webHidden/>
              </w:rPr>
            </w:r>
            <w:r>
              <w:rPr>
                <w:noProof/>
                <w:webHidden/>
              </w:rPr>
              <w:fldChar w:fldCharType="separate"/>
            </w:r>
            <w:r w:rsidR="00493E30">
              <w:rPr>
                <w:noProof/>
                <w:webHidden/>
              </w:rPr>
              <w:t>24</w:t>
            </w:r>
            <w:r>
              <w:rPr>
                <w:noProof/>
                <w:webHidden/>
              </w:rPr>
              <w:fldChar w:fldCharType="end"/>
            </w:r>
          </w:hyperlink>
        </w:p>
        <w:p w14:paraId="40FB431A" w14:textId="6E170FF8"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1" w:history="1">
            <w:r w:rsidRPr="003618C1">
              <w:rPr>
                <w:rStyle w:val="Hyperlink"/>
                <w:noProof/>
              </w:rPr>
              <w:t>Annex 1. Documents reviewed</w:t>
            </w:r>
            <w:r>
              <w:rPr>
                <w:noProof/>
                <w:webHidden/>
              </w:rPr>
              <w:tab/>
            </w:r>
            <w:r>
              <w:rPr>
                <w:noProof/>
                <w:webHidden/>
              </w:rPr>
              <w:fldChar w:fldCharType="begin"/>
            </w:r>
            <w:r>
              <w:rPr>
                <w:noProof/>
                <w:webHidden/>
              </w:rPr>
              <w:instrText xml:space="preserve"> PAGEREF _Toc234426731 \h </w:instrText>
            </w:r>
            <w:r>
              <w:rPr>
                <w:noProof/>
                <w:webHidden/>
              </w:rPr>
            </w:r>
            <w:r>
              <w:rPr>
                <w:noProof/>
                <w:webHidden/>
              </w:rPr>
              <w:fldChar w:fldCharType="separate"/>
            </w:r>
            <w:r w:rsidR="00493E30">
              <w:rPr>
                <w:noProof/>
                <w:webHidden/>
              </w:rPr>
              <w:t>26</w:t>
            </w:r>
            <w:r>
              <w:rPr>
                <w:noProof/>
                <w:webHidden/>
              </w:rPr>
              <w:fldChar w:fldCharType="end"/>
            </w:r>
          </w:hyperlink>
        </w:p>
        <w:p w14:paraId="024A24E6" w14:textId="3003D3EC"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2" w:history="1">
            <w:r w:rsidRPr="003618C1">
              <w:rPr>
                <w:rStyle w:val="Hyperlink"/>
                <w:noProof/>
              </w:rPr>
              <w:t>Annex 2. Consultation list</w:t>
            </w:r>
            <w:r>
              <w:rPr>
                <w:noProof/>
                <w:webHidden/>
              </w:rPr>
              <w:tab/>
            </w:r>
            <w:r>
              <w:rPr>
                <w:noProof/>
                <w:webHidden/>
              </w:rPr>
              <w:fldChar w:fldCharType="begin"/>
            </w:r>
            <w:r>
              <w:rPr>
                <w:noProof/>
                <w:webHidden/>
              </w:rPr>
              <w:instrText xml:space="preserve"> PAGEREF _Toc234426732 \h </w:instrText>
            </w:r>
            <w:r>
              <w:rPr>
                <w:noProof/>
                <w:webHidden/>
              </w:rPr>
            </w:r>
            <w:r>
              <w:rPr>
                <w:noProof/>
                <w:webHidden/>
              </w:rPr>
              <w:fldChar w:fldCharType="separate"/>
            </w:r>
            <w:r w:rsidR="00493E30">
              <w:rPr>
                <w:noProof/>
                <w:webHidden/>
              </w:rPr>
              <w:t>27</w:t>
            </w:r>
            <w:r>
              <w:rPr>
                <w:noProof/>
                <w:webHidden/>
              </w:rPr>
              <w:fldChar w:fldCharType="end"/>
            </w:r>
          </w:hyperlink>
        </w:p>
        <w:p w14:paraId="717646F8" w14:textId="681EC655"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3" w:history="1">
            <w:r w:rsidRPr="003618C1">
              <w:rPr>
                <w:rStyle w:val="Hyperlink"/>
                <w:noProof/>
              </w:rPr>
              <w:t>Annex 3. Evaluation matrix and evidence strength</w:t>
            </w:r>
            <w:r>
              <w:rPr>
                <w:noProof/>
                <w:webHidden/>
              </w:rPr>
              <w:tab/>
            </w:r>
            <w:r>
              <w:rPr>
                <w:noProof/>
                <w:webHidden/>
              </w:rPr>
              <w:fldChar w:fldCharType="begin"/>
            </w:r>
            <w:r>
              <w:rPr>
                <w:noProof/>
                <w:webHidden/>
              </w:rPr>
              <w:instrText xml:space="preserve"> PAGEREF _Toc234426733 \h </w:instrText>
            </w:r>
            <w:r>
              <w:rPr>
                <w:noProof/>
                <w:webHidden/>
              </w:rPr>
            </w:r>
            <w:r>
              <w:rPr>
                <w:noProof/>
                <w:webHidden/>
              </w:rPr>
              <w:fldChar w:fldCharType="separate"/>
            </w:r>
            <w:r w:rsidR="00493E30">
              <w:rPr>
                <w:noProof/>
                <w:webHidden/>
              </w:rPr>
              <w:t>29</w:t>
            </w:r>
            <w:r>
              <w:rPr>
                <w:noProof/>
                <w:webHidden/>
              </w:rPr>
              <w:fldChar w:fldCharType="end"/>
            </w:r>
          </w:hyperlink>
        </w:p>
        <w:p w14:paraId="618D99DF" w14:textId="4BEDC246"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4" w:history="1">
            <w:r w:rsidRPr="003618C1">
              <w:rPr>
                <w:rStyle w:val="Hyperlink"/>
                <w:noProof/>
              </w:rPr>
              <w:t>Annex 4. List of service orders</w:t>
            </w:r>
            <w:r>
              <w:rPr>
                <w:noProof/>
                <w:webHidden/>
              </w:rPr>
              <w:tab/>
            </w:r>
            <w:r>
              <w:rPr>
                <w:noProof/>
                <w:webHidden/>
              </w:rPr>
              <w:fldChar w:fldCharType="begin"/>
            </w:r>
            <w:r>
              <w:rPr>
                <w:noProof/>
                <w:webHidden/>
              </w:rPr>
              <w:instrText xml:space="preserve"> PAGEREF _Toc234426734 \h </w:instrText>
            </w:r>
            <w:r>
              <w:rPr>
                <w:noProof/>
                <w:webHidden/>
              </w:rPr>
            </w:r>
            <w:r>
              <w:rPr>
                <w:noProof/>
                <w:webHidden/>
              </w:rPr>
              <w:fldChar w:fldCharType="separate"/>
            </w:r>
            <w:r w:rsidR="00493E30">
              <w:rPr>
                <w:noProof/>
                <w:webHidden/>
              </w:rPr>
              <w:t>32</w:t>
            </w:r>
            <w:r>
              <w:rPr>
                <w:noProof/>
                <w:webHidden/>
              </w:rPr>
              <w:fldChar w:fldCharType="end"/>
            </w:r>
          </w:hyperlink>
        </w:p>
        <w:p w14:paraId="1054E1A6" w14:textId="4E228C0C"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5" w:history="1">
            <w:r w:rsidRPr="003618C1">
              <w:rPr>
                <w:rStyle w:val="Hyperlink"/>
                <w:noProof/>
              </w:rPr>
              <w:t>Annex 5. Portfolio growth and operational demand data</w:t>
            </w:r>
            <w:r>
              <w:rPr>
                <w:noProof/>
                <w:webHidden/>
              </w:rPr>
              <w:tab/>
            </w:r>
            <w:r>
              <w:rPr>
                <w:noProof/>
                <w:webHidden/>
              </w:rPr>
              <w:fldChar w:fldCharType="begin"/>
            </w:r>
            <w:r>
              <w:rPr>
                <w:noProof/>
                <w:webHidden/>
              </w:rPr>
              <w:instrText xml:space="preserve"> PAGEREF _Toc234426735 \h </w:instrText>
            </w:r>
            <w:r>
              <w:rPr>
                <w:noProof/>
                <w:webHidden/>
              </w:rPr>
            </w:r>
            <w:r>
              <w:rPr>
                <w:noProof/>
                <w:webHidden/>
              </w:rPr>
              <w:fldChar w:fldCharType="separate"/>
            </w:r>
            <w:r w:rsidR="00493E30">
              <w:rPr>
                <w:noProof/>
                <w:webHidden/>
              </w:rPr>
              <w:t>36</w:t>
            </w:r>
            <w:r>
              <w:rPr>
                <w:noProof/>
                <w:webHidden/>
              </w:rPr>
              <w:fldChar w:fldCharType="end"/>
            </w:r>
          </w:hyperlink>
        </w:p>
        <w:p w14:paraId="2361446B" w14:textId="46925434"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6" w:history="1">
            <w:r w:rsidRPr="003618C1">
              <w:rPr>
                <w:rStyle w:val="Hyperlink"/>
                <w:noProof/>
              </w:rPr>
              <w:t>Annex 6. Summary assessment against DFAT VfM principles</w:t>
            </w:r>
            <w:r>
              <w:rPr>
                <w:noProof/>
                <w:webHidden/>
              </w:rPr>
              <w:tab/>
            </w:r>
            <w:r>
              <w:rPr>
                <w:noProof/>
                <w:webHidden/>
              </w:rPr>
              <w:fldChar w:fldCharType="begin"/>
            </w:r>
            <w:r>
              <w:rPr>
                <w:noProof/>
                <w:webHidden/>
              </w:rPr>
              <w:instrText xml:space="preserve"> PAGEREF _Toc234426736 \h </w:instrText>
            </w:r>
            <w:r>
              <w:rPr>
                <w:noProof/>
                <w:webHidden/>
              </w:rPr>
            </w:r>
            <w:r>
              <w:rPr>
                <w:noProof/>
                <w:webHidden/>
              </w:rPr>
              <w:fldChar w:fldCharType="separate"/>
            </w:r>
            <w:r w:rsidR="00493E30">
              <w:rPr>
                <w:noProof/>
                <w:webHidden/>
              </w:rPr>
              <w:t>38</w:t>
            </w:r>
            <w:r>
              <w:rPr>
                <w:noProof/>
                <w:webHidden/>
              </w:rPr>
              <w:fldChar w:fldCharType="end"/>
            </w:r>
          </w:hyperlink>
        </w:p>
        <w:p w14:paraId="658A8FAA" w14:textId="4095A387"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7" w:history="1">
            <w:r w:rsidRPr="003618C1">
              <w:rPr>
                <w:rStyle w:val="Hyperlink"/>
                <w:noProof/>
              </w:rPr>
              <w:t>Annex 7. Quality programming tools</w:t>
            </w:r>
            <w:r>
              <w:rPr>
                <w:noProof/>
                <w:webHidden/>
              </w:rPr>
              <w:tab/>
            </w:r>
            <w:r>
              <w:rPr>
                <w:noProof/>
                <w:webHidden/>
              </w:rPr>
              <w:fldChar w:fldCharType="begin"/>
            </w:r>
            <w:r>
              <w:rPr>
                <w:noProof/>
                <w:webHidden/>
              </w:rPr>
              <w:instrText xml:space="preserve"> PAGEREF _Toc234426737 \h </w:instrText>
            </w:r>
            <w:r>
              <w:rPr>
                <w:noProof/>
                <w:webHidden/>
              </w:rPr>
            </w:r>
            <w:r>
              <w:rPr>
                <w:noProof/>
                <w:webHidden/>
              </w:rPr>
              <w:fldChar w:fldCharType="separate"/>
            </w:r>
            <w:r w:rsidR="00493E30">
              <w:rPr>
                <w:noProof/>
                <w:webHidden/>
              </w:rPr>
              <w:t>39</w:t>
            </w:r>
            <w:r>
              <w:rPr>
                <w:noProof/>
                <w:webHidden/>
              </w:rPr>
              <w:fldChar w:fldCharType="end"/>
            </w:r>
          </w:hyperlink>
        </w:p>
        <w:p w14:paraId="0FB661F3" w14:textId="0D1A4230" w:rsidR="00394670" w:rsidRDefault="00394670">
          <w:pPr>
            <w:pStyle w:val="TOC2"/>
            <w:rPr>
              <w:rFonts w:eastAsiaTheme="minorEastAsia" w:cstheme="minorBidi"/>
              <w:bCs w:val="0"/>
              <w:noProof/>
              <w:color w:val="auto"/>
              <w:kern w:val="2"/>
              <w:sz w:val="24"/>
              <w:szCs w:val="24"/>
              <w:lang w:val="en-AU"/>
              <w14:ligatures w14:val="standardContextual"/>
            </w:rPr>
          </w:pPr>
          <w:hyperlink w:anchor="_Toc234426738" w:history="1">
            <w:r w:rsidRPr="003618C1">
              <w:rPr>
                <w:rStyle w:val="Hyperlink"/>
                <w:noProof/>
              </w:rPr>
              <w:t>Annex 8. Cross-cutting priorities and policies</w:t>
            </w:r>
            <w:r>
              <w:rPr>
                <w:noProof/>
                <w:webHidden/>
              </w:rPr>
              <w:tab/>
            </w:r>
            <w:r>
              <w:rPr>
                <w:noProof/>
                <w:webHidden/>
              </w:rPr>
              <w:fldChar w:fldCharType="begin"/>
            </w:r>
            <w:r>
              <w:rPr>
                <w:noProof/>
                <w:webHidden/>
              </w:rPr>
              <w:instrText xml:space="preserve"> PAGEREF _Toc234426738 \h </w:instrText>
            </w:r>
            <w:r>
              <w:rPr>
                <w:noProof/>
                <w:webHidden/>
              </w:rPr>
            </w:r>
            <w:r>
              <w:rPr>
                <w:noProof/>
                <w:webHidden/>
              </w:rPr>
              <w:fldChar w:fldCharType="separate"/>
            </w:r>
            <w:r w:rsidR="00493E30">
              <w:rPr>
                <w:noProof/>
                <w:webHidden/>
              </w:rPr>
              <w:t>40</w:t>
            </w:r>
            <w:r>
              <w:rPr>
                <w:noProof/>
                <w:webHidden/>
              </w:rPr>
              <w:fldChar w:fldCharType="end"/>
            </w:r>
          </w:hyperlink>
        </w:p>
        <w:p w14:paraId="3BA38CEC" w14:textId="0C88BB79" w:rsidR="004056A1" w:rsidRDefault="004056A1">
          <w:r>
            <w:rPr>
              <w:b/>
              <w:bCs/>
              <w:noProof/>
            </w:rPr>
            <w:fldChar w:fldCharType="end"/>
          </w:r>
        </w:p>
      </w:sdtContent>
    </w:sdt>
    <w:p w14:paraId="452D469D" w14:textId="77777777" w:rsidR="00104B69" w:rsidRDefault="00104B69" w:rsidP="0019077C">
      <w:r>
        <w:br w:type="page"/>
      </w:r>
    </w:p>
    <w:p w14:paraId="2B0FBD76" w14:textId="44996E7E" w:rsidR="004B25B9" w:rsidRDefault="00306A84" w:rsidP="00AE0D3F">
      <w:pPr>
        <w:pStyle w:val="Heading1"/>
      </w:pPr>
      <w:bookmarkStart w:id="0" w:name="_Toc234426714"/>
      <w:r>
        <w:lastRenderedPageBreak/>
        <w:t>ABBREVIATIONS</w:t>
      </w:r>
      <w:r w:rsidR="00EC7656">
        <w:t xml:space="preserve"> AND ACRONYMS</w:t>
      </w:r>
      <w:bookmarkEnd w:id="0"/>
    </w:p>
    <w:tbl>
      <w:tblPr>
        <w:tblStyle w:val="TableGridLight"/>
        <w:tblW w:w="5000" w:type="pct"/>
        <w:tblLook w:val="04A0" w:firstRow="1" w:lastRow="0" w:firstColumn="1" w:lastColumn="0" w:noHBand="0" w:noVBand="1"/>
      </w:tblPr>
      <w:tblGrid>
        <w:gridCol w:w="2081"/>
        <w:gridCol w:w="8001"/>
      </w:tblGrid>
      <w:tr w:rsidR="00A829F2" w:rsidRPr="00936656" w14:paraId="55C13B4F" w14:textId="77777777">
        <w:tc>
          <w:tcPr>
            <w:tcW w:w="0" w:type="auto"/>
            <w:shd w:val="clear" w:color="auto" w:fill="002060"/>
            <w:hideMark/>
          </w:tcPr>
          <w:p w14:paraId="77F2B625" w14:textId="77777777" w:rsidR="00A829F2" w:rsidRPr="00936656" w:rsidRDefault="00A829F2" w:rsidP="00E3046D">
            <w:pPr>
              <w:spacing w:before="40" w:after="40"/>
              <w:jc w:val="center"/>
              <w:rPr>
                <w:rFonts w:ascii="Arial" w:eastAsia="Times New Roman" w:hAnsi="Arial" w:cs="Arial"/>
                <w:b/>
                <w:bCs/>
                <w:color w:val="FFFFFF" w:themeColor="background1"/>
                <w:sz w:val="19"/>
                <w:szCs w:val="19"/>
                <w:lang w:val="en-AU"/>
              </w:rPr>
            </w:pPr>
            <w:r w:rsidRPr="00936656">
              <w:rPr>
                <w:rFonts w:ascii="Arial" w:eastAsia="Times New Roman" w:hAnsi="Arial" w:cs="Arial"/>
                <w:b/>
                <w:bCs/>
                <w:color w:val="FFFFFF" w:themeColor="background1"/>
                <w:sz w:val="19"/>
                <w:szCs w:val="19"/>
                <w:lang w:val="en-AU"/>
              </w:rPr>
              <w:t>Abbreviation</w:t>
            </w:r>
          </w:p>
        </w:tc>
        <w:tc>
          <w:tcPr>
            <w:tcW w:w="0" w:type="auto"/>
            <w:shd w:val="clear" w:color="auto" w:fill="002060"/>
            <w:hideMark/>
          </w:tcPr>
          <w:p w14:paraId="354290FE" w14:textId="77777777" w:rsidR="00A829F2" w:rsidRPr="00936656" w:rsidRDefault="00A829F2" w:rsidP="00E3046D">
            <w:pPr>
              <w:spacing w:before="40" w:after="40"/>
              <w:jc w:val="center"/>
              <w:rPr>
                <w:rFonts w:ascii="Arial" w:eastAsia="Times New Roman" w:hAnsi="Arial" w:cs="Arial"/>
                <w:b/>
                <w:bCs/>
                <w:color w:val="FFFFFF" w:themeColor="background1"/>
                <w:sz w:val="19"/>
                <w:szCs w:val="19"/>
                <w:lang w:val="en-AU"/>
              </w:rPr>
            </w:pPr>
            <w:r w:rsidRPr="00936656">
              <w:rPr>
                <w:rFonts w:ascii="Arial" w:eastAsia="Times New Roman" w:hAnsi="Arial" w:cs="Arial"/>
                <w:b/>
                <w:bCs/>
                <w:color w:val="FFFFFF" w:themeColor="background1"/>
                <w:sz w:val="19"/>
                <w:szCs w:val="19"/>
                <w:lang w:val="en-AU"/>
              </w:rPr>
              <w:t>Meaning</w:t>
            </w:r>
          </w:p>
        </w:tc>
      </w:tr>
      <w:tr w:rsidR="00A829F2" w:rsidRPr="00EC7656" w14:paraId="6F06097C" w14:textId="77777777">
        <w:tc>
          <w:tcPr>
            <w:tcW w:w="0" w:type="auto"/>
            <w:hideMark/>
          </w:tcPr>
          <w:p w14:paraId="710D3A23" w14:textId="77777777" w:rsidR="00A829F2" w:rsidRDefault="00A829F2" w:rsidP="00E3046D">
            <w:pPr>
              <w:spacing w:before="40" w:after="40"/>
            </w:pPr>
            <w:r>
              <w:rPr>
                <w:rFonts w:ascii="Arial" w:hAnsi="Arial"/>
                <w:sz w:val="19"/>
                <w:szCs w:val="19"/>
              </w:rPr>
              <w:t>AASI</w:t>
            </w:r>
          </w:p>
        </w:tc>
        <w:tc>
          <w:tcPr>
            <w:tcW w:w="0" w:type="auto"/>
            <w:hideMark/>
          </w:tcPr>
          <w:p w14:paraId="237C34E5" w14:textId="77777777" w:rsidR="00A829F2" w:rsidRDefault="00A829F2" w:rsidP="00E3046D">
            <w:pPr>
              <w:spacing w:before="40" w:after="40"/>
            </w:pPr>
            <w:r>
              <w:rPr>
                <w:rFonts w:ascii="Arial" w:hAnsi="Arial"/>
                <w:sz w:val="19"/>
                <w:szCs w:val="19"/>
              </w:rPr>
              <w:t>Australia Awards Solomon Islands</w:t>
            </w:r>
          </w:p>
        </w:tc>
      </w:tr>
      <w:tr w:rsidR="00A829F2" w:rsidRPr="00EC7656" w14:paraId="0C9297C1" w14:textId="77777777">
        <w:tc>
          <w:tcPr>
            <w:tcW w:w="0" w:type="auto"/>
            <w:hideMark/>
          </w:tcPr>
          <w:p w14:paraId="55A6C126" w14:textId="77777777" w:rsidR="00A829F2" w:rsidRDefault="00A829F2" w:rsidP="00E3046D">
            <w:pPr>
              <w:spacing w:before="40" w:after="40"/>
            </w:pPr>
            <w:r>
              <w:rPr>
                <w:rFonts w:ascii="Arial" w:hAnsi="Arial"/>
                <w:sz w:val="19"/>
                <w:szCs w:val="19"/>
              </w:rPr>
              <w:t>AHC</w:t>
            </w:r>
          </w:p>
        </w:tc>
        <w:tc>
          <w:tcPr>
            <w:tcW w:w="0" w:type="auto"/>
            <w:hideMark/>
          </w:tcPr>
          <w:p w14:paraId="794CA63E" w14:textId="77777777" w:rsidR="00A829F2" w:rsidRDefault="00A829F2" w:rsidP="00E3046D">
            <w:pPr>
              <w:spacing w:before="40" w:after="40"/>
            </w:pPr>
            <w:r>
              <w:rPr>
                <w:rFonts w:ascii="Arial" w:hAnsi="Arial"/>
                <w:sz w:val="19"/>
                <w:szCs w:val="19"/>
              </w:rPr>
              <w:t>Australian High Commission</w:t>
            </w:r>
          </w:p>
        </w:tc>
      </w:tr>
      <w:tr w:rsidR="00A829F2" w:rsidRPr="00EC7656" w14:paraId="587AE0A9" w14:textId="77777777">
        <w:tc>
          <w:tcPr>
            <w:tcW w:w="0" w:type="auto"/>
            <w:hideMark/>
          </w:tcPr>
          <w:p w14:paraId="742944F9" w14:textId="77777777" w:rsidR="00A829F2" w:rsidRDefault="00A829F2" w:rsidP="00E3046D">
            <w:pPr>
              <w:spacing w:before="40" w:after="40"/>
            </w:pPr>
            <w:r>
              <w:rPr>
                <w:rFonts w:ascii="Arial" w:hAnsi="Arial"/>
                <w:sz w:val="19"/>
                <w:szCs w:val="19"/>
              </w:rPr>
              <w:t>ASIPS+</w:t>
            </w:r>
          </w:p>
        </w:tc>
        <w:tc>
          <w:tcPr>
            <w:tcW w:w="0" w:type="auto"/>
            <w:hideMark/>
          </w:tcPr>
          <w:p w14:paraId="6E47EDCE" w14:textId="77777777" w:rsidR="00A829F2" w:rsidRDefault="00A829F2" w:rsidP="00E3046D">
            <w:pPr>
              <w:spacing w:before="40" w:after="40"/>
            </w:pPr>
            <w:r>
              <w:rPr>
                <w:rFonts w:ascii="Arial" w:hAnsi="Arial"/>
                <w:sz w:val="19"/>
                <w:szCs w:val="19"/>
              </w:rPr>
              <w:t>Australia Solomon Islands Program Support Facility Plus</w:t>
            </w:r>
          </w:p>
        </w:tc>
      </w:tr>
      <w:tr w:rsidR="00A829F2" w:rsidRPr="00EC7656" w14:paraId="73DE8E92" w14:textId="77777777">
        <w:tc>
          <w:tcPr>
            <w:tcW w:w="0" w:type="auto"/>
            <w:hideMark/>
          </w:tcPr>
          <w:p w14:paraId="7D0991BA" w14:textId="77777777" w:rsidR="00A829F2" w:rsidRDefault="00A829F2" w:rsidP="00E3046D">
            <w:pPr>
              <w:spacing w:before="40" w:after="40"/>
            </w:pPr>
            <w:r>
              <w:rPr>
                <w:rFonts w:ascii="Arial" w:hAnsi="Arial"/>
                <w:sz w:val="19"/>
                <w:szCs w:val="19"/>
              </w:rPr>
              <w:t>ASIRF</w:t>
            </w:r>
          </w:p>
        </w:tc>
        <w:tc>
          <w:tcPr>
            <w:tcW w:w="0" w:type="auto"/>
            <w:hideMark/>
          </w:tcPr>
          <w:p w14:paraId="732880B5" w14:textId="77777777" w:rsidR="00A829F2" w:rsidRDefault="00A829F2" w:rsidP="00E3046D">
            <w:pPr>
              <w:spacing w:before="40" w:after="40"/>
            </w:pPr>
            <w:r>
              <w:rPr>
                <w:rFonts w:ascii="Arial" w:hAnsi="Arial"/>
                <w:sz w:val="19"/>
                <w:szCs w:val="19"/>
              </w:rPr>
              <w:t>Australia Solomon Islands Resource Facility</w:t>
            </w:r>
          </w:p>
        </w:tc>
      </w:tr>
      <w:tr w:rsidR="00A829F2" w:rsidRPr="00EC7656" w14:paraId="4A8D5E1B" w14:textId="77777777">
        <w:tc>
          <w:tcPr>
            <w:tcW w:w="0" w:type="auto"/>
            <w:hideMark/>
          </w:tcPr>
          <w:p w14:paraId="3C1069C1" w14:textId="77777777" w:rsidR="00A829F2" w:rsidRDefault="00A829F2" w:rsidP="00E3046D">
            <w:pPr>
              <w:spacing w:before="40" w:after="40"/>
            </w:pPr>
            <w:r>
              <w:rPr>
                <w:rFonts w:ascii="Arial" w:hAnsi="Arial"/>
                <w:sz w:val="19"/>
                <w:szCs w:val="19"/>
              </w:rPr>
              <w:t>AUD</w:t>
            </w:r>
          </w:p>
        </w:tc>
        <w:tc>
          <w:tcPr>
            <w:tcW w:w="0" w:type="auto"/>
            <w:hideMark/>
          </w:tcPr>
          <w:p w14:paraId="5CB5EE8C" w14:textId="77777777" w:rsidR="00A829F2" w:rsidRDefault="00A829F2" w:rsidP="00E3046D">
            <w:pPr>
              <w:spacing w:before="40" w:after="40"/>
            </w:pPr>
            <w:r>
              <w:rPr>
                <w:rFonts w:ascii="Arial" w:hAnsi="Arial"/>
                <w:sz w:val="19"/>
                <w:szCs w:val="19"/>
              </w:rPr>
              <w:t>Australian dollar</w:t>
            </w:r>
          </w:p>
        </w:tc>
      </w:tr>
      <w:tr w:rsidR="00A829F2" w:rsidRPr="00EC7656" w14:paraId="2797757E" w14:textId="77777777">
        <w:tc>
          <w:tcPr>
            <w:tcW w:w="0" w:type="auto"/>
            <w:hideMark/>
          </w:tcPr>
          <w:p w14:paraId="0356347C" w14:textId="77777777" w:rsidR="00A829F2" w:rsidRDefault="00A829F2" w:rsidP="00E3046D">
            <w:pPr>
              <w:spacing w:before="40" w:after="40"/>
            </w:pPr>
            <w:r>
              <w:rPr>
                <w:rFonts w:ascii="Arial" w:hAnsi="Arial"/>
                <w:sz w:val="19"/>
                <w:szCs w:val="19"/>
              </w:rPr>
              <w:t>CSO</w:t>
            </w:r>
          </w:p>
        </w:tc>
        <w:tc>
          <w:tcPr>
            <w:tcW w:w="0" w:type="auto"/>
            <w:hideMark/>
          </w:tcPr>
          <w:p w14:paraId="1D282170" w14:textId="274C2A80" w:rsidR="00A829F2" w:rsidRDefault="00A829F2" w:rsidP="00E3046D">
            <w:pPr>
              <w:spacing w:before="40" w:after="40"/>
            </w:pPr>
            <w:r>
              <w:rPr>
                <w:rFonts w:ascii="Arial" w:hAnsi="Arial"/>
                <w:sz w:val="19"/>
                <w:szCs w:val="19"/>
              </w:rPr>
              <w:t xml:space="preserve">Civil </w:t>
            </w:r>
            <w:r w:rsidR="00E3046D">
              <w:rPr>
                <w:rFonts w:ascii="Arial" w:hAnsi="Arial"/>
                <w:sz w:val="19"/>
                <w:szCs w:val="19"/>
              </w:rPr>
              <w:t>S</w:t>
            </w:r>
            <w:r>
              <w:rPr>
                <w:rFonts w:ascii="Arial" w:hAnsi="Arial"/>
                <w:sz w:val="19"/>
                <w:szCs w:val="19"/>
              </w:rPr>
              <w:t xml:space="preserve">ociety </w:t>
            </w:r>
            <w:r w:rsidR="00E3046D">
              <w:rPr>
                <w:rFonts w:ascii="Arial" w:hAnsi="Arial"/>
                <w:sz w:val="19"/>
                <w:szCs w:val="19"/>
              </w:rPr>
              <w:t>O</w:t>
            </w:r>
            <w:r>
              <w:rPr>
                <w:rFonts w:ascii="Arial" w:hAnsi="Arial"/>
                <w:sz w:val="19"/>
                <w:szCs w:val="19"/>
              </w:rPr>
              <w:t>rganisation</w:t>
            </w:r>
          </w:p>
        </w:tc>
      </w:tr>
      <w:tr w:rsidR="00A829F2" w:rsidRPr="00EC7656" w14:paraId="26CE0F7D" w14:textId="77777777">
        <w:tc>
          <w:tcPr>
            <w:tcW w:w="0" w:type="auto"/>
            <w:hideMark/>
          </w:tcPr>
          <w:p w14:paraId="78833843" w14:textId="77777777" w:rsidR="00A829F2" w:rsidRDefault="00A829F2" w:rsidP="00E3046D">
            <w:pPr>
              <w:spacing w:before="40" w:after="40"/>
            </w:pPr>
            <w:r>
              <w:rPr>
                <w:rFonts w:ascii="Arial" w:hAnsi="Arial"/>
                <w:sz w:val="19"/>
                <w:szCs w:val="19"/>
              </w:rPr>
              <w:t>DEH</w:t>
            </w:r>
          </w:p>
        </w:tc>
        <w:tc>
          <w:tcPr>
            <w:tcW w:w="0" w:type="auto"/>
            <w:hideMark/>
          </w:tcPr>
          <w:p w14:paraId="5D126C35" w14:textId="77777777" w:rsidR="00A829F2" w:rsidRDefault="00A829F2" w:rsidP="00E3046D">
            <w:pPr>
              <w:spacing w:before="40" w:after="40"/>
            </w:pPr>
            <w:r>
              <w:rPr>
                <w:rFonts w:ascii="Arial" w:hAnsi="Arial"/>
                <w:sz w:val="19"/>
                <w:szCs w:val="19"/>
              </w:rPr>
              <w:t>Development Effectiveness Hub</w:t>
            </w:r>
          </w:p>
        </w:tc>
      </w:tr>
      <w:tr w:rsidR="00A829F2" w:rsidRPr="00EC7656" w14:paraId="77E935C7" w14:textId="77777777">
        <w:tc>
          <w:tcPr>
            <w:tcW w:w="0" w:type="auto"/>
            <w:hideMark/>
          </w:tcPr>
          <w:p w14:paraId="4A34E6E8" w14:textId="77777777" w:rsidR="00A829F2" w:rsidRDefault="00A829F2" w:rsidP="00E3046D">
            <w:pPr>
              <w:spacing w:before="40" w:after="40"/>
            </w:pPr>
            <w:r>
              <w:rPr>
                <w:rFonts w:ascii="Arial" w:hAnsi="Arial"/>
                <w:sz w:val="19"/>
                <w:szCs w:val="19"/>
              </w:rPr>
              <w:t>DFAT</w:t>
            </w:r>
          </w:p>
        </w:tc>
        <w:tc>
          <w:tcPr>
            <w:tcW w:w="0" w:type="auto"/>
            <w:hideMark/>
          </w:tcPr>
          <w:p w14:paraId="6A8B2A78" w14:textId="77777777" w:rsidR="00A829F2" w:rsidRDefault="00A829F2" w:rsidP="00E3046D">
            <w:pPr>
              <w:spacing w:before="40" w:after="40"/>
            </w:pPr>
            <w:r>
              <w:rPr>
                <w:rFonts w:ascii="Arial" w:hAnsi="Arial"/>
                <w:sz w:val="19"/>
                <w:szCs w:val="19"/>
              </w:rPr>
              <w:t>Department of Foreign Affairs and Trade</w:t>
            </w:r>
          </w:p>
        </w:tc>
      </w:tr>
      <w:tr w:rsidR="00A829F2" w:rsidRPr="00EC7656" w14:paraId="23C05803" w14:textId="77777777">
        <w:tc>
          <w:tcPr>
            <w:tcW w:w="0" w:type="auto"/>
            <w:hideMark/>
          </w:tcPr>
          <w:p w14:paraId="46293BA7" w14:textId="77777777" w:rsidR="00A829F2" w:rsidRDefault="00A829F2" w:rsidP="00E3046D">
            <w:pPr>
              <w:spacing w:before="40" w:after="40"/>
            </w:pPr>
            <w:r>
              <w:rPr>
                <w:rFonts w:ascii="Arial" w:hAnsi="Arial"/>
                <w:sz w:val="19"/>
                <w:szCs w:val="19"/>
              </w:rPr>
              <w:t>DPP</w:t>
            </w:r>
          </w:p>
        </w:tc>
        <w:tc>
          <w:tcPr>
            <w:tcW w:w="0" w:type="auto"/>
            <w:hideMark/>
          </w:tcPr>
          <w:p w14:paraId="36E25414" w14:textId="77777777" w:rsidR="00A829F2" w:rsidRDefault="00A829F2" w:rsidP="00E3046D">
            <w:pPr>
              <w:spacing w:before="40" w:after="40"/>
            </w:pPr>
            <w:r>
              <w:rPr>
                <w:rFonts w:ascii="Arial" w:hAnsi="Arial"/>
                <w:sz w:val="19"/>
                <w:szCs w:val="19"/>
              </w:rPr>
              <w:t>Development Partnership Plan</w:t>
            </w:r>
          </w:p>
        </w:tc>
      </w:tr>
      <w:tr w:rsidR="00A829F2" w:rsidRPr="00EC7656" w14:paraId="72A7D756" w14:textId="77777777">
        <w:tc>
          <w:tcPr>
            <w:tcW w:w="0" w:type="auto"/>
            <w:hideMark/>
          </w:tcPr>
          <w:p w14:paraId="24FD2F47" w14:textId="77777777" w:rsidR="00A829F2" w:rsidRDefault="00A829F2" w:rsidP="00E3046D">
            <w:pPr>
              <w:spacing w:before="40" w:after="40"/>
            </w:pPr>
            <w:r>
              <w:rPr>
                <w:rFonts w:ascii="Arial" w:hAnsi="Arial"/>
                <w:sz w:val="19"/>
                <w:szCs w:val="19"/>
              </w:rPr>
              <w:t>DSS</w:t>
            </w:r>
          </w:p>
        </w:tc>
        <w:tc>
          <w:tcPr>
            <w:tcW w:w="0" w:type="auto"/>
            <w:hideMark/>
          </w:tcPr>
          <w:p w14:paraId="200B7583" w14:textId="77777777" w:rsidR="00A829F2" w:rsidRDefault="00A829F2" w:rsidP="00E3046D">
            <w:pPr>
              <w:spacing w:before="40" w:after="40"/>
            </w:pPr>
            <w:r>
              <w:rPr>
                <w:rFonts w:ascii="Arial" w:hAnsi="Arial"/>
                <w:sz w:val="19"/>
                <w:szCs w:val="19"/>
              </w:rPr>
              <w:t>Deployee Support Services</w:t>
            </w:r>
          </w:p>
        </w:tc>
      </w:tr>
      <w:tr w:rsidR="00A829F2" w:rsidRPr="00EC7656" w14:paraId="26C8E540" w14:textId="77777777">
        <w:tc>
          <w:tcPr>
            <w:tcW w:w="0" w:type="auto"/>
            <w:hideMark/>
          </w:tcPr>
          <w:p w14:paraId="2BFCF9A7" w14:textId="77777777" w:rsidR="00A829F2" w:rsidRDefault="00A829F2" w:rsidP="00E3046D">
            <w:pPr>
              <w:spacing w:before="40" w:after="40"/>
            </w:pPr>
            <w:r>
              <w:rPr>
                <w:rFonts w:ascii="Arial" w:hAnsi="Arial"/>
                <w:sz w:val="19"/>
                <w:szCs w:val="19"/>
              </w:rPr>
              <w:t>EOFO</w:t>
            </w:r>
          </w:p>
        </w:tc>
        <w:tc>
          <w:tcPr>
            <w:tcW w:w="0" w:type="auto"/>
            <w:hideMark/>
          </w:tcPr>
          <w:p w14:paraId="23023571" w14:textId="77777777" w:rsidR="00A829F2" w:rsidRDefault="00A829F2" w:rsidP="00E3046D">
            <w:pPr>
              <w:spacing w:before="40" w:after="40"/>
            </w:pPr>
            <w:r>
              <w:rPr>
                <w:rFonts w:ascii="Arial" w:hAnsi="Arial"/>
                <w:sz w:val="19"/>
                <w:szCs w:val="19"/>
              </w:rPr>
              <w:t>End of Facility Outcome</w:t>
            </w:r>
          </w:p>
        </w:tc>
      </w:tr>
      <w:tr w:rsidR="00A829F2" w:rsidRPr="00EC7656" w14:paraId="064F33FC" w14:textId="77777777">
        <w:tc>
          <w:tcPr>
            <w:tcW w:w="0" w:type="auto"/>
            <w:hideMark/>
          </w:tcPr>
          <w:p w14:paraId="12B4BA67" w14:textId="77777777" w:rsidR="00A829F2" w:rsidRDefault="00A829F2" w:rsidP="00E3046D">
            <w:pPr>
              <w:spacing w:before="40" w:after="40"/>
            </w:pPr>
            <w:r>
              <w:rPr>
                <w:rFonts w:ascii="Arial" w:hAnsi="Arial"/>
                <w:sz w:val="19"/>
                <w:szCs w:val="19"/>
              </w:rPr>
              <w:t>ESSP</w:t>
            </w:r>
          </w:p>
        </w:tc>
        <w:tc>
          <w:tcPr>
            <w:tcW w:w="0" w:type="auto"/>
            <w:hideMark/>
          </w:tcPr>
          <w:p w14:paraId="3A5FBFD5" w14:textId="77777777" w:rsidR="00A829F2" w:rsidRDefault="00A829F2" w:rsidP="00E3046D">
            <w:pPr>
              <w:spacing w:before="40" w:after="40"/>
            </w:pPr>
            <w:r>
              <w:rPr>
                <w:rFonts w:ascii="Arial" w:hAnsi="Arial"/>
                <w:sz w:val="19"/>
                <w:szCs w:val="19"/>
              </w:rPr>
              <w:t>Education Sector Support Program</w:t>
            </w:r>
          </w:p>
        </w:tc>
      </w:tr>
      <w:tr w:rsidR="00A829F2" w:rsidRPr="00EC7656" w14:paraId="1919F488" w14:textId="77777777">
        <w:tc>
          <w:tcPr>
            <w:tcW w:w="0" w:type="auto"/>
            <w:hideMark/>
          </w:tcPr>
          <w:p w14:paraId="278A09B7" w14:textId="77777777" w:rsidR="00A829F2" w:rsidRDefault="00A829F2" w:rsidP="00E3046D">
            <w:pPr>
              <w:spacing w:before="40" w:after="40"/>
            </w:pPr>
            <w:r>
              <w:rPr>
                <w:rFonts w:ascii="Arial" w:hAnsi="Arial"/>
                <w:sz w:val="19"/>
                <w:szCs w:val="19"/>
              </w:rPr>
              <w:t>FIMT</w:t>
            </w:r>
          </w:p>
        </w:tc>
        <w:tc>
          <w:tcPr>
            <w:tcW w:w="0" w:type="auto"/>
            <w:hideMark/>
          </w:tcPr>
          <w:p w14:paraId="75A369AC" w14:textId="77777777" w:rsidR="00A829F2" w:rsidRDefault="00A829F2" w:rsidP="00E3046D">
            <w:pPr>
              <w:spacing w:before="40" w:after="40"/>
            </w:pPr>
            <w:r>
              <w:rPr>
                <w:rFonts w:ascii="Arial" w:hAnsi="Arial"/>
                <w:sz w:val="19"/>
                <w:szCs w:val="19"/>
              </w:rPr>
              <w:t>Facility Investment Management Team</w:t>
            </w:r>
          </w:p>
        </w:tc>
      </w:tr>
      <w:tr w:rsidR="00A829F2" w:rsidRPr="00EC7656" w14:paraId="0953B7DC" w14:textId="77777777">
        <w:tc>
          <w:tcPr>
            <w:tcW w:w="0" w:type="auto"/>
            <w:hideMark/>
          </w:tcPr>
          <w:p w14:paraId="13C6C16D" w14:textId="77777777" w:rsidR="00A829F2" w:rsidRDefault="00A829F2" w:rsidP="00E3046D">
            <w:pPr>
              <w:spacing w:before="40" w:after="40"/>
            </w:pPr>
            <w:r>
              <w:rPr>
                <w:rFonts w:ascii="Arial" w:hAnsi="Arial"/>
                <w:sz w:val="19"/>
                <w:szCs w:val="19"/>
              </w:rPr>
              <w:t>FSU</w:t>
            </w:r>
          </w:p>
        </w:tc>
        <w:tc>
          <w:tcPr>
            <w:tcW w:w="0" w:type="auto"/>
            <w:hideMark/>
          </w:tcPr>
          <w:p w14:paraId="4AF73908" w14:textId="77777777" w:rsidR="00A829F2" w:rsidRDefault="00A829F2" w:rsidP="00E3046D">
            <w:pPr>
              <w:spacing w:before="40" w:after="40"/>
            </w:pPr>
            <w:r>
              <w:rPr>
                <w:rFonts w:ascii="Arial" w:hAnsi="Arial"/>
                <w:sz w:val="19"/>
                <w:szCs w:val="19"/>
              </w:rPr>
              <w:t>Facility Support Unit</w:t>
            </w:r>
          </w:p>
        </w:tc>
      </w:tr>
      <w:tr w:rsidR="00A829F2" w:rsidRPr="00EC7656" w14:paraId="6540E1A3" w14:textId="77777777">
        <w:tc>
          <w:tcPr>
            <w:tcW w:w="0" w:type="auto"/>
            <w:hideMark/>
          </w:tcPr>
          <w:p w14:paraId="6BC11F21" w14:textId="77777777" w:rsidR="00A829F2" w:rsidRDefault="00A829F2" w:rsidP="00E3046D">
            <w:pPr>
              <w:spacing w:before="40" w:after="40"/>
            </w:pPr>
            <w:r>
              <w:rPr>
                <w:rFonts w:ascii="Arial" w:hAnsi="Arial"/>
                <w:sz w:val="19"/>
                <w:szCs w:val="19"/>
              </w:rPr>
              <w:t>FY</w:t>
            </w:r>
          </w:p>
        </w:tc>
        <w:tc>
          <w:tcPr>
            <w:tcW w:w="0" w:type="auto"/>
            <w:hideMark/>
          </w:tcPr>
          <w:p w14:paraId="6AD41545" w14:textId="77777777" w:rsidR="00A829F2" w:rsidRDefault="00A829F2" w:rsidP="00E3046D">
            <w:pPr>
              <w:spacing w:before="40" w:after="40"/>
            </w:pPr>
            <w:r>
              <w:rPr>
                <w:rFonts w:ascii="Arial" w:hAnsi="Arial"/>
                <w:sz w:val="19"/>
                <w:szCs w:val="19"/>
              </w:rPr>
              <w:t>Financial Year</w:t>
            </w:r>
          </w:p>
        </w:tc>
      </w:tr>
      <w:tr w:rsidR="00A829F2" w:rsidRPr="00EC7656" w14:paraId="66ADAAFC" w14:textId="77777777">
        <w:tc>
          <w:tcPr>
            <w:tcW w:w="0" w:type="auto"/>
            <w:hideMark/>
          </w:tcPr>
          <w:p w14:paraId="42F100CC" w14:textId="77777777" w:rsidR="00A829F2" w:rsidRDefault="00A829F2" w:rsidP="00E3046D">
            <w:pPr>
              <w:spacing w:before="40" w:after="40"/>
            </w:pPr>
            <w:r>
              <w:rPr>
                <w:rFonts w:ascii="Arial" w:hAnsi="Arial"/>
                <w:sz w:val="19"/>
                <w:szCs w:val="19"/>
              </w:rPr>
              <w:t>GEDSI</w:t>
            </w:r>
          </w:p>
        </w:tc>
        <w:tc>
          <w:tcPr>
            <w:tcW w:w="0" w:type="auto"/>
            <w:hideMark/>
          </w:tcPr>
          <w:p w14:paraId="32B862A9" w14:textId="77777777" w:rsidR="00A829F2" w:rsidRDefault="00A829F2" w:rsidP="00E3046D">
            <w:pPr>
              <w:spacing w:before="40" w:after="40"/>
            </w:pPr>
            <w:r>
              <w:rPr>
                <w:rFonts w:ascii="Arial" w:hAnsi="Arial"/>
                <w:sz w:val="19"/>
                <w:szCs w:val="19"/>
              </w:rPr>
              <w:t>Gender Equality, Disability Equity and Social Inclusion</w:t>
            </w:r>
          </w:p>
        </w:tc>
      </w:tr>
      <w:tr w:rsidR="00A829F2" w:rsidRPr="00EC7656" w14:paraId="464AE354" w14:textId="77777777">
        <w:tc>
          <w:tcPr>
            <w:tcW w:w="0" w:type="auto"/>
            <w:hideMark/>
          </w:tcPr>
          <w:p w14:paraId="2F856B3A" w14:textId="77777777" w:rsidR="00A829F2" w:rsidRDefault="00A829F2" w:rsidP="00E3046D">
            <w:pPr>
              <w:spacing w:before="40" w:after="40"/>
            </w:pPr>
            <w:r>
              <w:rPr>
                <w:rFonts w:ascii="Arial" w:hAnsi="Arial"/>
                <w:sz w:val="19"/>
                <w:szCs w:val="19"/>
              </w:rPr>
              <w:t>GESU</w:t>
            </w:r>
          </w:p>
        </w:tc>
        <w:tc>
          <w:tcPr>
            <w:tcW w:w="0" w:type="auto"/>
            <w:hideMark/>
          </w:tcPr>
          <w:p w14:paraId="2C6F5634" w14:textId="77777777" w:rsidR="00A829F2" w:rsidRDefault="00A829F2" w:rsidP="00E3046D">
            <w:pPr>
              <w:spacing w:before="40" w:after="40"/>
            </w:pPr>
            <w:r>
              <w:rPr>
                <w:rFonts w:ascii="Arial" w:hAnsi="Arial"/>
                <w:sz w:val="19"/>
                <w:szCs w:val="19"/>
              </w:rPr>
              <w:t>Gender Equality Support Unit</w:t>
            </w:r>
          </w:p>
        </w:tc>
      </w:tr>
      <w:tr w:rsidR="00A829F2" w:rsidRPr="00EC7656" w14:paraId="754942DF" w14:textId="77777777">
        <w:tc>
          <w:tcPr>
            <w:tcW w:w="0" w:type="auto"/>
            <w:hideMark/>
          </w:tcPr>
          <w:p w14:paraId="41FFF092" w14:textId="77777777" w:rsidR="00A829F2" w:rsidRDefault="00A829F2" w:rsidP="00E3046D">
            <w:pPr>
              <w:spacing w:before="40" w:after="40"/>
            </w:pPr>
            <w:r>
              <w:rPr>
                <w:rFonts w:ascii="Arial" w:hAnsi="Arial"/>
                <w:sz w:val="19"/>
                <w:szCs w:val="19"/>
              </w:rPr>
              <w:t>HR</w:t>
            </w:r>
          </w:p>
        </w:tc>
        <w:tc>
          <w:tcPr>
            <w:tcW w:w="0" w:type="auto"/>
            <w:hideMark/>
          </w:tcPr>
          <w:p w14:paraId="12BCEFD4" w14:textId="77777777" w:rsidR="00A829F2" w:rsidRDefault="00A829F2" w:rsidP="00E3046D">
            <w:pPr>
              <w:spacing w:before="40" w:after="40"/>
            </w:pPr>
            <w:r>
              <w:rPr>
                <w:rFonts w:ascii="Arial" w:hAnsi="Arial"/>
                <w:sz w:val="19"/>
                <w:szCs w:val="19"/>
              </w:rPr>
              <w:t>Human Resources</w:t>
            </w:r>
          </w:p>
        </w:tc>
      </w:tr>
      <w:tr w:rsidR="00A829F2" w:rsidRPr="00EC7656" w14:paraId="092AFD9E" w14:textId="77777777">
        <w:tc>
          <w:tcPr>
            <w:tcW w:w="0" w:type="auto"/>
            <w:hideMark/>
          </w:tcPr>
          <w:p w14:paraId="16976152" w14:textId="77777777" w:rsidR="00A829F2" w:rsidRDefault="00A829F2" w:rsidP="00E3046D">
            <w:pPr>
              <w:spacing w:before="40" w:after="40"/>
            </w:pPr>
            <w:r>
              <w:rPr>
                <w:rFonts w:ascii="Arial" w:hAnsi="Arial"/>
                <w:sz w:val="19"/>
                <w:szCs w:val="19"/>
              </w:rPr>
              <w:t>IMR</w:t>
            </w:r>
          </w:p>
        </w:tc>
        <w:tc>
          <w:tcPr>
            <w:tcW w:w="0" w:type="auto"/>
            <w:hideMark/>
          </w:tcPr>
          <w:p w14:paraId="487D4774" w14:textId="77777777" w:rsidR="00A829F2" w:rsidRDefault="00A829F2" w:rsidP="00E3046D">
            <w:pPr>
              <w:spacing w:before="40" w:after="40"/>
            </w:pPr>
            <w:r>
              <w:rPr>
                <w:rFonts w:ascii="Arial" w:hAnsi="Arial"/>
                <w:sz w:val="19"/>
                <w:szCs w:val="19"/>
              </w:rPr>
              <w:t>Investment Monitoring Report</w:t>
            </w:r>
          </w:p>
        </w:tc>
      </w:tr>
      <w:tr w:rsidR="00A829F2" w:rsidRPr="00EC7656" w14:paraId="0A164D29" w14:textId="77777777">
        <w:tc>
          <w:tcPr>
            <w:tcW w:w="0" w:type="auto"/>
            <w:hideMark/>
          </w:tcPr>
          <w:p w14:paraId="51504D05" w14:textId="77777777" w:rsidR="00A829F2" w:rsidRDefault="00A829F2" w:rsidP="00E3046D">
            <w:pPr>
              <w:spacing w:before="40" w:after="40"/>
            </w:pPr>
            <w:r>
              <w:rPr>
                <w:rFonts w:ascii="Arial" w:hAnsi="Arial"/>
                <w:sz w:val="19"/>
                <w:szCs w:val="19"/>
              </w:rPr>
              <w:t>IO</w:t>
            </w:r>
          </w:p>
        </w:tc>
        <w:tc>
          <w:tcPr>
            <w:tcW w:w="0" w:type="auto"/>
            <w:hideMark/>
          </w:tcPr>
          <w:p w14:paraId="10A7A29E" w14:textId="77777777" w:rsidR="00A829F2" w:rsidRDefault="00A829F2" w:rsidP="00E3046D">
            <w:pPr>
              <w:spacing w:before="40" w:after="40"/>
            </w:pPr>
            <w:r>
              <w:rPr>
                <w:rFonts w:ascii="Arial" w:hAnsi="Arial"/>
                <w:sz w:val="19"/>
                <w:szCs w:val="19"/>
              </w:rPr>
              <w:t>Intermediate Outcome</w:t>
            </w:r>
          </w:p>
        </w:tc>
      </w:tr>
      <w:tr w:rsidR="00A829F2" w:rsidRPr="00EC7656" w14:paraId="1DFBEDF6" w14:textId="77777777">
        <w:tc>
          <w:tcPr>
            <w:tcW w:w="0" w:type="auto"/>
            <w:hideMark/>
          </w:tcPr>
          <w:p w14:paraId="6B77C59B" w14:textId="77777777" w:rsidR="00A829F2" w:rsidRDefault="00A829F2" w:rsidP="00E3046D">
            <w:pPr>
              <w:spacing w:before="40" w:after="40"/>
            </w:pPr>
            <w:r>
              <w:rPr>
                <w:rFonts w:ascii="Arial" w:hAnsi="Arial"/>
                <w:sz w:val="19"/>
                <w:szCs w:val="19"/>
              </w:rPr>
              <w:t>KEQ</w:t>
            </w:r>
          </w:p>
        </w:tc>
        <w:tc>
          <w:tcPr>
            <w:tcW w:w="0" w:type="auto"/>
            <w:hideMark/>
          </w:tcPr>
          <w:p w14:paraId="6CE4BB8C" w14:textId="77777777" w:rsidR="00A829F2" w:rsidRDefault="00A829F2" w:rsidP="00E3046D">
            <w:pPr>
              <w:spacing w:before="40" w:after="40"/>
            </w:pPr>
            <w:r>
              <w:rPr>
                <w:rFonts w:ascii="Arial" w:hAnsi="Arial"/>
                <w:sz w:val="19"/>
                <w:szCs w:val="19"/>
              </w:rPr>
              <w:t>Key Evaluation Question</w:t>
            </w:r>
          </w:p>
        </w:tc>
      </w:tr>
      <w:tr w:rsidR="00A829F2" w:rsidRPr="00EC7656" w14:paraId="7FEC0258" w14:textId="77777777">
        <w:tc>
          <w:tcPr>
            <w:tcW w:w="0" w:type="auto"/>
            <w:hideMark/>
          </w:tcPr>
          <w:p w14:paraId="64E4B2D5" w14:textId="77777777" w:rsidR="00A829F2" w:rsidRDefault="00A829F2" w:rsidP="00E3046D">
            <w:pPr>
              <w:spacing w:before="40" w:after="40"/>
            </w:pPr>
            <w:r>
              <w:rPr>
                <w:rFonts w:ascii="Arial" w:hAnsi="Arial"/>
                <w:sz w:val="19"/>
                <w:szCs w:val="19"/>
              </w:rPr>
              <w:t>LES</w:t>
            </w:r>
          </w:p>
        </w:tc>
        <w:tc>
          <w:tcPr>
            <w:tcW w:w="0" w:type="auto"/>
            <w:hideMark/>
          </w:tcPr>
          <w:p w14:paraId="34AD859F" w14:textId="77777777" w:rsidR="00A829F2" w:rsidRDefault="00A829F2" w:rsidP="00E3046D">
            <w:pPr>
              <w:spacing w:before="40" w:after="40"/>
            </w:pPr>
            <w:r>
              <w:rPr>
                <w:rFonts w:ascii="Arial" w:hAnsi="Arial"/>
                <w:sz w:val="19"/>
                <w:szCs w:val="19"/>
              </w:rPr>
              <w:t>Locally Engaged Staff</w:t>
            </w:r>
          </w:p>
        </w:tc>
      </w:tr>
      <w:tr w:rsidR="00A829F2" w:rsidRPr="00EC7656" w14:paraId="6A872EBE" w14:textId="77777777">
        <w:tc>
          <w:tcPr>
            <w:tcW w:w="0" w:type="auto"/>
            <w:hideMark/>
          </w:tcPr>
          <w:p w14:paraId="1C22E527" w14:textId="77777777" w:rsidR="00A829F2" w:rsidRDefault="00A829F2" w:rsidP="00E3046D">
            <w:pPr>
              <w:spacing w:before="40" w:after="40"/>
            </w:pPr>
            <w:r>
              <w:rPr>
                <w:rFonts w:ascii="Arial" w:hAnsi="Arial"/>
                <w:sz w:val="19"/>
                <w:szCs w:val="19"/>
              </w:rPr>
              <w:t>MEL</w:t>
            </w:r>
          </w:p>
        </w:tc>
        <w:tc>
          <w:tcPr>
            <w:tcW w:w="0" w:type="auto"/>
            <w:hideMark/>
          </w:tcPr>
          <w:p w14:paraId="01BDD453" w14:textId="77777777" w:rsidR="00A829F2" w:rsidRDefault="00A829F2" w:rsidP="00E3046D">
            <w:pPr>
              <w:spacing w:before="40" w:after="40"/>
            </w:pPr>
            <w:r>
              <w:rPr>
                <w:rFonts w:ascii="Arial" w:hAnsi="Arial"/>
                <w:sz w:val="19"/>
                <w:szCs w:val="19"/>
              </w:rPr>
              <w:t>Monitoring, Evaluation and Learning</w:t>
            </w:r>
          </w:p>
        </w:tc>
      </w:tr>
      <w:tr w:rsidR="00A829F2" w:rsidRPr="00EC7656" w14:paraId="743E054D" w14:textId="77777777">
        <w:tc>
          <w:tcPr>
            <w:tcW w:w="0" w:type="auto"/>
            <w:hideMark/>
          </w:tcPr>
          <w:p w14:paraId="5F1930E0" w14:textId="77777777" w:rsidR="00A829F2" w:rsidRDefault="00A829F2" w:rsidP="00E3046D">
            <w:pPr>
              <w:spacing w:before="40" w:after="40"/>
            </w:pPr>
            <w:r>
              <w:rPr>
                <w:rFonts w:ascii="Arial" w:hAnsi="Arial"/>
                <w:sz w:val="19"/>
                <w:szCs w:val="19"/>
              </w:rPr>
              <w:t>MEHRD</w:t>
            </w:r>
          </w:p>
        </w:tc>
        <w:tc>
          <w:tcPr>
            <w:tcW w:w="0" w:type="auto"/>
            <w:hideMark/>
          </w:tcPr>
          <w:p w14:paraId="6474E9E6" w14:textId="77777777" w:rsidR="00A829F2" w:rsidRDefault="00A829F2" w:rsidP="00E3046D">
            <w:pPr>
              <w:spacing w:before="40" w:after="40"/>
            </w:pPr>
            <w:r>
              <w:rPr>
                <w:rFonts w:ascii="Arial" w:hAnsi="Arial"/>
                <w:sz w:val="19"/>
                <w:szCs w:val="19"/>
              </w:rPr>
              <w:t>Ministry of Education and Human Resources Development</w:t>
            </w:r>
          </w:p>
        </w:tc>
      </w:tr>
      <w:tr w:rsidR="00A829F2" w:rsidRPr="00EC7656" w14:paraId="65762BCB" w14:textId="77777777">
        <w:tc>
          <w:tcPr>
            <w:tcW w:w="0" w:type="auto"/>
            <w:hideMark/>
          </w:tcPr>
          <w:p w14:paraId="0A5E58A2" w14:textId="77777777" w:rsidR="00A829F2" w:rsidRDefault="00A829F2" w:rsidP="00E3046D">
            <w:pPr>
              <w:spacing w:before="40" w:after="40"/>
            </w:pPr>
            <w:r>
              <w:rPr>
                <w:rFonts w:ascii="Arial" w:hAnsi="Arial"/>
                <w:sz w:val="19"/>
                <w:szCs w:val="19"/>
              </w:rPr>
              <w:t>MNPDC</w:t>
            </w:r>
          </w:p>
        </w:tc>
        <w:tc>
          <w:tcPr>
            <w:tcW w:w="0" w:type="auto"/>
            <w:hideMark/>
          </w:tcPr>
          <w:p w14:paraId="607AE37D" w14:textId="77777777" w:rsidR="00A829F2" w:rsidRDefault="00A829F2" w:rsidP="00E3046D">
            <w:pPr>
              <w:spacing w:before="40" w:after="40"/>
            </w:pPr>
            <w:r>
              <w:rPr>
                <w:rFonts w:ascii="Arial" w:hAnsi="Arial"/>
                <w:sz w:val="19"/>
                <w:szCs w:val="19"/>
              </w:rPr>
              <w:t>Ministry of National Planning and Development Coordination</w:t>
            </w:r>
          </w:p>
        </w:tc>
      </w:tr>
      <w:tr w:rsidR="00A829F2" w:rsidRPr="00EC7656" w14:paraId="104D5E38" w14:textId="77777777">
        <w:tc>
          <w:tcPr>
            <w:tcW w:w="0" w:type="auto"/>
            <w:hideMark/>
          </w:tcPr>
          <w:p w14:paraId="017AEE7B" w14:textId="77777777" w:rsidR="00A829F2" w:rsidRDefault="00A829F2" w:rsidP="00E3046D">
            <w:pPr>
              <w:spacing w:before="40" w:after="40"/>
            </w:pPr>
            <w:r>
              <w:rPr>
                <w:rFonts w:ascii="Arial" w:hAnsi="Arial"/>
                <w:sz w:val="19"/>
                <w:szCs w:val="19"/>
              </w:rPr>
              <w:t>MWYCFA</w:t>
            </w:r>
          </w:p>
        </w:tc>
        <w:tc>
          <w:tcPr>
            <w:tcW w:w="0" w:type="auto"/>
            <w:hideMark/>
          </w:tcPr>
          <w:p w14:paraId="641B8F17" w14:textId="77777777" w:rsidR="00A829F2" w:rsidRDefault="00A829F2" w:rsidP="00E3046D">
            <w:pPr>
              <w:spacing w:before="40" w:after="40"/>
            </w:pPr>
            <w:r>
              <w:rPr>
                <w:rFonts w:ascii="Arial" w:hAnsi="Arial"/>
                <w:sz w:val="19"/>
                <w:szCs w:val="19"/>
              </w:rPr>
              <w:t>Ministry of Women, Youth, Children and Family Affairs</w:t>
            </w:r>
          </w:p>
        </w:tc>
      </w:tr>
      <w:tr w:rsidR="00A829F2" w:rsidRPr="00EC7656" w14:paraId="2CC384CC" w14:textId="77777777">
        <w:tc>
          <w:tcPr>
            <w:tcW w:w="0" w:type="auto"/>
            <w:hideMark/>
          </w:tcPr>
          <w:p w14:paraId="032448C3" w14:textId="77777777" w:rsidR="00A829F2" w:rsidRDefault="00A829F2" w:rsidP="00E3046D">
            <w:pPr>
              <w:spacing w:before="40" w:after="40"/>
            </w:pPr>
            <w:r>
              <w:rPr>
                <w:rFonts w:ascii="Arial" w:hAnsi="Arial"/>
                <w:sz w:val="19"/>
                <w:szCs w:val="19"/>
              </w:rPr>
              <w:t>ODA</w:t>
            </w:r>
          </w:p>
        </w:tc>
        <w:tc>
          <w:tcPr>
            <w:tcW w:w="0" w:type="auto"/>
            <w:hideMark/>
          </w:tcPr>
          <w:p w14:paraId="22082015" w14:textId="77777777" w:rsidR="00A829F2" w:rsidRDefault="00A829F2" w:rsidP="00E3046D">
            <w:pPr>
              <w:spacing w:before="40" w:after="40"/>
            </w:pPr>
            <w:r>
              <w:rPr>
                <w:rFonts w:ascii="Arial" w:hAnsi="Arial"/>
                <w:sz w:val="19"/>
                <w:szCs w:val="19"/>
              </w:rPr>
              <w:t>Official Development Assistance</w:t>
            </w:r>
          </w:p>
        </w:tc>
      </w:tr>
      <w:tr w:rsidR="00A829F2" w:rsidRPr="00EC7656" w14:paraId="42CE8D31" w14:textId="77777777">
        <w:tc>
          <w:tcPr>
            <w:tcW w:w="0" w:type="auto"/>
            <w:hideMark/>
          </w:tcPr>
          <w:p w14:paraId="63CA554F" w14:textId="77777777" w:rsidR="00A829F2" w:rsidRDefault="00A829F2" w:rsidP="00E3046D">
            <w:pPr>
              <w:spacing w:before="40" w:after="40"/>
            </w:pPr>
            <w:r>
              <w:rPr>
                <w:rFonts w:ascii="Arial" w:hAnsi="Arial"/>
                <w:sz w:val="19"/>
                <w:szCs w:val="19"/>
              </w:rPr>
              <w:t>PAF</w:t>
            </w:r>
          </w:p>
        </w:tc>
        <w:tc>
          <w:tcPr>
            <w:tcW w:w="0" w:type="auto"/>
            <w:hideMark/>
          </w:tcPr>
          <w:p w14:paraId="64379150" w14:textId="77777777" w:rsidR="00A829F2" w:rsidRDefault="00A829F2" w:rsidP="00E3046D">
            <w:pPr>
              <w:spacing w:before="40" w:after="40"/>
            </w:pPr>
            <w:r>
              <w:rPr>
                <w:rFonts w:ascii="Arial" w:hAnsi="Arial"/>
                <w:sz w:val="19"/>
                <w:szCs w:val="19"/>
              </w:rPr>
              <w:t>Performance Assessment Framework</w:t>
            </w:r>
          </w:p>
        </w:tc>
      </w:tr>
      <w:tr w:rsidR="00A829F2" w:rsidRPr="00EC7656" w14:paraId="1F9E2042" w14:textId="77777777">
        <w:tc>
          <w:tcPr>
            <w:tcW w:w="0" w:type="auto"/>
            <w:hideMark/>
          </w:tcPr>
          <w:p w14:paraId="090B768F" w14:textId="77777777" w:rsidR="00A829F2" w:rsidRDefault="00A829F2" w:rsidP="00E3046D">
            <w:pPr>
              <w:spacing w:before="40" w:after="40"/>
            </w:pPr>
            <w:r>
              <w:rPr>
                <w:rFonts w:ascii="Arial" w:hAnsi="Arial"/>
                <w:sz w:val="19"/>
                <w:szCs w:val="19"/>
              </w:rPr>
              <w:t>SET</w:t>
            </w:r>
          </w:p>
        </w:tc>
        <w:tc>
          <w:tcPr>
            <w:tcW w:w="0" w:type="auto"/>
            <w:hideMark/>
          </w:tcPr>
          <w:p w14:paraId="17CFF2B1" w14:textId="77777777" w:rsidR="00A829F2" w:rsidRDefault="00A829F2" w:rsidP="00E3046D">
            <w:pPr>
              <w:spacing w:before="40" w:after="40"/>
            </w:pPr>
            <w:r>
              <w:rPr>
                <w:rFonts w:ascii="Arial" w:hAnsi="Arial"/>
                <w:sz w:val="19"/>
                <w:szCs w:val="19"/>
              </w:rPr>
              <w:t>Stronger Education Together</w:t>
            </w:r>
          </w:p>
        </w:tc>
      </w:tr>
      <w:tr w:rsidR="00A829F2" w:rsidRPr="00EC7656" w14:paraId="3639ACF5" w14:textId="77777777">
        <w:tc>
          <w:tcPr>
            <w:tcW w:w="0" w:type="auto"/>
            <w:hideMark/>
          </w:tcPr>
          <w:p w14:paraId="1048410C" w14:textId="77777777" w:rsidR="00A829F2" w:rsidRDefault="00A829F2" w:rsidP="00E3046D">
            <w:pPr>
              <w:spacing w:before="40" w:after="40"/>
            </w:pPr>
            <w:r>
              <w:rPr>
                <w:rFonts w:ascii="Arial" w:hAnsi="Arial"/>
                <w:sz w:val="19"/>
                <w:szCs w:val="19"/>
              </w:rPr>
              <w:t>SIAHP</w:t>
            </w:r>
          </w:p>
        </w:tc>
        <w:tc>
          <w:tcPr>
            <w:tcW w:w="0" w:type="auto"/>
            <w:hideMark/>
          </w:tcPr>
          <w:p w14:paraId="3EF41E42" w14:textId="77777777" w:rsidR="00A829F2" w:rsidRDefault="00A829F2" w:rsidP="00E3046D">
            <w:pPr>
              <w:spacing w:before="40" w:after="40"/>
            </w:pPr>
            <w:r>
              <w:rPr>
                <w:rFonts w:ascii="Arial" w:hAnsi="Arial"/>
                <w:sz w:val="19"/>
                <w:szCs w:val="19"/>
              </w:rPr>
              <w:t>Solomon Islands Australia Health Partnership</w:t>
            </w:r>
          </w:p>
        </w:tc>
      </w:tr>
      <w:tr w:rsidR="00A829F2" w:rsidRPr="00EC7656" w14:paraId="50E9EF6B" w14:textId="77777777">
        <w:tc>
          <w:tcPr>
            <w:tcW w:w="0" w:type="auto"/>
            <w:hideMark/>
          </w:tcPr>
          <w:p w14:paraId="5DAD0AD2" w14:textId="77777777" w:rsidR="00A829F2" w:rsidRDefault="00A829F2" w:rsidP="00E3046D">
            <w:pPr>
              <w:spacing w:before="40" w:after="40"/>
            </w:pPr>
            <w:r>
              <w:rPr>
                <w:rFonts w:ascii="Arial" w:hAnsi="Arial"/>
                <w:sz w:val="19"/>
                <w:szCs w:val="19"/>
              </w:rPr>
              <w:t>SICRAD</w:t>
            </w:r>
          </w:p>
        </w:tc>
        <w:tc>
          <w:tcPr>
            <w:tcW w:w="0" w:type="auto"/>
            <w:hideMark/>
          </w:tcPr>
          <w:p w14:paraId="5284EFA2" w14:textId="77777777" w:rsidR="00A829F2" w:rsidRDefault="00A829F2" w:rsidP="00E3046D">
            <w:pPr>
              <w:spacing w:before="40" w:after="40"/>
            </w:pPr>
            <w:r>
              <w:rPr>
                <w:rFonts w:ascii="Arial" w:hAnsi="Arial"/>
                <w:sz w:val="19"/>
                <w:szCs w:val="19"/>
              </w:rPr>
              <w:t>Solomon Islands Climate Resilient Agriculture Development</w:t>
            </w:r>
          </w:p>
        </w:tc>
      </w:tr>
      <w:tr w:rsidR="00A829F2" w:rsidRPr="00EC7656" w14:paraId="1C066A81" w14:textId="77777777">
        <w:tc>
          <w:tcPr>
            <w:tcW w:w="0" w:type="auto"/>
            <w:hideMark/>
          </w:tcPr>
          <w:p w14:paraId="3992C658" w14:textId="77777777" w:rsidR="00A829F2" w:rsidRDefault="00A829F2" w:rsidP="00E3046D">
            <w:pPr>
              <w:spacing w:before="40" w:after="40"/>
            </w:pPr>
            <w:r>
              <w:rPr>
                <w:rFonts w:ascii="Arial" w:hAnsi="Arial"/>
                <w:sz w:val="19"/>
                <w:szCs w:val="19"/>
              </w:rPr>
              <w:t>SIG</w:t>
            </w:r>
          </w:p>
        </w:tc>
        <w:tc>
          <w:tcPr>
            <w:tcW w:w="0" w:type="auto"/>
            <w:hideMark/>
          </w:tcPr>
          <w:p w14:paraId="4ECFFC14" w14:textId="77777777" w:rsidR="00A829F2" w:rsidRDefault="00A829F2" w:rsidP="00E3046D">
            <w:pPr>
              <w:spacing w:before="40" w:after="40"/>
            </w:pPr>
            <w:r>
              <w:rPr>
                <w:rFonts w:ascii="Arial" w:hAnsi="Arial"/>
                <w:sz w:val="19"/>
                <w:szCs w:val="19"/>
              </w:rPr>
              <w:t>Solomon Islands Government</w:t>
            </w:r>
          </w:p>
        </w:tc>
      </w:tr>
      <w:tr w:rsidR="00A829F2" w:rsidRPr="00EC7656" w14:paraId="6801DBB9" w14:textId="77777777">
        <w:tc>
          <w:tcPr>
            <w:tcW w:w="0" w:type="auto"/>
            <w:hideMark/>
          </w:tcPr>
          <w:p w14:paraId="3D30852B" w14:textId="77777777" w:rsidR="00A829F2" w:rsidRDefault="00A829F2" w:rsidP="00E3046D">
            <w:pPr>
              <w:spacing w:before="40" w:after="40"/>
            </w:pPr>
            <w:r>
              <w:rPr>
                <w:rFonts w:ascii="Arial" w:hAnsi="Arial"/>
                <w:sz w:val="19"/>
                <w:szCs w:val="19"/>
              </w:rPr>
              <w:t>SINU</w:t>
            </w:r>
          </w:p>
        </w:tc>
        <w:tc>
          <w:tcPr>
            <w:tcW w:w="0" w:type="auto"/>
            <w:hideMark/>
          </w:tcPr>
          <w:p w14:paraId="0971A634" w14:textId="77777777" w:rsidR="00A829F2" w:rsidRDefault="00A829F2" w:rsidP="00E3046D">
            <w:pPr>
              <w:spacing w:before="40" w:after="40"/>
            </w:pPr>
            <w:r>
              <w:rPr>
                <w:rFonts w:ascii="Arial" w:hAnsi="Arial"/>
                <w:sz w:val="19"/>
                <w:szCs w:val="19"/>
              </w:rPr>
              <w:t>Solomon Islands National University</w:t>
            </w:r>
          </w:p>
        </w:tc>
      </w:tr>
      <w:tr w:rsidR="00A829F2" w:rsidRPr="00EC7656" w14:paraId="4375E301" w14:textId="77777777">
        <w:tc>
          <w:tcPr>
            <w:tcW w:w="0" w:type="auto"/>
            <w:hideMark/>
          </w:tcPr>
          <w:p w14:paraId="2A57494F" w14:textId="77777777" w:rsidR="00A829F2" w:rsidRDefault="00A829F2" w:rsidP="00E3046D">
            <w:pPr>
              <w:spacing w:before="40" w:after="40"/>
            </w:pPr>
            <w:r>
              <w:rPr>
                <w:rFonts w:ascii="Arial" w:hAnsi="Arial"/>
                <w:sz w:val="19"/>
                <w:szCs w:val="19"/>
              </w:rPr>
              <w:t>SO</w:t>
            </w:r>
          </w:p>
        </w:tc>
        <w:tc>
          <w:tcPr>
            <w:tcW w:w="0" w:type="auto"/>
            <w:hideMark/>
          </w:tcPr>
          <w:p w14:paraId="71A43443" w14:textId="77777777" w:rsidR="00A829F2" w:rsidRDefault="00A829F2" w:rsidP="00E3046D">
            <w:pPr>
              <w:spacing w:before="40" w:after="40"/>
            </w:pPr>
            <w:r>
              <w:rPr>
                <w:rFonts w:ascii="Arial" w:hAnsi="Arial"/>
                <w:sz w:val="19"/>
                <w:szCs w:val="19"/>
              </w:rPr>
              <w:t>Service Order</w:t>
            </w:r>
          </w:p>
        </w:tc>
      </w:tr>
      <w:tr w:rsidR="00A829F2" w:rsidRPr="00EC7656" w14:paraId="5CC6A6FA" w14:textId="77777777">
        <w:tc>
          <w:tcPr>
            <w:tcW w:w="0" w:type="auto"/>
            <w:hideMark/>
          </w:tcPr>
          <w:p w14:paraId="1C927029" w14:textId="77777777" w:rsidR="00A829F2" w:rsidRDefault="00A829F2" w:rsidP="00E3046D">
            <w:pPr>
              <w:spacing w:before="40" w:after="40"/>
            </w:pPr>
            <w:r>
              <w:rPr>
                <w:rFonts w:ascii="Arial" w:hAnsi="Arial"/>
                <w:sz w:val="19"/>
                <w:szCs w:val="19"/>
              </w:rPr>
              <w:t>SOG</w:t>
            </w:r>
          </w:p>
        </w:tc>
        <w:tc>
          <w:tcPr>
            <w:tcW w:w="0" w:type="auto"/>
            <w:hideMark/>
          </w:tcPr>
          <w:p w14:paraId="38E5A3B8" w14:textId="77777777" w:rsidR="00A829F2" w:rsidRDefault="00A829F2" w:rsidP="00E3046D">
            <w:pPr>
              <w:spacing w:before="40" w:after="40"/>
            </w:pPr>
            <w:r>
              <w:rPr>
                <w:rFonts w:ascii="Arial" w:hAnsi="Arial"/>
                <w:sz w:val="19"/>
                <w:szCs w:val="19"/>
              </w:rPr>
              <w:t>Strategic Oversight Group</w:t>
            </w:r>
          </w:p>
        </w:tc>
      </w:tr>
      <w:tr w:rsidR="00A829F2" w:rsidRPr="00EC7656" w14:paraId="62453A5D" w14:textId="77777777">
        <w:tc>
          <w:tcPr>
            <w:tcW w:w="0" w:type="auto"/>
            <w:hideMark/>
          </w:tcPr>
          <w:p w14:paraId="7D36D6E1" w14:textId="77777777" w:rsidR="00A829F2" w:rsidRDefault="00A829F2" w:rsidP="00E3046D">
            <w:pPr>
              <w:spacing w:before="40" w:after="40"/>
            </w:pPr>
            <w:r>
              <w:rPr>
                <w:rFonts w:ascii="Arial" w:hAnsi="Arial"/>
                <w:sz w:val="19"/>
                <w:szCs w:val="19"/>
              </w:rPr>
              <w:t>VfM</w:t>
            </w:r>
          </w:p>
        </w:tc>
        <w:tc>
          <w:tcPr>
            <w:tcW w:w="0" w:type="auto"/>
            <w:hideMark/>
          </w:tcPr>
          <w:p w14:paraId="3BDE829B" w14:textId="77777777" w:rsidR="00A829F2" w:rsidRDefault="00A829F2" w:rsidP="00E3046D">
            <w:pPr>
              <w:spacing w:before="40" w:after="40"/>
            </w:pPr>
            <w:r>
              <w:rPr>
                <w:rFonts w:ascii="Arial" w:hAnsi="Arial"/>
                <w:sz w:val="19"/>
                <w:szCs w:val="19"/>
              </w:rPr>
              <w:t>Value for Money</w:t>
            </w:r>
          </w:p>
        </w:tc>
      </w:tr>
    </w:tbl>
    <w:p w14:paraId="799D402A" w14:textId="1B1A6902" w:rsidR="004B25B9" w:rsidRDefault="00306A84">
      <w:r>
        <w:br w:type="page"/>
      </w:r>
    </w:p>
    <w:p w14:paraId="20B39594" w14:textId="77777777" w:rsidR="004B25B9" w:rsidRDefault="00306A84" w:rsidP="00AE0D3F">
      <w:pPr>
        <w:pStyle w:val="Heading1"/>
      </w:pPr>
      <w:bookmarkStart w:id="1" w:name="_Toc234426715"/>
      <w:r>
        <w:lastRenderedPageBreak/>
        <w:t>EXECUTIVE SUMMARY</w:t>
      </w:r>
      <w:bookmarkEnd w:id="1"/>
    </w:p>
    <w:p w14:paraId="0E3C17D0" w14:textId="098B7675" w:rsidR="00274A5E" w:rsidRPr="001E0FE8" w:rsidRDefault="00A82579" w:rsidP="6CF85AE0">
      <w:pPr>
        <w:rPr>
          <w:rFonts w:ascii="Arial" w:eastAsia="MS Gothic" w:hAnsi="Arial"/>
          <w:lang w:val="en-US"/>
        </w:rPr>
      </w:pPr>
      <w:r w:rsidRPr="00A82579">
        <w:t xml:space="preserve">This report presents the findings and recommendations of the mid-term review of Phase 1 of the Australia Solomon Islands Program Support Facility Plus (ASIPS+). The review provides evidence to inform </w:t>
      </w:r>
      <w:r w:rsidR="00AC16E5" w:rsidRPr="00AC16E5">
        <w:t>the Australian Department of Foreign Affairs and Trade (DFAT)</w:t>
      </w:r>
      <w:r w:rsidRPr="00A82579">
        <w:t xml:space="preserve"> decision-making on priorities, resourcing and delivery arrangements for the remainder of Phase 1 and future facility arrangements.</w:t>
      </w:r>
      <w:r>
        <w:t xml:space="preserve"> </w:t>
      </w:r>
      <w:r w:rsidR="00D04F9A" w:rsidRPr="00D04F9A">
        <w:rPr>
          <w:rFonts w:ascii="Arial" w:eastAsia="MS Gothic" w:hAnsi="Arial"/>
          <w:lang w:val="en-US"/>
        </w:rPr>
        <w:t>DFAT and ASIPS+ management are considering options to respond to higher-than-forecast facility utilisation. While important context, this evaluation does not assess those deliberations.</w:t>
      </w:r>
    </w:p>
    <w:p w14:paraId="71FA87BC" w14:textId="6C323B5A" w:rsidR="00676BE2" w:rsidRPr="00BC7E1D" w:rsidRDefault="00676BE2" w:rsidP="00BC7E1D">
      <w:pPr>
        <w:pStyle w:val="Heading2"/>
      </w:pPr>
      <w:r w:rsidRPr="00BC7E1D">
        <w:t>C</w:t>
      </w:r>
      <w:r w:rsidR="00E61808" w:rsidRPr="00BC7E1D">
        <w:t>ontext and startegic setting</w:t>
      </w:r>
    </w:p>
    <w:p w14:paraId="57425A16" w14:textId="70896046" w:rsidR="00D04F9A" w:rsidRPr="00A82579" w:rsidRDefault="00D04F9A" w:rsidP="00A82579">
      <w:pPr>
        <w:rPr>
          <w:lang w:val="en-AU"/>
        </w:rPr>
      </w:pPr>
      <w:r w:rsidRPr="00D04F9A">
        <w:t>ASIPS+ is fit for purpose in the Solomon Islands context. It operates in an environment shaped by regional developments affecting Solomon Islands–Australia relations, fluid domestic politics, and significant community-level development needs. Launched in 2023 following the Australia Solomon Islands Resource Facility (ASIRF), ASIPS+ was designed as a responsive and flexible mechanism supporting the Australian High Commission (AHC) to deliver development outcomes and advance Australia’s bilateral relationship with Solomon Islands. The “plus” reflects its role in managing Service Order (SO) performance, strengthening coherence across SOs, applying cross-cutting priorities, and supporting learning and adaptation.</w:t>
      </w:r>
    </w:p>
    <w:p w14:paraId="020A600A" w14:textId="77777777" w:rsidR="00676BE2" w:rsidRPr="00550B3C" w:rsidRDefault="00676BE2" w:rsidP="00550B3C">
      <w:pPr>
        <w:pStyle w:val="Heading2"/>
      </w:pPr>
      <w:bookmarkStart w:id="2" w:name="_Toc226639394"/>
      <w:r w:rsidRPr="00550B3C">
        <w:t>Performance</w:t>
      </w:r>
      <w:bookmarkEnd w:id="2"/>
    </w:p>
    <w:p w14:paraId="226466D4" w14:textId="4749DFA3" w:rsidR="00AC16E5" w:rsidRDefault="3BDF5438" w:rsidP="00274A5E">
      <w:r>
        <w:t xml:space="preserve">At the point of the mid-term review, ASIPS+ had 20 active SOs, comprising 16 Official Development Assistance (ODA) SOs and four non-ODA SOs, with a combined value of 115.59 million Australian dollars (AUD). </w:t>
      </w:r>
      <w:r w:rsidR="64871104">
        <w:t>This confirms both funding pathways are operational. However, non-ODA procurement remains more complex due to</w:t>
      </w:r>
      <w:r w:rsidR="18E087FE">
        <w:t xml:space="preserve"> steps involved in the initiation of non-ODA service orders and</w:t>
      </w:r>
      <w:r w:rsidR="64871104">
        <w:t xml:space="preserve"> Commonwealth Procurement Rules,</w:t>
      </w:r>
      <w:r w:rsidR="064AE735">
        <w:t xml:space="preserve"> both of</w:t>
      </w:r>
      <w:r w:rsidR="64871104">
        <w:t xml:space="preserve"> which </w:t>
      </w:r>
      <w:r w:rsidR="74239908">
        <w:t>are</w:t>
      </w:r>
      <w:r w:rsidR="64871104">
        <w:t xml:space="preserve"> beyond the facility’s control but limit its intended ability to respond quickly to local and emerging demands.</w:t>
      </w:r>
    </w:p>
    <w:p w14:paraId="4A3316F3" w14:textId="19FE8A5C" w:rsidR="00AF1C02" w:rsidRDefault="00231862" w:rsidP="00274A5E">
      <w:pPr>
        <w:rPr>
          <w:rFonts w:eastAsia="MS Mincho" w:cs="Arial"/>
          <w:color w:val="auto"/>
          <w:lang w:eastAsia="en-US"/>
        </w:rPr>
      </w:pPr>
      <w:r w:rsidRPr="0046597B">
        <w:t xml:space="preserve">The review confirms that the “plus” in ASIPS+ matters. </w:t>
      </w:r>
      <w:r w:rsidR="00752DA3">
        <w:t xml:space="preserve">The </w:t>
      </w:r>
      <w:r w:rsidR="009A0C52">
        <w:t>f</w:t>
      </w:r>
      <w:r w:rsidR="00752DA3">
        <w:t xml:space="preserve">acility adds value through strategic coordination, problem-solving, adaptation to context, and closer alignment of </w:t>
      </w:r>
      <w:r w:rsidR="009A0C52">
        <w:t>SOs</w:t>
      </w:r>
      <w:r w:rsidR="00752DA3">
        <w:t xml:space="preserve"> with Australia’s broader bilateral </w:t>
      </w:r>
      <w:r w:rsidR="00E3046D">
        <w:t>objectives.</w:t>
      </w:r>
      <w:r w:rsidR="00E3046D" w:rsidRPr="0046597B">
        <w:t xml:space="preserve"> </w:t>
      </w:r>
      <w:r w:rsidR="00AC16E5" w:rsidRPr="00AC16E5">
        <w:t>While individual SOs are outside the review scope, findings are consistent with the strong results reported in DFAT annual Investment Monitoring Reports.</w:t>
      </w:r>
      <w:r w:rsidR="00AC16E5">
        <w:t xml:space="preserve"> </w:t>
      </w:r>
      <w:r w:rsidR="00AA65EA" w:rsidRPr="00AA65EA">
        <w:t>Feedback from AHC</w:t>
      </w:r>
      <w:r w:rsidR="00CE4218">
        <w:t xml:space="preserve"> and </w:t>
      </w:r>
      <w:r w:rsidR="00AA65EA" w:rsidRPr="00AA65EA">
        <w:t>SIG counterparts was consistently positive.</w:t>
      </w:r>
      <w:r w:rsidR="0046597B" w:rsidRPr="0046597B">
        <w:t xml:space="preserve"> </w:t>
      </w:r>
      <w:r w:rsidR="00676BE2" w:rsidRPr="005C3EBF">
        <w:rPr>
          <w:rFonts w:cs="Arial"/>
        </w:rPr>
        <w:t>ASIPS+ was described as:</w:t>
      </w:r>
      <w:r w:rsidR="00274A5E">
        <w:t xml:space="preserve"> </w:t>
      </w:r>
      <w:r w:rsidR="00676BE2" w:rsidRPr="00274A5E">
        <w:rPr>
          <w:rFonts w:eastAsia="MS Mincho" w:cs="Arial"/>
          <w:color w:val="auto"/>
          <w:lang w:eastAsia="en-US"/>
        </w:rPr>
        <w:t>responsive to AHC priorities and emerging needs;</w:t>
      </w:r>
      <w:r w:rsidR="00274A5E">
        <w:t xml:space="preserve"> </w:t>
      </w:r>
      <w:r w:rsidR="00676BE2" w:rsidRPr="00274A5E">
        <w:rPr>
          <w:rFonts w:eastAsia="MS Mincho" w:cs="Arial"/>
          <w:color w:val="auto"/>
          <w:lang w:eastAsia="en-US"/>
        </w:rPr>
        <w:t>showing improved willingness to listen</w:t>
      </w:r>
      <w:r w:rsidR="589BBE89" w:rsidRPr="00274A5E">
        <w:rPr>
          <w:rFonts w:eastAsia="MS Mincho" w:cs="Arial"/>
          <w:color w:val="auto"/>
          <w:lang w:eastAsia="en-US"/>
        </w:rPr>
        <w:t xml:space="preserve"> and respond </w:t>
      </w:r>
      <w:r w:rsidR="00676BE2" w:rsidRPr="00274A5E">
        <w:rPr>
          <w:rFonts w:eastAsia="MS Mincho" w:cs="Arial"/>
          <w:color w:val="auto"/>
          <w:lang w:eastAsia="en-US"/>
        </w:rPr>
        <w:t>(from SIG);</w:t>
      </w:r>
      <w:r w:rsidR="00274A5E">
        <w:t xml:space="preserve"> </w:t>
      </w:r>
      <w:r w:rsidR="00676BE2" w:rsidRPr="00274A5E">
        <w:rPr>
          <w:rFonts w:eastAsia="MS Mincho" w:cs="Arial"/>
          <w:color w:val="auto"/>
          <w:lang w:eastAsia="en-US"/>
        </w:rPr>
        <w:t>focused on quality delivery;</w:t>
      </w:r>
      <w:r w:rsidR="00274A5E">
        <w:t xml:space="preserve"> </w:t>
      </w:r>
      <w:r w:rsidR="00676BE2" w:rsidRPr="00274A5E">
        <w:rPr>
          <w:rFonts w:eastAsia="MS Mincho" w:cs="Arial"/>
          <w:color w:val="auto"/>
          <w:lang w:eastAsia="en-US"/>
        </w:rPr>
        <w:t>flexible in marshalling technical and operational resources;</w:t>
      </w:r>
      <w:r w:rsidR="00274A5E">
        <w:t xml:space="preserve"> </w:t>
      </w:r>
      <w:r w:rsidR="00676BE2" w:rsidRPr="00274A5E">
        <w:rPr>
          <w:rFonts w:eastAsia="MS Mincho" w:cs="Arial"/>
          <w:color w:val="auto"/>
          <w:lang w:eastAsia="en-US"/>
        </w:rPr>
        <w:t>able to move with speed and purpose across multiple lines of effort; and</w:t>
      </w:r>
      <w:r w:rsidR="00274A5E">
        <w:t xml:space="preserve"> </w:t>
      </w:r>
      <w:r w:rsidR="00676BE2" w:rsidRPr="00274A5E">
        <w:rPr>
          <w:rFonts w:eastAsia="MS Mincho" w:cs="Arial"/>
          <w:color w:val="auto"/>
          <w:lang w:eastAsia="en-US"/>
        </w:rPr>
        <w:t xml:space="preserve">supported by effective leadership that provides coherence across a complex and growing portfolio. </w:t>
      </w:r>
    </w:p>
    <w:p w14:paraId="523FCBD2" w14:textId="301BA0BC" w:rsidR="00676BE2" w:rsidRDefault="48003DB3" w:rsidP="00676BE2">
      <w:r>
        <w:t xml:space="preserve">The ASIPS+ </w:t>
      </w:r>
      <w:r w:rsidR="00724F32">
        <w:t xml:space="preserve">design logic </w:t>
      </w:r>
      <w:r>
        <w:t>remains sound</w:t>
      </w:r>
      <w:r w:rsidR="00724F32">
        <w:t>,</w:t>
      </w:r>
      <w:r w:rsidR="00231862">
        <w:t xml:space="preserve"> and the</w:t>
      </w:r>
      <w:r>
        <w:t xml:space="preserve"> </w:t>
      </w:r>
      <w:r w:rsidR="009A0C52">
        <w:t>f</w:t>
      </w:r>
      <w:r>
        <w:t xml:space="preserve">acility has performed </w:t>
      </w:r>
      <w:r w:rsidR="004E252A">
        <w:t xml:space="preserve">with the </w:t>
      </w:r>
      <w:r w:rsidR="00724F32" w:rsidRPr="00724F32">
        <w:t xml:space="preserve">intended </w:t>
      </w:r>
      <w:r w:rsidR="004E252A">
        <w:t>dexterity and coherence</w:t>
      </w:r>
      <w:r>
        <w:t xml:space="preserve">. </w:t>
      </w:r>
      <w:r w:rsidR="00724F32">
        <w:t>It is on track to achieve b</w:t>
      </w:r>
      <w:r w:rsidR="00676BE2">
        <w:t>oth end-of-facility outcomes (EOFOs)</w:t>
      </w:r>
      <w:r w:rsidR="00724F32">
        <w:t xml:space="preserve">: </w:t>
      </w:r>
    </w:p>
    <w:p w14:paraId="27CD7701" w14:textId="77777777" w:rsidR="00724F32" w:rsidRPr="008E7A5E" w:rsidRDefault="00724F32" w:rsidP="00724F32">
      <w:pPr>
        <w:pStyle w:val="ListParagraph"/>
        <w:numPr>
          <w:ilvl w:val="0"/>
          <w:numId w:val="13"/>
        </w:numPr>
        <w:spacing w:before="60" w:after="60"/>
        <w:ind w:left="714" w:hanging="357"/>
        <w:contextualSpacing w:val="0"/>
      </w:pPr>
      <w:r w:rsidRPr="008E7A5E">
        <w:rPr>
          <w:rStyle w:val="Strong"/>
          <w:b w:val="0"/>
          <w:bCs w:val="0"/>
        </w:rPr>
        <w:t>EOFO 1:</w:t>
      </w:r>
      <w:r w:rsidRPr="008E7A5E">
        <w:t xml:space="preserve"> ASIPS+ has delivered quality programming that responds to Australia’s policy and development priorities</w:t>
      </w:r>
    </w:p>
    <w:p w14:paraId="105B1704" w14:textId="77777777" w:rsidR="00724F32" w:rsidRPr="008E7A5E" w:rsidRDefault="00724F32" w:rsidP="00724F32">
      <w:pPr>
        <w:pStyle w:val="ListParagraph"/>
        <w:numPr>
          <w:ilvl w:val="0"/>
          <w:numId w:val="13"/>
        </w:numPr>
        <w:spacing w:before="60" w:after="60"/>
        <w:ind w:left="714" w:hanging="357"/>
        <w:contextualSpacing w:val="0"/>
      </w:pPr>
      <w:r w:rsidRPr="008E7A5E">
        <w:rPr>
          <w:rStyle w:val="Strong"/>
          <w:b w:val="0"/>
          <w:bCs w:val="0"/>
        </w:rPr>
        <w:t>EOFO 2:</w:t>
      </w:r>
      <w:r w:rsidRPr="008E7A5E">
        <w:t xml:space="preserve"> ASIPS+ has efficiently and effectively managed operational processes and resources.</w:t>
      </w:r>
    </w:p>
    <w:p w14:paraId="1C3943AE" w14:textId="51AEDDF5" w:rsidR="00676BE2" w:rsidRPr="00550B3C" w:rsidRDefault="00676BE2" w:rsidP="00550B3C">
      <w:pPr>
        <w:pStyle w:val="Heading2"/>
      </w:pPr>
      <w:r w:rsidRPr="00550B3C">
        <w:t>E</w:t>
      </w:r>
      <w:r w:rsidR="00E61808">
        <w:t>merging issues</w:t>
      </w:r>
    </w:p>
    <w:p w14:paraId="22665A9A" w14:textId="1D987036" w:rsidR="00310F60" w:rsidRDefault="00676BE2" w:rsidP="003D53C5">
      <w:r w:rsidRPr="00F21DB5">
        <w:t xml:space="preserve">The key challenge for the remainder of </w:t>
      </w:r>
      <w:r w:rsidR="002A6949">
        <w:t>ASIPS+’ contract period</w:t>
      </w:r>
      <w:r w:rsidRPr="00F21DB5">
        <w:t xml:space="preserve"> is sustainability. Demand has grown quickly</w:t>
      </w:r>
      <w:r w:rsidR="009F7EA7">
        <w:t xml:space="preserve"> and </w:t>
      </w:r>
      <w:r w:rsidRPr="00F21DB5">
        <w:t xml:space="preserve">utilisation is high. The next period should focus on </w:t>
      </w:r>
      <w:r w:rsidR="00310F60">
        <w:t>improving</w:t>
      </w:r>
      <w:r>
        <w:t xml:space="preserve"> efficiency</w:t>
      </w:r>
      <w:r w:rsidRPr="00F21DB5">
        <w:t xml:space="preserve">, </w:t>
      </w:r>
      <w:r w:rsidR="008B7532" w:rsidRPr="008B7532">
        <w:t>prioritising the S</w:t>
      </w:r>
      <w:r w:rsidR="008B7532">
        <w:t xml:space="preserve">O </w:t>
      </w:r>
      <w:r w:rsidR="008B7532" w:rsidRPr="008B7532">
        <w:t>pipeline</w:t>
      </w:r>
      <w:r w:rsidR="008B7532">
        <w:t>,</w:t>
      </w:r>
      <w:r w:rsidRPr="00F21DB5">
        <w:t xml:space="preserve"> </w:t>
      </w:r>
      <w:r w:rsidR="009F7EA7">
        <w:t xml:space="preserve">and </w:t>
      </w:r>
      <w:r w:rsidR="00310F60">
        <w:t>t</w:t>
      </w:r>
      <w:r w:rsidRPr="00F21DB5">
        <w:t>imely decisions on the most viable way forward.</w:t>
      </w:r>
      <w:r w:rsidR="007E6FAF">
        <w:t xml:space="preserve"> </w:t>
      </w:r>
      <w:r w:rsidR="00724F32" w:rsidRPr="00724F32">
        <w:t>These issues reflect the pressures of success</w:t>
      </w:r>
      <w:r w:rsidR="00B22745" w:rsidRPr="00B22745">
        <w:t>: strong demand and rapid growth</w:t>
      </w:r>
      <w:r w:rsidR="00B22745">
        <w:t xml:space="preserve">. </w:t>
      </w:r>
    </w:p>
    <w:p w14:paraId="3FDFEC2F" w14:textId="12C7E71A" w:rsidR="00676BE2" w:rsidRPr="00296002" w:rsidRDefault="00676BE2" w:rsidP="00F24B6D">
      <w:pPr>
        <w:pStyle w:val="Heading3NOTOC"/>
      </w:pPr>
      <w:r w:rsidRPr="00F64E8A">
        <w:t>Growth and its cost</w:t>
      </w:r>
    </w:p>
    <w:p w14:paraId="6F1A9C06" w14:textId="78153E10" w:rsidR="00676BE2" w:rsidRDefault="00676BE2" w:rsidP="003D53C5">
      <w:pPr>
        <w:rPr>
          <w:rFonts w:ascii="Arial" w:eastAsia="MS Gothic" w:hAnsi="Arial"/>
        </w:rPr>
      </w:pPr>
      <w:r w:rsidRPr="005C3EBF">
        <w:rPr>
          <w:rFonts w:ascii="Arial" w:eastAsia="MS Gothic" w:hAnsi="Arial"/>
        </w:rPr>
        <w:t xml:space="preserve">There was widespread acknowledgement from AHC and ASIPS+ stakeholders that the </w:t>
      </w:r>
      <w:r w:rsidR="00231862">
        <w:rPr>
          <w:rFonts w:ascii="Arial" w:eastAsia="MS Gothic" w:hAnsi="Arial"/>
        </w:rPr>
        <w:t>f</w:t>
      </w:r>
      <w:r w:rsidR="003D53C5">
        <w:rPr>
          <w:rFonts w:ascii="Arial" w:eastAsia="MS Gothic" w:hAnsi="Arial"/>
        </w:rPr>
        <w:t>a</w:t>
      </w:r>
      <w:r w:rsidRPr="005C3EBF">
        <w:rPr>
          <w:rFonts w:ascii="Arial" w:eastAsia="MS Gothic" w:hAnsi="Arial"/>
        </w:rPr>
        <w:t xml:space="preserve">cility’s high tempo has left it operating with limited budget headroom and a stretched staff complement. In discussions on resourcing, each counterpart understandably emphasised the importance of protecting support to their own line of effort. </w:t>
      </w:r>
      <w:r w:rsidR="66FAA58C" w:rsidRPr="2B9594AF">
        <w:rPr>
          <w:rFonts w:ascii="Arial" w:eastAsia="MS Gothic" w:hAnsi="Arial"/>
        </w:rPr>
        <w:t>Concerted</w:t>
      </w:r>
      <w:r w:rsidR="1C5F19EA" w:rsidRPr="2B9594AF">
        <w:rPr>
          <w:rFonts w:ascii="Arial" w:eastAsia="MS Gothic" w:hAnsi="Arial"/>
        </w:rPr>
        <w:t xml:space="preserve"> expenditure</w:t>
      </w:r>
      <w:r w:rsidRPr="005C3EBF">
        <w:rPr>
          <w:rFonts w:ascii="Arial" w:eastAsia="MS Gothic" w:hAnsi="Arial"/>
        </w:rPr>
        <w:t xml:space="preserve"> is a measure of the facility’s success and is not unusual in a program at this stage of growth, but it creates a management challenge.</w:t>
      </w:r>
      <w:r w:rsidR="007435F1">
        <w:rPr>
          <w:rFonts w:ascii="Arial" w:eastAsia="MS Gothic" w:hAnsi="Arial"/>
        </w:rPr>
        <w:t xml:space="preserve"> </w:t>
      </w:r>
      <w:r w:rsidRPr="0A2401E7">
        <w:rPr>
          <w:rFonts w:ascii="Arial" w:eastAsia="MS Gothic" w:hAnsi="Arial"/>
        </w:rPr>
        <w:t xml:space="preserve">ASIPS+ was not originally resourced </w:t>
      </w:r>
      <w:r w:rsidR="00DC7920" w:rsidRPr="00DC7920">
        <w:rPr>
          <w:rFonts w:ascii="Arial" w:eastAsia="MS Gothic" w:hAnsi="Arial"/>
        </w:rPr>
        <w:t xml:space="preserve">by the contractor </w:t>
      </w:r>
      <w:r w:rsidRPr="0A2401E7">
        <w:rPr>
          <w:rFonts w:ascii="Arial" w:eastAsia="MS Gothic" w:hAnsi="Arial"/>
        </w:rPr>
        <w:t>for the work it has absorb</w:t>
      </w:r>
      <w:r w:rsidR="00310F60">
        <w:rPr>
          <w:rFonts w:ascii="Arial" w:eastAsia="MS Gothic" w:hAnsi="Arial"/>
        </w:rPr>
        <w:t>ed</w:t>
      </w:r>
      <w:r w:rsidRPr="0A2401E7">
        <w:rPr>
          <w:rFonts w:ascii="Arial" w:eastAsia="MS Gothic" w:hAnsi="Arial"/>
        </w:rPr>
        <w:t xml:space="preserve">. </w:t>
      </w:r>
      <w:r w:rsidR="7BDCC266" w:rsidRPr="2384E2B6">
        <w:rPr>
          <w:rFonts w:ascii="Arial" w:eastAsia="MS Gothic" w:hAnsi="Arial"/>
        </w:rPr>
        <w:t xml:space="preserve">The re-design was confirmed in August 2024, after the facility commenced in July 2023. </w:t>
      </w:r>
      <w:r w:rsidR="79C46CFE" w:rsidRPr="2384E2B6">
        <w:rPr>
          <w:rFonts w:ascii="Arial" w:eastAsia="MS Gothic" w:hAnsi="Arial"/>
        </w:rPr>
        <w:t xml:space="preserve">The original budget envelope for the FSU was the same as under the predecessor program (ASIRF) not withstanding additional responsibilities added through the design. </w:t>
      </w:r>
      <w:r w:rsidRPr="2384E2B6">
        <w:rPr>
          <w:rFonts w:ascii="Arial" w:eastAsia="MS Gothic" w:hAnsi="Arial"/>
        </w:rPr>
        <w:t xml:space="preserve">While </w:t>
      </w:r>
      <w:r w:rsidR="640033DD" w:rsidRPr="2384E2B6">
        <w:rPr>
          <w:rFonts w:ascii="Arial" w:eastAsia="MS Gothic" w:hAnsi="Arial"/>
        </w:rPr>
        <w:t>the facility</w:t>
      </w:r>
      <w:r w:rsidRPr="0A2401E7">
        <w:rPr>
          <w:rFonts w:ascii="Arial" w:eastAsia="MS Gothic" w:hAnsi="Arial"/>
        </w:rPr>
        <w:t xml:space="preserve"> has adapted impressively, doing a lot quickly and at scale has come at a cost. </w:t>
      </w:r>
      <w:r w:rsidR="00310F60" w:rsidRPr="00310F60">
        <w:rPr>
          <w:rFonts w:ascii="Arial" w:eastAsia="MS Gothic" w:hAnsi="Arial"/>
        </w:rPr>
        <w:t>This includes limited bandwidth to install program management and human resources (HR) information systems, incomplete implementation of knowledge-sharing approaches, less space to use learning to adapt SO implementation, and pressure on procurement and grants management.</w:t>
      </w:r>
      <w:r w:rsidR="00310F60">
        <w:rPr>
          <w:rFonts w:ascii="Arial" w:eastAsia="MS Gothic" w:hAnsi="Arial"/>
        </w:rPr>
        <w:t xml:space="preserve"> L</w:t>
      </w:r>
      <w:r w:rsidRPr="0A2401E7">
        <w:rPr>
          <w:rFonts w:ascii="Arial" w:eastAsia="MS Gothic" w:hAnsi="Arial"/>
        </w:rPr>
        <w:t xml:space="preserve">arger </w:t>
      </w:r>
      <w:r w:rsidR="0094729C" w:rsidRPr="0A2401E7">
        <w:rPr>
          <w:rFonts w:ascii="Arial" w:eastAsia="MS Gothic" w:hAnsi="Arial"/>
        </w:rPr>
        <w:t>SOs</w:t>
      </w:r>
      <w:r w:rsidRPr="0A2401E7">
        <w:rPr>
          <w:rFonts w:ascii="Arial" w:eastAsia="MS Gothic" w:hAnsi="Arial"/>
        </w:rPr>
        <w:t xml:space="preserve"> </w:t>
      </w:r>
      <w:r w:rsidR="00310F60">
        <w:rPr>
          <w:rFonts w:ascii="Arial" w:eastAsia="MS Gothic" w:hAnsi="Arial"/>
        </w:rPr>
        <w:t xml:space="preserve">can </w:t>
      </w:r>
      <w:r w:rsidRPr="0A2401E7">
        <w:rPr>
          <w:rFonts w:ascii="Arial" w:eastAsia="MS Gothic" w:hAnsi="Arial"/>
        </w:rPr>
        <w:t xml:space="preserve">build in </w:t>
      </w:r>
      <w:r w:rsidR="00310F60" w:rsidRPr="00310F60">
        <w:rPr>
          <w:rFonts w:ascii="Arial" w:eastAsia="MS Gothic" w:hAnsi="Arial"/>
        </w:rPr>
        <w:t>dedicated</w:t>
      </w:r>
      <w:r w:rsidR="00310F60">
        <w:rPr>
          <w:rFonts w:ascii="Arial" w:eastAsia="MS Gothic" w:hAnsi="Arial"/>
        </w:rPr>
        <w:t xml:space="preserve"> </w:t>
      </w:r>
      <w:r w:rsidRPr="0A2401E7">
        <w:rPr>
          <w:rFonts w:ascii="Arial" w:eastAsia="MS Gothic" w:hAnsi="Arial"/>
        </w:rPr>
        <w:t xml:space="preserve">resourcing, </w:t>
      </w:r>
      <w:r w:rsidR="00310F60">
        <w:rPr>
          <w:rFonts w:ascii="Arial" w:eastAsia="MS Gothic" w:hAnsi="Arial"/>
        </w:rPr>
        <w:t>including</w:t>
      </w:r>
      <w:r w:rsidRPr="0A2401E7">
        <w:rPr>
          <w:rFonts w:ascii="Arial" w:eastAsia="MS Gothic" w:hAnsi="Arial"/>
        </w:rPr>
        <w:t xml:space="preserve"> for </w:t>
      </w:r>
      <w:r w:rsidR="009E3690">
        <w:rPr>
          <w:rFonts w:ascii="Arial" w:eastAsia="MS Gothic" w:hAnsi="Arial"/>
        </w:rPr>
        <w:t>monitoring, evaluation and learning (</w:t>
      </w:r>
      <w:r w:rsidRPr="0A2401E7">
        <w:rPr>
          <w:rFonts w:ascii="Arial" w:eastAsia="MS Gothic" w:hAnsi="Arial"/>
        </w:rPr>
        <w:t>MEL</w:t>
      </w:r>
      <w:r w:rsidR="009E3690">
        <w:rPr>
          <w:rFonts w:ascii="Arial" w:eastAsia="MS Gothic" w:hAnsi="Arial"/>
        </w:rPr>
        <w:t>)</w:t>
      </w:r>
      <w:r w:rsidRPr="0A2401E7">
        <w:rPr>
          <w:rFonts w:ascii="Arial" w:eastAsia="MS Gothic" w:hAnsi="Arial"/>
        </w:rPr>
        <w:t xml:space="preserve">, </w:t>
      </w:r>
      <w:r w:rsidR="00310F60">
        <w:rPr>
          <w:rFonts w:ascii="Arial" w:eastAsia="MS Gothic" w:hAnsi="Arial"/>
        </w:rPr>
        <w:t xml:space="preserve">while </w:t>
      </w:r>
      <w:r w:rsidR="1457357E" w:rsidRPr="0A2401E7">
        <w:rPr>
          <w:rFonts w:ascii="Arial" w:eastAsia="MS Gothic" w:hAnsi="Arial"/>
        </w:rPr>
        <w:t xml:space="preserve">smaller SOs </w:t>
      </w:r>
      <w:r w:rsidR="00310F60">
        <w:rPr>
          <w:rFonts w:ascii="Arial" w:eastAsia="MS Gothic" w:hAnsi="Arial"/>
        </w:rPr>
        <w:t>often need</w:t>
      </w:r>
      <w:r w:rsidR="1457357E" w:rsidRPr="0A2401E7">
        <w:rPr>
          <w:rFonts w:ascii="Arial" w:eastAsia="MS Gothic" w:hAnsi="Arial"/>
        </w:rPr>
        <w:t xml:space="preserve"> to wait for access to a shared resource. </w:t>
      </w:r>
      <w:r w:rsidRPr="0A2401E7">
        <w:rPr>
          <w:rFonts w:ascii="Arial" w:eastAsia="MS Gothic" w:hAnsi="Arial"/>
        </w:rPr>
        <w:t xml:space="preserve">Across the </w:t>
      </w:r>
      <w:r w:rsidR="00231862">
        <w:rPr>
          <w:rFonts w:ascii="Arial" w:eastAsia="MS Gothic" w:hAnsi="Arial"/>
        </w:rPr>
        <w:t>f</w:t>
      </w:r>
      <w:r w:rsidRPr="0A2401E7">
        <w:rPr>
          <w:rFonts w:ascii="Arial" w:eastAsia="MS Gothic" w:hAnsi="Arial"/>
        </w:rPr>
        <w:t>acility, there was a sense of achievement but also fatigue.</w:t>
      </w:r>
    </w:p>
    <w:p w14:paraId="6AE09407" w14:textId="77777777" w:rsidR="00676BE2" w:rsidRPr="00BC7E1D" w:rsidRDefault="00676BE2" w:rsidP="00BC7E1D">
      <w:pPr>
        <w:pStyle w:val="Heading3NOTOC"/>
      </w:pPr>
      <w:r w:rsidRPr="00BC7E1D">
        <w:lastRenderedPageBreak/>
        <w:t>How to sustain momentum under constraint?</w:t>
      </w:r>
    </w:p>
    <w:p w14:paraId="1DD67AB1" w14:textId="41CCB4A7" w:rsidR="005F66D7" w:rsidRPr="005F66D7" w:rsidRDefault="00676BE2" w:rsidP="003D53C5">
      <w:pPr>
        <w:rPr>
          <w:rFonts w:ascii="Arial" w:eastAsia="MS Gothic" w:hAnsi="Arial"/>
        </w:rPr>
      </w:pPr>
      <w:r w:rsidRPr="0A2401E7">
        <w:rPr>
          <w:rFonts w:ascii="Arial" w:eastAsia="MS Gothic" w:hAnsi="Arial"/>
        </w:rPr>
        <w:t xml:space="preserve">The </w:t>
      </w:r>
      <w:r w:rsidR="0076727F">
        <w:rPr>
          <w:rFonts w:ascii="Arial" w:eastAsia="MS Gothic" w:hAnsi="Arial"/>
        </w:rPr>
        <w:t>review</w:t>
      </w:r>
      <w:r w:rsidRPr="0A2401E7">
        <w:rPr>
          <w:rFonts w:ascii="Arial" w:eastAsia="MS Gothic" w:hAnsi="Arial"/>
        </w:rPr>
        <w:t xml:space="preserve"> </w:t>
      </w:r>
      <w:r w:rsidRPr="0A2401E7">
        <w:rPr>
          <w:rFonts w:ascii="Arial" w:eastAsia="MS Gothic" w:hAnsi="Arial"/>
          <w:lang w:val="en-US"/>
        </w:rPr>
        <w:t>acknowledges that DFAT and ASIPS+ management are considering options to respond to greater utili</w:t>
      </w:r>
      <w:r w:rsidR="005F66D7">
        <w:rPr>
          <w:rFonts w:ascii="Arial" w:eastAsia="MS Gothic" w:hAnsi="Arial"/>
          <w:lang w:val="en-US"/>
        </w:rPr>
        <w:t>s</w:t>
      </w:r>
      <w:r w:rsidRPr="0A2401E7">
        <w:rPr>
          <w:rFonts w:ascii="Arial" w:eastAsia="MS Gothic" w:hAnsi="Arial"/>
          <w:lang w:val="en-US"/>
        </w:rPr>
        <w:t xml:space="preserve">ation of the </w:t>
      </w:r>
      <w:r w:rsidR="00231862">
        <w:rPr>
          <w:rFonts w:ascii="Arial" w:eastAsia="MS Gothic" w:hAnsi="Arial"/>
          <w:lang w:val="en-US"/>
        </w:rPr>
        <w:t>f</w:t>
      </w:r>
      <w:r w:rsidRPr="0A2401E7">
        <w:rPr>
          <w:rFonts w:ascii="Arial" w:eastAsia="MS Gothic" w:hAnsi="Arial"/>
          <w:lang w:val="en-US"/>
        </w:rPr>
        <w:t>acility than originally forecast</w:t>
      </w:r>
      <w:r w:rsidR="00E90A37">
        <w:rPr>
          <w:rFonts w:ascii="Arial" w:eastAsia="MS Gothic" w:hAnsi="Arial"/>
          <w:lang w:val="en-US"/>
        </w:rPr>
        <w:t>ed</w:t>
      </w:r>
      <w:r w:rsidRPr="0A2401E7">
        <w:rPr>
          <w:rFonts w:ascii="Arial" w:eastAsia="MS Gothic" w:hAnsi="Arial"/>
          <w:lang w:val="en-US"/>
        </w:rPr>
        <w:t xml:space="preserve">. </w:t>
      </w:r>
      <w:r w:rsidR="005F66D7" w:rsidRPr="005F66D7">
        <w:rPr>
          <w:rFonts w:ascii="Arial" w:eastAsia="MS Gothic" w:hAnsi="Arial"/>
          <w:lang w:val="en-US"/>
        </w:rPr>
        <w:t xml:space="preserve">Timely decisions on future resourcing and delivery arrangements are critical to protect the results and relationships now being built. </w:t>
      </w:r>
      <w:r w:rsidR="005F66D7">
        <w:rPr>
          <w:rFonts w:ascii="Arial" w:eastAsia="MS Gothic" w:hAnsi="Arial"/>
        </w:rPr>
        <w:t>D</w:t>
      </w:r>
      <w:r w:rsidR="09119BDE" w:rsidRPr="0A2401E7">
        <w:rPr>
          <w:rFonts w:ascii="Arial" w:eastAsia="MS Gothic" w:hAnsi="Arial"/>
        </w:rPr>
        <w:t xml:space="preserve">elays </w:t>
      </w:r>
      <w:r w:rsidR="005F66D7">
        <w:rPr>
          <w:rFonts w:ascii="Arial" w:eastAsia="MS Gothic" w:hAnsi="Arial"/>
        </w:rPr>
        <w:t xml:space="preserve">could affect </w:t>
      </w:r>
      <w:r w:rsidR="005F66D7" w:rsidRPr="005F66D7">
        <w:rPr>
          <w:rFonts w:ascii="Arial" w:eastAsia="MS Gothic" w:hAnsi="Arial"/>
        </w:rPr>
        <w:t xml:space="preserve">ASIPS+’ ability to </w:t>
      </w:r>
      <w:r w:rsidRPr="0A2401E7">
        <w:rPr>
          <w:rFonts w:ascii="Arial" w:eastAsia="MS Gothic" w:hAnsi="Arial"/>
        </w:rPr>
        <w:t xml:space="preserve">deliver </w:t>
      </w:r>
      <w:r w:rsidR="005F66D7">
        <w:rPr>
          <w:rFonts w:ascii="Arial" w:eastAsia="MS Gothic" w:hAnsi="Arial"/>
        </w:rPr>
        <w:t>commitments</w:t>
      </w:r>
      <w:r w:rsidRPr="0A2401E7">
        <w:rPr>
          <w:rFonts w:ascii="Arial" w:eastAsia="MS Gothic" w:hAnsi="Arial"/>
        </w:rPr>
        <w:t xml:space="preserve"> to SIG, remaining responsive, sustaining momentum across </w:t>
      </w:r>
      <w:r w:rsidR="00E90A37">
        <w:rPr>
          <w:rFonts w:ascii="Arial" w:eastAsia="MS Gothic" w:hAnsi="Arial"/>
        </w:rPr>
        <w:t>SOs</w:t>
      </w:r>
      <w:r w:rsidRPr="0A2401E7">
        <w:rPr>
          <w:rFonts w:ascii="Arial" w:eastAsia="MS Gothic" w:hAnsi="Arial"/>
        </w:rPr>
        <w:t xml:space="preserve">, and retain staff. </w:t>
      </w:r>
    </w:p>
    <w:p w14:paraId="2767CF5C" w14:textId="775FCB49" w:rsidR="00676BE2" w:rsidRPr="00BC7E1D" w:rsidRDefault="00676BE2" w:rsidP="00BC7E1D">
      <w:pPr>
        <w:pStyle w:val="Heading3NOTOC"/>
      </w:pPr>
      <w:r w:rsidRPr="00BC7E1D">
        <w:t>An opportunity to consolidate success</w:t>
      </w:r>
    </w:p>
    <w:p w14:paraId="548AD5BC" w14:textId="20D9ED0A" w:rsidR="00676BE2" w:rsidRPr="007B07E6" w:rsidRDefault="00676BE2" w:rsidP="003D53C5">
      <w:pPr>
        <w:rPr>
          <w:rFonts w:ascii="Arial" w:eastAsia="MS Gothic" w:hAnsi="Arial"/>
        </w:rPr>
      </w:pPr>
      <w:r w:rsidRPr="0A2401E7">
        <w:rPr>
          <w:rFonts w:ascii="Arial" w:eastAsia="MS Gothic" w:hAnsi="Arial"/>
        </w:rPr>
        <w:t xml:space="preserve">The </w:t>
      </w:r>
      <w:r w:rsidR="0076727F">
        <w:rPr>
          <w:rFonts w:ascii="Arial" w:eastAsia="MS Gothic" w:hAnsi="Arial"/>
        </w:rPr>
        <w:t>review</w:t>
      </w:r>
      <w:r w:rsidRPr="0A2401E7">
        <w:rPr>
          <w:rFonts w:ascii="Arial" w:eastAsia="MS Gothic" w:hAnsi="Arial"/>
        </w:rPr>
        <w:t xml:space="preserve"> </w:t>
      </w:r>
      <w:r w:rsidRPr="007B07E6">
        <w:rPr>
          <w:rFonts w:ascii="Arial" w:eastAsia="MS Gothic" w:hAnsi="Arial"/>
        </w:rPr>
        <w:t xml:space="preserve">considers that ASIPS+ is approaching an inflection point in both budget and practice. </w:t>
      </w:r>
      <w:r w:rsidR="00E82550" w:rsidRPr="007B07E6">
        <w:rPr>
          <w:rFonts w:ascii="Arial" w:eastAsia="MS Gothic" w:hAnsi="Arial"/>
        </w:rPr>
        <w:t>Moving into the ASIPS+ extension period</w:t>
      </w:r>
      <w:r w:rsidRPr="007B07E6">
        <w:rPr>
          <w:rFonts w:ascii="Arial" w:eastAsia="MS Gothic" w:hAnsi="Arial"/>
        </w:rPr>
        <w:t xml:space="preserve"> also presents an opportunity to drive more efficient and sustainable use of resources. Continued modelling of spending scenarios (including where</w:t>
      </w:r>
      <w:r w:rsidR="2D0D97DC" w:rsidRPr="007B07E6">
        <w:rPr>
          <w:rFonts w:ascii="Arial" w:eastAsia="MS Gothic" w:hAnsi="Arial"/>
        </w:rPr>
        <w:t xml:space="preserve"> future </w:t>
      </w:r>
      <w:r w:rsidR="00910756" w:rsidRPr="007B07E6">
        <w:rPr>
          <w:rFonts w:ascii="Arial" w:eastAsia="MS Gothic" w:hAnsi="Arial"/>
        </w:rPr>
        <w:t>SOs</w:t>
      </w:r>
      <w:r w:rsidRPr="007B07E6">
        <w:rPr>
          <w:rFonts w:ascii="Arial" w:eastAsia="MS Gothic" w:hAnsi="Arial"/>
        </w:rPr>
        <w:t xml:space="preserve"> </w:t>
      </w:r>
      <w:r w:rsidR="1D8DC503" w:rsidRPr="007B07E6">
        <w:rPr>
          <w:rFonts w:ascii="Arial" w:eastAsia="MS Gothic" w:hAnsi="Arial"/>
        </w:rPr>
        <w:t xml:space="preserve">are </w:t>
      </w:r>
      <w:r w:rsidR="1D8DC503" w:rsidRPr="00F75A26">
        <w:rPr>
          <w:rFonts w:ascii="Arial" w:eastAsia="MS Gothic" w:hAnsi="Arial"/>
        </w:rPr>
        <w:t xml:space="preserve">expensed </w:t>
      </w:r>
      <w:r w:rsidRPr="00F75A26">
        <w:rPr>
          <w:rFonts w:ascii="Arial" w:eastAsia="MS Gothic" w:hAnsi="Arial"/>
        </w:rPr>
        <w:t>outside</w:t>
      </w:r>
      <w:r w:rsidR="2C65B946" w:rsidRPr="00F75A26">
        <w:rPr>
          <w:rFonts w:ascii="Arial" w:eastAsia="MS Gothic" w:hAnsi="Arial"/>
        </w:rPr>
        <w:t xml:space="preserve"> of</w:t>
      </w:r>
      <w:r w:rsidRPr="00F75A26">
        <w:rPr>
          <w:rFonts w:ascii="Arial" w:eastAsia="MS Gothic" w:hAnsi="Arial"/>
        </w:rPr>
        <w:t xml:space="preserve"> ASIPS+</w:t>
      </w:r>
      <w:r w:rsidRPr="007B07E6">
        <w:rPr>
          <w:rFonts w:ascii="Arial" w:eastAsia="MS Gothic" w:hAnsi="Arial"/>
        </w:rPr>
        <w:t xml:space="preserve"> to allow fiscal space for emerging opportunities) will help inform AHC decision-making and manage stakeholder expectations.</w:t>
      </w:r>
    </w:p>
    <w:p w14:paraId="6D367AEA" w14:textId="7B56DF3A" w:rsidR="00676BE2" w:rsidRPr="005F66D7" w:rsidRDefault="00676BE2" w:rsidP="003D53C5">
      <w:pPr>
        <w:rPr>
          <w:rFonts w:ascii="Arial" w:eastAsia="MS Gothic" w:hAnsi="Arial"/>
        </w:rPr>
      </w:pPr>
      <w:r w:rsidRPr="007B07E6">
        <w:rPr>
          <w:rFonts w:ascii="Arial" w:eastAsia="MS Gothic" w:hAnsi="Arial"/>
        </w:rPr>
        <w:t xml:space="preserve">There is scope to streamline enabling functions. Prioritising integrated information systems for program management and </w:t>
      </w:r>
      <w:r w:rsidR="00910756" w:rsidRPr="007B07E6">
        <w:rPr>
          <w:rFonts w:ascii="Arial" w:eastAsia="MS Gothic" w:hAnsi="Arial"/>
        </w:rPr>
        <w:t xml:space="preserve">HR </w:t>
      </w:r>
      <w:r w:rsidRPr="007B07E6">
        <w:rPr>
          <w:rFonts w:ascii="Arial" w:eastAsia="MS Gothic" w:hAnsi="Arial"/>
        </w:rPr>
        <w:t>processes could save staff time and reduce routine glitches or oversights. In parallel, ASIPS+ could strengthen the learning-to-action dimension of MEL.</w:t>
      </w:r>
      <w:r w:rsidR="00BC7A31">
        <w:rPr>
          <w:rFonts w:ascii="Arial" w:eastAsia="MS Gothic" w:hAnsi="Arial"/>
        </w:rPr>
        <w:t xml:space="preserve"> </w:t>
      </w:r>
      <w:r w:rsidRPr="007B07E6">
        <w:rPr>
          <w:rFonts w:ascii="Arial" w:eastAsia="MS Gothic" w:hAnsi="Arial"/>
        </w:rPr>
        <w:t xml:space="preserve">The variety of approaches across </w:t>
      </w:r>
      <w:r w:rsidR="00910756" w:rsidRPr="007B07E6">
        <w:rPr>
          <w:rFonts w:ascii="Arial" w:eastAsia="MS Gothic" w:hAnsi="Arial"/>
        </w:rPr>
        <w:t>SOs</w:t>
      </w:r>
      <w:r w:rsidRPr="007B07E6">
        <w:rPr>
          <w:rFonts w:ascii="Arial" w:eastAsia="MS Gothic" w:hAnsi="Arial"/>
        </w:rPr>
        <w:t xml:space="preserve"> is a strength, but all MEL systems ultimately need grounded feedback to </w:t>
      </w:r>
      <w:r w:rsidRPr="005F66D7">
        <w:rPr>
          <w:rFonts w:ascii="Arial" w:eastAsia="MS Gothic" w:hAnsi="Arial"/>
        </w:rPr>
        <w:t xml:space="preserve">inform </w:t>
      </w:r>
      <w:r w:rsidR="00910756" w:rsidRPr="005F66D7">
        <w:rPr>
          <w:rFonts w:ascii="Arial" w:eastAsia="MS Gothic" w:hAnsi="Arial"/>
        </w:rPr>
        <w:t>reporting</w:t>
      </w:r>
      <w:r w:rsidRPr="005F66D7">
        <w:rPr>
          <w:rFonts w:ascii="Arial" w:eastAsia="MS Gothic" w:hAnsi="Arial"/>
        </w:rPr>
        <w:t xml:space="preserve"> and adaptation. Additional MEL support, particularly for smaller </w:t>
      </w:r>
      <w:r w:rsidR="00910756" w:rsidRPr="005F66D7">
        <w:rPr>
          <w:rFonts w:ascii="Arial" w:eastAsia="MS Gothic" w:hAnsi="Arial"/>
        </w:rPr>
        <w:t>SOs</w:t>
      </w:r>
      <w:r w:rsidRPr="005F66D7">
        <w:rPr>
          <w:rFonts w:ascii="Arial" w:eastAsia="MS Gothic" w:hAnsi="Arial"/>
        </w:rPr>
        <w:t xml:space="preserve">, could help protect quality while the facility </w:t>
      </w:r>
      <w:r w:rsidR="00BC7A31">
        <w:rPr>
          <w:rFonts w:ascii="Arial" w:eastAsia="MS Gothic" w:hAnsi="Arial"/>
        </w:rPr>
        <w:t>is</w:t>
      </w:r>
      <w:r w:rsidRPr="005F66D7">
        <w:rPr>
          <w:rFonts w:ascii="Arial" w:eastAsia="MS Gothic" w:hAnsi="Arial"/>
        </w:rPr>
        <w:t xml:space="preserve"> under pressure.</w:t>
      </w:r>
    </w:p>
    <w:p w14:paraId="5E16593E" w14:textId="10435920" w:rsidR="00676BE2" w:rsidRDefault="005F66D7" w:rsidP="003D53C5">
      <w:pPr>
        <w:rPr>
          <w:rFonts w:eastAsia="MS Gothic"/>
        </w:rPr>
      </w:pPr>
      <w:r>
        <w:rPr>
          <w:rFonts w:eastAsia="MS Gothic"/>
        </w:rPr>
        <w:t>T</w:t>
      </w:r>
      <w:r w:rsidR="2D6FF522" w:rsidRPr="005F66D7">
        <w:rPr>
          <w:rFonts w:eastAsia="MS Gothic"/>
        </w:rPr>
        <w:t xml:space="preserve">he inflection point </w:t>
      </w:r>
      <w:r w:rsidRPr="005F66D7">
        <w:rPr>
          <w:rFonts w:eastAsia="MS Gothic"/>
        </w:rPr>
        <w:t>also requires</w:t>
      </w:r>
      <w:r w:rsidRPr="005F66D7" w:rsidDel="005F66D7">
        <w:rPr>
          <w:rFonts w:eastAsia="MS Gothic"/>
        </w:rPr>
        <w:t xml:space="preserve"> </w:t>
      </w:r>
      <w:r>
        <w:rPr>
          <w:rFonts w:eastAsia="MS Gothic"/>
        </w:rPr>
        <w:t>a stronger shared</w:t>
      </w:r>
      <w:r w:rsidR="51C164E0" w:rsidRPr="005F66D7">
        <w:rPr>
          <w:rFonts w:eastAsia="MS Gothic"/>
        </w:rPr>
        <w:t xml:space="preserve"> </w:t>
      </w:r>
      <w:r w:rsidR="2D6FF522" w:rsidRPr="005F66D7">
        <w:rPr>
          <w:rFonts w:eastAsia="MS Gothic"/>
        </w:rPr>
        <w:t xml:space="preserve">awareness </w:t>
      </w:r>
      <w:r>
        <w:rPr>
          <w:rFonts w:eastAsia="MS Gothic"/>
        </w:rPr>
        <w:t>of</w:t>
      </w:r>
      <w:r w:rsidR="2D6FF522" w:rsidRPr="005F66D7">
        <w:rPr>
          <w:rFonts w:eastAsia="MS Gothic"/>
        </w:rPr>
        <w:t xml:space="preserve"> the need to limit </w:t>
      </w:r>
      <w:r>
        <w:rPr>
          <w:rFonts w:eastAsia="MS Gothic"/>
        </w:rPr>
        <w:t>avoidable ‘</w:t>
      </w:r>
      <w:r w:rsidR="2D6FF522" w:rsidRPr="005F66D7">
        <w:rPr>
          <w:rFonts w:eastAsia="MS Gothic"/>
        </w:rPr>
        <w:t>wear and tear</w:t>
      </w:r>
      <w:r>
        <w:rPr>
          <w:rFonts w:eastAsia="MS Gothic"/>
        </w:rPr>
        <w:t>’</w:t>
      </w:r>
      <w:r w:rsidR="2D6FF522" w:rsidRPr="005F66D7">
        <w:rPr>
          <w:rFonts w:eastAsia="MS Gothic"/>
        </w:rPr>
        <w:t xml:space="preserve"> on the </w:t>
      </w:r>
      <w:r w:rsidR="005B6E73">
        <w:rPr>
          <w:rFonts w:eastAsia="MS Gothic"/>
        </w:rPr>
        <w:t>f</w:t>
      </w:r>
      <w:r w:rsidR="2D6FF522" w:rsidRPr="005F66D7">
        <w:rPr>
          <w:rFonts w:eastAsia="MS Gothic"/>
        </w:rPr>
        <w:t xml:space="preserve">acility. </w:t>
      </w:r>
      <w:r w:rsidR="005B6E73">
        <w:rPr>
          <w:rFonts w:eastAsia="MS Gothic"/>
        </w:rPr>
        <w:t>T</w:t>
      </w:r>
      <w:r w:rsidR="2D6FF522" w:rsidRPr="005F66D7">
        <w:rPr>
          <w:rFonts w:eastAsia="MS Gothic"/>
        </w:rPr>
        <w:t>his work culture shift could be supported</w:t>
      </w:r>
      <w:r w:rsidR="749EA0B6" w:rsidRPr="005F66D7">
        <w:rPr>
          <w:rFonts w:eastAsia="MS Gothic"/>
        </w:rPr>
        <w:t xml:space="preserve"> </w:t>
      </w:r>
      <w:r w:rsidR="005B6E73" w:rsidRPr="005F66D7">
        <w:rPr>
          <w:rFonts w:eastAsia="MS Gothic"/>
        </w:rPr>
        <w:t xml:space="preserve">through more explicit </w:t>
      </w:r>
      <w:r w:rsidR="2D6FF522" w:rsidRPr="005F66D7">
        <w:rPr>
          <w:rFonts w:eastAsia="MS Gothic"/>
        </w:rPr>
        <w:t xml:space="preserve">reporting to the SOG </w:t>
      </w:r>
      <w:r w:rsidR="005B6E73">
        <w:rPr>
          <w:rFonts w:eastAsia="MS Gothic"/>
        </w:rPr>
        <w:t>on</w:t>
      </w:r>
      <w:r w:rsidR="2D6FF522" w:rsidRPr="005F66D7">
        <w:rPr>
          <w:rFonts w:eastAsia="MS Gothic"/>
        </w:rPr>
        <w:t xml:space="preserve"> where the </w:t>
      </w:r>
      <w:r w:rsidR="351CBC63" w:rsidRPr="005F66D7">
        <w:rPr>
          <w:rFonts w:eastAsia="MS Gothic"/>
        </w:rPr>
        <w:t>SOs</w:t>
      </w:r>
      <w:r w:rsidR="2D6FF522" w:rsidRPr="005F66D7">
        <w:rPr>
          <w:rFonts w:eastAsia="MS Gothic"/>
        </w:rPr>
        <w:t xml:space="preserve"> under development exceed </w:t>
      </w:r>
      <w:r w:rsidR="011C5318" w:rsidRPr="005F66D7">
        <w:rPr>
          <w:rFonts w:eastAsia="MS Gothic"/>
        </w:rPr>
        <w:t xml:space="preserve">planned </w:t>
      </w:r>
      <w:r w:rsidR="005B6E73" w:rsidRPr="005F66D7">
        <w:rPr>
          <w:rFonts w:eastAsia="MS Gothic"/>
        </w:rPr>
        <w:t xml:space="preserve">lifecycle </w:t>
      </w:r>
      <w:r w:rsidR="2D6FF522" w:rsidRPr="005F66D7">
        <w:rPr>
          <w:rFonts w:eastAsia="MS Gothic"/>
        </w:rPr>
        <w:t xml:space="preserve">timeframes, payments exceed terms, or other practices that place higher demands on </w:t>
      </w:r>
      <w:r w:rsidR="003F0A67" w:rsidRPr="005F66D7">
        <w:rPr>
          <w:rFonts w:eastAsia="MS Gothic"/>
        </w:rPr>
        <w:t>f</w:t>
      </w:r>
      <w:r w:rsidR="2D6FF522" w:rsidRPr="005F66D7">
        <w:rPr>
          <w:rFonts w:eastAsia="MS Gothic"/>
        </w:rPr>
        <w:t>acility</w:t>
      </w:r>
      <w:r w:rsidR="005B6E73">
        <w:rPr>
          <w:rFonts w:eastAsia="MS Gothic"/>
        </w:rPr>
        <w:t xml:space="preserve"> resources</w:t>
      </w:r>
      <w:r w:rsidR="2D6FF522" w:rsidRPr="005F66D7">
        <w:rPr>
          <w:rFonts w:eastAsia="MS Gothic"/>
        </w:rPr>
        <w:t xml:space="preserve">. </w:t>
      </w:r>
      <w:r w:rsidR="36F612B8" w:rsidRPr="005F66D7">
        <w:rPr>
          <w:rFonts w:eastAsia="MS Gothic"/>
        </w:rPr>
        <w:t>The facility could</w:t>
      </w:r>
      <w:r w:rsidR="005B6E73">
        <w:rPr>
          <w:rFonts w:eastAsia="MS Gothic"/>
        </w:rPr>
        <w:t xml:space="preserve"> </w:t>
      </w:r>
      <w:r w:rsidR="0179F132" w:rsidRPr="005F66D7">
        <w:rPr>
          <w:rFonts w:eastAsia="MS Gothic"/>
        </w:rPr>
        <w:t xml:space="preserve">improve </w:t>
      </w:r>
      <w:r w:rsidR="36F612B8" w:rsidRPr="005F66D7">
        <w:rPr>
          <w:rFonts w:eastAsia="MS Gothic"/>
        </w:rPr>
        <w:t xml:space="preserve">reporting indicators </w:t>
      </w:r>
      <w:r w:rsidR="5BA2C09E" w:rsidRPr="005F66D7">
        <w:rPr>
          <w:rFonts w:eastAsia="MS Gothic"/>
        </w:rPr>
        <w:t xml:space="preserve">for </w:t>
      </w:r>
      <w:r w:rsidR="36F612B8" w:rsidRPr="005F66D7">
        <w:rPr>
          <w:rFonts w:eastAsia="MS Gothic"/>
        </w:rPr>
        <w:t>SOs</w:t>
      </w:r>
      <w:r w:rsidR="31C0F17E" w:rsidRPr="005F66D7">
        <w:rPr>
          <w:rFonts w:eastAsia="MS Gothic"/>
        </w:rPr>
        <w:t xml:space="preserve"> that</w:t>
      </w:r>
      <w:r w:rsidR="36F612B8" w:rsidRPr="005F66D7">
        <w:rPr>
          <w:rFonts w:eastAsia="MS Gothic"/>
        </w:rPr>
        <w:t xml:space="preserve"> are off tra</w:t>
      </w:r>
      <w:r w:rsidR="70BE1409" w:rsidRPr="005F66D7">
        <w:rPr>
          <w:rFonts w:eastAsia="MS Gothic"/>
        </w:rPr>
        <w:t xml:space="preserve">ck or delayed. </w:t>
      </w:r>
      <w:r w:rsidR="2D6FF522" w:rsidRPr="005F66D7">
        <w:rPr>
          <w:rFonts w:eastAsia="MS Gothic"/>
        </w:rPr>
        <w:t>T</w:t>
      </w:r>
      <w:r w:rsidR="14C1A2C6" w:rsidRPr="005F66D7">
        <w:rPr>
          <w:rFonts w:eastAsia="MS Gothic"/>
        </w:rPr>
        <w:t>h</w:t>
      </w:r>
      <w:r w:rsidR="00BC7A31">
        <w:rPr>
          <w:rFonts w:eastAsia="MS Gothic"/>
        </w:rPr>
        <w:t xml:space="preserve">is </w:t>
      </w:r>
      <w:r w:rsidR="005B6E73">
        <w:rPr>
          <w:rFonts w:eastAsia="MS Gothic"/>
        </w:rPr>
        <w:t xml:space="preserve">would </w:t>
      </w:r>
      <w:r w:rsidR="2D6FF522" w:rsidRPr="005F66D7">
        <w:rPr>
          <w:rFonts w:eastAsia="MS Gothic"/>
        </w:rPr>
        <w:t xml:space="preserve">provide more visibility </w:t>
      </w:r>
      <w:r w:rsidR="7D13495A" w:rsidRPr="005F66D7">
        <w:rPr>
          <w:rFonts w:eastAsia="MS Gothic"/>
        </w:rPr>
        <w:t xml:space="preserve">for </w:t>
      </w:r>
      <w:r w:rsidR="005B6E73">
        <w:rPr>
          <w:rFonts w:eastAsia="MS Gothic"/>
        </w:rPr>
        <w:t xml:space="preserve">timely </w:t>
      </w:r>
      <w:r w:rsidR="7D13495A" w:rsidRPr="005F66D7">
        <w:rPr>
          <w:rFonts w:eastAsia="MS Gothic"/>
        </w:rPr>
        <w:t xml:space="preserve">management responses and </w:t>
      </w:r>
      <w:r w:rsidR="005B6E73">
        <w:rPr>
          <w:rFonts w:eastAsia="MS Gothic"/>
        </w:rPr>
        <w:t xml:space="preserve">better </w:t>
      </w:r>
      <w:r w:rsidR="7D13495A" w:rsidRPr="005F66D7">
        <w:rPr>
          <w:rFonts w:eastAsia="MS Gothic"/>
        </w:rPr>
        <w:t xml:space="preserve">inform </w:t>
      </w:r>
      <w:r w:rsidR="5971B4F6" w:rsidRPr="005F66D7">
        <w:rPr>
          <w:rFonts w:eastAsia="MS Gothic"/>
        </w:rPr>
        <w:t>DFAT</w:t>
      </w:r>
      <w:r w:rsidR="7D13495A" w:rsidRPr="005F66D7">
        <w:rPr>
          <w:rFonts w:eastAsia="MS Gothic"/>
        </w:rPr>
        <w:t xml:space="preserve"> executive</w:t>
      </w:r>
      <w:r w:rsidR="005B6E73">
        <w:rPr>
          <w:rFonts w:eastAsia="MS Gothic"/>
        </w:rPr>
        <w:t xml:space="preserve"> </w:t>
      </w:r>
      <w:r w:rsidR="005B6E73" w:rsidRPr="005F66D7">
        <w:rPr>
          <w:rFonts w:eastAsia="MS Gothic"/>
        </w:rPr>
        <w:t>decision-makin</w:t>
      </w:r>
      <w:r w:rsidR="005B6E73">
        <w:rPr>
          <w:rFonts w:eastAsia="MS Gothic"/>
        </w:rPr>
        <w:t>g</w:t>
      </w:r>
      <w:r w:rsidR="7D13495A" w:rsidRPr="005F66D7">
        <w:rPr>
          <w:rFonts w:eastAsia="MS Gothic"/>
        </w:rPr>
        <w:t xml:space="preserve">, including allowing leeway if deemed appropriate. </w:t>
      </w:r>
    </w:p>
    <w:p w14:paraId="1A6A91A4" w14:textId="77777777" w:rsidR="00676BE2" w:rsidRPr="00BC7E1D" w:rsidRDefault="00676BE2" w:rsidP="00BC7E1D">
      <w:pPr>
        <w:pStyle w:val="Heading3NOTOC"/>
      </w:pPr>
      <w:r w:rsidRPr="00BC7E1D">
        <w:t>Post, host government and a large flexible facility</w:t>
      </w:r>
    </w:p>
    <w:p w14:paraId="750096BF" w14:textId="76B2D07E" w:rsidR="00E6123B" w:rsidRPr="005C3EBF" w:rsidRDefault="00676BE2" w:rsidP="003D53C5">
      <w:pPr>
        <w:rPr>
          <w:rFonts w:ascii="Arial" w:eastAsia="MS Gothic" w:hAnsi="Arial"/>
        </w:rPr>
      </w:pPr>
      <w:r w:rsidRPr="72224989">
        <w:rPr>
          <w:rFonts w:ascii="Arial" w:eastAsia="MS Gothic" w:hAnsi="Arial"/>
        </w:rPr>
        <w:t>AHC and ASIPS+ have establish</w:t>
      </w:r>
      <w:r w:rsidR="00E6123B">
        <w:rPr>
          <w:rFonts w:ascii="Arial" w:eastAsia="MS Gothic" w:hAnsi="Arial"/>
        </w:rPr>
        <w:t>ed</w:t>
      </w:r>
      <w:r w:rsidRPr="72224989">
        <w:rPr>
          <w:rFonts w:ascii="Arial" w:eastAsia="MS Gothic" w:hAnsi="Arial"/>
        </w:rPr>
        <w:t xml:space="preserve"> practices that </w:t>
      </w:r>
      <w:r w:rsidR="00E6123B" w:rsidRPr="00E6123B">
        <w:rPr>
          <w:rFonts w:ascii="Arial" w:eastAsia="MS Gothic" w:hAnsi="Arial"/>
          <w:lang w:val="en-AU"/>
        </w:rPr>
        <w:t>strengthen</w:t>
      </w:r>
      <w:r w:rsidR="00E6123B" w:rsidRPr="72224989" w:rsidDel="00E6123B">
        <w:rPr>
          <w:rFonts w:ascii="Arial" w:eastAsia="MS Gothic" w:hAnsi="Arial"/>
        </w:rPr>
        <w:t xml:space="preserve"> </w:t>
      </w:r>
      <w:r w:rsidRPr="72224989">
        <w:rPr>
          <w:rFonts w:ascii="Arial" w:eastAsia="MS Gothic" w:hAnsi="Arial"/>
        </w:rPr>
        <w:t xml:space="preserve">senior-level engagement with SIG. This includes senior AHC engagement with ministers to secure contribution and buy-in, followed by engagement with officials at </w:t>
      </w:r>
      <w:r w:rsidR="00E6123B" w:rsidRPr="00E6123B">
        <w:rPr>
          <w:rFonts w:ascii="Arial" w:eastAsia="MS Gothic" w:hAnsi="Arial"/>
          <w:lang w:val="en-AU"/>
        </w:rPr>
        <w:t>relevant</w:t>
      </w:r>
      <w:r w:rsidRPr="72224989">
        <w:rPr>
          <w:rFonts w:ascii="Arial" w:eastAsia="MS Gothic" w:hAnsi="Arial"/>
        </w:rPr>
        <w:t xml:space="preserve"> levels. Communication has also improved through</w:t>
      </w:r>
      <w:r w:rsidR="00E6123B">
        <w:rPr>
          <w:rFonts w:ascii="Arial" w:eastAsia="MS Gothic" w:hAnsi="Arial"/>
        </w:rPr>
        <w:t xml:space="preserve"> the</w:t>
      </w:r>
      <w:r w:rsidRPr="72224989">
        <w:rPr>
          <w:rFonts w:ascii="Arial" w:eastAsia="MS Gothic" w:hAnsi="Arial"/>
        </w:rPr>
        <w:t xml:space="preserve"> SOG</w:t>
      </w:r>
      <w:r w:rsidR="00F64E8A" w:rsidRPr="72224989">
        <w:rPr>
          <w:rFonts w:ascii="Arial" w:eastAsia="MS Gothic" w:hAnsi="Arial"/>
        </w:rPr>
        <w:t xml:space="preserve"> </w:t>
      </w:r>
      <w:r w:rsidR="009A0C52">
        <w:rPr>
          <w:rFonts w:ascii="Arial" w:eastAsia="MS Gothic" w:hAnsi="Arial"/>
        </w:rPr>
        <w:t xml:space="preserve">and </w:t>
      </w:r>
      <w:r w:rsidRPr="72224989">
        <w:rPr>
          <w:rFonts w:ascii="Arial" w:eastAsia="MS Gothic" w:hAnsi="Arial"/>
        </w:rPr>
        <w:t>working-level meetings.</w:t>
      </w:r>
      <w:r w:rsidR="30E7C955" w:rsidRPr="72224989">
        <w:rPr>
          <w:rFonts w:ascii="Arial" w:eastAsia="MS Gothic" w:hAnsi="Arial"/>
        </w:rPr>
        <w:t xml:space="preserve"> </w:t>
      </w:r>
      <w:r w:rsidR="00E6123B">
        <w:rPr>
          <w:rFonts w:ascii="Arial" w:eastAsia="MS Gothic" w:hAnsi="Arial"/>
        </w:rPr>
        <w:t>S</w:t>
      </w:r>
      <w:r w:rsidR="5D019A0C" w:rsidRPr="72224989">
        <w:rPr>
          <w:rFonts w:ascii="Arial" w:eastAsia="MS Gothic" w:hAnsi="Arial"/>
        </w:rPr>
        <w:t xml:space="preserve">takeholders </w:t>
      </w:r>
      <w:r w:rsidR="00E6123B">
        <w:rPr>
          <w:rFonts w:ascii="Arial" w:eastAsia="MS Gothic" w:hAnsi="Arial"/>
        </w:rPr>
        <w:t xml:space="preserve">described </w:t>
      </w:r>
      <w:r w:rsidR="00E6123B" w:rsidRPr="00E6123B">
        <w:rPr>
          <w:rFonts w:ascii="Arial" w:eastAsia="MS Gothic" w:hAnsi="Arial"/>
          <w:lang w:val="en-AU"/>
        </w:rPr>
        <w:t xml:space="preserve">the senior-level relationship </w:t>
      </w:r>
      <w:r w:rsidR="00E6123B">
        <w:rPr>
          <w:rFonts w:ascii="Arial" w:eastAsia="MS Gothic" w:hAnsi="Arial"/>
        </w:rPr>
        <w:t>as</w:t>
      </w:r>
      <w:r w:rsidR="5D019A0C" w:rsidRPr="72224989">
        <w:rPr>
          <w:rFonts w:ascii="Arial" w:eastAsia="MS Gothic" w:hAnsi="Arial"/>
        </w:rPr>
        <w:t xml:space="preserve"> constructive</w:t>
      </w:r>
      <w:r w:rsidR="205162D2" w:rsidRPr="72224989">
        <w:rPr>
          <w:rFonts w:ascii="Arial" w:eastAsia="MS Gothic" w:hAnsi="Arial"/>
        </w:rPr>
        <w:t xml:space="preserve">, </w:t>
      </w:r>
      <w:r w:rsidR="5D019A0C" w:rsidRPr="72224989">
        <w:rPr>
          <w:rFonts w:ascii="Arial" w:eastAsia="MS Gothic" w:hAnsi="Arial"/>
        </w:rPr>
        <w:t xml:space="preserve">practical </w:t>
      </w:r>
      <w:r w:rsidR="171497B6" w:rsidRPr="72224989">
        <w:rPr>
          <w:rFonts w:ascii="Arial" w:eastAsia="MS Gothic" w:hAnsi="Arial"/>
        </w:rPr>
        <w:t>and open</w:t>
      </w:r>
      <w:r w:rsidR="004A4A6A" w:rsidRPr="72224989">
        <w:rPr>
          <w:rFonts w:ascii="Arial" w:eastAsia="MS Gothic" w:hAnsi="Arial"/>
        </w:rPr>
        <w:t>.</w:t>
      </w:r>
      <w:r w:rsidR="009A0C52">
        <w:rPr>
          <w:rFonts w:ascii="Arial" w:eastAsia="MS Gothic" w:hAnsi="Arial"/>
        </w:rPr>
        <w:t xml:space="preserve"> </w:t>
      </w:r>
      <w:r w:rsidRPr="0A2401E7">
        <w:rPr>
          <w:rFonts w:ascii="Arial" w:eastAsia="MS Gothic" w:hAnsi="Arial"/>
        </w:rPr>
        <w:t xml:space="preserve">At the daily working level, however, it is common for a large facility to experience rub points with Post, including around communication with the host government. </w:t>
      </w:r>
      <w:r w:rsidR="009A0C52">
        <w:rPr>
          <w:rFonts w:ascii="Arial" w:eastAsia="MS Gothic" w:hAnsi="Arial"/>
        </w:rPr>
        <w:t>S</w:t>
      </w:r>
      <w:r w:rsidRPr="0A2401E7">
        <w:rPr>
          <w:rFonts w:ascii="Arial" w:eastAsia="MS Gothic" w:hAnsi="Arial"/>
        </w:rPr>
        <w:t xml:space="preserve">ome of these issues emerged in stakeholder consultations. </w:t>
      </w:r>
      <w:r w:rsidR="00BC7A31" w:rsidRPr="00E6123B">
        <w:rPr>
          <w:rFonts w:ascii="Arial" w:eastAsia="MS Gothic" w:hAnsi="Arial"/>
          <w:lang w:val="en-AU"/>
        </w:rPr>
        <w:t xml:space="preserve">Consultations identified areas requiring ongoing management: </w:t>
      </w:r>
      <w:r w:rsidR="00BC7A31">
        <w:rPr>
          <w:rFonts w:ascii="Arial" w:eastAsia="MS Gothic" w:hAnsi="Arial"/>
          <w:lang w:val="en-AU"/>
        </w:rPr>
        <w:t xml:space="preserve">ensuring </w:t>
      </w:r>
      <w:r w:rsidRPr="0A2401E7">
        <w:rPr>
          <w:rFonts w:ascii="Arial" w:eastAsia="MS Gothic" w:hAnsi="Arial"/>
        </w:rPr>
        <w:t>th</w:t>
      </w:r>
      <w:r w:rsidR="00BC7A31">
        <w:rPr>
          <w:rFonts w:ascii="Arial" w:eastAsia="MS Gothic" w:hAnsi="Arial"/>
        </w:rPr>
        <w:t>at ASIPS+</w:t>
      </w:r>
      <w:r w:rsidRPr="0A2401E7">
        <w:rPr>
          <w:rFonts w:ascii="Arial" w:eastAsia="MS Gothic" w:hAnsi="Arial"/>
        </w:rPr>
        <w:t xml:space="preserve"> and AHC </w:t>
      </w:r>
      <w:r w:rsidR="00BC7A31">
        <w:rPr>
          <w:rFonts w:ascii="Arial" w:eastAsia="MS Gothic" w:hAnsi="Arial"/>
        </w:rPr>
        <w:t xml:space="preserve">consult </w:t>
      </w:r>
      <w:r w:rsidRPr="0A2401E7">
        <w:rPr>
          <w:rFonts w:ascii="Arial" w:eastAsia="MS Gothic" w:hAnsi="Arial"/>
        </w:rPr>
        <w:t xml:space="preserve">before engaging SIG on formal proposals, </w:t>
      </w:r>
      <w:r w:rsidR="00BC7A31" w:rsidRPr="00E6123B">
        <w:rPr>
          <w:rFonts w:ascii="Arial" w:eastAsia="MS Gothic" w:hAnsi="Arial"/>
          <w:lang w:val="en-AU"/>
        </w:rPr>
        <w:t xml:space="preserve">clarifying for SIG counterparts </w:t>
      </w:r>
      <w:r w:rsidRPr="0A2401E7">
        <w:rPr>
          <w:rFonts w:ascii="Arial" w:eastAsia="MS Gothic" w:hAnsi="Arial"/>
        </w:rPr>
        <w:t xml:space="preserve">the respective roles of AHC and the facility at working level, and </w:t>
      </w:r>
      <w:r w:rsidR="00BC7A31" w:rsidRPr="00E6123B">
        <w:rPr>
          <w:rFonts w:ascii="Arial" w:eastAsia="MS Gothic" w:hAnsi="Arial"/>
          <w:lang w:val="en-AU"/>
        </w:rPr>
        <w:t xml:space="preserve">addressing </w:t>
      </w:r>
      <w:r w:rsidR="0038042E">
        <w:rPr>
          <w:rFonts w:ascii="Arial" w:eastAsia="MS Gothic" w:hAnsi="Arial"/>
          <w:lang w:val="en-AU"/>
        </w:rPr>
        <w:t xml:space="preserve">some </w:t>
      </w:r>
      <w:r w:rsidR="00BC7A31" w:rsidRPr="00E6123B">
        <w:rPr>
          <w:rFonts w:ascii="Arial" w:eastAsia="MS Gothic" w:hAnsi="Arial"/>
          <w:lang w:val="en-AU"/>
        </w:rPr>
        <w:t xml:space="preserve">perceptions </w:t>
      </w:r>
      <w:r w:rsidR="00BC7A31">
        <w:rPr>
          <w:rFonts w:ascii="Arial" w:eastAsia="MS Gothic" w:hAnsi="Arial"/>
        </w:rPr>
        <w:t>that</w:t>
      </w:r>
      <w:r w:rsidRPr="0A2401E7">
        <w:rPr>
          <w:rFonts w:ascii="Arial" w:eastAsia="MS Gothic" w:hAnsi="Arial"/>
        </w:rPr>
        <w:t xml:space="preserve"> facility resources </w:t>
      </w:r>
      <w:r w:rsidR="00BC7A31">
        <w:rPr>
          <w:rFonts w:ascii="Arial" w:eastAsia="MS Gothic" w:hAnsi="Arial"/>
        </w:rPr>
        <w:t xml:space="preserve">are </w:t>
      </w:r>
      <w:r w:rsidRPr="0A2401E7">
        <w:rPr>
          <w:rFonts w:ascii="Arial" w:eastAsia="MS Gothic" w:hAnsi="Arial"/>
        </w:rPr>
        <w:t>uneven</w:t>
      </w:r>
      <w:r w:rsidR="00BC7A31">
        <w:rPr>
          <w:rFonts w:ascii="Arial" w:eastAsia="MS Gothic" w:hAnsi="Arial"/>
        </w:rPr>
        <w:t>ly allocated</w:t>
      </w:r>
      <w:r w:rsidR="6E6840DA" w:rsidRPr="0A2401E7">
        <w:rPr>
          <w:rFonts w:ascii="Arial" w:eastAsia="MS Gothic" w:hAnsi="Arial"/>
        </w:rPr>
        <w:t xml:space="preserve"> across SOs</w:t>
      </w:r>
      <w:r w:rsidRPr="0A2401E7">
        <w:rPr>
          <w:rFonts w:ascii="Arial" w:eastAsia="MS Gothic" w:hAnsi="Arial"/>
        </w:rPr>
        <w:t xml:space="preserve">. These are not unusual issues, but they require </w:t>
      </w:r>
      <w:r w:rsidR="00BC7A31">
        <w:rPr>
          <w:rFonts w:ascii="Arial" w:eastAsia="MS Gothic" w:hAnsi="Arial"/>
        </w:rPr>
        <w:t xml:space="preserve">active </w:t>
      </w:r>
      <w:r w:rsidRPr="0A2401E7">
        <w:rPr>
          <w:rFonts w:ascii="Arial" w:eastAsia="MS Gothic" w:hAnsi="Arial"/>
        </w:rPr>
        <w:t>management</w:t>
      </w:r>
      <w:r w:rsidR="5C8C05E0" w:rsidRPr="0A2401E7">
        <w:rPr>
          <w:rFonts w:ascii="Arial" w:eastAsia="MS Gothic" w:hAnsi="Arial"/>
        </w:rPr>
        <w:t xml:space="preserve"> using </w:t>
      </w:r>
      <w:r w:rsidR="00BC7A31">
        <w:rPr>
          <w:rFonts w:ascii="Arial" w:eastAsia="MS Gothic" w:hAnsi="Arial"/>
        </w:rPr>
        <w:t xml:space="preserve">existing </w:t>
      </w:r>
      <w:r w:rsidR="5C8C05E0" w:rsidRPr="0A2401E7">
        <w:rPr>
          <w:rFonts w:ascii="Arial" w:eastAsia="MS Gothic" w:hAnsi="Arial"/>
        </w:rPr>
        <w:t>mechanisms.</w:t>
      </w:r>
    </w:p>
    <w:p w14:paraId="194EC41E" w14:textId="1E41C3DE" w:rsidR="00676BE2" w:rsidRPr="00550B3C" w:rsidRDefault="00676BE2" w:rsidP="00550B3C">
      <w:pPr>
        <w:pStyle w:val="Heading2"/>
      </w:pPr>
      <w:r w:rsidRPr="00550B3C">
        <w:t xml:space="preserve">Cross </w:t>
      </w:r>
      <w:r w:rsidR="00E61808">
        <w:t>cutting</w:t>
      </w:r>
      <w:r w:rsidRPr="00550B3C">
        <w:t xml:space="preserve"> </w:t>
      </w:r>
      <w:r w:rsidR="00E61808">
        <w:t>issues</w:t>
      </w:r>
    </w:p>
    <w:p w14:paraId="5DD12CC9" w14:textId="7D9900EF" w:rsidR="00E26514" w:rsidRPr="00E6123B" w:rsidRDefault="00BC7A31" w:rsidP="003D53C5">
      <w:r>
        <w:t xml:space="preserve">ASIPS+ </w:t>
      </w:r>
      <w:r w:rsidR="009A0C52">
        <w:t xml:space="preserve">has </w:t>
      </w:r>
      <w:r w:rsidR="00324FB6" w:rsidRPr="005036C6">
        <w:t>support</w:t>
      </w:r>
      <w:r w:rsidR="009A0C52">
        <w:t>ed</w:t>
      </w:r>
      <w:r w:rsidR="00324FB6" w:rsidRPr="005036C6">
        <w:t xml:space="preserve"> SOs to advance priorities in Australia’s International Development Policy, including gender equality, disability equity and rights, and climate change, notwithstanding the challenges discussed in the Cross-Cutting section. </w:t>
      </w:r>
      <w:r w:rsidR="45154656">
        <w:t>In many instances</w:t>
      </w:r>
      <w:r w:rsidR="5F4ACA84">
        <w:t>,</w:t>
      </w:r>
      <w:r w:rsidR="7268C968">
        <w:t xml:space="preserve"> l</w:t>
      </w:r>
      <w:r w:rsidR="4D29B630">
        <w:t xml:space="preserve">ocal stakeholders are cautious about the </w:t>
      </w:r>
      <w:r w:rsidR="4D29B630" w:rsidRPr="3E8F0A92">
        <w:rPr>
          <w:b/>
          <w:bCs/>
        </w:rPr>
        <w:t>inclusion</w:t>
      </w:r>
      <w:r w:rsidR="4D29B630">
        <w:t xml:space="preserve"> agenda, particular</w:t>
      </w:r>
      <w:r w:rsidR="734E3B39">
        <w:t>ly</w:t>
      </w:r>
      <w:r w:rsidR="4D29B630">
        <w:t xml:space="preserve"> gender</w:t>
      </w:r>
      <w:r w:rsidR="00E6123B">
        <w:t xml:space="preserve"> equality</w:t>
      </w:r>
      <w:r w:rsidR="4D29B630">
        <w:t>. ASIPS+ has managed this by focusing on practical</w:t>
      </w:r>
      <w:r w:rsidR="00E26514">
        <w:t xml:space="preserve">, </w:t>
      </w:r>
      <w:r w:rsidR="00E26514" w:rsidRPr="00E26514">
        <w:t>locally relevant</w:t>
      </w:r>
      <w:r w:rsidR="4D29B630">
        <w:t xml:space="preserve"> </w:t>
      </w:r>
      <w:r w:rsidR="00E26514">
        <w:t>results rather</w:t>
      </w:r>
      <w:r w:rsidR="4D29B630">
        <w:t xml:space="preserve"> than high-level policy frameworks. Consultations </w:t>
      </w:r>
      <w:r w:rsidR="00E26514">
        <w:t>highlighted</w:t>
      </w:r>
      <w:r w:rsidR="4D29B630">
        <w:t xml:space="preserve"> widespread safeguards training, opportunities for </w:t>
      </w:r>
      <w:r w:rsidR="4D29B630" w:rsidRPr="3E8F0A92">
        <w:rPr>
          <w:b/>
          <w:bCs/>
        </w:rPr>
        <w:t>women</w:t>
      </w:r>
      <w:r w:rsidR="4D29B630">
        <w:t xml:space="preserve"> in occupations traditionally dominated by men, </w:t>
      </w:r>
      <w:r w:rsidR="00E6123B" w:rsidRPr="00E6123B">
        <w:t xml:space="preserve">support </w:t>
      </w:r>
      <w:r w:rsidR="4D29B630">
        <w:t>reproductive health</w:t>
      </w:r>
      <w:r w:rsidR="00E26514">
        <w:t xml:space="preserve"> </w:t>
      </w:r>
      <w:r w:rsidR="00E26514" w:rsidRPr="00E6123B">
        <w:t>support</w:t>
      </w:r>
      <w:r w:rsidR="4D29B630">
        <w:t xml:space="preserve">, and openings for people </w:t>
      </w:r>
      <w:r w:rsidR="00E6123B">
        <w:t xml:space="preserve">living </w:t>
      </w:r>
      <w:r w:rsidR="4D29B630">
        <w:t xml:space="preserve">with </w:t>
      </w:r>
      <w:r w:rsidR="4D29B630" w:rsidRPr="3E8F0A92">
        <w:rPr>
          <w:b/>
          <w:bCs/>
        </w:rPr>
        <w:t>disability</w:t>
      </w:r>
      <w:r w:rsidR="4D29B630">
        <w:t xml:space="preserve"> in the vocational sector. </w:t>
      </w:r>
      <w:r w:rsidR="00E6123B" w:rsidRPr="00E6123B">
        <w:rPr>
          <w:rFonts w:ascii="Arial" w:eastAsia="MS Gothic" w:hAnsi="Arial"/>
        </w:rPr>
        <w:t>Women’s empowerment and climate action are also supported through civil society organisations.</w:t>
      </w:r>
      <w:r w:rsidR="00E6123B" w:rsidRPr="00E6123B">
        <w:t xml:space="preserve"> </w:t>
      </w:r>
      <w:r w:rsidR="00E6123B">
        <w:t>This practical approach is well suited to the context</w:t>
      </w:r>
      <w:r w:rsidR="00E26514">
        <w:t xml:space="preserve"> </w:t>
      </w:r>
      <w:r w:rsidR="00E26514" w:rsidRPr="00E26514">
        <w:t>and has helped SOs make progress on cross-cutting priorities.</w:t>
      </w:r>
    </w:p>
    <w:p w14:paraId="3268A486" w14:textId="6F2504F0" w:rsidR="00676BE2" w:rsidRPr="00E6123B" w:rsidRDefault="4D29B630" w:rsidP="003D53C5">
      <w:pPr>
        <w:rPr>
          <w:rFonts w:ascii="Arial" w:eastAsia="MS Gothic" w:hAnsi="Arial"/>
        </w:rPr>
      </w:pPr>
      <w:r>
        <w:t xml:space="preserve">The </w:t>
      </w:r>
      <w:r w:rsidR="00E56106">
        <w:t>f</w:t>
      </w:r>
      <w:r>
        <w:t xml:space="preserve">acility has also fostered inclusion within its own workforce. </w:t>
      </w:r>
      <w:r w:rsidR="00E26514" w:rsidRPr="00E26514">
        <w:t xml:space="preserve">Having made progress internally, there is now </w:t>
      </w:r>
      <w:proofErr w:type="gramStart"/>
      <w:r w:rsidR="00E26514" w:rsidRPr="00E26514">
        <w:t>scope</w:t>
      </w:r>
      <w:proofErr w:type="gramEnd"/>
      <w:r w:rsidR="00E26514" w:rsidRPr="00E26514">
        <w:t xml:space="preserve"> to direct more support towards external-facing SO delivery</w:t>
      </w:r>
      <w:r w:rsidR="00E26514">
        <w:t xml:space="preserve">, </w:t>
      </w:r>
      <w:r w:rsidR="003F0A67" w:rsidRPr="003F0A67">
        <w:t>including MEL surges for smaller SOs working on inclusion.</w:t>
      </w:r>
      <w:r w:rsidR="003F0A67">
        <w:t xml:space="preserve"> </w:t>
      </w:r>
      <w:r w:rsidR="62134C57">
        <w:t xml:space="preserve">Localisation is the strongest performing of the cross-cutting elements. A highly responsive </w:t>
      </w:r>
      <w:r w:rsidR="003F0A67">
        <w:t>f</w:t>
      </w:r>
      <w:r w:rsidR="62134C57">
        <w:t xml:space="preserve">acility for ODA-funded interventions gives AHC the flexibility to prioritise local demands in the selection and adaptation of SOs. </w:t>
      </w:r>
      <w:r>
        <w:t xml:space="preserve">Positive feedback from SIG counterparts indicates </w:t>
      </w:r>
      <w:r w:rsidR="62134C57">
        <w:t xml:space="preserve">an </w:t>
      </w:r>
      <w:r w:rsidR="7335C826">
        <w:t xml:space="preserve">increased adoption of </w:t>
      </w:r>
      <w:r w:rsidR="7B10D818">
        <w:t xml:space="preserve">SIG </w:t>
      </w:r>
      <w:r w:rsidR="345BDF6E">
        <w:t>priorities.</w:t>
      </w:r>
      <w:r>
        <w:t xml:space="preserve"> </w:t>
      </w:r>
      <w:r w:rsidR="004C7792" w:rsidRPr="004C7792">
        <w:t>Maintaining this approach should remain a priority. Localisation could be further strengthened by ensuring SO reporting includes feedback from communities involved in, or affected by, implementation.</w:t>
      </w:r>
    </w:p>
    <w:p w14:paraId="07DC3A32" w14:textId="77777777" w:rsidR="00676BE2" w:rsidRPr="00550B3C" w:rsidRDefault="00676BE2" w:rsidP="00550B3C">
      <w:pPr>
        <w:pStyle w:val="Heading2"/>
      </w:pPr>
      <w:r w:rsidRPr="00550B3C">
        <w:t>Recommendations</w:t>
      </w:r>
    </w:p>
    <w:p w14:paraId="72AF977F" w14:textId="77777777" w:rsidR="004C7792" w:rsidRDefault="004C7792" w:rsidP="0A2401E7">
      <w:pPr>
        <w:spacing w:line="259" w:lineRule="auto"/>
      </w:pPr>
      <w:r w:rsidRPr="004C7792">
        <w:t>The main report sets out the full findings and recommendations. For this executive summary, the recommendation statements are reproduced in bold and followed by brief explanatory text.</w:t>
      </w:r>
    </w:p>
    <w:p w14:paraId="7F4E258D" w14:textId="7BB8F6EA" w:rsidR="528E2705" w:rsidRPr="004A4A6A" w:rsidRDefault="528E2705" w:rsidP="00BC7E1D">
      <w:pPr>
        <w:pStyle w:val="Heading3NOTOC"/>
      </w:pPr>
      <w:r w:rsidRPr="004A4A6A">
        <w:lastRenderedPageBreak/>
        <w:t xml:space="preserve">Confirm the </w:t>
      </w:r>
      <w:r w:rsidR="009A0C52">
        <w:t>s</w:t>
      </w:r>
      <w:r w:rsidRPr="004A4A6A">
        <w:t xml:space="preserve">cope of the </w:t>
      </w:r>
      <w:r w:rsidR="009A0C52">
        <w:t>f</w:t>
      </w:r>
      <w:r w:rsidRPr="004A4A6A">
        <w:t xml:space="preserve">acility for the </w:t>
      </w:r>
      <w:r w:rsidR="009A0C52">
        <w:t>r</w:t>
      </w:r>
      <w:r w:rsidRPr="004A4A6A">
        <w:t xml:space="preserve">emaining </w:t>
      </w:r>
      <w:r w:rsidR="009A0C52">
        <w:t>p</w:t>
      </w:r>
      <w:r w:rsidRPr="004A4A6A">
        <w:t>hase</w:t>
      </w:r>
    </w:p>
    <w:p w14:paraId="77FB8D94" w14:textId="01E57941" w:rsidR="00676BE2" w:rsidRPr="00B57B9E" w:rsidRDefault="4120C169" w:rsidP="46C31772">
      <w:pPr>
        <w:pStyle w:val="ListParagraph"/>
        <w:numPr>
          <w:ilvl w:val="0"/>
          <w:numId w:val="2"/>
        </w:numPr>
        <w:spacing w:line="259" w:lineRule="auto"/>
      </w:pPr>
      <w:r w:rsidRPr="00B57B9E">
        <w:rPr>
          <w:b/>
          <w:bCs/>
        </w:rPr>
        <w:t>Finalise headroom</w:t>
      </w:r>
      <w:r w:rsidR="00602CB0">
        <w:rPr>
          <w:b/>
          <w:bCs/>
        </w:rPr>
        <w:t>, scope</w:t>
      </w:r>
      <w:r w:rsidR="00A72B4F">
        <w:rPr>
          <w:b/>
          <w:bCs/>
        </w:rPr>
        <w:t xml:space="preserve">, </w:t>
      </w:r>
      <w:r w:rsidRPr="00B57B9E">
        <w:rPr>
          <w:b/>
          <w:bCs/>
        </w:rPr>
        <w:t>and future pathway decision</w:t>
      </w:r>
      <w:r w:rsidR="62788E01" w:rsidRPr="00B57B9E">
        <w:rPr>
          <w:b/>
          <w:bCs/>
        </w:rPr>
        <w:t>s</w:t>
      </w:r>
      <w:r w:rsidRPr="00B57B9E">
        <w:rPr>
          <w:b/>
          <w:bCs/>
        </w:rPr>
        <w:t xml:space="preserve">. </w:t>
      </w:r>
      <w:r w:rsidR="00676BE2" w:rsidRPr="00B57B9E">
        <w:t xml:space="preserve">Continue modelling </w:t>
      </w:r>
      <w:r w:rsidR="004C7792" w:rsidRPr="004C7792">
        <w:t>expenditure and commitment headroom scenarios</w:t>
      </w:r>
      <w:r w:rsidR="00676BE2" w:rsidRPr="00B57B9E">
        <w:t xml:space="preserve">, including one in which the program </w:t>
      </w:r>
      <w:r w:rsidR="43E5025B" w:rsidRPr="00B57B9E">
        <w:t xml:space="preserve">operates </w:t>
      </w:r>
      <w:r w:rsidR="00676BE2" w:rsidRPr="00B57B9E">
        <w:t>under restricted funding while maintaining fiscal space to respond to emerging opportunities</w:t>
      </w:r>
      <w:r w:rsidR="00F0619A" w:rsidRPr="00B57B9E">
        <w:t>.</w:t>
      </w:r>
    </w:p>
    <w:p w14:paraId="63E2EB26" w14:textId="19B96C26" w:rsidR="00676BE2" w:rsidRPr="00B57B9E" w:rsidRDefault="00CA565A" w:rsidP="46C31772">
      <w:pPr>
        <w:pStyle w:val="ListParagraph"/>
        <w:numPr>
          <w:ilvl w:val="0"/>
          <w:numId w:val="2"/>
        </w:numPr>
        <w:rPr>
          <w:lang w:val="en-US"/>
        </w:rPr>
      </w:pPr>
      <w:r w:rsidRPr="00CA565A">
        <w:rPr>
          <w:b/>
          <w:bCs/>
          <w:lang w:val="en-US"/>
        </w:rPr>
        <w:t>Complete the portfolio-wide rollout of the Development Effectiveness Hub (DEH) quality programming tools</w:t>
      </w:r>
      <w:r w:rsidR="4AF06075" w:rsidRPr="00B57B9E">
        <w:rPr>
          <w:b/>
          <w:bCs/>
          <w:lang w:val="en-US"/>
        </w:rPr>
        <w:t xml:space="preserve">. </w:t>
      </w:r>
      <w:r w:rsidR="35D6FB89" w:rsidRPr="00B57B9E">
        <w:rPr>
          <w:lang w:val="en-US"/>
        </w:rPr>
        <w:t xml:space="preserve">The roll-out has been </w:t>
      </w:r>
      <w:r w:rsidR="00AA6D74" w:rsidRPr="00B57B9E">
        <w:rPr>
          <w:lang w:val="en-US"/>
        </w:rPr>
        <w:t>good but</w:t>
      </w:r>
      <w:r w:rsidR="35D6FB89" w:rsidRPr="00B57B9E">
        <w:rPr>
          <w:lang w:val="en-US"/>
        </w:rPr>
        <w:t xml:space="preserve"> continued rapid growth in SOs </w:t>
      </w:r>
      <w:r w:rsidR="4911ADEF" w:rsidRPr="00B57B9E">
        <w:rPr>
          <w:lang w:val="en-US"/>
        </w:rPr>
        <w:t xml:space="preserve">draws resources away from full </w:t>
      </w:r>
      <w:r w:rsidR="005E1D27">
        <w:rPr>
          <w:lang w:val="en-US"/>
        </w:rPr>
        <w:t xml:space="preserve">quality programming </w:t>
      </w:r>
      <w:r w:rsidR="4911ADEF" w:rsidRPr="00B57B9E">
        <w:rPr>
          <w:lang w:val="en-US"/>
        </w:rPr>
        <w:t>implementation</w:t>
      </w:r>
      <w:r w:rsidR="35D6FB89" w:rsidRPr="00B57B9E">
        <w:rPr>
          <w:lang w:val="en-US"/>
        </w:rPr>
        <w:t xml:space="preserve">. </w:t>
      </w:r>
    </w:p>
    <w:p w14:paraId="41C5B02B" w14:textId="7EC16B9E" w:rsidR="1C681781" w:rsidRPr="00E17FB5" w:rsidRDefault="1C681781" w:rsidP="00BC7E1D">
      <w:pPr>
        <w:pStyle w:val="Heading3NOTOC"/>
      </w:pPr>
      <w:r w:rsidRPr="00B57B9E">
        <w:t xml:space="preserve">Create </w:t>
      </w:r>
      <w:r w:rsidR="009A0C52">
        <w:t>e</w:t>
      </w:r>
      <w:r w:rsidRPr="00B57B9E">
        <w:t xml:space="preserve">fficiencies with </w:t>
      </w:r>
      <w:r w:rsidR="009A0C52">
        <w:t>f</w:t>
      </w:r>
      <w:r w:rsidRPr="00B57B9E">
        <w:t xml:space="preserve">acility </w:t>
      </w:r>
      <w:r w:rsidR="009A0C52">
        <w:t>m</w:t>
      </w:r>
      <w:r w:rsidRPr="00B57B9E">
        <w:t>anagement includ</w:t>
      </w:r>
      <w:r w:rsidR="007CF457" w:rsidRPr="00B57B9E">
        <w:t xml:space="preserve">ing </w:t>
      </w:r>
      <w:r w:rsidR="009A0C52">
        <w:t>b</w:t>
      </w:r>
      <w:r w:rsidRPr="00B57B9E">
        <w:t>readth/</w:t>
      </w:r>
      <w:r w:rsidR="007272BC" w:rsidRPr="00B57B9E">
        <w:t xml:space="preserve"> </w:t>
      </w:r>
      <w:r w:rsidR="009A0C52">
        <w:t>r</w:t>
      </w:r>
      <w:r w:rsidRPr="00E17FB5">
        <w:t xml:space="preserve">esourcing </w:t>
      </w:r>
      <w:r w:rsidR="009A0C52">
        <w:t>r</w:t>
      </w:r>
      <w:r w:rsidRPr="00E17FB5">
        <w:t>isks</w:t>
      </w:r>
    </w:p>
    <w:p w14:paraId="01E6F063" w14:textId="3B1499A0" w:rsidR="00676BE2" w:rsidRPr="00B57B9E" w:rsidRDefault="5803979F" w:rsidP="005A6848">
      <w:pPr>
        <w:pStyle w:val="ListParagraph"/>
        <w:numPr>
          <w:ilvl w:val="0"/>
          <w:numId w:val="2"/>
        </w:numPr>
      </w:pPr>
      <w:r w:rsidRPr="3743F00D">
        <w:rPr>
          <w:b/>
          <w:bCs/>
          <w:lang w:val="en-US"/>
        </w:rPr>
        <w:t xml:space="preserve">Prioritise </w:t>
      </w:r>
      <w:r w:rsidR="1E953B2B" w:rsidRPr="3743F00D">
        <w:rPr>
          <w:b/>
          <w:bCs/>
          <w:lang w:val="en-US"/>
        </w:rPr>
        <w:t>i</w:t>
      </w:r>
      <w:r w:rsidRPr="3743F00D">
        <w:rPr>
          <w:b/>
          <w:bCs/>
          <w:lang w:val="en-US"/>
        </w:rPr>
        <w:t xml:space="preserve">ntegrated </w:t>
      </w:r>
      <w:r w:rsidR="03B12469" w:rsidRPr="3743F00D">
        <w:rPr>
          <w:b/>
          <w:bCs/>
          <w:lang w:val="en-US"/>
        </w:rPr>
        <w:t xml:space="preserve">management </w:t>
      </w:r>
      <w:r w:rsidR="12EAEF40" w:rsidRPr="3743F00D">
        <w:rPr>
          <w:b/>
          <w:bCs/>
          <w:lang w:val="en-US"/>
        </w:rPr>
        <w:t>i</w:t>
      </w:r>
      <w:r w:rsidRPr="3743F00D">
        <w:rPr>
          <w:b/>
          <w:bCs/>
          <w:lang w:val="en-US"/>
        </w:rPr>
        <w:t xml:space="preserve">nformation </w:t>
      </w:r>
      <w:r w:rsidR="05B931BA" w:rsidRPr="3743F00D">
        <w:rPr>
          <w:b/>
          <w:bCs/>
          <w:lang w:val="en-US"/>
        </w:rPr>
        <w:t>s</w:t>
      </w:r>
      <w:r w:rsidRPr="3743F00D">
        <w:rPr>
          <w:b/>
          <w:bCs/>
          <w:lang w:val="en-US"/>
        </w:rPr>
        <w:t xml:space="preserve">ystems. </w:t>
      </w:r>
      <w:r>
        <w:t xml:space="preserve">Give effect to more streamlined management functions including by prioritising the introduction of integrated </w:t>
      </w:r>
      <w:r w:rsidR="004C7792" w:rsidRPr="004C7792">
        <w:rPr>
          <w:lang w:val="en-US"/>
        </w:rPr>
        <w:t>information systems</w:t>
      </w:r>
      <w:r>
        <w:t xml:space="preserve"> for program management and HR.</w:t>
      </w:r>
      <w:r w:rsidR="0EA9E836">
        <w:t xml:space="preserve"> Replacing older, more time-consuming systems increases efficiency and reduces fatigue.</w:t>
      </w:r>
    </w:p>
    <w:p w14:paraId="2161E232" w14:textId="6DD11D80" w:rsidR="5D92A29F" w:rsidRDefault="5D92A29F" w:rsidP="3743F00D">
      <w:pPr>
        <w:pStyle w:val="ListParagraph"/>
        <w:numPr>
          <w:ilvl w:val="0"/>
          <w:numId w:val="2"/>
        </w:numPr>
        <w:rPr>
          <w:rFonts w:eastAsia="MS Gothic"/>
        </w:rPr>
      </w:pPr>
      <w:r w:rsidRPr="009A0C52">
        <w:rPr>
          <w:rFonts w:eastAsia="MS Gothic"/>
          <w:b/>
          <w:bCs/>
        </w:rPr>
        <w:t>Include in reporting to the SOG</w:t>
      </w:r>
      <w:r w:rsidR="00CA565A">
        <w:rPr>
          <w:rFonts w:eastAsia="MS Gothic"/>
          <w:b/>
          <w:bCs/>
        </w:rPr>
        <w:t xml:space="preserve"> </w:t>
      </w:r>
      <w:r w:rsidRPr="009A0C52">
        <w:rPr>
          <w:rFonts w:eastAsia="MS Gothic"/>
          <w:b/>
          <w:bCs/>
        </w:rPr>
        <w:t xml:space="preserve">the details of where the time taken for SOs under development exceeds planned timeframes under the SO lifecycle, payments made exceed terms, or other practices that place higher demands on the </w:t>
      </w:r>
      <w:r w:rsidR="009A0C52">
        <w:rPr>
          <w:rFonts w:eastAsia="MS Gothic"/>
          <w:b/>
          <w:bCs/>
        </w:rPr>
        <w:t>f</w:t>
      </w:r>
      <w:r w:rsidRPr="009A0C52">
        <w:rPr>
          <w:rFonts w:eastAsia="MS Gothic"/>
          <w:b/>
          <w:bCs/>
        </w:rPr>
        <w:t xml:space="preserve">acility. </w:t>
      </w:r>
      <w:r w:rsidRPr="3743F00D">
        <w:rPr>
          <w:rFonts w:eastAsia="MS Gothic"/>
        </w:rPr>
        <w:t xml:space="preserve">The facility could explore ways to improve reporting indicators </w:t>
      </w:r>
      <w:r w:rsidR="2D3F2F25" w:rsidRPr="3743F00D">
        <w:rPr>
          <w:rFonts w:eastAsia="MS Gothic"/>
        </w:rPr>
        <w:t xml:space="preserve">for </w:t>
      </w:r>
      <w:r w:rsidRPr="3743F00D">
        <w:rPr>
          <w:rFonts w:eastAsia="MS Gothic"/>
        </w:rPr>
        <w:t xml:space="preserve">SOs </w:t>
      </w:r>
      <w:r w:rsidR="5C22F3CA" w:rsidRPr="3743F00D">
        <w:rPr>
          <w:rFonts w:eastAsia="MS Gothic"/>
        </w:rPr>
        <w:t xml:space="preserve">that </w:t>
      </w:r>
      <w:r w:rsidRPr="3743F00D">
        <w:rPr>
          <w:rFonts w:eastAsia="MS Gothic"/>
        </w:rPr>
        <w:t xml:space="preserve">are off track or delayed.  </w:t>
      </w:r>
    </w:p>
    <w:p w14:paraId="0AE8B004" w14:textId="5F20CC77" w:rsidR="00676BE2" w:rsidRPr="001E5663" w:rsidRDefault="4864677C" w:rsidP="0A2401E7">
      <w:pPr>
        <w:pStyle w:val="ListParagraph"/>
        <w:numPr>
          <w:ilvl w:val="0"/>
          <w:numId w:val="2"/>
        </w:numPr>
      </w:pPr>
      <w:r w:rsidRPr="6CF85AE0">
        <w:rPr>
          <w:b/>
          <w:bCs/>
        </w:rPr>
        <w:t xml:space="preserve">Rebalance cross-cutting support towards external-facing </w:t>
      </w:r>
      <w:r w:rsidR="000B6BAE" w:rsidRPr="6CF85AE0">
        <w:rPr>
          <w:b/>
          <w:bCs/>
        </w:rPr>
        <w:t>SO</w:t>
      </w:r>
      <w:r w:rsidRPr="6CF85AE0">
        <w:rPr>
          <w:b/>
          <w:bCs/>
        </w:rPr>
        <w:t xml:space="preserve"> delivery. </w:t>
      </w:r>
      <w:r w:rsidR="422C4446">
        <w:t xml:space="preserve">This proposed reprioritisation comes in recognition that </w:t>
      </w:r>
      <w:r w:rsidR="00926D4C">
        <w:t xml:space="preserve">some </w:t>
      </w:r>
      <w:r w:rsidR="422C4446">
        <w:t>c</w:t>
      </w:r>
      <w:r>
        <w:t xml:space="preserve">ross-cutting issues have been successfully advanced within the </w:t>
      </w:r>
      <w:r w:rsidR="00CA565A">
        <w:t>f</w:t>
      </w:r>
      <w:r>
        <w:t>acility</w:t>
      </w:r>
      <w:r w:rsidR="00926D4C">
        <w:t>, for example gender equality</w:t>
      </w:r>
      <w:r w:rsidR="4ADCD8D7">
        <w:t xml:space="preserve">. </w:t>
      </w:r>
      <w:r w:rsidR="00CA565A">
        <w:t>S</w:t>
      </w:r>
      <w:r w:rsidR="4ADCD8D7">
        <w:t xml:space="preserve">ome of the smaller SOs </w:t>
      </w:r>
      <w:r w:rsidR="00CA565A">
        <w:t xml:space="preserve">expressed that </w:t>
      </w:r>
      <w:r w:rsidR="4ADCD8D7">
        <w:t xml:space="preserve">they would welcome more timely </w:t>
      </w:r>
      <w:r w:rsidR="4ADCD8D7" w:rsidRPr="001E5663">
        <w:t>provision of resources for MEL, including around gender</w:t>
      </w:r>
      <w:r w:rsidR="00425E4C" w:rsidRPr="001E5663">
        <w:t>.</w:t>
      </w:r>
    </w:p>
    <w:p w14:paraId="00F138B0" w14:textId="0850D8DC" w:rsidR="00676BE2" w:rsidRPr="001E5663" w:rsidRDefault="6B5A561D" w:rsidP="35703F02">
      <w:pPr>
        <w:pStyle w:val="ListParagraph"/>
        <w:numPr>
          <w:ilvl w:val="0"/>
          <w:numId w:val="2"/>
        </w:numPr>
      </w:pPr>
      <w:r w:rsidRPr="001E5663">
        <w:rPr>
          <w:b/>
        </w:rPr>
        <w:t>Strengthen disability budgeting, data and outcome tracking</w:t>
      </w:r>
      <w:r w:rsidR="00D86DA7" w:rsidRPr="001E5663">
        <w:rPr>
          <w:b/>
        </w:rPr>
        <w:t xml:space="preserve"> in SOs</w:t>
      </w:r>
      <w:r w:rsidRPr="001E5663">
        <w:rPr>
          <w:b/>
        </w:rPr>
        <w:t>.</w:t>
      </w:r>
      <w:r w:rsidR="4864677C" w:rsidRPr="001E5663">
        <w:rPr>
          <w:b/>
        </w:rPr>
        <w:t xml:space="preserve"> </w:t>
      </w:r>
      <w:r w:rsidR="00CA565A" w:rsidRPr="001E5663">
        <w:t>Some SOs collect disability-related data, but collection is not consistent across the portfolio</w:t>
      </w:r>
      <w:r w:rsidR="60F8EE20" w:rsidRPr="001E5663">
        <w:t>.</w:t>
      </w:r>
    </w:p>
    <w:p w14:paraId="4A1EF3ED" w14:textId="5C44F0B7" w:rsidR="00676BE2" w:rsidRPr="001E5663" w:rsidRDefault="002625F4" w:rsidP="00433CDD">
      <w:pPr>
        <w:pStyle w:val="ListParagraph"/>
        <w:numPr>
          <w:ilvl w:val="0"/>
          <w:numId w:val="2"/>
        </w:numPr>
        <w:rPr>
          <w:lang w:val="en-US"/>
        </w:rPr>
      </w:pPr>
      <w:r w:rsidRPr="001E5663">
        <w:rPr>
          <w:b/>
          <w:bCs/>
          <w:lang w:val="en-US"/>
        </w:rPr>
        <w:t>Systemati</w:t>
      </w:r>
      <w:r w:rsidR="00CA565A" w:rsidRPr="001E5663">
        <w:rPr>
          <w:b/>
          <w:bCs/>
          <w:lang w:val="en-US"/>
        </w:rPr>
        <w:t>s</w:t>
      </w:r>
      <w:r w:rsidRPr="001E5663">
        <w:rPr>
          <w:b/>
          <w:bCs/>
          <w:lang w:val="en-US"/>
        </w:rPr>
        <w:t>e</w:t>
      </w:r>
      <w:r w:rsidR="272CB412" w:rsidRPr="001E5663">
        <w:rPr>
          <w:b/>
          <w:bCs/>
          <w:lang w:val="en-US"/>
        </w:rPr>
        <w:t xml:space="preserve"> climate risk screening and adaptation planning.</w:t>
      </w:r>
      <w:r w:rsidR="00433CDD" w:rsidRPr="001E5663">
        <w:rPr>
          <w:b/>
          <w:bCs/>
          <w:lang w:val="en-US"/>
        </w:rPr>
        <w:t xml:space="preserve"> </w:t>
      </w:r>
      <w:r w:rsidR="00433CDD" w:rsidRPr="001E5663">
        <w:rPr>
          <w:lang w:val="en-US"/>
        </w:rPr>
        <w:t>Climate integration has moved from policy intent to early practice, but systematic SO-level climate risk screening and adaptation planning remain emerging.</w:t>
      </w:r>
    </w:p>
    <w:p w14:paraId="5E61E545" w14:textId="223A63E4" w:rsidR="00676BE2" w:rsidRPr="001E5663" w:rsidRDefault="3C216FB4" w:rsidP="46C31772">
      <w:pPr>
        <w:pStyle w:val="ListParagraph"/>
        <w:numPr>
          <w:ilvl w:val="0"/>
          <w:numId w:val="2"/>
        </w:numPr>
        <w:rPr>
          <w:rFonts w:eastAsia="MS Gothic"/>
        </w:rPr>
      </w:pPr>
      <w:r w:rsidRPr="001E5663">
        <w:rPr>
          <w:b/>
          <w:bCs/>
          <w:lang w:val="en-US"/>
        </w:rPr>
        <w:t>Deepen the embedding of</w:t>
      </w:r>
      <w:r w:rsidR="6B9D0770" w:rsidRPr="001E5663">
        <w:rPr>
          <w:b/>
          <w:bCs/>
          <w:lang w:val="en-US"/>
        </w:rPr>
        <w:t xml:space="preserve"> learning to action in MEL. </w:t>
      </w:r>
      <w:r w:rsidR="11D99B44" w:rsidRPr="001E5663">
        <w:rPr>
          <w:lang w:val="en-US"/>
        </w:rPr>
        <w:t>MEL systems are newly in place</w:t>
      </w:r>
      <w:r w:rsidR="1A37B222" w:rsidRPr="001E5663">
        <w:rPr>
          <w:lang w:val="en-US"/>
        </w:rPr>
        <w:t xml:space="preserve"> in a fast-paced work environment. The </w:t>
      </w:r>
      <w:r w:rsidR="002625F4" w:rsidRPr="001E5663">
        <w:rPr>
          <w:lang w:val="en-US"/>
        </w:rPr>
        <w:t>F</w:t>
      </w:r>
      <w:r w:rsidR="1A37B222" w:rsidRPr="001E5663">
        <w:rPr>
          <w:lang w:val="en-US"/>
        </w:rPr>
        <w:t xml:space="preserve">acility will perform better over time </w:t>
      </w:r>
      <w:r w:rsidR="67E7E4E3" w:rsidRPr="001E5663">
        <w:rPr>
          <w:lang w:val="en-US"/>
        </w:rPr>
        <w:t xml:space="preserve">and </w:t>
      </w:r>
      <w:r w:rsidR="6DC9CED5" w:rsidRPr="001E5663">
        <w:rPr>
          <w:lang w:val="en-US"/>
        </w:rPr>
        <w:t>with</w:t>
      </w:r>
      <w:r w:rsidR="1A37B222" w:rsidRPr="001E5663">
        <w:rPr>
          <w:lang w:val="en-US"/>
        </w:rPr>
        <w:t xml:space="preserve"> more </w:t>
      </w:r>
      <w:r w:rsidR="11D99B44" w:rsidRPr="001E5663">
        <w:rPr>
          <w:lang w:val="en-US"/>
        </w:rPr>
        <w:t>bandwidth to d</w:t>
      </w:r>
      <w:r w:rsidR="11D99B44" w:rsidRPr="001E5663">
        <w:rPr>
          <w:rFonts w:eastAsia="MS Gothic"/>
        </w:rPr>
        <w:t xml:space="preserve">eepen </w:t>
      </w:r>
      <w:r w:rsidR="2DDCB963" w:rsidRPr="001E5663">
        <w:rPr>
          <w:rFonts w:eastAsia="MS Gothic"/>
        </w:rPr>
        <w:t>the</w:t>
      </w:r>
      <w:r w:rsidR="11D99B44" w:rsidRPr="001E5663">
        <w:rPr>
          <w:rFonts w:eastAsia="MS Gothic"/>
        </w:rPr>
        <w:t xml:space="preserve"> culture of reflection, learning and adaptation</w:t>
      </w:r>
      <w:r w:rsidR="00232E44" w:rsidRPr="001E5663">
        <w:rPr>
          <w:rFonts w:eastAsia="MS Gothic"/>
        </w:rPr>
        <w:t>.</w:t>
      </w:r>
    </w:p>
    <w:p w14:paraId="5156ACB0" w14:textId="4AD9224A" w:rsidR="00676BE2" w:rsidRPr="00B57B9E" w:rsidRDefault="04FB4DD0" w:rsidP="46C31772">
      <w:pPr>
        <w:pStyle w:val="ListParagraph"/>
        <w:numPr>
          <w:ilvl w:val="0"/>
          <w:numId w:val="2"/>
        </w:numPr>
        <w:rPr>
          <w:rFonts w:eastAsia="MS Gothic"/>
        </w:rPr>
      </w:pPr>
      <w:r w:rsidRPr="001E5663">
        <w:rPr>
          <w:rFonts w:eastAsia="MS Gothic"/>
          <w:b/>
          <w:bCs/>
        </w:rPr>
        <w:t xml:space="preserve">Deepen feedback from the ground. </w:t>
      </w:r>
      <w:r w:rsidR="7F21F59D" w:rsidRPr="001E5663">
        <w:rPr>
          <w:rFonts w:eastAsia="MS Gothic"/>
        </w:rPr>
        <w:t>C</w:t>
      </w:r>
      <w:r w:rsidR="11D99B44" w:rsidRPr="001E5663">
        <w:rPr>
          <w:rFonts w:eastAsia="MS Gothic"/>
        </w:rPr>
        <w:t xml:space="preserve">ollecting feedback </w:t>
      </w:r>
      <w:r w:rsidR="7BCE8D5E" w:rsidRPr="001E5663">
        <w:rPr>
          <w:rFonts w:eastAsia="MS Gothic"/>
        </w:rPr>
        <w:t xml:space="preserve">at community level </w:t>
      </w:r>
      <w:r w:rsidR="00C57DB5" w:rsidRPr="001E5663">
        <w:rPr>
          <w:rFonts w:eastAsia="MS Gothic"/>
        </w:rPr>
        <w:t>across</w:t>
      </w:r>
      <w:r w:rsidR="11D99B44" w:rsidRPr="001E5663">
        <w:rPr>
          <w:rFonts w:eastAsia="MS Gothic"/>
        </w:rPr>
        <w:t xml:space="preserve"> SOs </w:t>
      </w:r>
      <w:r w:rsidR="3F375402" w:rsidRPr="001E5663">
        <w:rPr>
          <w:rFonts w:eastAsia="MS Gothic"/>
        </w:rPr>
        <w:t>which are providing development assistance in the field</w:t>
      </w:r>
      <w:r w:rsidR="3F375402" w:rsidRPr="00B57B9E">
        <w:rPr>
          <w:rFonts w:eastAsia="MS Gothic"/>
        </w:rPr>
        <w:t xml:space="preserve"> </w:t>
      </w:r>
      <w:r w:rsidR="29904820" w:rsidRPr="00B57B9E">
        <w:rPr>
          <w:rFonts w:eastAsia="MS Gothic"/>
        </w:rPr>
        <w:t xml:space="preserve">will help </w:t>
      </w:r>
      <w:r w:rsidR="11D99B44" w:rsidRPr="00B57B9E">
        <w:rPr>
          <w:rFonts w:eastAsia="MS Gothic"/>
        </w:rPr>
        <w:t>to inform outcomes and shape improvements.</w:t>
      </w:r>
    </w:p>
    <w:p w14:paraId="30E8ABF7" w14:textId="6FF9996C" w:rsidR="27DAD402" w:rsidRPr="004A4A6A" w:rsidRDefault="27DAD402" w:rsidP="00BC7E1D">
      <w:pPr>
        <w:pStyle w:val="Heading3NOTOC"/>
      </w:pPr>
      <w:r w:rsidRPr="004A4A6A">
        <w:t xml:space="preserve">Options for the </w:t>
      </w:r>
      <w:r w:rsidR="00232DB3">
        <w:t>r</w:t>
      </w:r>
      <w:r w:rsidRPr="004A4A6A">
        <w:t xml:space="preserve">eplacement </w:t>
      </w:r>
      <w:r w:rsidR="00232DB3">
        <w:t>mechanism</w:t>
      </w:r>
    </w:p>
    <w:p w14:paraId="3C62A890" w14:textId="061FD233" w:rsidR="00676BE2" w:rsidRDefault="000148C8" w:rsidP="46C31772">
      <w:pPr>
        <w:pStyle w:val="ListParagraph"/>
        <w:numPr>
          <w:ilvl w:val="0"/>
          <w:numId w:val="2"/>
        </w:numPr>
        <w:spacing w:line="259" w:lineRule="auto"/>
        <w:rPr>
          <w:rFonts w:eastAsia="MS Gothic"/>
        </w:rPr>
      </w:pPr>
      <w:r>
        <w:rPr>
          <w:rFonts w:eastAsia="MS Gothic"/>
          <w:b/>
          <w:bCs/>
        </w:rPr>
        <w:t>Actively promote best practice</w:t>
      </w:r>
      <w:r w:rsidR="313946A2" w:rsidRPr="46C31772">
        <w:rPr>
          <w:rFonts w:eastAsia="MS Gothic"/>
          <w:b/>
          <w:bCs/>
        </w:rPr>
        <w:t xml:space="preserve"> AHC-ASIPS+-SIG engagement protocols. </w:t>
      </w:r>
      <w:r w:rsidR="313946A2" w:rsidRPr="46C31772">
        <w:rPr>
          <w:rFonts w:eastAsia="MS Gothic"/>
        </w:rPr>
        <w:t>Continue to manage</w:t>
      </w:r>
      <w:r w:rsidR="00676BE2" w:rsidRPr="46C31772">
        <w:rPr>
          <w:rFonts w:eastAsia="MS Gothic"/>
        </w:rPr>
        <w:t xml:space="preserve"> rub points between stakeholders common to the functioning of a large flexible facility, including the need for consultation between the facility and AHC before engaging SIG on formal proposals</w:t>
      </w:r>
      <w:r w:rsidR="005943C6">
        <w:rPr>
          <w:rFonts w:eastAsia="MS Gothic"/>
        </w:rPr>
        <w:t xml:space="preserve"> while allowing room for informal explorative discussions</w:t>
      </w:r>
      <w:r w:rsidR="00676BE2" w:rsidRPr="46C31772">
        <w:rPr>
          <w:rFonts w:eastAsia="MS Gothic"/>
        </w:rPr>
        <w:t xml:space="preserve">. </w:t>
      </w:r>
    </w:p>
    <w:p w14:paraId="56C15265" w14:textId="70813DCD" w:rsidR="36EBF4BB" w:rsidRDefault="36EBF4BB" w:rsidP="46C31772">
      <w:pPr>
        <w:pStyle w:val="ListParagraph"/>
        <w:numPr>
          <w:ilvl w:val="0"/>
          <w:numId w:val="2"/>
        </w:numPr>
        <w:spacing w:line="259" w:lineRule="auto"/>
        <w:rPr>
          <w:rFonts w:eastAsia="MS Gothic"/>
        </w:rPr>
      </w:pPr>
      <w:r w:rsidRPr="0A2401E7">
        <w:rPr>
          <w:rFonts w:eastAsia="MS Gothic"/>
          <w:b/>
          <w:bCs/>
        </w:rPr>
        <w:t xml:space="preserve">Revise the FSU </w:t>
      </w:r>
      <w:r w:rsidR="002625F4">
        <w:rPr>
          <w:rFonts w:eastAsia="MS Gothic"/>
          <w:b/>
          <w:bCs/>
        </w:rPr>
        <w:t>r</w:t>
      </w:r>
      <w:r w:rsidRPr="0A2401E7">
        <w:rPr>
          <w:rFonts w:eastAsia="MS Gothic"/>
          <w:b/>
          <w:bCs/>
        </w:rPr>
        <w:t xml:space="preserve">esourcing </w:t>
      </w:r>
      <w:r w:rsidR="002625F4">
        <w:rPr>
          <w:rFonts w:eastAsia="MS Gothic"/>
          <w:b/>
          <w:bCs/>
        </w:rPr>
        <w:t>m</w:t>
      </w:r>
      <w:r w:rsidRPr="0A2401E7">
        <w:rPr>
          <w:rFonts w:eastAsia="MS Gothic"/>
          <w:b/>
          <w:bCs/>
        </w:rPr>
        <w:t>odel.</w:t>
      </w:r>
      <w:r w:rsidR="09F946F5" w:rsidRPr="0A2401E7">
        <w:rPr>
          <w:rFonts w:eastAsia="MS Gothic"/>
          <w:b/>
          <w:bCs/>
        </w:rPr>
        <w:t xml:space="preserve"> </w:t>
      </w:r>
      <w:r w:rsidR="09F946F5" w:rsidRPr="0A2401E7">
        <w:rPr>
          <w:rFonts w:eastAsia="MS Gothic"/>
        </w:rPr>
        <w:t xml:space="preserve">The surge in funding for activities comes at the expense of other </w:t>
      </w:r>
      <w:r w:rsidR="71F692CE" w:rsidRPr="0A2401E7">
        <w:rPr>
          <w:rFonts w:eastAsia="MS Gothic"/>
        </w:rPr>
        <w:t xml:space="preserve">facility needs, including installing efficient information management </w:t>
      </w:r>
      <w:r w:rsidR="50D7522C" w:rsidRPr="0A2401E7">
        <w:rPr>
          <w:rFonts w:eastAsia="MS Gothic"/>
        </w:rPr>
        <w:t xml:space="preserve">systems </w:t>
      </w:r>
      <w:r w:rsidR="71F692CE" w:rsidRPr="0A2401E7">
        <w:rPr>
          <w:rFonts w:eastAsia="MS Gothic"/>
        </w:rPr>
        <w:t>and servicing of small SOs.</w:t>
      </w:r>
      <w:r w:rsidR="09F946F5" w:rsidRPr="0A2401E7">
        <w:rPr>
          <w:rFonts w:eastAsia="MS Gothic"/>
        </w:rPr>
        <w:t xml:space="preserve"> </w:t>
      </w:r>
    </w:p>
    <w:p w14:paraId="771F8D2A" w14:textId="1677AA3E" w:rsidR="4F6918F2" w:rsidRPr="00296002" w:rsidRDefault="4F6918F2" w:rsidP="0A2401E7">
      <w:pPr>
        <w:pStyle w:val="ListParagraph"/>
        <w:numPr>
          <w:ilvl w:val="0"/>
          <w:numId w:val="2"/>
        </w:numPr>
        <w:spacing w:line="259" w:lineRule="auto"/>
        <w:rPr>
          <w:rFonts w:eastAsia="MS Gothic"/>
        </w:rPr>
      </w:pPr>
      <w:r w:rsidRPr="00296002">
        <w:rPr>
          <w:rFonts w:eastAsia="MS Gothic"/>
          <w:b/>
          <w:bCs/>
        </w:rPr>
        <w:t>Greater flexibility in shifting funds between ODA and non-ODA, and equivalent ease in procurement</w:t>
      </w:r>
      <w:r w:rsidR="34960901" w:rsidRPr="2384E2B6">
        <w:rPr>
          <w:rFonts w:eastAsia="MS Gothic"/>
          <w:b/>
          <w:bCs/>
        </w:rPr>
        <w:t xml:space="preserve"> and simplifying pre-procurement steps for non-ODA work</w:t>
      </w:r>
      <w:r w:rsidR="29E8CBBD" w:rsidRPr="2384E2B6">
        <w:rPr>
          <w:rFonts w:eastAsia="MS Gothic"/>
          <w:b/>
          <w:bCs/>
        </w:rPr>
        <w:t>.</w:t>
      </w:r>
      <w:r w:rsidRPr="0A2401E7">
        <w:rPr>
          <w:rFonts w:eastAsia="MS Gothic"/>
          <w:b/>
          <w:bCs/>
        </w:rPr>
        <w:t xml:space="preserve"> </w:t>
      </w:r>
      <w:r w:rsidR="4DE4BEF0" w:rsidRPr="0A2401E7">
        <w:rPr>
          <w:rFonts w:eastAsia="MS Gothic"/>
        </w:rPr>
        <w:t xml:space="preserve">The </w:t>
      </w:r>
      <w:r w:rsidR="009A0C52">
        <w:rPr>
          <w:rFonts w:eastAsia="MS Gothic"/>
        </w:rPr>
        <w:t>f</w:t>
      </w:r>
      <w:r w:rsidR="4DE4BEF0" w:rsidRPr="0A2401E7">
        <w:rPr>
          <w:rFonts w:eastAsia="MS Gothic"/>
        </w:rPr>
        <w:t>acility is built to be flexible and highly responsive to local priorities. The relative complexity in procuring non-ODA is at odds with this.</w:t>
      </w:r>
    </w:p>
    <w:p w14:paraId="5E6D7994" w14:textId="6E7F29AD" w:rsidR="00DE4324" w:rsidRPr="00676BE2" w:rsidRDefault="55F4FEB8" w:rsidP="46C31772">
      <w:pPr>
        <w:pStyle w:val="ListParagraph"/>
        <w:numPr>
          <w:ilvl w:val="0"/>
          <w:numId w:val="2"/>
        </w:numPr>
        <w:rPr>
          <w:b/>
          <w:bCs/>
          <w:lang w:val="en-US"/>
        </w:rPr>
      </w:pPr>
      <w:r w:rsidRPr="46C31772">
        <w:rPr>
          <w:rFonts w:eastAsia="MS Gothic"/>
          <w:b/>
          <w:bCs/>
        </w:rPr>
        <w:t xml:space="preserve">Include </w:t>
      </w:r>
      <w:r w:rsidR="3727244C" w:rsidRPr="46C31772">
        <w:rPr>
          <w:rFonts w:eastAsia="MS Gothic"/>
          <w:b/>
          <w:bCs/>
        </w:rPr>
        <w:t xml:space="preserve">consideration of </w:t>
      </w:r>
      <w:r w:rsidRPr="46C31772">
        <w:rPr>
          <w:rFonts w:eastAsia="MS Gothic"/>
          <w:b/>
          <w:bCs/>
        </w:rPr>
        <w:t xml:space="preserve">facility architecture and alternative SO funding in the end of program evaluation for the </w:t>
      </w:r>
      <w:r w:rsidR="0E336027" w:rsidRPr="46C31772">
        <w:rPr>
          <w:rFonts w:eastAsia="MS Gothic"/>
          <w:b/>
          <w:bCs/>
        </w:rPr>
        <w:t>long-term</w:t>
      </w:r>
      <w:r w:rsidRPr="46C31772">
        <w:rPr>
          <w:rFonts w:eastAsia="MS Gothic"/>
          <w:b/>
          <w:bCs/>
        </w:rPr>
        <w:t xml:space="preserve"> sustainability of the facility.</w:t>
      </w:r>
    </w:p>
    <w:p w14:paraId="53F89448" w14:textId="77777777" w:rsidR="00676BE2" w:rsidRDefault="00676BE2" w:rsidP="0055649E">
      <w:r>
        <w:br w:type="page"/>
      </w:r>
    </w:p>
    <w:p w14:paraId="689888D2" w14:textId="375506F4" w:rsidR="004B25B9" w:rsidRDefault="00306A84" w:rsidP="00AE0D3F">
      <w:pPr>
        <w:pStyle w:val="Heading1"/>
      </w:pPr>
      <w:bookmarkStart w:id="3" w:name="_Toc234426716"/>
      <w:r>
        <w:lastRenderedPageBreak/>
        <w:t>1. INTRODUCTION AND BACKGROUND</w:t>
      </w:r>
      <w:bookmarkEnd w:id="3"/>
    </w:p>
    <w:p w14:paraId="3158D924" w14:textId="32AB3DE7" w:rsidR="001E0FE8" w:rsidRPr="001E0FE8" w:rsidRDefault="3838BC89" w:rsidP="00473CA5">
      <w:r>
        <w:t xml:space="preserve">This report presents the findings and recommendations of the independent mid-term review of Phase 1 of the Australia Solomon Islands Program Support Facility (ASIPS+). The review provides </w:t>
      </w:r>
      <w:r w:rsidR="7038D9E4">
        <w:t>evidence to inform D</w:t>
      </w:r>
      <w:r w:rsidR="3406AD71">
        <w:t>epartment of Foreign Affairs and Trade (DFAT)</w:t>
      </w:r>
      <w:r w:rsidR="7038D9E4">
        <w:t xml:space="preserve"> decision-making on priorities, resourcing and delivery arrangements for Phase 1</w:t>
      </w:r>
      <w:r w:rsidR="1DBC1220">
        <w:t xml:space="preserve"> </w:t>
      </w:r>
      <w:r w:rsidR="00C058CA" w:rsidRPr="00C058CA">
        <w:t>and any future facility arrangements</w:t>
      </w:r>
      <w:r w:rsidR="1DBC1220">
        <w:t>.</w:t>
      </w:r>
    </w:p>
    <w:p w14:paraId="3EC5C691" w14:textId="5551791F" w:rsidR="004B25B9" w:rsidRPr="00550B3C" w:rsidRDefault="0060641C" w:rsidP="0060641C">
      <w:pPr>
        <w:pStyle w:val="Heading2"/>
      </w:pPr>
      <w:bookmarkStart w:id="4" w:name="_Toc234426717"/>
      <w:r>
        <w:t xml:space="preserve">1.1. </w:t>
      </w:r>
      <w:r w:rsidR="00302BAB" w:rsidRPr="00550B3C">
        <w:t xml:space="preserve">The </w:t>
      </w:r>
      <w:r w:rsidR="00B57CCE" w:rsidRPr="00550B3C">
        <w:t xml:space="preserve">ASIPS+ </w:t>
      </w:r>
      <w:r w:rsidR="0012449A" w:rsidRPr="00550B3C">
        <w:t>overview</w:t>
      </w:r>
      <w:bookmarkEnd w:id="4"/>
    </w:p>
    <w:p w14:paraId="384F141F" w14:textId="3F825928" w:rsidR="00E3267F" w:rsidRPr="008E7A5E" w:rsidRDefault="0D07C28A" w:rsidP="008B3FC4">
      <w:r>
        <w:t>ASIPS+ is a DFAT</w:t>
      </w:r>
      <w:r w:rsidR="22D65DB6">
        <w:t>-</w:t>
      </w:r>
      <w:r>
        <w:t xml:space="preserve">funded mechanism that supports the Australian High Commission (AHC) in Honiara to deliver development outcomes and advance Australia’s bilateral relationship with Solomon Islands. It follows the Australia Solomon Islands Resource Facility </w:t>
      </w:r>
      <w:r w:rsidR="748FCA28">
        <w:t>(</w:t>
      </w:r>
      <w:r w:rsidR="6D09FF04">
        <w:t xml:space="preserve">ASIRF </w:t>
      </w:r>
      <w:r>
        <w:t>2020</w:t>
      </w:r>
      <w:r w:rsidR="748FCA28">
        <w:t>–</w:t>
      </w:r>
      <w:r>
        <w:t>2023</w:t>
      </w:r>
      <w:r w:rsidR="748FCA28">
        <w:t xml:space="preserve">), </w:t>
      </w:r>
      <w:r>
        <w:t xml:space="preserve">which </w:t>
      </w:r>
      <w:r w:rsidR="001B6BBD">
        <w:t xml:space="preserve">succeeded </w:t>
      </w:r>
      <w:r>
        <w:t xml:space="preserve">the Solomon Islands Resource Facility </w:t>
      </w:r>
      <w:r w:rsidR="748FCA28">
        <w:t>(</w:t>
      </w:r>
      <w:r>
        <w:t>2015</w:t>
      </w:r>
      <w:r w:rsidR="748FCA28">
        <w:t>–</w:t>
      </w:r>
      <w:r>
        <w:t>2020</w:t>
      </w:r>
      <w:r w:rsidR="748FCA28">
        <w:t>). Phase 1 of ASIPS+</w:t>
      </w:r>
      <w:r w:rsidR="00BA6578">
        <w:t xml:space="preserve"> </w:t>
      </w:r>
      <w:r w:rsidR="748FCA28">
        <w:t>commenced in July 2023 and was designed to run to 30 June 2027, with an option to extend to 30 June 2031.</w:t>
      </w:r>
    </w:p>
    <w:p w14:paraId="1F20A179" w14:textId="77442A17" w:rsidR="004A1D60" w:rsidRPr="008E7A5E" w:rsidRDefault="00E3267F" w:rsidP="008B3FC4">
      <w:r>
        <w:t xml:space="preserve">The goal of ASIPS+ is </w:t>
      </w:r>
      <w:r w:rsidRPr="0A2401E7">
        <w:rPr>
          <w:i/>
          <w:iCs/>
        </w:rPr>
        <w:t>to contribute to Solomon Islands’ 20-year national vision of improving the social and economic livelihoods of all Solomon Islanders</w:t>
      </w:r>
      <w:r>
        <w:t xml:space="preserve">. Its objective is </w:t>
      </w:r>
      <w:r w:rsidRPr="0A2401E7">
        <w:rPr>
          <w:i/>
          <w:iCs/>
        </w:rPr>
        <w:t>to advance development priority outcomes through a strengthened Australia–Solomon Islands development partnership</w:t>
      </w:r>
      <w:r>
        <w:t xml:space="preserve">. ASIPS+ is designed to achieve this through two EOFOs: </w:t>
      </w:r>
    </w:p>
    <w:p w14:paraId="32EDF585" w14:textId="73A8EEA5" w:rsidR="004A1D60" w:rsidRPr="008E7A5E" w:rsidRDefault="00E3267F" w:rsidP="004D46E0">
      <w:pPr>
        <w:pStyle w:val="ListParagraph"/>
        <w:numPr>
          <w:ilvl w:val="0"/>
          <w:numId w:val="13"/>
        </w:numPr>
        <w:spacing w:before="60" w:after="60"/>
        <w:ind w:left="714" w:hanging="357"/>
        <w:contextualSpacing w:val="0"/>
      </w:pPr>
      <w:r w:rsidRPr="008E7A5E">
        <w:rPr>
          <w:rStyle w:val="Strong"/>
          <w:b w:val="0"/>
          <w:bCs w:val="0"/>
        </w:rPr>
        <w:t>EOFO 1:</w:t>
      </w:r>
      <w:r w:rsidRPr="008E7A5E">
        <w:t xml:space="preserve"> ASIPS+ has delivered quality programming that responds to Australia’s policy and development priorities</w:t>
      </w:r>
    </w:p>
    <w:p w14:paraId="5D251EAB" w14:textId="41DF69E3" w:rsidR="00E3267F" w:rsidRPr="008E7A5E" w:rsidRDefault="00E3267F" w:rsidP="004D46E0">
      <w:pPr>
        <w:pStyle w:val="ListParagraph"/>
        <w:numPr>
          <w:ilvl w:val="0"/>
          <w:numId w:val="13"/>
        </w:numPr>
        <w:spacing w:before="60" w:after="60"/>
        <w:ind w:left="714" w:hanging="357"/>
        <w:contextualSpacing w:val="0"/>
      </w:pPr>
      <w:r w:rsidRPr="008E7A5E">
        <w:rPr>
          <w:rStyle w:val="Strong"/>
          <w:b w:val="0"/>
          <w:bCs w:val="0"/>
        </w:rPr>
        <w:t>EOFO 2:</w:t>
      </w:r>
      <w:r w:rsidRPr="008E7A5E">
        <w:t xml:space="preserve"> ASIPS+ has efficiently and effectively managed operational processes and resources.</w:t>
      </w:r>
    </w:p>
    <w:p w14:paraId="58B0A1C1" w14:textId="22ABE69F" w:rsidR="00DF5264" w:rsidRDefault="004E2A35" w:rsidP="008B3FC4">
      <w:r w:rsidRPr="008E7A5E">
        <w:t xml:space="preserve">ASIPS+ is implemented by </w:t>
      </w:r>
      <w:r w:rsidRPr="008E7A5E">
        <w:rPr>
          <w:rStyle w:val="Strong"/>
          <w:b w:val="0"/>
          <w:bCs w:val="0"/>
        </w:rPr>
        <w:t>DT Globa</w:t>
      </w:r>
      <w:r w:rsidR="004A1D60" w:rsidRPr="008E7A5E">
        <w:rPr>
          <w:rStyle w:val="Strong"/>
          <w:b w:val="0"/>
          <w:bCs w:val="0"/>
        </w:rPr>
        <w:t>l</w:t>
      </w:r>
      <w:r w:rsidRPr="008E7A5E">
        <w:t xml:space="preserve"> through the </w:t>
      </w:r>
      <w:r w:rsidRPr="008E7A5E">
        <w:rPr>
          <w:rStyle w:val="Strong"/>
          <w:b w:val="0"/>
          <w:bCs w:val="0"/>
        </w:rPr>
        <w:t>Facility Support Unit (FSU)</w:t>
      </w:r>
      <w:r w:rsidR="004A1D60" w:rsidRPr="008E7A5E">
        <w:t xml:space="preserve"> </w:t>
      </w:r>
      <w:r w:rsidRPr="008E7A5E">
        <w:t xml:space="preserve">and a portfolio of separately funded downstream </w:t>
      </w:r>
      <w:r w:rsidR="004D46E0" w:rsidRPr="008E7A5E">
        <w:t>Service Orders (</w:t>
      </w:r>
      <w:r w:rsidRPr="008E7A5E">
        <w:t>SOs</w:t>
      </w:r>
      <w:r w:rsidR="004D46E0" w:rsidRPr="008E7A5E">
        <w:t>)</w:t>
      </w:r>
      <w:r w:rsidRPr="008E7A5E">
        <w:rPr>
          <w:rStyle w:val="FootnoteReference"/>
        </w:rPr>
        <w:footnoteReference w:id="2"/>
      </w:r>
      <w:r w:rsidRPr="008E7A5E">
        <w:t xml:space="preserve">. </w:t>
      </w:r>
      <w:r w:rsidR="00803A93" w:rsidRPr="002D28CB">
        <w:t>The initial Head Deed ceiling was AUD120 million, comprising AUD20 million for SO1/FSU and AUD100 million for SOs.</w:t>
      </w:r>
      <w:r w:rsidR="00424C08">
        <w:t xml:space="preserve"> </w:t>
      </w:r>
      <w:r w:rsidR="00DF5264" w:rsidRPr="008E7A5E">
        <w:t>In response to sustained demand, the Head Deed has been extended to June 2031 and the contract ceiling increased to AUD240 million.</w:t>
      </w:r>
    </w:p>
    <w:p w14:paraId="11359C0C" w14:textId="41C27618" w:rsidR="00D53666" w:rsidRDefault="00D53666" w:rsidP="00D53666">
      <w:r w:rsidRPr="00F521E9">
        <w:t xml:space="preserve">ASIPS+ has evolved from delivering operational and enabling services into a hybrid model that combines enabling support with development-focused programming. </w:t>
      </w:r>
      <w:r w:rsidRPr="6518DF12">
        <w:rPr>
          <w:lang w:val="en-AU"/>
        </w:rPr>
        <w:t>The “plus” means that it is intended to strengthen the effective delivery of SOs by managing SO performance, promoting portfolio coherence, applying monitoring, evaluation and learning (MEL) and cross-cutting priorities, and</w:t>
      </w:r>
      <w:r w:rsidR="001B6BBD">
        <w:rPr>
          <w:lang w:val="en-AU"/>
        </w:rPr>
        <w:t xml:space="preserve"> </w:t>
      </w:r>
      <w:r w:rsidR="001B6BBD">
        <w:rPr>
          <w:rFonts w:cstheme="minorHAnsi"/>
          <w:lang w:val="en-AU"/>
        </w:rPr>
        <w:t xml:space="preserve">- </w:t>
      </w:r>
      <w:r w:rsidRPr="6518DF12">
        <w:rPr>
          <w:lang w:val="en-AU"/>
        </w:rPr>
        <w:t>in some cases</w:t>
      </w:r>
      <w:r w:rsidR="001B6BBD">
        <w:rPr>
          <w:lang w:val="en-AU"/>
        </w:rPr>
        <w:t xml:space="preserve"> </w:t>
      </w:r>
      <w:r w:rsidR="001B6BBD">
        <w:rPr>
          <w:rFonts w:cstheme="minorHAnsi"/>
          <w:lang w:val="en-AU"/>
        </w:rPr>
        <w:t xml:space="preserve">- </w:t>
      </w:r>
      <w:r w:rsidRPr="6518DF12">
        <w:rPr>
          <w:lang w:val="en-AU"/>
        </w:rPr>
        <w:t xml:space="preserve">supporting or leading SO design. </w:t>
      </w:r>
      <w:r>
        <w:t>The two EOFOs reflect the hybrid logic of ASIPS+: EOFO2 preserves the enabling platform inherited from ASIRF, while EOFO1 is a new outcome and represents the “plus” function.</w:t>
      </w:r>
    </w:p>
    <w:p w14:paraId="0D34B48D" w14:textId="70A7D982" w:rsidR="00D53666" w:rsidRPr="00F75A26" w:rsidRDefault="00D53666" w:rsidP="00D53666">
      <w:pPr>
        <w:rPr>
          <w:lang w:val="en-AU"/>
        </w:rPr>
      </w:pPr>
      <w:r>
        <w:t>T</w:t>
      </w:r>
      <w:r w:rsidRPr="00F521E9">
        <w:t xml:space="preserve">he Facility refreshed design </w:t>
      </w:r>
      <w:r>
        <w:t xml:space="preserve">was </w:t>
      </w:r>
      <w:r w:rsidRPr="00F521E9">
        <w:t>approved on 13 August 2024. Governance structures were reformed in FY202</w:t>
      </w:r>
      <w:r w:rsidR="007074AC">
        <w:t>4</w:t>
      </w:r>
      <w:r w:rsidRPr="00F521E9">
        <w:t>–2</w:t>
      </w:r>
      <w:r w:rsidR="007074AC">
        <w:t>5</w:t>
      </w:r>
      <w:r w:rsidRPr="00F521E9">
        <w:t xml:space="preserve"> to enable more integrated program delivery, with all programs </w:t>
      </w:r>
      <w:r>
        <w:t xml:space="preserve">consolidated under a Facility Director and stronger involvement from AHC Counsellors across sectors. </w:t>
      </w:r>
      <w:r w:rsidRPr="003C5062">
        <w:t>This model is highly relevant to Australia’s priorities</w:t>
      </w:r>
      <w:r>
        <w:t xml:space="preserve"> and raised ambitions in the Solomon Islands</w:t>
      </w:r>
      <w:r w:rsidRPr="6518DF12">
        <w:rPr>
          <w:rStyle w:val="FootnoteReference"/>
        </w:rPr>
        <w:footnoteReference w:id="3"/>
      </w:r>
      <w:r>
        <w:t xml:space="preserve">. </w:t>
      </w:r>
    </w:p>
    <w:p w14:paraId="5518E128" w14:textId="223AE476" w:rsidR="002B189F" w:rsidRPr="002B189F" w:rsidRDefault="002B189F" w:rsidP="008B3FC4">
      <w:pPr>
        <w:rPr>
          <w:lang w:val="en-AU"/>
        </w:rPr>
      </w:pPr>
      <w:r w:rsidRPr="002B189F">
        <w:rPr>
          <w:lang w:val="en-AU"/>
        </w:rPr>
        <w:t>ASIPS+ supports four SO types: Type 1 Development Programs</w:t>
      </w:r>
      <w:r w:rsidR="00CA565A">
        <w:rPr>
          <w:lang w:val="en-AU"/>
        </w:rPr>
        <w:t xml:space="preserve"> (</w:t>
      </w:r>
      <w:r w:rsidRPr="002B189F">
        <w:rPr>
          <w:lang w:val="en-AU"/>
        </w:rPr>
        <w:t>ODA-funded programs above AUD3 million</w:t>
      </w:r>
      <w:r w:rsidR="00CA565A">
        <w:rPr>
          <w:lang w:val="en-AU"/>
        </w:rPr>
        <w:t xml:space="preserve">), </w:t>
      </w:r>
      <w:r w:rsidRPr="002B189F">
        <w:rPr>
          <w:lang w:val="en-AU"/>
        </w:rPr>
        <w:t>Type 2 Deployee Support Services</w:t>
      </w:r>
      <w:r w:rsidR="00CA565A">
        <w:rPr>
          <w:lang w:val="en-AU"/>
        </w:rPr>
        <w:t xml:space="preserve"> (</w:t>
      </w:r>
      <w:r w:rsidRPr="002B189F">
        <w:rPr>
          <w:lang w:val="en-AU"/>
        </w:rPr>
        <w:t>which cover ODA and non-ODA support to Australian Government deployees</w:t>
      </w:r>
      <w:r w:rsidR="00CA565A">
        <w:rPr>
          <w:lang w:val="en-AU"/>
        </w:rPr>
        <w:t xml:space="preserve">), </w:t>
      </w:r>
      <w:r w:rsidRPr="002B189F">
        <w:rPr>
          <w:lang w:val="en-AU"/>
        </w:rPr>
        <w:t>Type 3 Thematic Initiatives</w:t>
      </w:r>
      <w:r w:rsidR="00CA565A">
        <w:rPr>
          <w:lang w:val="en-AU"/>
        </w:rPr>
        <w:t xml:space="preserve"> (</w:t>
      </w:r>
      <w:r w:rsidRPr="002B189F">
        <w:rPr>
          <w:lang w:val="en-AU"/>
        </w:rPr>
        <w:t>smaller or more targeted initiatives that support development outcomes</w:t>
      </w:r>
      <w:r w:rsidR="00CA565A">
        <w:rPr>
          <w:lang w:val="en-AU"/>
        </w:rPr>
        <w:t>),</w:t>
      </w:r>
      <w:r w:rsidRPr="002B189F">
        <w:rPr>
          <w:lang w:val="en-AU"/>
        </w:rPr>
        <w:t xml:space="preserve"> and Type 4 Flexible Funds</w:t>
      </w:r>
      <w:r w:rsidR="00CA565A">
        <w:rPr>
          <w:lang w:val="en-AU"/>
        </w:rPr>
        <w:t xml:space="preserve"> (</w:t>
      </w:r>
      <w:r w:rsidRPr="002B189F">
        <w:rPr>
          <w:lang w:val="en-AU"/>
        </w:rPr>
        <w:t>which allow DFAT to commission smaller, discrete and often rapid activities using ODA or non-ODA funding</w:t>
      </w:r>
      <w:r w:rsidR="00C068D1">
        <w:rPr>
          <w:lang w:val="en-AU"/>
        </w:rPr>
        <w:t xml:space="preserve"> for </w:t>
      </w:r>
      <w:r w:rsidRPr="002B189F">
        <w:rPr>
          <w:lang w:val="en-AU"/>
        </w:rPr>
        <w:t>flexible operational or development support</w:t>
      </w:r>
      <w:r w:rsidR="00CA565A">
        <w:rPr>
          <w:lang w:val="en-AU"/>
        </w:rPr>
        <w:t>)</w:t>
      </w:r>
      <w:r w:rsidR="00C068D1">
        <w:rPr>
          <w:lang w:val="en-AU"/>
        </w:rPr>
        <w:t>.</w:t>
      </w:r>
      <w:r w:rsidR="00F90619">
        <w:rPr>
          <w:lang w:val="en-AU"/>
        </w:rPr>
        <w:t xml:space="preserve"> </w:t>
      </w:r>
      <w:r w:rsidRPr="002B189F">
        <w:rPr>
          <w:lang w:val="en-AU"/>
        </w:rPr>
        <w:t xml:space="preserve">As </w:t>
      </w:r>
      <w:r w:rsidR="00C068D1">
        <w:rPr>
          <w:lang w:val="en-AU"/>
        </w:rPr>
        <w:t>of</w:t>
      </w:r>
      <w:r w:rsidRPr="002B189F">
        <w:rPr>
          <w:lang w:val="en-AU"/>
        </w:rPr>
        <w:t xml:space="preserve"> June 2026, there are 20 active SOs, valued at approximately AUD115.59 million. This includes two SOs that commenced in March 2026. The full SO list from the start of the </w:t>
      </w:r>
      <w:r w:rsidR="00CA565A">
        <w:rPr>
          <w:lang w:val="en-AU"/>
        </w:rPr>
        <w:t>f</w:t>
      </w:r>
      <w:r w:rsidRPr="002B189F">
        <w:rPr>
          <w:lang w:val="en-AU"/>
        </w:rPr>
        <w:t>acility to June 2026</w:t>
      </w:r>
      <w:r w:rsidR="00CA565A">
        <w:rPr>
          <w:lang w:val="en-AU"/>
        </w:rPr>
        <w:t xml:space="preserve"> </w:t>
      </w:r>
      <w:r w:rsidRPr="002B189F">
        <w:rPr>
          <w:lang w:val="en-AU"/>
        </w:rPr>
        <w:t xml:space="preserve">is provided in </w:t>
      </w:r>
      <w:r w:rsidRPr="007D335F">
        <w:rPr>
          <w:b/>
          <w:bCs/>
          <w:lang w:val="en-AU"/>
        </w:rPr>
        <w:t>Annex 4</w:t>
      </w:r>
      <w:r w:rsidRPr="002B189F">
        <w:rPr>
          <w:lang w:val="en-AU"/>
        </w:rPr>
        <w:t>.</w:t>
      </w:r>
    </w:p>
    <w:p w14:paraId="4D18F31F" w14:textId="0749FE2A" w:rsidR="002B189F" w:rsidRPr="002B189F" w:rsidRDefault="002B189F" w:rsidP="008B3FC4">
      <w:pPr>
        <w:rPr>
          <w:lang w:val="en-AU"/>
        </w:rPr>
      </w:pPr>
      <w:r w:rsidRPr="002B189F">
        <w:rPr>
          <w:lang w:val="en-AU"/>
        </w:rPr>
        <w:t>By sector, education and skills account for the largest share of the SO portfolio at AUD31.21 million, or 27.0%</w:t>
      </w:r>
      <w:r w:rsidR="00F90619">
        <w:rPr>
          <w:lang w:val="en-AU"/>
        </w:rPr>
        <w:t xml:space="preserve">; </w:t>
      </w:r>
      <w:r w:rsidRPr="002B189F">
        <w:rPr>
          <w:lang w:val="en-AU"/>
        </w:rPr>
        <w:t>health for AUD8.63 million, or 7.5%; and climate, disaster resilience and agriculture for AUD1.30 million, or 1.1%.</w:t>
      </w:r>
    </w:p>
    <w:p w14:paraId="48695A75" w14:textId="7662EEAA" w:rsidR="002B189F" w:rsidRPr="002B189F" w:rsidRDefault="002B189F" w:rsidP="008B3FC4">
      <w:pPr>
        <w:rPr>
          <w:lang w:val="en-AU"/>
        </w:rPr>
      </w:pPr>
      <w:r w:rsidRPr="002B189F">
        <w:rPr>
          <w:lang w:val="en-AU"/>
        </w:rPr>
        <w:t>In terms of delivery role, AUD43.42 million</w:t>
      </w:r>
      <w:r w:rsidR="00CA565A">
        <w:rPr>
          <w:lang w:val="en-AU"/>
        </w:rPr>
        <w:t xml:space="preserve"> (</w:t>
      </w:r>
      <w:r w:rsidRPr="002B189F">
        <w:rPr>
          <w:lang w:val="en-AU"/>
        </w:rPr>
        <w:t>37.6%</w:t>
      </w:r>
      <w:r w:rsidR="00CA565A">
        <w:rPr>
          <w:lang w:val="en-AU"/>
        </w:rPr>
        <w:t>)</w:t>
      </w:r>
      <w:r w:rsidRPr="002B189F">
        <w:rPr>
          <w:lang w:val="en-AU"/>
        </w:rPr>
        <w:t xml:space="preserve"> is substantial development delivery, where ASIPS+ has a significant role in managing delivery systems and supporting program quality. Approximately AUD29.42 million</w:t>
      </w:r>
      <w:r w:rsidR="00CA565A">
        <w:rPr>
          <w:lang w:val="en-AU"/>
        </w:rPr>
        <w:t xml:space="preserve"> (</w:t>
      </w:r>
      <w:r w:rsidRPr="002B189F">
        <w:rPr>
          <w:lang w:val="en-AU"/>
        </w:rPr>
        <w:t>25.4%</w:t>
      </w:r>
      <w:r w:rsidR="00CA565A">
        <w:rPr>
          <w:lang w:val="en-AU"/>
        </w:rPr>
        <w:t>)</w:t>
      </w:r>
      <w:r w:rsidRPr="002B189F">
        <w:rPr>
          <w:lang w:val="en-AU"/>
        </w:rPr>
        <w:t xml:space="preserve"> is partial development delivery, where ASIPS+ provides technical assistance, design, grants administration, procurement, logistics, payments or implementation support, while DFAT, SIG ministries or other partners retain substantial responsibility for strategic direction, policy engagement or sector outcomes. Approximately AUD42.75 million</w:t>
      </w:r>
      <w:r w:rsidR="00CA565A">
        <w:rPr>
          <w:lang w:val="en-AU"/>
        </w:rPr>
        <w:t xml:space="preserve"> (</w:t>
      </w:r>
      <w:r w:rsidRPr="002B189F">
        <w:rPr>
          <w:lang w:val="en-AU"/>
        </w:rPr>
        <w:t>37.0%</w:t>
      </w:r>
      <w:r w:rsidR="00CA565A">
        <w:rPr>
          <w:lang w:val="en-AU"/>
        </w:rPr>
        <w:t xml:space="preserve">) </w:t>
      </w:r>
      <w:r w:rsidRPr="002B189F">
        <w:rPr>
          <w:lang w:val="en-AU"/>
        </w:rPr>
        <w:t>is enabling or operational support.</w:t>
      </w:r>
    </w:p>
    <w:p w14:paraId="6A8CE096" w14:textId="50F97216" w:rsidR="002B189F" w:rsidRDefault="002B189F" w:rsidP="008B3FC4">
      <w:pPr>
        <w:rPr>
          <w:lang w:val="en-AU"/>
        </w:rPr>
      </w:pPr>
      <w:r w:rsidRPr="002B189F">
        <w:rPr>
          <w:lang w:val="en-AU"/>
        </w:rPr>
        <w:t>ASIPS+ uses both ODA and non-ODA funding streams. Approximately AUD97.72 million</w:t>
      </w:r>
      <w:r w:rsidR="00CA565A">
        <w:rPr>
          <w:lang w:val="en-AU"/>
        </w:rPr>
        <w:t xml:space="preserve"> (</w:t>
      </w:r>
      <w:r w:rsidRPr="002B189F">
        <w:rPr>
          <w:lang w:val="en-AU"/>
        </w:rPr>
        <w:t>84.5%</w:t>
      </w:r>
      <w:r w:rsidR="00CA565A">
        <w:rPr>
          <w:lang w:val="en-AU"/>
        </w:rPr>
        <w:t>)</w:t>
      </w:r>
      <w:r w:rsidRPr="002B189F">
        <w:rPr>
          <w:lang w:val="en-AU"/>
        </w:rPr>
        <w:t xml:space="preserve"> is ODA, while AUD17.87 million</w:t>
      </w:r>
      <w:r w:rsidR="00CA565A">
        <w:rPr>
          <w:lang w:val="en-AU"/>
        </w:rPr>
        <w:t xml:space="preserve"> (</w:t>
      </w:r>
      <w:r w:rsidRPr="002B189F">
        <w:rPr>
          <w:lang w:val="en-AU"/>
        </w:rPr>
        <w:t>15.5%</w:t>
      </w:r>
      <w:r w:rsidR="00CA565A">
        <w:rPr>
          <w:lang w:val="en-AU"/>
        </w:rPr>
        <w:t>)</w:t>
      </w:r>
      <w:r w:rsidRPr="002B189F">
        <w:rPr>
          <w:lang w:val="en-AU"/>
        </w:rPr>
        <w:t xml:space="preserve"> is non-ODA. The non-ODA component is concentrated in four SOs: Departmental Deployee Support Services; departmental procurement, logistics and strategic communications support; departmental personnel and recruitment; and the Solomon Islands National University (SINU) Security Studies Program pilot. These activities support Australia’s broader diplomatic, departmental and security engagement in </w:t>
      </w:r>
      <w:r w:rsidRPr="002B189F">
        <w:rPr>
          <w:lang w:val="en-AU"/>
        </w:rPr>
        <w:lastRenderedPageBreak/>
        <w:t>Solomon Islands and operate under different funding, delegation and compliance settings from ODA-funded development programming.</w:t>
      </w:r>
    </w:p>
    <w:p w14:paraId="1587B58F" w14:textId="73960235" w:rsidR="008310F2" w:rsidRDefault="008310F2" w:rsidP="008B3FC4">
      <w:pPr>
        <w:rPr>
          <w:lang w:val="en-AU"/>
        </w:rPr>
      </w:pPr>
      <w:r w:rsidRPr="0A2401E7">
        <w:rPr>
          <w:lang w:val="en-AU"/>
        </w:rPr>
        <w:t xml:space="preserve">ASIPS+ is governed through a partnership between DFAT, through AHC Honiara, and DT Global as managing contractor. </w:t>
      </w:r>
      <w:r w:rsidRPr="007D335F">
        <w:rPr>
          <w:lang w:val="en-AU"/>
        </w:rPr>
        <w:t>The Strategic Oversight Group (SOG) is the</w:t>
      </w:r>
      <w:r w:rsidRPr="0A2401E7">
        <w:rPr>
          <w:lang w:val="en-AU"/>
        </w:rPr>
        <w:t xml:space="preserve"> governance forum for the investment. It meets six-monthly and provides strategic oversight of the FSU and SO portfolio</w:t>
      </w:r>
      <w:r w:rsidR="00F90619">
        <w:rPr>
          <w:lang w:val="en-AU"/>
        </w:rPr>
        <w:t xml:space="preserve">. </w:t>
      </w:r>
      <w:r w:rsidR="00642580" w:rsidRPr="00642580">
        <w:t>The SOG is chaired by the Deputy Head of Mission/Senior Responsible Officer</w:t>
      </w:r>
      <w:r w:rsidR="00642580">
        <w:rPr>
          <w:lang w:val="en-AU"/>
        </w:rPr>
        <w:t xml:space="preserve"> </w:t>
      </w:r>
      <w:r w:rsidR="09938F92" w:rsidRPr="0A2401E7">
        <w:rPr>
          <w:lang w:val="en-AU"/>
        </w:rPr>
        <w:t>and includes DFAT Counse</w:t>
      </w:r>
      <w:r w:rsidR="68D1EDE8" w:rsidRPr="0A2401E7">
        <w:rPr>
          <w:lang w:val="en-AU"/>
        </w:rPr>
        <w:t>l</w:t>
      </w:r>
      <w:r w:rsidR="09938F92" w:rsidRPr="0A2401E7">
        <w:rPr>
          <w:lang w:val="en-AU"/>
        </w:rPr>
        <w:t xml:space="preserve">lors, </w:t>
      </w:r>
      <w:r w:rsidR="00642580">
        <w:rPr>
          <w:lang w:val="en-AU"/>
        </w:rPr>
        <w:t>ASIPS+</w:t>
      </w:r>
      <w:r w:rsidR="09938F92" w:rsidRPr="0A2401E7">
        <w:rPr>
          <w:lang w:val="en-AU"/>
        </w:rPr>
        <w:t xml:space="preserve"> </w:t>
      </w:r>
      <w:r w:rsidR="00D2604E">
        <w:rPr>
          <w:lang w:val="en-AU"/>
        </w:rPr>
        <w:t xml:space="preserve">Director, </w:t>
      </w:r>
      <w:r w:rsidR="09938F92" w:rsidRPr="0A2401E7">
        <w:rPr>
          <w:lang w:val="en-AU"/>
        </w:rPr>
        <w:t>and</w:t>
      </w:r>
      <w:r w:rsidR="7D5F7F64" w:rsidRPr="0A2401E7">
        <w:rPr>
          <w:lang w:val="en-AU"/>
        </w:rPr>
        <w:t xml:space="preserve"> a</w:t>
      </w:r>
      <w:r w:rsidR="09938F92" w:rsidRPr="0A2401E7">
        <w:rPr>
          <w:lang w:val="en-AU"/>
        </w:rPr>
        <w:t xml:space="preserve"> DT Global Contractor Representative</w:t>
      </w:r>
      <w:r w:rsidRPr="0A2401E7">
        <w:rPr>
          <w:lang w:val="en-AU"/>
        </w:rPr>
        <w:t>.</w:t>
      </w:r>
      <w:r w:rsidR="00BF4F6D" w:rsidRPr="0A2401E7">
        <w:rPr>
          <w:lang w:val="en-AU"/>
        </w:rPr>
        <w:t xml:space="preserve"> </w:t>
      </w:r>
      <w:r w:rsidRPr="0A2401E7">
        <w:rPr>
          <w:lang w:val="en-AU"/>
        </w:rPr>
        <w:t xml:space="preserve">Operational management is shared between DFAT’s Facility Investment Management Team (FIMT) and the FSU. FIMT oversees </w:t>
      </w:r>
      <w:r w:rsidR="00BF4F6D" w:rsidRPr="0A2401E7">
        <w:rPr>
          <w:lang w:val="en-AU"/>
        </w:rPr>
        <w:t xml:space="preserve">the </w:t>
      </w:r>
      <w:r w:rsidRPr="0A2401E7">
        <w:rPr>
          <w:lang w:val="en-AU"/>
        </w:rPr>
        <w:t>FSU</w:t>
      </w:r>
      <w:r w:rsidR="00BF4F6D" w:rsidRPr="0A2401E7">
        <w:rPr>
          <w:lang w:val="en-AU"/>
        </w:rPr>
        <w:t xml:space="preserve"> (SO01)</w:t>
      </w:r>
      <w:r w:rsidRPr="0A2401E7">
        <w:rPr>
          <w:lang w:val="en-AU"/>
        </w:rPr>
        <w:t xml:space="preserve">, endorses new SOs and coordinates with DFAT SO Managers to support portfolio alignment. The FSU develops SOs to meet DFAT requirements and ASIPS+ quality programming criteria, provides operational and development effectiveness support, and manages SO delivery. </w:t>
      </w:r>
      <w:r w:rsidR="009E7068" w:rsidRPr="0A2401E7">
        <w:rPr>
          <w:lang w:val="en-AU"/>
        </w:rPr>
        <w:t>A</w:t>
      </w:r>
      <w:r w:rsidR="00642580">
        <w:rPr>
          <w:lang w:val="en-AU"/>
        </w:rPr>
        <w:t>HC</w:t>
      </w:r>
      <w:r w:rsidR="009E7068" w:rsidRPr="0A2401E7">
        <w:rPr>
          <w:lang w:val="en-AU"/>
        </w:rPr>
        <w:t xml:space="preserve"> </w:t>
      </w:r>
      <w:r w:rsidRPr="0A2401E7">
        <w:rPr>
          <w:lang w:val="en-AU"/>
        </w:rPr>
        <w:t xml:space="preserve">SO Leads are responsible for day-to-day implementation of SOs. These arrangements are supported by regular coordination mechanisms, including fortnightly FIMT–FSU management meetings, monthly or bi-monthly coordination meetings, Program Leads meetings, </w:t>
      </w:r>
      <w:r w:rsidR="00B57FA7" w:rsidRPr="0A2401E7">
        <w:rPr>
          <w:lang w:val="en-AU"/>
        </w:rPr>
        <w:t xml:space="preserve">and </w:t>
      </w:r>
      <w:r w:rsidRPr="0A2401E7">
        <w:rPr>
          <w:lang w:val="en-AU"/>
        </w:rPr>
        <w:t>business</w:t>
      </w:r>
      <w:r w:rsidR="00976ED9" w:rsidRPr="0A2401E7">
        <w:rPr>
          <w:lang w:val="en-AU"/>
        </w:rPr>
        <w:t xml:space="preserve"> </w:t>
      </w:r>
      <w:r w:rsidRPr="0A2401E7">
        <w:rPr>
          <w:lang w:val="en-AU"/>
        </w:rPr>
        <w:t xml:space="preserve">unit meetings. </w:t>
      </w:r>
    </w:p>
    <w:p w14:paraId="49A6AE32" w14:textId="795A57B5" w:rsidR="005166B7" w:rsidRPr="00CD7F9E" w:rsidRDefault="005166B7" w:rsidP="008B3FC4">
      <w:pPr>
        <w:rPr>
          <w:lang w:val="en-AU"/>
        </w:rPr>
      </w:pPr>
      <w:r w:rsidRPr="003E5014">
        <w:rPr>
          <w:lang w:val="en-AU"/>
        </w:rPr>
        <w:t>DFAT assesses ASIPS+ and relevant SOs through the</w:t>
      </w:r>
      <w:r>
        <w:rPr>
          <w:lang w:val="en-AU"/>
        </w:rPr>
        <w:t xml:space="preserve"> </w:t>
      </w:r>
      <w:r w:rsidRPr="009475FB">
        <w:t>Investment Monitoring Report</w:t>
      </w:r>
      <w:r w:rsidRPr="003E5014">
        <w:rPr>
          <w:lang w:val="en-AU"/>
        </w:rPr>
        <w:t xml:space="preserve"> </w:t>
      </w:r>
      <w:r>
        <w:rPr>
          <w:lang w:val="en-AU"/>
        </w:rPr>
        <w:t>(</w:t>
      </w:r>
      <w:r w:rsidRPr="003E5014">
        <w:rPr>
          <w:lang w:val="en-AU"/>
        </w:rPr>
        <w:t>IMR</w:t>
      </w:r>
      <w:r>
        <w:rPr>
          <w:lang w:val="en-AU"/>
        </w:rPr>
        <w:t>)</w:t>
      </w:r>
      <w:r w:rsidRPr="003E5014">
        <w:rPr>
          <w:lang w:val="en-AU"/>
        </w:rPr>
        <w:t xml:space="preserve"> process</w:t>
      </w:r>
      <w:r>
        <w:rPr>
          <w:rStyle w:val="FootnoteReference"/>
          <w:lang w:val="en-AU"/>
        </w:rPr>
        <w:footnoteReference w:id="4"/>
      </w:r>
      <w:r w:rsidRPr="003E5014">
        <w:rPr>
          <w:lang w:val="en-AU"/>
        </w:rPr>
        <w:t>, supported by ASIPS+ six-monthly and annual reporting. SO01</w:t>
      </w:r>
      <w:r>
        <w:rPr>
          <w:lang w:val="en-AU"/>
        </w:rPr>
        <w:t xml:space="preserve">/FSU </w:t>
      </w:r>
      <w:r w:rsidRPr="003E5014">
        <w:rPr>
          <w:lang w:val="en-AU"/>
        </w:rPr>
        <w:t>performance is assessed against the IMR criteria</w:t>
      </w:r>
      <w:r>
        <w:rPr>
          <w:lang w:val="en-AU"/>
        </w:rPr>
        <w:t xml:space="preserve"> and </w:t>
      </w:r>
      <w:r w:rsidRPr="003E5014">
        <w:rPr>
          <w:lang w:val="en-AU"/>
        </w:rPr>
        <w:t xml:space="preserve">Facility </w:t>
      </w:r>
      <w:r w:rsidRPr="009475FB">
        <w:rPr>
          <w:lang w:val="en-AU"/>
        </w:rPr>
        <w:t xml:space="preserve">Performance Assessment Framework </w:t>
      </w:r>
      <w:r>
        <w:rPr>
          <w:lang w:val="en-AU"/>
        </w:rPr>
        <w:t>(</w:t>
      </w:r>
      <w:r w:rsidRPr="003E5014">
        <w:rPr>
          <w:lang w:val="en-AU"/>
        </w:rPr>
        <w:t>PAF</w:t>
      </w:r>
      <w:r>
        <w:rPr>
          <w:lang w:val="en-AU"/>
        </w:rPr>
        <w:t>)</w:t>
      </w:r>
      <w:r w:rsidRPr="003E5014">
        <w:rPr>
          <w:lang w:val="en-AU"/>
        </w:rPr>
        <w:t xml:space="preserve">. </w:t>
      </w:r>
      <w:r w:rsidRPr="009475FB">
        <w:rPr>
          <w:lang w:val="en-AU"/>
        </w:rPr>
        <w:t xml:space="preserve">This includes nine operational and efficiency indicators, which are reported in ASIPS+ performance reporting and are consistent with the Australian National Audit Office’s 2020 finding on the need for facility performance frameworks to collect data against a consistent set of quantitative efficiency indicators. </w:t>
      </w:r>
    </w:p>
    <w:p w14:paraId="45B6E1A9" w14:textId="29826121" w:rsidR="00EC3FEB" w:rsidRPr="00550B3C" w:rsidRDefault="0060641C" w:rsidP="0060641C">
      <w:pPr>
        <w:pStyle w:val="Heading2"/>
      </w:pPr>
      <w:r>
        <w:t xml:space="preserve">1.2. </w:t>
      </w:r>
      <w:bookmarkStart w:id="5" w:name="_Ref228716499"/>
      <w:bookmarkStart w:id="6" w:name="_Toc234426718"/>
      <w:r w:rsidR="00EC3FEB" w:rsidRPr="00550B3C">
        <w:t>Context and strategic setting</w:t>
      </w:r>
      <w:bookmarkEnd w:id="5"/>
      <w:bookmarkEnd w:id="6"/>
    </w:p>
    <w:p w14:paraId="3DBABA58" w14:textId="77062D33" w:rsidR="00CA1984" w:rsidRPr="00BC7E1D" w:rsidRDefault="00800D57" w:rsidP="00BC7E1D">
      <w:pPr>
        <w:pStyle w:val="Heading3NOTOC"/>
      </w:pPr>
      <w:r w:rsidRPr="00BC7E1D">
        <w:t>A more responsive partnership</w:t>
      </w:r>
    </w:p>
    <w:p w14:paraId="06B1D8D5" w14:textId="57130208" w:rsidR="00B57FA7" w:rsidRDefault="4ED2B3EE" w:rsidP="00424C08">
      <w:pPr>
        <w:rPr>
          <w:lang w:val="en-AU"/>
        </w:rPr>
      </w:pPr>
      <w:r w:rsidRPr="008E7A5E">
        <w:t xml:space="preserve">The Australian Government’s emphasis on a more responsive partnership was highlighted during Foreign Minister Penny Wong’s June 2024 visit to Honiara, following </w:t>
      </w:r>
      <w:r w:rsidR="001B6BBD">
        <w:t xml:space="preserve">then </w:t>
      </w:r>
      <w:r w:rsidRPr="008E7A5E">
        <w:t xml:space="preserve">Prime Minister Jeremiah Manele taking office in May 2024. In public remarks, Minister Wong linked the future of the relationship to Solomon Islands’ priorities, </w:t>
      </w:r>
      <w:r>
        <w:t xml:space="preserve">stating that Australia was open to a “much larger partnership” conducted “in accordance with your priorities” and “as equals and as </w:t>
      </w:r>
      <w:r w:rsidR="40592FFD" w:rsidRPr="00CA1984">
        <w:rPr>
          <w:lang w:val="en-AU"/>
        </w:rPr>
        <w:t>partners”</w:t>
      </w:r>
      <w:r w:rsidR="00CA1984">
        <w:rPr>
          <w:rStyle w:val="FootnoteReference"/>
          <w:lang w:val="en-AU"/>
        </w:rPr>
        <w:footnoteReference w:id="5"/>
      </w:r>
      <w:r w:rsidR="40592FFD" w:rsidRPr="00CA1984">
        <w:rPr>
          <w:lang w:val="en-AU"/>
        </w:rPr>
        <w:t>.</w:t>
      </w:r>
      <w:r w:rsidR="40592FFD">
        <w:rPr>
          <w:lang w:val="en-AU"/>
        </w:rPr>
        <w:t xml:space="preserve"> </w:t>
      </w:r>
      <w:r w:rsidRPr="008E7A5E">
        <w:t>The Minister situated Australia’s partnership with Solomon Islands within a “more contested” regional environment, emphasising Australia’s interest in a Pacific region that is “peaceful, stable and prosperous”</w:t>
      </w:r>
      <w:r w:rsidR="00CA1984">
        <w:rPr>
          <w:rStyle w:val="FootnoteReference"/>
          <w:lang w:val="en-AU"/>
        </w:rPr>
        <w:footnoteReference w:id="6"/>
      </w:r>
      <w:r w:rsidR="40592FFD" w:rsidRPr="00CA1984">
        <w:rPr>
          <w:lang w:val="en-AU"/>
        </w:rPr>
        <w:t xml:space="preserve">. </w:t>
      </w:r>
      <w:r w:rsidR="111ACD3C">
        <w:t xml:space="preserve">This closer cooperation is reflected in the joint objectives of the </w:t>
      </w:r>
      <w:hyperlink r:id="rId12">
        <w:r w:rsidR="40592FFD" w:rsidRPr="6518DF12">
          <w:rPr>
            <w:rStyle w:val="Hyperlink"/>
            <w:lang w:val="en-AU"/>
          </w:rPr>
          <w:t>Australia-Solomon Islands Development Partnership Plan 2024-2029</w:t>
        </w:r>
      </w:hyperlink>
      <w:r w:rsidR="7CE26EE0">
        <w:t xml:space="preserve"> (DPP)</w:t>
      </w:r>
      <w:r w:rsidR="00FB4EA0">
        <w:rPr>
          <w:rStyle w:val="FootnoteReference"/>
        </w:rPr>
        <w:footnoteReference w:id="7"/>
      </w:r>
      <w:r w:rsidR="56E805CC">
        <w:rPr>
          <w:lang w:val="en-AU"/>
        </w:rPr>
        <w:t xml:space="preserve">, </w:t>
      </w:r>
      <w:r w:rsidR="111ACD3C" w:rsidRPr="002520BD">
        <w:t xml:space="preserve">which was </w:t>
      </w:r>
      <w:r w:rsidR="122E51F4">
        <w:t>developed</w:t>
      </w:r>
      <w:r w:rsidR="111ACD3C">
        <w:t xml:space="preserve"> in </w:t>
      </w:r>
      <w:r w:rsidR="34CB7D89">
        <w:t>partnership</w:t>
      </w:r>
      <w:r w:rsidR="111ACD3C">
        <w:t xml:space="preserve"> with the SIG and guided by </w:t>
      </w:r>
      <w:hyperlink r:id="rId13">
        <w:r w:rsidR="111ACD3C" w:rsidRPr="6518DF12">
          <w:rPr>
            <w:rStyle w:val="Hyperlink"/>
            <w:lang w:val="en-AU"/>
          </w:rPr>
          <w:t>Solomon Islands' National Development Strategy 2016-2035</w:t>
        </w:r>
      </w:hyperlink>
      <w:r w:rsidR="008E7A5E" w:rsidRPr="6518DF12">
        <w:rPr>
          <w:rStyle w:val="FootnoteReference"/>
        </w:rPr>
        <w:footnoteReference w:id="8"/>
      </w:r>
      <w:r w:rsidR="111ACD3C" w:rsidRPr="6518DF12">
        <w:rPr>
          <w:lang w:val="en-AU"/>
        </w:rPr>
        <w:t xml:space="preserve"> and </w:t>
      </w:r>
      <w:hyperlink r:id="rId14">
        <w:r w:rsidR="111ACD3C" w:rsidRPr="6518DF12">
          <w:rPr>
            <w:rStyle w:val="Hyperlink"/>
            <w:lang w:val="en-AU"/>
          </w:rPr>
          <w:t>Australia's International Development Policy</w:t>
        </w:r>
      </w:hyperlink>
      <w:r w:rsidR="111ACD3C" w:rsidRPr="6518DF12">
        <w:rPr>
          <w:lang w:val="en-AU"/>
        </w:rPr>
        <w:t>.</w:t>
      </w:r>
      <w:r w:rsidR="5CF7A4CB" w:rsidRPr="6518DF12">
        <w:rPr>
          <w:lang w:val="en-AU"/>
        </w:rPr>
        <w:t xml:space="preserve"> </w:t>
      </w:r>
    </w:p>
    <w:p w14:paraId="364B1CE8" w14:textId="14004885" w:rsidR="00800D57" w:rsidRPr="00BC7E1D" w:rsidRDefault="00800D57" w:rsidP="00BC7E1D">
      <w:pPr>
        <w:pStyle w:val="Heading3NOTOC"/>
      </w:pPr>
      <w:r w:rsidRPr="00BC7E1D">
        <w:t xml:space="preserve">Solomon Islands development </w:t>
      </w:r>
      <w:r w:rsidR="009D7ABA" w:rsidRPr="00BC7E1D">
        <w:t>needs</w:t>
      </w:r>
    </w:p>
    <w:p w14:paraId="0A0A938A" w14:textId="40530E18" w:rsidR="00452748" w:rsidRDefault="00E43E4B" w:rsidP="00424C08">
      <w:pPr>
        <w:rPr>
          <w:lang w:val="en-AU"/>
        </w:rPr>
      </w:pPr>
      <w:r w:rsidRPr="00E43E4B">
        <w:rPr>
          <w:lang w:val="en-AU"/>
        </w:rPr>
        <w:t>Increased ambition for ASIPS+ corresponds to the scale</w:t>
      </w:r>
      <w:r w:rsidR="00355135" w:rsidRPr="00355135">
        <w:t xml:space="preserve"> and persistence of Solomon Islands’ development challenges</w:t>
      </w:r>
      <w:r w:rsidR="00355135">
        <w:rPr>
          <w:lang w:val="en-AU"/>
        </w:rPr>
        <w:t xml:space="preserve">. </w:t>
      </w:r>
      <w:r w:rsidRPr="00E43E4B">
        <w:rPr>
          <w:lang w:val="en-AU"/>
        </w:rPr>
        <w:t>Solomon Islands is a dispersed small island state and</w:t>
      </w:r>
      <w:r>
        <w:rPr>
          <w:lang w:val="en-AU"/>
        </w:rPr>
        <w:t xml:space="preserve">, while it is </w:t>
      </w:r>
      <w:r w:rsidRPr="00E43E4B">
        <w:rPr>
          <w:lang w:val="en-AU"/>
        </w:rPr>
        <w:t>scheduled to graduate from the Least Developed Country category in 2027</w:t>
      </w:r>
      <w:r w:rsidR="007B2B82">
        <w:rPr>
          <w:rStyle w:val="FootnoteReference"/>
          <w:lang w:val="en-AU"/>
        </w:rPr>
        <w:footnoteReference w:id="9"/>
      </w:r>
      <w:r>
        <w:rPr>
          <w:lang w:val="en-AU"/>
        </w:rPr>
        <w:t>, its</w:t>
      </w:r>
      <w:r w:rsidRPr="00E43E4B">
        <w:rPr>
          <w:lang w:val="en-AU"/>
        </w:rPr>
        <w:t xml:space="preserve"> development </w:t>
      </w:r>
      <w:r>
        <w:rPr>
          <w:lang w:val="en-AU"/>
        </w:rPr>
        <w:t>is</w:t>
      </w:r>
      <w:r w:rsidRPr="00E43E4B">
        <w:rPr>
          <w:lang w:val="en-AU"/>
        </w:rPr>
        <w:t xml:space="preserve"> constrained by </w:t>
      </w:r>
      <w:r w:rsidR="00637C61">
        <w:rPr>
          <w:lang w:val="en-AU"/>
        </w:rPr>
        <w:t xml:space="preserve">confluence of </w:t>
      </w:r>
      <w:r w:rsidR="00452748" w:rsidRPr="00452748">
        <w:t>demographic, geographic, socio-economic, environmental and social inclusion pressures.</w:t>
      </w:r>
    </w:p>
    <w:p w14:paraId="295258F5" w14:textId="2A886167" w:rsidR="00B57FA7" w:rsidRPr="00B57FA7" w:rsidRDefault="00452748" w:rsidP="00424C08">
      <w:pPr>
        <w:rPr>
          <w:lang w:val="en-AU"/>
        </w:rPr>
      </w:pPr>
      <w:r>
        <w:t xml:space="preserve">The dispersed population and limited connectivity make basic service delivery difficult and costly. In health, this contributes to persistent access constraints, alongside a growing burden of non-communicable diseases. In education, inadequate school infrastructure and </w:t>
      </w:r>
      <w:r w:rsidR="2F2662BD">
        <w:t>a lack of</w:t>
      </w:r>
      <w:r>
        <w:t xml:space="preserve"> qualified teachers continue to affect learning outcomes and longer-term economic participation.</w:t>
      </w:r>
      <w:r w:rsidR="00606D88">
        <w:rPr>
          <w:lang w:val="en-AU"/>
        </w:rPr>
        <w:t xml:space="preserve"> </w:t>
      </w:r>
      <w:r w:rsidR="00637C61" w:rsidRPr="00637C61">
        <w:t>Solomon Islands continues to rely heavily on primary production, resource extraction and foreign aid, while logging, historically a major source of growth and public revenue, is in decline.</w:t>
      </w:r>
      <w:r w:rsidR="00637C61">
        <w:rPr>
          <w:lang w:val="en-AU"/>
        </w:rPr>
        <w:t xml:space="preserve"> </w:t>
      </w:r>
      <w:r w:rsidR="00B57FA7" w:rsidRPr="00E43E4B">
        <w:rPr>
          <w:lang w:val="en-AU"/>
        </w:rPr>
        <w:t>These pressures are felt directly by households</w:t>
      </w:r>
      <w:r w:rsidR="00B57FA7">
        <w:rPr>
          <w:lang w:val="en-AU"/>
        </w:rPr>
        <w:t xml:space="preserve">, with </w:t>
      </w:r>
      <w:r w:rsidR="00B57FA7" w:rsidRPr="00E43E4B">
        <w:rPr>
          <w:lang w:val="en-AU"/>
        </w:rPr>
        <w:t>35% of the employment-aged population liv</w:t>
      </w:r>
      <w:r w:rsidR="00B57FA7">
        <w:rPr>
          <w:lang w:val="en-AU"/>
        </w:rPr>
        <w:t>ing</w:t>
      </w:r>
      <w:r w:rsidR="00B57FA7" w:rsidRPr="00E43E4B">
        <w:rPr>
          <w:lang w:val="en-AU"/>
        </w:rPr>
        <w:t xml:space="preserve"> below the poverty line</w:t>
      </w:r>
      <w:r w:rsidR="00B57FA7">
        <w:rPr>
          <w:rStyle w:val="FootnoteReference"/>
          <w:lang w:val="en-AU"/>
        </w:rPr>
        <w:footnoteReference w:id="10"/>
      </w:r>
      <w:r w:rsidR="00B57FA7">
        <w:rPr>
          <w:lang w:val="en-AU"/>
        </w:rPr>
        <w:t xml:space="preserve">. </w:t>
      </w:r>
    </w:p>
    <w:p w14:paraId="649B799D" w14:textId="3606F17F" w:rsidR="00E43E4B" w:rsidRDefault="00355135" w:rsidP="00424C08">
      <w:pPr>
        <w:rPr>
          <w:lang w:val="en-AU"/>
        </w:rPr>
      </w:pPr>
      <w:r w:rsidRPr="00355135">
        <w:t xml:space="preserve">Solomon Islands is among the countries with the highest disaster risk because of its exposure to earthquakes, landslides, cyclones, coastal flooding, tsunamis and sea-level rise. Coastal exposure is particularly acute, with around two-thirds of the population living within 1 km of the </w:t>
      </w:r>
      <w:r w:rsidR="00E43E4B" w:rsidRPr="00E43E4B">
        <w:rPr>
          <w:lang w:val="en-AU"/>
        </w:rPr>
        <w:t>coast</w:t>
      </w:r>
      <w:r w:rsidR="00573432">
        <w:rPr>
          <w:rStyle w:val="FootnoteReference"/>
          <w:lang w:val="en-AU"/>
        </w:rPr>
        <w:footnoteReference w:id="11"/>
      </w:r>
    </w:p>
    <w:p w14:paraId="61B0D036" w14:textId="7946A518" w:rsidR="00452748" w:rsidRDefault="00355135" w:rsidP="00424C08">
      <w:r w:rsidRPr="00355135">
        <w:lastRenderedPageBreak/>
        <w:t xml:space="preserve">Gender inequality, disability </w:t>
      </w:r>
      <w:r>
        <w:t xml:space="preserve">inequity and broader social exclusion </w:t>
      </w:r>
      <w:r w:rsidRPr="00355135">
        <w:t xml:space="preserve">reduce the </w:t>
      </w:r>
      <w:r w:rsidR="00452748">
        <w:t>effectiveness</w:t>
      </w:r>
      <w:r w:rsidRPr="00355135">
        <w:t xml:space="preserve"> and sustainability of development.</w:t>
      </w:r>
      <w:r>
        <w:t xml:space="preserve"> </w:t>
      </w:r>
      <w:r w:rsidR="00606D88">
        <w:rPr>
          <w:lang w:val="en-AU"/>
        </w:rPr>
        <w:t xml:space="preserve">The </w:t>
      </w:r>
      <w:r w:rsidR="00606D88" w:rsidRPr="00E43E4B">
        <w:rPr>
          <w:lang w:val="en-AU"/>
        </w:rPr>
        <w:t xml:space="preserve">youthful population </w:t>
      </w:r>
      <w:r w:rsidR="00606D88">
        <w:rPr>
          <w:lang w:val="en-AU"/>
        </w:rPr>
        <w:t>(</w:t>
      </w:r>
      <w:r w:rsidR="00606D88" w:rsidRPr="00E43E4B">
        <w:rPr>
          <w:lang w:val="en-AU"/>
        </w:rPr>
        <w:t xml:space="preserve">three in five </w:t>
      </w:r>
      <w:r w:rsidR="00606D88">
        <w:rPr>
          <w:lang w:val="en-AU"/>
        </w:rPr>
        <w:t xml:space="preserve">Solomon Islanders </w:t>
      </w:r>
      <w:r w:rsidR="00606D88" w:rsidRPr="00E43E4B">
        <w:rPr>
          <w:lang w:val="en-AU"/>
        </w:rPr>
        <w:t>are under 24</w:t>
      </w:r>
      <w:r w:rsidR="00606D88">
        <w:rPr>
          <w:lang w:val="en-AU"/>
        </w:rPr>
        <w:t>)</w:t>
      </w:r>
      <w:r w:rsidR="00606D88">
        <w:rPr>
          <w:rStyle w:val="FootnoteReference"/>
          <w:lang w:val="en-AU"/>
        </w:rPr>
        <w:footnoteReference w:id="12"/>
      </w:r>
      <w:r w:rsidR="00606D88">
        <w:rPr>
          <w:lang w:val="en-AU"/>
        </w:rPr>
        <w:t xml:space="preserve"> is </w:t>
      </w:r>
      <w:r w:rsidR="00606D88" w:rsidRPr="00355135">
        <w:t>an economic and social pressure point</w:t>
      </w:r>
      <w:r w:rsidR="00606D88">
        <w:rPr>
          <w:lang w:val="en-AU"/>
        </w:rPr>
        <w:t xml:space="preserve"> due to limited </w:t>
      </w:r>
      <w:r w:rsidR="00606D88" w:rsidRPr="00E43E4B">
        <w:rPr>
          <w:lang w:val="en-AU"/>
        </w:rPr>
        <w:t>employment opportunities</w:t>
      </w:r>
      <w:r w:rsidR="00606D88" w:rsidRPr="2B9594AF">
        <w:rPr>
          <w:lang w:val="en-AU"/>
        </w:rPr>
        <w:t xml:space="preserve">. </w:t>
      </w:r>
      <w:r w:rsidR="00606D88">
        <w:rPr>
          <w:lang w:val="en-AU"/>
        </w:rPr>
        <w:t xml:space="preserve">High </w:t>
      </w:r>
      <w:r w:rsidR="00606D88" w:rsidRPr="00355135">
        <w:t>youth unemployment, particularly in rapidly urbanising Honiara, also carries implications for stability</w:t>
      </w:r>
      <w:r w:rsidR="00606D88">
        <w:t xml:space="preserve">. </w:t>
      </w:r>
      <w:r w:rsidR="00452748" w:rsidRPr="00452748">
        <w:t xml:space="preserve">More effective and </w:t>
      </w:r>
      <w:r w:rsidR="00452748">
        <w:t>equitable services and institutions are central not only to development progress, but also to social cohesion in a context still shaped by unresolved peace and reconciliation issues</w:t>
      </w:r>
      <w:r w:rsidR="02DEFDD6">
        <w:t>,</w:t>
      </w:r>
      <w:r w:rsidR="008F1227">
        <w:t xml:space="preserve"> </w:t>
      </w:r>
      <w:r w:rsidR="02DEFDD6">
        <w:t>recently seen in</w:t>
      </w:r>
      <w:r w:rsidR="00452748">
        <w:t xml:space="preserve"> major unrest in Honiara in 2021.</w:t>
      </w:r>
    </w:p>
    <w:p w14:paraId="2DB00528" w14:textId="72938128" w:rsidR="004B25B9" w:rsidRDefault="00E94F3E" w:rsidP="00AE0D3F">
      <w:pPr>
        <w:pStyle w:val="Heading1"/>
      </w:pPr>
      <w:bookmarkStart w:id="7" w:name="_Toc234426719"/>
      <w:r>
        <w:t>2. METHODOLOGY</w:t>
      </w:r>
      <w:bookmarkEnd w:id="7"/>
    </w:p>
    <w:p w14:paraId="7149215A" w14:textId="0BD8C0EA" w:rsidR="00120DFE" w:rsidRPr="00120DFE" w:rsidRDefault="00800D57" w:rsidP="00120DFE">
      <w:pPr>
        <w:rPr>
          <w:lang w:val="en-AU"/>
        </w:rPr>
      </w:pPr>
      <w:r w:rsidRPr="00800D57">
        <w:rPr>
          <w:lang w:val="en-AU"/>
        </w:rPr>
        <w:t xml:space="preserve">The </w:t>
      </w:r>
      <w:r w:rsidR="00563C43" w:rsidRPr="00563C43">
        <w:rPr>
          <w:lang w:val="en-AU"/>
        </w:rPr>
        <w:t xml:space="preserve">review design and implementation were guided by </w:t>
      </w:r>
      <w:hyperlink r:id="rId15" w:history="1">
        <w:r w:rsidR="00E26A40" w:rsidRPr="00E26A40">
          <w:rPr>
            <w:rStyle w:val="Hyperlink"/>
            <w:lang w:val="en-AU"/>
          </w:rPr>
          <w:t>DFAT's Design, Monitoring, Evaluation and Learning Standards</w:t>
        </w:r>
      </w:hyperlink>
      <w:r w:rsidR="00E26A40">
        <w:rPr>
          <w:lang w:val="en-AU"/>
        </w:rPr>
        <w:t xml:space="preserve"> 9 and </w:t>
      </w:r>
      <w:r w:rsidRPr="00800D57">
        <w:rPr>
          <w:lang w:val="en-AU"/>
        </w:rPr>
        <w:t>10</w:t>
      </w:r>
      <w:r w:rsidR="00770023">
        <w:rPr>
          <w:rStyle w:val="FootnoteReference"/>
          <w:lang w:val="en-AU"/>
        </w:rPr>
        <w:footnoteReference w:id="13"/>
      </w:r>
      <w:r w:rsidRPr="00800D57">
        <w:rPr>
          <w:lang w:val="en-AU"/>
        </w:rPr>
        <w:t xml:space="preserve">. </w:t>
      </w:r>
      <w:r w:rsidR="00882A14" w:rsidRPr="00882A14">
        <w:rPr>
          <w:lang w:val="en-AU"/>
        </w:rPr>
        <w:t>The review used a mixed-methods approach, drawing on three evidence streams: document and data review</w:t>
      </w:r>
      <w:r w:rsidR="00120DFE">
        <w:rPr>
          <w:lang w:val="en-AU"/>
        </w:rPr>
        <w:t xml:space="preserve"> and </w:t>
      </w:r>
      <w:r w:rsidR="00882A14" w:rsidRPr="00882A14">
        <w:rPr>
          <w:lang w:val="en-AU"/>
        </w:rPr>
        <w:t>semi-structured key informant interviews</w:t>
      </w:r>
      <w:r w:rsidR="00120DFE">
        <w:rPr>
          <w:lang w:val="en-AU"/>
        </w:rPr>
        <w:t xml:space="preserve">. </w:t>
      </w:r>
      <w:r w:rsidR="00120DFE" w:rsidRPr="00120DFE">
        <w:rPr>
          <w:lang w:val="en-AU"/>
        </w:rPr>
        <w:t xml:space="preserve">In-country consultations were conducted in Honiara from 18 to 25 March 2026 with AHC, ASIPS+/DT Global and selected </w:t>
      </w:r>
      <w:r w:rsidR="00120DFE">
        <w:rPr>
          <w:lang w:val="en-AU"/>
        </w:rPr>
        <w:t xml:space="preserve">SIG </w:t>
      </w:r>
      <w:r w:rsidR="00120DFE" w:rsidRPr="00120DFE">
        <w:rPr>
          <w:lang w:val="en-AU"/>
        </w:rPr>
        <w:t>counterparts. Remote interviews were conducted where stakeholders could not participate in person.</w:t>
      </w:r>
    </w:p>
    <w:p w14:paraId="1D91807E" w14:textId="69BA8639" w:rsidR="00120DFE" w:rsidRPr="00120DFE" w:rsidRDefault="00120DFE" w:rsidP="00120DFE">
      <w:pPr>
        <w:rPr>
          <w:lang w:val="en-AU"/>
        </w:rPr>
      </w:pPr>
      <w:r w:rsidRPr="00120DFE">
        <w:rPr>
          <w:lang w:val="en-AU"/>
        </w:rPr>
        <w:t xml:space="preserve">Evidence was coded against the key evaluation questions and analysed thematically. Findings were triangulated across documents, quantitative data and stakeholder perspectives. The review also used contribution-based analysis, distinguishing between ASIPS+’s direct accountability for </w:t>
      </w:r>
      <w:r>
        <w:rPr>
          <w:lang w:val="en-AU"/>
        </w:rPr>
        <w:t>f</w:t>
      </w:r>
      <w:r w:rsidRPr="00120DFE">
        <w:rPr>
          <w:lang w:val="en-AU"/>
        </w:rPr>
        <w:t>acility systems and support functions, and broader development outcomes achieved through SOs.</w:t>
      </w:r>
    </w:p>
    <w:p w14:paraId="71FB32EB" w14:textId="663D02C9" w:rsidR="00120DFE" w:rsidRPr="00120DFE" w:rsidRDefault="00120DFE" w:rsidP="00120DFE">
      <w:pPr>
        <w:rPr>
          <w:lang w:val="en-AU"/>
        </w:rPr>
      </w:pPr>
      <w:r w:rsidRPr="00120DFE">
        <w:rPr>
          <w:lang w:val="en-AU"/>
        </w:rPr>
        <w:t xml:space="preserve">Progress towards EOFOs was assessed using the ASIPS+ performance rubric: highly challenging, challenging, adequate or largely on track, and good or on track. Value for money </w:t>
      </w:r>
      <w:r w:rsidR="007D676B">
        <w:rPr>
          <w:lang w:val="en-AU"/>
        </w:rPr>
        <w:t xml:space="preserve">(VfM) </w:t>
      </w:r>
      <w:r w:rsidRPr="00120DFE">
        <w:rPr>
          <w:lang w:val="en-AU"/>
        </w:rPr>
        <w:t xml:space="preserve">was assessed by considering whether the </w:t>
      </w:r>
      <w:r>
        <w:rPr>
          <w:lang w:val="en-AU"/>
        </w:rPr>
        <w:t>f</w:t>
      </w:r>
      <w:r w:rsidRPr="00120DFE">
        <w:rPr>
          <w:lang w:val="en-AU"/>
        </w:rPr>
        <w:t>acility model uses resources economically and efficiently, manages risk, enables AHC to deliver better and faster than feasible alternatives, and maintains quality and accountability as the portfolio grows.</w:t>
      </w:r>
    </w:p>
    <w:p w14:paraId="625448F9" w14:textId="1104628E" w:rsidR="00120DFE" w:rsidRPr="00120DFE" w:rsidRDefault="00120DFE" w:rsidP="00120DFE">
      <w:pPr>
        <w:rPr>
          <w:lang w:val="en-AU"/>
        </w:rPr>
      </w:pPr>
      <w:r w:rsidRPr="00120DFE">
        <w:rPr>
          <w:lang w:val="en-AU"/>
        </w:rPr>
        <w:t xml:space="preserve">The main limitations were the short fieldwork period, the breadth of the SO portfolio, limited direct community-level evidence, and partial reliance on </w:t>
      </w:r>
      <w:r>
        <w:rPr>
          <w:lang w:val="en-AU"/>
        </w:rPr>
        <w:t>f</w:t>
      </w:r>
      <w:r w:rsidRPr="00120DFE">
        <w:rPr>
          <w:lang w:val="en-AU"/>
        </w:rPr>
        <w:t>acility-generated monitoring, financial, procurement and human resources data. These sources were tested against consultation evidence, documents and SIG feedback. More detail on the methodology</w:t>
      </w:r>
      <w:r>
        <w:rPr>
          <w:lang w:val="en-AU"/>
        </w:rPr>
        <w:t xml:space="preserve"> </w:t>
      </w:r>
      <w:r w:rsidRPr="00120DFE">
        <w:rPr>
          <w:lang w:val="en-AU"/>
        </w:rPr>
        <w:t xml:space="preserve">is provided in </w:t>
      </w:r>
      <w:r w:rsidRPr="00120DFE">
        <w:rPr>
          <w:b/>
          <w:bCs/>
          <w:lang w:val="en-AU"/>
        </w:rPr>
        <w:t>Annex 1</w:t>
      </w:r>
      <w:r w:rsidRPr="00120DFE">
        <w:rPr>
          <w:lang w:val="en-AU"/>
        </w:rPr>
        <w:t>.</w:t>
      </w:r>
    </w:p>
    <w:p w14:paraId="09FBAEB3" w14:textId="75A71B7E" w:rsidR="004B25B9" w:rsidRDefault="008E272E" w:rsidP="00AE0D3F">
      <w:pPr>
        <w:pStyle w:val="Heading1"/>
      </w:pPr>
      <w:bookmarkStart w:id="8" w:name="_Toc234426720"/>
      <w:r>
        <w:t>3</w:t>
      </w:r>
      <w:r w:rsidR="00306A84">
        <w:t>. FINDINGS</w:t>
      </w:r>
      <w:bookmarkEnd w:id="8"/>
    </w:p>
    <w:p w14:paraId="389C38E2" w14:textId="072E0298" w:rsidR="00D456D3" w:rsidRDefault="61358E43" w:rsidP="008F0862">
      <w:r w:rsidRPr="00D456D3">
        <w:t xml:space="preserve">The report responds to four </w:t>
      </w:r>
      <w:r w:rsidR="00642580">
        <w:t>key evaluation questions (</w:t>
      </w:r>
      <w:r w:rsidR="3EB33120">
        <w:t>K</w:t>
      </w:r>
      <w:r w:rsidRPr="00D456D3">
        <w:t>EQs</w:t>
      </w:r>
      <w:r w:rsidR="00642580">
        <w:t>)</w:t>
      </w:r>
      <w:r>
        <w:t xml:space="preserve">, with summary findings in </w:t>
      </w:r>
      <w:r w:rsidR="00D456D3" w:rsidRPr="6518DF12">
        <w:rPr>
          <w:b/>
          <w:bCs/>
        </w:rPr>
        <w:fldChar w:fldCharType="begin"/>
      </w:r>
      <w:r w:rsidR="00D456D3" w:rsidRPr="00AE0D3F">
        <w:rPr>
          <w:b/>
          <w:bCs/>
        </w:rPr>
        <w:instrText xml:space="preserve"> REF _Ref227781837 \h </w:instrText>
      </w:r>
      <w:r w:rsidR="00AE0D3F">
        <w:rPr>
          <w:b/>
          <w:bCs/>
        </w:rPr>
        <w:instrText xml:space="preserve"> \* MERGEFORMAT </w:instrText>
      </w:r>
      <w:r w:rsidR="00D456D3" w:rsidRPr="6518DF12">
        <w:rPr>
          <w:b/>
          <w:bCs/>
        </w:rPr>
      </w:r>
      <w:r w:rsidR="00D456D3" w:rsidRPr="6518DF12">
        <w:rPr>
          <w:b/>
          <w:bCs/>
        </w:rPr>
        <w:fldChar w:fldCharType="separate"/>
      </w:r>
      <w:r w:rsidRPr="46C31772">
        <w:rPr>
          <w:b/>
          <w:bCs/>
        </w:rPr>
        <w:t xml:space="preserve">Table </w:t>
      </w:r>
      <w:r w:rsidRPr="46C31772">
        <w:rPr>
          <w:b/>
          <w:bCs/>
          <w:noProof/>
        </w:rPr>
        <w:t>1</w:t>
      </w:r>
      <w:r w:rsidR="00D456D3" w:rsidRPr="6518DF12">
        <w:rPr>
          <w:b/>
          <w:bCs/>
        </w:rPr>
        <w:fldChar w:fldCharType="end"/>
      </w:r>
      <w:r w:rsidR="73233B10" w:rsidRPr="6518DF12">
        <w:rPr>
          <w:i/>
          <w:iCs/>
        </w:rPr>
        <w:t xml:space="preserve">. </w:t>
      </w:r>
      <w:r w:rsidR="73233B10">
        <w:t>Section</w:t>
      </w:r>
      <w:r w:rsidR="0C2CEDBB">
        <w:t xml:space="preserve">s below </w:t>
      </w:r>
      <w:r w:rsidR="73233B10">
        <w:t>present d</w:t>
      </w:r>
      <w:r>
        <w:t xml:space="preserve">etailed findings </w:t>
      </w:r>
      <w:r w:rsidR="73233B10">
        <w:t xml:space="preserve">(numbered as F1 </w:t>
      </w:r>
      <w:r w:rsidR="23868459">
        <w:t xml:space="preserve">to </w:t>
      </w:r>
      <w:r w:rsidR="73233B10">
        <w:t>F</w:t>
      </w:r>
      <w:r w:rsidR="2334A82E">
        <w:t>1</w:t>
      </w:r>
      <w:r w:rsidR="0006505A">
        <w:t>1</w:t>
      </w:r>
      <w:r w:rsidR="73233B10">
        <w:t>), corresponding recommendations (R1</w:t>
      </w:r>
      <w:r w:rsidR="22CF733C">
        <w:t xml:space="preserve"> to</w:t>
      </w:r>
      <w:r w:rsidR="51B25746">
        <w:t xml:space="preserve"> </w:t>
      </w:r>
      <w:r w:rsidR="73233B10">
        <w:t>R</w:t>
      </w:r>
      <w:r w:rsidR="5E2BDFDA">
        <w:t>13</w:t>
      </w:r>
      <w:r w:rsidR="73233B10">
        <w:t xml:space="preserve">), and evidence strength. </w:t>
      </w:r>
      <w:r w:rsidR="00227188">
        <w:rPr>
          <w:b/>
          <w:bCs/>
        </w:rPr>
        <w:t xml:space="preserve">Section </w:t>
      </w:r>
      <w:r w:rsidR="0C2CEDBB" w:rsidRPr="6518DF12">
        <w:rPr>
          <w:b/>
          <w:bCs/>
        </w:rPr>
        <w:t>4</w:t>
      </w:r>
      <w:r w:rsidR="0C2CEDBB">
        <w:t xml:space="preserve"> discusses recommendations in more details.</w:t>
      </w:r>
    </w:p>
    <w:p w14:paraId="08F6C24F" w14:textId="346A3932" w:rsidR="46C31772" w:rsidRDefault="00D456D3" w:rsidP="00B772B1">
      <w:pPr>
        <w:pStyle w:val="TableHeadingBlue"/>
        <w:numPr>
          <w:ilvl w:val="0"/>
          <w:numId w:val="0"/>
        </w:numPr>
        <w:spacing w:after="120"/>
      </w:pPr>
      <w:bookmarkStart w:id="9" w:name="_Ref227781837"/>
      <w:r>
        <w:t xml:space="preserve">Table </w:t>
      </w:r>
      <w:r>
        <w:fldChar w:fldCharType="begin"/>
      </w:r>
      <w:r>
        <w:instrText xml:space="preserve"> SEQ Table \* ARABIC </w:instrText>
      </w:r>
      <w:r>
        <w:fldChar w:fldCharType="separate"/>
      </w:r>
      <w:r w:rsidR="0093321B">
        <w:rPr>
          <w:noProof/>
        </w:rPr>
        <w:t>1</w:t>
      </w:r>
      <w:r>
        <w:fldChar w:fldCharType="end"/>
      </w:r>
      <w:bookmarkEnd w:id="9"/>
      <w:r>
        <w:t xml:space="preserve">. </w:t>
      </w:r>
      <w:r w:rsidR="005166B7">
        <w:t>Key e</w:t>
      </w:r>
      <w:r>
        <w:t>valuation questions and summary findings</w:t>
      </w:r>
    </w:p>
    <w:tbl>
      <w:tblPr>
        <w:tblStyle w:val="TableGridLight"/>
        <w:tblW w:w="5000" w:type="pct"/>
        <w:tblLook w:val="0020" w:firstRow="1" w:lastRow="0" w:firstColumn="0" w:lastColumn="0" w:noHBand="0" w:noVBand="0"/>
      </w:tblPr>
      <w:tblGrid>
        <w:gridCol w:w="3410"/>
        <w:gridCol w:w="1484"/>
        <w:gridCol w:w="3789"/>
        <w:gridCol w:w="1399"/>
      </w:tblGrid>
      <w:tr w:rsidR="004F2045" w:rsidRPr="00337A53" w14:paraId="149D7E4A" w14:textId="77777777" w:rsidTr="00735BB7">
        <w:trPr>
          <w:cantSplit/>
          <w:trHeight w:val="300"/>
          <w:tblHeader/>
        </w:trPr>
        <w:tc>
          <w:tcPr>
            <w:tcW w:w="1691" w:type="pct"/>
            <w:shd w:val="clear" w:color="auto" w:fill="002060"/>
          </w:tcPr>
          <w:p w14:paraId="00FA4178" w14:textId="41A8FFC3" w:rsidR="004F2045" w:rsidRPr="00B33D29" w:rsidRDefault="004F2045" w:rsidP="007D676B">
            <w:pPr>
              <w:pStyle w:val="Compact"/>
              <w:spacing w:before="40" w:after="40" w:line="240" w:lineRule="auto"/>
              <w:jc w:val="center"/>
              <w:rPr>
                <w:b/>
                <w:color w:val="FFFFFF" w:themeColor="background1"/>
                <w:sz w:val="18"/>
                <w:szCs w:val="18"/>
              </w:rPr>
            </w:pPr>
            <w:r w:rsidRPr="00B33D29">
              <w:rPr>
                <w:b/>
                <w:color w:val="FFFFFF" w:themeColor="background1"/>
                <w:sz w:val="18"/>
                <w:szCs w:val="18"/>
              </w:rPr>
              <w:t>KEQ</w:t>
            </w:r>
          </w:p>
        </w:tc>
        <w:tc>
          <w:tcPr>
            <w:tcW w:w="736" w:type="pct"/>
            <w:shd w:val="clear" w:color="auto" w:fill="002060"/>
          </w:tcPr>
          <w:p w14:paraId="2023888C" w14:textId="69B805DC" w:rsidR="004F2045" w:rsidRPr="00B33D29" w:rsidRDefault="004F2045" w:rsidP="00337A53">
            <w:pPr>
              <w:pStyle w:val="Compact"/>
              <w:spacing w:before="40" w:after="40" w:line="240" w:lineRule="auto"/>
              <w:jc w:val="center"/>
              <w:rPr>
                <w:b/>
                <w:color w:val="FFFFFF" w:themeColor="background1"/>
                <w:sz w:val="18"/>
                <w:szCs w:val="18"/>
              </w:rPr>
            </w:pPr>
            <w:r w:rsidRPr="00B33D29">
              <w:rPr>
                <w:b/>
                <w:color w:val="FFFFFF" w:themeColor="background1"/>
                <w:sz w:val="18"/>
                <w:szCs w:val="18"/>
              </w:rPr>
              <w:t>DFAT criteria</w:t>
            </w:r>
          </w:p>
        </w:tc>
        <w:tc>
          <w:tcPr>
            <w:tcW w:w="1879" w:type="pct"/>
            <w:shd w:val="clear" w:color="auto" w:fill="002060"/>
          </w:tcPr>
          <w:p w14:paraId="1BAE42A2" w14:textId="1EE3B1AA" w:rsidR="004F2045" w:rsidRPr="00B33D29" w:rsidRDefault="004F2045" w:rsidP="00337A53">
            <w:pPr>
              <w:pStyle w:val="Compact"/>
              <w:spacing w:before="40" w:after="40" w:line="240" w:lineRule="auto"/>
              <w:jc w:val="center"/>
              <w:rPr>
                <w:b/>
                <w:color w:val="FFFFFF" w:themeColor="background1"/>
                <w:sz w:val="18"/>
                <w:szCs w:val="18"/>
              </w:rPr>
            </w:pPr>
            <w:r w:rsidRPr="00B33D29">
              <w:rPr>
                <w:b/>
                <w:color w:val="FFFFFF" w:themeColor="background1"/>
                <w:sz w:val="18"/>
                <w:szCs w:val="18"/>
              </w:rPr>
              <w:t>Summary findings</w:t>
            </w:r>
          </w:p>
        </w:tc>
        <w:tc>
          <w:tcPr>
            <w:tcW w:w="694" w:type="pct"/>
            <w:shd w:val="clear" w:color="auto" w:fill="002060"/>
          </w:tcPr>
          <w:p w14:paraId="073EF083" w14:textId="0CD3A0D1" w:rsidR="004F2045" w:rsidRPr="00B33D29" w:rsidRDefault="004F2045" w:rsidP="00337A53">
            <w:pPr>
              <w:pStyle w:val="Compact"/>
              <w:spacing w:before="40" w:after="40" w:line="240" w:lineRule="auto"/>
              <w:jc w:val="center"/>
              <w:rPr>
                <w:b/>
                <w:color w:val="FFFFFF" w:themeColor="background1"/>
                <w:sz w:val="18"/>
                <w:szCs w:val="18"/>
              </w:rPr>
            </w:pPr>
            <w:r w:rsidRPr="00B33D29">
              <w:rPr>
                <w:b/>
                <w:color w:val="FFFFFF" w:themeColor="background1"/>
                <w:sz w:val="18"/>
                <w:szCs w:val="18"/>
              </w:rPr>
              <w:t>Assessment</w:t>
            </w:r>
          </w:p>
        </w:tc>
      </w:tr>
      <w:tr w:rsidR="00642580" w:rsidRPr="00337A53" w14:paraId="70BC796A" w14:textId="77777777" w:rsidTr="00735BB7">
        <w:trPr>
          <w:cantSplit/>
          <w:trHeight w:val="300"/>
          <w:tblHeader/>
        </w:trPr>
        <w:tc>
          <w:tcPr>
            <w:tcW w:w="1691" w:type="pct"/>
          </w:tcPr>
          <w:p w14:paraId="4F3DA3B7" w14:textId="5ED68AD3" w:rsidR="00642580" w:rsidRPr="00B33D29" w:rsidRDefault="00642580" w:rsidP="00337A53">
            <w:pPr>
              <w:pStyle w:val="Compact"/>
              <w:spacing w:before="40" w:after="40" w:line="240" w:lineRule="auto"/>
              <w:rPr>
                <w:sz w:val="18"/>
                <w:szCs w:val="18"/>
              </w:rPr>
            </w:pPr>
            <w:r w:rsidRPr="00B33D29">
              <w:rPr>
                <w:sz w:val="18"/>
                <w:szCs w:val="18"/>
              </w:rPr>
              <w:t>KEQ1: To what extent is ASIPS+ achieving its intended EOFOs?</w:t>
            </w:r>
          </w:p>
          <w:p w14:paraId="718A251D" w14:textId="08FADFF9" w:rsidR="00642580" w:rsidRPr="00B33D29" w:rsidRDefault="00642580" w:rsidP="00337A53">
            <w:pPr>
              <w:pStyle w:val="Compact"/>
              <w:spacing w:before="40" w:after="40" w:line="240" w:lineRule="auto"/>
              <w:rPr>
                <w:sz w:val="18"/>
                <w:szCs w:val="18"/>
              </w:rPr>
            </w:pPr>
            <w:r w:rsidRPr="00B33D29">
              <w:rPr>
                <w:sz w:val="18"/>
                <w:szCs w:val="18"/>
              </w:rPr>
              <w:t>To what extent is ASIPS+ advancing DFAT priorities for GEDSI, climate change, locally led development, and First Nations engagement?</w:t>
            </w:r>
          </w:p>
        </w:tc>
        <w:tc>
          <w:tcPr>
            <w:tcW w:w="736" w:type="pct"/>
          </w:tcPr>
          <w:p w14:paraId="683AD319" w14:textId="42AAE702" w:rsidR="00642580" w:rsidRPr="00B33D29" w:rsidRDefault="00642580" w:rsidP="00337A53">
            <w:pPr>
              <w:pStyle w:val="Compact"/>
              <w:spacing w:before="40" w:after="40" w:line="240" w:lineRule="auto"/>
              <w:rPr>
                <w:sz w:val="18"/>
                <w:szCs w:val="18"/>
              </w:rPr>
            </w:pPr>
            <w:r w:rsidRPr="00B33D29">
              <w:rPr>
                <w:sz w:val="18"/>
                <w:szCs w:val="18"/>
              </w:rPr>
              <w:t>Effectiveness, GEDSI, climate change</w:t>
            </w:r>
          </w:p>
        </w:tc>
        <w:tc>
          <w:tcPr>
            <w:tcW w:w="1879" w:type="pct"/>
          </w:tcPr>
          <w:p w14:paraId="5BBEC2B1" w14:textId="1B6F1A57" w:rsidR="00642580" w:rsidRPr="00B33D29" w:rsidRDefault="00642580" w:rsidP="00337A53">
            <w:pPr>
              <w:pStyle w:val="Compact"/>
              <w:spacing w:before="40" w:after="40" w:line="240" w:lineRule="auto"/>
              <w:rPr>
                <w:sz w:val="18"/>
                <w:szCs w:val="18"/>
              </w:rPr>
            </w:pPr>
            <w:r w:rsidRPr="00B33D29">
              <w:rPr>
                <w:sz w:val="18"/>
                <w:szCs w:val="18"/>
              </w:rPr>
              <w:t>ASIPS+ design logic remains sound and  the EOFOs and IOs remain relevant. ASIPS+ is on track to achieve both EOFOs by end of Phase 1 and is advancing key policy priorities. The facility is fit for purpose and is delivering the intended value of the “plus”. The main issue is sustainability under growth.</w:t>
            </w:r>
          </w:p>
        </w:tc>
        <w:tc>
          <w:tcPr>
            <w:tcW w:w="694" w:type="pct"/>
            <w:shd w:val="clear" w:color="auto" w:fill="92D050"/>
          </w:tcPr>
          <w:p w14:paraId="403FF590" w14:textId="7C19FCF7" w:rsidR="00642580" w:rsidRPr="00B33D29" w:rsidRDefault="00642580" w:rsidP="00337A53">
            <w:pPr>
              <w:pStyle w:val="Compact"/>
              <w:spacing w:before="40" w:after="40" w:line="240" w:lineRule="auto"/>
              <w:rPr>
                <w:sz w:val="18"/>
                <w:szCs w:val="18"/>
              </w:rPr>
            </w:pPr>
            <w:r w:rsidRPr="00B33D29">
              <w:rPr>
                <w:sz w:val="18"/>
                <w:szCs w:val="18"/>
              </w:rPr>
              <w:t>Good / on track</w:t>
            </w:r>
          </w:p>
        </w:tc>
      </w:tr>
      <w:tr w:rsidR="00642580" w:rsidRPr="00337A53" w14:paraId="52F79E92" w14:textId="77777777" w:rsidTr="00735BB7">
        <w:trPr>
          <w:cantSplit/>
          <w:trHeight w:val="300"/>
          <w:tblHeader/>
        </w:trPr>
        <w:tc>
          <w:tcPr>
            <w:tcW w:w="1691" w:type="pct"/>
          </w:tcPr>
          <w:p w14:paraId="2C9F4898" w14:textId="10524F01" w:rsidR="00642580" w:rsidRPr="00B33D29" w:rsidRDefault="00642580" w:rsidP="00337A53">
            <w:pPr>
              <w:pStyle w:val="Compact"/>
              <w:spacing w:before="40" w:after="40" w:line="240" w:lineRule="auto"/>
              <w:rPr>
                <w:sz w:val="18"/>
                <w:szCs w:val="18"/>
              </w:rPr>
            </w:pPr>
            <w:r w:rsidRPr="00B33D29">
              <w:rPr>
                <w:sz w:val="18"/>
                <w:szCs w:val="18"/>
              </w:rPr>
              <w:t>KEQ2: To what extent is ASIPS+ learning and adapting to evolving priorities, contextual changes, and DFAT and stakeholder needs?</w:t>
            </w:r>
          </w:p>
        </w:tc>
        <w:tc>
          <w:tcPr>
            <w:tcW w:w="736" w:type="pct"/>
          </w:tcPr>
          <w:p w14:paraId="1AF9ED2A" w14:textId="3AE13033" w:rsidR="00642580" w:rsidRPr="00B33D29" w:rsidRDefault="00642580" w:rsidP="00337A53">
            <w:pPr>
              <w:pStyle w:val="Compact"/>
              <w:spacing w:before="40" w:after="40" w:line="240" w:lineRule="auto"/>
              <w:rPr>
                <w:sz w:val="18"/>
                <w:szCs w:val="18"/>
              </w:rPr>
            </w:pPr>
            <w:r w:rsidRPr="00B33D29">
              <w:rPr>
                <w:sz w:val="18"/>
                <w:szCs w:val="18"/>
              </w:rPr>
              <w:t>Effectiveness, efficiency</w:t>
            </w:r>
          </w:p>
        </w:tc>
        <w:tc>
          <w:tcPr>
            <w:tcW w:w="1879" w:type="pct"/>
          </w:tcPr>
          <w:p w14:paraId="75B0AB02" w14:textId="1FA9E4FD" w:rsidR="00642580" w:rsidRPr="00B33D29" w:rsidRDefault="00642580" w:rsidP="00337A53">
            <w:pPr>
              <w:pStyle w:val="Compact"/>
              <w:spacing w:before="40" w:after="40" w:line="240" w:lineRule="auto"/>
              <w:rPr>
                <w:sz w:val="18"/>
                <w:szCs w:val="18"/>
              </w:rPr>
            </w:pPr>
            <w:r w:rsidRPr="00B33D29">
              <w:rPr>
                <w:sz w:val="18"/>
                <w:szCs w:val="18"/>
              </w:rPr>
              <w:t>ASIPS+ is adaptive and responsive. Its learning architecture is credible, but learning-to-action is not yet consistently embedded across all SOs.</w:t>
            </w:r>
          </w:p>
        </w:tc>
        <w:tc>
          <w:tcPr>
            <w:tcW w:w="694" w:type="pct"/>
            <w:shd w:val="clear" w:color="auto" w:fill="92D050"/>
          </w:tcPr>
          <w:p w14:paraId="159D69FC" w14:textId="3400AA17" w:rsidR="00642580" w:rsidRPr="00B33D29" w:rsidRDefault="00642580" w:rsidP="00337A53">
            <w:pPr>
              <w:pStyle w:val="Compact"/>
              <w:spacing w:before="40" w:after="40" w:line="240" w:lineRule="auto"/>
              <w:rPr>
                <w:sz w:val="18"/>
                <w:szCs w:val="18"/>
              </w:rPr>
            </w:pPr>
            <w:r w:rsidRPr="00B33D29">
              <w:rPr>
                <w:sz w:val="18"/>
                <w:szCs w:val="18"/>
              </w:rPr>
              <w:t>Good</w:t>
            </w:r>
          </w:p>
        </w:tc>
      </w:tr>
      <w:tr w:rsidR="00642580" w:rsidRPr="00337A53" w14:paraId="348F5D77" w14:textId="77777777" w:rsidTr="00735BB7">
        <w:trPr>
          <w:cantSplit/>
          <w:trHeight w:val="300"/>
          <w:tblHeader/>
        </w:trPr>
        <w:tc>
          <w:tcPr>
            <w:tcW w:w="1691" w:type="pct"/>
          </w:tcPr>
          <w:p w14:paraId="74428BDD" w14:textId="40AD9335" w:rsidR="00642580" w:rsidRPr="00B33D29" w:rsidRDefault="00642580" w:rsidP="00337A53">
            <w:pPr>
              <w:pStyle w:val="Compact"/>
              <w:spacing w:before="40" w:after="40" w:line="240" w:lineRule="auto"/>
              <w:rPr>
                <w:sz w:val="18"/>
                <w:szCs w:val="18"/>
              </w:rPr>
            </w:pPr>
            <w:r w:rsidRPr="00B33D29">
              <w:rPr>
                <w:sz w:val="18"/>
                <w:szCs w:val="18"/>
              </w:rPr>
              <w:t>KEQ3: To what extent are the ASIPS+ governance arrangements working effectively to support DFAT?</w:t>
            </w:r>
          </w:p>
        </w:tc>
        <w:tc>
          <w:tcPr>
            <w:tcW w:w="736" w:type="pct"/>
          </w:tcPr>
          <w:p w14:paraId="4842159B" w14:textId="21B767DB" w:rsidR="00642580" w:rsidRPr="00B33D29" w:rsidRDefault="00642580" w:rsidP="00337A53">
            <w:pPr>
              <w:pStyle w:val="Compact"/>
              <w:spacing w:before="40" w:after="40" w:line="240" w:lineRule="auto"/>
              <w:rPr>
                <w:sz w:val="18"/>
                <w:szCs w:val="18"/>
              </w:rPr>
            </w:pPr>
            <w:r w:rsidRPr="00B33D29">
              <w:rPr>
                <w:sz w:val="18"/>
                <w:szCs w:val="18"/>
              </w:rPr>
              <w:t>Effectiveness, efficiency, risk and safeguards</w:t>
            </w:r>
          </w:p>
        </w:tc>
        <w:tc>
          <w:tcPr>
            <w:tcW w:w="1879" w:type="pct"/>
          </w:tcPr>
          <w:p w14:paraId="37FC9E9D" w14:textId="7FBB1E3E" w:rsidR="00642580" w:rsidRPr="00B33D29" w:rsidRDefault="00642580" w:rsidP="00337A53">
            <w:pPr>
              <w:pStyle w:val="Compact"/>
              <w:spacing w:before="40" w:after="40" w:line="240" w:lineRule="auto"/>
              <w:rPr>
                <w:sz w:val="18"/>
                <w:szCs w:val="18"/>
              </w:rPr>
            </w:pPr>
            <w:r w:rsidRPr="00B33D29">
              <w:rPr>
                <w:sz w:val="18"/>
                <w:szCs w:val="18"/>
              </w:rPr>
              <w:t xml:space="preserve">ASIPS+ governance arrangements are effective and are helping the AHC maintain a coherent portfolio, respond to changing priorities and manage risks, and strengthen engagement with SIG. </w:t>
            </w:r>
          </w:p>
        </w:tc>
        <w:tc>
          <w:tcPr>
            <w:tcW w:w="694" w:type="pct"/>
            <w:shd w:val="clear" w:color="auto" w:fill="92D050"/>
          </w:tcPr>
          <w:p w14:paraId="715DBFAE" w14:textId="295B19DD" w:rsidR="00642580" w:rsidRPr="00B33D29" w:rsidRDefault="00642580" w:rsidP="00337A53">
            <w:pPr>
              <w:pStyle w:val="Compact"/>
              <w:spacing w:before="40" w:after="40" w:line="240" w:lineRule="auto"/>
              <w:rPr>
                <w:sz w:val="18"/>
                <w:szCs w:val="18"/>
              </w:rPr>
            </w:pPr>
            <w:r w:rsidRPr="00B33D29">
              <w:rPr>
                <w:sz w:val="18"/>
                <w:szCs w:val="18"/>
              </w:rPr>
              <w:t>Good</w:t>
            </w:r>
          </w:p>
        </w:tc>
      </w:tr>
      <w:tr w:rsidR="00642580" w:rsidRPr="00337A53" w14:paraId="03FAC7B0" w14:textId="77777777" w:rsidTr="00735BB7">
        <w:trPr>
          <w:cantSplit/>
          <w:trHeight w:val="300"/>
          <w:tblHeader/>
        </w:trPr>
        <w:tc>
          <w:tcPr>
            <w:tcW w:w="1691" w:type="pct"/>
          </w:tcPr>
          <w:p w14:paraId="7E68CA3F" w14:textId="0039783E" w:rsidR="00642580" w:rsidRPr="00B33D29" w:rsidRDefault="00642580" w:rsidP="00337A53">
            <w:pPr>
              <w:pStyle w:val="Compact"/>
              <w:spacing w:before="40" w:after="40" w:line="240" w:lineRule="auto"/>
              <w:rPr>
                <w:sz w:val="18"/>
                <w:szCs w:val="18"/>
              </w:rPr>
            </w:pPr>
            <w:r w:rsidRPr="00B33D29">
              <w:rPr>
                <w:sz w:val="18"/>
                <w:szCs w:val="18"/>
              </w:rPr>
              <w:t>KEQ4: To what extent is the ASIPS+ facility mechanism providing VfM to DFAT?</w:t>
            </w:r>
          </w:p>
        </w:tc>
        <w:tc>
          <w:tcPr>
            <w:tcW w:w="736" w:type="pct"/>
          </w:tcPr>
          <w:p w14:paraId="03A8C303" w14:textId="0CD05B04" w:rsidR="00642580" w:rsidRPr="00B33D29" w:rsidRDefault="00642580" w:rsidP="00337A53">
            <w:pPr>
              <w:pStyle w:val="Compact"/>
              <w:spacing w:before="40" w:after="40" w:line="240" w:lineRule="auto"/>
              <w:rPr>
                <w:sz w:val="18"/>
                <w:szCs w:val="18"/>
              </w:rPr>
            </w:pPr>
            <w:r w:rsidRPr="00B33D29">
              <w:rPr>
                <w:sz w:val="18"/>
                <w:szCs w:val="18"/>
              </w:rPr>
              <w:t>VfM</w:t>
            </w:r>
          </w:p>
        </w:tc>
        <w:tc>
          <w:tcPr>
            <w:tcW w:w="1879" w:type="pct"/>
          </w:tcPr>
          <w:p w14:paraId="1523DC15" w14:textId="732D2F7C" w:rsidR="00642580" w:rsidRPr="00B33D29" w:rsidRDefault="00642580" w:rsidP="00337A53">
            <w:pPr>
              <w:pStyle w:val="Compact"/>
              <w:spacing w:before="40" w:after="40" w:line="240" w:lineRule="auto"/>
              <w:rPr>
                <w:sz w:val="18"/>
                <w:szCs w:val="18"/>
              </w:rPr>
            </w:pPr>
            <w:r w:rsidRPr="00B33D29">
              <w:rPr>
                <w:sz w:val="18"/>
                <w:szCs w:val="18"/>
              </w:rPr>
              <w:t xml:space="preserve">ASIPS+ provides good </w:t>
            </w:r>
            <w:r w:rsidR="00BE3B3D">
              <w:rPr>
                <w:sz w:val="18"/>
                <w:szCs w:val="18"/>
              </w:rPr>
              <w:t>VfM</w:t>
            </w:r>
            <w:r w:rsidRPr="00B33D29">
              <w:rPr>
                <w:sz w:val="18"/>
                <w:szCs w:val="18"/>
              </w:rPr>
              <w:t>. FSU resourcing and service standards have not scaled sufficiently with SO number, value, complexity and urgency.</w:t>
            </w:r>
          </w:p>
        </w:tc>
        <w:tc>
          <w:tcPr>
            <w:tcW w:w="694" w:type="pct"/>
            <w:shd w:val="clear" w:color="auto" w:fill="92D050"/>
          </w:tcPr>
          <w:p w14:paraId="1BBEDB96" w14:textId="6B86E810" w:rsidR="00642580" w:rsidRPr="00B33D29" w:rsidRDefault="00642580" w:rsidP="00337A53">
            <w:pPr>
              <w:pStyle w:val="Compact"/>
              <w:spacing w:before="40" w:after="40" w:line="240" w:lineRule="auto"/>
              <w:rPr>
                <w:sz w:val="18"/>
                <w:szCs w:val="18"/>
              </w:rPr>
            </w:pPr>
            <w:r w:rsidRPr="00B33D29">
              <w:rPr>
                <w:sz w:val="18"/>
                <w:szCs w:val="18"/>
              </w:rPr>
              <w:t xml:space="preserve">Good </w:t>
            </w:r>
          </w:p>
        </w:tc>
      </w:tr>
    </w:tbl>
    <w:p w14:paraId="31743D37" w14:textId="71249508" w:rsidR="008E272E" w:rsidRPr="00550B3C" w:rsidRDefault="00D456D3" w:rsidP="00BC7E1D">
      <w:pPr>
        <w:pStyle w:val="Heading2"/>
      </w:pPr>
      <w:bookmarkStart w:id="10" w:name="_Toc234426721"/>
      <w:r w:rsidRPr="00550B3C">
        <w:lastRenderedPageBreak/>
        <w:t xml:space="preserve">3.1. </w:t>
      </w:r>
      <w:r w:rsidR="004A6CF1" w:rsidRPr="00550B3C">
        <w:t>Effectiveness and efficiency</w:t>
      </w:r>
      <w:bookmarkEnd w:id="10"/>
    </w:p>
    <w:p w14:paraId="45242E32" w14:textId="6549E8C0" w:rsidR="008862BA" w:rsidRPr="00BC7E1D" w:rsidRDefault="00306A84" w:rsidP="00490A26">
      <w:pPr>
        <w:pStyle w:val="Heading3"/>
      </w:pPr>
      <w:r w:rsidRPr="00BC7E1D">
        <w:t xml:space="preserve">EQ1. </w:t>
      </w:r>
      <w:r w:rsidR="008862BA" w:rsidRPr="00BC7E1D">
        <w:t>To what extent is ASIPS+ achieving its intended EOFOs and key policy priorities?</w:t>
      </w:r>
    </w:p>
    <w:p w14:paraId="6304A439" w14:textId="18B701D2" w:rsidR="00D3386B" w:rsidRDefault="00D3386B" w:rsidP="00D3386B">
      <w:pPr>
        <w:shd w:val="clear" w:color="auto" w:fill="DFF5F8" w:themeFill="accent3" w:themeFillTint="33"/>
        <w:rPr>
          <w:lang w:val="en-AU"/>
        </w:rPr>
      </w:pPr>
      <w:r w:rsidRPr="00D3386B">
        <w:rPr>
          <w:b/>
          <w:bCs/>
          <w:lang w:val="en-AU"/>
        </w:rPr>
        <w:t>F1.</w:t>
      </w:r>
      <w:r w:rsidRPr="00D3386B">
        <w:rPr>
          <w:lang w:val="en-AU"/>
        </w:rPr>
        <w:t xml:space="preserve"> </w:t>
      </w:r>
      <w:r w:rsidR="005B04BE" w:rsidRPr="002D28CB">
        <w:rPr>
          <w:b/>
          <w:bCs/>
          <w:lang w:val="en-AU"/>
        </w:rPr>
        <w:t>ASIPS+ remains fit for purpose, and both EOFOs are on track.</w:t>
      </w:r>
      <w:r w:rsidR="005B04BE" w:rsidRPr="005B04BE">
        <w:rPr>
          <w:lang w:val="en-AU"/>
        </w:rPr>
        <w:t xml:space="preserve"> The EOFOs and IOs remain relevant and continue to capture the </w:t>
      </w:r>
      <w:r w:rsidR="00516001">
        <w:rPr>
          <w:lang w:val="en-AU"/>
        </w:rPr>
        <w:t>f</w:t>
      </w:r>
      <w:r w:rsidR="005B04BE" w:rsidRPr="005B04BE">
        <w:rPr>
          <w:lang w:val="en-AU"/>
        </w:rPr>
        <w:t xml:space="preserve">acility’s </w:t>
      </w:r>
      <w:r w:rsidR="005B04BE">
        <w:rPr>
          <w:lang w:val="en-AU"/>
        </w:rPr>
        <w:t>p</w:t>
      </w:r>
      <w:r w:rsidR="005B04BE" w:rsidRPr="005B04BE">
        <w:rPr>
          <w:lang w:val="en-AU"/>
        </w:rPr>
        <w:t xml:space="preserve">urpose and delivery levers. However, ASIPS+ has reached a strategic inflection point: demand, commitments and operating pressure have grown beyond design assumptions, and the main issue is now </w:t>
      </w:r>
      <w:r w:rsidR="005B04BE">
        <w:rPr>
          <w:lang w:val="en-AU"/>
        </w:rPr>
        <w:t xml:space="preserve">if </w:t>
      </w:r>
      <w:r w:rsidR="005B04BE" w:rsidRPr="005B04BE">
        <w:rPr>
          <w:lang w:val="en-AU"/>
        </w:rPr>
        <w:t xml:space="preserve">the </w:t>
      </w:r>
      <w:r w:rsidR="00516001">
        <w:rPr>
          <w:lang w:val="en-AU"/>
        </w:rPr>
        <w:t>f</w:t>
      </w:r>
      <w:r w:rsidR="005B04BE" w:rsidRPr="005B04BE">
        <w:rPr>
          <w:lang w:val="en-AU"/>
        </w:rPr>
        <w:t xml:space="preserve">acility can sustain responsiveness, quality and </w:t>
      </w:r>
      <w:r w:rsidR="00F90619">
        <w:rPr>
          <w:lang w:val="en-AU"/>
        </w:rPr>
        <w:t xml:space="preserve">VfM </w:t>
      </w:r>
      <w:r w:rsidR="005B04BE" w:rsidRPr="005B04BE">
        <w:rPr>
          <w:lang w:val="en-AU"/>
        </w:rPr>
        <w:t>within available headroom.</w:t>
      </w:r>
    </w:p>
    <w:p w14:paraId="3BC630AB" w14:textId="23764D98" w:rsidR="00D3386B" w:rsidRDefault="00D3386B" w:rsidP="007F123C">
      <w:pPr>
        <w:shd w:val="clear" w:color="auto" w:fill="DFF5F8" w:themeFill="accent3" w:themeFillTint="33"/>
        <w:rPr>
          <w:lang w:val="en-AU"/>
        </w:rPr>
      </w:pPr>
      <w:r w:rsidRPr="00D3386B">
        <w:rPr>
          <w:b/>
          <w:bCs/>
          <w:lang w:val="en-AU"/>
        </w:rPr>
        <w:t>R1.</w:t>
      </w:r>
      <w:r w:rsidRPr="00D3386B">
        <w:rPr>
          <w:lang w:val="en-AU"/>
        </w:rPr>
        <w:t xml:space="preserve"> </w:t>
      </w:r>
      <w:r w:rsidR="005B04BE" w:rsidRPr="002D28CB">
        <w:rPr>
          <w:b/>
          <w:bCs/>
          <w:lang w:val="en-AU"/>
        </w:rPr>
        <w:t>Finalise headroom, scope and future pathway decisions.</w:t>
      </w:r>
      <w:r w:rsidR="005B04BE" w:rsidRPr="005B04BE">
        <w:rPr>
          <w:lang w:val="en-AU"/>
        </w:rPr>
        <w:t xml:space="preserve"> Retain the EOFOs and </w:t>
      </w:r>
      <w:r w:rsidR="00336CE7" w:rsidRPr="005B04BE">
        <w:rPr>
          <w:lang w:val="en-AU"/>
        </w:rPr>
        <w:t>IOs but</w:t>
      </w:r>
      <w:r w:rsidR="005B04BE" w:rsidRPr="005B04BE">
        <w:rPr>
          <w:lang w:val="en-AU"/>
        </w:rPr>
        <w:t xml:space="preserve"> reset the operating model. Continue modelling expenditure and commitment headroom, including constrained-demand, plateau-growth and earlier-transition options. Confirm the </w:t>
      </w:r>
      <w:r w:rsidR="00516001">
        <w:rPr>
          <w:lang w:val="en-AU"/>
        </w:rPr>
        <w:t>f</w:t>
      </w:r>
      <w:r w:rsidR="005B04BE" w:rsidRPr="005B04BE">
        <w:rPr>
          <w:lang w:val="en-AU"/>
        </w:rPr>
        <w:t>acility’s scope for the remainder of Phase 1 and the level of FSU capability needed to protect responsiveness, quality, risk management and VfM.</w:t>
      </w:r>
    </w:p>
    <w:p w14:paraId="7842DD1A" w14:textId="7D577E81" w:rsidR="00D3386B" w:rsidRDefault="00D3386B" w:rsidP="00D3386B">
      <w:pPr>
        <w:shd w:val="clear" w:color="auto" w:fill="D9D9D9" w:themeFill="accent4" w:themeFillTint="66"/>
        <w:rPr>
          <w:lang w:val="en-AU"/>
        </w:rPr>
      </w:pPr>
      <w:r w:rsidRPr="00D3386B">
        <w:rPr>
          <w:b/>
          <w:bCs/>
          <w:lang w:val="en-AU"/>
        </w:rPr>
        <w:t>Evidence strength</w:t>
      </w:r>
      <w:r>
        <w:rPr>
          <w:lang w:val="en-AU"/>
        </w:rPr>
        <w:t xml:space="preserve">: </w:t>
      </w:r>
      <w:r w:rsidRPr="007F123C">
        <w:rPr>
          <w:i/>
          <w:iCs/>
          <w:lang w:val="en-AU"/>
        </w:rPr>
        <w:t>moderate to high</w:t>
      </w:r>
      <w:r w:rsidR="00B51D79">
        <w:rPr>
          <w:lang w:val="en-AU"/>
        </w:rPr>
        <w:t xml:space="preserve">, </w:t>
      </w:r>
      <w:r w:rsidR="00B51D79" w:rsidRPr="004D260B">
        <w:rPr>
          <w:i/>
          <w:iCs/>
          <w:lang w:val="en-AU"/>
        </w:rPr>
        <w:t>based on ASIPS+ reporting against IMR criteria and PAF indicators, SOG records, and feedback from AHC and ASIPS+.</w:t>
      </w:r>
      <w:r w:rsidR="00B51D79">
        <w:rPr>
          <w:lang w:val="en-AU"/>
        </w:rPr>
        <w:t xml:space="preserve"> </w:t>
      </w:r>
    </w:p>
    <w:p w14:paraId="36FCFFCF" w14:textId="098B52F4" w:rsidR="008C1D96" w:rsidRDefault="008C1D96" w:rsidP="00C520D3">
      <w:r w:rsidRPr="008C1D96">
        <w:t xml:space="preserve">The review finds that the ASIPS+ design logic remains sound and that its </w:t>
      </w:r>
      <w:r>
        <w:t xml:space="preserve">EOFOs and IOs </w:t>
      </w:r>
      <w:r w:rsidRPr="008C1D96">
        <w:t xml:space="preserve">remain relevant. The </w:t>
      </w:r>
      <w:r w:rsidR="00516001">
        <w:t>f</w:t>
      </w:r>
      <w:r w:rsidRPr="008C1D96">
        <w:t xml:space="preserve">acility is helping AHC advance Australia’s priorities in a complex context by responding to emerging needs, strengthening engagement with SIG, and progressing multiple lines of effort in parallel. While AHC, in consultation with SIG, is best placed to determine SO selection, the review finds that the mix of SOs—including activities funded through ODA and non-ODA pathways—is consistent with Australia’s need for a responsive mechanism in Solomon Islands. However, the greater complexity of procuring non-ODA activities, while outside the </w:t>
      </w:r>
      <w:r w:rsidR="00516001">
        <w:t>f</w:t>
      </w:r>
      <w:r w:rsidRPr="008C1D96">
        <w:t>acility’s control, is at odds with the intent of timely and flexible delivery.</w:t>
      </w:r>
    </w:p>
    <w:p w14:paraId="51E7633B" w14:textId="5E08448A" w:rsidR="00155D06" w:rsidRPr="008C1D96" w:rsidRDefault="00706E53" w:rsidP="00C520D3">
      <w:pPr>
        <w:rPr>
          <w:color w:val="auto"/>
          <w:lang w:val="en-AU"/>
        </w:rPr>
      </w:pPr>
      <w:r w:rsidRPr="00706E53">
        <w:t xml:space="preserve">ASIPS+ is on track to achieve both EOFOs by end of Phase 1. </w:t>
      </w:r>
      <w:r w:rsidR="00B51D79" w:rsidRPr="00706E53">
        <w:t>This</w:t>
      </w:r>
      <w:r>
        <w:t xml:space="preserve"> assessment</w:t>
      </w:r>
      <w:r w:rsidR="00B51D79" w:rsidRPr="00706E53">
        <w:t xml:space="preserve"> is based on ASIPS+ reporting and PAF/IMR criteria</w:t>
      </w:r>
      <w:r>
        <w:t xml:space="preserve">, </w:t>
      </w:r>
      <w:r w:rsidR="00B51D79" w:rsidRPr="00706E53">
        <w:t>operational data</w:t>
      </w:r>
      <w:r>
        <w:t>,</w:t>
      </w:r>
      <w:r w:rsidR="00B51D79" w:rsidRPr="00706E53">
        <w:t xml:space="preserve"> and consultations with AHC, ASIPS+, DT Global and SIG.</w:t>
      </w:r>
      <w:r w:rsidR="008F1227" w:rsidRPr="00706E53">
        <w:t xml:space="preserve"> </w:t>
      </w:r>
      <w:r w:rsidR="005166B7" w:rsidRPr="00706E53">
        <w:t>S</w:t>
      </w:r>
      <w:r w:rsidR="008B5B4F" w:rsidRPr="00706E53">
        <w:t xml:space="preserve">ome implementation assumptions have proven optimistic in the context of rapid portfolio growth, particularly the assumption that a relatively fixed FSU can sustain </w:t>
      </w:r>
      <w:r w:rsidR="00173B17" w:rsidRPr="00706E53">
        <w:t>consistent</w:t>
      </w:r>
      <w:r w:rsidR="008B5B4F" w:rsidRPr="00706E53">
        <w:t xml:space="preserve"> operational and cross-cutting support as SO number, value, complexity and urgency increase. </w:t>
      </w:r>
      <w:r w:rsidR="00D3386B" w:rsidRPr="00706E53">
        <w:t>Demand has increased rapidly, utili</w:t>
      </w:r>
      <w:r w:rsidR="00516001" w:rsidRPr="00706E53">
        <w:t>s</w:t>
      </w:r>
      <w:r w:rsidR="00D3386B" w:rsidRPr="00706E53">
        <w:t xml:space="preserve">ation is high, and the </w:t>
      </w:r>
      <w:r w:rsidR="008F1227" w:rsidRPr="00706E53">
        <w:t>f</w:t>
      </w:r>
      <w:r w:rsidR="00D3386B" w:rsidRPr="00706E53">
        <w:t>acility is operating with limited headroom and stretched staff capacity. ASIPS+ has absorbed this</w:t>
      </w:r>
      <w:r w:rsidR="00D3386B" w:rsidRPr="008C1D96">
        <w:rPr>
          <w:color w:val="auto"/>
          <w:lang w:val="en-AU"/>
        </w:rPr>
        <w:t xml:space="preserve"> pressure impressively, but growth has reduced the space for system </w:t>
      </w:r>
      <w:r>
        <w:rPr>
          <w:color w:val="auto"/>
          <w:lang w:val="en-AU"/>
        </w:rPr>
        <w:t xml:space="preserve">and </w:t>
      </w:r>
      <w:r w:rsidR="00D3386B" w:rsidRPr="008C1D96">
        <w:rPr>
          <w:color w:val="auto"/>
          <w:lang w:val="en-AU"/>
        </w:rPr>
        <w:t>management information improvements</w:t>
      </w:r>
      <w:r>
        <w:rPr>
          <w:color w:val="auto"/>
          <w:lang w:val="en-AU"/>
        </w:rPr>
        <w:t xml:space="preserve">, </w:t>
      </w:r>
      <w:r w:rsidR="00D3386B" w:rsidRPr="008C1D96">
        <w:rPr>
          <w:color w:val="auto"/>
          <w:lang w:val="en-AU"/>
        </w:rPr>
        <w:t>quality assurance</w:t>
      </w:r>
      <w:r>
        <w:rPr>
          <w:color w:val="auto"/>
          <w:lang w:val="en-AU"/>
        </w:rPr>
        <w:t xml:space="preserve">, and </w:t>
      </w:r>
      <w:r w:rsidRPr="008C1D96">
        <w:rPr>
          <w:color w:val="auto"/>
          <w:lang w:val="en-AU"/>
        </w:rPr>
        <w:t>learning</w:t>
      </w:r>
      <w:r>
        <w:rPr>
          <w:color w:val="auto"/>
          <w:lang w:val="en-AU"/>
        </w:rPr>
        <w:t>-to-action</w:t>
      </w:r>
      <w:r w:rsidR="00D3386B" w:rsidRPr="008C1D96">
        <w:rPr>
          <w:color w:val="auto"/>
          <w:lang w:val="en-AU"/>
        </w:rPr>
        <w:t xml:space="preserve">. The main risk for the remainder of Phase 1 is sustainability: if demand, resourcing and systems are not managed more deliberately, the </w:t>
      </w:r>
      <w:r w:rsidR="008F1227">
        <w:rPr>
          <w:color w:val="auto"/>
          <w:lang w:val="en-AU"/>
        </w:rPr>
        <w:t>f</w:t>
      </w:r>
      <w:r w:rsidR="00D3386B" w:rsidRPr="008C1D96">
        <w:rPr>
          <w:color w:val="auto"/>
          <w:lang w:val="en-AU"/>
        </w:rPr>
        <w:t>acility may lose some of the coherence, learning and development effectiveness that make the “plus” function valuable.</w:t>
      </w:r>
    </w:p>
    <w:p w14:paraId="39CDA38E" w14:textId="77777777" w:rsidR="008862BA" w:rsidRPr="00490A26" w:rsidRDefault="008862BA" w:rsidP="00490A26">
      <w:pPr>
        <w:pStyle w:val="Heading4"/>
      </w:pPr>
      <w:r w:rsidRPr="00490A26">
        <w:t>Progress towards EOFO1: quality programming that responds to Australia’s policy and development priorities</w:t>
      </w:r>
    </w:p>
    <w:p w14:paraId="1704E0B7" w14:textId="7BC32E3C" w:rsidR="00810806" w:rsidRDefault="00281941" w:rsidP="108F9B49">
      <w:pPr>
        <w:shd w:val="clear" w:color="auto" w:fill="DFF5F8" w:themeFill="accent5" w:themeFillTint="33"/>
      </w:pPr>
      <w:r w:rsidRPr="00FD5220">
        <w:rPr>
          <w:b/>
          <w:bCs/>
        </w:rPr>
        <w:t>F</w:t>
      </w:r>
      <w:r w:rsidR="007F123C">
        <w:rPr>
          <w:b/>
          <w:bCs/>
        </w:rPr>
        <w:t xml:space="preserve">2. </w:t>
      </w:r>
      <w:r w:rsidR="003C5062" w:rsidRPr="002D28CB">
        <w:rPr>
          <w:b/>
          <w:bCs/>
        </w:rPr>
        <w:t>ASIPS+ is on track to achieve EOFO1</w:t>
      </w:r>
      <w:r w:rsidR="00810806">
        <w:rPr>
          <w:rStyle w:val="FootnoteReference"/>
        </w:rPr>
        <w:footnoteReference w:id="14"/>
      </w:r>
      <w:r w:rsidR="008C1D96">
        <w:t>.</w:t>
      </w:r>
      <w:r w:rsidR="00810806">
        <w:t xml:space="preserve"> </w:t>
      </w:r>
      <w:r w:rsidR="003D3B94">
        <w:t xml:space="preserve">However, </w:t>
      </w:r>
      <w:r w:rsidR="00810806" w:rsidRPr="00646E35">
        <w:t>its quality programming system is still being embedded across the SO portfolio.</w:t>
      </w:r>
      <w:r w:rsidR="00810806">
        <w:t xml:space="preserve"> ASIPS+ defines quality programming through the Quality Programming Strategy and Programming and Performance Management Guidelines as a proportionate system of SO design, planning, MEL, safeguarding, cross-cutting integration, performance management and learning requirements, supported by the </w:t>
      </w:r>
      <w:r w:rsidR="008A5E3E" w:rsidRPr="00F521E9">
        <w:t>Development Effectiveness Hub (DEH)</w:t>
      </w:r>
      <w:r w:rsidR="00810806">
        <w:t xml:space="preserve"> and implementation profiling</w:t>
      </w:r>
      <w:r w:rsidR="00646E35">
        <w:t xml:space="preserve">. </w:t>
      </w:r>
      <w:r w:rsidR="277F7140">
        <w:t>T</w:t>
      </w:r>
      <w:r w:rsidR="00810806">
        <w:t xml:space="preserve">he tools and processes </w:t>
      </w:r>
      <w:r w:rsidR="00F17D02">
        <w:t xml:space="preserve">are </w:t>
      </w:r>
      <w:r w:rsidR="00810806">
        <w:t>established and in use, but consistent application across all SO types and delivery roles is still being embedded.</w:t>
      </w:r>
    </w:p>
    <w:p w14:paraId="594CE0F4" w14:textId="6F98D50D" w:rsidR="007F123C" w:rsidRPr="007F123C" w:rsidRDefault="007F123C" w:rsidP="007F123C">
      <w:pPr>
        <w:shd w:val="clear" w:color="auto" w:fill="DFF5F8" w:themeFill="accent3" w:themeFillTint="33"/>
        <w:rPr>
          <w:lang w:val="en-AU"/>
        </w:rPr>
      </w:pPr>
      <w:r w:rsidRPr="007F123C">
        <w:rPr>
          <w:b/>
          <w:bCs/>
          <w:lang w:val="en-AU"/>
        </w:rPr>
        <w:t>R</w:t>
      </w:r>
      <w:r w:rsidR="006F6807">
        <w:rPr>
          <w:b/>
          <w:bCs/>
          <w:lang w:val="en-AU"/>
        </w:rPr>
        <w:t>2</w:t>
      </w:r>
      <w:r w:rsidRPr="007F123C">
        <w:rPr>
          <w:b/>
          <w:bCs/>
          <w:lang w:val="en-AU"/>
        </w:rPr>
        <w:t xml:space="preserve">. </w:t>
      </w:r>
      <w:r w:rsidR="00810806" w:rsidRPr="002D28CB">
        <w:rPr>
          <w:b/>
          <w:bCs/>
          <w:lang w:val="en-AU"/>
        </w:rPr>
        <w:t>Complete portfolio-wide rollout-out of quality programming tools.</w:t>
      </w:r>
      <w:r w:rsidR="00810806" w:rsidRPr="00810806">
        <w:rPr>
          <w:b/>
          <w:bCs/>
          <w:lang w:val="en-AU"/>
        </w:rPr>
        <w:t xml:space="preserve"> </w:t>
      </w:r>
      <w:r w:rsidR="006F6807" w:rsidRPr="00646E35">
        <w:rPr>
          <w:lang w:val="en-AU"/>
        </w:rPr>
        <w:t>Apply implementation profiling to all new SOs and</w:t>
      </w:r>
      <w:r w:rsidR="006F6807" w:rsidRPr="006F6807">
        <w:rPr>
          <w:b/>
          <w:bCs/>
          <w:lang w:val="en-AU"/>
        </w:rPr>
        <w:t xml:space="preserve"> </w:t>
      </w:r>
      <w:r w:rsidR="006F6807">
        <w:rPr>
          <w:lang w:val="en-AU"/>
        </w:rPr>
        <w:t>c</w:t>
      </w:r>
      <w:r w:rsidR="00982EE3" w:rsidRPr="00646E35">
        <w:rPr>
          <w:lang w:val="en-AU"/>
        </w:rPr>
        <w:t xml:space="preserve">alibrate FSU support to SO type, delivery role, risk and complexity. Larger or more complex SOs should include dedicated operational capacity where required; smaller SOs should have </w:t>
      </w:r>
      <w:r w:rsidR="008A5E3E">
        <w:rPr>
          <w:lang w:val="en-AU"/>
        </w:rPr>
        <w:t xml:space="preserve">more </w:t>
      </w:r>
      <w:r w:rsidR="00982EE3" w:rsidRPr="00646E35">
        <w:rPr>
          <w:lang w:val="en-AU"/>
        </w:rPr>
        <w:t xml:space="preserve">predictable access to shared services and </w:t>
      </w:r>
      <w:r w:rsidR="00D26D2D" w:rsidRPr="00F521E9">
        <w:t>DEH</w:t>
      </w:r>
      <w:r w:rsidR="00982EE3" w:rsidRPr="00646E35">
        <w:rPr>
          <w:lang w:val="en-AU"/>
        </w:rPr>
        <w:t xml:space="preserve"> support.</w:t>
      </w:r>
    </w:p>
    <w:p w14:paraId="2C48E242" w14:textId="5646F172" w:rsidR="00281941" w:rsidRDefault="00281941" w:rsidP="00B13345">
      <w:pPr>
        <w:shd w:val="clear" w:color="auto" w:fill="ECECEC" w:themeFill="accent4" w:themeFillTint="33"/>
      </w:pPr>
      <w:r w:rsidRPr="00FD5220">
        <w:rPr>
          <w:b/>
          <w:bCs/>
        </w:rPr>
        <w:t>Evidence strength:</w:t>
      </w:r>
      <w:r>
        <w:t xml:space="preserve"> </w:t>
      </w:r>
      <w:r w:rsidRPr="007F123C">
        <w:rPr>
          <w:i/>
          <w:iCs/>
        </w:rPr>
        <w:t>moderate to high</w:t>
      </w:r>
      <w:r w:rsidRPr="00281941">
        <w:t xml:space="preserve">. Evidence is strong on the increasing use of quality systems, design processes, cross-cutting strategies, quality assurance mechanisms and stakeholder perceptions of </w:t>
      </w:r>
      <w:r w:rsidR="008A5E3E">
        <w:t>f</w:t>
      </w:r>
      <w:r w:rsidRPr="00281941">
        <w:t>acility value. Evidence is moderate on portfolio-wide application and downstream development outcomes attributable to ASIPS+, because the quality architecture is still being operationalised and 2025 was the first full year of implementation following approval of the refreshed design</w:t>
      </w:r>
      <w:r w:rsidR="00776DBB">
        <w:t xml:space="preserve"> in August 2024</w:t>
      </w:r>
      <w:r w:rsidRPr="00281941">
        <w:t>.</w:t>
      </w:r>
    </w:p>
    <w:p w14:paraId="48F07868" w14:textId="130989BC" w:rsidR="00B13345" w:rsidRDefault="00F521E9" w:rsidP="009B02FA">
      <w:pPr>
        <w:shd w:val="clear" w:color="auto" w:fill="FFFFFF" w:themeFill="background1"/>
        <w:rPr>
          <w:color w:val="auto"/>
        </w:rPr>
      </w:pPr>
      <w:r w:rsidRPr="008F1227">
        <w:t xml:space="preserve">To deliver EOFO1, ASIPS+ established DEH, strengthened MEL, and institutionalised a quality programming system. The DEH gives SOs access to shared </w:t>
      </w:r>
      <w:r w:rsidR="008F3053" w:rsidRPr="008F1227">
        <w:t xml:space="preserve">frameworks, </w:t>
      </w:r>
      <w:r w:rsidRPr="008F1227">
        <w:t xml:space="preserve">tools, templates, quality assurance processes </w:t>
      </w:r>
      <w:r w:rsidRPr="008F1227">
        <w:rPr>
          <w:color w:val="auto"/>
        </w:rPr>
        <w:t>and specialist advice</w:t>
      </w:r>
      <w:r w:rsidR="008F3053" w:rsidRPr="008F1227">
        <w:rPr>
          <w:color w:val="auto"/>
        </w:rPr>
        <w:t xml:space="preserve"> including in cross-cutting areas</w:t>
      </w:r>
      <w:r w:rsidRPr="008F1227">
        <w:rPr>
          <w:color w:val="auto"/>
        </w:rPr>
        <w:t xml:space="preserve">. This integrated model </w:t>
      </w:r>
      <w:r w:rsidR="008F3053" w:rsidRPr="008F1227">
        <w:rPr>
          <w:color w:val="auto"/>
        </w:rPr>
        <w:t xml:space="preserve">has reduced </w:t>
      </w:r>
      <w:r w:rsidRPr="008F1227">
        <w:rPr>
          <w:color w:val="auto"/>
        </w:rPr>
        <w:t xml:space="preserve">fragmentation </w:t>
      </w:r>
      <w:r w:rsidR="008F3053" w:rsidRPr="008F1227">
        <w:rPr>
          <w:color w:val="auto"/>
        </w:rPr>
        <w:t>(</w:t>
      </w:r>
      <w:r w:rsidRPr="008F1227">
        <w:rPr>
          <w:color w:val="auto"/>
        </w:rPr>
        <w:t>because each SO does not need to create separate systems</w:t>
      </w:r>
      <w:r w:rsidR="008F3053" w:rsidRPr="008F1227">
        <w:rPr>
          <w:color w:val="auto"/>
        </w:rPr>
        <w:t xml:space="preserve">) and has </w:t>
      </w:r>
      <w:r w:rsidRPr="008F1227">
        <w:rPr>
          <w:color w:val="auto"/>
        </w:rPr>
        <w:t>help</w:t>
      </w:r>
      <w:r w:rsidR="008F3053" w:rsidRPr="008F1227">
        <w:rPr>
          <w:color w:val="auto"/>
        </w:rPr>
        <w:t>ed</w:t>
      </w:r>
      <w:r w:rsidRPr="008F1227">
        <w:rPr>
          <w:color w:val="auto"/>
        </w:rPr>
        <w:t xml:space="preserve"> ASIPS+ build a stronger Facility-level performance narrative </w:t>
      </w:r>
      <w:r w:rsidR="008F3053" w:rsidRPr="008F1227">
        <w:rPr>
          <w:color w:val="auto"/>
        </w:rPr>
        <w:t>(</w:t>
      </w:r>
      <w:r w:rsidRPr="008F1227">
        <w:rPr>
          <w:color w:val="auto"/>
        </w:rPr>
        <w:t xml:space="preserve">because SO-level evidence </w:t>
      </w:r>
      <w:r w:rsidR="008F3053" w:rsidRPr="008F1227">
        <w:rPr>
          <w:color w:val="auto"/>
        </w:rPr>
        <w:t xml:space="preserve">is </w:t>
      </w:r>
      <w:r w:rsidRPr="008F1227">
        <w:rPr>
          <w:color w:val="auto"/>
        </w:rPr>
        <w:t xml:space="preserve">linked to shared </w:t>
      </w:r>
      <w:r w:rsidR="009B02FA">
        <w:rPr>
          <w:color w:val="auto"/>
        </w:rPr>
        <w:t>f</w:t>
      </w:r>
      <w:r w:rsidRPr="008F1227">
        <w:rPr>
          <w:color w:val="auto"/>
        </w:rPr>
        <w:t xml:space="preserve">acility outcomes, DPP priorities and </w:t>
      </w:r>
      <w:r w:rsidR="00D53666" w:rsidRPr="008F1227">
        <w:rPr>
          <w:color w:val="auto"/>
        </w:rPr>
        <w:t>PAF</w:t>
      </w:r>
      <w:r w:rsidR="008F3053" w:rsidRPr="008F1227">
        <w:rPr>
          <w:color w:val="auto"/>
        </w:rPr>
        <w:t>)</w:t>
      </w:r>
      <w:r w:rsidRPr="008F1227">
        <w:rPr>
          <w:color w:val="auto"/>
        </w:rPr>
        <w:t xml:space="preserve">. Consultation evidence supports this: several SO representatives reported that the integrated DEH function </w:t>
      </w:r>
      <w:r w:rsidRPr="009B02FA">
        <w:rPr>
          <w:color w:val="auto"/>
        </w:rPr>
        <w:t xml:space="preserve">helped their SOs apply cross-cutting issues in more consistent </w:t>
      </w:r>
      <w:r w:rsidR="008F3053" w:rsidRPr="009B02FA">
        <w:rPr>
          <w:color w:val="auto"/>
        </w:rPr>
        <w:t xml:space="preserve">and cost-effective </w:t>
      </w:r>
      <w:r w:rsidRPr="009B02FA">
        <w:rPr>
          <w:color w:val="auto"/>
        </w:rPr>
        <w:t>ways.</w:t>
      </w:r>
    </w:p>
    <w:p w14:paraId="09E445F8" w14:textId="72503D2B" w:rsidR="009B02FA" w:rsidRPr="009B02FA" w:rsidRDefault="009B02FA" w:rsidP="009B02FA">
      <w:pPr>
        <w:shd w:val="clear" w:color="auto" w:fill="FFFFFF" w:themeFill="background1"/>
        <w:rPr>
          <w:color w:val="auto"/>
        </w:rPr>
      </w:pPr>
      <w:r w:rsidRPr="009B02FA">
        <w:rPr>
          <w:color w:val="auto"/>
        </w:rPr>
        <w:t xml:space="preserve">Consultation evidence supports the value of this model. Several SO representatives reported that the DEH helped them apply cross-cutting issues more consistently and cost-effectively. ASIPS+ also uses a tiered quality model to </w:t>
      </w:r>
      <w:r w:rsidRPr="009B02FA">
        <w:rPr>
          <w:color w:val="auto"/>
        </w:rPr>
        <w:lastRenderedPageBreak/>
        <w:t>match support to SO type, risk and complexity. The Implementation Profiling Tool has been used for eight SOs, helping to right-size resourcing and trigger specialist inputs where needed</w:t>
      </w:r>
      <w:r w:rsidR="00263D54" w:rsidRPr="009B02FA">
        <w:rPr>
          <w:color w:val="auto"/>
        </w:rPr>
        <w:t xml:space="preserve"> (see </w:t>
      </w:r>
      <w:r w:rsidR="00263D54" w:rsidRPr="009B02FA">
        <w:rPr>
          <w:b/>
          <w:bCs/>
          <w:color w:val="auto"/>
        </w:rPr>
        <w:t>Annex 7</w:t>
      </w:r>
      <w:r w:rsidR="00263D54" w:rsidRPr="009B02FA">
        <w:rPr>
          <w:color w:val="auto"/>
        </w:rPr>
        <w:t xml:space="preserve"> for more details about these tools). </w:t>
      </w:r>
      <w:r w:rsidR="00240138" w:rsidRPr="009B02FA">
        <w:rPr>
          <w:color w:val="auto"/>
        </w:rPr>
        <w:t xml:space="preserve">The “plus” model is generating value, although not evenly across all SOs, as shown in </w:t>
      </w:r>
      <w:r w:rsidR="00240138" w:rsidRPr="009B02FA">
        <w:rPr>
          <w:b/>
          <w:bCs/>
          <w:color w:val="auto"/>
        </w:rPr>
        <w:t xml:space="preserve">Box </w:t>
      </w:r>
      <w:r w:rsidR="00516CD3" w:rsidRPr="009B02FA">
        <w:rPr>
          <w:b/>
          <w:bCs/>
          <w:color w:val="auto"/>
        </w:rPr>
        <w:t>1</w:t>
      </w:r>
      <w:r w:rsidR="00240138" w:rsidRPr="009B02FA">
        <w:rPr>
          <w:color w:val="auto"/>
        </w:rPr>
        <w:t xml:space="preserve">. </w:t>
      </w:r>
      <w:r w:rsidRPr="009B02FA">
        <w:rPr>
          <w:color w:val="auto"/>
        </w:rPr>
        <w:t xml:space="preserve">The evidence suggests that shared services are well suited to smaller SOs, provided access is timely and predictable. </w:t>
      </w:r>
      <w:r w:rsidR="00292320">
        <w:rPr>
          <w:color w:val="auto"/>
        </w:rPr>
        <w:t>More complex</w:t>
      </w:r>
      <w:r w:rsidRPr="009B02FA">
        <w:rPr>
          <w:color w:val="auto"/>
        </w:rPr>
        <w:t xml:space="preserve"> sector programs may require dedicated operational capacity funded within the SO, with the FSU providing lighter-touch quality assurance, coordination and surge support. These requirements should be assessed and costed during the design of larger investments. For smaller SOs, the priority is to ensure reliable access to the right level of shared operational and technical support.</w:t>
      </w:r>
    </w:p>
    <w:p w14:paraId="5F44F7E4" w14:textId="7012033B" w:rsidR="00A14E67" w:rsidRPr="00E17FB5" w:rsidRDefault="00A14E67" w:rsidP="009B02FA">
      <w:pPr>
        <w:shd w:val="clear" w:color="auto" w:fill="D9D9D9" w:themeFill="background1" w:themeFillShade="D9"/>
        <w:spacing w:before="0"/>
        <w:rPr>
          <w:b/>
          <w:bCs/>
          <w:sz w:val="19"/>
          <w:szCs w:val="19"/>
          <w:lang w:val="en-AU"/>
        </w:rPr>
      </w:pPr>
      <w:r w:rsidRPr="00263D54">
        <w:rPr>
          <w:b/>
          <w:bCs/>
          <w:sz w:val="19"/>
          <w:szCs w:val="19"/>
          <w:lang w:val="en-AU"/>
        </w:rPr>
        <w:t>Box</w:t>
      </w:r>
      <w:r w:rsidR="00516CD3">
        <w:rPr>
          <w:b/>
          <w:bCs/>
          <w:sz w:val="19"/>
          <w:szCs w:val="19"/>
          <w:lang w:val="en-AU"/>
        </w:rPr>
        <w:t xml:space="preserve"> </w:t>
      </w:r>
      <w:r w:rsidR="00516CD3" w:rsidRPr="00E17FB5">
        <w:rPr>
          <w:b/>
          <w:bCs/>
          <w:sz w:val="19"/>
          <w:szCs w:val="19"/>
          <w:lang w:val="en-AU"/>
        </w:rPr>
        <w:t>1</w:t>
      </w:r>
      <w:r w:rsidRPr="00E17FB5">
        <w:rPr>
          <w:b/>
          <w:bCs/>
          <w:sz w:val="19"/>
          <w:szCs w:val="19"/>
          <w:lang w:val="en-AU"/>
        </w:rPr>
        <w:t>. The “plus” model across different SO types</w:t>
      </w:r>
    </w:p>
    <w:p w14:paraId="18898B1B" w14:textId="4EBB6419" w:rsidR="007F59FB" w:rsidRPr="007F59FB" w:rsidRDefault="007F59FB" w:rsidP="009B02FA">
      <w:pPr>
        <w:shd w:val="clear" w:color="auto" w:fill="D9D9D9" w:themeFill="background1" w:themeFillShade="D9"/>
        <w:spacing w:before="0"/>
        <w:rPr>
          <w:sz w:val="19"/>
          <w:szCs w:val="19"/>
          <w:lang w:val="en-AU"/>
        </w:rPr>
      </w:pPr>
      <w:r w:rsidRPr="007F59FB">
        <w:rPr>
          <w:sz w:val="19"/>
          <w:szCs w:val="19"/>
          <w:lang w:val="en-AU"/>
        </w:rPr>
        <w:t xml:space="preserve">Education and skills: Australia Skills Awards supports technical and vocational skills development, while Stronger Education Together (SET) supports education sector strengthening with </w:t>
      </w:r>
      <w:r w:rsidR="00D53666">
        <w:rPr>
          <w:sz w:val="19"/>
          <w:szCs w:val="19"/>
          <w:lang w:val="en-AU"/>
        </w:rPr>
        <w:t xml:space="preserve">the </w:t>
      </w:r>
      <w:r w:rsidR="00D53666" w:rsidRPr="00D53666">
        <w:rPr>
          <w:sz w:val="19"/>
          <w:szCs w:val="19"/>
        </w:rPr>
        <w:t xml:space="preserve">Ministry of Education and Human Resources Development </w:t>
      </w:r>
      <w:r w:rsidR="00D53666">
        <w:rPr>
          <w:sz w:val="19"/>
          <w:szCs w:val="19"/>
        </w:rPr>
        <w:t>(</w:t>
      </w:r>
      <w:r w:rsidRPr="007F59FB">
        <w:rPr>
          <w:sz w:val="19"/>
          <w:szCs w:val="19"/>
          <w:lang w:val="en-AU"/>
        </w:rPr>
        <w:t>MEHRD</w:t>
      </w:r>
      <w:r w:rsidR="00D53666">
        <w:rPr>
          <w:sz w:val="19"/>
          <w:szCs w:val="19"/>
          <w:lang w:val="en-AU"/>
        </w:rPr>
        <w:t>)</w:t>
      </w:r>
      <w:r w:rsidRPr="007F59FB">
        <w:rPr>
          <w:sz w:val="19"/>
          <w:szCs w:val="19"/>
          <w:lang w:val="en-AU"/>
        </w:rPr>
        <w:t xml:space="preserve">. ASIPS+ brought Australia Skills Awards support into the bilateral education and skills portfolio managed through ASIPS+, aligning it with SET, incorporating disability inclusion, and drawing on SET’s relationship with MEHRD. SET also used the ASIPS+ </w:t>
      </w:r>
      <w:r w:rsidR="00D53666" w:rsidRPr="00D53666">
        <w:rPr>
          <w:sz w:val="19"/>
          <w:szCs w:val="19"/>
          <w:lang w:val="en-AU"/>
        </w:rPr>
        <w:t>GEDSI</w:t>
      </w:r>
      <w:r w:rsidRPr="007F59FB">
        <w:rPr>
          <w:sz w:val="19"/>
          <w:szCs w:val="19"/>
          <w:lang w:val="en-AU"/>
        </w:rPr>
        <w:t xml:space="preserve"> approach to develop its GEDSI strategy, which DFAT accepted on first submission with commendations. Positive feedback from MEHRD and SINU indicates that ASIPS+ is adapting programming to context and strengthening alignment across the wider education and skills portfolio.</w:t>
      </w:r>
    </w:p>
    <w:p w14:paraId="40DBF789" w14:textId="6946837F" w:rsidR="007F59FB" w:rsidRPr="007F59FB" w:rsidRDefault="007F59FB" w:rsidP="009B02FA">
      <w:pPr>
        <w:shd w:val="clear" w:color="auto" w:fill="D9D9D9" w:themeFill="background1" w:themeFillShade="D9"/>
        <w:spacing w:before="0"/>
        <w:rPr>
          <w:sz w:val="19"/>
          <w:szCs w:val="19"/>
          <w:lang w:val="en-AU"/>
        </w:rPr>
      </w:pPr>
      <w:r w:rsidRPr="007F59FB">
        <w:rPr>
          <w:sz w:val="19"/>
          <w:szCs w:val="19"/>
          <w:lang w:val="en-AU"/>
        </w:rPr>
        <w:t xml:space="preserve">Small targeted program: The Gender Equality Support Unit (GESU) supports the </w:t>
      </w:r>
      <w:r w:rsidR="00DF3567">
        <w:rPr>
          <w:sz w:val="19"/>
          <w:szCs w:val="19"/>
          <w:lang w:val="en-AU"/>
        </w:rPr>
        <w:t xml:space="preserve">Solomon Islands’ </w:t>
      </w:r>
      <w:r w:rsidRPr="007F59FB">
        <w:rPr>
          <w:sz w:val="19"/>
          <w:szCs w:val="19"/>
          <w:lang w:val="en-AU"/>
        </w:rPr>
        <w:t>Ministry of Women, Youth, Children and Family Affairs, particularly the Women’s Development Division, to advance gender equality priorities. GESU demonstrates the value of shared Facility systems for a small, targeted SO. ASIPS+ finance, procurement, MEL and reporting support are important because GESU has a small core team. This enables GESU to work with government partners while meeting DFAT compliance and accountability requirements.</w:t>
      </w:r>
    </w:p>
    <w:p w14:paraId="6CD110DF" w14:textId="2EA550EC" w:rsidR="00260000" w:rsidRPr="000A40A5" w:rsidRDefault="007F59FB" w:rsidP="006A50E6">
      <w:pPr>
        <w:rPr>
          <w:color w:val="auto"/>
        </w:rPr>
      </w:pPr>
      <w:r w:rsidRPr="007F59FB">
        <w:rPr>
          <w:sz w:val="19"/>
          <w:szCs w:val="19"/>
          <w:lang w:val="en-AU"/>
        </w:rPr>
        <w:t xml:space="preserve">The Solomon Islands Australia Health Partnership (SIAHP) is </w:t>
      </w:r>
      <w:r w:rsidR="0052139D" w:rsidRPr="007F59FB">
        <w:rPr>
          <w:sz w:val="19"/>
          <w:szCs w:val="19"/>
          <w:lang w:val="en-AU"/>
        </w:rPr>
        <w:t>a complex</w:t>
      </w:r>
      <w:r w:rsidRPr="007F59FB">
        <w:rPr>
          <w:sz w:val="19"/>
          <w:szCs w:val="19"/>
          <w:lang w:val="en-AU"/>
        </w:rPr>
        <w:t xml:space="preserve"> health program supporting health system strengthening and service delivery. SIAHP </w:t>
      </w:r>
      <w:r w:rsidRPr="004E24C8">
        <w:rPr>
          <w:sz w:val="19"/>
          <w:szCs w:val="19"/>
          <w:lang w:val="en-AU"/>
        </w:rPr>
        <w:t xml:space="preserve">demonstrates the limits of relying mainly on shared services for large sector programs. </w:t>
      </w:r>
      <w:r w:rsidR="004E24C8" w:rsidRPr="004E24C8">
        <w:rPr>
          <w:sz w:val="19"/>
          <w:szCs w:val="19"/>
        </w:rPr>
        <w:t xml:space="preserve">Securing resourcing has been a challenge. </w:t>
      </w:r>
      <w:r w:rsidRPr="004E24C8">
        <w:rPr>
          <w:sz w:val="19"/>
          <w:szCs w:val="19"/>
          <w:lang w:val="en-AU"/>
        </w:rPr>
        <w:t>Stakeholders raised concerns about the timeliness and depth of support in procurement, finance, HR and MEL</w:t>
      </w:r>
      <w:r w:rsidR="00CE1B72" w:rsidRPr="004E24C8">
        <w:rPr>
          <w:sz w:val="19"/>
          <w:szCs w:val="19"/>
          <w:lang w:val="en-AU"/>
        </w:rPr>
        <w:t>.</w:t>
      </w:r>
      <w:r w:rsidR="00CE1B72">
        <w:rPr>
          <w:sz w:val="19"/>
          <w:szCs w:val="19"/>
          <w:lang w:val="en-AU"/>
        </w:rPr>
        <w:t xml:space="preserve"> </w:t>
      </w:r>
      <w:r w:rsidR="117A5E7C" w:rsidRPr="000A40A5">
        <w:rPr>
          <w:color w:val="auto"/>
          <w:lang w:val="en-AU"/>
        </w:rPr>
        <w:t>ASIPS+ has absorbed rapid growth in delivery volume and portfolio value. Annual delivery increased by 4</w:t>
      </w:r>
      <w:r w:rsidR="76562233" w:rsidRPr="000A40A5">
        <w:rPr>
          <w:color w:val="auto"/>
          <w:lang w:val="en-AU"/>
        </w:rPr>
        <w:t>2</w:t>
      </w:r>
      <w:r w:rsidR="117A5E7C" w:rsidRPr="000A40A5">
        <w:rPr>
          <w:color w:val="auto"/>
          <w:lang w:val="en-AU"/>
        </w:rPr>
        <w:t>%</w:t>
      </w:r>
      <w:r w:rsidR="76562233" w:rsidRPr="000A40A5">
        <w:rPr>
          <w:color w:val="auto"/>
          <w:lang w:val="en-AU"/>
        </w:rPr>
        <w:t xml:space="preserve"> </w:t>
      </w:r>
      <w:r w:rsidR="76562233" w:rsidRPr="000A40A5">
        <w:rPr>
          <w:color w:val="auto"/>
        </w:rPr>
        <w:t>between FY2023/24 and FY2024/25,</w:t>
      </w:r>
      <w:r w:rsidR="117A5E7C" w:rsidRPr="000A40A5">
        <w:rPr>
          <w:color w:val="auto"/>
          <w:lang w:val="en-AU"/>
        </w:rPr>
        <w:t xml:space="preserve"> and continued demand is expected. The </w:t>
      </w:r>
      <w:r w:rsidR="008F1227">
        <w:rPr>
          <w:color w:val="auto"/>
          <w:lang w:val="en-AU"/>
        </w:rPr>
        <w:t>f</w:t>
      </w:r>
      <w:r w:rsidR="117A5E7C" w:rsidRPr="000A40A5">
        <w:rPr>
          <w:color w:val="auto"/>
          <w:lang w:val="en-AU"/>
        </w:rPr>
        <w:t xml:space="preserve">acility now manages approximately AUD16 million in annual procurement and contracting activity and supports </w:t>
      </w:r>
      <w:r w:rsidR="004829D0" w:rsidRPr="000A40A5">
        <w:rPr>
          <w:color w:val="auto"/>
          <w:lang w:val="en-AU"/>
        </w:rPr>
        <w:t xml:space="preserve">more than </w:t>
      </w:r>
      <w:r w:rsidR="117A5E7C" w:rsidRPr="000A40A5">
        <w:rPr>
          <w:color w:val="auto"/>
          <w:lang w:val="en-AU"/>
        </w:rPr>
        <w:t>120 staff across the FSU and SOs, many embedded in partner ministries and service functions. This growth, driven by increasing demand from the AHC, is strong evidence that ASIPS+ is responding to Australia’s policy and development priorities. It has also placed pressure on the relatively fixed FSU budget</w:t>
      </w:r>
      <w:r w:rsidR="008F1227">
        <w:rPr>
          <w:color w:val="auto"/>
          <w:lang w:val="en-AU"/>
        </w:rPr>
        <w:t xml:space="preserve"> (see </w:t>
      </w:r>
      <w:r w:rsidR="008F1227" w:rsidRPr="00CE1B72">
        <w:rPr>
          <w:b/>
          <w:bCs/>
          <w:color w:val="auto"/>
          <w:lang w:val="en-AU"/>
        </w:rPr>
        <w:t>Annex 5</w:t>
      </w:r>
      <w:r w:rsidR="008F1227">
        <w:rPr>
          <w:color w:val="auto"/>
          <w:lang w:val="en-AU"/>
        </w:rPr>
        <w:t>)</w:t>
      </w:r>
      <w:r w:rsidR="117A5E7C" w:rsidRPr="000A40A5">
        <w:rPr>
          <w:color w:val="auto"/>
          <w:lang w:val="en-AU"/>
        </w:rPr>
        <w:t xml:space="preserve">. </w:t>
      </w:r>
    </w:p>
    <w:p w14:paraId="504D18DF" w14:textId="19F26AA7" w:rsidR="00F521E9" w:rsidRPr="00537DDE" w:rsidRDefault="00F521E9" w:rsidP="006A50E6">
      <w:pPr>
        <w:rPr>
          <w:color w:val="auto"/>
          <w:lang w:val="en-AU"/>
        </w:rPr>
      </w:pPr>
      <w:r w:rsidRPr="000A40A5">
        <w:rPr>
          <w:color w:val="auto"/>
          <w:lang w:val="en-AU"/>
        </w:rPr>
        <w:t xml:space="preserve">Consultation evidence reinforces the EOFO1 finding. ASIPS+ was consistently </w:t>
      </w:r>
      <w:r w:rsidRPr="46C31772">
        <w:rPr>
          <w:lang w:val="en-AU"/>
        </w:rPr>
        <w:t xml:space="preserve">described as responsive, flexible and valuable in supporting quality programming in a complex operating environment. AHC stakeholders saw the </w:t>
      </w:r>
      <w:r w:rsidR="00555F7A">
        <w:rPr>
          <w:lang w:val="en-AU"/>
        </w:rPr>
        <w:t>f</w:t>
      </w:r>
      <w:r w:rsidRPr="46C31772">
        <w:rPr>
          <w:lang w:val="en-AU"/>
        </w:rPr>
        <w:t xml:space="preserve">acility as responsive to their priorities and as helping them maintain engagement with SIG while progressing multiple lines of effort in parallel. </w:t>
      </w:r>
    </w:p>
    <w:p w14:paraId="38BFF73B" w14:textId="6C0A2A81" w:rsidR="00F521E9" w:rsidRDefault="00F521E9" w:rsidP="002D5813">
      <w:pPr>
        <w:rPr>
          <w:color w:val="auto"/>
          <w:lang w:val="en-AU"/>
        </w:rPr>
      </w:pPr>
      <w:r w:rsidRPr="00537DDE">
        <w:rPr>
          <w:color w:val="auto"/>
          <w:lang w:val="en-AU"/>
        </w:rPr>
        <w:t xml:space="preserve">SIG counterparts from </w:t>
      </w:r>
      <w:r w:rsidR="000A40A5">
        <w:rPr>
          <w:color w:val="auto"/>
          <w:lang w:val="en-AU"/>
        </w:rPr>
        <w:t xml:space="preserve">the </w:t>
      </w:r>
      <w:r w:rsidR="000A40A5" w:rsidRPr="000A40A5">
        <w:rPr>
          <w:color w:val="auto"/>
        </w:rPr>
        <w:t>Ministry of National Planning and Development Coordination</w:t>
      </w:r>
      <w:r w:rsidR="000A40A5" w:rsidRPr="000A40A5">
        <w:rPr>
          <w:color w:val="auto"/>
          <w:lang w:val="en-AU"/>
        </w:rPr>
        <w:t xml:space="preserve"> </w:t>
      </w:r>
      <w:r w:rsidR="000A40A5">
        <w:rPr>
          <w:color w:val="auto"/>
          <w:lang w:val="en-AU"/>
        </w:rPr>
        <w:t>(</w:t>
      </w:r>
      <w:r w:rsidRPr="00537DDE">
        <w:rPr>
          <w:color w:val="auto"/>
          <w:lang w:val="en-AU"/>
        </w:rPr>
        <w:t>MNPDC</w:t>
      </w:r>
      <w:r w:rsidR="000A40A5">
        <w:rPr>
          <w:color w:val="auto"/>
          <w:lang w:val="en-AU"/>
        </w:rPr>
        <w:t>)</w:t>
      </w:r>
      <w:r w:rsidRPr="00537DDE">
        <w:rPr>
          <w:color w:val="auto"/>
          <w:lang w:val="en-AU"/>
        </w:rPr>
        <w:t xml:space="preserve">, MEHRD and SINU </w:t>
      </w:r>
      <w:r w:rsidR="004829D0" w:rsidRPr="00537DDE">
        <w:rPr>
          <w:color w:val="auto"/>
          <w:lang w:val="en-AU"/>
        </w:rPr>
        <w:t xml:space="preserve">were pleased about </w:t>
      </w:r>
      <w:r w:rsidRPr="00537DDE">
        <w:rPr>
          <w:color w:val="auto"/>
          <w:lang w:val="en-AU"/>
        </w:rPr>
        <w:t>a greater willingness by Australia to listen</w:t>
      </w:r>
      <w:r w:rsidR="000A40A5">
        <w:rPr>
          <w:color w:val="auto"/>
          <w:lang w:val="en-AU"/>
        </w:rPr>
        <w:t xml:space="preserve"> and </w:t>
      </w:r>
      <w:r w:rsidR="000A40A5" w:rsidRPr="00537DDE">
        <w:rPr>
          <w:color w:val="auto"/>
          <w:lang w:val="en-AU"/>
        </w:rPr>
        <w:t>improved responsiveness</w:t>
      </w:r>
      <w:r w:rsidRPr="00537DDE">
        <w:rPr>
          <w:color w:val="auto"/>
          <w:lang w:val="en-AU"/>
        </w:rPr>
        <w:t>. MEHRD reported that Australian-supported education programming is now more responsive to SIG priorities, including the shift towards senior secondary infrastructure in response to enrolment pressures and progression bottlenecks. SINU described the partnership as locally driven and adaptive, with Australian-supported inputs contributing to pedagogy, policy reform, accreditation and academic governance, including through the University of Technology Sydney pedagogy program and academic mentoring.</w:t>
      </w:r>
    </w:p>
    <w:p w14:paraId="4D7B053B" w14:textId="66F050DC" w:rsidR="00D53666" w:rsidRPr="00F521E9" w:rsidRDefault="00D53666" w:rsidP="00D53666">
      <w:pPr>
        <w:rPr>
          <w:lang w:val="en-AU"/>
        </w:rPr>
      </w:pPr>
      <w:r w:rsidRPr="004D16DF">
        <w:t>Facility reporting indicate</w:t>
      </w:r>
      <w:r w:rsidR="000A40A5">
        <w:t>s</w:t>
      </w:r>
      <w:r w:rsidRPr="004D16DF">
        <w:t xml:space="preserve"> good progress across the four IOs</w:t>
      </w:r>
      <w:r>
        <w:t xml:space="preserve"> </w:t>
      </w:r>
      <w:r w:rsidRPr="004D16DF">
        <w:t>that underpin EOFO1; this assessment is supported by positive feedback from education stakeholders, particularly MEHRD and SIN</w:t>
      </w:r>
      <w:r>
        <w:t xml:space="preserve">U: </w:t>
      </w:r>
    </w:p>
    <w:p w14:paraId="03847D2E" w14:textId="7FE96AC5" w:rsidR="00D53666" w:rsidRDefault="00D53666" w:rsidP="00D53666">
      <w:pPr>
        <w:rPr>
          <w:lang w:val="en-AU"/>
        </w:rPr>
      </w:pPr>
      <w:r w:rsidRPr="376A14B8">
        <w:rPr>
          <w:b/>
          <w:bCs/>
          <w:lang w:val="en-AU"/>
        </w:rPr>
        <w:t>IO1.1. ASIPS+ has delivered quality SO designs and strategies that incorporate cross-cutting issues and key policy priorities.</w:t>
      </w:r>
      <w:r w:rsidRPr="376A14B8">
        <w:rPr>
          <w:lang w:val="en-AU"/>
        </w:rPr>
        <w:t xml:space="preserve"> ASIPS+ is improving the way SOs are designed and established. New and redesigned SOs are more </w:t>
      </w:r>
      <w:r w:rsidRPr="00B13345">
        <w:t xml:space="preserve">structured, more clearly aligned to AHC priorities, and more consistently informed by local consultation and cross-cutting expertise. </w:t>
      </w:r>
      <w:r>
        <w:t xml:space="preserve">Because the refreshed design was approved in August 2024, ASIPS+ had limited ability to </w:t>
      </w:r>
      <w:r w:rsidRPr="00B13345">
        <w:t>i</w:t>
      </w:r>
      <w:r>
        <w:t>nfluence the education and health design phases. However, it is making a significant contribution to program implementation. This includes developing context</w:t>
      </w:r>
      <w:r>
        <w:noBreakHyphen/>
        <w:t xml:space="preserve">appropriate strategies aligned with both Australian Government and SIG development policies, while remaining flexible in responding to emerging priorities. The education portfolio provides a strong example of effective integration and alignment to AHC priorities. </w:t>
      </w:r>
      <w:r w:rsidRPr="00555F7A">
        <w:t>In 2025, ASIPS+ supported the transition from ESSP to SET and integrated skills programming into the bilateral facility through SO28 and SO34. ASIPS+ reshaped Australia Skills Awards programming from a regional arrangement that had been in abeyance into a more coherent education and skills line of effort aligned with SET, disability inclusion and MEHRD priorities. The upcoming agriculture program, SICRAD, designed end to end by ASIPS+, will be the litmus test of integration. Its design drew on ASIPS+ Quality Standards, local consultation, GEDSI, climate and MEL inputs, and learning from other grant modalities.</w:t>
      </w:r>
      <w:r>
        <w:t xml:space="preserve"> The evaluation team n</w:t>
      </w:r>
      <w:r w:rsidRPr="00555F7A">
        <w:t>otes that the AHC has paused the implementation of this program for the time being.</w:t>
      </w:r>
    </w:p>
    <w:p w14:paraId="0CC311E6" w14:textId="77777777" w:rsidR="00D53666" w:rsidRPr="00537DDE" w:rsidRDefault="00D53666" w:rsidP="00D53666">
      <w:pPr>
        <w:rPr>
          <w:color w:val="auto"/>
          <w:lang w:val="en-AU"/>
        </w:rPr>
      </w:pPr>
      <w:r w:rsidRPr="00F521E9">
        <w:rPr>
          <w:b/>
          <w:bCs/>
          <w:lang w:val="en-AU"/>
        </w:rPr>
        <w:t xml:space="preserve">IO1.2. ASIPS+ has delivered coherent and consistent approaches across SOs, including for cross-cutting issues and key </w:t>
      </w:r>
      <w:r w:rsidRPr="00537DDE">
        <w:rPr>
          <w:b/>
          <w:bCs/>
          <w:color w:val="auto"/>
          <w:lang w:val="en-AU"/>
        </w:rPr>
        <w:t>policy priorities.</w:t>
      </w:r>
      <w:r w:rsidRPr="00537DDE">
        <w:rPr>
          <w:color w:val="auto"/>
          <w:lang w:val="en-AU"/>
        </w:rPr>
        <w:t xml:space="preserve"> ASIPS+ is promoting coherent approaches across the portfolio through shared </w:t>
      </w:r>
      <w:r w:rsidRPr="00537DDE">
        <w:rPr>
          <w:color w:val="auto"/>
          <w:lang w:val="en-AU"/>
        </w:rPr>
        <w:lastRenderedPageBreak/>
        <w:t>frameworks for GEDSI, climate change, safeguarding, communications, locally led development and MEL. SET used the integrated frameworks to develop its GEDSI strategy, while Solomon Islands Australia Health Partnership (SIAHP; SO25) used them as a foundation for SO-level planning.</w:t>
      </w:r>
      <w:r w:rsidRPr="00453B33">
        <w:t xml:space="preserve"> </w:t>
      </w:r>
      <w:r w:rsidRPr="00453B33">
        <w:rPr>
          <w:color w:val="auto"/>
          <w:lang w:val="en-AU"/>
        </w:rPr>
        <w:t>This suggests the integrated approach is improving the pace, consistency and quality of SO planning, although evidence of downstream performance outcomes is still emerging.</w:t>
      </w:r>
    </w:p>
    <w:p w14:paraId="32926345" w14:textId="77777777" w:rsidR="00D53666" w:rsidRPr="00537DDE" w:rsidRDefault="00D53666" w:rsidP="00D53666">
      <w:pPr>
        <w:rPr>
          <w:color w:val="auto"/>
          <w:lang w:val="en-AU"/>
        </w:rPr>
      </w:pPr>
      <w:r w:rsidRPr="00537DDE">
        <w:rPr>
          <w:b/>
          <w:bCs/>
          <w:color w:val="auto"/>
          <w:lang w:val="en-AU"/>
        </w:rPr>
        <w:t>IO1.3. ASIPS+ has managed SOs to deliver in line with their workplans, terms of reference and specifications.</w:t>
      </w:r>
      <w:r w:rsidRPr="00537DDE">
        <w:rPr>
          <w:color w:val="auto"/>
          <w:lang w:val="en-AU"/>
        </w:rPr>
        <w:t xml:space="preserve"> Performance management has strengthened through DEH quality assurance support, improved adviser performance systems and regular SO performance reporting to AHC. These processes improve oversight and adaptive management.</w:t>
      </w:r>
      <w:r w:rsidRPr="00453B33">
        <w:t xml:space="preserve"> </w:t>
      </w:r>
      <w:r w:rsidRPr="00453B33">
        <w:rPr>
          <w:color w:val="auto"/>
          <w:lang w:val="en-AU"/>
        </w:rPr>
        <w:t>For example, regular SO reporting and governance discussions contributed to 10 SO amendments in 2025, allowing scope, timelines and resourcing to be adjusted as implementation conditions changed, rather than continuing under outdated workplans. This has improved oversight and course correction</w:t>
      </w:r>
      <w:r>
        <w:rPr>
          <w:color w:val="auto"/>
          <w:lang w:val="en-AU"/>
        </w:rPr>
        <w:t>.  The le</w:t>
      </w:r>
      <w:r w:rsidRPr="00453B33">
        <w:rPr>
          <w:color w:val="auto"/>
          <w:lang w:val="en-AU"/>
        </w:rPr>
        <w:t>vel of performance management support required varies by SO size, risk and complexity.</w:t>
      </w:r>
    </w:p>
    <w:p w14:paraId="42DFA478" w14:textId="403899B1" w:rsidR="00D53666" w:rsidRPr="00F75A26" w:rsidRDefault="00D53666" w:rsidP="002D5813">
      <w:pPr>
        <w:rPr>
          <w:lang w:val="en-AU"/>
        </w:rPr>
      </w:pPr>
      <w:r w:rsidRPr="72224989">
        <w:rPr>
          <w:b/>
          <w:bCs/>
          <w:lang w:val="en-AU"/>
        </w:rPr>
        <w:t>IO1.4. ASIPS+ has generated knowledge and learning that informs continuous improvement across SOs.</w:t>
      </w:r>
      <w:r w:rsidRPr="72224989">
        <w:rPr>
          <w:lang w:val="en-AU"/>
        </w:rPr>
        <w:t xml:space="preserve"> ASIPS+ has established mechanisms for learning, including communities of practice and structured reflection processes. There is evidence that learning is being applied; for example, 2025 reflection processes identified practical improvements in procurement, finance, HR, operations and MEL, </w:t>
      </w:r>
      <w:r>
        <w:rPr>
          <w:lang w:val="en-AU"/>
        </w:rPr>
        <w:t xml:space="preserve">including </w:t>
      </w:r>
      <w:r w:rsidRPr="72224989">
        <w:rPr>
          <w:lang w:val="en-AU"/>
        </w:rPr>
        <w:t>actions on quality standards roll-out, procurement system updates, finance–procurement system linkages, HR workflow review and more regular Facility reflection</w:t>
      </w:r>
      <w:r>
        <w:rPr>
          <w:lang w:val="en-AU"/>
        </w:rPr>
        <w:t xml:space="preserve">, </w:t>
      </w:r>
      <w:r w:rsidRPr="72224989">
        <w:rPr>
          <w:lang w:val="en-AU"/>
        </w:rPr>
        <w:t>which were then incorporated into the 2026 Annual Work Plan</w:t>
      </w:r>
      <w:r>
        <w:rPr>
          <w:lang w:val="en-AU"/>
        </w:rPr>
        <w:t>.</w:t>
      </w:r>
      <w:r w:rsidRPr="72224989">
        <w:rPr>
          <w:lang w:val="en-AU"/>
        </w:rPr>
        <w:t xml:space="preserve"> Learning to action is not yet systematic across the portfolio</w:t>
      </w:r>
      <w:r w:rsidR="00611046">
        <w:rPr>
          <w:lang w:val="en-AU"/>
        </w:rPr>
        <w:t>.  I</w:t>
      </w:r>
      <w:r w:rsidRPr="72224989">
        <w:rPr>
          <w:lang w:val="en-AU"/>
        </w:rPr>
        <w:t>t is reasonable that this is still emerging given the recent approval of the refreshed design. While learning systems take time to show results, a more manageable pace allows bandwidth for learning to action to take place.</w:t>
      </w:r>
    </w:p>
    <w:p w14:paraId="65210BEC" w14:textId="69794C68" w:rsidR="008862BA" w:rsidRDefault="008862BA" w:rsidP="00490A26">
      <w:pPr>
        <w:pStyle w:val="Heading4"/>
      </w:pPr>
      <w:r w:rsidRPr="008862BA">
        <w:t>Progress towards EOFO2: efficient and effective management of operational processes and resources</w:t>
      </w:r>
    </w:p>
    <w:p w14:paraId="01F18623" w14:textId="52F9D7E2" w:rsidR="007077CD" w:rsidRPr="004267D3" w:rsidRDefault="000378D9" w:rsidP="00847498">
      <w:pPr>
        <w:shd w:val="clear" w:color="auto" w:fill="DFF5F8" w:themeFill="accent3" w:themeFillTint="33"/>
      </w:pPr>
      <w:r w:rsidRPr="006A23AF">
        <w:rPr>
          <w:b/>
          <w:bCs/>
          <w:lang w:val="en-AU"/>
        </w:rPr>
        <w:t>F</w:t>
      </w:r>
      <w:r w:rsidR="00453B33" w:rsidRPr="006A23AF">
        <w:rPr>
          <w:b/>
          <w:bCs/>
          <w:lang w:val="en-AU"/>
        </w:rPr>
        <w:t>3</w:t>
      </w:r>
      <w:r w:rsidR="007F123C" w:rsidRPr="006A23AF">
        <w:rPr>
          <w:b/>
          <w:bCs/>
          <w:lang w:val="en-AU"/>
        </w:rPr>
        <w:t>.</w:t>
      </w:r>
      <w:r w:rsidR="007F123C" w:rsidRPr="004267D3">
        <w:rPr>
          <w:lang w:val="en-AU"/>
        </w:rPr>
        <w:t xml:space="preserve"> </w:t>
      </w:r>
      <w:r w:rsidR="00C86D2D" w:rsidRPr="00473D47">
        <w:rPr>
          <w:b/>
          <w:bCs/>
        </w:rPr>
        <w:t>ASIPS+ is making good progress towards EOFO2</w:t>
      </w:r>
      <w:r w:rsidR="00C86D2D" w:rsidRPr="004267D3">
        <w:t xml:space="preserve"> and is on track to achieve it by the end of Phase 1. ASIPS+ has strengthened governance, human resources, procurement, finance, operations, security, risk and safeguarding systems while absorbing a sharp increase in SO volume, value and complexity. These systems are enabling AHC to maintain a broad and responsive portfolio in Solomon Islands. However, ASIPS+ is now operating close to the limits of its current shared-services model.</w:t>
      </w:r>
      <w:r w:rsidR="007F123C" w:rsidRPr="004267D3">
        <w:t xml:space="preserve"> Some fragmented data and incomplete system integration limit real-time visibility across procurement, finance, HR, risk, MEL and SO performance.</w:t>
      </w:r>
    </w:p>
    <w:p w14:paraId="3A9BEB97" w14:textId="3A9006E1" w:rsidR="007F123C" w:rsidRDefault="007F123C" w:rsidP="00847498">
      <w:pPr>
        <w:shd w:val="clear" w:color="auto" w:fill="DFF5F8" w:themeFill="accent3" w:themeFillTint="33"/>
      </w:pPr>
      <w:r w:rsidRPr="006A23AF">
        <w:rPr>
          <w:b/>
          <w:bCs/>
        </w:rPr>
        <w:t>R</w:t>
      </w:r>
      <w:r w:rsidR="00453B33" w:rsidRPr="006A23AF">
        <w:rPr>
          <w:b/>
          <w:bCs/>
        </w:rPr>
        <w:t>3</w:t>
      </w:r>
      <w:r w:rsidRPr="006A23AF">
        <w:rPr>
          <w:b/>
          <w:bCs/>
        </w:rPr>
        <w:t>.</w:t>
      </w:r>
      <w:r w:rsidRPr="004267D3">
        <w:t xml:space="preserve"> </w:t>
      </w:r>
      <w:r w:rsidRPr="00473D47">
        <w:rPr>
          <w:b/>
          <w:bCs/>
        </w:rPr>
        <w:t xml:space="preserve">Prioritise </w:t>
      </w:r>
      <w:r w:rsidR="00453B33" w:rsidRPr="00473D47">
        <w:rPr>
          <w:b/>
          <w:bCs/>
        </w:rPr>
        <w:t xml:space="preserve">and accelerate </w:t>
      </w:r>
      <w:r w:rsidR="00473D47" w:rsidRPr="00473D47">
        <w:rPr>
          <w:b/>
          <w:bCs/>
        </w:rPr>
        <w:t>interoperable management information system</w:t>
      </w:r>
      <w:r w:rsidR="00473D47">
        <w:t xml:space="preserve"> with integrated</w:t>
      </w:r>
      <w:r w:rsidRPr="004267D3">
        <w:t xml:space="preserve"> </w:t>
      </w:r>
      <w:r w:rsidR="00453B33" w:rsidRPr="004267D3">
        <w:t xml:space="preserve">program management, HR, procurement, finance, risk, </w:t>
      </w:r>
      <w:r w:rsidR="00473D47">
        <w:t xml:space="preserve">and </w:t>
      </w:r>
      <w:r w:rsidR="00453B33" w:rsidRPr="004267D3">
        <w:t>MEL dat</w:t>
      </w:r>
      <w:r w:rsidR="00473D47">
        <w:t>a</w:t>
      </w:r>
      <w:r w:rsidR="00453B33" w:rsidRPr="004267D3">
        <w:t>. This should improve visibility of SO status and transaction pipelines, support service-standard monitoring, and enable earlier management action where approvals, procurements, payments, recruitment or reporting are delayed.</w:t>
      </w:r>
    </w:p>
    <w:p w14:paraId="6F5FD90E" w14:textId="6D8234FA" w:rsidR="008F1227" w:rsidRPr="004267D3" w:rsidRDefault="008F1227" w:rsidP="00847498">
      <w:pPr>
        <w:shd w:val="clear" w:color="auto" w:fill="DFF5F8" w:themeFill="accent3" w:themeFillTint="33"/>
      </w:pPr>
      <w:r w:rsidRPr="006A23AF">
        <w:rPr>
          <w:b/>
          <w:bCs/>
        </w:rPr>
        <w:t>R4.</w:t>
      </w:r>
      <w:r w:rsidRPr="008F1227">
        <w:t xml:space="preserve"> </w:t>
      </w:r>
      <w:r w:rsidRPr="00473D47">
        <w:rPr>
          <w:b/>
          <w:bCs/>
        </w:rPr>
        <w:t>Strengthen SOG exception reporting for delayed or off-track SOs and high-pressure transactions</w:t>
      </w:r>
      <w:r w:rsidRPr="008F1227">
        <w:t xml:space="preserve">. Include in SOG reporting where new SOs under development exceed planned SO lifecycle timeframes, payments exceed agreed terms, SOs are off track or delayed, or other practices place additional pressure on </w:t>
      </w:r>
      <w:r w:rsidR="006A23AF">
        <w:t>f</w:t>
      </w:r>
      <w:r w:rsidRPr="008F1227">
        <w:t>acility systems. Use this reporting to support earlier management action and more efficient use of</w:t>
      </w:r>
      <w:r w:rsidR="00473D47">
        <w:t xml:space="preserve"> </w:t>
      </w:r>
      <w:r w:rsidRPr="008F1227">
        <w:t>resources.</w:t>
      </w:r>
    </w:p>
    <w:p w14:paraId="4329ED8D" w14:textId="71416B61" w:rsidR="00847498" w:rsidRPr="00847498" w:rsidRDefault="00847498" w:rsidP="00847498">
      <w:pPr>
        <w:shd w:val="clear" w:color="auto" w:fill="ECECEC" w:themeFill="accent4" w:themeFillTint="33"/>
        <w:rPr>
          <w:lang w:val="en-AU"/>
        </w:rPr>
      </w:pPr>
      <w:r w:rsidRPr="00847498">
        <w:rPr>
          <w:b/>
          <w:bCs/>
          <w:lang w:val="en-AU"/>
        </w:rPr>
        <w:t xml:space="preserve">Evidence strength: </w:t>
      </w:r>
      <w:r w:rsidRPr="0035121D">
        <w:rPr>
          <w:i/>
          <w:iCs/>
          <w:lang w:val="en-AU"/>
        </w:rPr>
        <w:t>high</w:t>
      </w:r>
      <w:r w:rsidRPr="00847498">
        <w:rPr>
          <w:b/>
          <w:bCs/>
          <w:lang w:val="en-AU"/>
        </w:rPr>
        <w:t>.</w:t>
      </w:r>
      <w:r w:rsidRPr="00847498">
        <w:rPr>
          <w:lang w:val="en-AU"/>
        </w:rPr>
        <w:t xml:space="preserve"> This finding is supported by quantitative operating data in the 2024 and 2025 Annual Reports, value for money evidence, finance, procurement and human resources data, SOG records, reflection evidence and consultations with AHC, ASIPS+ and SO stakeholders.</w:t>
      </w:r>
    </w:p>
    <w:p w14:paraId="4457B089" w14:textId="5AC6DDC9" w:rsidR="00C86D2D" w:rsidRPr="00C86D2D" w:rsidRDefault="00C86D2D" w:rsidP="00263D54">
      <w:pPr>
        <w:rPr>
          <w:lang w:val="en-AU"/>
        </w:rPr>
      </w:pPr>
      <w:r w:rsidRPr="46C31772">
        <w:rPr>
          <w:lang w:val="en-AU"/>
        </w:rPr>
        <w:t xml:space="preserve">EOFO2 is the operational backbone of ASIPS+. Through EOFO2, the </w:t>
      </w:r>
      <w:r w:rsidR="006A23AF">
        <w:rPr>
          <w:lang w:val="en-AU"/>
        </w:rPr>
        <w:t>f</w:t>
      </w:r>
      <w:r w:rsidRPr="46C31772">
        <w:rPr>
          <w:lang w:val="en-AU"/>
        </w:rPr>
        <w:t xml:space="preserve">acility enables AHC to mobilise people, suppliers, grants, contracts, payments, </w:t>
      </w:r>
      <w:r w:rsidR="00611046">
        <w:rPr>
          <w:lang w:val="en-AU"/>
        </w:rPr>
        <w:t xml:space="preserve">and </w:t>
      </w:r>
      <w:r w:rsidRPr="46C31772">
        <w:rPr>
          <w:lang w:val="en-AU"/>
        </w:rPr>
        <w:t xml:space="preserve">logistics </w:t>
      </w:r>
      <w:r w:rsidR="00F032AC" w:rsidRPr="00F032AC">
        <w:rPr>
          <w:lang w:val="en-AU"/>
        </w:rPr>
        <w:t>in a timely and risk-managed way</w:t>
      </w:r>
      <w:r w:rsidR="00F032AC">
        <w:rPr>
          <w:lang w:val="en-AU"/>
        </w:rPr>
        <w:t xml:space="preserve"> </w:t>
      </w:r>
      <w:r w:rsidRPr="46C31772">
        <w:rPr>
          <w:lang w:val="en-AU"/>
        </w:rPr>
        <w:t xml:space="preserve">in a complex operating environment. This matters in Solomon Islands, where markets are shallow, government and supplier capacity is uneven, geography increases delivery costs, and AHC often needs to respond quickly to political, security, development and partnership priorities. Without the </w:t>
      </w:r>
      <w:r w:rsidR="006A23AF">
        <w:rPr>
          <w:lang w:val="en-AU"/>
        </w:rPr>
        <w:t>f</w:t>
      </w:r>
      <w:r w:rsidRPr="46C31772">
        <w:rPr>
          <w:lang w:val="en-AU"/>
        </w:rPr>
        <w:t xml:space="preserve">acility, many of these processes would be slower, more fragmented, </w:t>
      </w:r>
      <w:r w:rsidR="737B64ED" w:rsidRPr="46C31772">
        <w:rPr>
          <w:lang w:val="en-AU"/>
        </w:rPr>
        <w:t>and highly resource-intensive</w:t>
      </w:r>
      <w:r w:rsidRPr="46C31772">
        <w:rPr>
          <w:lang w:val="en-AU"/>
        </w:rPr>
        <w:t xml:space="preserve"> for AHC to manage directly.</w:t>
      </w:r>
    </w:p>
    <w:p w14:paraId="7A490603" w14:textId="1A3747B5" w:rsidR="00C86D2D" w:rsidRPr="00847498" w:rsidRDefault="00C86D2D" w:rsidP="00263D54">
      <w:pPr>
        <w:rPr>
          <w:lang w:val="en-AU"/>
        </w:rPr>
      </w:pPr>
      <w:r w:rsidRPr="72224989">
        <w:rPr>
          <w:lang w:val="en-AU"/>
        </w:rPr>
        <w:t xml:space="preserve">This conclusion is strongly supported by AHC consultation evidence. AHC stakeholders consistently described ASIPS+ as an essential enabling mechanism in a fluid political, security and partnership environment. They particularly </w:t>
      </w:r>
      <w:r w:rsidR="004829D0" w:rsidRPr="72224989">
        <w:rPr>
          <w:lang w:val="en-AU"/>
        </w:rPr>
        <w:t xml:space="preserve">valued </w:t>
      </w:r>
      <w:r w:rsidRPr="72224989">
        <w:rPr>
          <w:lang w:val="en-AU"/>
        </w:rPr>
        <w:t xml:space="preserve">rapid procurement, payments and mobilisation where responsiveness </w:t>
      </w:r>
      <w:r w:rsidR="1163880B" w:rsidRPr="72224989">
        <w:rPr>
          <w:lang w:val="en-AU"/>
        </w:rPr>
        <w:t>wa</w:t>
      </w:r>
      <w:r w:rsidRPr="72224989">
        <w:rPr>
          <w:lang w:val="en-AU"/>
        </w:rPr>
        <w:t xml:space="preserve">s central to delivery. AHC stakeholders also described ASIPS+ as fit for purpose in a context of shallow markets and persistent capacity constraints, while noting that several areas of DFAT programming, including non-ODA activities, would face significant delivery risk without the Facility. </w:t>
      </w:r>
      <w:r w:rsidR="00F032AC" w:rsidRPr="72224989">
        <w:rPr>
          <w:lang w:val="en-AU"/>
        </w:rPr>
        <w:t xml:space="preserve">This is because the Facility provides established procurement, contracting, finance, HR, logistics, security and risk-management systems that AHC would otherwise need to manage directly or recreate through separate mechanisms. </w:t>
      </w:r>
      <w:r w:rsidR="000D5621" w:rsidRPr="72224989">
        <w:rPr>
          <w:lang w:val="en-AU"/>
        </w:rPr>
        <w:t xml:space="preserve">By covering this complex task, ASIPS+ allows the DFAT security team to focus on other priority tasks. </w:t>
      </w:r>
      <w:r w:rsidRPr="72224989">
        <w:rPr>
          <w:lang w:val="en-AU"/>
        </w:rPr>
        <w:t xml:space="preserve">Other consultations highlighted ASIPS+’s back-office efficiency and its ability to mobilise targeted technical assistance and discrete support that AHC could not easily administer directly. </w:t>
      </w:r>
    </w:p>
    <w:p w14:paraId="500738A3" w14:textId="1DA11200" w:rsidR="00312CE5" w:rsidRDefault="6DC91A61" w:rsidP="00263D54">
      <w:pPr>
        <w:rPr>
          <w:lang w:val="en-AU"/>
        </w:rPr>
      </w:pPr>
      <w:r>
        <w:rPr>
          <w:lang w:val="en-AU"/>
        </w:rPr>
        <w:t xml:space="preserve">However, the </w:t>
      </w:r>
      <w:r w:rsidR="668D6BF9">
        <w:rPr>
          <w:lang w:val="en-AU"/>
        </w:rPr>
        <w:t xml:space="preserve">rapid growth has exposed </w:t>
      </w:r>
      <w:r w:rsidR="491BCEC5" w:rsidRPr="00FD1951">
        <w:rPr>
          <w:lang w:val="en-AU"/>
        </w:rPr>
        <w:t xml:space="preserve">two operational issues. The first is a </w:t>
      </w:r>
      <w:r w:rsidR="491BCEC5" w:rsidRPr="00FD1951">
        <w:rPr>
          <w:b/>
          <w:bCs/>
          <w:lang w:val="en-AU"/>
        </w:rPr>
        <w:t>resourcing model</w:t>
      </w:r>
      <w:r w:rsidR="668D6BF9">
        <w:rPr>
          <w:b/>
          <w:bCs/>
          <w:lang w:val="en-AU"/>
        </w:rPr>
        <w:t xml:space="preserve"> issue</w:t>
      </w:r>
      <w:r w:rsidR="491BCEC5" w:rsidRPr="00FD1951">
        <w:rPr>
          <w:lang w:val="en-AU"/>
        </w:rPr>
        <w:t xml:space="preserve">: implementation profiling is sound in design, but it is not yet clearly connected to operational service standards, transaction-volume forecasting, or decisions on when SOs require dedicated procurement, finance or </w:t>
      </w:r>
      <w:r w:rsidR="491BCEC5">
        <w:rPr>
          <w:lang w:val="en-AU"/>
        </w:rPr>
        <w:t>HR</w:t>
      </w:r>
      <w:r w:rsidR="491BCEC5" w:rsidRPr="00FD1951">
        <w:rPr>
          <w:lang w:val="en-AU"/>
        </w:rPr>
        <w:t xml:space="preserve"> </w:t>
      </w:r>
      <w:r w:rsidR="491BCEC5" w:rsidRPr="00FD1951">
        <w:rPr>
          <w:lang w:val="en-AU"/>
        </w:rPr>
        <w:lastRenderedPageBreak/>
        <w:t>capacity. As a result, the FSU</w:t>
      </w:r>
      <w:r w:rsidR="491BCEC5">
        <w:rPr>
          <w:lang w:val="en-AU"/>
        </w:rPr>
        <w:t xml:space="preserve"> </w:t>
      </w:r>
      <w:r w:rsidR="491BCEC5" w:rsidRPr="00FD1951">
        <w:rPr>
          <w:lang w:val="en-AU"/>
        </w:rPr>
        <w:t>continues to carry most shared procurement, payment, recruitment and contracting functions across a growing and more complex SO portfolio, which is stretching shared services.</w:t>
      </w:r>
      <w:r w:rsidR="491BCEC5">
        <w:rPr>
          <w:lang w:val="en-AU"/>
        </w:rPr>
        <w:t xml:space="preserve"> </w:t>
      </w:r>
      <w:r w:rsidR="491BCEC5" w:rsidRPr="00FD1951">
        <w:rPr>
          <w:lang w:val="en-AU"/>
        </w:rPr>
        <w:t xml:space="preserve">The second is an </w:t>
      </w:r>
      <w:r w:rsidR="491BCEC5" w:rsidRPr="00FD1951">
        <w:rPr>
          <w:b/>
          <w:bCs/>
          <w:lang w:val="en-AU"/>
        </w:rPr>
        <w:t>operational intensity issue</w:t>
      </w:r>
      <w:r w:rsidR="491BCEC5" w:rsidRPr="00FD1951">
        <w:rPr>
          <w:lang w:val="en-AU"/>
        </w:rPr>
        <w:t xml:space="preserve">: even where the support model </w:t>
      </w:r>
      <w:r w:rsidR="7AC34B1F">
        <w:rPr>
          <w:lang w:val="en-AU"/>
        </w:rPr>
        <w:t>was</w:t>
      </w:r>
      <w:r w:rsidR="491BCEC5" w:rsidRPr="00FD1951">
        <w:rPr>
          <w:lang w:val="en-AU"/>
        </w:rPr>
        <w:t xml:space="preserve"> appropriate, </w:t>
      </w:r>
      <w:r w:rsidR="7AC34B1F">
        <w:rPr>
          <w:lang w:val="en-AU"/>
        </w:rPr>
        <w:t xml:space="preserve">some </w:t>
      </w:r>
      <w:r w:rsidR="491BCEC5" w:rsidRPr="00FD1951">
        <w:rPr>
          <w:lang w:val="en-AU"/>
        </w:rPr>
        <w:t xml:space="preserve">late approvals, </w:t>
      </w:r>
      <w:r w:rsidR="7AC34B1F">
        <w:rPr>
          <w:lang w:val="en-AU"/>
        </w:rPr>
        <w:t xml:space="preserve">urgent </w:t>
      </w:r>
      <w:r w:rsidR="491BCEC5" w:rsidRPr="00FD1951">
        <w:rPr>
          <w:lang w:val="en-AU"/>
        </w:rPr>
        <w:t>demand and compressed end-of-financial-year expenditure generate</w:t>
      </w:r>
      <w:r w:rsidR="7AC34B1F">
        <w:rPr>
          <w:lang w:val="en-AU"/>
        </w:rPr>
        <w:t>d</w:t>
      </w:r>
      <w:r w:rsidR="491BCEC5" w:rsidRPr="00FD1951">
        <w:rPr>
          <w:lang w:val="en-AU"/>
        </w:rPr>
        <w:t xml:space="preserve"> high transaction volumes that </w:t>
      </w:r>
      <w:r w:rsidR="668D6BF9">
        <w:rPr>
          <w:lang w:val="en-AU"/>
        </w:rPr>
        <w:t xml:space="preserve">further </w:t>
      </w:r>
      <w:r w:rsidR="491BCEC5" w:rsidRPr="00FD1951">
        <w:rPr>
          <w:lang w:val="en-AU"/>
        </w:rPr>
        <w:t>stretch</w:t>
      </w:r>
      <w:r w:rsidR="7AC34B1F">
        <w:rPr>
          <w:lang w:val="en-AU"/>
        </w:rPr>
        <w:t>ed</w:t>
      </w:r>
      <w:r w:rsidR="491BCEC5" w:rsidRPr="00FD1951">
        <w:rPr>
          <w:lang w:val="en-AU"/>
        </w:rPr>
        <w:t xml:space="preserve"> procurement, finance, grants and contracting systems</w:t>
      </w:r>
      <w:r w:rsidR="00FD1951">
        <w:rPr>
          <w:rStyle w:val="FootnoteReference"/>
          <w:lang w:val="en-AU"/>
        </w:rPr>
        <w:footnoteReference w:id="15"/>
      </w:r>
      <w:r w:rsidR="491BCEC5" w:rsidRPr="00FD1951">
        <w:rPr>
          <w:lang w:val="en-AU"/>
        </w:rPr>
        <w:t xml:space="preserve">.These pressures </w:t>
      </w:r>
      <w:r w:rsidR="7AC34B1F">
        <w:rPr>
          <w:lang w:val="en-AU"/>
        </w:rPr>
        <w:t xml:space="preserve">have </w:t>
      </w:r>
      <w:r w:rsidR="491BCEC5" w:rsidRPr="00FD1951">
        <w:rPr>
          <w:lang w:val="en-AU"/>
        </w:rPr>
        <w:t>require</w:t>
      </w:r>
      <w:r w:rsidR="7AC34B1F">
        <w:rPr>
          <w:lang w:val="en-AU"/>
        </w:rPr>
        <w:t>d</w:t>
      </w:r>
      <w:r w:rsidR="491BCEC5" w:rsidRPr="00FD1951">
        <w:rPr>
          <w:lang w:val="en-AU"/>
        </w:rPr>
        <w:t xml:space="preserve"> ASIPS+ to manage trade-offs between speed</w:t>
      </w:r>
      <w:r w:rsidR="491BCEC5" w:rsidRPr="6518DF12">
        <w:rPr>
          <w:lang w:val="en-AU"/>
        </w:rPr>
        <w:t xml:space="preserve">, </w:t>
      </w:r>
      <w:r w:rsidR="491BCEC5" w:rsidRPr="46C31772">
        <w:rPr>
          <w:lang w:val="en-AU"/>
        </w:rPr>
        <w:t>compliance</w:t>
      </w:r>
      <w:r w:rsidR="491BCEC5" w:rsidRPr="6518DF12">
        <w:rPr>
          <w:lang w:val="en-AU"/>
        </w:rPr>
        <w:t>, systems strengthening and the level of support provided to different SOs.</w:t>
      </w:r>
    </w:p>
    <w:p w14:paraId="35C4DCE2" w14:textId="1E49D4B7" w:rsidR="00065EC2" w:rsidRDefault="00AA5152" w:rsidP="00263D54">
      <w:pPr>
        <w:rPr>
          <w:lang w:val="en-AU"/>
        </w:rPr>
      </w:pPr>
      <w:r w:rsidRPr="72224989">
        <w:rPr>
          <w:lang w:val="en-AU"/>
        </w:rPr>
        <w:t xml:space="preserve">The flexibility and high responsiveness of ASIPS+ means that it gets asked to do more things, more flexibly.  </w:t>
      </w:r>
      <w:r w:rsidR="00065EC2" w:rsidRPr="00065EC2">
        <w:t xml:space="preserve">To support more sustainable </w:t>
      </w:r>
      <w:r w:rsidR="006A23AF">
        <w:t>f</w:t>
      </w:r>
      <w:r w:rsidR="00065EC2" w:rsidRPr="00065EC2">
        <w:t xml:space="preserve">acility management, the review recommends a shift towards greater visibility and shared accountability for practices that place additional pressure on </w:t>
      </w:r>
      <w:r w:rsidR="006A23AF">
        <w:t>f</w:t>
      </w:r>
      <w:r w:rsidR="00065EC2" w:rsidRPr="00065EC2">
        <w:t>acility systems and staff. Monthly reporting to the S</w:t>
      </w:r>
      <w:r w:rsidR="00065EC2">
        <w:t>OG</w:t>
      </w:r>
      <w:r w:rsidR="00065EC2" w:rsidRPr="00065EC2">
        <w:t xml:space="preserve"> should include, for example, new S</w:t>
      </w:r>
      <w:r w:rsidR="00065EC2">
        <w:t>Os</w:t>
      </w:r>
      <w:r w:rsidR="00065EC2" w:rsidRPr="00065EC2">
        <w:t xml:space="preserve"> that exceed lifecycle timeframes during development, payments made outside agreed terms, and other issues that increase demand on the </w:t>
      </w:r>
      <w:r w:rsidR="006A23AF">
        <w:t>f</w:t>
      </w:r>
      <w:r w:rsidR="00065EC2" w:rsidRPr="00065EC2">
        <w:t>acility.</w:t>
      </w:r>
      <w:r w:rsidR="00611046">
        <w:t xml:space="preserve"> A recalibration of reporting to the SOG along these lines also provides an opportunity to consider if there are ways to provide earlier flags to senior managements of SOs that are off track.</w:t>
      </w:r>
    </w:p>
    <w:p w14:paraId="13801B04" w14:textId="45550E40" w:rsidR="00847498" w:rsidRPr="00847498" w:rsidRDefault="00847498" w:rsidP="00F032AC">
      <w:pPr>
        <w:rPr>
          <w:lang w:val="en-AU"/>
        </w:rPr>
      </w:pPr>
      <w:r w:rsidRPr="00847498">
        <w:rPr>
          <w:lang w:val="en-AU"/>
        </w:rPr>
        <w:t>The evidence shows progress across the five IOs that underpin EOFO2.</w:t>
      </w:r>
      <w:r w:rsidR="00376E33" w:rsidRPr="00376E33">
        <w:t xml:space="preserve"> </w:t>
      </w:r>
      <w:r w:rsidR="00376E33" w:rsidRPr="00376E33">
        <w:rPr>
          <w:lang w:val="en-AU"/>
        </w:rPr>
        <w:t>Evidence for EOFO2 is drawn from ASIPS+ operational datasets and annual reporting, and was triangulated through the VfM assessment, SOG records, and consultations with AHC, ASIPS+ business units and selected SO stakeholders.</w:t>
      </w:r>
    </w:p>
    <w:p w14:paraId="3499199B" w14:textId="368F928D" w:rsidR="00847498" w:rsidRPr="008D3BEF" w:rsidRDefault="00847498" w:rsidP="00F032AC">
      <w:pPr>
        <w:rPr>
          <w:lang w:val="en-AU"/>
        </w:rPr>
      </w:pPr>
      <w:r w:rsidRPr="008D3BEF">
        <w:rPr>
          <w:b/>
          <w:bCs/>
          <w:lang w:val="en-AU"/>
        </w:rPr>
        <w:t>IO2.1. ASIPS+’s decision-making processes have been effective.</w:t>
      </w:r>
      <w:r w:rsidRPr="008D3BEF">
        <w:rPr>
          <w:lang w:val="en-AU"/>
        </w:rPr>
        <w:t xml:space="preserve"> SOG and FIMT processes provide a clear structure for strategic and operational decision-making. </w:t>
      </w:r>
      <w:r w:rsidR="00061A13" w:rsidRPr="008D3BEF">
        <w:rPr>
          <w:lang w:val="en-AU"/>
        </w:rPr>
        <w:t>Governance has matured from establishment and oversight towards more active management of headroom, pipeline, compliance, risk and resourcing</w:t>
      </w:r>
      <w:r w:rsidR="00061A13">
        <w:rPr>
          <w:rStyle w:val="FootnoteReference"/>
          <w:lang w:val="en-AU"/>
        </w:rPr>
        <w:footnoteReference w:id="16"/>
      </w:r>
      <w:r w:rsidR="00061A13" w:rsidRPr="008D3BEF">
        <w:rPr>
          <w:lang w:val="en-AU"/>
        </w:rPr>
        <w:t>.</w:t>
      </w:r>
    </w:p>
    <w:p w14:paraId="39976894" w14:textId="14BD8F65" w:rsidR="00260000" w:rsidRDefault="00847498" w:rsidP="6CF85AE0">
      <w:pPr>
        <w:spacing w:line="259" w:lineRule="auto"/>
        <w:rPr>
          <w:lang w:val="en-AU"/>
        </w:rPr>
      </w:pPr>
      <w:r w:rsidRPr="008D3BEF">
        <w:rPr>
          <w:b/>
          <w:bCs/>
          <w:lang w:val="en-AU"/>
        </w:rPr>
        <w:t xml:space="preserve">IO2.2. ASIPS+ has provided efficient </w:t>
      </w:r>
      <w:r w:rsidR="00061A13" w:rsidRPr="6CF85AE0">
        <w:rPr>
          <w:b/>
          <w:bCs/>
          <w:lang w:val="en-AU"/>
        </w:rPr>
        <w:t xml:space="preserve">HR </w:t>
      </w:r>
      <w:r w:rsidRPr="6CF85AE0">
        <w:rPr>
          <w:b/>
          <w:bCs/>
          <w:lang w:val="en-AU"/>
        </w:rPr>
        <w:t>support and logistics functions to enable personnel to perform their roles.</w:t>
      </w:r>
      <w:r w:rsidRPr="6CF85AE0">
        <w:rPr>
          <w:lang w:val="en-AU"/>
        </w:rPr>
        <w:t xml:space="preserve"> </w:t>
      </w:r>
      <w:r w:rsidR="00376E33" w:rsidRPr="6CF85AE0">
        <w:rPr>
          <w:lang w:val="en-AU"/>
        </w:rPr>
        <w:t>During portfolio growth, ASIPS+ expanded and stabilised key HR and logistics functions sufficiently to maintain service delivery, support advisers and deployees,</w:t>
      </w:r>
      <w:r w:rsidR="006A23AF">
        <w:rPr>
          <w:lang w:val="en-AU"/>
        </w:rPr>
        <w:t xml:space="preserve"> </w:t>
      </w:r>
      <w:r w:rsidR="3B5FACA0" w:rsidRPr="6CF85AE0">
        <w:rPr>
          <w:lang w:val="en-AU"/>
        </w:rPr>
        <w:t>although not to an optimal level</w:t>
      </w:r>
      <w:r w:rsidR="3BC6FB4A" w:rsidRPr="6CF85AE0">
        <w:rPr>
          <w:lang w:val="en-AU"/>
        </w:rPr>
        <w:t xml:space="preserve">. </w:t>
      </w:r>
      <w:r w:rsidR="57A41670" w:rsidRPr="6CF85AE0">
        <w:rPr>
          <w:lang w:val="en-AU"/>
        </w:rPr>
        <w:t>The current rollout of integrated</w:t>
      </w:r>
      <w:r w:rsidR="006A23AF">
        <w:rPr>
          <w:lang w:val="en-AU"/>
        </w:rPr>
        <w:t xml:space="preserve"> information systems</w:t>
      </w:r>
      <w:r w:rsidR="57A41670" w:rsidRPr="6CF85AE0">
        <w:rPr>
          <w:lang w:val="en-AU"/>
        </w:rPr>
        <w:t xml:space="preserve"> </w:t>
      </w:r>
      <w:r w:rsidR="006A23AF">
        <w:rPr>
          <w:lang w:val="en-AU"/>
        </w:rPr>
        <w:t xml:space="preserve">for </w:t>
      </w:r>
      <w:r w:rsidR="57A41670" w:rsidRPr="6CF85AE0">
        <w:rPr>
          <w:lang w:val="en-AU"/>
        </w:rPr>
        <w:t xml:space="preserve">program management </w:t>
      </w:r>
      <w:r w:rsidR="006A23AF">
        <w:rPr>
          <w:lang w:val="en-AU"/>
        </w:rPr>
        <w:t xml:space="preserve">and HR </w:t>
      </w:r>
      <w:r w:rsidR="57A41670" w:rsidRPr="6CF85AE0">
        <w:rPr>
          <w:lang w:val="en-AU"/>
        </w:rPr>
        <w:t xml:space="preserve">should be prioritised (see recommendation </w:t>
      </w:r>
      <w:r w:rsidR="349FBE5A" w:rsidRPr="6CF85AE0">
        <w:rPr>
          <w:lang w:val="en-AU"/>
        </w:rPr>
        <w:t>2</w:t>
      </w:r>
      <w:r w:rsidR="57A41670" w:rsidRPr="6CF85AE0">
        <w:rPr>
          <w:lang w:val="en-AU"/>
        </w:rPr>
        <w:t>)</w:t>
      </w:r>
      <w:r w:rsidRPr="6CF85AE0">
        <w:rPr>
          <w:rStyle w:val="FootnoteReference"/>
          <w:lang w:val="en-AU"/>
        </w:rPr>
        <w:footnoteReference w:id="17"/>
      </w:r>
      <w:r w:rsidRPr="6CF85AE0">
        <w:rPr>
          <w:lang w:val="en-AU"/>
        </w:rPr>
        <w:t>.</w:t>
      </w:r>
      <w:r w:rsidR="006A23AF">
        <w:rPr>
          <w:lang w:val="en-AU"/>
        </w:rPr>
        <w:t xml:space="preserve"> </w:t>
      </w:r>
      <w:r w:rsidRPr="6CF85AE0">
        <w:rPr>
          <w:lang w:val="en-AU"/>
        </w:rPr>
        <w:t xml:space="preserve">Logistics, operations, Deployee Support Services and security </w:t>
      </w:r>
      <w:r w:rsidR="00260000" w:rsidRPr="6CF85AE0">
        <w:rPr>
          <w:lang w:val="en-AU"/>
        </w:rPr>
        <w:t>allowed advisers, teams and deployees to operate safely and effectively in a complex environment</w:t>
      </w:r>
      <w:r w:rsidRPr="6CF85AE0">
        <w:rPr>
          <w:rStyle w:val="FootnoteReference"/>
          <w:lang w:val="en-AU"/>
        </w:rPr>
        <w:footnoteReference w:id="18"/>
      </w:r>
      <w:r w:rsidRPr="6CF85AE0">
        <w:rPr>
          <w:lang w:val="en-AU"/>
        </w:rPr>
        <w:t xml:space="preserve">. </w:t>
      </w:r>
      <w:r w:rsidR="00260000">
        <w:t>ASIPS+ strengthened professional standards in the local security market by introducing compulsory safeguarding certification for guards in 2025, using Pi</w:t>
      </w:r>
      <w:r w:rsidR="0052139D">
        <w:t>dji</w:t>
      </w:r>
      <w:r w:rsidR="00260000">
        <w:t xml:space="preserve">n-language, scenario-based materials </w:t>
      </w:r>
      <w:r w:rsidR="00A14E67">
        <w:t xml:space="preserve">were developed and used </w:t>
      </w:r>
      <w:r w:rsidR="00260000">
        <w:t>to certify 450 guards and ensure that only safeguarding-certified guards are deployed to AHC sites.</w:t>
      </w:r>
    </w:p>
    <w:p w14:paraId="018C5207" w14:textId="3CD0B629" w:rsidR="00847498" w:rsidRPr="008D3BEF" w:rsidRDefault="00847498" w:rsidP="00F032AC">
      <w:pPr>
        <w:rPr>
          <w:lang w:val="en-AU"/>
        </w:rPr>
      </w:pPr>
      <w:r w:rsidRPr="008D3BEF">
        <w:rPr>
          <w:b/>
          <w:bCs/>
          <w:lang w:val="en-AU"/>
        </w:rPr>
        <w:t>IO2.3. ASIPS+ has effectively managed grants and procurement in line with Australian Government standards.</w:t>
      </w:r>
      <w:r w:rsidRPr="008D3BEF">
        <w:rPr>
          <w:lang w:val="en-AU"/>
        </w:rPr>
        <w:t xml:space="preserve"> Procurement scaled substantially while maintaining compliance and local sourcing</w:t>
      </w:r>
      <w:r w:rsidR="00061A13">
        <w:rPr>
          <w:rStyle w:val="FootnoteReference"/>
          <w:lang w:val="en-AU"/>
        </w:rPr>
        <w:footnoteReference w:id="19"/>
      </w:r>
      <w:r w:rsidRPr="008D3BEF">
        <w:rPr>
          <w:lang w:val="en-AU"/>
        </w:rPr>
        <w:t xml:space="preserve">. </w:t>
      </w:r>
      <w:r w:rsidR="00061A13" w:rsidRPr="008D3BEF">
        <w:rPr>
          <w:lang w:val="en-AU"/>
        </w:rPr>
        <w:t xml:space="preserve">ASIPS+ is also adapting procurement approaches to context, timing, risk and </w:t>
      </w:r>
      <w:r w:rsidR="006A23AF">
        <w:rPr>
          <w:lang w:val="en-AU"/>
        </w:rPr>
        <w:t>VfM</w:t>
      </w:r>
      <w:r w:rsidR="00061A13" w:rsidRPr="008D3BEF">
        <w:rPr>
          <w:lang w:val="en-AU"/>
        </w:rPr>
        <w:t xml:space="preserve">. </w:t>
      </w:r>
      <w:r w:rsidRPr="008D3BEF">
        <w:rPr>
          <w:lang w:val="en-AU"/>
        </w:rPr>
        <w:t xml:space="preserve">The Procurement and Grants Request System has been expanded to cover a broader range of requests, standardise workflows and improve visibility across the </w:t>
      </w:r>
      <w:r w:rsidR="006A23AF">
        <w:rPr>
          <w:lang w:val="en-AU"/>
        </w:rPr>
        <w:t>f</w:t>
      </w:r>
      <w:r w:rsidRPr="008D3BEF">
        <w:rPr>
          <w:lang w:val="en-AU"/>
        </w:rPr>
        <w:t xml:space="preserve">acility. </w:t>
      </w:r>
    </w:p>
    <w:p w14:paraId="7579A80D" w14:textId="6A531B9E" w:rsidR="00847498" w:rsidRPr="00F032AC" w:rsidRDefault="00847498" w:rsidP="00F032AC">
      <w:pPr>
        <w:rPr>
          <w:lang w:val="en-AU"/>
        </w:rPr>
      </w:pPr>
      <w:r w:rsidRPr="0A2401E7">
        <w:rPr>
          <w:b/>
          <w:bCs/>
          <w:lang w:val="en-AU"/>
        </w:rPr>
        <w:t>IO2.4. ASIPS+’s operations, workplace culture and practices have promoted gender equality and reduced the acceptance and impact of harmful gender and social norms across SOs.</w:t>
      </w:r>
      <w:r w:rsidRPr="0A2401E7">
        <w:rPr>
          <w:lang w:val="en-AU"/>
        </w:rPr>
        <w:t xml:space="preserve"> ASIPS+ has made good progress on workplace gender equality and inclusive practice, which is also the </w:t>
      </w:r>
      <w:r w:rsidR="006A23AF">
        <w:rPr>
          <w:lang w:val="en-AU"/>
        </w:rPr>
        <w:t>f</w:t>
      </w:r>
      <w:r w:rsidRPr="0A2401E7">
        <w:rPr>
          <w:lang w:val="en-AU"/>
        </w:rPr>
        <w:t>acility’s key policy priority.</w:t>
      </w:r>
      <w:r w:rsidR="00061A13" w:rsidRPr="0A2401E7">
        <w:rPr>
          <w:lang w:val="en-AU"/>
        </w:rPr>
        <w:t xml:space="preserve"> </w:t>
      </w:r>
      <w:r w:rsidRPr="0A2401E7">
        <w:rPr>
          <w:lang w:val="en-AU"/>
        </w:rPr>
        <w:t>ASIPS+ has embedded gender equality into workplace practice. This includes gender-balanced recruitment panels</w:t>
      </w:r>
      <w:r w:rsidRPr="00F032AC">
        <w:rPr>
          <w:lang w:val="en-AU"/>
        </w:rPr>
        <w:t>, gender pay gap analysis, parental leave improvements, domestic violence leave socialisation, safeguarding and unconscious-bias training, GEDSI Awards, and strengthened attention to women-led suppliers and gender-disaggregated data. Security operations enable</w:t>
      </w:r>
      <w:r w:rsidR="00AD7A5A" w:rsidRPr="00F032AC">
        <w:rPr>
          <w:lang w:val="en-AU"/>
        </w:rPr>
        <w:t>d</w:t>
      </w:r>
      <w:r w:rsidRPr="00F032AC">
        <w:rPr>
          <w:lang w:val="en-AU"/>
        </w:rPr>
        <w:t xml:space="preserve"> women guards who choose to work night shifts to do so safely, through site-specific safeguards </w:t>
      </w:r>
      <w:r w:rsidR="00EE61CA" w:rsidRPr="00F032AC">
        <w:rPr>
          <w:lang w:val="en-AU"/>
        </w:rPr>
        <w:t>(</w:t>
      </w:r>
      <w:r w:rsidRPr="00F032AC">
        <w:rPr>
          <w:lang w:val="en-AU"/>
        </w:rPr>
        <w:t>paired deployment, safe-haven points, additional radios and consent-based rostering</w:t>
      </w:r>
      <w:r w:rsidR="00EE61CA" w:rsidRPr="00F032AC">
        <w:rPr>
          <w:lang w:val="en-AU"/>
        </w:rPr>
        <w:t>)</w:t>
      </w:r>
      <w:r w:rsidRPr="00F032AC">
        <w:rPr>
          <w:lang w:val="en-AU"/>
        </w:rPr>
        <w:t xml:space="preserve">. </w:t>
      </w:r>
      <w:r w:rsidR="00774AEB" w:rsidRPr="00F032AC">
        <w:rPr>
          <w:lang w:val="en-AU"/>
        </w:rPr>
        <w:t xml:space="preserve">Recruitment processes maintained a gender-balanced interview pool. </w:t>
      </w:r>
    </w:p>
    <w:p w14:paraId="0979917E" w14:textId="11577B41" w:rsidR="00847498" w:rsidRPr="008D3BEF" w:rsidRDefault="00847498" w:rsidP="00F032AC">
      <w:pPr>
        <w:rPr>
          <w:lang w:val="en-AU"/>
        </w:rPr>
      </w:pPr>
      <w:r w:rsidRPr="00F032AC">
        <w:rPr>
          <w:b/>
          <w:bCs/>
          <w:lang w:val="en-AU"/>
        </w:rPr>
        <w:t>IO2.5. ASIPS+ has effectively managed financial risks and safeguards across SOs.</w:t>
      </w:r>
      <w:r w:rsidRPr="00F032AC">
        <w:rPr>
          <w:lang w:val="en-AU"/>
        </w:rPr>
        <w:t xml:space="preserve"> Financial management has strengthened through improved forecasting, payment systems, spot checks, audit controls and oversight of </w:t>
      </w:r>
      <w:r w:rsidRPr="00F032AC">
        <w:rPr>
          <w:lang w:val="en-AU"/>
        </w:rPr>
        <w:lastRenderedPageBreak/>
        <w:t>SO commitments</w:t>
      </w:r>
      <w:r w:rsidR="00774AEB" w:rsidRPr="00F032AC">
        <w:rPr>
          <w:rStyle w:val="FootnoteReference"/>
          <w:lang w:val="en-AU"/>
        </w:rPr>
        <w:footnoteReference w:id="20"/>
      </w:r>
      <w:r w:rsidRPr="00F032AC">
        <w:rPr>
          <w:lang w:val="en-AU"/>
        </w:rPr>
        <w:t>. The external audit covering 1 July 2023 to 30 June 2025 found no fundamental weaknesses in ASIPS+ accounting and internal control systems. The Payment Request System, introduced in May 2025, reduced late or unpaid</w:t>
      </w:r>
      <w:r w:rsidRPr="008D3BEF">
        <w:rPr>
          <w:lang w:val="en-AU"/>
        </w:rPr>
        <w:t xml:space="preserve"> invoices and brought average invoice processing time to </w:t>
      </w:r>
      <w:r w:rsidR="00E96A5E" w:rsidRPr="008D3BEF">
        <w:rPr>
          <w:lang w:val="en-AU"/>
        </w:rPr>
        <w:t xml:space="preserve">a respectable </w:t>
      </w:r>
      <w:r w:rsidRPr="008D3BEF">
        <w:rPr>
          <w:lang w:val="en-AU"/>
        </w:rPr>
        <w:t>4.49 business days, below the</w:t>
      </w:r>
      <w:r w:rsidR="00376E33">
        <w:rPr>
          <w:lang w:val="en-AU"/>
        </w:rPr>
        <w:t xml:space="preserve"> internal </w:t>
      </w:r>
      <w:r w:rsidRPr="008D3BEF">
        <w:rPr>
          <w:lang w:val="en-AU"/>
        </w:rPr>
        <w:t>five-business-day benchmark. Safeguarding and risk management are also strong</w:t>
      </w:r>
      <w:r w:rsidR="00E30B7D">
        <w:rPr>
          <w:rStyle w:val="FootnoteReference"/>
          <w:lang w:val="en-AU"/>
        </w:rPr>
        <w:footnoteReference w:id="21"/>
      </w:r>
      <w:r w:rsidRPr="008D3BEF">
        <w:rPr>
          <w:lang w:val="en-AU"/>
        </w:rPr>
        <w:t xml:space="preserve">. Headroom pressure and insufficient resources to support all SOs were recognised as strategic risks at SOG4, confirming that financial and resourcing risks are now being managed through governance, not only at operational level. </w:t>
      </w:r>
    </w:p>
    <w:p w14:paraId="1EE0BE0B" w14:textId="35871FAC" w:rsidR="002A637C" w:rsidRPr="00550B3C" w:rsidRDefault="0AB6E1A4" w:rsidP="00BC7E1D">
      <w:pPr>
        <w:pStyle w:val="Heading2"/>
      </w:pPr>
      <w:bookmarkStart w:id="11" w:name="_Toc234426722"/>
      <w:r w:rsidRPr="00550B3C">
        <w:t>3</w:t>
      </w:r>
      <w:r w:rsidR="1FC5AB96" w:rsidRPr="00550B3C">
        <w:t xml:space="preserve">.2. </w:t>
      </w:r>
      <w:r w:rsidR="00086092" w:rsidRPr="00550B3C">
        <w:t>Cross-cutting priorities and policies</w:t>
      </w:r>
      <w:bookmarkEnd w:id="11"/>
    </w:p>
    <w:p w14:paraId="5D9A17F1" w14:textId="6C4883AD" w:rsidR="004267D3" w:rsidRPr="004267D3" w:rsidRDefault="004267D3" w:rsidP="004267D3">
      <w:pPr>
        <w:shd w:val="clear" w:color="auto" w:fill="DFF5F8" w:themeFill="accent3" w:themeFillTint="33"/>
        <w:rPr>
          <w:lang w:val="en-AU"/>
        </w:rPr>
      </w:pPr>
      <w:r w:rsidRPr="006A23AF">
        <w:rPr>
          <w:b/>
          <w:bCs/>
          <w:lang w:val="en-AU"/>
        </w:rPr>
        <w:t>F4.</w:t>
      </w:r>
      <w:r w:rsidRPr="004267D3">
        <w:rPr>
          <w:lang w:val="en-AU"/>
        </w:rPr>
        <w:t xml:space="preserve"> </w:t>
      </w:r>
      <w:r w:rsidRPr="006A23AF">
        <w:rPr>
          <w:b/>
          <w:bCs/>
          <w:lang w:val="en-AU"/>
        </w:rPr>
        <w:t xml:space="preserve">ASIPS+ has established a credible and increasingly operationalised </w:t>
      </w:r>
      <w:r w:rsidR="006A23AF" w:rsidRPr="006A23AF">
        <w:rPr>
          <w:b/>
          <w:bCs/>
          <w:lang w:val="en-AU"/>
        </w:rPr>
        <w:t>f</w:t>
      </w:r>
      <w:r w:rsidRPr="006A23AF">
        <w:rPr>
          <w:b/>
          <w:bCs/>
          <w:lang w:val="en-AU"/>
        </w:rPr>
        <w:t>acility-wide approach to cross-cutting priorities</w:t>
      </w:r>
      <w:r w:rsidRPr="004267D3">
        <w:rPr>
          <w:lang w:val="en-AU"/>
        </w:rPr>
        <w:t xml:space="preserve">. The </w:t>
      </w:r>
      <w:r w:rsidR="006A23AF">
        <w:rPr>
          <w:lang w:val="en-AU"/>
        </w:rPr>
        <w:t>f</w:t>
      </w:r>
      <w:r w:rsidRPr="004267D3">
        <w:rPr>
          <w:lang w:val="en-AU"/>
        </w:rPr>
        <w:t>acility is embedding gender equality, disability equity and rights, climate change, locally led development, First Nations engagement and safeguarding through one integrated quality programming approach.</w:t>
      </w:r>
    </w:p>
    <w:p w14:paraId="2C60E2AA" w14:textId="5BD09807" w:rsidR="004267D3" w:rsidRPr="004267D3" w:rsidRDefault="004267D3" w:rsidP="004267D3">
      <w:pPr>
        <w:shd w:val="clear" w:color="auto" w:fill="DFF5F8" w:themeFill="accent3" w:themeFillTint="33"/>
        <w:rPr>
          <w:lang w:val="en-AU"/>
        </w:rPr>
      </w:pPr>
      <w:r w:rsidRPr="006A23AF">
        <w:rPr>
          <w:b/>
          <w:bCs/>
          <w:lang w:val="en-AU"/>
        </w:rPr>
        <w:t>R5.</w:t>
      </w:r>
      <w:r w:rsidRPr="004267D3">
        <w:rPr>
          <w:lang w:val="en-AU"/>
        </w:rPr>
        <w:t xml:space="preserve"> </w:t>
      </w:r>
      <w:r w:rsidRPr="006A23AF">
        <w:rPr>
          <w:b/>
          <w:bCs/>
          <w:lang w:val="en-AU"/>
        </w:rPr>
        <w:t>Rebalance cross-cutting support towards external-facing SO delivery</w:t>
      </w:r>
      <w:r w:rsidRPr="004267D3">
        <w:rPr>
          <w:lang w:val="en-AU"/>
        </w:rPr>
        <w:t xml:space="preserve">. Maintain internal </w:t>
      </w:r>
      <w:r w:rsidR="006A23AF">
        <w:rPr>
          <w:lang w:val="en-AU"/>
        </w:rPr>
        <w:t>f</w:t>
      </w:r>
      <w:r w:rsidRPr="004267D3">
        <w:rPr>
          <w:lang w:val="en-AU"/>
        </w:rPr>
        <w:t>acility gains, particularly in gender equality, safeguarding and locally led development, while shifting more DEH and cross-cutting support towards SO design, implementation, MEL and learning. This should include MEL support for smaller SOs working on inclusion where required.</w:t>
      </w:r>
    </w:p>
    <w:p w14:paraId="211488E2" w14:textId="46558440" w:rsidR="004267D3" w:rsidRPr="004267D3" w:rsidRDefault="004267D3" w:rsidP="004267D3">
      <w:pPr>
        <w:shd w:val="clear" w:color="auto" w:fill="DFF5F8" w:themeFill="accent3" w:themeFillTint="33"/>
        <w:rPr>
          <w:lang w:val="en-AU"/>
        </w:rPr>
      </w:pPr>
      <w:r w:rsidRPr="006A23AF">
        <w:rPr>
          <w:b/>
          <w:bCs/>
          <w:lang w:val="en-AU"/>
        </w:rPr>
        <w:t>F5.</w:t>
      </w:r>
      <w:r w:rsidRPr="004267D3">
        <w:rPr>
          <w:lang w:val="en-AU"/>
        </w:rPr>
        <w:t xml:space="preserve"> </w:t>
      </w:r>
      <w:r w:rsidRPr="006A23AF">
        <w:rPr>
          <w:b/>
          <w:bCs/>
          <w:lang w:val="en-AU"/>
        </w:rPr>
        <w:t>Disability equity has a sound framework and promising examples</w:t>
      </w:r>
      <w:r w:rsidRPr="004267D3">
        <w:rPr>
          <w:lang w:val="en-AU"/>
        </w:rPr>
        <w:t>, but disability budgeting, reasonable accommodation, disaggregated data and outcome tracking are not yet consistent.</w:t>
      </w:r>
    </w:p>
    <w:p w14:paraId="00481B5A" w14:textId="12534F0E" w:rsidR="004267D3" w:rsidRPr="004267D3" w:rsidRDefault="004267D3" w:rsidP="004267D3">
      <w:pPr>
        <w:shd w:val="clear" w:color="auto" w:fill="DFF5F8" w:themeFill="accent3" w:themeFillTint="33"/>
        <w:rPr>
          <w:lang w:val="en-AU"/>
        </w:rPr>
      </w:pPr>
      <w:r w:rsidRPr="006A23AF">
        <w:rPr>
          <w:b/>
          <w:bCs/>
          <w:lang w:val="en-AU"/>
        </w:rPr>
        <w:t>R6.</w:t>
      </w:r>
      <w:r w:rsidRPr="004267D3">
        <w:rPr>
          <w:lang w:val="en-AU"/>
        </w:rPr>
        <w:t xml:space="preserve"> </w:t>
      </w:r>
      <w:r w:rsidRPr="006A23AF">
        <w:rPr>
          <w:b/>
          <w:bCs/>
          <w:lang w:val="en-AU"/>
        </w:rPr>
        <w:t>Strengthen disability budgeting, data and outcome tracking in SOs</w:t>
      </w:r>
      <w:r w:rsidRPr="004267D3">
        <w:rPr>
          <w:lang w:val="en-AU"/>
        </w:rPr>
        <w:t>. Require relevant SOs to budget for reasonable accommodation, collect disability-disaggregated data where appropriate, and report whether disability inclusion actions enabled participation and benefits for people with disability.</w:t>
      </w:r>
    </w:p>
    <w:p w14:paraId="711D82D4" w14:textId="4732E2CB" w:rsidR="004267D3" w:rsidRPr="004267D3" w:rsidRDefault="004267D3" w:rsidP="004267D3">
      <w:pPr>
        <w:shd w:val="clear" w:color="auto" w:fill="DFF5F8" w:themeFill="accent3" w:themeFillTint="33"/>
        <w:rPr>
          <w:lang w:val="en-AU"/>
        </w:rPr>
      </w:pPr>
      <w:r w:rsidRPr="006A23AF">
        <w:rPr>
          <w:b/>
          <w:bCs/>
          <w:lang w:val="en-AU"/>
        </w:rPr>
        <w:t>F6.</w:t>
      </w:r>
      <w:r w:rsidRPr="004267D3">
        <w:rPr>
          <w:lang w:val="en-AU"/>
        </w:rPr>
        <w:t xml:space="preserve"> </w:t>
      </w:r>
      <w:r w:rsidRPr="00F33EE1">
        <w:rPr>
          <w:b/>
          <w:bCs/>
          <w:lang w:val="en-AU"/>
        </w:rPr>
        <w:t>Climate integration has moved from policy intent to early practice</w:t>
      </w:r>
      <w:r w:rsidR="00F33EE1" w:rsidRPr="00F33EE1">
        <w:rPr>
          <w:lang w:val="en-AU"/>
        </w:rPr>
        <w:t>. ASIPS+ has established a proportionate climate risk screening and specialist support system and climate considerations are evident across a few qualifying SOs.</w:t>
      </w:r>
    </w:p>
    <w:p w14:paraId="7E3B7FC3" w14:textId="6265538F" w:rsidR="004267D3" w:rsidRPr="004267D3" w:rsidRDefault="004267D3" w:rsidP="004267D3">
      <w:pPr>
        <w:shd w:val="clear" w:color="auto" w:fill="DFF5F8" w:themeFill="accent3" w:themeFillTint="33"/>
        <w:rPr>
          <w:lang w:val="en-AU"/>
        </w:rPr>
      </w:pPr>
      <w:r w:rsidRPr="006A23AF">
        <w:rPr>
          <w:b/>
          <w:bCs/>
          <w:lang w:val="en-AU"/>
        </w:rPr>
        <w:t>R7.</w:t>
      </w:r>
      <w:r w:rsidRPr="004267D3">
        <w:rPr>
          <w:lang w:val="en-AU"/>
        </w:rPr>
        <w:t xml:space="preserve"> </w:t>
      </w:r>
      <w:r w:rsidRPr="006A23AF">
        <w:rPr>
          <w:b/>
          <w:bCs/>
          <w:lang w:val="en-AU"/>
        </w:rPr>
        <w:t>Systematise climate risk screening and adaptation planning</w:t>
      </w:r>
      <w:r w:rsidRPr="004267D3">
        <w:rPr>
          <w:lang w:val="en-AU"/>
        </w:rPr>
        <w:t xml:space="preserve"> </w:t>
      </w:r>
      <w:r w:rsidR="00FE6A49" w:rsidRPr="00FE6A49">
        <w:rPr>
          <w:lang w:val="en-AU"/>
        </w:rPr>
        <w:t>for all climate-qualifying SOs and record adaptation actions, responsibilities, budget and climate MEL indicators</w:t>
      </w:r>
      <w:r w:rsidRPr="004267D3">
        <w:rPr>
          <w:lang w:val="en-AU"/>
        </w:rPr>
        <w:t>.</w:t>
      </w:r>
    </w:p>
    <w:p w14:paraId="30431063" w14:textId="6CA482D1" w:rsidR="00396370" w:rsidRDefault="00396370" w:rsidP="004267D3">
      <w:pPr>
        <w:shd w:val="clear" w:color="auto" w:fill="ECECEC" w:themeFill="accent4" w:themeFillTint="33"/>
      </w:pPr>
      <w:r w:rsidRPr="00396370">
        <w:rPr>
          <w:b/>
          <w:bCs/>
        </w:rPr>
        <w:t xml:space="preserve">Evidence strength: </w:t>
      </w:r>
      <w:r w:rsidRPr="0035121D">
        <w:rPr>
          <w:i/>
          <w:iCs/>
        </w:rPr>
        <w:t>moderate to high</w:t>
      </w:r>
      <w:r w:rsidRPr="00396370">
        <w:rPr>
          <w:b/>
          <w:bCs/>
        </w:rPr>
        <w:t>.</w:t>
      </w:r>
      <w:r w:rsidRPr="00396370">
        <w:t xml:space="preserve"> Evidence is strong for the policy architecture, workplace gender equality, safeguarding systems, locally led development and procurement data. Evidence is moderate for disability equity, climate change and First Nations engagement because these areas are still being operationalise</w:t>
      </w:r>
      <w:r w:rsidR="004267D3">
        <w:t>d</w:t>
      </w:r>
      <w:r w:rsidRPr="00396370">
        <w:t>.</w:t>
      </w:r>
    </w:p>
    <w:p w14:paraId="3BC41493" w14:textId="77777777" w:rsidR="006A23AF" w:rsidRDefault="299E41BA" w:rsidP="002201FC">
      <w:pPr>
        <w:rPr>
          <w:lang w:val="en-AU"/>
        </w:rPr>
      </w:pPr>
      <w:r w:rsidRPr="72224989">
        <w:rPr>
          <w:lang w:val="en-AU"/>
        </w:rPr>
        <w:t xml:space="preserve">ASIPS+’s integrated approach to cross-cutting issues </w:t>
      </w:r>
      <w:r w:rsidR="2D4FCEC4" w:rsidRPr="72224989">
        <w:rPr>
          <w:lang w:val="en-AU"/>
        </w:rPr>
        <w:t>promotes consistent application and reflects intersectionality</w:t>
      </w:r>
      <w:r w:rsidRPr="72224989">
        <w:rPr>
          <w:lang w:val="en-AU"/>
        </w:rPr>
        <w:t xml:space="preserve">. </w:t>
      </w:r>
      <w:r w:rsidR="002201FC" w:rsidRPr="002201FC">
        <w:rPr>
          <w:lang w:val="en-AU"/>
        </w:rPr>
        <w:t>The strongest evidence is in gender equality, safeguarding and locally led development.</w:t>
      </w:r>
    </w:p>
    <w:p w14:paraId="52D08D28" w14:textId="4AEEA606" w:rsidR="002201FC" w:rsidRPr="002201FC" w:rsidRDefault="002201FC" w:rsidP="002201FC">
      <w:pPr>
        <w:rPr>
          <w:lang w:val="en-AU"/>
        </w:rPr>
      </w:pPr>
      <w:r w:rsidRPr="002201FC">
        <w:rPr>
          <w:lang w:val="en-AU"/>
        </w:rPr>
        <w:t xml:space="preserve">ASIPS+ has embedded gender equality in </w:t>
      </w:r>
      <w:r w:rsidR="006A23AF">
        <w:rPr>
          <w:lang w:val="en-AU"/>
        </w:rPr>
        <w:t>f</w:t>
      </w:r>
      <w:r w:rsidRPr="002201FC">
        <w:rPr>
          <w:lang w:val="en-AU"/>
        </w:rPr>
        <w:t xml:space="preserve">acility policy, workplace practice, recruitment, procurement, safeguarding, security operations, SO profiling and SO-level strategies. The </w:t>
      </w:r>
      <w:r w:rsidR="006A23AF">
        <w:rPr>
          <w:lang w:val="en-AU"/>
        </w:rPr>
        <w:t>f</w:t>
      </w:r>
      <w:r w:rsidRPr="002201FC">
        <w:rPr>
          <w:lang w:val="en-AU"/>
        </w:rPr>
        <w:t>acility-wide GEDSI Approach, approved in November 2024, includes 14 summary indicators and 23 action points mapped to ASIPS+ outcomes. ASIPS+ has also fostered inclusion internally. It can now shift more support towards external-facing SO delivery, including targeted MEL support for smaller SOs working on inclusion.</w:t>
      </w:r>
    </w:p>
    <w:p w14:paraId="6CCA2778" w14:textId="7342981E" w:rsidR="002201FC" w:rsidRPr="002201FC" w:rsidRDefault="002201FC" w:rsidP="002201FC">
      <w:pPr>
        <w:rPr>
          <w:lang w:val="en-AU"/>
        </w:rPr>
      </w:pPr>
      <w:r w:rsidRPr="002201FC">
        <w:rPr>
          <w:lang w:val="en-AU"/>
        </w:rPr>
        <w:t>Disability equity and rights are progressing, but unevenly. ASIPS+ has a sound disability framework and promising examples, including the Disability Internship Program, disability analysis informing Australia Skills Award Support, and a grant of AUD96,364 to the Blind and Visually Impaired People of Solomon Islands. However, SOs do not yet consistently collect disability-disaggregated participation data, budget for reasonable accommodation, or report whether disability inclusion actions enabled people with disability to participate and benefit.</w:t>
      </w:r>
    </w:p>
    <w:p w14:paraId="4C8F0758" w14:textId="1231544E" w:rsidR="002201FC" w:rsidRPr="002201FC" w:rsidRDefault="002201FC" w:rsidP="002201FC">
      <w:pPr>
        <w:rPr>
          <w:lang w:val="en-AU"/>
        </w:rPr>
      </w:pPr>
      <w:r w:rsidRPr="002201FC">
        <w:rPr>
          <w:lang w:val="en-AU"/>
        </w:rPr>
        <w:t>Climate change integration has also progressed from policy intent to early practice. ASIPS+ has approved an integrated climate approach, added climate and disaster risks to Facility risk processes, developed provincial climate profiles and a first-pass climate risk assessment tool, and incorporated climate considerations into SO profiling and design. Climate considerations are visible in SO24 SET, SO25 SIAHP and SO19. The next step is to make climate screening and adaptation planning systematic, proportionate and auditable across relevant SOs.</w:t>
      </w:r>
    </w:p>
    <w:p w14:paraId="3CCDCDA0" w14:textId="2C659DFE" w:rsidR="002201FC" w:rsidRPr="002201FC" w:rsidRDefault="002201FC" w:rsidP="002201FC">
      <w:pPr>
        <w:rPr>
          <w:lang w:val="en-AU"/>
        </w:rPr>
      </w:pPr>
      <w:r w:rsidRPr="002201FC">
        <w:rPr>
          <w:lang w:val="en-AU"/>
        </w:rPr>
        <w:t>Locally led development and safeguarding are important strengths. ASIPS+ supports localisation through national staffing, local procurement, supplier engagement, Pi</w:t>
      </w:r>
      <w:r w:rsidR="0052139D">
        <w:rPr>
          <w:lang w:val="en-AU"/>
        </w:rPr>
        <w:t>dji</w:t>
      </w:r>
      <w:r w:rsidRPr="002201FC">
        <w:rPr>
          <w:lang w:val="en-AU"/>
        </w:rPr>
        <w:t xml:space="preserve">n-language materials, cultural induction, Solomon Islander-led coordination mechanisms and partner capacity support. In 2025, 96% of completed procurements were sourced from Solomon Islands businesses. Safeguarding is also a major strength, with ASIPS+ translating </w:t>
      </w:r>
      <w:r w:rsidRPr="002201FC">
        <w:rPr>
          <w:lang w:val="en-AU"/>
        </w:rPr>
        <w:lastRenderedPageBreak/>
        <w:t>safeguarding requirements into risk screening, partner training, Pi</w:t>
      </w:r>
      <w:r w:rsidR="0052139D">
        <w:rPr>
          <w:lang w:val="en-AU"/>
        </w:rPr>
        <w:t>dji</w:t>
      </w:r>
      <w:r w:rsidRPr="002201FC">
        <w:rPr>
          <w:lang w:val="en-AU"/>
        </w:rPr>
        <w:t>n-language tools, focal point support, security training and practical behaviour-change approaches.</w:t>
      </w:r>
    </w:p>
    <w:p w14:paraId="267ACE0C" w14:textId="3E563C41" w:rsidR="002201FC" w:rsidRDefault="002201FC" w:rsidP="002201FC">
      <w:pPr>
        <w:rPr>
          <w:lang w:val="en-AU"/>
        </w:rPr>
      </w:pPr>
      <w:r w:rsidRPr="002201FC">
        <w:rPr>
          <w:lang w:val="en-AU"/>
        </w:rPr>
        <w:t xml:space="preserve">First Nations engagement is at an earlier stage but has moved beyond strategy development. ASIPS+ has positioned First Nations engagement within the integrated quality programming architecture and linked it to locally led development, cultural safety, trust, power-sharing and relationship-based ways of working. Further detail on all cross-cutting areas is provided in </w:t>
      </w:r>
      <w:r w:rsidRPr="006A23AF">
        <w:rPr>
          <w:b/>
          <w:bCs/>
          <w:lang w:val="en-AU"/>
        </w:rPr>
        <w:t>Annex 8</w:t>
      </w:r>
      <w:r w:rsidRPr="002201FC">
        <w:rPr>
          <w:lang w:val="en-AU"/>
        </w:rPr>
        <w:t>.</w:t>
      </w:r>
    </w:p>
    <w:p w14:paraId="6FB67A60" w14:textId="1B88B399" w:rsidR="004B25B9" w:rsidRPr="00490A26" w:rsidRDefault="00377576" w:rsidP="00490A26">
      <w:pPr>
        <w:pStyle w:val="Heading2"/>
      </w:pPr>
      <w:bookmarkStart w:id="12" w:name="_Toc234426723"/>
      <w:r w:rsidRPr="00490A26">
        <w:t>3</w:t>
      </w:r>
      <w:r w:rsidR="00383FF2" w:rsidRPr="00490A26">
        <w:t>.3. Learning and adapting</w:t>
      </w:r>
      <w:bookmarkEnd w:id="12"/>
    </w:p>
    <w:p w14:paraId="4681B886" w14:textId="1629EE86" w:rsidR="004B25B9" w:rsidRPr="00490A26" w:rsidRDefault="00306A84" w:rsidP="00490A26">
      <w:pPr>
        <w:pStyle w:val="Heading3"/>
      </w:pPr>
      <w:r w:rsidRPr="00490A26">
        <w:t>EQ</w:t>
      </w:r>
      <w:r w:rsidR="00383FF2" w:rsidRPr="00490A26">
        <w:t>2</w:t>
      </w:r>
      <w:r w:rsidRPr="00490A26">
        <w:t xml:space="preserve">. </w:t>
      </w:r>
      <w:r w:rsidR="00383FF2" w:rsidRPr="00490A26">
        <w:t>To what extent is ASIPS+ learning and adapting to evolving priorities, contextual changes, and DFAT and stakeholder needs?</w:t>
      </w:r>
    </w:p>
    <w:p w14:paraId="22A18DD6" w14:textId="642033F1" w:rsidR="0088728D" w:rsidRPr="002201FC" w:rsidRDefault="008E0D9C" w:rsidP="46C31772">
      <w:pPr>
        <w:shd w:val="clear" w:color="auto" w:fill="DFF5F8" w:themeFill="accent5" w:themeFillTint="33"/>
        <w:rPr>
          <w:lang w:val="en-AU"/>
        </w:rPr>
      </w:pPr>
      <w:r w:rsidRPr="006A23AF">
        <w:rPr>
          <w:b/>
          <w:bCs/>
          <w:lang w:val="en-AU"/>
        </w:rPr>
        <w:t>F</w:t>
      </w:r>
      <w:r w:rsidR="00F032AC" w:rsidRPr="006A23AF">
        <w:rPr>
          <w:b/>
          <w:bCs/>
          <w:lang w:val="en-AU"/>
        </w:rPr>
        <w:t>7</w:t>
      </w:r>
      <w:r w:rsidR="0035121D" w:rsidRPr="006A23AF">
        <w:rPr>
          <w:b/>
          <w:bCs/>
          <w:lang w:val="en-AU"/>
        </w:rPr>
        <w:t>.</w:t>
      </w:r>
      <w:r w:rsidR="0035121D" w:rsidRPr="002201FC">
        <w:rPr>
          <w:lang w:val="en-AU"/>
        </w:rPr>
        <w:t xml:space="preserve"> </w:t>
      </w:r>
      <w:r w:rsidR="0088728D" w:rsidRPr="006A23AF">
        <w:rPr>
          <w:b/>
          <w:bCs/>
          <w:lang w:val="en-AU"/>
        </w:rPr>
        <w:t>ASIPS+ is learning and adapting well.</w:t>
      </w:r>
      <w:r w:rsidR="0088728D" w:rsidRPr="002201FC">
        <w:rPr>
          <w:lang w:val="en-AU"/>
        </w:rPr>
        <w:t xml:space="preserve"> The </w:t>
      </w:r>
      <w:r w:rsidR="00473D47">
        <w:rPr>
          <w:lang w:val="en-AU"/>
        </w:rPr>
        <w:t>f</w:t>
      </w:r>
      <w:r w:rsidR="0088728D" w:rsidRPr="002201FC">
        <w:rPr>
          <w:lang w:val="en-AU"/>
        </w:rPr>
        <w:t xml:space="preserve">acility has credible systems for reflection, context monitoring, data use and adaptive decision-making, and these systems are becoming more valued </w:t>
      </w:r>
      <w:r w:rsidR="00EE61CA" w:rsidRPr="002201FC">
        <w:rPr>
          <w:lang w:val="en-AU"/>
        </w:rPr>
        <w:t xml:space="preserve">and in demand </w:t>
      </w:r>
      <w:r w:rsidR="0088728D" w:rsidRPr="002201FC">
        <w:rPr>
          <w:lang w:val="en-AU"/>
        </w:rPr>
        <w:t xml:space="preserve">by SOs and business units. ASIPS+ has </w:t>
      </w:r>
      <w:r w:rsidR="00EE61CA" w:rsidRPr="002201FC">
        <w:rPr>
          <w:lang w:val="en-AU"/>
        </w:rPr>
        <w:t>proven</w:t>
      </w:r>
      <w:r w:rsidR="0088728D" w:rsidRPr="002201FC">
        <w:rPr>
          <w:lang w:val="en-AU"/>
        </w:rPr>
        <w:t xml:space="preserve"> that it can help AHC respond to SIG and partner needs in a fluid political, security and delivery environment. The main limitation is the time and capacity to turn learning into sustained system improvements while the </w:t>
      </w:r>
      <w:r w:rsidR="00473D47">
        <w:rPr>
          <w:lang w:val="en-AU"/>
        </w:rPr>
        <w:t>f</w:t>
      </w:r>
      <w:r w:rsidR="0088728D" w:rsidRPr="002201FC">
        <w:rPr>
          <w:lang w:val="en-AU"/>
        </w:rPr>
        <w:t>acility is operating at high tempo. Responsiveness is sometimes achieved through urgency, repeated follow-up and high staff effort. Strong working relationships, collaboration and a positive internal culture are major enablers of adaptive delivery, although staff fatigue is emerging as a risk.</w:t>
      </w:r>
    </w:p>
    <w:p w14:paraId="1F7327F5" w14:textId="4275A1C2" w:rsidR="0035121D" w:rsidRDefault="0035121D" w:rsidP="0035121D">
      <w:pPr>
        <w:shd w:val="clear" w:color="auto" w:fill="DFF5F8" w:themeFill="accent3" w:themeFillTint="33"/>
        <w:rPr>
          <w:lang w:val="en-AU"/>
        </w:rPr>
      </w:pPr>
      <w:r w:rsidRPr="006A23AF">
        <w:rPr>
          <w:b/>
          <w:bCs/>
          <w:lang w:val="en-AU"/>
        </w:rPr>
        <w:t>R</w:t>
      </w:r>
      <w:r w:rsidR="008F1227" w:rsidRPr="006A23AF">
        <w:rPr>
          <w:b/>
          <w:bCs/>
          <w:lang w:val="en-AU"/>
        </w:rPr>
        <w:t>8</w:t>
      </w:r>
      <w:r w:rsidRPr="006A23AF">
        <w:rPr>
          <w:b/>
          <w:bCs/>
          <w:lang w:val="en-AU"/>
        </w:rPr>
        <w:t>.</w:t>
      </w:r>
      <w:r w:rsidRPr="002201FC">
        <w:rPr>
          <w:lang w:val="en-AU"/>
        </w:rPr>
        <w:t xml:space="preserve"> </w:t>
      </w:r>
      <w:r w:rsidRPr="006A23AF">
        <w:rPr>
          <w:b/>
          <w:bCs/>
          <w:lang w:val="en-AU"/>
        </w:rPr>
        <w:t xml:space="preserve">Strengthen </w:t>
      </w:r>
      <w:r w:rsidR="001415DC" w:rsidRPr="006A23AF">
        <w:rPr>
          <w:b/>
          <w:bCs/>
          <w:lang w:val="en-AU"/>
        </w:rPr>
        <w:t xml:space="preserve">the </w:t>
      </w:r>
      <w:r w:rsidRPr="006A23AF">
        <w:rPr>
          <w:b/>
          <w:bCs/>
          <w:lang w:val="en-AU"/>
        </w:rPr>
        <w:t>learning-to-action</w:t>
      </w:r>
      <w:r w:rsidR="001415DC" w:rsidRPr="006A23AF">
        <w:rPr>
          <w:b/>
          <w:bCs/>
          <w:lang w:val="en-AU"/>
        </w:rPr>
        <w:t xml:space="preserve"> cycle</w:t>
      </w:r>
      <w:r w:rsidRPr="006A23AF">
        <w:rPr>
          <w:b/>
          <w:bCs/>
          <w:lang w:val="en-AU"/>
        </w:rPr>
        <w:t xml:space="preserve"> in MEL.</w:t>
      </w:r>
      <w:r w:rsidR="001415DC" w:rsidRPr="002201FC">
        <w:rPr>
          <w:lang w:val="en-AU"/>
        </w:rPr>
        <w:t xml:space="preserve"> Build on current reflection, reporting and management processes by more consistently recording agreed actions, owners, timeframes and follow-up points, and tracking progress through existing FIMT–FSU, Program Leads, business unit and SOG mechanisms.</w:t>
      </w:r>
    </w:p>
    <w:p w14:paraId="15A3B393" w14:textId="35CB56F6" w:rsidR="0035121D" w:rsidRPr="002201FC" w:rsidRDefault="0035121D" w:rsidP="0035121D">
      <w:pPr>
        <w:shd w:val="clear" w:color="auto" w:fill="DFF5F8" w:themeFill="accent3" w:themeFillTint="33"/>
        <w:rPr>
          <w:lang w:val="en-AU"/>
        </w:rPr>
      </w:pPr>
      <w:r w:rsidRPr="00473D47">
        <w:rPr>
          <w:b/>
          <w:bCs/>
          <w:lang w:val="en-AU"/>
        </w:rPr>
        <w:t>F</w:t>
      </w:r>
      <w:r w:rsidR="00F032AC" w:rsidRPr="00473D47">
        <w:rPr>
          <w:b/>
          <w:bCs/>
          <w:lang w:val="en-AU"/>
        </w:rPr>
        <w:t>8</w:t>
      </w:r>
      <w:r w:rsidRPr="00473D47">
        <w:rPr>
          <w:b/>
          <w:bCs/>
          <w:lang w:val="en-AU"/>
        </w:rPr>
        <w:t>. ASIPS+ has developed a strong internal reflection practice</w:t>
      </w:r>
      <w:r w:rsidRPr="002201FC">
        <w:rPr>
          <w:lang w:val="en-AU"/>
        </w:rPr>
        <w:t xml:space="preserve"> and is strengthening data systems through dashboards, data cleaning and improved operational reporting. The evidence base is still weighted towards internal performance data</w:t>
      </w:r>
      <w:r w:rsidR="00473D47">
        <w:rPr>
          <w:lang w:val="en-AU"/>
        </w:rPr>
        <w:t xml:space="preserve"> </w:t>
      </w:r>
      <w:r w:rsidRPr="002201FC">
        <w:rPr>
          <w:lang w:val="en-AU"/>
        </w:rPr>
        <w:t xml:space="preserve">and SO-level examples. Direct feedback from communities, local partners </w:t>
      </w:r>
      <w:r w:rsidR="00473D47">
        <w:rPr>
          <w:lang w:val="en-AU"/>
        </w:rPr>
        <w:t xml:space="preserve">and </w:t>
      </w:r>
      <w:r w:rsidRPr="002201FC">
        <w:rPr>
          <w:lang w:val="en-AU"/>
        </w:rPr>
        <w:t>suppliers is more limited and less systematic.</w:t>
      </w:r>
    </w:p>
    <w:p w14:paraId="42BFC5B4" w14:textId="54D3D9C8" w:rsidR="0035121D" w:rsidRPr="002201FC" w:rsidRDefault="0035121D" w:rsidP="0088728D">
      <w:pPr>
        <w:shd w:val="clear" w:color="auto" w:fill="DFF5F8" w:themeFill="accent3" w:themeFillTint="33"/>
      </w:pPr>
      <w:r w:rsidRPr="006A23AF">
        <w:rPr>
          <w:b/>
          <w:bCs/>
        </w:rPr>
        <w:t>R</w:t>
      </w:r>
      <w:r w:rsidR="008F1227" w:rsidRPr="006A23AF">
        <w:rPr>
          <w:b/>
          <w:bCs/>
        </w:rPr>
        <w:t>9</w:t>
      </w:r>
      <w:r w:rsidRPr="006A23AF">
        <w:rPr>
          <w:b/>
          <w:bCs/>
        </w:rPr>
        <w:t>. Deepen feedback from the ground</w:t>
      </w:r>
      <w:r w:rsidRPr="002201FC">
        <w:t>.</w:t>
      </w:r>
      <w:r w:rsidR="001415DC" w:rsidRPr="002201FC">
        <w:t xml:space="preserve"> For SOs delivering development assistance in the field, ASIPS+ should build proportionate feedback loops into design, reporting and reflection processes.</w:t>
      </w:r>
    </w:p>
    <w:p w14:paraId="52B0D8C1" w14:textId="360DE39C" w:rsidR="0000364B" w:rsidRPr="002201FC" w:rsidRDefault="0000364B" w:rsidP="0088728D">
      <w:pPr>
        <w:shd w:val="clear" w:color="auto" w:fill="DFF5F8" w:themeFill="accent3" w:themeFillTint="33"/>
      </w:pPr>
      <w:r w:rsidRPr="006A23AF">
        <w:rPr>
          <w:b/>
          <w:bCs/>
        </w:rPr>
        <w:t>F</w:t>
      </w:r>
      <w:r w:rsidR="008F1227" w:rsidRPr="006A23AF">
        <w:rPr>
          <w:b/>
          <w:bCs/>
        </w:rPr>
        <w:t>8</w:t>
      </w:r>
      <w:r w:rsidRPr="006A23AF">
        <w:rPr>
          <w:b/>
          <w:bCs/>
        </w:rPr>
        <w:t xml:space="preserve">. </w:t>
      </w:r>
      <w:r w:rsidR="00CC652D" w:rsidRPr="006A23AF">
        <w:rPr>
          <w:b/>
          <w:bCs/>
        </w:rPr>
        <w:t xml:space="preserve">The usual working-level rub points arising from have three institutions </w:t>
      </w:r>
      <w:r w:rsidR="00A20EEE" w:rsidRPr="006A23AF">
        <w:rPr>
          <w:b/>
          <w:bCs/>
        </w:rPr>
        <w:t>(AHC, ASIPS+ and SIG)</w:t>
      </w:r>
      <w:r w:rsidR="00C7141C" w:rsidRPr="006A23AF">
        <w:rPr>
          <w:b/>
          <w:bCs/>
        </w:rPr>
        <w:t xml:space="preserve"> </w:t>
      </w:r>
      <w:r w:rsidR="00CC652D" w:rsidRPr="006A23AF">
        <w:rPr>
          <w:b/>
          <w:bCs/>
        </w:rPr>
        <w:t>working together exist</w:t>
      </w:r>
      <w:r w:rsidR="00A20EEE" w:rsidRPr="006A23AF">
        <w:rPr>
          <w:b/>
          <w:bCs/>
        </w:rPr>
        <w:t xml:space="preserve"> but are manageable.</w:t>
      </w:r>
      <w:r w:rsidR="00CC652D" w:rsidRPr="006A23AF">
        <w:rPr>
          <w:b/>
          <w:bCs/>
        </w:rPr>
        <w:t xml:space="preserve"> </w:t>
      </w:r>
    </w:p>
    <w:p w14:paraId="17DAFEC2" w14:textId="78415A67" w:rsidR="0000364B" w:rsidRPr="002201FC" w:rsidRDefault="0000364B" w:rsidP="0088728D">
      <w:pPr>
        <w:shd w:val="clear" w:color="auto" w:fill="DFF5F8" w:themeFill="accent3" w:themeFillTint="33"/>
        <w:rPr>
          <w:lang w:val="en-AU"/>
        </w:rPr>
      </w:pPr>
      <w:r w:rsidRPr="006A23AF">
        <w:rPr>
          <w:b/>
          <w:bCs/>
        </w:rPr>
        <w:t>R</w:t>
      </w:r>
      <w:r w:rsidR="008F1227" w:rsidRPr="006A23AF">
        <w:rPr>
          <w:b/>
          <w:bCs/>
        </w:rPr>
        <w:t>10</w:t>
      </w:r>
      <w:r w:rsidRPr="006A23AF">
        <w:rPr>
          <w:b/>
          <w:bCs/>
        </w:rPr>
        <w:t xml:space="preserve">. </w:t>
      </w:r>
      <w:r w:rsidR="00006251" w:rsidRPr="006A23AF">
        <w:rPr>
          <w:b/>
          <w:bCs/>
        </w:rPr>
        <w:t>Actively promote best practice</w:t>
      </w:r>
      <w:r w:rsidRPr="006A23AF">
        <w:rPr>
          <w:b/>
          <w:bCs/>
        </w:rPr>
        <w:t xml:space="preserve"> AHC–ASIPS+–SIG engagement protocols</w:t>
      </w:r>
      <w:r w:rsidRPr="002201FC">
        <w:t>.</w:t>
      </w:r>
      <w:r w:rsidR="001415DC" w:rsidRPr="002201FC">
        <w:t xml:space="preserve"> Set clear expectations for lead roles, clearance points, communication channels and escalation pathways, especially for formal proposals, new SOs, workplan changes and resource-sensitive decisions</w:t>
      </w:r>
      <w:r w:rsidR="00E108DC">
        <w:t>, while</w:t>
      </w:r>
      <w:r w:rsidR="00473D47">
        <w:t xml:space="preserve"> </w:t>
      </w:r>
      <w:r w:rsidR="00E108DC">
        <w:t>leaving room for informal explorative discussions</w:t>
      </w:r>
      <w:r w:rsidR="001415DC" w:rsidRPr="002201FC">
        <w:t>.</w:t>
      </w:r>
    </w:p>
    <w:p w14:paraId="36E00CCD" w14:textId="1EBF0EA5" w:rsidR="00D6462C" w:rsidRPr="00D6462C" w:rsidRDefault="00D6462C" w:rsidP="006A23AF">
      <w:pPr>
        <w:shd w:val="clear" w:color="auto" w:fill="F2F2F2" w:themeFill="background1" w:themeFillShade="F2"/>
      </w:pPr>
      <w:r w:rsidRPr="006A23AF">
        <w:rPr>
          <w:b/>
          <w:bCs/>
          <w:shd w:val="clear" w:color="auto" w:fill="ECECEC" w:themeFill="accent4" w:themeFillTint="33"/>
        </w:rPr>
        <w:t xml:space="preserve">Evidence </w:t>
      </w:r>
      <w:r w:rsidRPr="006A23AF">
        <w:rPr>
          <w:b/>
          <w:bCs/>
          <w:shd w:val="clear" w:color="auto" w:fill="F2F2F2" w:themeFill="background1" w:themeFillShade="F2"/>
        </w:rPr>
        <w:t xml:space="preserve">strength: </w:t>
      </w:r>
      <w:r w:rsidR="00D46C52" w:rsidRPr="006A23AF">
        <w:rPr>
          <w:i/>
          <w:iCs/>
          <w:shd w:val="clear" w:color="auto" w:fill="F2F2F2" w:themeFill="background1" w:themeFillShade="F2"/>
        </w:rPr>
        <w:t>m</w:t>
      </w:r>
      <w:r w:rsidRPr="006A23AF">
        <w:rPr>
          <w:i/>
          <w:iCs/>
          <w:shd w:val="clear" w:color="auto" w:fill="F2F2F2" w:themeFill="background1" w:themeFillShade="F2"/>
        </w:rPr>
        <w:t>oderate-to-high</w:t>
      </w:r>
      <w:r w:rsidRPr="006A23AF">
        <w:rPr>
          <w:shd w:val="clear" w:color="auto" w:fill="F2F2F2" w:themeFill="background1" w:themeFillShade="F2"/>
        </w:rPr>
        <w:t>. Evidence is high for responsiveness and adaptive delivery, based on SO growth, amendments, SOG minutes, annual reports and consultations. Evidence is moderate-to-high for learning systems because mechanisms exist and are improving, but learning-to-action is still uneven.</w:t>
      </w:r>
      <w:r>
        <w:t xml:space="preserve"> </w:t>
      </w:r>
    </w:p>
    <w:p w14:paraId="048A6DE2" w14:textId="69E95147" w:rsidR="00377576" w:rsidRPr="00377576" w:rsidRDefault="00377576" w:rsidP="00490A26">
      <w:pPr>
        <w:pStyle w:val="Heading4"/>
      </w:pPr>
      <w:r w:rsidRPr="00377576">
        <w:t>Flexibility, responsiveness and adaptation</w:t>
      </w:r>
    </w:p>
    <w:p w14:paraId="2A6280C9" w14:textId="2A83D21A" w:rsidR="006511BC" w:rsidRPr="006511BC" w:rsidRDefault="006511BC" w:rsidP="72224989">
      <w:pPr>
        <w:rPr>
          <w:lang w:val="en-AU"/>
        </w:rPr>
      </w:pPr>
      <w:r w:rsidRPr="006511BC">
        <w:t xml:space="preserve">ASIPS+ is responsive to AHC priorities, focused on quality delivery, flexible in mobilising technical and operational resources, and able to move with speed and purpose across multiple lines of effort. This is one of </w:t>
      </w:r>
      <w:r w:rsidR="006A23AF">
        <w:t>its</w:t>
      </w:r>
      <w:r w:rsidRPr="006511BC">
        <w:t xml:space="preserve"> clearest strengths and was consistently valued by AHC and SIG stakeholders</w:t>
      </w:r>
      <w:r w:rsidR="00C50366">
        <w:rPr>
          <w:lang w:val="en-AU"/>
        </w:rPr>
        <w:t xml:space="preserve">. </w:t>
      </w:r>
      <w:r w:rsidR="006A23AF">
        <w:rPr>
          <w:lang w:val="en-AU"/>
        </w:rPr>
        <w:t xml:space="preserve">It </w:t>
      </w:r>
      <w:r w:rsidRPr="72224989">
        <w:rPr>
          <w:lang w:val="en-AU"/>
        </w:rPr>
        <w:t>has adapted to a changing operating con</w:t>
      </w:r>
      <w:r w:rsidR="2E1313FF" w:rsidRPr="72224989">
        <w:rPr>
          <w:lang w:val="en-AU"/>
        </w:rPr>
        <w:t xml:space="preserve">text. During 2024 and 2025, the </w:t>
      </w:r>
      <w:r w:rsidR="00473D47">
        <w:rPr>
          <w:lang w:val="en-AU"/>
        </w:rPr>
        <w:t>f</w:t>
      </w:r>
      <w:r w:rsidR="2E1313FF" w:rsidRPr="72224989">
        <w:rPr>
          <w:lang w:val="en-AU"/>
        </w:rPr>
        <w:t>acility operated in a period marked by national elections, a change of government, the SIG 100 Day Plan, two withdrawn motions of no confidence, public transport strikes, Pacific Islands Forum pressures, changes in SIG leadership, and shifting Australian policy and approval requirements. The FSU monitored these changes</w:t>
      </w:r>
      <w:r w:rsidR="00241D97">
        <w:rPr>
          <w:lang w:val="en-AU"/>
        </w:rPr>
        <w:t xml:space="preserve"> </w:t>
      </w:r>
      <w:r w:rsidR="2E1313FF" w:rsidRPr="72224989">
        <w:rPr>
          <w:lang w:val="en-AU"/>
        </w:rPr>
        <w:t xml:space="preserve">to understand delivery implications, and used security planning, staff communications and risk-based decision-making to minimise disruption. It responded to the changes in operating context and delivery requirements through 10 SO amendments in 2025, adjusting scope, timelines and resources. </w:t>
      </w:r>
    </w:p>
    <w:p w14:paraId="3F3975E5" w14:textId="77777777" w:rsidR="00E1324F" w:rsidRPr="001D5688" w:rsidRDefault="00E1324F" w:rsidP="00490A26">
      <w:pPr>
        <w:pStyle w:val="Heading4"/>
      </w:pPr>
      <w:r w:rsidRPr="001D5688">
        <w:t>Reflection and learning systems</w:t>
      </w:r>
    </w:p>
    <w:p w14:paraId="45502B15" w14:textId="268620EB" w:rsidR="001D5688" w:rsidRPr="001D5688" w:rsidRDefault="006511BC" w:rsidP="001D5688">
      <w:pPr>
        <w:rPr>
          <w:lang w:val="en-AU"/>
        </w:rPr>
      </w:pPr>
      <w:r w:rsidRPr="001D5688">
        <w:rPr>
          <w:lang w:val="en-AU"/>
        </w:rPr>
        <w:t>ASIPS+ has developed a strong reflection practice. It is not tokenistic; it is increasingly valued and used</w:t>
      </w:r>
      <w:r w:rsidRPr="001D5688">
        <w:rPr>
          <w:rStyle w:val="FootnoteReference"/>
          <w:lang w:val="en-AU"/>
        </w:rPr>
        <w:footnoteReference w:id="22"/>
      </w:r>
      <w:r w:rsidRPr="001D5688">
        <w:rPr>
          <w:lang w:val="en-AU"/>
        </w:rPr>
        <w:t xml:space="preserve">. Demand for reflection increased to the point that reflection workshops are planned to move from annual to six-monthly in 2026. </w:t>
      </w:r>
      <w:r w:rsidR="00C17EDB">
        <w:rPr>
          <w:lang w:val="en-AU"/>
        </w:rPr>
        <w:t>The Facility</w:t>
      </w:r>
      <w:r w:rsidRPr="001D5688">
        <w:rPr>
          <w:lang w:val="en-AU"/>
        </w:rPr>
        <w:t xml:space="preserve"> is beginning to convert learning into adaptation</w:t>
      </w:r>
      <w:r w:rsidR="001D5688" w:rsidRPr="001D5688">
        <w:rPr>
          <w:lang w:val="en-AU"/>
        </w:rPr>
        <w:t xml:space="preserve"> (for example, business-unit </w:t>
      </w:r>
      <w:r w:rsidR="001D5688" w:rsidRPr="001D5688">
        <w:rPr>
          <w:lang w:val="en-AU"/>
        </w:rPr>
        <w:lastRenderedPageBreak/>
        <w:t>reflections generated improvement priorities</w:t>
      </w:r>
      <w:r w:rsidR="001D5688" w:rsidRPr="001D5688">
        <w:rPr>
          <w:rStyle w:val="FootnoteReference"/>
          <w:lang w:val="en-AU"/>
        </w:rPr>
        <w:footnoteReference w:id="23"/>
      </w:r>
      <w:r w:rsidR="001D5688" w:rsidRPr="001D5688">
        <w:rPr>
          <w:lang w:val="en-AU"/>
        </w:rPr>
        <w:t>). It is moving from isolated SO learning to more collective learning</w:t>
      </w:r>
      <w:r w:rsidR="001D5688" w:rsidRPr="001D5688">
        <w:rPr>
          <w:rStyle w:val="FootnoteReference"/>
          <w:lang w:val="en-AU"/>
        </w:rPr>
        <w:footnoteReference w:id="24"/>
      </w:r>
      <w:r w:rsidR="001D5688" w:rsidRPr="001D5688">
        <w:rPr>
          <w:lang w:val="en-AU"/>
        </w:rPr>
        <w:t>.</w:t>
      </w:r>
    </w:p>
    <w:p w14:paraId="40A0E60B" w14:textId="78551681" w:rsidR="006511BC" w:rsidRPr="006511BC" w:rsidRDefault="332F0119" w:rsidP="006511BC">
      <w:pPr>
        <w:rPr>
          <w:lang w:val="en-AU"/>
        </w:rPr>
      </w:pPr>
      <w:r w:rsidRPr="6518DF12">
        <w:rPr>
          <w:lang w:val="en-AU"/>
        </w:rPr>
        <w:t>ASIPS+</w:t>
      </w:r>
      <w:r w:rsidR="1790B53D" w:rsidRPr="6518DF12">
        <w:rPr>
          <w:lang w:val="en-AU"/>
        </w:rPr>
        <w:t xml:space="preserve"> </w:t>
      </w:r>
      <w:r w:rsidR="4DF11768" w:rsidRPr="6518DF12">
        <w:rPr>
          <w:lang w:val="en-AU"/>
        </w:rPr>
        <w:t>is strengthening data systems to support evidence-based decision-making. Power BI dashboards are being developed to integrate operational data from MITRA, Taleo, MYOB, SharePoint and Excel. Several teams introduced monthly data-cleaning processes to improve data quality. Supplier questionnaires were updated to capture businesses owned or managed by women or persons with disabilities</w:t>
      </w:r>
      <w:r w:rsidR="37A11987" w:rsidRPr="6518DF12">
        <w:rPr>
          <w:lang w:val="en-AU"/>
        </w:rPr>
        <w:t xml:space="preserve"> </w:t>
      </w:r>
      <w:r w:rsidR="4DF11768" w:rsidRPr="6518DF12">
        <w:rPr>
          <w:lang w:val="en-AU"/>
        </w:rPr>
        <w:t xml:space="preserve">to improve procurement analysis from 2026. These are important foundations for learning, but the systems are still maturing. </w:t>
      </w:r>
    </w:p>
    <w:p w14:paraId="1CD5E223" w14:textId="7ACF437A" w:rsidR="001D5688" w:rsidRPr="001D5688" w:rsidRDefault="00E1324F" w:rsidP="00490A26">
      <w:pPr>
        <w:pStyle w:val="Heading4"/>
      </w:pPr>
      <w:r w:rsidRPr="00D93515">
        <w:t>Working relationships</w:t>
      </w:r>
      <w:r w:rsidR="00D46C52">
        <w:t xml:space="preserve"> </w:t>
      </w:r>
      <w:r w:rsidRPr="00D93515">
        <w:t>and culture</w:t>
      </w:r>
    </w:p>
    <w:p w14:paraId="35954EA3" w14:textId="0F7AD325" w:rsidR="001D5688" w:rsidRDefault="001D5688" w:rsidP="001D5688">
      <w:pPr>
        <w:rPr>
          <w:lang w:val="en-AU"/>
        </w:rPr>
      </w:pPr>
      <w:r>
        <w:rPr>
          <w:lang w:val="en-AU"/>
        </w:rPr>
        <w:t>S</w:t>
      </w:r>
      <w:r w:rsidRPr="00E1324F">
        <w:rPr>
          <w:lang w:val="en-AU"/>
        </w:rPr>
        <w:t xml:space="preserve">trong </w:t>
      </w:r>
      <w:r>
        <w:rPr>
          <w:lang w:val="en-AU"/>
        </w:rPr>
        <w:t xml:space="preserve">internal </w:t>
      </w:r>
      <w:r w:rsidRPr="00E1324F">
        <w:rPr>
          <w:lang w:val="en-AU"/>
        </w:rPr>
        <w:t>working relationships and a positive culture</w:t>
      </w:r>
      <w:r>
        <w:rPr>
          <w:lang w:val="en-AU"/>
        </w:rPr>
        <w:t xml:space="preserve"> (s</w:t>
      </w:r>
      <w:r w:rsidRPr="00E1324F">
        <w:rPr>
          <w:lang w:val="en-AU"/>
        </w:rPr>
        <w:t>taff survey evidence is positive</w:t>
      </w:r>
      <w:r>
        <w:rPr>
          <w:rStyle w:val="FootnoteReference"/>
          <w:lang w:val="en-AU"/>
        </w:rPr>
        <w:footnoteReference w:id="25"/>
      </w:r>
      <w:r>
        <w:rPr>
          <w:lang w:val="en-AU"/>
        </w:rPr>
        <w:t xml:space="preserve"> and consultations generally support this) are </w:t>
      </w:r>
      <w:r w:rsidRPr="00E1324F">
        <w:rPr>
          <w:lang w:val="en-AU"/>
        </w:rPr>
        <w:t>a major enabler of adaptive management.</w:t>
      </w:r>
    </w:p>
    <w:p w14:paraId="1211F7CB" w14:textId="0EEF24B1" w:rsidR="001D5688" w:rsidRDefault="001D5688" w:rsidP="001D5688">
      <w:pPr>
        <w:rPr>
          <w:lang w:val="en-AU"/>
        </w:rPr>
      </w:pPr>
      <w:r w:rsidRPr="46C31772">
        <w:rPr>
          <w:lang w:val="en-AU"/>
        </w:rPr>
        <w:t>The high-level relationship between AHC, ASIPS+ and DT Global is positive and working well overall. AHC stakeholders described ASIPS+ as flexible, practical and important to maintaining delivery in a complex environment. The</w:t>
      </w:r>
      <w:r w:rsidR="00A506AD" w:rsidRPr="46C31772">
        <w:rPr>
          <w:lang w:val="en-AU"/>
        </w:rPr>
        <w:t xml:space="preserve"> review </w:t>
      </w:r>
      <w:r w:rsidRPr="46C31772">
        <w:rPr>
          <w:lang w:val="en-AU"/>
        </w:rPr>
        <w:t xml:space="preserve">similarly found strong stakeholder confidence in ASIPS+ leadership, responsiveness and ability to support AHC to remain engaged with SIG while progressing multiple priorities in parallel. </w:t>
      </w:r>
      <w:r w:rsidR="24495205" w:rsidRPr="46C31772">
        <w:rPr>
          <w:lang w:val="en-AU"/>
        </w:rPr>
        <w:t xml:space="preserve">Solid working relations at the senior level of the </w:t>
      </w:r>
      <w:r w:rsidR="00186E66">
        <w:rPr>
          <w:lang w:val="en-AU"/>
        </w:rPr>
        <w:t>AHC</w:t>
      </w:r>
      <w:r w:rsidR="24495205" w:rsidRPr="46C31772">
        <w:rPr>
          <w:lang w:val="en-AU"/>
        </w:rPr>
        <w:t xml:space="preserve"> and the </w:t>
      </w:r>
      <w:r w:rsidR="00473D47">
        <w:rPr>
          <w:lang w:val="en-AU"/>
        </w:rPr>
        <w:t>f</w:t>
      </w:r>
      <w:r w:rsidR="24495205" w:rsidRPr="46C31772">
        <w:rPr>
          <w:lang w:val="en-AU"/>
        </w:rPr>
        <w:t xml:space="preserve">acility are essential to the success of ASIPs+. </w:t>
      </w:r>
    </w:p>
    <w:p w14:paraId="190C1284" w14:textId="504526BE" w:rsidR="00473D47" w:rsidRPr="00473D47" w:rsidRDefault="00473D47" w:rsidP="00473D47">
      <w:r w:rsidRPr="00473D47">
        <w:t>ASIPS+ operates through a triangular relationship between AHC, ASIPS+ and SIG. Some operational tension is expected in a large, flexible facility, particularly where roles, expectations and resourcing decisions are evolving. At the working level, facility reflection records identified the need for stronger coordination between ASIPS+ and AHC before formal proposals are discussed with SIG. They also noted occasional SIG uncertainty about AHC and facility roles, differing expectations about technical assistance, and concerns about perceived unevenness in the allocation of facility resources.</w:t>
      </w:r>
      <w:r>
        <w:t xml:space="preserve"> </w:t>
      </w:r>
      <w:r w:rsidRPr="00473D47">
        <w:t>These issues were also reflected in consultations with ASIPS+ and SIG stakeholders. SIG counterparts emphasised that they want to be consulted “with”, not “at”. They also recognised that ASIPS+ has responded by supporting more regular and structured engagement with SIG. SIG officials commonly observed that “Australia is now more willing to listen”. This is a positive sign that ASIPS+ is contributing to a more responsive partnership and strengthening trust, role clarity and the quality of engagement over time.</w:t>
      </w:r>
    </w:p>
    <w:p w14:paraId="2F9AEBD8" w14:textId="49460F9B" w:rsidR="004B25B9" w:rsidRPr="00550B3C" w:rsidRDefault="00377576" w:rsidP="00BC7E1D">
      <w:pPr>
        <w:pStyle w:val="Heading2"/>
      </w:pPr>
      <w:bookmarkStart w:id="13" w:name="_Toc234426724"/>
      <w:r w:rsidRPr="00550B3C">
        <w:t>3</w:t>
      </w:r>
      <w:r w:rsidR="00306A84" w:rsidRPr="00550B3C">
        <w:t>.</w:t>
      </w:r>
      <w:r w:rsidR="00D24672" w:rsidRPr="00550B3C">
        <w:t>4</w:t>
      </w:r>
      <w:r w:rsidR="00306A84" w:rsidRPr="00550B3C">
        <w:t xml:space="preserve">. </w:t>
      </w:r>
      <w:r w:rsidRPr="00550B3C">
        <w:t>Stakeholders and partnerships</w:t>
      </w:r>
      <w:bookmarkEnd w:id="13"/>
    </w:p>
    <w:p w14:paraId="65568519" w14:textId="10F8BB91" w:rsidR="004B25B9" w:rsidRDefault="00306A84" w:rsidP="00490A26">
      <w:pPr>
        <w:pStyle w:val="Heading3"/>
      </w:pPr>
      <w:r>
        <w:t>EQ</w:t>
      </w:r>
      <w:r w:rsidR="00377576">
        <w:t>3</w:t>
      </w:r>
      <w:r>
        <w:t xml:space="preserve">. </w:t>
      </w:r>
      <w:r w:rsidR="00377576" w:rsidRPr="00377576">
        <w:t>To what extent are the ASIPS+ governance arrangements working effectively to support DFAT?</w:t>
      </w:r>
    </w:p>
    <w:p w14:paraId="78EC81FD" w14:textId="3E9968FC" w:rsidR="0035121D" w:rsidRDefault="008E0D9C" w:rsidP="002D7204">
      <w:pPr>
        <w:shd w:val="clear" w:color="auto" w:fill="DFF5F8" w:themeFill="accent3" w:themeFillTint="33"/>
        <w:rPr>
          <w:shd w:val="clear" w:color="auto" w:fill="DFF5F8" w:themeFill="accent3" w:themeFillTint="33"/>
        </w:rPr>
      </w:pPr>
      <w:r w:rsidRPr="006A23AF">
        <w:rPr>
          <w:b/>
          <w:bCs/>
          <w:lang w:val="en-AU"/>
        </w:rPr>
        <w:t>F</w:t>
      </w:r>
      <w:r w:rsidR="008F1227" w:rsidRPr="006A23AF">
        <w:rPr>
          <w:b/>
          <w:bCs/>
          <w:lang w:val="en-AU"/>
        </w:rPr>
        <w:t>9</w:t>
      </w:r>
      <w:r w:rsidR="0035121D" w:rsidRPr="006A23AF">
        <w:rPr>
          <w:b/>
          <w:bCs/>
          <w:lang w:val="en-AU"/>
        </w:rPr>
        <w:t>.</w:t>
      </w:r>
      <w:r w:rsidR="0035121D">
        <w:rPr>
          <w:b/>
          <w:bCs/>
          <w:lang w:val="en-AU"/>
        </w:rPr>
        <w:t xml:space="preserve"> </w:t>
      </w:r>
      <w:r w:rsidR="007359CF" w:rsidRPr="006A23AF">
        <w:rPr>
          <w:b/>
          <w:bCs/>
          <w:shd w:val="clear" w:color="auto" w:fill="DFF5F8" w:themeFill="accent3" w:themeFillTint="33"/>
        </w:rPr>
        <w:t>ASIPS+ governance arrangements are effective</w:t>
      </w:r>
      <w:r w:rsidR="007359CF" w:rsidRPr="007359CF">
        <w:rPr>
          <w:shd w:val="clear" w:color="auto" w:fill="DFF5F8" w:themeFill="accent3" w:themeFillTint="33"/>
        </w:rPr>
        <w:t xml:space="preserve"> and are helping the AHC maintain a coherent portfolio, respond strategically to changing priorities and manage risks, and strengthen engagement with Solomon Islands partners. </w:t>
      </w:r>
    </w:p>
    <w:p w14:paraId="600E248B" w14:textId="0695E3DC" w:rsidR="00D202C4" w:rsidRPr="006C764C" w:rsidRDefault="00D202C4" w:rsidP="002D7204">
      <w:pPr>
        <w:shd w:val="clear" w:color="auto" w:fill="DFF5F8" w:themeFill="accent3" w:themeFillTint="33"/>
        <w:rPr>
          <w:shd w:val="clear" w:color="auto" w:fill="DFF5F8" w:themeFill="accent3" w:themeFillTint="33"/>
        </w:rPr>
      </w:pPr>
      <w:r w:rsidRPr="00D202C4">
        <w:rPr>
          <w:shd w:val="clear" w:color="auto" w:fill="DFF5F8" w:themeFill="accent3" w:themeFillTint="33"/>
        </w:rPr>
        <w:t xml:space="preserve">No separate recommendation is </w:t>
      </w:r>
      <w:r w:rsidR="006A23AF">
        <w:rPr>
          <w:shd w:val="clear" w:color="auto" w:fill="DFF5F8" w:themeFill="accent3" w:themeFillTint="33"/>
        </w:rPr>
        <w:t xml:space="preserve">provided </w:t>
      </w:r>
      <w:r w:rsidRPr="00D202C4">
        <w:rPr>
          <w:shd w:val="clear" w:color="auto" w:fill="DFF5F8" w:themeFill="accent3" w:themeFillTint="33"/>
        </w:rPr>
        <w:t>under this finding. The governance implications are addressed through R1 on future pathway decisions, R9 on AHC–ASIPS+–SIG engagement protocols, and R10 on FSU resourcing and pipeline prioritisation.</w:t>
      </w:r>
    </w:p>
    <w:p w14:paraId="24B9A91D" w14:textId="5AE467B8" w:rsidR="00E1324F" w:rsidRDefault="00E1324F" w:rsidP="002D7204">
      <w:pPr>
        <w:shd w:val="clear" w:color="auto" w:fill="ECECEC" w:themeFill="accent4" w:themeFillTint="33"/>
      </w:pPr>
      <w:r w:rsidRPr="002D7204">
        <w:rPr>
          <w:b/>
          <w:bCs/>
        </w:rPr>
        <w:t>Evidence strength</w:t>
      </w:r>
      <w:r w:rsidRPr="002D7204">
        <w:t xml:space="preserve">: </w:t>
      </w:r>
      <w:r w:rsidRPr="0035121D">
        <w:rPr>
          <w:i/>
          <w:iCs/>
        </w:rPr>
        <w:t>High</w:t>
      </w:r>
      <w:r w:rsidRPr="002D7204">
        <w:t xml:space="preserve"> for governance records; </w:t>
      </w:r>
      <w:r w:rsidRPr="0035121D">
        <w:rPr>
          <w:i/>
          <w:iCs/>
        </w:rPr>
        <w:t>moderate-to-high for</w:t>
      </w:r>
      <w:r w:rsidRPr="002D7204">
        <w:t xml:space="preserve"> interpretation. Sources include the Programming and Performance Management Guidelines, SOG minutes, 2025 Annual Report, and stakeholder consultations.</w:t>
      </w:r>
    </w:p>
    <w:p w14:paraId="06B548C1" w14:textId="12EA4A88" w:rsidR="002D7204" w:rsidRPr="002D7204" w:rsidRDefault="002D7204" w:rsidP="00DC1A15">
      <w:pPr>
        <w:rPr>
          <w:lang w:val="en-AU"/>
        </w:rPr>
      </w:pPr>
      <w:r w:rsidRPr="002D7204">
        <w:rPr>
          <w:lang w:val="en-AU"/>
        </w:rPr>
        <w:t xml:space="preserve">ASIPS+ has a clear governance </w:t>
      </w:r>
      <w:r w:rsidR="00A506AD">
        <w:rPr>
          <w:lang w:val="en-AU"/>
        </w:rPr>
        <w:t xml:space="preserve">structure </w:t>
      </w:r>
      <w:r w:rsidRPr="002D7204">
        <w:rPr>
          <w:lang w:val="en-AU"/>
        </w:rPr>
        <w:t xml:space="preserve">that is operating as intended. By 2025, governance was functioning through regular SOG, FIMT, Program Leads, Facility Management Team, business unit and SO-level meetings. These mechanisms support coherence, risk monitoring, </w:t>
      </w:r>
      <w:r>
        <w:rPr>
          <w:lang w:val="en-AU"/>
        </w:rPr>
        <w:t xml:space="preserve">and </w:t>
      </w:r>
      <w:r w:rsidRPr="002D7204">
        <w:rPr>
          <w:lang w:val="en-AU"/>
        </w:rPr>
        <w:t>information flows across a large and growing portfolio. Governance arrangements are helping the AHC</w:t>
      </w:r>
      <w:r>
        <w:rPr>
          <w:lang w:val="en-AU"/>
        </w:rPr>
        <w:t xml:space="preserve"> </w:t>
      </w:r>
      <w:r w:rsidRPr="002D7204">
        <w:rPr>
          <w:lang w:val="en-AU"/>
        </w:rPr>
        <w:t xml:space="preserve">advance Australia’s priorities and strengthen engagement with SIG partners. The SOG is chaired by the Deputy Head of Mission, who is also the Senior Responsible Officer, giving ASIPS+ a direct link to senior AHC decision-making. The FSU’s delivery oversight role also enables </w:t>
      </w:r>
      <w:r>
        <w:rPr>
          <w:lang w:val="en-AU"/>
        </w:rPr>
        <w:t>AHC</w:t>
      </w:r>
      <w:r w:rsidRPr="002D7204">
        <w:rPr>
          <w:lang w:val="en-AU"/>
        </w:rPr>
        <w:t xml:space="preserve"> to focus more on strategy and partner relationship management. In health, for example, the Solomon Islands Australia Health Partnership (SIAHP; SO25) supports formal dialogue through a six-monthly Partnership Steering Committee between the Australian High Commissioner and the Minister for Health, and quarterly engagement with the Permanent Secretary of the Ministry of Health and Medical Services. </w:t>
      </w:r>
    </w:p>
    <w:p w14:paraId="5D9DF51E" w14:textId="0097292D" w:rsidR="46C31772" w:rsidRPr="00B5312D" w:rsidRDefault="002D7204" w:rsidP="00DC1A15">
      <w:r w:rsidRPr="46C31772">
        <w:rPr>
          <w:lang w:val="en-AU"/>
        </w:rPr>
        <w:lastRenderedPageBreak/>
        <w:t>SOG4 show</w:t>
      </w:r>
      <w:r w:rsidR="00B27E0A">
        <w:rPr>
          <w:lang w:val="en-AU"/>
        </w:rPr>
        <w:t>ed</w:t>
      </w:r>
      <w:r w:rsidRPr="46C31772">
        <w:rPr>
          <w:lang w:val="en-AU"/>
        </w:rPr>
        <w:t xml:space="preserve"> that governance is</w:t>
      </w:r>
      <w:r w:rsidR="00D46C52" w:rsidRPr="46C31772">
        <w:rPr>
          <w:lang w:val="en-AU"/>
        </w:rPr>
        <w:t xml:space="preserve"> now </w:t>
      </w:r>
      <w:r w:rsidRPr="46C31772">
        <w:rPr>
          <w:lang w:val="en-AU"/>
        </w:rPr>
        <w:t xml:space="preserve">being used to manage high-consequence strategic decisions. The meeting considered the projected risk that the ASIPS+ SO ceiling could be reached before the contracted end date of 30 June 2031, discussed Planning Scenario 4, and agreed that a decision on the approach to managing the ceiling risk would be made at SOG5. </w:t>
      </w:r>
      <w:r w:rsidR="00D46C52" w:rsidRPr="46C31772">
        <w:rPr>
          <w:lang w:val="en-AU"/>
        </w:rPr>
        <w:t xml:space="preserve">SOG attendance has been mixed but senior </w:t>
      </w:r>
      <w:r w:rsidR="3CCC2FAB" w:rsidRPr="46C31772">
        <w:rPr>
          <w:lang w:val="en-AU"/>
        </w:rPr>
        <w:t>decision-makers</w:t>
      </w:r>
      <w:r w:rsidR="00D46C52" w:rsidRPr="46C31772">
        <w:rPr>
          <w:lang w:val="en-AU"/>
        </w:rPr>
        <w:t xml:space="preserve"> always attend. </w:t>
      </w:r>
      <w:r w:rsidR="61B7206E" w:rsidRPr="46C31772">
        <w:rPr>
          <w:lang w:val="en-AU"/>
        </w:rPr>
        <w:t xml:space="preserve">Stakeholder feedback around the leadership functioning and relationship </w:t>
      </w:r>
      <w:r w:rsidR="00734617" w:rsidRPr="00734617">
        <w:rPr>
          <w:lang w:val="en-AU"/>
        </w:rPr>
        <w:t>management</w:t>
      </w:r>
      <w:r w:rsidR="00734617">
        <w:rPr>
          <w:lang w:val="en-AU"/>
        </w:rPr>
        <w:t xml:space="preserve"> </w:t>
      </w:r>
      <w:r w:rsidR="004430D5" w:rsidRPr="004430D5">
        <w:t>between ASIPS+ and AHC</w:t>
      </w:r>
      <w:r w:rsidR="00186F67">
        <w:t xml:space="preserve"> </w:t>
      </w:r>
      <w:r w:rsidR="61B7206E" w:rsidRPr="46C31772">
        <w:rPr>
          <w:lang w:val="en-AU"/>
        </w:rPr>
        <w:t xml:space="preserve">was overwhelmingly positive. In the medium to long term, steps which reduce the pressure on leadership, for example a separate non-ASIPS pathway for some SOs, mean that decision makers </w:t>
      </w:r>
      <w:r w:rsidR="006578A1">
        <w:rPr>
          <w:lang w:val="en-AU"/>
        </w:rPr>
        <w:t xml:space="preserve">would </w:t>
      </w:r>
      <w:r w:rsidR="61B7206E" w:rsidRPr="46C31772">
        <w:rPr>
          <w:lang w:val="en-AU"/>
        </w:rPr>
        <w:t>have more space to consider “if” and not just work out “how.”</w:t>
      </w:r>
      <w:r w:rsidR="00B45293">
        <w:rPr>
          <w:lang w:val="en-AU"/>
        </w:rPr>
        <w:t xml:space="preserve"> </w:t>
      </w:r>
    </w:p>
    <w:p w14:paraId="447933FA" w14:textId="358A9D48" w:rsidR="004B25B9" w:rsidRPr="00550B3C" w:rsidRDefault="00377576" w:rsidP="00BC7E1D">
      <w:pPr>
        <w:pStyle w:val="Heading2"/>
      </w:pPr>
      <w:bookmarkStart w:id="14" w:name="_Toc234426725"/>
      <w:r w:rsidRPr="00550B3C">
        <w:t>3</w:t>
      </w:r>
      <w:r w:rsidR="00306A84" w:rsidRPr="00550B3C">
        <w:t>.</w:t>
      </w:r>
      <w:r w:rsidRPr="00550B3C">
        <w:t>5</w:t>
      </w:r>
      <w:r w:rsidR="00306A84" w:rsidRPr="00550B3C">
        <w:t xml:space="preserve">. </w:t>
      </w:r>
      <w:r w:rsidR="00D24672" w:rsidRPr="00550B3C">
        <w:t>Value for money</w:t>
      </w:r>
      <w:bookmarkEnd w:id="14"/>
    </w:p>
    <w:p w14:paraId="072EBE9B" w14:textId="68E4131C" w:rsidR="005D354D" w:rsidRPr="005D354D" w:rsidRDefault="1FC5AB96" w:rsidP="00490A26">
      <w:pPr>
        <w:pStyle w:val="Heading3"/>
      </w:pPr>
      <w:r>
        <w:t>EQ</w:t>
      </w:r>
      <w:r w:rsidR="0870672B">
        <w:t>4</w:t>
      </w:r>
      <w:r>
        <w:t xml:space="preserve">. </w:t>
      </w:r>
      <w:r w:rsidR="0870672B" w:rsidRPr="3743F00D">
        <w:t xml:space="preserve">To what extent is the </w:t>
      </w:r>
      <w:r w:rsidR="006578A1">
        <w:t>f</w:t>
      </w:r>
      <w:r w:rsidR="0870672B" w:rsidRPr="3743F00D">
        <w:t>acility providing value for money to DFAT?</w:t>
      </w:r>
    </w:p>
    <w:p w14:paraId="207533F3" w14:textId="0E29BC6D" w:rsidR="704F5FC9" w:rsidRDefault="704F5FC9" w:rsidP="004267D3">
      <w:pPr>
        <w:rPr>
          <w:lang w:val="en-AU"/>
        </w:rPr>
      </w:pPr>
      <w:r w:rsidRPr="3743F00D">
        <w:rPr>
          <w:lang w:val="en-AU"/>
        </w:rPr>
        <w:t xml:space="preserve">The </w:t>
      </w:r>
      <w:r w:rsidR="004267D3">
        <w:rPr>
          <w:lang w:val="en-AU"/>
        </w:rPr>
        <w:t xml:space="preserve">review </w:t>
      </w:r>
      <w:r w:rsidRPr="3743F00D">
        <w:rPr>
          <w:lang w:val="en-AU"/>
        </w:rPr>
        <w:t xml:space="preserve">confirmed that ASIPS+ mechanism is providing </w:t>
      </w:r>
      <w:r w:rsidR="006578A1">
        <w:rPr>
          <w:lang w:val="en-AU"/>
        </w:rPr>
        <w:t>VfM</w:t>
      </w:r>
      <w:r w:rsidRPr="3743F00D">
        <w:rPr>
          <w:lang w:val="en-AU"/>
        </w:rPr>
        <w:t>. While there are changes that should be made to improve efficiency, these are not of a foundational nature. The changes are set out i</w:t>
      </w:r>
      <w:r w:rsidR="253C3D1A" w:rsidRPr="3743F00D">
        <w:rPr>
          <w:lang w:val="en-AU"/>
        </w:rPr>
        <w:t>n the recommendations and explored below.</w:t>
      </w:r>
    </w:p>
    <w:p w14:paraId="4B1FC731" w14:textId="11DE9493" w:rsidR="00537DDE" w:rsidRPr="008F1227" w:rsidRDefault="008E0D9C" w:rsidP="0009725B">
      <w:pPr>
        <w:shd w:val="clear" w:color="auto" w:fill="DFF5F8" w:themeFill="accent3" w:themeFillTint="33"/>
      </w:pPr>
      <w:r w:rsidRPr="00473D47">
        <w:rPr>
          <w:b/>
          <w:bCs/>
          <w:lang w:val="en-AU"/>
        </w:rPr>
        <w:t>F</w:t>
      </w:r>
      <w:r w:rsidR="00C423FC" w:rsidRPr="00473D47">
        <w:rPr>
          <w:b/>
          <w:bCs/>
          <w:lang w:val="en-AU"/>
        </w:rPr>
        <w:t>1</w:t>
      </w:r>
      <w:r w:rsidR="008F1227" w:rsidRPr="00473D47">
        <w:rPr>
          <w:b/>
          <w:bCs/>
          <w:lang w:val="en-AU"/>
        </w:rPr>
        <w:t>0</w:t>
      </w:r>
      <w:r w:rsidR="00C423FC" w:rsidRPr="00473D47">
        <w:rPr>
          <w:b/>
          <w:bCs/>
          <w:lang w:val="en-AU"/>
        </w:rPr>
        <w:t xml:space="preserve">. </w:t>
      </w:r>
      <w:r w:rsidR="0009725B" w:rsidRPr="00473D47">
        <w:rPr>
          <w:b/>
          <w:bCs/>
        </w:rPr>
        <w:t xml:space="preserve">ASIPS+ is providing good </w:t>
      </w:r>
      <w:r w:rsidR="00C13F9E">
        <w:rPr>
          <w:b/>
          <w:bCs/>
        </w:rPr>
        <w:t>VfM</w:t>
      </w:r>
      <w:r w:rsidR="0009725B" w:rsidRPr="00473D47">
        <w:rPr>
          <w:b/>
          <w:bCs/>
        </w:rPr>
        <w:t xml:space="preserve"> to DFAT.</w:t>
      </w:r>
      <w:r w:rsidR="0009725B" w:rsidRPr="008F1227">
        <w:t xml:space="preserve"> The </w:t>
      </w:r>
      <w:r w:rsidR="0022315C">
        <w:t>f</w:t>
      </w:r>
      <w:r w:rsidR="0009725B" w:rsidRPr="008F1227">
        <w:t xml:space="preserve">acility demonstrates strong economy, efficiency, responsiveness, equity, and risk management. However, </w:t>
      </w:r>
      <w:r w:rsidR="006578A1">
        <w:t>e</w:t>
      </w:r>
      <w:r w:rsidR="0009725B" w:rsidRPr="008F1227">
        <w:t xml:space="preserve">fficiency gains from scale are being achieved within a </w:t>
      </w:r>
      <w:r w:rsidR="00F75A26" w:rsidRPr="008F1227">
        <w:t xml:space="preserve">relatively </w:t>
      </w:r>
      <w:r w:rsidR="0009725B" w:rsidRPr="008F1227">
        <w:t>fixed FSU resourcing model that has not grown in line with SO number, value, complexity or urgency. Even without the pressure of a budget ceiling, FSU reform is warranted in three areas: more rigorous implementation of the tiered support system; FSU resourcing commensurate with the level of service required; and use of alternative delivery mechanisms for SOs that do not need to sit within ASIPS+.</w:t>
      </w:r>
    </w:p>
    <w:p w14:paraId="66B52D79" w14:textId="694DDBCC" w:rsidR="003F0C8E" w:rsidRPr="008F1227" w:rsidRDefault="00EE1E9E" w:rsidP="00EE1E9E">
      <w:pPr>
        <w:shd w:val="clear" w:color="auto" w:fill="DFF5F8" w:themeFill="accent3" w:themeFillTint="33"/>
      </w:pPr>
      <w:r w:rsidRPr="00473D47">
        <w:rPr>
          <w:b/>
          <w:bCs/>
        </w:rPr>
        <w:t>R</w:t>
      </w:r>
      <w:r w:rsidR="00634C50" w:rsidRPr="00473D47">
        <w:rPr>
          <w:b/>
          <w:bCs/>
        </w:rPr>
        <w:t>1</w:t>
      </w:r>
      <w:r w:rsidR="008F1227" w:rsidRPr="00473D47">
        <w:rPr>
          <w:b/>
          <w:bCs/>
        </w:rPr>
        <w:t>1</w:t>
      </w:r>
      <w:r w:rsidRPr="00473D47">
        <w:rPr>
          <w:b/>
          <w:bCs/>
        </w:rPr>
        <w:t>. Revise the FSU resourcing model to be more sustainable.</w:t>
      </w:r>
      <w:r w:rsidRPr="008F1227">
        <w:t xml:space="preserve"> </w:t>
      </w:r>
      <w:r w:rsidR="003F0C8E" w:rsidRPr="008F1227">
        <w:t xml:space="preserve">This should include more rigorous application of the tiered support model; FSU resourcing that is commensurate with the level, complexity and urgency of support required; and a systematic assessment of which SOs require ASIPS+ delivery and which may be better delivered through alternative implementation mechanisms. SOs that do not benefit materially from </w:t>
      </w:r>
      <w:r w:rsidR="006578A1">
        <w:t>f</w:t>
      </w:r>
      <w:r w:rsidR="003F0C8E" w:rsidRPr="008F1227">
        <w:t xml:space="preserve">acility coherence, shared services, DEH support, portfolio learning, risk management, </w:t>
      </w:r>
      <w:r w:rsidR="006578A1">
        <w:t xml:space="preserve">or </w:t>
      </w:r>
      <w:r w:rsidR="003F0C8E" w:rsidRPr="008F1227">
        <w:t>rapid mobilisation should not default to ASIPS+.</w:t>
      </w:r>
    </w:p>
    <w:p w14:paraId="771EA533" w14:textId="6761EF49" w:rsidR="00E627A9" w:rsidRPr="008F1227" w:rsidRDefault="00E627A9" w:rsidP="00EE1E9E">
      <w:pPr>
        <w:shd w:val="clear" w:color="auto" w:fill="DFF5F8" w:themeFill="accent3" w:themeFillTint="33"/>
      </w:pPr>
      <w:r w:rsidRPr="00473D47">
        <w:rPr>
          <w:b/>
          <w:bCs/>
        </w:rPr>
        <w:t>R1</w:t>
      </w:r>
      <w:r w:rsidR="008F1227" w:rsidRPr="00473D47">
        <w:rPr>
          <w:b/>
          <w:bCs/>
        </w:rPr>
        <w:t>2</w:t>
      </w:r>
      <w:r w:rsidRPr="00473D47">
        <w:rPr>
          <w:b/>
          <w:bCs/>
        </w:rPr>
        <w:t>. Increase flexibility between ODA and non-ODA funding</w:t>
      </w:r>
      <w:r w:rsidRPr="008F1227">
        <w:t xml:space="preserve"> and simplify equivalent procurement pathways where feasible. The Facility is designed to be flexible and responsive to local and emerging priorities. The relative complexity of procuring and managing non-ODA activities is not fully aligned with that intent.</w:t>
      </w:r>
    </w:p>
    <w:p w14:paraId="0048B291" w14:textId="6AF600A4" w:rsidR="0016784A" w:rsidRPr="008F1227" w:rsidRDefault="00EE1E9E" w:rsidP="00EE1E9E">
      <w:pPr>
        <w:shd w:val="clear" w:color="auto" w:fill="DFF5F8" w:themeFill="accent3" w:themeFillTint="33"/>
      </w:pPr>
      <w:r w:rsidRPr="00473D47">
        <w:rPr>
          <w:b/>
          <w:bCs/>
        </w:rPr>
        <w:t>R</w:t>
      </w:r>
      <w:r w:rsidR="00E627A9" w:rsidRPr="00473D47">
        <w:rPr>
          <w:b/>
          <w:bCs/>
        </w:rPr>
        <w:t>1</w:t>
      </w:r>
      <w:r w:rsidR="008F1227" w:rsidRPr="00473D47">
        <w:rPr>
          <w:b/>
          <w:bCs/>
        </w:rPr>
        <w:t>3</w:t>
      </w:r>
      <w:r w:rsidRPr="00473D47">
        <w:rPr>
          <w:b/>
          <w:bCs/>
        </w:rPr>
        <w:t xml:space="preserve">. Include </w:t>
      </w:r>
      <w:r w:rsidR="008F1227" w:rsidRPr="00473D47">
        <w:rPr>
          <w:b/>
          <w:bCs/>
        </w:rPr>
        <w:t>f</w:t>
      </w:r>
      <w:r w:rsidRPr="00473D47">
        <w:rPr>
          <w:b/>
          <w:bCs/>
        </w:rPr>
        <w:t>acility architecture and external SO funding in the end-of-program evaluation</w:t>
      </w:r>
      <w:r w:rsidRPr="008F1227">
        <w:t>. The evaluation should assess whether a single hybrid Facility remains the best long-term model, or whether ASIPS+ should be reconfigured into clearer delivery streams or complemented by other implementation mechanisms.</w:t>
      </w:r>
    </w:p>
    <w:p w14:paraId="7649D49E" w14:textId="7E03ACE9" w:rsidR="002D7204" w:rsidRPr="00603818" w:rsidRDefault="002D7204" w:rsidP="00E61322">
      <w:pPr>
        <w:shd w:val="clear" w:color="auto" w:fill="ECECEC" w:themeFill="accent4" w:themeFillTint="33"/>
        <w:rPr>
          <w:color w:val="auto"/>
          <w:lang w:val="en-AU"/>
        </w:rPr>
      </w:pPr>
      <w:r w:rsidRPr="00603818">
        <w:rPr>
          <w:b/>
          <w:bCs/>
          <w:color w:val="auto"/>
        </w:rPr>
        <w:t>Evidence strength</w:t>
      </w:r>
      <w:r w:rsidRPr="00603818">
        <w:rPr>
          <w:color w:val="auto"/>
        </w:rPr>
        <w:t xml:space="preserve">: </w:t>
      </w:r>
      <w:r w:rsidRPr="00C423FC">
        <w:rPr>
          <w:i/>
          <w:iCs/>
          <w:color w:val="auto"/>
        </w:rPr>
        <w:t>High</w:t>
      </w:r>
      <w:r w:rsidRPr="00603818">
        <w:rPr>
          <w:color w:val="auto"/>
        </w:rPr>
        <w:t>. Evidence is triangulated across the VfM assessment and evidence matrix, 2024 and 2025 annual reports, finance data, expenditure analysis, SO data, SOG minutes and stakeholder consultations</w:t>
      </w:r>
      <w:r w:rsidR="00537DDE" w:rsidRPr="00603818">
        <w:rPr>
          <w:color w:val="auto"/>
        </w:rPr>
        <w:t>.</w:t>
      </w:r>
    </w:p>
    <w:p w14:paraId="4A0B6D43" w14:textId="22706C82" w:rsidR="00DB7A61" w:rsidRDefault="00DB7A61" w:rsidP="001D2AC4">
      <w:r w:rsidRPr="00DB7A61">
        <w:t xml:space="preserve">ASIPS+ has enabled AHC to deliver a scale, pace and breadth of support that would have been difficult to achieve through alternative delivery models. </w:t>
      </w:r>
      <w:r>
        <w:t xml:space="preserve">The </w:t>
      </w:r>
      <w:r w:rsidRPr="00DB7A61">
        <w:t>evidence supports a strong judgement that the same combination of responsiveness, scale, procurement flexibility, risk management, cross-portfolio coordination and quality assurance would not have been achievable through AHC management, standalone sector programs, partner systems or multilateral delivery arrangements alone.</w:t>
      </w:r>
      <w:r>
        <w:t xml:space="preserve"> </w:t>
      </w:r>
      <w:r w:rsidRPr="00DB7A61">
        <w:t xml:space="preserve">This </w:t>
      </w:r>
      <w:r>
        <w:t>was</w:t>
      </w:r>
      <w:r w:rsidRPr="00DB7A61">
        <w:t xml:space="preserve"> </w:t>
      </w:r>
      <w:r>
        <w:t xml:space="preserve">recognised in </w:t>
      </w:r>
      <w:r w:rsidRPr="00DB7A61">
        <w:t xml:space="preserve">the ASIPS+ design, which considered alternative delivery options. The design found that using partner systems carried significant fiduciary and implementation risks, while multilateral delivery would dilute Australian influence, increase delivery risks and be less flexible and responsive. The facility model was selected because it provided accountable use of public funds, reduced risks of delays and cost overruns, enabled on-demand operational support, simplified </w:t>
      </w:r>
      <w:r>
        <w:t xml:space="preserve">AHC </w:t>
      </w:r>
      <w:r w:rsidRPr="00DB7A61">
        <w:t>oversight of multiple activities, and promoted quality programming across gender equality, disability equity, MEL, localisation, climate change and risk management.</w:t>
      </w:r>
      <w:r>
        <w:t xml:space="preserve"> </w:t>
      </w:r>
      <w:r w:rsidRPr="00DB7A61">
        <w:t xml:space="preserve">Consultations with AHC </w:t>
      </w:r>
      <w:r w:rsidR="00A0379E">
        <w:t>strongly supported</w:t>
      </w:r>
      <w:r w:rsidRPr="00DB7A61">
        <w:t xml:space="preserve"> this judgement. The Governance and Security Team described ASIPS+ as a fit-for-purpose mechanism that enables rapid mobilisation of technical assistance, infrastructure delivery and ad hoc support that would otherwise be difficult or impossible to procure, particularly for non-ODA activities. The Political Team identified ASIPS+ as a critical enabler of Australia’s </w:t>
      </w:r>
      <w:r w:rsidR="008578B1">
        <w:t>foreign policy</w:t>
      </w:r>
      <w:r w:rsidRPr="00DB7A61">
        <w:t xml:space="preserve"> approach, because it allows rapid response to fluid political conditions and competitive pressures while retaining strategic direction within AHC. The Economics Team</w:t>
      </w:r>
      <w:r>
        <w:t xml:space="preserve"> </w:t>
      </w:r>
      <w:r w:rsidRPr="00DB7A61">
        <w:t>emphasised that ASIPS+ complements bilateral programs by enabling rapid contracting and targeted technical assistance in areas where existing programs are not well positioned.</w:t>
      </w:r>
    </w:p>
    <w:p w14:paraId="233DE1EA" w14:textId="3E4F8802" w:rsidR="00537DDE" w:rsidRPr="00603818" w:rsidRDefault="00537DDE" w:rsidP="00490A26">
      <w:pPr>
        <w:pStyle w:val="Heading4"/>
      </w:pPr>
      <w:r w:rsidRPr="00603818">
        <w:t xml:space="preserve">Delivery against DFAT </w:t>
      </w:r>
      <w:r w:rsidR="00C13F9E">
        <w:t>VfM</w:t>
      </w:r>
      <w:r w:rsidRPr="00603818">
        <w:t xml:space="preserve"> principles</w:t>
      </w:r>
    </w:p>
    <w:p w14:paraId="2093AAEA" w14:textId="7F55B79C" w:rsidR="00603818" w:rsidRPr="006578A1" w:rsidRDefault="00603818" w:rsidP="001D2AC4">
      <w:r w:rsidRPr="006578A1">
        <w:t xml:space="preserve">A summary assessment against DFAT </w:t>
      </w:r>
      <w:r w:rsidR="00C13F9E">
        <w:t>VfM</w:t>
      </w:r>
      <w:r w:rsidRPr="006578A1">
        <w:t xml:space="preserve"> principles is provided in </w:t>
      </w:r>
      <w:r w:rsidRPr="006578A1">
        <w:rPr>
          <w:b/>
          <w:bCs/>
        </w:rPr>
        <w:t>Annex 6</w:t>
      </w:r>
      <w:r w:rsidRPr="006578A1">
        <w:t xml:space="preserve"> and the analysis follows below.</w:t>
      </w:r>
    </w:p>
    <w:p w14:paraId="3A8A6370" w14:textId="77777777" w:rsidR="00537DDE" w:rsidRPr="00C13F9E" w:rsidRDefault="00537DDE" w:rsidP="00C13F9E">
      <w:pPr>
        <w:pStyle w:val="TOC7"/>
        <w:ind w:left="568"/>
        <w:rPr>
          <w:rStyle w:val="Strong"/>
          <w:b w:val="0"/>
          <w:bCs w:val="0"/>
          <w:lang w:val="en-AU"/>
        </w:rPr>
      </w:pPr>
      <w:r w:rsidRPr="00C13F9E">
        <w:rPr>
          <w:rStyle w:val="Strong"/>
          <w:b w:val="0"/>
          <w:bCs w:val="0"/>
          <w:lang w:val="en-AU"/>
        </w:rPr>
        <w:t>Economy: cost consciousness and competition</w:t>
      </w:r>
    </w:p>
    <w:p w14:paraId="14C1E1A3" w14:textId="18B404A9" w:rsidR="00603818" w:rsidRPr="006578A1" w:rsidRDefault="00537DDE" w:rsidP="00537DDE">
      <w:pPr>
        <w:rPr>
          <w:lang w:val="en-AU"/>
        </w:rPr>
      </w:pPr>
      <w:r w:rsidRPr="006578A1">
        <w:rPr>
          <w:lang w:val="en-AU"/>
        </w:rPr>
        <w:t xml:space="preserve">ASIPS+ demonstrates strong cost consciousness. It manages budgets through regular financial forecasting, oversight and problem-solving with DFAT. </w:t>
      </w:r>
      <w:r w:rsidR="00603818" w:rsidRPr="006578A1">
        <w:rPr>
          <w:lang w:val="en-AU"/>
        </w:rPr>
        <w:t xml:space="preserve">It </w:t>
      </w:r>
      <w:r w:rsidRPr="006578A1">
        <w:rPr>
          <w:lang w:val="en-AU"/>
        </w:rPr>
        <w:t xml:space="preserve">has fit-for-purpose procurement and recruitment procedures, documented operational rules, monthly financial reporting to DFAT, and processes to ensure public funds are </w:t>
      </w:r>
      <w:r w:rsidRPr="006578A1">
        <w:rPr>
          <w:lang w:val="en-AU"/>
        </w:rPr>
        <w:lastRenderedPageBreak/>
        <w:t>used efficiently, ethically and in line with Australian Government requirements.</w:t>
      </w:r>
      <w:r w:rsidR="002201FC" w:rsidRPr="006578A1">
        <w:rPr>
          <w:lang w:val="en-AU"/>
        </w:rPr>
        <w:t xml:space="preserve"> </w:t>
      </w:r>
      <w:r w:rsidRPr="006578A1">
        <w:rPr>
          <w:lang w:val="en-AU"/>
        </w:rPr>
        <w:t>Budget execution has been strong</w:t>
      </w:r>
      <w:r w:rsidR="00603818" w:rsidRPr="006578A1">
        <w:rPr>
          <w:rStyle w:val="FootnoteReference"/>
          <w:lang w:val="en-AU"/>
        </w:rPr>
        <w:footnoteReference w:id="26"/>
      </w:r>
      <w:r w:rsidR="00603818" w:rsidRPr="006578A1">
        <w:rPr>
          <w:lang w:val="en-AU"/>
        </w:rPr>
        <w:t>, which is positive in a facility designed to respond to demand, but it also reinforces the importance of headroom management, forecasting and pipeline discipline.</w:t>
      </w:r>
      <w:r w:rsidR="002201FC" w:rsidRPr="006578A1">
        <w:rPr>
          <w:lang w:val="en-AU"/>
        </w:rPr>
        <w:t xml:space="preserve"> </w:t>
      </w:r>
      <w:r w:rsidR="00603818" w:rsidRPr="006578A1">
        <w:t>P</w:t>
      </w:r>
      <w:r w:rsidRPr="006578A1">
        <w:t xml:space="preserve">rocurement </w:t>
      </w:r>
      <w:r w:rsidR="00603818" w:rsidRPr="006578A1">
        <w:t xml:space="preserve">has </w:t>
      </w:r>
      <w:r w:rsidR="00603818" w:rsidRPr="006578A1">
        <w:rPr>
          <w:color w:val="auto"/>
        </w:rPr>
        <w:t xml:space="preserve">been strong and </w:t>
      </w:r>
      <w:r w:rsidRPr="006578A1">
        <w:rPr>
          <w:color w:val="auto"/>
        </w:rPr>
        <w:t xml:space="preserve">ASIPS+ maintained delivery under increased demand while keeping procurement within </w:t>
      </w:r>
      <w:r w:rsidRPr="006578A1">
        <w:t>Australian Government standards</w:t>
      </w:r>
      <w:r w:rsidR="00603818" w:rsidRPr="006578A1">
        <w:rPr>
          <w:rStyle w:val="FootnoteReference"/>
        </w:rPr>
        <w:footnoteReference w:id="27"/>
      </w:r>
      <w:r w:rsidR="00FC47A3" w:rsidRPr="006578A1">
        <w:t xml:space="preserve">. </w:t>
      </w:r>
      <w:r w:rsidR="002201FC" w:rsidRPr="006578A1">
        <w:t xml:space="preserve"> </w:t>
      </w:r>
      <w:r w:rsidRPr="006578A1">
        <w:rPr>
          <w:lang w:val="en-AU"/>
        </w:rPr>
        <w:t>ASIPS+ encourages competition within the constraints of the Solomon Islands market. The local market is shallow in some sectors, and not all suppliers can meet DFAT and DT Global compliance requirements without support. ASIPS+ has responded by maintaining supplier lists, using tender briefings</w:t>
      </w:r>
      <w:r w:rsidRPr="006578A1">
        <w:rPr>
          <w:color w:val="auto"/>
          <w:lang w:val="en-AU"/>
        </w:rPr>
        <w:t xml:space="preserve">, supporting due diligence, building local supplier capacity and applying localisation principles to procurement. </w:t>
      </w:r>
      <w:r w:rsidR="002201FC" w:rsidRPr="006578A1">
        <w:rPr>
          <w:lang w:val="en-AU"/>
        </w:rPr>
        <w:t xml:space="preserve"> </w:t>
      </w:r>
      <w:r w:rsidR="00603818" w:rsidRPr="006578A1">
        <w:rPr>
          <w:lang w:val="en-AU"/>
        </w:rPr>
        <w:t>Evidence of savings and commercial negotiation</w:t>
      </w:r>
      <w:r w:rsidR="00C734B7" w:rsidRPr="006578A1">
        <w:rPr>
          <w:lang w:val="en-AU"/>
        </w:rPr>
        <w:t>s</w:t>
      </w:r>
      <w:r w:rsidR="00603818" w:rsidRPr="006578A1">
        <w:rPr>
          <w:lang w:val="en-AU"/>
        </w:rPr>
        <w:t xml:space="preserve"> show that ASIPS+ is actively managing cost, quality and risk</w:t>
      </w:r>
      <w:r w:rsidR="00603818" w:rsidRPr="006578A1">
        <w:rPr>
          <w:rStyle w:val="FootnoteReference"/>
          <w:lang w:val="en-AU"/>
        </w:rPr>
        <w:footnoteReference w:id="28"/>
      </w:r>
      <w:r w:rsidR="00603818" w:rsidRPr="006578A1">
        <w:rPr>
          <w:lang w:val="en-AU"/>
        </w:rPr>
        <w:t xml:space="preserve">. </w:t>
      </w:r>
    </w:p>
    <w:p w14:paraId="5C9FE6E7" w14:textId="77777777" w:rsidR="00537DDE" w:rsidRPr="00C13F9E" w:rsidRDefault="00537DDE" w:rsidP="00C13F9E">
      <w:pPr>
        <w:pStyle w:val="TOC7"/>
        <w:ind w:left="568"/>
        <w:rPr>
          <w:rStyle w:val="Strong"/>
          <w:b w:val="0"/>
          <w:bCs w:val="0"/>
          <w:lang w:val="en-AU"/>
        </w:rPr>
      </w:pPr>
      <w:r w:rsidRPr="00C13F9E">
        <w:rPr>
          <w:rStyle w:val="Strong"/>
          <w:b w:val="0"/>
          <w:bCs w:val="0"/>
          <w:lang w:val="en-AU"/>
        </w:rPr>
        <w:t>Efficiency: shared services and operating leverage</w:t>
      </w:r>
    </w:p>
    <w:p w14:paraId="7D6A151D" w14:textId="4D98740E" w:rsidR="00537DDE" w:rsidRPr="006578A1" w:rsidRDefault="00537DDE" w:rsidP="1A285ED5">
      <w:r w:rsidRPr="006578A1">
        <w:t xml:space="preserve">ASIPS+ delivers strong efficiency through shared services. Centralised procurement, finance, HR, logistics, security, safeguarding, grants management and development-effectiveness support reduce duplication across </w:t>
      </w:r>
      <w:r w:rsidR="000723FD" w:rsidRPr="006578A1">
        <w:t>SOs</w:t>
      </w:r>
      <w:r w:rsidRPr="006578A1">
        <w:t xml:space="preserve">. Without the </w:t>
      </w:r>
      <w:r w:rsidR="006578A1">
        <w:t>f</w:t>
      </w:r>
      <w:r w:rsidRPr="006578A1">
        <w:t xml:space="preserve">acility, AHC would need to establish, manage or oversee separate systems for multiple activities, or rely on delivery partners with varying systems, incentives and compliance standards. For small and medium </w:t>
      </w:r>
      <w:r w:rsidR="000723FD" w:rsidRPr="006578A1">
        <w:t>SOs</w:t>
      </w:r>
      <w:r w:rsidRPr="006578A1">
        <w:t>, the shared-services model is a major source of value</w:t>
      </w:r>
      <w:r w:rsidR="0022315C" w:rsidRPr="006578A1">
        <w:t xml:space="preserve">. </w:t>
      </w:r>
      <w:r w:rsidR="000723FD" w:rsidRPr="006578A1">
        <w:t xml:space="preserve"> </w:t>
      </w:r>
    </w:p>
    <w:p w14:paraId="00D66B3B" w14:textId="6D7BDB35" w:rsidR="00537DDE" w:rsidRPr="006578A1" w:rsidRDefault="03AA1B82" w:rsidP="00537DDE">
      <w:r w:rsidRPr="006578A1">
        <w:rPr>
          <w:lang w:val="en-AU"/>
        </w:rPr>
        <w:t xml:space="preserve">The </w:t>
      </w:r>
      <w:r w:rsidR="0022315C" w:rsidRPr="006578A1">
        <w:rPr>
          <w:lang w:val="en-AU"/>
        </w:rPr>
        <w:t>f</w:t>
      </w:r>
      <w:r w:rsidRPr="006578A1">
        <w:rPr>
          <w:lang w:val="en-AU"/>
        </w:rPr>
        <w:t xml:space="preserve">acility has scaled </w:t>
      </w:r>
      <w:r w:rsidR="0052139D" w:rsidRPr="006578A1">
        <w:rPr>
          <w:lang w:val="en-AU"/>
        </w:rPr>
        <w:t>rapidly,</w:t>
      </w:r>
      <w:r w:rsidR="0022315C" w:rsidRPr="006578A1">
        <w:rPr>
          <w:lang w:val="en-AU"/>
        </w:rPr>
        <w:t xml:space="preserve"> and </w:t>
      </w:r>
      <w:r w:rsidR="0022315C" w:rsidRPr="006578A1">
        <w:t>o</w:t>
      </w:r>
      <w:r w:rsidRPr="006578A1">
        <w:rPr>
          <w:lang w:val="en-AU"/>
        </w:rPr>
        <w:t>perating leverage has increased</w:t>
      </w:r>
      <w:r w:rsidR="0022315C" w:rsidRPr="006578A1">
        <w:rPr>
          <w:lang w:val="en-AU"/>
        </w:rPr>
        <w:t xml:space="preserve"> (</w:t>
      </w:r>
      <w:r w:rsidR="0022315C" w:rsidRPr="006578A1">
        <w:rPr>
          <w:b/>
          <w:bCs/>
          <w:lang w:val="en-AU"/>
        </w:rPr>
        <w:t>Annex 5</w:t>
      </w:r>
      <w:r w:rsidR="0022315C" w:rsidRPr="006578A1">
        <w:rPr>
          <w:lang w:val="en-AU"/>
        </w:rPr>
        <w:t xml:space="preserve">). </w:t>
      </w:r>
      <w:r w:rsidRPr="006578A1">
        <w:rPr>
          <w:lang w:val="en-AU"/>
        </w:rPr>
        <w:t xml:space="preserve">ASIPS+ is supporting more delivery for each dollar spent on the FSU. However, </w:t>
      </w:r>
      <w:r w:rsidR="2B626CE0" w:rsidRPr="006578A1">
        <w:rPr>
          <w:lang w:val="en-AU"/>
        </w:rPr>
        <w:t>this has over-stretched the staff and systems and e</w:t>
      </w:r>
      <w:r w:rsidRPr="006578A1">
        <w:rPr>
          <w:lang w:val="en-AU"/>
        </w:rPr>
        <w:t xml:space="preserve">vidence from reporting, SOG </w:t>
      </w:r>
      <w:r w:rsidR="2B626CE0" w:rsidRPr="006578A1">
        <w:rPr>
          <w:lang w:val="en-AU"/>
        </w:rPr>
        <w:t xml:space="preserve">meetings and stakeholder interviews </w:t>
      </w:r>
      <w:r w:rsidRPr="006578A1">
        <w:rPr>
          <w:lang w:val="en-AU"/>
        </w:rPr>
        <w:t xml:space="preserve">indicates that </w:t>
      </w:r>
      <w:r w:rsidR="006F589E" w:rsidRPr="006578A1">
        <w:rPr>
          <w:lang w:val="en-AU"/>
        </w:rPr>
        <w:t xml:space="preserve">fatigue </w:t>
      </w:r>
      <w:r w:rsidRPr="006578A1">
        <w:rPr>
          <w:lang w:val="en-AU"/>
        </w:rPr>
        <w:t>is now a risk.</w:t>
      </w:r>
    </w:p>
    <w:p w14:paraId="3CDC75E6" w14:textId="0D0BC67E" w:rsidR="00537DDE" w:rsidRPr="006578A1" w:rsidRDefault="00537DDE" w:rsidP="00537DDE">
      <w:pPr>
        <w:rPr>
          <w:lang w:val="en-AU"/>
        </w:rPr>
      </w:pPr>
      <w:r w:rsidRPr="006578A1">
        <w:rPr>
          <w:lang w:val="en-AU"/>
        </w:rPr>
        <w:t xml:space="preserve">ASIPS+ has improved efficiency through systems changes. The Payment Request System, introduced in 2025, reduced late and unpaid invoices and enabled </w:t>
      </w:r>
      <w:r w:rsidR="00700F75" w:rsidRPr="006578A1">
        <w:rPr>
          <w:lang w:val="en-AU"/>
        </w:rPr>
        <w:t>SO</w:t>
      </w:r>
      <w:r w:rsidRPr="006578A1">
        <w:rPr>
          <w:lang w:val="en-AU"/>
        </w:rPr>
        <w:t xml:space="preserve"> teams to track payment status. Average invoice processing time was below the five-business-day benchmark. Procurement workflows improved through the Procurement and Grants Request System, flexible quote pathways and repeat procurement pathways. These improvements show progress, but the </w:t>
      </w:r>
      <w:r w:rsidR="006578A1">
        <w:rPr>
          <w:lang w:val="en-AU"/>
        </w:rPr>
        <w:t>f</w:t>
      </w:r>
      <w:r w:rsidRPr="006578A1">
        <w:rPr>
          <w:lang w:val="en-AU"/>
        </w:rPr>
        <w:t>acility still relies too heavily on manual systems and Excel-based tracking in several areas.</w:t>
      </w:r>
    </w:p>
    <w:p w14:paraId="70A3CC9F" w14:textId="17CA9456" w:rsidR="00537DDE" w:rsidRPr="006578A1" w:rsidRDefault="00537DDE" w:rsidP="00537DDE">
      <w:pPr>
        <w:rPr>
          <w:lang w:val="en-AU"/>
        </w:rPr>
      </w:pPr>
      <w:r w:rsidRPr="006578A1">
        <w:rPr>
          <w:lang w:val="en-AU"/>
        </w:rPr>
        <w:t xml:space="preserve">The </w:t>
      </w:r>
      <w:r w:rsidR="007D1F06" w:rsidRPr="006578A1">
        <w:rPr>
          <w:lang w:val="en-AU"/>
        </w:rPr>
        <w:t>shared services</w:t>
      </w:r>
      <w:r w:rsidRPr="006578A1">
        <w:rPr>
          <w:lang w:val="en-AU"/>
        </w:rPr>
        <w:t xml:space="preserve"> model creates efficiency through shared people and shared learning. </w:t>
      </w:r>
      <w:r w:rsidR="00700F75" w:rsidRPr="006578A1">
        <w:rPr>
          <w:lang w:val="en-AU"/>
        </w:rPr>
        <w:t xml:space="preserve">DEH </w:t>
      </w:r>
      <w:r w:rsidRPr="006578A1">
        <w:rPr>
          <w:lang w:val="en-AU"/>
        </w:rPr>
        <w:t xml:space="preserve">advisers work across multiple </w:t>
      </w:r>
      <w:r w:rsidR="00700F75" w:rsidRPr="006578A1">
        <w:rPr>
          <w:lang w:val="en-AU"/>
        </w:rPr>
        <w:t>SOs</w:t>
      </w:r>
      <w:r w:rsidRPr="006578A1">
        <w:rPr>
          <w:lang w:val="en-AU"/>
        </w:rPr>
        <w:t xml:space="preserve">. Staff have been shared between related activities where this made operational sense. These arrangements reduce duplication, help </w:t>
      </w:r>
      <w:r w:rsidR="00700F75" w:rsidRPr="006578A1">
        <w:rPr>
          <w:lang w:val="en-AU"/>
        </w:rPr>
        <w:t xml:space="preserve">SOs </w:t>
      </w:r>
      <w:r w:rsidRPr="006578A1">
        <w:rPr>
          <w:lang w:val="en-AU"/>
        </w:rPr>
        <w:t xml:space="preserve">apply consistent approaches, and support whole-of-portfolio learning. </w:t>
      </w:r>
    </w:p>
    <w:p w14:paraId="4FBAF17D" w14:textId="00441016" w:rsidR="00537DDE" w:rsidRPr="00C13F9E" w:rsidRDefault="00537DDE" w:rsidP="00C13F9E">
      <w:pPr>
        <w:pStyle w:val="TOC7"/>
        <w:ind w:left="568"/>
        <w:rPr>
          <w:rStyle w:val="Strong"/>
          <w:b w:val="0"/>
          <w:bCs w:val="0"/>
          <w:lang w:val="en-AU"/>
        </w:rPr>
      </w:pPr>
      <w:r w:rsidRPr="00C13F9E">
        <w:rPr>
          <w:rStyle w:val="Strong"/>
          <w:b w:val="0"/>
          <w:bCs w:val="0"/>
          <w:lang w:val="en-AU"/>
        </w:rPr>
        <w:t xml:space="preserve">The </w:t>
      </w:r>
      <w:r w:rsidR="002201FC" w:rsidRPr="00C13F9E">
        <w:rPr>
          <w:rStyle w:val="Strong"/>
          <w:b w:val="0"/>
          <w:bCs w:val="0"/>
          <w:lang w:val="en-AU"/>
        </w:rPr>
        <w:t xml:space="preserve">VfM </w:t>
      </w:r>
      <w:r w:rsidRPr="00C13F9E">
        <w:rPr>
          <w:rStyle w:val="Strong"/>
          <w:b w:val="0"/>
          <w:bCs w:val="0"/>
          <w:lang w:val="en-AU"/>
        </w:rPr>
        <w:t>of the hybrid “plus” model</w:t>
      </w:r>
    </w:p>
    <w:p w14:paraId="15897E96" w14:textId="4E29CD98" w:rsidR="00537DDE" w:rsidRDefault="00537DDE" w:rsidP="00537DDE">
      <w:pPr>
        <w:rPr>
          <w:lang w:val="en-AU"/>
        </w:rPr>
      </w:pPr>
      <w:r w:rsidRPr="00537DDE">
        <w:rPr>
          <w:lang w:val="en-AU"/>
        </w:rPr>
        <w:t xml:space="preserve">The hybrid model is central to </w:t>
      </w:r>
      <w:r w:rsidR="006578A1">
        <w:rPr>
          <w:lang w:val="en-AU"/>
        </w:rPr>
        <w:t>VfM</w:t>
      </w:r>
      <w:r w:rsidRPr="00537DDE">
        <w:rPr>
          <w:lang w:val="en-AU"/>
        </w:rPr>
        <w:t xml:space="preserve">. The “plus” function adds value in </w:t>
      </w:r>
      <w:r w:rsidR="00771CE8">
        <w:rPr>
          <w:lang w:val="en-AU"/>
        </w:rPr>
        <w:t xml:space="preserve">following </w:t>
      </w:r>
      <w:r w:rsidRPr="00537DDE">
        <w:rPr>
          <w:lang w:val="en-AU"/>
        </w:rPr>
        <w:t>ways</w:t>
      </w:r>
      <w:r w:rsidR="00771CE8">
        <w:rPr>
          <w:lang w:val="en-AU"/>
        </w:rPr>
        <w:t xml:space="preserve">: </w:t>
      </w:r>
    </w:p>
    <w:p w14:paraId="118BF651" w14:textId="77777777" w:rsidR="00771CE8" w:rsidRPr="00544927" w:rsidRDefault="00771CE8" w:rsidP="00771CE8">
      <w:pPr>
        <w:pStyle w:val="ListParagraph"/>
        <w:numPr>
          <w:ilvl w:val="0"/>
          <w:numId w:val="16"/>
        </w:numPr>
        <w:ind w:left="714" w:hanging="357"/>
        <w:contextualSpacing w:val="0"/>
        <w:rPr>
          <w:lang w:val="en-AU"/>
        </w:rPr>
      </w:pPr>
      <w:r w:rsidRPr="00544927">
        <w:rPr>
          <w:lang w:val="en-AU"/>
        </w:rPr>
        <w:t xml:space="preserve">ASIPS+ is improving SO design and strategic alignment through implementation profiling, DEH inputs, and quality assurance. </w:t>
      </w:r>
    </w:p>
    <w:p w14:paraId="41754D07" w14:textId="77777777" w:rsidR="00771CE8" w:rsidRPr="00544927" w:rsidRDefault="00771CE8" w:rsidP="00771CE8">
      <w:pPr>
        <w:pStyle w:val="ListParagraph"/>
        <w:numPr>
          <w:ilvl w:val="0"/>
          <w:numId w:val="16"/>
        </w:numPr>
        <w:ind w:left="714" w:hanging="357"/>
        <w:contextualSpacing w:val="0"/>
        <w:rPr>
          <w:lang w:val="en-AU"/>
        </w:rPr>
      </w:pPr>
      <w:r w:rsidRPr="00544927">
        <w:rPr>
          <w:lang w:val="en-AU"/>
        </w:rPr>
        <w:t xml:space="preserve">It is embedding cross-cutting priorities through the Quality Programming Strategy and integrated approaches for GEDSI, climate change, safeguarding, locally led development and First Nations engagement. </w:t>
      </w:r>
    </w:p>
    <w:p w14:paraId="4C18E9F2" w14:textId="77777777" w:rsidR="00771CE8" w:rsidRPr="00544927" w:rsidRDefault="00771CE8" w:rsidP="00771CE8">
      <w:pPr>
        <w:pStyle w:val="ListParagraph"/>
        <w:numPr>
          <w:ilvl w:val="0"/>
          <w:numId w:val="16"/>
        </w:numPr>
        <w:ind w:left="714" w:hanging="357"/>
        <w:contextualSpacing w:val="0"/>
        <w:rPr>
          <w:lang w:val="en-AU"/>
        </w:rPr>
      </w:pPr>
      <w:r w:rsidRPr="00544927">
        <w:rPr>
          <w:lang w:val="en-AU"/>
        </w:rPr>
        <w:t xml:space="preserve">It is improving portfolio coherence through shared advisers, Program Managers Peer Group, communities of practice and cross-SO reflection. </w:t>
      </w:r>
    </w:p>
    <w:p w14:paraId="72D3D209" w14:textId="77777777" w:rsidR="00771CE8" w:rsidRPr="00544927" w:rsidRDefault="00771CE8" w:rsidP="00771CE8">
      <w:pPr>
        <w:pStyle w:val="ListParagraph"/>
        <w:numPr>
          <w:ilvl w:val="0"/>
          <w:numId w:val="16"/>
        </w:numPr>
        <w:ind w:left="714" w:hanging="357"/>
        <w:contextualSpacing w:val="0"/>
        <w:rPr>
          <w:lang w:val="en-AU"/>
        </w:rPr>
      </w:pPr>
      <w:r w:rsidRPr="00544927">
        <w:rPr>
          <w:lang w:val="en-AU"/>
        </w:rPr>
        <w:t xml:space="preserve">It is helping DFAT aggregate SO-level evidence into a more coherent narrative of Australia’s contribution to the DPP. </w:t>
      </w:r>
    </w:p>
    <w:p w14:paraId="432D9D67" w14:textId="34C12380" w:rsidR="00771CE8" w:rsidRPr="00544927" w:rsidRDefault="004267D3" w:rsidP="00771CE8">
      <w:pPr>
        <w:pStyle w:val="ListParagraph"/>
        <w:numPr>
          <w:ilvl w:val="0"/>
          <w:numId w:val="16"/>
        </w:numPr>
        <w:ind w:left="714" w:hanging="357"/>
        <w:contextualSpacing w:val="0"/>
        <w:rPr>
          <w:lang w:val="en-AU"/>
        </w:rPr>
      </w:pPr>
      <w:r>
        <w:rPr>
          <w:lang w:val="en-AU"/>
        </w:rPr>
        <w:t>It</w:t>
      </w:r>
      <w:r w:rsidRPr="00544927">
        <w:rPr>
          <w:lang w:val="en-AU"/>
        </w:rPr>
        <w:t xml:space="preserve"> </w:t>
      </w:r>
      <w:r w:rsidR="00771CE8" w:rsidRPr="00544927">
        <w:rPr>
          <w:lang w:val="en-AU"/>
        </w:rPr>
        <w:t xml:space="preserve">is supporting a more responsive and partner-led model, particularly in education, skills and SINU partnerships. </w:t>
      </w:r>
    </w:p>
    <w:p w14:paraId="64E7CFB8" w14:textId="40973051" w:rsidR="00537DDE" w:rsidRPr="00537DDE" w:rsidRDefault="00537DDE" w:rsidP="00537DDE">
      <w:pPr>
        <w:rPr>
          <w:lang w:val="en-AU"/>
        </w:rPr>
      </w:pPr>
      <w:r w:rsidRPr="00537DDE">
        <w:rPr>
          <w:lang w:val="en-AU"/>
        </w:rPr>
        <w:t xml:space="preserve">However, the “plus” model depends on funded capability. If DEH, MEL, safeguarding and cross-cutting advisers are stretched too thinly, ASIPS+ can still process transactions, but it will lose some of the quality, coherence and learning functions that make the </w:t>
      </w:r>
      <w:r w:rsidR="006578A1">
        <w:rPr>
          <w:lang w:val="en-AU"/>
        </w:rPr>
        <w:t>f</w:t>
      </w:r>
      <w:r w:rsidRPr="00537DDE">
        <w:rPr>
          <w:lang w:val="en-AU"/>
        </w:rPr>
        <w:t xml:space="preserve">acility more valuable than an enabling-only model. Protecting the “plus” function is central to future </w:t>
      </w:r>
      <w:r w:rsidR="00771CE8">
        <w:rPr>
          <w:lang w:val="en-AU"/>
        </w:rPr>
        <w:t>value for money</w:t>
      </w:r>
      <w:r w:rsidRPr="00537DDE">
        <w:rPr>
          <w:lang w:val="en-AU"/>
        </w:rPr>
        <w:t>.</w:t>
      </w:r>
    </w:p>
    <w:p w14:paraId="2C18A12F" w14:textId="310491D0" w:rsidR="00537DDE" w:rsidRPr="00C13F9E" w:rsidRDefault="00537DDE" w:rsidP="00C13F9E">
      <w:pPr>
        <w:pStyle w:val="TOC7"/>
        <w:ind w:left="568"/>
        <w:rPr>
          <w:rStyle w:val="Strong"/>
          <w:b w:val="0"/>
          <w:bCs w:val="0"/>
          <w:lang w:val="en-AU"/>
        </w:rPr>
      </w:pPr>
      <w:r w:rsidRPr="00C13F9E">
        <w:rPr>
          <w:rStyle w:val="Strong"/>
          <w:b w:val="0"/>
          <w:bCs w:val="0"/>
          <w:lang w:val="en-AU"/>
        </w:rPr>
        <w:t>Proportionality and sustainability: the main VfM risk</w:t>
      </w:r>
    </w:p>
    <w:p w14:paraId="180FCE8B" w14:textId="3D0A5A86" w:rsidR="00807119" w:rsidRPr="00807119" w:rsidRDefault="00537DDE" w:rsidP="00807119">
      <w:pPr>
        <w:rPr>
          <w:lang w:val="en-AU"/>
        </w:rPr>
      </w:pPr>
      <w:r w:rsidRPr="00537DDE">
        <w:rPr>
          <w:lang w:val="en-AU"/>
        </w:rPr>
        <w:t xml:space="preserve">The main </w:t>
      </w:r>
      <w:r w:rsidR="004267D3">
        <w:rPr>
          <w:lang w:val="en-AU"/>
        </w:rPr>
        <w:t>VfM</w:t>
      </w:r>
      <w:r w:rsidR="00771CE8">
        <w:rPr>
          <w:lang w:val="en-AU"/>
        </w:rPr>
        <w:t xml:space="preserve"> </w:t>
      </w:r>
      <w:r w:rsidRPr="00537DDE">
        <w:rPr>
          <w:lang w:val="en-AU"/>
        </w:rPr>
        <w:t xml:space="preserve">risk is proportionality. The </w:t>
      </w:r>
      <w:r w:rsidR="004267D3">
        <w:rPr>
          <w:lang w:val="en-AU"/>
        </w:rPr>
        <w:t>f</w:t>
      </w:r>
      <w:r w:rsidRPr="00537DDE">
        <w:rPr>
          <w:lang w:val="en-AU"/>
        </w:rPr>
        <w:t>acility is absorbing demand rather than being systematically resourced in proportion to workload, risk and complexity.</w:t>
      </w:r>
      <w:r w:rsidR="00771CE8">
        <w:rPr>
          <w:lang w:val="en-AU"/>
        </w:rPr>
        <w:t xml:space="preserve"> </w:t>
      </w:r>
      <w:r w:rsidRPr="00537DDE">
        <w:rPr>
          <w:lang w:val="en-AU"/>
        </w:rPr>
        <w:t xml:space="preserve">The fixed-budget FSU model is no longer fully aligned with the scale and intensity of the portfolio. </w:t>
      </w:r>
      <w:r w:rsidR="00771CE8" w:rsidRPr="00807119">
        <w:rPr>
          <w:lang w:val="en-AU"/>
        </w:rPr>
        <w:t>S</w:t>
      </w:r>
      <w:r w:rsidRPr="00807119">
        <w:rPr>
          <w:lang w:val="en-AU"/>
        </w:rPr>
        <w:t xml:space="preserve">hared services are under pressure. End-of-financial-year expenditure </w:t>
      </w:r>
      <w:r w:rsidRPr="00807119">
        <w:rPr>
          <w:lang w:val="en-AU"/>
        </w:rPr>
        <w:lastRenderedPageBreak/>
        <w:t xml:space="preserve">patterns also show pressure on the model. </w:t>
      </w:r>
      <w:r w:rsidR="00807119" w:rsidRPr="00807119">
        <w:rPr>
          <w:lang w:val="en-AU"/>
        </w:rPr>
        <w:t>ASIPS+ can scale under pressure, but late decisions and compressed delivery windows can reduce planning quality and increase operational risk</w:t>
      </w:r>
      <w:r w:rsidR="00807119">
        <w:rPr>
          <w:rStyle w:val="FootnoteReference"/>
          <w:lang w:val="en-AU"/>
        </w:rPr>
        <w:footnoteReference w:id="29"/>
      </w:r>
      <w:r w:rsidR="00807119">
        <w:rPr>
          <w:lang w:val="en-AU"/>
        </w:rPr>
        <w:t xml:space="preserve">. </w:t>
      </w:r>
    </w:p>
    <w:p w14:paraId="655B8825" w14:textId="11B2F7D8" w:rsidR="00537DDE" w:rsidRDefault="00537DDE" w:rsidP="00537DDE">
      <w:pPr>
        <w:rPr>
          <w:b/>
          <w:bCs/>
          <w:lang w:val="en-AU"/>
        </w:rPr>
      </w:pPr>
      <w:r w:rsidRPr="00537DDE">
        <w:rPr>
          <w:lang w:val="en-AU"/>
        </w:rPr>
        <w:t xml:space="preserve">The Head Deed ceiling creates a related sustainability risk. The extension of the Head Deed to June 2031 and the increase in the ceiling from AUD120 million to AUD240 million gave DFAT flexibility to approve new and longer </w:t>
      </w:r>
      <w:r w:rsidR="00807119">
        <w:rPr>
          <w:lang w:val="en-AU"/>
        </w:rPr>
        <w:t>SOs</w:t>
      </w:r>
      <w:r w:rsidRPr="00537DDE">
        <w:rPr>
          <w:lang w:val="en-AU"/>
        </w:rPr>
        <w:t xml:space="preserve">. However, rapid </w:t>
      </w:r>
      <w:r w:rsidR="00807119">
        <w:rPr>
          <w:lang w:val="en-AU"/>
        </w:rPr>
        <w:t xml:space="preserve">SO </w:t>
      </w:r>
      <w:r w:rsidRPr="00537DDE">
        <w:rPr>
          <w:lang w:val="en-AU"/>
        </w:rPr>
        <w:t xml:space="preserve">growth is shortening the </w:t>
      </w:r>
      <w:r w:rsidR="004267D3">
        <w:rPr>
          <w:lang w:val="en-AU"/>
        </w:rPr>
        <w:t>f</w:t>
      </w:r>
      <w:r w:rsidRPr="00537DDE">
        <w:rPr>
          <w:lang w:val="en-AU"/>
        </w:rPr>
        <w:t xml:space="preserve">acility’s operating runway. As </w:t>
      </w:r>
      <w:r w:rsidR="007D1F06" w:rsidRPr="00537DDE">
        <w:rPr>
          <w:lang w:val="en-AU"/>
        </w:rPr>
        <w:t>of</w:t>
      </w:r>
      <w:r w:rsidRPr="00537DDE">
        <w:rPr>
          <w:lang w:val="en-AU"/>
        </w:rPr>
        <w:t xml:space="preserve"> December 2025, Phase 1 was 83.8</w:t>
      </w:r>
      <w:r w:rsidR="00807119">
        <w:rPr>
          <w:lang w:val="en-AU"/>
        </w:rPr>
        <w:t>%</w:t>
      </w:r>
      <w:r w:rsidRPr="00537DDE">
        <w:rPr>
          <w:lang w:val="en-AU"/>
        </w:rPr>
        <w:t xml:space="preserve"> committed. </w:t>
      </w:r>
      <w:r w:rsidR="00807119">
        <w:rPr>
          <w:lang w:val="en-AU"/>
        </w:rPr>
        <w:t xml:space="preserve">ASIPS+ </w:t>
      </w:r>
      <w:r w:rsidRPr="00537DDE">
        <w:rPr>
          <w:lang w:val="en-AU"/>
        </w:rPr>
        <w:t xml:space="preserve">modelling indicates that if the existing pipeline and likely extensions proceed, cumulative contract value and forecasts may exceed the ASIPS+ Head Deed ceiling before the 2031 end date. SOG4 considered a likely planning scenario with a pressure point around FY2028–29 and identified the need for a decision on the preferred approach at SOG5. This is discussed in </w:t>
      </w:r>
      <w:r w:rsidRPr="00807119">
        <w:rPr>
          <w:b/>
          <w:bCs/>
          <w:lang w:val="en-AU"/>
        </w:rPr>
        <w:t>Section 4.</w:t>
      </w:r>
      <w:r w:rsidR="00807119" w:rsidRPr="00807119">
        <w:rPr>
          <w:b/>
          <w:bCs/>
          <w:lang w:val="en-AU"/>
        </w:rPr>
        <w:t>1.</w:t>
      </w:r>
    </w:p>
    <w:p w14:paraId="0488A058" w14:textId="0B9CA534" w:rsidR="00C423FC" w:rsidRPr="00C423FC" w:rsidRDefault="00C423FC" w:rsidP="00537DDE">
      <w:pPr>
        <w:rPr>
          <w:color w:val="auto"/>
          <w:lang w:val="en-AU"/>
        </w:rPr>
      </w:pPr>
      <w:r w:rsidRPr="46C31772">
        <w:rPr>
          <w:color w:val="auto"/>
          <w:lang w:val="en-AU"/>
        </w:rPr>
        <w:t>This review has identified the issues and proposed management actions</w:t>
      </w:r>
      <w:r w:rsidR="667294D3" w:rsidRPr="46C31772">
        <w:rPr>
          <w:color w:val="auto"/>
          <w:lang w:val="en-AU"/>
        </w:rPr>
        <w:t xml:space="preserve"> in the short to medium term</w:t>
      </w:r>
      <w:r w:rsidRPr="46C31772">
        <w:rPr>
          <w:color w:val="auto"/>
          <w:lang w:val="en-AU"/>
        </w:rPr>
        <w:t xml:space="preserve">, but the future </w:t>
      </w:r>
      <w:r w:rsidR="004267D3">
        <w:rPr>
          <w:color w:val="auto"/>
          <w:lang w:val="en-AU"/>
        </w:rPr>
        <w:t>f</w:t>
      </w:r>
      <w:r w:rsidRPr="46C31772">
        <w:rPr>
          <w:color w:val="auto"/>
          <w:lang w:val="en-AU"/>
        </w:rPr>
        <w:t xml:space="preserve">acility configuration requires deeper assessment through the end of program evaluation and design processes. That assessment should examine whether some SOs should </w:t>
      </w:r>
      <w:r w:rsidR="00425D35" w:rsidRPr="00425D35">
        <w:rPr>
          <w:color w:val="auto"/>
          <w:lang w:val="en-AU"/>
        </w:rPr>
        <w:t xml:space="preserve">seek an alternative implementation mechanism, </w:t>
      </w:r>
      <w:r w:rsidRPr="46C31772">
        <w:rPr>
          <w:color w:val="auto"/>
          <w:lang w:val="en-AU"/>
        </w:rPr>
        <w:t xml:space="preserve">whether </w:t>
      </w:r>
      <w:r w:rsidR="005A4957" w:rsidRPr="46C31772">
        <w:rPr>
          <w:color w:val="auto"/>
          <w:lang w:val="en-AU"/>
        </w:rPr>
        <w:t>rapid response</w:t>
      </w:r>
      <w:r w:rsidR="00425D35">
        <w:rPr>
          <w:color w:val="auto"/>
          <w:lang w:val="en-AU"/>
        </w:rPr>
        <w:t xml:space="preserve"> </w:t>
      </w:r>
      <w:r w:rsidRPr="46C31772">
        <w:rPr>
          <w:color w:val="auto"/>
          <w:lang w:val="en-AU"/>
        </w:rPr>
        <w:t xml:space="preserve">activities and larger development programs require different delivery streams, and what </w:t>
      </w:r>
      <w:r w:rsidR="004267D3">
        <w:rPr>
          <w:color w:val="auto"/>
          <w:lang w:val="en-AU"/>
        </w:rPr>
        <w:t>f</w:t>
      </w:r>
      <w:r w:rsidRPr="46C31772">
        <w:rPr>
          <w:color w:val="auto"/>
          <w:lang w:val="en-AU"/>
        </w:rPr>
        <w:t>acility architecture best protects VfM, responsiveness, quality, sustainability and coherence.</w:t>
      </w:r>
    </w:p>
    <w:p w14:paraId="5B4ED910" w14:textId="61F5E4CF" w:rsidR="005D354D" w:rsidRPr="00C13F9E" w:rsidRDefault="005D354D" w:rsidP="00C13F9E">
      <w:pPr>
        <w:pStyle w:val="Heading4"/>
      </w:pPr>
      <w:r w:rsidRPr="00C13F9E">
        <w:t>Risk management</w:t>
      </w:r>
    </w:p>
    <w:p w14:paraId="4669DD40" w14:textId="2913C2A6" w:rsidR="00DF2AF1" w:rsidRDefault="005D354D" w:rsidP="005D354D">
      <w:pPr>
        <w:rPr>
          <w:lang w:val="en-AU"/>
        </w:rPr>
      </w:pPr>
      <w:r w:rsidRPr="005D354D">
        <w:rPr>
          <w:lang w:val="en-AU"/>
        </w:rPr>
        <w:t>ASIPS+ identifies and manages risk effectively. Risk management is embedded through quarterly risk reporting, SOG discussion, Facility Management Team engagement, security management, safeguarding systems and SO-level monitoring. Safeguards management is a particular strength</w:t>
      </w:r>
      <w:r w:rsidR="00B6290C">
        <w:rPr>
          <w:rStyle w:val="FootnoteReference"/>
          <w:lang w:val="en-AU"/>
        </w:rPr>
        <w:footnoteReference w:id="30"/>
      </w:r>
      <w:r w:rsidR="00B6290C">
        <w:rPr>
          <w:lang w:val="en-AU"/>
        </w:rPr>
        <w:t xml:space="preserve">. </w:t>
      </w:r>
      <w:r w:rsidRPr="005D354D">
        <w:rPr>
          <w:lang w:val="en-AU"/>
        </w:rPr>
        <w:t xml:space="preserve">Security management is strong and contributes to </w:t>
      </w:r>
      <w:r w:rsidR="004267D3">
        <w:rPr>
          <w:lang w:val="en-AU"/>
        </w:rPr>
        <w:t>VfM</w:t>
      </w:r>
      <w:r w:rsidRPr="005D354D">
        <w:rPr>
          <w:lang w:val="en-AU"/>
        </w:rPr>
        <w:t xml:space="preserve"> by reducing operational and reputational risk</w:t>
      </w:r>
      <w:r w:rsidR="00B6290C">
        <w:rPr>
          <w:rStyle w:val="FootnoteReference"/>
          <w:lang w:val="en-AU"/>
        </w:rPr>
        <w:footnoteReference w:id="31"/>
      </w:r>
      <w:r w:rsidRPr="005D354D">
        <w:rPr>
          <w:lang w:val="en-AU"/>
        </w:rPr>
        <w:t xml:space="preserve">. </w:t>
      </w:r>
      <w:r w:rsidR="1C52D3C7" w:rsidRPr="46C31772">
        <w:rPr>
          <w:lang w:val="en-AU"/>
        </w:rPr>
        <w:t xml:space="preserve">In 2025, ASIPS+ </w:t>
      </w:r>
      <w:r w:rsidR="1C52D3C7" w:rsidRPr="72224989">
        <w:rPr>
          <w:lang w:val="en-AU"/>
        </w:rPr>
        <w:t>monitored 26 risks and added six contextual, operational and systems-related risks, including gender equality and climate and disaster risks. The risk profile is changing</w:t>
      </w:r>
      <w:r w:rsidR="78EB7EA2">
        <w:t xml:space="preserve">as the </w:t>
      </w:r>
      <w:r w:rsidR="004267D3">
        <w:t>f</w:t>
      </w:r>
      <w:r w:rsidR="78EB7EA2">
        <w:t>acility grows. SOG4 identified three major risks: the resourcing and implementation implications of DFAT’s updated safeguarding requirements</w:t>
      </w:r>
      <w:r w:rsidR="00CF3FE3">
        <w:rPr>
          <w:rStyle w:val="FootnoteReference"/>
        </w:rPr>
        <w:footnoteReference w:id="32"/>
      </w:r>
      <w:r w:rsidR="78EB7EA2" w:rsidRPr="00DF2AF1">
        <w:t>, limited strategic flexibility given a full pipeline of committed funds, and insufficient resources to support all SOs.</w:t>
      </w:r>
    </w:p>
    <w:p w14:paraId="73CA2318" w14:textId="137A6794" w:rsidR="004B25B9" w:rsidRDefault="00377576" w:rsidP="00AE0D3F">
      <w:pPr>
        <w:pStyle w:val="Heading1"/>
      </w:pPr>
      <w:bookmarkStart w:id="15" w:name="_Toc234426726"/>
      <w:r>
        <w:t>4</w:t>
      </w:r>
      <w:r w:rsidR="76996DD1">
        <w:t xml:space="preserve">. </w:t>
      </w:r>
      <w:r w:rsidR="001B5875">
        <w:t>OPTIONS AND RECOMMENDATIONS</w:t>
      </w:r>
      <w:bookmarkEnd w:id="15"/>
    </w:p>
    <w:p w14:paraId="1B2599B5" w14:textId="7D4EBA8D" w:rsidR="001B5875" w:rsidRPr="00550B3C" w:rsidRDefault="00920096" w:rsidP="00550B3C">
      <w:pPr>
        <w:pStyle w:val="Heading2"/>
      </w:pPr>
      <w:bookmarkStart w:id="16" w:name="_Toc234426727"/>
      <w:r w:rsidRPr="00550B3C">
        <w:t xml:space="preserve">4.1. </w:t>
      </w:r>
      <w:r w:rsidR="001B5875" w:rsidRPr="00550B3C">
        <w:t>Strategic</w:t>
      </w:r>
      <w:r w:rsidR="00690CDA" w:rsidRPr="00550B3C">
        <w:t xml:space="preserve"> options</w:t>
      </w:r>
      <w:bookmarkEnd w:id="16"/>
    </w:p>
    <w:p w14:paraId="7F25D74B" w14:textId="6B09EA05" w:rsidR="00823096" w:rsidRDefault="001B5875" w:rsidP="00BF18D3">
      <w:pPr>
        <w:rPr>
          <w:lang w:val="en-AU"/>
        </w:rPr>
      </w:pPr>
      <w:r w:rsidRPr="001B5875">
        <w:rPr>
          <w:lang w:val="en-AU"/>
        </w:rPr>
        <w:t xml:space="preserve">DFAT is actively developing options to manage the </w:t>
      </w:r>
      <w:r w:rsidR="002201FC">
        <w:rPr>
          <w:lang w:val="en-AU"/>
        </w:rPr>
        <w:t>f</w:t>
      </w:r>
      <w:r w:rsidRPr="001B5875">
        <w:rPr>
          <w:lang w:val="en-AU"/>
        </w:rPr>
        <w:t xml:space="preserve">acility’s spending. </w:t>
      </w:r>
      <w:r w:rsidR="009043AB" w:rsidRPr="009043AB">
        <w:rPr>
          <w:lang w:val="en-AU"/>
        </w:rPr>
        <w:t xml:space="preserve">The </w:t>
      </w:r>
      <w:r w:rsidR="009043AB">
        <w:rPr>
          <w:lang w:val="en-AU"/>
        </w:rPr>
        <w:t xml:space="preserve">review </w:t>
      </w:r>
      <w:r w:rsidR="009043AB" w:rsidRPr="009043AB">
        <w:rPr>
          <w:lang w:val="en-AU"/>
        </w:rPr>
        <w:t>does not seek to pre-empt DFAT’s decision, but frames the implications of the main options</w:t>
      </w:r>
      <w:r w:rsidR="009043AB">
        <w:rPr>
          <w:lang w:val="en-AU"/>
        </w:rPr>
        <w:t xml:space="preserve">: </w:t>
      </w:r>
    </w:p>
    <w:p w14:paraId="284EA278" w14:textId="2E33F83C" w:rsidR="001B5875" w:rsidRDefault="001B5875" w:rsidP="004267D3">
      <w:pPr>
        <w:rPr>
          <w:lang w:val="en-AU"/>
        </w:rPr>
      </w:pPr>
      <w:r w:rsidRPr="004267D3">
        <w:rPr>
          <w:b/>
          <w:bCs/>
          <w:lang w:val="en-AU"/>
        </w:rPr>
        <w:t>Option 1: Constrain demand to preserve the current contracted period</w:t>
      </w:r>
      <w:r w:rsidRPr="004267D3">
        <w:rPr>
          <w:lang w:val="en-AU"/>
        </w:rPr>
        <w:t xml:space="preserve">. This would protect the 2031 timeframe but would reduce flexibility and may limit DFAT’s ability to respond to emerging SIG and </w:t>
      </w:r>
      <w:r w:rsidR="00561D5B" w:rsidRPr="004267D3">
        <w:rPr>
          <w:lang w:val="en-AU"/>
        </w:rPr>
        <w:t xml:space="preserve">Australian Government </w:t>
      </w:r>
      <w:r w:rsidRPr="004267D3">
        <w:rPr>
          <w:lang w:val="en-AU"/>
        </w:rPr>
        <w:t>priorities. It would require stronger pipeline discipline and clear decisions about what ASIPS+ will not do.</w:t>
      </w:r>
    </w:p>
    <w:p w14:paraId="70AFD7FC" w14:textId="448B9FB8" w:rsidR="002201FC" w:rsidRPr="002201FC" w:rsidRDefault="001B5875" w:rsidP="002201FC">
      <w:pPr>
        <w:spacing w:before="0" w:after="0"/>
        <w:rPr>
          <w:lang w:val="en-AU"/>
        </w:rPr>
      </w:pPr>
      <w:r w:rsidRPr="00C520D3">
        <w:rPr>
          <w:b/>
          <w:bCs/>
          <w:lang w:val="en-AU"/>
        </w:rPr>
        <w:t>Option 2: Maintain responsiveness and plan an earlier transition or redesign</w:t>
      </w:r>
      <w:r w:rsidR="00444470">
        <w:rPr>
          <w:lang w:val="en-AU"/>
        </w:rPr>
        <w:t xml:space="preserve">. </w:t>
      </w:r>
      <w:r w:rsidR="00BF18D3" w:rsidRPr="00BF18D3">
        <w:rPr>
          <w:lang w:val="en-AU"/>
        </w:rPr>
        <w:t xml:space="preserve">This </w:t>
      </w:r>
      <w:r w:rsidR="00BF18D3">
        <w:rPr>
          <w:lang w:val="en-AU"/>
        </w:rPr>
        <w:t>option</w:t>
      </w:r>
      <w:r w:rsidR="00BF18D3" w:rsidRPr="00BF18D3">
        <w:rPr>
          <w:lang w:val="en-AU"/>
        </w:rPr>
        <w:t xml:space="preserve"> best preserves responsiveness, but requires </w:t>
      </w:r>
      <w:r w:rsidR="009043AB" w:rsidRPr="00823096">
        <w:rPr>
          <w:lang w:val="en-AU"/>
        </w:rPr>
        <w:t>DFAT to begin design, procurement and transition planning earlier, while managing continuity risks for existing SOs.</w:t>
      </w:r>
      <w:r w:rsidR="2D6AC68A" w:rsidRPr="012B7168">
        <w:rPr>
          <w:lang w:val="en-AU"/>
        </w:rPr>
        <w:t xml:space="preserve"> </w:t>
      </w:r>
      <w:r w:rsidR="3D854341" w:rsidRPr="002201FC">
        <w:rPr>
          <w:lang w:val="en-AU"/>
        </w:rPr>
        <w:t>This option opens up discrete choices on trajectory and timing, for example:</w:t>
      </w:r>
      <w:r w:rsidR="002201FC">
        <w:rPr>
          <w:lang w:val="en-AU"/>
        </w:rPr>
        <w:t xml:space="preserve"> (a) </w:t>
      </w:r>
      <w:r w:rsidR="3D854341" w:rsidRPr="002201FC">
        <w:rPr>
          <w:lang w:val="en-AU"/>
        </w:rPr>
        <w:t>operate on a flexible demand-driven upwards trajectory and finish the contract 18 months earlier (by December 2029) and bring forward the design of the successor mechanism)</w:t>
      </w:r>
      <w:r w:rsidR="002201FC">
        <w:rPr>
          <w:lang w:val="en-AU"/>
        </w:rPr>
        <w:t xml:space="preserve"> and (b) </w:t>
      </w:r>
      <w:r w:rsidR="3D854341" w:rsidRPr="002201FC">
        <w:rPr>
          <w:lang w:val="en-AU"/>
        </w:rPr>
        <w:t>operate on a flat trajectory at current growth, plateauing and finishing the contract later than option (</w:t>
      </w:r>
      <w:r w:rsidR="002201FC">
        <w:rPr>
          <w:lang w:val="en-AU"/>
        </w:rPr>
        <w:t>a</w:t>
      </w:r>
      <w:r w:rsidR="3D854341" w:rsidRPr="002201FC">
        <w:rPr>
          <w:lang w:val="en-AU"/>
        </w:rPr>
        <w:t xml:space="preserve">) but still earlier than the existing contract extension. </w:t>
      </w:r>
    </w:p>
    <w:p w14:paraId="17C223F8" w14:textId="1A6BA7B3" w:rsidR="001B5875" w:rsidRPr="004267D3" w:rsidRDefault="001B5875" w:rsidP="004267D3">
      <w:pPr>
        <w:rPr>
          <w:lang w:val="en-AU"/>
        </w:rPr>
      </w:pPr>
      <w:r w:rsidRPr="004267D3">
        <w:rPr>
          <w:b/>
          <w:bCs/>
          <w:lang w:val="en-AU"/>
        </w:rPr>
        <w:t>Option 3: Expand or reconfigure the Facility architecture.</w:t>
      </w:r>
      <w:r w:rsidRPr="004267D3">
        <w:rPr>
          <w:lang w:val="en-AU"/>
        </w:rPr>
        <w:t xml:space="preserve"> </w:t>
      </w:r>
      <w:r w:rsidR="00C7142A" w:rsidRPr="004267D3">
        <w:rPr>
          <w:lang w:val="en-AU"/>
        </w:rPr>
        <w:t>This could include a more elastic FSU funding model</w:t>
      </w:r>
      <w:r w:rsidR="00444470">
        <w:rPr>
          <w:lang w:val="en-AU"/>
        </w:rPr>
        <w:t xml:space="preserve"> </w:t>
      </w:r>
      <w:r w:rsidR="00C7142A" w:rsidRPr="004267D3">
        <w:rPr>
          <w:lang w:val="en-AU"/>
        </w:rPr>
        <w:t xml:space="preserve">or differentiated delivery streams for example for rapid-response and larger development programs. </w:t>
      </w:r>
      <w:r w:rsidRPr="004267D3">
        <w:rPr>
          <w:lang w:val="en-AU"/>
        </w:rPr>
        <w:t xml:space="preserve">Where there is not a compelling case for future or existing lines of effort to operate under ASIPS+ (if the work does not engage and cohere with other activities), those projects would need to seek </w:t>
      </w:r>
      <w:r w:rsidR="008F0862" w:rsidRPr="004267D3">
        <w:rPr>
          <w:lang w:val="en-AU"/>
        </w:rPr>
        <w:t>an implementation mechanism separate to</w:t>
      </w:r>
      <w:r w:rsidR="004A4A6A" w:rsidRPr="004267D3">
        <w:rPr>
          <w:lang w:val="en-AU"/>
        </w:rPr>
        <w:t xml:space="preserve"> </w:t>
      </w:r>
      <w:r w:rsidRPr="004267D3">
        <w:rPr>
          <w:lang w:val="en-AU"/>
        </w:rPr>
        <w:t>ASIPS+. Option 3 could preserve responsiveness and improve proportionality but would require clear strategic justification</w:t>
      </w:r>
      <w:r w:rsidR="56E92977" w:rsidRPr="004267D3">
        <w:rPr>
          <w:lang w:val="en-AU"/>
        </w:rPr>
        <w:t>.</w:t>
      </w:r>
    </w:p>
    <w:p w14:paraId="7289FF3B" w14:textId="24B51B60" w:rsidR="00920096" w:rsidRPr="00550B3C" w:rsidRDefault="001B5875" w:rsidP="00550B3C">
      <w:pPr>
        <w:pStyle w:val="Heading2"/>
      </w:pPr>
      <w:bookmarkStart w:id="17" w:name="_Toc234426728"/>
      <w:r w:rsidRPr="00550B3C">
        <w:lastRenderedPageBreak/>
        <w:t xml:space="preserve">4.2. </w:t>
      </w:r>
      <w:r w:rsidR="00E001BE" w:rsidRPr="00550B3C">
        <w:t>R</w:t>
      </w:r>
      <w:r w:rsidR="00920096" w:rsidRPr="00550B3C">
        <w:t>ecommendations</w:t>
      </w:r>
      <w:bookmarkEnd w:id="17"/>
    </w:p>
    <w:p w14:paraId="45B1D7A0" w14:textId="2E322D62" w:rsidR="007E745F" w:rsidRDefault="007E745F" w:rsidP="00182398">
      <w:pPr>
        <w:rPr>
          <w:lang w:val="en-AU"/>
        </w:rPr>
      </w:pPr>
      <w:r w:rsidRPr="007E745F">
        <w:rPr>
          <w:lang w:val="en-AU"/>
        </w:rPr>
        <w:t>The recommendations are intended to preserve ASIPS+’s responsiveness and quality while strengthening sustainability, prioritisation and proportionality to demand. They are organised around three management priorities: confirming the facility’s scope and headroom for the remainder of Phase 1; improving efficiency and managing resourcing risks; and informing options for the replacement mechanism.</w:t>
      </w:r>
      <w:r>
        <w:rPr>
          <w:lang w:val="en-AU"/>
        </w:rPr>
        <w:t xml:space="preserve"> </w:t>
      </w:r>
      <w:r w:rsidRPr="007E745F">
        <w:rPr>
          <w:b/>
          <w:bCs/>
          <w:lang w:val="en-AU"/>
        </w:rPr>
        <w:fldChar w:fldCharType="begin"/>
      </w:r>
      <w:r w:rsidRPr="007E745F">
        <w:rPr>
          <w:b/>
          <w:bCs/>
          <w:lang w:val="en-AU"/>
        </w:rPr>
        <w:instrText xml:space="preserve"> REF _Ref227792276 \h </w:instrText>
      </w:r>
      <w:r>
        <w:rPr>
          <w:b/>
          <w:bCs/>
          <w:lang w:val="en-AU"/>
        </w:rPr>
        <w:instrText xml:space="preserve"> \* MERGEFORMAT </w:instrText>
      </w:r>
      <w:r w:rsidRPr="007E745F">
        <w:rPr>
          <w:b/>
          <w:bCs/>
          <w:lang w:val="en-AU"/>
        </w:rPr>
      </w:r>
      <w:r w:rsidRPr="007E745F">
        <w:rPr>
          <w:b/>
          <w:bCs/>
          <w:lang w:val="en-AU"/>
        </w:rPr>
        <w:fldChar w:fldCharType="separate"/>
      </w:r>
      <w:r w:rsidRPr="007E745F">
        <w:rPr>
          <w:b/>
          <w:bCs/>
        </w:rPr>
        <w:t xml:space="preserve">Table </w:t>
      </w:r>
      <w:r w:rsidRPr="007E745F">
        <w:rPr>
          <w:b/>
          <w:bCs/>
          <w:noProof/>
        </w:rPr>
        <w:t>2</w:t>
      </w:r>
      <w:r w:rsidRPr="007E745F">
        <w:rPr>
          <w:b/>
          <w:bCs/>
          <w:lang w:val="en-AU"/>
        </w:rPr>
        <w:fldChar w:fldCharType="end"/>
      </w:r>
      <w:r>
        <w:rPr>
          <w:lang w:val="en-AU"/>
        </w:rPr>
        <w:t xml:space="preserve"> </w:t>
      </w:r>
      <w:r w:rsidRPr="007E745F">
        <w:rPr>
          <w:lang w:val="en-AU"/>
        </w:rPr>
        <w:t xml:space="preserve">links each finding to its corresponding recommendation and identifies the recommendation classification, proposed lead and partners, and priority. </w:t>
      </w:r>
    </w:p>
    <w:p w14:paraId="111C7A6F" w14:textId="537E2FED" w:rsidR="00C40AD8" w:rsidRPr="007E745F" w:rsidRDefault="00667132" w:rsidP="007E745F">
      <w:r>
        <w:rPr>
          <w:b/>
        </w:rPr>
        <w:br w:type="page"/>
      </w:r>
    </w:p>
    <w:p w14:paraId="3CBC01B5" w14:textId="77777777" w:rsidR="007E745F" w:rsidRDefault="007E745F">
      <w:pPr>
        <w:spacing w:after="0"/>
        <w:rPr>
          <w:b/>
        </w:rPr>
        <w:sectPr w:rsidR="007E745F" w:rsidSect="00735BB7">
          <w:footerReference w:type="default" r:id="rId16"/>
          <w:pgSz w:w="11906" w:h="16838" w:code="9"/>
          <w:pgMar w:top="1021" w:right="907" w:bottom="851" w:left="907" w:header="851" w:footer="454" w:gutter="0"/>
          <w:pgBorders w:offsetFrom="page">
            <w:top w:val="single" w:sz="48" w:space="0" w:color="507CB9"/>
            <w:left w:val="single" w:sz="48" w:space="0" w:color="507CB9"/>
            <w:bottom w:val="single" w:sz="48" w:space="0" w:color="507CB9"/>
            <w:right w:val="single" w:sz="48" w:space="0" w:color="507CB9"/>
          </w:pgBorders>
          <w:cols w:space="709"/>
          <w:titlePg/>
          <w:docGrid w:linePitch="360"/>
        </w:sectPr>
      </w:pPr>
    </w:p>
    <w:p w14:paraId="3C2D9357" w14:textId="5765BAD9" w:rsidR="0093321B" w:rsidRPr="00602105" w:rsidRDefault="0093321B" w:rsidP="0093321B">
      <w:pPr>
        <w:pStyle w:val="Caption"/>
        <w:keepNext/>
        <w:rPr>
          <w:color w:val="4875B2"/>
          <w:sz w:val="20"/>
          <w:szCs w:val="20"/>
        </w:rPr>
      </w:pPr>
      <w:r w:rsidRPr="00602105">
        <w:rPr>
          <w:color w:val="4875B2"/>
          <w:sz w:val="20"/>
          <w:szCs w:val="20"/>
        </w:rPr>
        <w:lastRenderedPageBreak/>
        <w:t xml:space="preserve">Table </w:t>
      </w:r>
      <w:r w:rsidRPr="00602105">
        <w:rPr>
          <w:color w:val="4875B2"/>
          <w:sz w:val="20"/>
          <w:szCs w:val="20"/>
        </w:rPr>
        <w:fldChar w:fldCharType="begin"/>
      </w:r>
      <w:r w:rsidRPr="00602105">
        <w:rPr>
          <w:color w:val="4875B2"/>
          <w:sz w:val="20"/>
          <w:szCs w:val="20"/>
        </w:rPr>
        <w:instrText xml:space="preserve"> SEQ Table \* ARABIC </w:instrText>
      </w:r>
      <w:r w:rsidRPr="00602105">
        <w:rPr>
          <w:color w:val="4875B2"/>
          <w:sz w:val="20"/>
          <w:szCs w:val="20"/>
        </w:rPr>
        <w:fldChar w:fldCharType="separate"/>
      </w:r>
      <w:r w:rsidRPr="00602105">
        <w:rPr>
          <w:noProof/>
          <w:color w:val="4875B2"/>
          <w:sz w:val="20"/>
          <w:szCs w:val="20"/>
        </w:rPr>
        <w:t>2</w:t>
      </w:r>
      <w:r w:rsidRPr="00602105">
        <w:rPr>
          <w:color w:val="4875B2"/>
          <w:sz w:val="20"/>
          <w:szCs w:val="20"/>
        </w:rPr>
        <w:fldChar w:fldCharType="end"/>
      </w:r>
      <w:r w:rsidRPr="00602105">
        <w:rPr>
          <w:color w:val="4875B2"/>
          <w:sz w:val="20"/>
          <w:szCs w:val="20"/>
        </w:rPr>
        <w:t>. Findings and recommendations</w:t>
      </w:r>
    </w:p>
    <w:tbl>
      <w:tblPr>
        <w:tblStyle w:val="TableGridLight"/>
        <w:tblW w:w="0" w:type="auto"/>
        <w:tblLook w:val="04A0" w:firstRow="1" w:lastRow="0" w:firstColumn="1" w:lastColumn="0" w:noHBand="0" w:noVBand="1"/>
      </w:tblPr>
      <w:tblGrid>
        <w:gridCol w:w="3882"/>
        <w:gridCol w:w="5406"/>
        <w:gridCol w:w="1492"/>
        <w:gridCol w:w="2921"/>
        <w:gridCol w:w="1313"/>
      </w:tblGrid>
      <w:tr w:rsidR="00084FC1" w:rsidRPr="002913BA" w14:paraId="26117AF2" w14:textId="77777777" w:rsidTr="00741ABF">
        <w:trPr>
          <w:tblHeader/>
        </w:trPr>
        <w:tc>
          <w:tcPr>
            <w:tcW w:w="0" w:type="auto"/>
            <w:shd w:val="clear" w:color="auto" w:fill="002060"/>
            <w:hideMark/>
          </w:tcPr>
          <w:p w14:paraId="15671F59" w14:textId="77777777" w:rsidR="00084FC1" w:rsidRPr="002913BA" w:rsidRDefault="00084FC1" w:rsidP="002913BA">
            <w:pPr>
              <w:spacing w:before="0" w:after="0"/>
              <w:rPr>
                <w:rFonts w:cstheme="minorHAnsi"/>
                <w:b/>
                <w:bCs/>
                <w:color w:val="FFFFFF" w:themeColor="background1"/>
                <w:sz w:val="18"/>
                <w:szCs w:val="18"/>
              </w:rPr>
            </w:pPr>
            <w:r w:rsidRPr="002913BA">
              <w:rPr>
                <w:rFonts w:cstheme="minorHAnsi"/>
                <w:b/>
                <w:bCs/>
                <w:color w:val="FFFFFF" w:themeColor="background1"/>
                <w:sz w:val="18"/>
                <w:szCs w:val="18"/>
              </w:rPr>
              <w:t>Finding</w:t>
            </w:r>
          </w:p>
        </w:tc>
        <w:tc>
          <w:tcPr>
            <w:tcW w:w="0" w:type="auto"/>
            <w:shd w:val="clear" w:color="auto" w:fill="002060"/>
            <w:hideMark/>
          </w:tcPr>
          <w:p w14:paraId="302A67A2" w14:textId="77777777" w:rsidR="00084FC1" w:rsidRPr="002913BA" w:rsidRDefault="00084FC1" w:rsidP="002913BA">
            <w:pPr>
              <w:spacing w:before="0" w:after="0"/>
              <w:rPr>
                <w:rFonts w:cstheme="minorHAnsi"/>
                <w:b/>
                <w:bCs/>
                <w:color w:val="FFFFFF" w:themeColor="background1"/>
                <w:sz w:val="18"/>
                <w:szCs w:val="18"/>
              </w:rPr>
            </w:pPr>
            <w:r w:rsidRPr="002913BA">
              <w:rPr>
                <w:rFonts w:cstheme="minorHAnsi"/>
                <w:b/>
                <w:bCs/>
                <w:color w:val="FFFFFF" w:themeColor="background1"/>
                <w:sz w:val="18"/>
                <w:szCs w:val="18"/>
              </w:rPr>
              <w:t>Recommendation</w:t>
            </w:r>
          </w:p>
        </w:tc>
        <w:tc>
          <w:tcPr>
            <w:tcW w:w="0" w:type="auto"/>
            <w:shd w:val="clear" w:color="auto" w:fill="002060"/>
            <w:hideMark/>
          </w:tcPr>
          <w:p w14:paraId="65D68492" w14:textId="77777777" w:rsidR="00084FC1" w:rsidRPr="002913BA" w:rsidRDefault="00084FC1" w:rsidP="002913BA">
            <w:pPr>
              <w:spacing w:before="0" w:after="0"/>
              <w:rPr>
                <w:rFonts w:cstheme="minorHAnsi"/>
                <w:b/>
                <w:bCs/>
                <w:color w:val="FFFFFF" w:themeColor="background1"/>
                <w:sz w:val="18"/>
                <w:szCs w:val="18"/>
              </w:rPr>
            </w:pPr>
            <w:r w:rsidRPr="002913BA">
              <w:rPr>
                <w:rFonts w:cstheme="minorHAnsi"/>
                <w:b/>
                <w:bCs/>
                <w:color w:val="FFFFFF" w:themeColor="background1"/>
                <w:sz w:val="18"/>
                <w:szCs w:val="18"/>
              </w:rPr>
              <w:t>Classification</w:t>
            </w:r>
          </w:p>
        </w:tc>
        <w:tc>
          <w:tcPr>
            <w:tcW w:w="0" w:type="auto"/>
            <w:shd w:val="clear" w:color="auto" w:fill="002060"/>
            <w:hideMark/>
          </w:tcPr>
          <w:p w14:paraId="71A8C342" w14:textId="77777777" w:rsidR="00084FC1" w:rsidRPr="002913BA" w:rsidRDefault="00084FC1" w:rsidP="002913BA">
            <w:pPr>
              <w:spacing w:before="0" w:after="0"/>
              <w:rPr>
                <w:rFonts w:cstheme="minorHAnsi"/>
                <w:b/>
                <w:bCs/>
                <w:color w:val="FFFFFF" w:themeColor="background1"/>
                <w:sz w:val="18"/>
                <w:szCs w:val="18"/>
              </w:rPr>
            </w:pPr>
            <w:r w:rsidRPr="002913BA">
              <w:rPr>
                <w:rFonts w:cstheme="minorHAnsi"/>
                <w:b/>
                <w:bCs/>
                <w:color w:val="FFFFFF" w:themeColor="background1"/>
                <w:sz w:val="18"/>
                <w:szCs w:val="18"/>
              </w:rPr>
              <w:t>Lead / partners</w:t>
            </w:r>
          </w:p>
        </w:tc>
        <w:tc>
          <w:tcPr>
            <w:tcW w:w="0" w:type="auto"/>
            <w:shd w:val="clear" w:color="auto" w:fill="002060"/>
            <w:hideMark/>
          </w:tcPr>
          <w:p w14:paraId="72579C3B" w14:textId="2E204A5D" w:rsidR="00084FC1" w:rsidRPr="002913BA" w:rsidRDefault="005F398D" w:rsidP="002913BA">
            <w:pPr>
              <w:spacing w:before="0" w:after="0"/>
              <w:rPr>
                <w:rFonts w:cstheme="minorHAnsi"/>
                <w:b/>
                <w:bCs/>
                <w:color w:val="FFFFFF" w:themeColor="background1"/>
                <w:sz w:val="18"/>
                <w:szCs w:val="18"/>
              </w:rPr>
            </w:pPr>
            <w:r w:rsidRPr="002913BA">
              <w:rPr>
                <w:rFonts w:cstheme="minorHAnsi"/>
                <w:b/>
                <w:bCs/>
                <w:color w:val="FFFFFF" w:themeColor="background1"/>
                <w:sz w:val="18"/>
                <w:szCs w:val="18"/>
              </w:rPr>
              <w:t>P</w:t>
            </w:r>
            <w:r w:rsidR="00084FC1" w:rsidRPr="002913BA">
              <w:rPr>
                <w:rFonts w:cstheme="minorHAnsi"/>
                <w:b/>
                <w:bCs/>
                <w:color w:val="FFFFFF" w:themeColor="background1"/>
                <w:sz w:val="18"/>
                <w:szCs w:val="18"/>
              </w:rPr>
              <w:t>riority</w:t>
            </w:r>
          </w:p>
        </w:tc>
      </w:tr>
      <w:tr w:rsidR="00084FC1" w:rsidRPr="002913BA" w14:paraId="6B687F8E" w14:textId="77777777" w:rsidTr="00741ABF">
        <w:tc>
          <w:tcPr>
            <w:tcW w:w="0" w:type="auto"/>
            <w:hideMark/>
          </w:tcPr>
          <w:p w14:paraId="4579ABDA" w14:textId="6166F275" w:rsidR="00084FC1" w:rsidRPr="002913BA" w:rsidRDefault="00084FC1" w:rsidP="002913BA">
            <w:pPr>
              <w:spacing w:before="0" w:after="0"/>
              <w:rPr>
                <w:rFonts w:cstheme="minorHAnsi"/>
                <w:sz w:val="18"/>
                <w:szCs w:val="18"/>
              </w:rPr>
            </w:pPr>
            <w:r w:rsidRPr="002913BA">
              <w:rPr>
                <w:rFonts w:cstheme="minorHAnsi"/>
                <w:b/>
                <w:bCs/>
                <w:sz w:val="18"/>
                <w:szCs w:val="18"/>
              </w:rPr>
              <w:t>F1.</w:t>
            </w:r>
            <w:r w:rsidRPr="002913BA">
              <w:rPr>
                <w:rFonts w:cstheme="minorHAnsi"/>
                <w:sz w:val="18"/>
                <w:szCs w:val="18"/>
              </w:rPr>
              <w:t xml:space="preserve"> ASIPS+ remains fit for purpose. The EOFOs and IOs remain relevant, but the facility has reached an inflection point as demand, commitments and operating pressure have grown beyond original design assumptions.</w:t>
            </w:r>
          </w:p>
        </w:tc>
        <w:tc>
          <w:tcPr>
            <w:tcW w:w="0" w:type="auto"/>
            <w:hideMark/>
          </w:tcPr>
          <w:p w14:paraId="67C2A24F" w14:textId="3787A61F" w:rsidR="00084FC1" w:rsidRPr="002913BA" w:rsidRDefault="00084FC1" w:rsidP="002913BA">
            <w:pPr>
              <w:spacing w:before="0" w:after="0"/>
              <w:rPr>
                <w:rFonts w:cstheme="minorHAnsi"/>
                <w:sz w:val="18"/>
                <w:szCs w:val="18"/>
              </w:rPr>
            </w:pPr>
            <w:r w:rsidRPr="002913BA">
              <w:rPr>
                <w:rFonts w:cstheme="minorHAnsi"/>
                <w:b/>
                <w:bCs/>
                <w:sz w:val="18"/>
                <w:szCs w:val="18"/>
              </w:rPr>
              <w:t>R1. Finalise headroom, scope and future pathway decisions.</w:t>
            </w:r>
            <w:r w:rsidRPr="002913BA">
              <w:rPr>
                <w:rFonts w:cstheme="minorHAnsi"/>
                <w:sz w:val="18"/>
                <w:szCs w:val="18"/>
              </w:rPr>
              <w:t xml:space="preserve"> Continue modelling expenditure and commitment headroom, including constrained-demand, plateau-growth and restricted-funding scenarios that maintain fiscal space to respond to emerging opportunities. Confirm the facility’s scope for the remainder of Phase 1 and the FSU capability required to protect responsiveness, quality, risk management and value for money.</w:t>
            </w:r>
          </w:p>
        </w:tc>
        <w:tc>
          <w:tcPr>
            <w:tcW w:w="0" w:type="auto"/>
            <w:hideMark/>
          </w:tcPr>
          <w:p w14:paraId="30D9A1EB" w14:textId="77777777" w:rsidR="00084FC1" w:rsidRPr="002913BA" w:rsidRDefault="00084FC1" w:rsidP="002913BA">
            <w:pPr>
              <w:spacing w:before="0" w:after="0"/>
              <w:rPr>
                <w:rFonts w:cstheme="minorHAnsi"/>
                <w:sz w:val="18"/>
                <w:szCs w:val="18"/>
              </w:rPr>
            </w:pPr>
            <w:r w:rsidRPr="002913BA">
              <w:rPr>
                <w:rFonts w:cstheme="minorHAnsi"/>
                <w:sz w:val="18"/>
                <w:szCs w:val="18"/>
              </w:rPr>
              <w:t>Strategic</w:t>
            </w:r>
          </w:p>
        </w:tc>
        <w:tc>
          <w:tcPr>
            <w:tcW w:w="0" w:type="auto"/>
            <w:hideMark/>
          </w:tcPr>
          <w:p w14:paraId="28257975" w14:textId="77777777" w:rsidR="00084FC1" w:rsidRPr="002913BA" w:rsidRDefault="00084FC1" w:rsidP="002913BA">
            <w:pPr>
              <w:spacing w:before="0" w:after="0"/>
              <w:rPr>
                <w:rFonts w:cstheme="minorHAnsi"/>
                <w:sz w:val="18"/>
                <w:szCs w:val="18"/>
              </w:rPr>
            </w:pPr>
            <w:r w:rsidRPr="002913BA">
              <w:rPr>
                <w:rFonts w:cstheme="minorHAnsi"/>
                <w:sz w:val="18"/>
                <w:szCs w:val="18"/>
              </w:rPr>
              <w:t>DFAT FIMT; SOG; AHC senior leadership; ASIPS+ Director; DT Global; DFAT Canberra as required</w:t>
            </w:r>
          </w:p>
        </w:tc>
        <w:tc>
          <w:tcPr>
            <w:tcW w:w="0" w:type="auto"/>
            <w:hideMark/>
          </w:tcPr>
          <w:p w14:paraId="40B1431D" w14:textId="77777777" w:rsidR="00084FC1" w:rsidRPr="002913BA" w:rsidRDefault="00084FC1" w:rsidP="002913BA">
            <w:pPr>
              <w:spacing w:before="0" w:after="0"/>
              <w:rPr>
                <w:rFonts w:cstheme="minorHAnsi"/>
                <w:sz w:val="18"/>
                <w:szCs w:val="18"/>
              </w:rPr>
            </w:pPr>
            <w:r w:rsidRPr="002913BA">
              <w:rPr>
                <w:rFonts w:cstheme="minorHAnsi"/>
                <w:sz w:val="18"/>
                <w:szCs w:val="18"/>
              </w:rPr>
              <w:t>Immediate / Critical</w:t>
            </w:r>
          </w:p>
        </w:tc>
      </w:tr>
      <w:tr w:rsidR="00084FC1" w:rsidRPr="002913BA" w14:paraId="0288F5C2" w14:textId="77777777" w:rsidTr="00741ABF">
        <w:tc>
          <w:tcPr>
            <w:tcW w:w="0" w:type="auto"/>
            <w:hideMark/>
          </w:tcPr>
          <w:p w14:paraId="22F26A7E" w14:textId="77777777" w:rsidR="00084FC1" w:rsidRPr="002913BA" w:rsidRDefault="00084FC1" w:rsidP="002913BA">
            <w:pPr>
              <w:spacing w:before="0" w:after="0"/>
              <w:rPr>
                <w:rFonts w:cstheme="minorHAnsi"/>
                <w:sz w:val="18"/>
                <w:szCs w:val="18"/>
              </w:rPr>
            </w:pPr>
            <w:r w:rsidRPr="002913BA">
              <w:rPr>
                <w:rFonts w:cstheme="minorHAnsi"/>
                <w:b/>
                <w:bCs/>
                <w:sz w:val="18"/>
                <w:szCs w:val="18"/>
              </w:rPr>
              <w:t>F2.</w:t>
            </w:r>
            <w:r w:rsidRPr="002913BA">
              <w:rPr>
                <w:rFonts w:cstheme="minorHAnsi"/>
                <w:sz w:val="18"/>
                <w:szCs w:val="18"/>
              </w:rPr>
              <w:t xml:space="preserve"> ASIPS+ is on track to achieve EOFO1, but its quality programming system is still being embedded across the SO portfolio.</w:t>
            </w:r>
          </w:p>
        </w:tc>
        <w:tc>
          <w:tcPr>
            <w:tcW w:w="0" w:type="auto"/>
            <w:hideMark/>
          </w:tcPr>
          <w:p w14:paraId="48EC19A6" w14:textId="77777777" w:rsidR="00084FC1" w:rsidRPr="002913BA" w:rsidRDefault="00084FC1" w:rsidP="002913BA">
            <w:pPr>
              <w:spacing w:before="0" w:after="0"/>
              <w:rPr>
                <w:rFonts w:cstheme="minorHAnsi"/>
                <w:sz w:val="18"/>
                <w:szCs w:val="18"/>
              </w:rPr>
            </w:pPr>
            <w:r w:rsidRPr="002913BA">
              <w:rPr>
                <w:rFonts w:cstheme="minorHAnsi"/>
                <w:b/>
                <w:bCs/>
                <w:sz w:val="18"/>
                <w:szCs w:val="18"/>
              </w:rPr>
              <w:t>R2. Complete portfolio-wide roll-out of DEH quality programming tools.</w:t>
            </w:r>
            <w:r w:rsidRPr="002913BA">
              <w:rPr>
                <w:rFonts w:cstheme="minorHAnsi"/>
                <w:sz w:val="18"/>
                <w:szCs w:val="18"/>
              </w:rPr>
              <w:t xml:space="preserve"> Apply implementation profiling to all new SOs and assignments and calibrate FSU support to SO type, delivery role, risk and complexity. Larger or more complex SOs should include dedicated operational capacity where required; smaller SOs should have predictable access to shared services and DEH support.</w:t>
            </w:r>
          </w:p>
        </w:tc>
        <w:tc>
          <w:tcPr>
            <w:tcW w:w="0" w:type="auto"/>
            <w:hideMark/>
          </w:tcPr>
          <w:p w14:paraId="24A0BFC9" w14:textId="77777777" w:rsidR="00084FC1" w:rsidRPr="002913BA" w:rsidRDefault="00084FC1" w:rsidP="002913BA">
            <w:pPr>
              <w:spacing w:before="0" w:after="0"/>
              <w:rPr>
                <w:rFonts w:cstheme="minorHAnsi"/>
                <w:sz w:val="18"/>
                <w:szCs w:val="18"/>
              </w:rPr>
            </w:pPr>
            <w:r w:rsidRPr="002913BA">
              <w:rPr>
                <w:rFonts w:cstheme="minorHAnsi"/>
                <w:sz w:val="18"/>
                <w:szCs w:val="18"/>
              </w:rPr>
              <w:t>Operational</w:t>
            </w:r>
          </w:p>
        </w:tc>
        <w:tc>
          <w:tcPr>
            <w:tcW w:w="0" w:type="auto"/>
            <w:hideMark/>
          </w:tcPr>
          <w:p w14:paraId="45EA4AA0" w14:textId="77777777" w:rsidR="00084FC1" w:rsidRPr="002913BA" w:rsidRDefault="00084FC1" w:rsidP="002913BA">
            <w:pPr>
              <w:spacing w:before="0" w:after="0"/>
              <w:rPr>
                <w:rFonts w:cstheme="minorHAnsi"/>
                <w:sz w:val="18"/>
                <w:szCs w:val="18"/>
              </w:rPr>
            </w:pPr>
            <w:r w:rsidRPr="002913BA">
              <w:rPr>
                <w:rFonts w:cstheme="minorHAnsi"/>
                <w:sz w:val="18"/>
                <w:szCs w:val="18"/>
              </w:rPr>
              <w:t>ASIPS+ DEH/MEL; SO Leads; DFAT SO Managers; FSU Business Units; FIMT</w:t>
            </w:r>
          </w:p>
        </w:tc>
        <w:tc>
          <w:tcPr>
            <w:tcW w:w="0" w:type="auto"/>
            <w:hideMark/>
          </w:tcPr>
          <w:p w14:paraId="483DB657" w14:textId="77777777" w:rsidR="00084FC1" w:rsidRPr="002913BA" w:rsidRDefault="00084FC1" w:rsidP="002913BA">
            <w:pPr>
              <w:spacing w:before="0" w:after="0"/>
              <w:rPr>
                <w:rFonts w:cstheme="minorHAnsi"/>
                <w:sz w:val="18"/>
                <w:szCs w:val="18"/>
              </w:rPr>
            </w:pPr>
            <w:r w:rsidRPr="002913BA">
              <w:rPr>
                <w:rFonts w:cstheme="minorHAnsi"/>
                <w:sz w:val="18"/>
                <w:szCs w:val="18"/>
              </w:rPr>
              <w:t>2026 / High</w:t>
            </w:r>
          </w:p>
        </w:tc>
      </w:tr>
      <w:tr w:rsidR="00084FC1" w:rsidRPr="002913BA" w14:paraId="69E68ABE" w14:textId="77777777" w:rsidTr="00741ABF">
        <w:tc>
          <w:tcPr>
            <w:tcW w:w="0" w:type="auto"/>
            <w:hideMark/>
          </w:tcPr>
          <w:p w14:paraId="638133D0" w14:textId="77777777" w:rsidR="00084FC1" w:rsidRPr="002913BA" w:rsidRDefault="00084FC1" w:rsidP="002913BA">
            <w:pPr>
              <w:spacing w:before="0" w:after="0"/>
              <w:rPr>
                <w:rFonts w:cstheme="minorHAnsi"/>
                <w:sz w:val="18"/>
                <w:szCs w:val="18"/>
              </w:rPr>
            </w:pPr>
            <w:r w:rsidRPr="002913BA">
              <w:rPr>
                <w:rFonts w:cstheme="minorHAnsi"/>
                <w:b/>
                <w:bCs/>
                <w:sz w:val="18"/>
                <w:szCs w:val="18"/>
              </w:rPr>
              <w:t>F3.</w:t>
            </w:r>
            <w:r w:rsidRPr="002913BA">
              <w:rPr>
                <w:rFonts w:cstheme="minorHAnsi"/>
                <w:sz w:val="18"/>
                <w:szCs w:val="18"/>
              </w:rPr>
              <w:t xml:space="preserve"> ASIPS+ is making good progress towards EOFO2 and is on track to achieve it by the end of Phase 1. However, fragmented data and incomplete system integration limit real-time visibility across procurement, finance, HR, risk, MEL and SO performance.</w:t>
            </w:r>
          </w:p>
        </w:tc>
        <w:tc>
          <w:tcPr>
            <w:tcW w:w="0" w:type="auto"/>
            <w:hideMark/>
          </w:tcPr>
          <w:p w14:paraId="6EADB157" w14:textId="77777777" w:rsidR="00084FC1" w:rsidRPr="002913BA" w:rsidRDefault="00084FC1" w:rsidP="002913BA">
            <w:pPr>
              <w:spacing w:before="0" w:after="0"/>
              <w:rPr>
                <w:rFonts w:cstheme="minorHAnsi"/>
                <w:sz w:val="18"/>
                <w:szCs w:val="18"/>
              </w:rPr>
            </w:pPr>
            <w:r w:rsidRPr="002913BA">
              <w:rPr>
                <w:rFonts w:cstheme="minorHAnsi"/>
                <w:b/>
                <w:bCs/>
                <w:sz w:val="18"/>
                <w:szCs w:val="18"/>
              </w:rPr>
              <w:t>R3. Prioritise integrated management information systems.</w:t>
            </w:r>
            <w:r w:rsidRPr="002913BA">
              <w:rPr>
                <w:rFonts w:cstheme="minorHAnsi"/>
                <w:sz w:val="18"/>
                <w:szCs w:val="18"/>
              </w:rPr>
              <w:t xml:space="preserve"> Integrate program management, HR, procurement, finance, risk, MEL and reporting data into a single or interoperable system to improve visibility of SO status, transaction pipelines, service standards and delays.</w:t>
            </w:r>
          </w:p>
        </w:tc>
        <w:tc>
          <w:tcPr>
            <w:tcW w:w="0" w:type="auto"/>
            <w:hideMark/>
          </w:tcPr>
          <w:p w14:paraId="18793D56" w14:textId="77777777" w:rsidR="00084FC1" w:rsidRPr="002913BA" w:rsidRDefault="00084FC1" w:rsidP="002913BA">
            <w:pPr>
              <w:spacing w:before="0" w:after="0"/>
              <w:rPr>
                <w:rFonts w:cstheme="minorHAnsi"/>
                <w:sz w:val="18"/>
                <w:szCs w:val="18"/>
              </w:rPr>
            </w:pPr>
            <w:r w:rsidRPr="002913BA">
              <w:rPr>
                <w:rFonts w:cstheme="minorHAnsi"/>
                <w:sz w:val="18"/>
                <w:szCs w:val="18"/>
              </w:rPr>
              <w:t>Operational</w:t>
            </w:r>
          </w:p>
        </w:tc>
        <w:tc>
          <w:tcPr>
            <w:tcW w:w="0" w:type="auto"/>
            <w:hideMark/>
          </w:tcPr>
          <w:p w14:paraId="7E32C0EA" w14:textId="77777777" w:rsidR="00084FC1" w:rsidRPr="002913BA" w:rsidRDefault="00084FC1" w:rsidP="002913BA">
            <w:pPr>
              <w:spacing w:before="0" w:after="0"/>
              <w:rPr>
                <w:rFonts w:cstheme="minorHAnsi"/>
                <w:sz w:val="18"/>
                <w:szCs w:val="18"/>
              </w:rPr>
            </w:pPr>
            <w:r w:rsidRPr="002913BA">
              <w:rPr>
                <w:rFonts w:cstheme="minorHAnsi"/>
                <w:sz w:val="18"/>
                <w:szCs w:val="18"/>
              </w:rPr>
              <w:t>ASIPS+ Operations; HR; Finance; Procurement; MEL; DT Global systems support; FIMT</w:t>
            </w:r>
          </w:p>
        </w:tc>
        <w:tc>
          <w:tcPr>
            <w:tcW w:w="0" w:type="auto"/>
            <w:hideMark/>
          </w:tcPr>
          <w:p w14:paraId="7C1FC571" w14:textId="77777777" w:rsidR="00084FC1" w:rsidRPr="002913BA" w:rsidRDefault="00084FC1" w:rsidP="002913BA">
            <w:pPr>
              <w:spacing w:before="0" w:after="0"/>
              <w:rPr>
                <w:rFonts w:cstheme="minorHAnsi"/>
                <w:sz w:val="18"/>
                <w:szCs w:val="18"/>
              </w:rPr>
            </w:pPr>
            <w:r w:rsidRPr="002913BA">
              <w:rPr>
                <w:rFonts w:cstheme="minorHAnsi"/>
                <w:sz w:val="18"/>
                <w:szCs w:val="18"/>
              </w:rPr>
              <w:t>2026 / High</w:t>
            </w:r>
          </w:p>
        </w:tc>
      </w:tr>
      <w:tr w:rsidR="00084FC1" w:rsidRPr="002913BA" w14:paraId="3F5800E3" w14:textId="77777777" w:rsidTr="00741ABF">
        <w:tc>
          <w:tcPr>
            <w:tcW w:w="0" w:type="auto"/>
            <w:hideMark/>
          </w:tcPr>
          <w:p w14:paraId="4C657D41" w14:textId="77777777" w:rsidR="00084FC1" w:rsidRPr="002913BA" w:rsidRDefault="00084FC1" w:rsidP="002913BA">
            <w:pPr>
              <w:spacing w:before="0" w:after="0"/>
              <w:rPr>
                <w:rFonts w:cstheme="minorHAnsi"/>
                <w:sz w:val="18"/>
                <w:szCs w:val="18"/>
              </w:rPr>
            </w:pPr>
            <w:r w:rsidRPr="002913BA">
              <w:rPr>
                <w:rFonts w:cstheme="minorHAnsi"/>
                <w:b/>
                <w:bCs/>
                <w:sz w:val="18"/>
                <w:szCs w:val="18"/>
              </w:rPr>
              <w:t>F3. Same finding as above.</w:t>
            </w:r>
          </w:p>
        </w:tc>
        <w:tc>
          <w:tcPr>
            <w:tcW w:w="0" w:type="auto"/>
            <w:hideMark/>
          </w:tcPr>
          <w:p w14:paraId="6C830578" w14:textId="72F2A82E" w:rsidR="00084FC1" w:rsidRPr="002913BA" w:rsidRDefault="00084FC1" w:rsidP="002913BA">
            <w:pPr>
              <w:spacing w:before="0" w:after="0"/>
              <w:rPr>
                <w:rFonts w:cstheme="minorHAnsi"/>
                <w:sz w:val="18"/>
                <w:szCs w:val="18"/>
              </w:rPr>
            </w:pPr>
            <w:r w:rsidRPr="002913BA">
              <w:rPr>
                <w:rFonts w:cstheme="minorHAnsi"/>
                <w:b/>
                <w:bCs/>
                <w:sz w:val="18"/>
                <w:szCs w:val="18"/>
              </w:rPr>
              <w:t>R4. Strengthen SOG exception reporting for delayed or off-track SOs and high-pressure transactions.</w:t>
            </w:r>
            <w:r w:rsidRPr="002913BA">
              <w:rPr>
                <w:rFonts w:cstheme="minorHAnsi"/>
                <w:sz w:val="18"/>
                <w:szCs w:val="18"/>
              </w:rPr>
              <w:t xml:space="preserve"> Include in SOG reporting where new SOs under development exceed planned SO lifecycle timeframes, payments exceed agreed terms, SOs are off track or delayed, or other practices place additional pressure on facility systems. Use this reporting to support earlier management action and more efficient use of </w:t>
            </w:r>
            <w:r w:rsidR="005F398D" w:rsidRPr="002913BA">
              <w:rPr>
                <w:rFonts w:cstheme="minorHAnsi"/>
                <w:sz w:val="18"/>
                <w:szCs w:val="18"/>
              </w:rPr>
              <w:t>f</w:t>
            </w:r>
            <w:r w:rsidRPr="002913BA">
              <w:rPr>
                <w:rFonts w:cstheme="minorHAnsi"/>
                <w:sz w:val="18"/>
                <w:szCs w:val="18"/>
              </w:rPr>
              <w:t>acility resources.</w:t>
            </w:r>
          </w:p>
        </w:tc>
        <w:tc>
          <w:tcPr>
            <w:tcW w:w="0" w:type="auto"/>
            <w:hideMark/>
          </w:tcPr>
          <w:p w14:paraId="7975CB25" w14:textId="77777777" w:rsidR="00084FC1" w:rsidRPr="002913BA" w:rsidRDefault="00084FC1" w:rsidP="002913BA">
            <w:pPr>
              <w:spacing w:before="0" w:after="0"/>
              <w:rPr>
                <w:rFonts w:cstheme="minorHAnsi"/>
                <w:sz w:val="18"/>
                <w:szCs w:val="18"/>
              </w:rPr>
            </w:pPr>
            <w:r w:rsidRPr="002913BA">
              <w:rPr>
                <w:rFonts w:cstheme="minorHAnsi"/>
                <w:sz w:val="18"/>
                <w:szCs w:val="18"/>
              </w:rPr>
              <w:t>Operational / governance</w:t>
            </w:r>
          </w:p>
        </w:tc>
        <w:tc>
          <w:tcPr>
            <w:tcW w:w="0" w:type="auto"/>
            <w:hideMark/>
          </w:tcPr>
          <w:p w14:paraId="36FF42B4" w14:textId="77777777" w:rsidR="00084FC1" w:rsidRPr="002913BA" w:rsidRDefault="00084FC1" w:rsidP="002913BA">
            <w:pPr>
              <w:spacing w:before="0" w:after="0"/>
              <w:rPr>
                <w:rFonts w:cstheme="minorHAnsi"/>
                <w:sz w:val="18"/>
                <w:szCs w:val="18"/>
              </w:rPr>
            </w:pPr>
            <w:r w:rsidRPr="002913BA">
              <w:rPr>
                <w:rFonts w:cstheme="minorHAnsi"/>
                <w:sz w:val="18"/>
                <w:szCs w:val="18"/>
              </w:rPr>
              <w:t>ASIPS+ Director; FIMT; SOG; FSU Business Units; DFAT SO Managers</w:t>
            </w:r>
          </w:p>
        </w:tc>
        <w:tc>
          <w:tcPr>
            <w:tcW w:w="0" w:type="auto"/>
            <w:hideMark/>
          </w:tcPr>
          <w:p w14:paraId="79AEBB65" w14:textId="77777777" w:rsidR="00084FC1" w:rsidRPr="002913BA" w:rsidRDefault="00084FC1" w:rsidP="002913BA">
            <w:pPr>
              <w:spacing w:before="0" w:after="0"/>
              <w:rPr>
                <w:rFonts w:cstheme="minorHAnsi"/>
                <w:sz w:val="18"/>
                <w:szCs w:val="18"/>
              </w:rPr>
            </w:pPr>
            <w:r w:rsidRPr="002913BA">
              <w:rPr>
                <w:rFonts w:cstheme="minorHAnsi"/>
                <w:sz w:val="18"/>
                <w:szCs w:val="18"/>
              </w:rPr>
              <w:t>Immediate / High</w:t>
            </w:r>
          </w:p>
        </w:tc>
      </w:tr>
      <w:tr w:rsidR="00084FC1" w:rsidRPr="00E90338" w14:paraId="0E89748D" w14:textId="77777777" w:rsidTr="00741ABF">
        <w:tc>
          <w:tcPr>
            <w:tcW w:w="0" w:type="auto"/>
            <w:hideMark/>
          </w:tcPr>
          <w:p w14:paraId="2E26CD39" w14:textId="7E3AFB43" w:rsidR="00084FC1" w:rsidRPr="002913BA" w:rsidRDefault="00084FC1" w:rsidP="002913BA">
            <w:pPr>
              <w:spacing w:before="0" w:after="0"/>
              <w:rPr>
                <w:rFonts w:cstheme="minorHAnsi"/>
                <w:sz w:val="18"/>
                <w:szCs w:val="18"/>
              </w:rPr>
            </w:pPr>
            <w:r w:rsidRPr="002913BA">
              <w:rPr>
                <w:rFonts w:cstheme="minorHAnsi"/>
                <w:b/>
                <w:bCs/>
                <w:sz w:val="18"/>
                <w:szCs w:val="18"/>
              </w:rPr>
              <w:t>F4.</w:t>
            </w:r>
            <w:r w:rsidRPr="002913BA">
              <w:rPr>
                <w:rFonts w:cstheme="minorHAnsi"/>
                <w:sz w:val="18"/>
                <w:szCs w:val="18"/>
              </w:rPr>
              <w:t xml:space="preserve"> ASIPS+ has established a credible and increasingly operationalised </w:t>
            </w:r>
            <w:r w:rsidR="005F398D" w:rsidRPr="002913BA">
              <w:rPr>
                <w:rFonts w:cstheme="minorHAnsi"/>
                <w:sz w:val="18"/>
                <w:szCs w:val="18"/>
              </w:rPr>
              <w:t>f</w:t>
            </w:r>
            <w:r w:rsidRPr="002913BA">
              <w:rPr>
                <w:rFonts w:cstheme="minorHAnsi"/>
                <w:sz w:val="18"/>
                <w:szCs w:val="18"/>
              </w:rPr>
              <w:t>acility-wide approach to cross-cutting priorities.</w:t>
            </w:r>
          </w:p>
        </w:tc>
        <w:tc>
          <w:tcPr>
            <w:tcW w:w="0" w:type="auto"/>
            <w:hideMark/>
          </w:tcPr>
          <w:p w14:paraId="219BC57F" w14:textId="23E76993" w:rsidR="00084FC1" w:rsidRPr="002913BA" w:rsidRDefault="00084FC1" w:rsidP="002913BA">
            <w:pPr>
              <w:spacing w:before="0" w:after="0"/>
              <w:rPr>
                <w:rFonts w:cstheme="minorHAnsi"/>
                <w:sz w:val="18"/>
                <w:szCs w:val="18"/>
              </w:rPr>
            </w:pPr>
            <w:r w:rsidRPr="002913BA">
              <w:rPr>
                <w:rFonts w:cstheme="minorHAnsi"/>
                <w:b/>
                <w:bCs/>
                <w:sz w:val="18"/>
                <w:szCs w:val="18"/>
              </w:rPr>
              <w:t>R5. Rebalance cross-cutting support towards external-facing SO delivery.</w:t>
            </w:r>
            <w:r w:rsidRPr="002913BA">
              <w:rPr>
                <w:rFonts w:cstheme="minorHAnsi"/>
                <w:sz w:val="18"/>
                <w:szCs w:val="18"/>
              </w:rPr>
              <w:t xml:space="preserve"> Maintain internal </w:t>
            </w:r>
            <w:r w:rsidR="005F398D" w:rsidRPr="002913BA">
              <w:rPr>
                <w:rFonts w:cstheme="minorHAnsi"/>
                <w:sz w:val="18"/>
                <w:szCs w:val="18"/>
              </w:rPr>
              <w:t>f</w:t>
            </w:r>
            <w:r w:rsidRPr="002913BA">
              <w:rPr>
                <w:rFonts w:cstheme="minorHAnsi"/>
                <w:sz w:val="18"/>
                <w:szCs w:val="18"/>
              </w:rPr>
              <w:t>acility gains, particularly in gender equality, safeguarding and locally led development, while shifting more DEH and cross-cutting support towards SO design, implementation, MEL and learning. This should include targeted MEL support for smaller SOs working on inclusion where required.</w:t>
            </w:r>
          </w:p>
        </w:tc>
        <w:tc>
          <w:tcPr>
            <w:tcW w:w="0" w:type="auto"/>
            <w:hideMark/>
          </w:tcPr>
          <w:p w14:paraId="6FF45F0B" w14:textId="77777777" w:rsidR="00084FC1" w:rsidRPr="002913BA" w:rsidRDefault="00084FC1" w:rsidP="002913BA">
            <w:pPr>
              <w:spacing w:before="0" w:after="0"/>
              <w:rPr>
                <w:rFonts w:cstheme="minorHAnsi"/>
                <w:sz w:val="18"/>
                <w:szCs w:val="18"/>
              </w:rPr>
            </w:pPr>
            <w:r w:rsidRPr="002913BA">
              <w:rPr>
                <w:rFonts w:cstheme="minorHAnsi"/>
                <w:sz w:val="18"/>
                <w:szCs w:val="18"/>
              </w:rPr>
              <w:t>Operational</w:t>
            </w:r>
          </w:p>
        </w:tc>
        <w:tc>
          <w:tcPr>
            <w:tcW w:w="0" w:type="auto"/>
            <w:hideMark/>
          </w:tcPr>
          <w:p w14:paraId="0CEF14E5" w14:textId="77777777" w:rsidR="00084FC1" w:rsidRPr="002913BA" w:rsidRDefault="00084FC1" w:rsidP="002913BA">
            <w:pPr>
              <w:spacing w:before="0" w:after="0"/>
              <w:rPr>
                <w:rFonts w:cstheme="minorHAnsi"/>
                <w:sz w:val="18"/>
                <w:szCs w:val="18"/>
              </w:rPr>
            </w:pPr>
            <w:r w:rsidRPr="002913BA">
              <w:rPr>
                <w:rFonts w:cstheme="minorHAnsi"/>
                <w:sz w:val="18"/>
                <w:szCs w:val="18"/>
              </w:rPr>
              <w:t>ASIPS+ DEH; GEDSI, climate, safeguarding and MEL advisers; SO Leads; DFAT SO Managers; local partners</w:t>
            </w:r>
          </w:p>
        </w:tc>
        <w:tc>
          <w:tcPr>
            <w:tcW w:w="0" w:type="auto"/>
            <w:hideMark/>
          </w:tcPr>
          <w:p w14:paraId="4B015E3F" w14:textId="77777777" w:rsidR="00084FC1" w:rsidRPr="002913BA" w:rsidRDefault="00084FC1" w:rsidP="002913BA">
            <w:pPr>
              <w:spacing w:before="0" w:after="0"/>
              <w:rPr>
                <w:rFonts w:cstheme="minorHAnsi"/>
                <w:sz w:val="18"/>
                <w:szCs w:val="18"/>
              </w:rPr>
            </w:pPr>
            <w:r w:rsidRPr="002913BA">
              <w:rPr>
                <w:rFonts w:cstheme="minorHAnsi"/>
                <w:sz w:val="18"/>
                <w:szCs w:val="18"/>
              </w:rPr>
              <w:t>2026 / High</w:t>
            </w:r>
          </w:p>
        </w:tc>
      </w:tr>
      <w:tr w:rsidR="00084FC1" w:rsidRPr="002913BA" w14:paraId="7EE0DC2D" w14:textId="77777777" w:rsidTr="00741ABF">
        <w:tc>
          <w:tcPr>
            <w:tcW w:w="0" w:type="auto"/>
            <w:hideMark/>
          </w:tcPr>
          <w:p w14:paraId="4A48FAA5" w14:textId="77777777" w:rsidR="00084FC1" w:rsidRPr="002913BA" w:rsidRDefault="00084FC1" w:rsidP="002913BA">
            <w:pPr>
              <w:spacing w:before="0" w:after="0"/>
              <w:rPr>
                <w:rFonts w:cstheme="minorHAnsi"/>
                <w:sz w:val="18"/>
                <w:szCs w:val="18"/>
              </w:rPr>
            </w:pPr>
            <w:r w:rsidRPr="002913BA">
              <w:rPr>
                <w:rFonts w:cstheme="minorHAnsi"/>
                <w:b/>
                <w:bCs/>
                <w:sz w:val="18"/>
                <w:szCs w:val="18"/>
              </w:rPr>
              <w:t>F5.</w:t>
            </w:r>
            <w:r w:rsidRPr="002913BA">
              <w:rPr>
                <w:rFonts w:cstheme="minorHAnsi"/>
                <w:sz w:val="18"/>
                <w:szCs w:val="18"/>
              </w:rPr>
              <w:t xml:space="preserve"> Disability equity has a sound framework and promising examples, but disability budgeting, reasonable accommodation, disaggregated data and outcome tracking are not yet consistent.</w:t>
            </w:r>
          </w:p>
        </w:tc>
        <w:tc>
          <w:tcPr>
            <w:tcW w:w="0" w:type="auto"/>
            <w:hideMark/>
          </w:tcPr>
          <w:p w14:paraId="6CC47956" w14:textId="77777777" w:rsidR="00084FC1" w:rsidRPr="002913BA" w:rsidRDefault="00084FC1" w:rsidP="002913BA">
            <w:pPr>
              <w:spacing w:before="0" w:after="0"/>
              <w:rPr>
                <w:rFonts w:cstheme="minorHAnsi"/>
                <w:sz w:val="18"/>
                <w:szCs w:val="18"/>
              </w:rPr>
            </w:pPr>
            <w:r w:rsidRPr="002913BA">
              <w:rPr>
                <w:rFonts w:cstheme="minorHAnsi"/>
                <w:b/>
                <w:bCs/>
                <w:sz w:val="18"/>
                <w:szCs w:val="18"/>
              </w:rPr>
              <w:t>R6. Strengthen disability budgeting, data and outcome tracking in SOs.</w:t>
            </w:r>
            <w:r w:rsidRPr="002913BA">
              <w:rPr>
                <w:rFonts w:cstheme="minorHAnsi"/>
                <w:sz w:val="18"/>
                <w:szCs w:val="18"/>
              </w:rPr>
              <w:t xml:space="preserve"> Require relevant SOs to budget for reasonable accommodation, collect disability-disaggregated data where appropriate, and report whether disability inclusion actions enabled participation and benefits for people with disability.</w:t>
            </w:r>
          </w:p>
        </w:tc>
        <w:tc>
          <w:tcPr>
            <w:tcW w:w="0" w:type="auto"/>
            <w:hideMark/>
          </w:tcPr>
          <w:p w14:paraId="486FB993" w14:textId="77777777" w:rsidR="00084FC1" w:rsidRPr="002913BA" w:rsidRDefault="00084FC1" w:rsidP="002913BA">
            <w:pPr>
              <w:spacing w:before="0" w:after="0"/>
              <w:rPr>
                <w:rFonts w:cstheme="minorHAnsi"/>
                <w:sz w:val="18"/>
                <w:szCs w:val="18"/>
              </w:rPr>
            </w:pPr>
            <w:r w:rsidRPr="002913BA">
              <w:rPr>
                <w:rFonts w:cstheme="minorHAnsi"/>
                <w:sz w:val="18"/>
                <w:szCs w:val="18"/>
              </w:rPr>
              <w:t>Operational</w:t>
            </w:r>
          </w:p>
        </w:tc>
        <w:tc>
          <w:tcPr>
            <w:tcW w:w="0" w:type="auto"/>
            <w:hideMark/>
          </w:tcPr>
          <w:p w14:paraId="012F1472" w14:textId="77777777" w:rsidR="00084FC1" w:rsidRPr="002913BA" w:rsidRDefault="00084FC1" w:rsidP="002913BA">
            <w:pPr>
              <w:spacing w:before="0" w:after="0"/>
              <w:rPr>
                <w:rFonts w:cstheme="minorHAnsi"/>
                <w:sz w:val="18"/>
                <w:szCs w:val="18"/>
              </w:rPr>
            </w:pPr>
            <w:r w:rsidRPr="002913BA">
              <w:rPr>
                <w:rFonts w:cstheme="minorHAnsi"/>
                <w:sz w:val="18"/>
                <w:szCs w:val="18"/>
              </w:rPr>
              <w:t>ASIPS+ DEH/GEDSI; MEL; SO Leads; HR; Procurement; DFAT SO Managers</w:t>
            </w:r>
          </w:p>
        </w:tc>
        <w:tc>
          <w:tcPr>
            <w:tcW w:w="0" w:type="auto"/>
            <w:hideMark/>
          </w:tcPr>
          <w:p w14:paraId="06301D4E" w14:textId="77777777" w:rsidR="00084FC1" w:rsidRPr="002913BA" w:rsidRDefault="00084FC1" w:rsidP="002913BA">
            <w:pPr>
              <w:spacing w:before="0" w:after="0"/>
              <w:rPr>
                <w:rFonts w:cstheme="minorHAnsi"/>
                <w:sz w:val="18"/>
                <w:szCs w:val="18"/>
              </w:rPr>
            </w:pPr>
            <w:r w:rsidRPr="002913BA">
              <w:rPr>
                <w:rFonts w:cstheme="minorHAnsi"/>
                <w:sz w:val="18"/>
                <w:szCs w:val="18"/>
              </w:rPr>
              <w:t>2026 / Medium-high</w:t>
            </w:r>
          </w:p>
        </w:tc>
      </w:tr>
      <w:tr w:rsidR="00084FC1" w:rsidRPr="002913BA" w14:paraId="632183AD" w14:textId="77777777" w:rsidTr="00741ABF">
        <w:tc>
          <w:tcPr>
            <w:tcW w:w="0" w:type="auto"/>
            <w:hideMark/>
          </w:tcPr>
          <w:p w14:paraId="136BA172" w14:textId="5B58F277" w:rsidR="00084FC1" w:rsidRPr="002913BA" w:rsidRDefault="00084FC1" w:rsidP="002913BA">
            <w:pPr>
              <w:spacing w:before="0" w:after="0"/>
              <w:rPr>
                <w:rFonts w:cstheme="minorHAnsi"/>
                <w:sz w:val="18"/>
                <w:szCs w:val="18"/>
              </w:rPr>
            </w:pPr>
            <w:r w:rsidRPr="002913BA">
              <w:rPr>
                <w:rFonts w:cstheme="minorHAnsi"/>
                <w:b/>
                <w:bCs/>
                <w:sz w:val="18"/>
                <w:szCs w:val="18"/>
              </w:rPr>
              <w:t>F6.</w:t>
            </w:r>
            <w:r w:rsidRPr="002913BA">
              <w:rPr>
                <w:rFonts w:cstheme="minorHAnsi"/>
                <w:sz w:val="18"/>
                <w:szCs w:val="18"/>
              </w:rPr>
              <w:t xml:space="preserve"> Climate integration has moved from policy intent to early practice</w:t>
            </w:r>
            <w:r w:rsidR="00FE6A49" w:rsidRPr="002913BA">
              <w:rPr>
                <w:rFonts w:cstheme="minorHAnsi"/>
                <w:sz w:val="18"/>
                <w:szCs w:val="18"/>
              </w:rPr>
              <w:t xml:space="preserve">. ASIPS+ has established a proportionate climate risk screening and specialist support system and </w:t>
            </w:r>
            <w:r w:rsidR="00FE6A49" w:rsidRPr="002913BA">
              <w:rPr>
                <w:rFonts w:cstheme="minorHAnsi"/>
                <w:sz w:val="18"/>
                <w:szCs w:val="18"/>
              </w:rPr>
              <w:lastRenderedPageBreak/>
              <w:t xml:space="preserve">climate considerations are evident across </w:t>
            </w:r>
            <w:r w:rsidR="0F158C10" w:rsidRPr="002913BA">
              <w:rPr>
                <w:rFonts w:cstheme="minorHAnsi"/>
                <w:sz w:val="18"/>
                <w:szCs w:val="18"/>
              </w:rPr>
              <w:t>some</w:t>
            </w:r>
            <w:r w:rsidR="00FE6A49" w:rsidRPr="002913BA">
              <w:rPr>
                <w:rFonts w:cstheme="minorHAnsi"/>
                <w:sz w:val="18"/>
                <w:szCs w:val="18"/>
              </w:rPr>
              <w:t xml:space="preserve"> qualifying SOs.</w:t>
            </w:r>
            <w:r w:rsidR="006E6471" w:rsidRPr="002913BA">
              <w:rPr>
                <w:rFonts w:cstheme="minorHAnsi"/>
                <w:sz w:val="18"/>
                <w:szCs w:val="18"/>
              </w:rPr>
              <w:t xml:space="preserve"> </w:t>
            </w:r>
          </w:p>
        </w:tc>
        <w:tc>
          <w:tcPr>
            <w:tcW w:w="0" w:type="auto"/>
            <w:hideMark/>
          </w:tcPr>
          <w:p w14:paraId="231D46A4" w14:textId="74645C92" w:rsidR="00FE6A49" w:rsidRPr="002913BA" w:rsidRDefault="00084FC1" w:rsidP="002913BA">
            <w:pPr>
              <w:spacing w:before="0" w:after="0"/>
              <w:rPr>
                <w:rFonts w:cstheme="minorHAnsi"/>
                <w:sz w:val="18"/>
                <w:szCs w:val="18"/>
              </w:rPr>
            </w:pPr>
            <w:r w:rsidRPr="002913BA">
              <w:rPr>
                <w:rFonts w:cstheme="minorHAnsi"/>
                <w:b/>
                <w:bCs/>
                <w:sz w:val="18"/>
                <w:szCs w:val="18"/>
              </w:rPr>
              <w:lastRenderedPageBreak/>
              <w:t>R7. Systematise climate risk screening and adaptation planning</w:t>
            </w:r>
            <w:r w:rsidR="006E6471" w:rsidRPr="002913BA">
              <w:rPr>
                <w:rFonts w:cstheme="minorHAnsi"/>
                <w:sz w:val="18"/>
                <w:szCs w:val="18"/>
              </w:rPr>
              <w:t xml:space="preserve"> for all climate-qualifying SOs and record adaptation actions, responsibilities, budget and climate MEL indicators. </w:t>
            </w:r>
          </w:p>
        </w:tc>
        <w:tc>
          <w:tcPr>
            <w:tcW w:w="0" w:type="auto"/>
            <w:hideMark/>
          </w:tcPr>
          <w:p w14:paraId="352BCC35" w14:textId="77777777" w:rsidR="00084FC1" w:rsidRPr="002913BA" w:rsidRDefault="00084FC1" w:rsidP="002913BA">
            <w:pPr>
              <w:spacing w:before="0" w:after="0"/>
              <w:rPr>
                <w:rFonts w:cstheme="minorHAnsi"/>
                <w:sz w:val="18"/>
                <w:szCs w:val="18"/>
              </w:rPr>
            </w:pPr>
            <w:r w:rsidRPr="002913BA">
              <w:rPr>
                <w:rFonts w:cstheme="minorHAnsi"/>
                <w:sz w:val="18"/>
                <w:szCs w:val="18"/>
              </w:rPr>
              <w:t>Operational</w:t>
            </w:r>
          </w:p>
        </w:tc>
        <w:tc>
          <w:tcPr>
            <w:tcW w:w="0" w:type="auto"/>
            <w:hideMark/>
          </w:tcPr>
          <w:p w14:paraId="6C45E3CB" w14:textId="77777777" w:rsidR="00084FC1" w:rsidRPr="002913BA" w:rsidRDefault="00084FC1" w:rsidP="002913BA">
            <w:pPr>
              <w:spacing w:before="0" w:after="0"/>
              <w:rPr>
                <w:rFonts w:cstheme="minorHAnsi"/>
                <w:sz w:val="18"/>
                <w:szCs w:val="18"/>
              </w:rPr>
            </w:pPr>
            <w:r w:rsidRPr="002913BA">
              <w:rPr>
                <w:rFonts w:cstheme="minorHAnsi"/>
                <w:sz w:val="18"/>
                <w:szCs w:val="18"/>
              </w:rPr>
              <w:t>ASIPS+ DEH climate adviser; MEL; SO Leads; DFAT SO Managers; SIG and local partners where relevant</w:t>
            </w:r>
          </w:p>
        </w:tc>
        <w:tc>
          <w:tcPr>
            <w:tcW w:w="0" w:type="auto"/>
            <w:hideMark/>
          </w:tcPr>
          <w:p w14:paraId="5040DB15" w14:textId="77777777" w:rsidR="00084FC1" w:rsidRPr="002913BA" w:rsidRDefault="00084FC1" w:rsidP="002913BA">
            <w:pPr>
              <w:spacing w:before="0" w:after="0"/>
              <w:rPr>
                <w:rFonts w:cstheme="minorHAnsi"/>
                <w:sz w:val="18"/>
                <w:szCs w:val="18"/>
              </w:rPr>
            </w:pPr>
            <w:r w:rsidRPr="002913BA">
              <w:rPr>
                <w:rFonts w:cstheme="minorHAnsi"/>
                <w:sz w:val="18"/>
                <w:szCs w:val="18"/>
              </w:rPr>
              <w:t>2026 / Medium-high</w:t>
            </w:r>
          </w:p>
        </w:tc>
      </w:tr>
      <w:tr w:rsidR="00084FC1" w:rsidRPr="002913BA" w14:paraId="06875BBA" w14:textId="77777777" w:rsidTr="00741ABF">
        <w:tc>
          <w:tcPr>
            <w:tcW w:w="0" w:type="auto"/>
            <w:hideMark/>
          </w:tcPr>
          <w:p w14:paraId="17C575E4" w14:textId="77777777" w:rsidR="00084FC1" w:rsidRPr="002913BA" w:rsidRDefault="00084FC1" w:rsidP="002913BA">
            <w:pPr>
              <w:spacing w:before="0" w:after="0"/>
              <w:rPr>
                <w:rFonts w:cstheme="minorHAnsi"/>
                <w:sz w:val="18"/>
                <w:szCs w:val="18"/>
              </w:rPr>
            </w:pPr>
            <w:r w:rsidRPr="002913BA">
              <w:rPr>
                <w:rFonts w:cstheme="minorHAnsi"/>
                <w:b/>
                <w:bCs/>
                <w:sz w:val="18"/>
                <w:szCs w:val="18"/>
              </w:rPr>
              <w:t>F7.</w:t>
            </w:r>
            <w:r w:rsidRPr="002913BA">
              <w:rPr>
                <w:rFonts w:cstheme="minorHAnsi"/>
                <w:sz w:val="18"/>
                <w:szCs w:val="18"/>
              </w:rPr>
              <w:t xml:space="preserve"> ASIPS+ is learning and adapting well, but limited time and capacity constrain the translation of learning into sustained system improvements.</w:t>
            </w:r>
          </w:p>
        </w:tc>
        <w:tc>
          <w:tcPr>
            <w:tcW w:w="0" w:type="auto"/>
            <w:hideMark/>
          </w:tcPr>
          <w:p w14:paraId="0D4870D7" w14:textId="77777777" w:rsidR="00084FC1" w:rsidRPr="002913BA" w:rsidRDefault="00084FC1" w:rsidP="002913BA">
            <w:pPr>
              <w:spacing w:before="0" w:after="0"/>
              <w:rPr>
                <w:rFonts w:cstheme="minorHAnsi"/>
                <w:sz w:val="18"/>
                <w:szCs w:val="18"/>
              </w:rPr>
            </w:pPr>
            <w:r w:rsidRPr="002913BA">
              <w:rPr>
                <w:rFonts w:cstheme="minorHAnsi"/>
                <w:b/>
                <w:bCs/>
                <w:sz w:val="18"/>
                <w:szCs w:val="18"/>
              </w:rPr>
              <w:t>R8. Deepen learning-to-action in MEL.</w:t>
            </w:r>
            <w:r w:rsidRPr="002913BA">
              <w:rPr>
                <w:rFonts w:cstheme="minorHAnsi"/>
                <w:sz w:val="18"/>
                <w:szCs w:val="18"/>
              </w:rPr>
              <w:t xml:space="preserve"> Record agreed actions, owners, timeframes and follow-up points from reflection and reporting processes, and track progress through existing FIMT–FSU, Program Leads, business unit and SOG mechanisms.</w:t>
            </w:r>
          </w:p>
        </w:tc>
        <w:tc>
          <w:tcPr>
            <w:tcW w:w="0" w:type="auto"/>
            <w:hideMark/>
          </w:tcPr>
          <w:p w14:paraId="2F1DA6BF" w14:textId="77777777" w:rsidR="00084FC1" w:rsidRPr="002913BA" w:rsidRDefault="00084FC1" w:rsidP="002913BA">
            <w:pPr>
              <w:spacing w:before="0" w:after="0"/>
              <w:rPr>
                <w:rFonts w:cstheme="minorHAnsi"/>
                <w:sz w:val="18"/>
                <w:szCs w:val="18"/>
              </w:rPr>
            </w:pPr>
            <w:r w:rsidRPr="002913BA">
              <w:rPr>
                <w:rFonts w:cstheme="minorHAnsi"/>
                <w:sz w:val="18"/>
                <w:szCs w:val="18"/>
              </w:rPr>
              <w:t>Operational</w:t>
            </w:r>
          </w:p>
        </w:tc>
        <w:tc>
          <w:tcPr>
            <w:tcW w:w="0" w:type="auto"/>
            <w:hideMark/>
          </w:tcPr>
          <w:p w14:paraId="1F92C189" w14:textId="77777777" w:rsidR="00084FC1" w:rsidRPr="002913BA" w:rsidRDefault="00084FC1" w:rsidP="002913BA">
            <w:pPr>
              <w:spacing w:before="0" w:after="0"/>
              <w:rPr>
                <w:rFonts w:cstheme="minorHAnsi"/>
                <w:sz w:val="18"/>
                <w:szCs w:val="18"/>
              </w:rPr>
            </w:pPr>
            <w:r w:rsidRPr="002913BA">
              <w:rPr>
                <w:rFonts w:cstheme="minorHAnsi"/>
                <w:sz w:val="18"/>
                <w:szCs w:val="18"/>
              </w:rPr>
              <w:t>ASIPS+ MEL/DEH; SO Leads; FSU Business Units; DFAT FIMT</w:t>
            </w:r>
          </w:p>
        </w:tc>
        <w:tc>
          <w:tcPr>
            <w:tcW w:w="0" w:type="auto"/>
            <w:hideMark/>
          </w:tcPr>
          <w:p w14:paraId="5C175792" w14:textId="77777777" w:rsidR="00084FC1" w:rsidRPr="002913BA" w:rsidRDefault="00084FC1" w:rsidP="002913BA">
            <w:pPr>
              <w:spacing w:before="0" w:after="0"/>
              <w:rPr>
                <w:rFonts w:cstheme="minorHAnsi"/>
                <w:sz w:val="18"/>
                <w:szCs w:val="18"/>
              </w:rPr>
            </w:pPr>
            <w:r w:rsidRPr="002913BA">
              <w:rPr>
                <w:rFonts w:cstheme="minorHAnsi"/>
                <w:sz w:val="18"/>
                <w:szCs w:val="18"/>
              </w:rPr>
              <w:t>2026 / High</w:t>
            </w:r>
          </w:p>
        </w:tc>
      </w:tr>
      <w:tr w:rsidR="00084FC1" w:rsidRPr="002913BA" w14:paraId="0B959B0D" w14:textId="77777777" w:rsidTr="00741ABF">
        <w:tc>
          <w:tcPr>
            <w:tcW w:w="0" w:type="auto"/>
            <w:hideMark/>
          </w:tcPr>
          <w:p w14:paraId="11D6A053" w14:textId="77777777" w:rsidR="00084FC1" w:rsidRPr="002913BA" w:rsidRDefault="00084FC1" w:rsidP="002913BA">
            <w:pPr>
              <w:spacing w:before="0" w:after="0"/>
              <w:rPr>
                <w:rFonts w:cstheme="minorHAnsi"/>
                <w:sz w:val="18"/>
                <w:szCs w:val="18"/>
              </w:rPr>
            </w:pPr>
            <w:r w:rsidRPr="002913BA">
              <w:rPr>
                <w:rFonts w:cstheme="minorHAnsi"/>
                <w:b/>
                <w:bCs/>
                <w:sz w:val="18"/>
                <w:szCs w:val="18"/>
              </w:rPr>
              <w:t>F8.</w:t>
            </w:r>
            <w:r w:rsidRPr="002913BA">
              <w:rPr>
                <w:rFonts w:cstheme="minorHAnsi"/>
                <w:sz w:val="18"/>
                <w:szCs w:val="18"/>
              </w:rPr>
              <w:t xml:space="preserve"> ASIPS+ has developed a strong internal reflection practice and is strengthening data systems, but direct feedback from communities, local partners, suppliers, CSOs/CBOs and implementation teams is less systematic.</w:t>
            </w:r>
          </w:p>
        </w:tc>
        <w:tc>
          <w:tcPr>
            <w:tcW w:w="0" w:type="auto"/>
            <w:hideMark/>
          </w:tcPr>
          <w:p w14:paraId="71D15B01" w14:textId="77777777" w:rsidR="00084FC1" w:rsidRPr="002913BA" w:rsidRDefault="00084FC1" w:rsidP="002913BA">
            <w:pPr>
              <w:spacing w:before="0" w:after="0"/>
              <w:rPr>
                <w:rFonts w:cstheme="minorHAnsi"/>
                <w:sz w:val="18"/>
                <w:szCs w:val="18"/>
              </w:rPr>
            </w:pPr>
            <w:r w:rsidRPr="002913BA">
              <w:rPr>
                <w:rFonts w:cstheme="minorHAnsi"/>
                <w:b/>
                <w:bCs/>
                <w:sz w:val="18"/>
                <w:szCs w:val="18"/>
              </w:rPr>
              <w:t>R9. Deepen feedback from the ground.</w:t>
            </w:r>
            <w:r w:rsidRPr="002913BA">
              <w:rPr>
                <w:rFonts w:cstheme="minorHAnsi"/>
                <w:sz w:val="18"/>
                <w:szCs w:val="18"/>
              </w:rPr>
              <w:t xml:space="preserve"> For field-facing SOs, build proportionate feedback loops into design, reporting and reflection processes so local partner, implementation team and community feedback informs adaptation and outcome reporting.</w:t>
            </w:r>
          </w:p>
        </w:tc>
        <w:tc>
          <w:tcPr>
            <w:tcW w:w="0" w:type="auto"/>
            <w:hideMark/>
          </w:tcPr>
          <w:p w14:paraId="079D20D0" w14:textId="77777777" w:rsidR="00084FC1" w:rsidRPr="002913BA" w:rsidRDefault="00084FC1" w:rsidP="002913BA">
            <w:pPr>
              <w:spacing w:before="0" w:after="0"/>
              <w:rPr>
                <w:rFonts w:cstheme="minorHAnsi"/>
                <w:sz w:val="18"/>
                <w:szCs w:val="18"/>
              </w:rPr>
            </w:pPr>
            <w:r w:rsidRPr="002913BA">
              <w:rPr>
                <w:rFonts w:cstheme="minorHAnsi"/>
                <w:sz w:val="18"/>
                <w:szCs w:val="18"/>
              </w:rPr>
              <w:t>Operational</w:t>
            </w:r>
          </w:p>
        </w:tc>
        <w:tc>
          <w:tcPr>
            <w:tcW w:w="0" w:type="auto"/>
            <w:hideMark/>
          </w:tcPr>
          <w:p w14:paraId="32009152" w14:textId="77777777" w:rsidR="00084FC1" w:rsidRPr="002913BA" w:rsidRDefault="00084FC1" w:rsidP="002913BA">
            <w:pPr>
              <w:spacing w:before="0" w:after="0"/>
              <w:rPr>
                <w:rFonts w:cstheme="minorHAnsi"/>
                <w:sz w:val="18"/>
                <w:szCs w:val="18"/>
              </w:rPr>
            </w:pPr>
            <w:r w:rsidRPr="002913BA">
              <w:rPr>
                <w:rFonts w:cstheme="minorHAnsi"/>
                <w:sz w:val="18"/>
                <w:szCs w:val="18"/>
              </w:rPr>
              <w:t>ASIPS+ MEL/DEH; SO Leads; local partners; suppliers; CSOs/CBOs; implementation teams; DFAT SO Managers</w:t>
            </w:r>
          </w:p>
        </w:tc>
        <w:tc>
          <w:tcPr>
            <w:tcW w:w="0" w:type="auto"/>
            <w:hideMark/>
          </w:tcPr>
          <w:p w14:paraId="5AD3D4BF" w14:textId="77777777" w:rsidR="00084FC1" w:rsidRPr="002913BA" w:rsidRDefault="00084FC1" w:rsidP="002913BA">
            <w:pPr>
              <w:spacing w:before="0" w:after="0"/>
              <w:rPr>
                <w:rFonts w:cstheme="minorHAnsi"/>
                <w:sz w:val="18"/>
                <w:szCs w:val="18"/>
              </w:rPr>
            </w:pPr>
            <w:r w:rsidRPr="002913BA">
              <w:rPr>
                <w:rFonts w:cstheme="minorHAnsi"/>
                <w:sz w:val="18"/>
                <w:szCs w:val="18"/>
              </w:rPr>
              <w:t>2026 / High</w:t>
            </w:r>
          </w:p>
        </w:tc>
      </w:tr>
      <w:tr w:rsidR="00084FC1" w:rsidRPr="002913BA" w14:paraId="64902062" w14:textId="77777777" w:rsidTr="00741ABF">
        <w:tc>
          <w:tcPr>
            <w:tcW w:w="0" w:type="auto"/>
            <w:hideMark/>
          </w:tcPr>
          <w:p w14:paraId="0569F846" w14:textId="77777777" w:rsidR="00084FC1" w:rsidRPr="002913BA" w:rsidRDefault="00084FC1" w:rsidP="002913BA">
            <w:pPr>
              <w:spacing w:before="0" w:after="0"/>
              <w:rPr>
                <w:rFonts w:cstheme="minorHAnsi"/>
                <w:sz w:val="18"/>
                <w:szCs w:val="18"/>
              </w:rPr>
            </w:pPr>
            <w:r w:rsidRPr="002913BA">
              <w:rPr>
                <w:rFonts w:cstheme="minorHAnsi"/>
                <w:b/>
                <w:bCs/>
                <w:sz w:val="18"/>
                <w:szCs w:val="18"/>
              </w:rPr>
              <w:t>F9.</w:t>
            </w:r>
            <w:r w:rsidRPr="002913BA">
              <w:rPr>
                <w:rFonts w:cstheme="minorHAnsi"/>
                <w:sz w:val="18"/>
                <w:szCs w:val="18"/>
              </w:rPr>
              <w:t xml:space="preserve"> AHC–ASIPS+–SIG working-level rub points remain around direct engagement, formal proposals, role clarity and communication of resource decisions, although not to an alarming degree.</w:t>
            </w:r>
          </w:p>
        </w:tc>
        <w:tc>
          <w:tcPr>
            <w:tcW w:w="0" w:type="auto"/>
            <w:hideMark/>
          </w:tcPr>
          <w:p w14:paraId="4D6651E5" w14:textId="52E80844" w:rsidR="00084FC1" w:rsidRPr="002913BA" w:rsidRDefault="00084FC1" w:rsidP="002913BA">
            <w:pPr>
              <w:spacing w:before="0" w:after="0"/>
              <w:rPr>
                <w:rFonts w:cstheme="minorHAnsi"/>
                <w:sz w:val="18"/>
                <w:szCs w:val="18"/>
              </w:rPr>
            </w:pPr>
            <w:r w:rsidRPr="002913BA">
              <w:rPr>
                <w:rFonts w:cstheme="minorHAnsi"/>
                <w:b/>
                <w:bCs/>
                <w:sz w:val="18"/>
                <w:szCs w:val="18"/>
              </w:rPr>
              <w:t xml:space="preserve">R10. </w:t>
            </w:r>
            <w:r w:rsidR="00CE416D" w:rsidRPr="002913BA">
              <w:rPr>
                <w:rFonts w:cstheme="minorHAnsi"/>
                <w:b/>
                <w:bCs/>
                <w:sz w:val="18"/>
                <w:szCs w:val="18"/>
              </w:rPr>
              <w:t>Promote best practice</w:t>
            </w:r>
            <w:r w:rsidRPr="002913BA">
              <w:rPr>
                <w:rFonts w:cstheme="minorHAnsi"/>
                <w:b/>
                <w:bCs/>
                <w:sz w:val="18"/>
                <w:szCs w:val="18"/>
              </w:rPr>
              <w:t xml:space="preserve"> AHC–ASIPS+–SIG engagement protocols.</w:t>
            </w:r>
            <w:r w:rsidRPr="002913BA">
              <w:rPr>
                <w:rFonts w:cstheme="minorHAnsi"/>
                <w:sz w:val="18"/>
                <w:szCs w:val="18"/>
              </w:rPr>
              <w:t xml:space="preserve"> Continue to manage rub points common to a large flexible facility by setting clear expectations for lead roles, clearance points, communication channels and escalation pathways, especially for formal proposals, new SOs, workplan changes and resource-sensitive decisions.</w:t>
            </w:r>
          </w:p>
        </w:tc>
        <w:tc>
          <w:tcPr>
            <w:tcW w:w="0" w:type="auto"/>
            <w:hideMark/>
          </w:tcPr>
          <w:p w14:paraId="6960AE6F" w14:textId="77777777" w:rsidR="00084FC1" w:rsidRPr="002913BA" w:rsidRDefault="00084FC1" w:rsidP="002913BA">
            <w:pPr>
              <w:spacing w:before="0" w:after="0"/>
              <w:rPr>
                <w:rFonts w:cstheme="minorHAnsi"/>
                <w:sz w:val="18"/>
                <w:szCs w:val="18"/>
              </w:rPr>
            </w:pPr>
            <w:r w:rsidRPr="002913BA">
              <w:rPr>
                <w:rFonts w:cstheme="minorHAnsi"/>
                <w:sz w:val="18"/>
                <w:szCs w:val="18"/>
              </w:rPr>
              <w:t>Operational</w:t>
            </w:r>
          </w:p>
        </w:tc>
        <w:tc>
          <w:tcPr>
            <w:tcW w:w="0" w:type="auto"/>
            <w:hideMark/>
          </w:tcPr>
          <w:p w14:paraId="3D10B5E9" w14:textId="77777777" w:rsidR="00084FC1" w:rsidRPr="002913BA" w:rsidRDefault="00084FC1" w:rsidP="002913BA">
            <w:pPr>
              <w:spacing w:before="0" w:after="0"/>
              <w:rPr>
                <w:rFonts w:cstheme="minorHAnsi"/>
                <w:sz w:val="18"/>
                <w:szCs w:val="18"/>
              </w:rPr>
            </w:pPr>
            <w:r w:rsidRPr="002913BA">
              <w:rPr>
                <w:rFonts w:cstheme="minorHAnsi"/>
                <w:sz w:val="18"/>
                <w:szCs w:val="18"/>
              </w:rPr>
              <w:t>AHC/FIMT; ASIPS+ Director; SO Leads; SIG counterparts where relevant</w:t>
            </w:r>
          </w:p>
        </w:tc>
        <w:tc>
          <w:tcPr>
            <w:tcW w:w="0" w:type="auto"/>
            <w:hideMark/>
          </w:tcPr>
          <w:p w14:paraId="451F8077" w14:textId="77777777" w:rsidR="00084FC1" w:rsidRPr="002913BA" w:rsidRDefault="00084FC1" w:rsidP="002913BA">
            <w:pPr>
              <w:spacing w:before="0" w:after="0"/>
              <w:rPr>
                <w:rFonts w:cstheme="minorHAnsi"/>
                <w:sz w:val="18"/>
                <w:szCs w:val="18"/>
              </w:rPr>
            </w:pPr>
            <w:r w:rsidRPr="002913BA">
              <w:rPr>
                <w:rFonts w:cstheme="minorHAnsi"/>
                <w:sz w:val="18"/>
                <w:szCs w:val="18"/>
              </w:rPr>
              <w:t>Within 3 months / High</w:t>
            </w:r>
          </w:p>
        </w:tc>
      </w:tr>
      <w:tr w:rsidR="00084FC1" w:rsidRPr="002913BA" w14:paraId="349D22BB" w14:textId="77777777" w:rsidTr="00741ABF">
        <w:tc>
          <w:tcPr>
            <w:tcW w:w="0" w:type="auto"/>
            <w:hideMark/>
          </w:tcPr>
          <w:p w14:paraId="08373090" w14:textId="77777777" w:rsidR="00084FC1" w:rsidRPr="002913BA" w:rsidRDefault="00084FC1" w:rsidP="002913BA">
            <w:pPr>
              <w:spacing w:before="0" w:after="0"/>
              <w:rPr>
                <w:rFonts w:cstheme="minorHAnsi"/>
                <w:sz w:val="18"/>
                <w:szCs w:val="18"/>
              </w:rPr>
            </w:pPr>
            <w:r w:rsidRPr="002913BA">
              <w:rPr>
                <w:rFonts w:cstheme="minorHAnsi"/>
                <w:b/>
                <w:bCs/>
                <w:sz w:val="18"/>
                <w:szCs w:val="18"/>
              </w:rPr>
              <w:t>F10.</w:t>
            </w:r>
            <w:r w:rsidRPr="002913BA">
              <w:rPr>
                <w:rFonts w:cstheme="minorHAnsi"/>
                <w:sz w:val="18"/>
                <w:szCs w:val="18"/>
              </w:rPr>
              <w:t xml:space="preserve"> ASIPS+ governance arrangements are effective and are helping AHC maintain a coherent portfolio, respond strategically to changing priorities and manage risks, and strengthen engagement with Solomon Islands partners.</w:t>
            </w:r>
          </w:p>
        </w:tc>
        <w:tc>
          <w:tcPr>
            <w:tcW w:w="0" w:type="auto"/>
            <w:hideMark/>
          </w:tcPr>
          <w:p w14:paraId="484EB970" w14:textId="77777777" w:rsidR="00084FC1" w:rsidRPr="002913BA" w:rsidRDefault="00084FC1" w:rsidP="002913BA">
            <w:pPr>
              <w:spacing w:before="0" w:after="0"/>
              <w:rPr>
                <w:rFonts w:cstheme="minorHAnsi"/>
                <w:sz w:val="18"/>
                <w:szCs w:val="18"/>
              </w:rPr>
            </w:pPr>
            <w:r w:rsidRPr="002913BA">
              <w:rPr>
                <w:rFonts w:cstheme="minorHAnsi"/>
                <w:b/>
                <w:bCs/>
                <w:sz w:val="18"/>
                <w:szCs w:val="18"/>
              </w:rPr>
              <w:t>No separate recommendation.</w:t>
            </w:r>
            <w:r w:rsidRPr="002913BA">
              <w:rPr>
                <w:rFonts w:cstheme="minorHAnsi"/>
                <w:sz w:val="18"/>
                <w:szCs w:val="18"/>
              </w:rPr>
              <w:t xml:space="preserve"> Governance implications are addressed through </w:t>
            </w:r>
            <w:r w:rsidRPr="002913BA">
              <w:rPr>
                <w:rFonts w:cstheme="minorHAnsi"/>
                <w:b/>
                <w:bCs/>
                <w:sz w:val="18"/>
                <w:szCs w:val="18"/>
              </w:rPr>
              <w:t>R1</w:t>
            </w:r>
            <w:r w:rsidRPr="002913BA">
              <w:rPr>
                <w:rFonts w:cstheme="minorHAnsi"/>
                <w:sz w:val="18"/>
                <w:szCs w:val="18"/>
              </w:rPr>
              <w:t xml:space="preserve"> on headroom and pathway decisions, </w:t>
            </w:r>
            <w:r w:rsidRPr="002913BA">
              <w:rPr>
                <w:rFonts w:cstheme="minorHAnsi"/>
                <w:b/>
                <w:bCs/>
                <w:sz w:val="18"/>
                <w:szCs w:val="18"/>
              </w:rPr>
              <w:t>R4</w:t>
            </w:r>
            <w:r w:rsidRPr="002913BA">
              <w:rPr>
                <w:rFonts w:cstheme="minorHAnsi"/>
                <w:sz w:val="18"/>
                <w:szCs w:val="18"/>
              </w:rPr>
              <w:t xml:space="preserve"> on SOG exception reporting, </w:t>
            </w:r>
            <w:r w:rsidRPr="002913BA">
              <w:rPr>
                <w:rFonts w:cstheme="minorHAnsi"/>
                <w:b/>
                <w:bCs/>
                <w:sz w:val="18"/>
                <w:szCs w:val="18"/>
              </w:rPr>
              <w:t>R10</w:t>
            </w:r>
            <w:r w:rsidRPr="002913BA">
              <w:rPr>
                <w:rFonts w:cstheme="minorHAnsi"/>
                <w:sz w:val="18"/>
                <w:szCs w:val="18"/>
              </w:rPr>
              <w:t xml:space="preserve"> on engagement protocols, and </w:t>
            </w:r>
            <w:r w:rsidRPr="002913BA">
              <w:rPr>
                <w:rFonts w:cstheme="minorHAnsi"/>
                <w:b/>
                <w:bCs/>
                <w:sz w:val="18"/>
                <w:szCs w:val="18"/>
              </w:rPr>
              <w:t>R11</w:t>
            </w:r>
            <w:r w:rsidRPr="002913BA">
              <w:rPr>
                <w:rFonts w:cstheme="minorHAnsi"/>
                <w:sz w:val="18"/>
                <w:szCs w:val="18"/>
              </w:rPr>
              <w:t xml:space="preserve"> on FSU resourcing and pipeline prioritisation.</w:t>
            </w:r>
          </w:p>
        </w:tc>
        <w:tc>
          <w:tcPr>
            <w:tcW w:w="0" w:type="auto"/>
            <w:hideMark/>
          </w:tcPr>
          <w:p w14:paraId="0F2CCF36" w14:textId="77777777" w:rsidR="00084FC1" w:rsidRPr="002913BA" w:rsidRDefault="00084FC1" w:rsidP="002913BA">
            <w:pPr>
              <w:spacing w:before="0" w:after="0"/>
              <w:rPr>
                <w:rFonts w:cstheme="minorHAnsi"/>
                <w:sz w:val="18"/>
                <w:szCs w:val="18"/>
              </w:rPr>
            </w:pPr>
            <w:r w:rsidRPr="002913BA">
              <w:rPr>
                <w:rFonts w:cstheme="minorHAnsi"/>
                <w:sz w:val="18"/>
                <w:szCs w:val="18"/>
              </w:rPr>
              <w:t>—</w:t>
            </w:r>
          </w:p>
        </w:tc>
        <w:tc>
          <w:tcPr>
            <w:tcW w:w="0" w:type="auto"/>
            <w:hideMark/>
          </w:tcPr>
          <w:p w14:paraId="45161612" w14:textId="77777777" w:rsidR="00084FC1" w:rsidRPr="002913BA" w:rsidRDefault="00084FC1" w:rsidP="002913BA">
            <w:pPr>
              <w:spacing w:before="0" w:after="0"/>
              <w:rPr>
                <w:rFonts w:cstheme="minorHAnsi"/>
                <w:sz w:val="18"/>
                <w:szCs w:val="18"/>
              </w:rPr>
            </w:pPr>
            <w:r w:rsidRPr="002913BA">
              <w:rPr>
                <w:rFonts w:cstheme="minorHAnsi"/>
                <w:sz w:val="18"/>
                <w:szCs w:val="18"/>
              </w:rPr>
              <w:t>DFAT FIMT; SOG; ASIPS+ Director</w:t>
            </w:r>
          </w:p>
        </w:tc>
        <w:tc>
          <w:tcPr>
            <w:tcW w:w="0" w:type="auto"/>
            <w:hideMark/>
          </w:tcPr>
          <w:p w14:paraId="7B598701" w14:textId="77777777" w:rsidR="00084FC1" w:rsidRPr="002913BA" w:rsidRDefault="00084FC1" w:rsidP="002913BA">
            <w:pPr>
              <w:spacing w:before="0" w:after="0"/>
              <w:rPr>
                <w:rFonts w:cstheme="minorHAnsi"/>
                <w:sz w:val="18"/>
                <w:szCs w:val="18"/>
              </w:rPr>
            </w:pPr>
            <w:r w:rsidRPr="002913BA">
              <w:rPr>
                <w:rFonts w:cstheme="minorHAnsi"/>
                <w:sz w:val="18"/>
                <w:szCs w:val="18"/>
              </w:rPr>
              <w:t>—</w:t>
            </w:r>
          </w:p>
        </w:tc>
      </w:tr>
      <w:tr w:rsidR="00084FC1" w:rsidRPr="002913BA" w14:paraId="69A96869" w14:textId="77777777" w:rsidTr="00741ABF">
        <w:tc>
          <w:tcPr>
            <w:tcW w:w="0" w:type="auto"/>
            <w:hideMark/>
          </w:tcPr>
          <w:p w14:paraId="1B95FEAF" w14:textId="77777777" w:rsidR="00084FC1" w:rsidRPr="002913BA" w:rsidRDefault="00084FC1" w:rsidP="002913BA">
            <w:pPr>
              <w:spacing w:before="0" w:after="0"/>
              <w:rPr>
                <w:rFonts w:cstheme="minorHAnsi"/>
                <w:sz w:val="18"/>
                <w:szCs w:val="18"/>
              </w:rPr>
            </w:pPr>
            <w:r w:rsidRPr="002913BA">
              <w:rPr>
                <w:rFonts w:cstheme="minorHAnsi"/>
                <w:b/>
                <w:bCs/>
                <w:sz w:val="18"/>
                <w:szCs w:val="18"/>
              </w:rPr>
              <w:t>F11.</w:t>
            </w:r>
            <w:r w:rsidRPr="002913BA">
              <w:rPr>
                <w:rFonts w:cstheme="minorHAnsi"/>
                <w:sz w:val="18"/>
                <w:szCs w:val="18"/>
              </w:rPr>
              <w:t xml:space="preserve"> ASIPS+ is providing good value for money to DFAT, but the current value for money model is under pressure because FSU resourcing has not grown in line with SO number, value, complexity and urgency.</w:t>
            </w:r>
          </w:p>
        </w:tc>
        <w:tc>
          <w:tcPr>
            <w:tcW w:w="0" w:type="auto"/>
            <w:hideMark/>
          </w:tcPr>
          <w:p w14:paraId="64583991" w14:textId="77777777" w:rsidR="00084FC1" w:rsidRPr="002913BA" w:rsidRDefault="00084FC1" w:rsidP="002913BA">
            <w:pPr>
              <w:spacing w:before="0" w:after="0"/>
              <w:rPr>
                <w:rFonts w:cstheme="minorHAnsi"/>
                <w:sz w:val="18"/>
                <w:szCs w:val="18"/>
              </w:rPr>
            </w:pPr>
            <w:r w:rsidRPr="002913BA">
              <w:rPr>
                <w:rFonts w:cstheme="minorHAnsi"/>
                <w:b/>
                <w:bCs/>
                <w:sz w:val="18"/>
                <w:szCs w:val="18"/>
              </w:rPr>
              <w:t>R11. Revise the FSU resourcing model.</w:t>
            </w:r>
            <w:r w:rsidRPr="002913BA">
              <w:rPr>
                <w:rFonts w:cstheme="minorHAnsi"/>
                <w:sz w:val="18"/>
                <w:szCs w:val="18"/>
              </w:rPr>
              <w:t xml:space="preserve"> Resource the FSU commensurate with the level, complexity and urgency of support required, apply the tiered support model more rigorously, and assess which SOs may be better delivered through alternative mechanisms.</w:t>
            </w:r>
          </w:p>
        </w:tc>
        <w:tc>
          <w:tcPr>
            <w:tcW w:w="0" w:type="auto"/>
            <w:hideMark/>
          </w:tcPr>
          <w:p w14:paraId="27A56025" w14:textId="77777777" w:rsidR="00084FC1" w:rsidRPr="002913BA" w:rsidRDefault="00084FC1" w:rsidP="002913BA">
            <w:pPr>
              <w:spacing w:before="0" w:after="0"/>
              <w:rPr>
                <w:rFonts w:cstheme="minorHAnsi"/>
                <w:sz w:val="18"/>
                <w:szCs w:val="18"/>
              </w:rPr>
            </w:pPr>
            <w:r w:rsidRPr="002913BA">
              <w:rPr>
                <w:rFonts w:cstheme="minorHAnsi"/>
                <w:sz w:val="18"/>
                <w:szCs w:val="18"/>
              </w:rPr>
              <w:t>Strategic / operational</w:t>
            </w:r>
          </w:p>
        </w:tc>
        <w:tc>
          <w:tcPr>
            <w:tcW w:w="0" w:type="auto"/>
            <w:hideMark/>
          </w:tcPr>
          <w:p w14:paraId="0E663792" w14:textId="77777777" w:rsidR="00084FC1" w:rsidRPr="002913BA" w:rsidRDefault="00084FC1" w:rsidP="002913BA">
            <w:pPr>
              <w:spacing w:before="0" w:after="0"/>
              <w:rPr>
                <w:rFonts w:cstheme="minorHAnsi"/>
                <w:sz w:val="18"/>
                <w:szCs w:val="18"/>
              </w:rPr>
            </w:pPr>
            <w:r w:rsidRPr="002913BA">
              <w:rPr>
                <w:rFonts w:cstheme="minorHAnsi"/>
                <w:sz w:val="18"/>
                <w:szCs w:val="18"/>
              </w:rPr>
              <w:t>DFAT FIMT; SOG; ASIPS+ Director; DT Global; DFAT Canberra as required</w:t>
            </w:r>
          </w:p>
        </w:tc>
        <w:tc>
          <w:tcPr>
            <w:tcW w:w="0" w:type="auto"/>
            <w:hideMark/>
          </w:tcPr>
          <w:p w14:paraId="026EA480" w14:textId="77777777" w:rsidR="00084FC1" w:rsidRPr="002913BA" w:rsidRDefault="00084FC1" w:rsidP="002913BA">
            <w:pPr>
              <w:spacing w:before="0" w:after="0"/>
              <w:rPr>
                <w:rFonts w:cstheme="minorHAnsi"/>
                <w:sz w:val="18"/>
                <w:szCs w:val="18"/>
              </w:rPr>
            </w:pPr>
            <w:r w:rsidRPr="002913BA">
              <w:rPr>
                <w:rFonts w:cstheme="minorHAnsi"/>
                <w:sz w:val="18"/>
                <w:szCs w:val="18"/>
              </w:rPr>
              <w:t>2026 / Critical</w:t>
            </w:r>
          </w:p>
        </w:tc>
      </w:tr>
      <w:tr w:rsidR="00084FC1" w:rsidRPr="002913BA" w14:paraId="1D55F7DC" w14:textId="77777777" w:rsidTr="00741ABF">
        <w:tc>
          <w:tcPr>
            <w:tcW w:w="0" w:type="auto"/>
            <w:hideMark/>
          </w:tcPr>
          <w:p w14:paraId="231780E8" w14:textId="77777777" w:rsidR="00084FC1" w:rsidRPr="002913BA" w:rsidRDefault="00084FC1" w:rsidP="002913BA">
            <w:pPr>
              <w:spacing w:before="0" w:after="0"/>
              <w:rPr>
                <w:rFonts w:cstheme="minorHAnsi"/>
                <w:sz w:val="18"/>
                <w:szCs w:val="18"/>
              </w:rPr>
            </w:pPr>
            <w:r w:rsidRPr="002913BA">
              <w:rPr>
                <w:rFonts w:cstheme="minorHAnsi"/>
                <w:b/>
                <w:bCs/>
                <w:sz w:val="18"/>
                <w:szCs w:val="18"/>
              </w:rPr>
              <w:t>F11. Same finding as above.</w:t>
            </w:r>
          </w:p>
        </w:tc>
        <w:tc>
          <w:tcPr>
            <w:tcW w:w="0" w:type="auto"/>
            <w:hideMark/>
          </w:tcPr>
          <w:p w14:paraId="57B8F8F4" w14:textId="77777777" w:rsidR="00084FC1" w:rsidRPr="002913BA" w:rsidRDefault="00084FC1" w:rsidP="002913BA">
            <w:pPr>
              <w:spacing w:before="0" w:after="0"/>
              <w:rPr>
                <w:rFonts w:cstheme="minorHAnsi"/>
                <w:sz w:val="18"/>
                <w:szCs w:val="18"/>
              </w:rPr>
            </w:pPr>
            <w:r w:rsidRPr="002913BA">
              <w:rPr>
                <w:rFonts w:cstheme="minorHAnsi"/>
                <w:b/>
                <w:bCs/>
                <w:sz w:val="18"/>
                <w:szCs w:val="18"/>
              </w:rPr>
              <w:t>R12. Increase flexibility between ODA and non-ODA funding and simplify equivalent procurement pathways where feasible.</w:t>
            </w:r>
            <w:r w:rsidRPr="002913BA">
              <w:rPr>
                <w:rFonts w:cstheme="minorHAnsi"/>
                <w:sz w:val="18"/>
                <w:szCs w:val="18"/>
              </w:rPr>
              <w:t xml:space="preserve"> Clarify ODA and non-ODA rules, delegations and procurement requirements, and streamline non-ODA pathways where feasible and compliant.</w:t>
            </w:r>
          </w:p>
        </w:tc>
        <w:tc>
          <w:tcPr>
            <w:tcW w:w="0" w:type="auto"/>
            <w:hideMark/>
          </w:tcPr>
          <w:p w14:paraId="6E339D14" w14:textId="77777777" w:rsidR="00084FC1" w:rsidRPr="002913BA" w:rsidRDefault="00084FC1" w:rsidP="002913BA">
            <w:pPr>
              <w:spacing w:before="0" w:after="0"/>
              <w:rPr>
                <w:rFonts w:cstheme="minorHAnsi"/>
                <w:sz w:val="18"/>
                <w:szCs w:val="18"/>
              </w:rPr>
            </w:pPr>
            <w:r w:rsidRPr="002913BA">
              <w:rPr>
                <w:rFonts w:cstheme="minorHAnsi"/>
                <w:sz w:val="18"/>
                <w:szCs w:val="18"/>
              </w:rPr>
              <w:t>Strategic / operational</w:t>
            </w:r>
          </w:p>
        </w:tc>
        <w:tc>
          <w:tcPr>
            <w:tcW w:w="0" w:type="auto"/>
            <w:hideMark/>
          </w:tcPr>
          <w:p w14:paraId="4D1DEC72" w14:textId="77777777" w:rsidR="00084FC1" w:rsidRPr="002913BA" w:rsidRDefault="00084FC1" w:rsidP="002913BA">
            <w:pPr>
              <w:spacing w:before="0" w:after="0"/>
              <w:rPr>
                <w:rFonts w:cstheme="minorHAnsi"/>
                <w:sz w:val="18"/>
                <w:szCs w:val="18"/>
              </w:rPr>
            </w:pPr>
            <w:r w:rsidRPr="002913BA">
              <w:rPr>
                <w:rFonts w:cstheme="minorHAnsi"/>
                <w:sz w:val="18"/>
                <w:szCs w:val="18"/>
              </w:rPr>
              <w:t>DFAT FIMT; AHC senior leadership; DFAT Canberra/procurement as required; ASIPS+ Director; DT Global</w:t>
            </w:r>
          </w:p>
        </w:tc>
        <w:tc>
          <w:tcPr>
            <w:tcW w:w="0" w:type="auto"/>
            <w:hideMark/>
          </w:tcPr>
          <w:p w14:paraId="1004A5B6" w14:textId="77777777" w:rsidR="00084FC1" w:rsidRPr="002913BA" w:rsidRDefault="00084FC1" w:rsidP="002913BA">
            <w:pPr>
              <w:spacing w:before="0" w:after="0"/>
              <w:rPr>
                <w:rFonts w:cstheme="minorHAnsi"/>
                <w:sz w:val="18"/>
                <w:szCs w:val="18"/>
              </w:rPr>
            </w:pPr>
            <w:r w:rsidRPr="002913BA">
              <w:rPr>
                <w:rFonts w:cstheme="minorHAnsi"/>
                <w:sz w:val="18"/>
                <w:szCs w:val="18"/>
              </w:rPr>
              <w:t>2026 / High</w:t>
            </w:r>
          </w:p>
        </w:tc>
      </w:tr>
      <w:tr w:rsidR="00084FC1" w:rsidRPr="002913BA" w14:paraId="72234C6D" w14:textId="77777777" w:rsidTr="00741ABF">
        <w:tc>
          <w:tcPr>
            <w:tcW w:w="0" w:type="auto"/>
            <w:hideMark/>
          </w:tcPr>
          <w:p w14:paraId="06126401" w14:textId="77777777" w:rsidR="00084FC1" w:rsidRPr="002913BA" w:rsidRDefault="00084FC1" w:rsidP="002913BA">
            <w:pPr>
              <w:spacing w:before="0" w:after="0"/>
              <w:rPr>
                <w:rFonts w:cstheme="minorHAnsi"/>
                <w:sz w:val="18"/>
                <w:szCs w:val="18"/>
              </w:rPr>
            </w:pPr>
            <w:r w:rsidRPr="002913BA">
              <w:rPr>
                <w:rFonts w:cstheme="minorHAnsi"/>
                <w:b/>
                <w:bCs/>
                <w:sz w:val="18"/>
                <w:szCs w:val="18"/>
              </w:rPr>
              <w:t>F11. Same finding as above.</w:t>
            </w:r>
          </w:p>
        </w:tc>
        <w:tc>
          <w:tcPr>
            <w:tcW w:w="0" w:type="auto"/>
            <w:hideMark/>
          </w:tcPr>
          <w:p w14:paraId="0A932CDE" w14:textId="77777777" w:rsidR="00084FC1" w:rsidRPr="002913BA" w:rsidRDefault="00084FC1" w:rsidP="002913BA">
            <w:pPr>
              <w:spacing w:before="0" w:after="0"/>
              <w:rPr>
                <w:rFonts w:cstheme="minorHAnsi"/>
                <w:sz w:val="18"/>
                <w:szCs w:val="18"/>
              </w:rPr>
            </w:pPr>
            <w:r w:rsidRPr="002913BA">
              <w:rPr>
                <w:rFonts w:cstheme="minorHAnsi"/>
                <w:b/>
                <w:bCs/>
                <w:sz w:val="18"/>
                <w:szCs w:val="18"/>
              </w:rPr>
              <w:t>R13. Include Facility architecture and alternative SO funding in the end-of-program evaluation.</w:t>
            </w:r>
            <w:r w:rsidRPr="002913BA">
              <w:rPr>
                <w:rFonts w:cstheme="minorHAnsi"/>
                <w:sz w:val="18"/>
                <w:szCs w:val="18"/>
              </w:rPr>
              <w:t xml:space="preserve"> Assess whether a single hybrid Facility remains the best long-term model, or whether ASIPS+ should be reconfigured into clearer delivery streams or complemented by other implementation mechanisms.</w:t>
            </w:r>
          </w:p>
        </w:tc>
        <w:tc>
          <w:tcPr>
            <w:tcW w:w="0" w:type="auto"/>
            <w:hideMark/>
          </w:tcPr>
          <w:p w14:paraId="4B2D0475" w14:textId="77777777" w:rsidR="00084FC1" w:rsidRPr="002913BA" w:rsidRDefault="00084FC1" w:rsidP="002913BA">
            <w:pPr>
              <w:spacing w:before="0" w:after="0"/>
              <w:rPr>
                <w:rFonts w:cstheme="minorHAnsi"/>
                <w:sz w:val="18"/>
                <w:szCs w:val="18"/>
              </w:rPr>
            </w:pPr>
            <w:r w:rsidRPr="002913BA">
              <w:rPr>
                <w:rFonts w:cstheme="minorHAnsi"/>
                <w:sz w:val="18"/>
                <w:szCs w:val="18"/>
              </w:rPr>
              <w:t>Strategic</w:t>
            </w:r>
          </w:p>
        </w:tc>
        <w:tc>
          <w:tcPr>
            <w:tcW w:w="0" w:type="auto"/>
            <w:hideMark/>
          </w:tcPr>
          <w:p w14:paraId="1910E51B" w14:textId="77777777" w:rsidR="00084FC1" w:rsidRPr="002913BA" w:rsidRDefault="00084FC1" w:rsidP="002913BA">
            <w:pPr>
              <w:spacing w:before="0" w:after="0"/>
              <w:rPr>
                <w:rFonts w:cstheme="minorHAnsi"/>
                <w:sz w:val="18"/>
                <w:szCs w:val="18"/>
              </w:rPr>
            </w:pPr>
            <w:r w:rsidRPr="002913BA">
              <w:rPr>
                <w:rFonts w:cstheme="minorHAnsi"/>
                <w:sz w:val="18"/>
                <w:szCs w:val="18"/>
              </w:rPr>
              <w:t>DFAT; end-of-program evaluation team; ASIPS+; DT Global</w:t>
            </w:r>
          </w:p>
        </w:tc>
        <w:tc>
          <w:tcPr>
            <w:tcW w:w="0" w:type="auto"/>
            <w:hideMark/>
          </w:tcPr>
          <w:p w14:paraId="3832062A" w14:textId="77777777" w:rsidR="00084FC1" w:rsidRPr="002913BA" w:rsidRDefault="00084FC1" w:rsidP="002913BA">
            <w:pPr>
              <w:spacing w:before="0" w:after="0"/>
              <w:rPr>
                <w:rFonts w:cstheme="minorHAnsi"/>
                <w:sz w:val="18"/>
                <w:szCs w:val="18"/>
              </w:rPr>
            </w:pPr>
            <w:r w:rsidRPr="002913BA">
              <w:rPr>
                <w:rFonts w:cstheme="minorHAnsi"/>
                <w:sz w:val="18"/>
                <w:szCs w:val="18"/>
              </w:rPr>
              <w:t>End-of-program evaluation / Medium</w:t>
            </w:r>
          </w:p>
        </w:tc>
      </w:tr>
    </w:tbl>
    <w:p w14:paraId="186E60A5" w14:textId="1893C4C3" w:rsidR="003967F3" w:rsidRDefault="003967F3" w:rsidP="00A46BF6">
      <w:pPr>
        <w:sectPr w:rsidR="003967F3" w:rsidSect="00735BB7">
          <w:pgSz w:w="16838" w:h="11906" w:orient="landscape" w:code="9"/>
          <w:pgMar w:top="1021" w:right="907" w:bottom="851" w:left="907" w:header="851" w:footer="454" w:gutter="0"/>
          <w:pgBorders w:offsetFrom="page">
            <w:top w:val="single" w:sz="48" w:space="0" w:color="507CB9"/>
            <w:left w:val="single" w:sz="48" w:space="0" w:color="507CB9"/>
            <w:bottom w:val="single" w:sz="48" w:space="0" w:color="507CB9"/>
            <w:right w:val="single" w:sz="48" w:space="0" w:color="507CB9"/>
          </w:pgBorders>
          <w:cols w:space="709"/>
          <w:titlePg/>
          <w:docGrid w:linePitch="360"/>
        </w:sectPr>
      </w:pPr>
    </w:p>
    <w:p w14:paraId="0DA565D9" w14:textId="77777777" w:rsidR="004B25B9" w:rsidRDefault="00306A84" w:rsidP="00AE0D3F">
      <w:pPr>
        <w:pStyle w:val="Heading1"/>
      </w:pPr>
      <w:bookmarkStart w:id="18" w:name="_Toc234426729"/>
      <w:r>
        <w:lastRenderedPageBreak/>
        <w:t>ANNEXES</w:t>
      </w:r>
      <w:bookmarkEnd w:id="18"/>
    </w:p>
    <w:p w14:paraId="478F7B2D" w14:textId="50983235" w:rsidR="00F01C22" w:rsidRPr="00550B3C" w:rsidRDefault="00F01C22" w:rsidP="00550B3C">
      <w:pPr>
        <w:pStyle w:val="Heading2"/>
      </w:pPr>
      <w:bookmarkStart w:id="19" w:name="_Toc234426730"/>
      <w:r w:rsidRPr="00550B3C">
        <w:t xml:space="preserve">Annex </w:t>
      </w:r>
      <w:r w:rsidR="00E0018F">
        <w:t>1</w:t>
      </w:r>
      <w:r w:rsidRPr="00550B3C">
        <w:t xml:space="preserve">. </w:t>
      </w:r>
      <w:r w:rsidR="00195048" w:rsidRPr="00550B3C">
        <w:t>M</w:t>
      </w:r>
      <w:r w:rsidRPr="00550B3C">
        <w:t xml:space="preserve">id-term review </w:t>
      </w:r>
      <w:r w:rsidR="00195048" w:rsidRPr="00550B3C">
        <w:t>m</w:t>
      </w:r>
      <w:r w:rsidRPr="00550B3C">
        <w:t>ethodology</w:t>
      </w:r>
      <w:bookmarkEnd w:id="19"/>
    </w:p>
    <w:p w14:paraId="32ED9054" w14:textId="5F57A963" w:rsidR="00F01C22" w:rsidRPr="00444470" w:rsidRDefault="00F01C22" w:rsidP="00C13F9E">
      <w:pPr>
        <w:pStyle w:val="Heading3"/>
      </w:pPr>
      <w:r w:rsidRPr="00444470">
        <w:t>Data collection</w:t>
      </w:r>
    </w:p>
    <w:p w14:paraId="5EC6AE5F" w14:textId="77777777" w:rsidR="00F01C22" w:rsidRPr="00882A14" w:rsidRDefault="00F01C22" w:rsidP="00F01C22">
      <w:pPr>
        <w:rPr>
          <w:lang w:val="en-AU"/>
        </w:rPr>
      </w:pPr>
      <w:r w:rsidRPr="00800D57">
        <w:rPr>
          <w:lang w:val="en-AU"/>
        </w:rPr>
        <w:t xml:space="preserve">The </w:t>
      </w:r>
      <w:r w:rsidRPr="00563C43">
        <w:rPr>
          <w:lang w:val="en-AU"/>
        </w:rPr>
        <w:t xml:space="preserve">review design and implementation were guided by </w:t>
      </w:r>
      <w:hyperlink r:id="rId17" w:history="1">
        <w:r w:rsidRPr="00E26A40">
          <w:rPr>
            <w:rStyle w:val="Hyperlink"/>
            <w:lang w:val="en-AU"/>
          </w:rPr>
          <w:t>DFAT's Design, Monitoring, Evaluation and Learning Standards</w:t>
        </w:r>
      </w:hyperlink>
      <w:r>
        <w:rPr>
          <w:lang w:val="en-AU"/>
        </w:rPr>
        <w:t xml:space="preserve"> 9 and </w:t>
      </w:r>
      <w:r w:rsidRPr="00800D57">
        <w:rPr>
          <w:lang w:val="en-AU"/>
        </w:rPr>
        <w:t>10</w:t>
      </w:r>
      <w:r>
        <w:rPr>
          <w:rStyle w:val="FootnoteReference"/>
          <w:lang w:val="en-AU"/>
        </w:rPr>
        <w:footnoteReference w:id="33"/>
      </w:r>
      <w:r w:rsidRPr="00800D57">
        <w:rPr>
          <w:lang w:val="en-AU"/>
        </w:rPr>
        <w:t xml:space="preserve">. </w:t>
      </w:r>
      <w:r w:rsidRPr="00882A14">
        <w:rPr>
          <w:lang w:val="en-AU"/>
        </w:rPr>
        <w:t>The review used a mixed-methods approach, drawing on three evidence streams: document and data review; semi-structured key informant interviews and small group discussions; and sensemaking and validation sessions. This enabled triangulation across documentary evidence, operational and financial data, and stakeholder perspectives.</w:t>
      </w:r>
    </w:p>
    <w:p w14:paraId="071C53C6" w14:textId="57D6984A" w:rsidR="00F01C22" w:rsidRPr="00F6359A" w:rsidRDefault="00F01C22" w:rsidP="00F01C22">
      <w:pPr>
        <w:rPr>
          <w:lang w:val="en-AU"/>
        </w:rPr>
      </w:pPr>
      <w:r w:rsidRPr="1A285ED5">
        <w:rPr>
          <w:lang w:val="en-AU"/>
        </w:rPr>
        <w:t>The document review covered ASIPS+ annual reports, work plans, the Investment Design Document, MEL Plan</w:t>
      </w:r>
      <w:r w:rsidR="71C876EA" w:rsidRPr="1A285ED5">
        <w:rPr>
          <w:lang w:val="en-AU"/>
        </w:rPr>
        <w:t>s</w:t>
      </w:r>
      <w:r w:rsidRPr="1A285ED5">
        <w:rPr>
          <w:lang w:val="en-AU"/>
        </w:rPr>
        <w:t xml:space="preserve">, Quality Programming Strategy, Programming and Performance Management Guidelines, Value for Money assessment, SOG records, reflection notes, and finance, procurement and human resources data. </w:t>
      </w:r>
    </w:p>
    <w:p w14:paraId="64C67D90" w14:textId="1E6C42A3" w:rsidR="00F01C22" w:rsidRDefault="00F01C22" w:rsidP="00F01C22">
      <w:pPr>
        <w:rPr>
          <w:lang w:val="en-AU"/>
        </w:rPr>
      </w:pPr>
      <w:r w:rsidRPr="00800D57">
        <w:rPr>
          <w:lang w:val="en-AU"/>
        </w:rPr>
        <w:t xml:space="preserve">In-country consultations were conducted in Honiara from 18 to 25 March 2026. The consultation sample included the AHC in Honiara, ASIPS+/DT Global personnel, and </w:t>
      </w:r>
      <w:r>
        <w:rPr>
          <w:lang w:val="en-AU"/>
        </w:rPr>
        <w:t xml:space="preserve">SIG </w:t>
      </w:r>
      <w:r w:rsidRPr="00800D57">
        <w:rPr>
          <w:lang w:val="en-AU"/>
        </w:rPr>
        <w:t xml:space="preserve">counterparts from the Ministry of National Planning and Development Coordination (MNPDC), the Ministry of Education and Human Resources Development (MEHRD), and Solomon Islands National University (SINU). Remote interviews were undertaken with stakeholders who could not participate in person. </w:t>
      </w:r>
    </w:p>
    <w:p w14:paraId="2DCBE4B7" w14:textId="20D308C7" w:rsidR="00F01C22" w:rsidRPr="00444470" w:rsidRDefault="00F01C22" w:rsidP="00C13F9E">
      <w:pPr>
        <w:pStyle w:val="Heading3"/>
      </w:pPr>
      <w:r w:rsidRPr="00444470">
        <w:t>Analysis and interpretation</w:t>
      </w:r>
    </w:p>
    <w:p w14:paraId="02120D70" w14:textId="77777777" w:rsidR="00F01C22" w:rsidRPr="00882A14" w:rsidRDefault="00F01C22" w:rsidP="00F01C22">
      <w:pPr>
        <w:rPr>
          <w:lang w:val="en-AU"/>
        </w:rPr>
      </w:pPr>
      <w:r w:rsidRPr="00882A14">
        <w:rPr>
          <w:lang w:val="en-AU"/>
        </w:rPr>
        <w:t>Interview notes, documents and quantitative data were coded against the key evaluation questions</w:t>
      </w:r>
      <w:r>
        <w:rPr>
          <w:lang w:val="en-AU"/>
        </w:rPr>
        <w:t xml:space="preserve"> (KEQs)</w:t>
      </w:r>
      <w:r w:rsidRPr="00882A14">
        <w:rPr>
          <w:lang w:val="en-AU"/>
        </w:rPr>
        <w:t xml:space="preserve">. The review team used </w:t>
      </w:r>
      <w:r w:rsidRPr="00F01C22">
        <w:rPr>
          <w:b/>
          <w:bCs/>
          <w:lang w:val="en-AU"/>
        </w:rPr>
        <w:t>thematic analysis</w:t>
      </w:r>
      <w:r w:rsidRPr="00882A14">
        <w:rPr>
          <w:lang w:val="en-AU"/>
        </w:rPr>
        <w:t xml:space="preserve"> to identify patterns, compare perspectives across </w:t>
      </w:r>
      <w:r>
        <w:rPr>
          <w:lang w:val="en-AU"/>
        </w:rPr>
        <w:t xml:space="preserve">different </w:t>
      </w:r>
      <w:r w:rsidRPr="00882A14">
        <w:rPr>
          <w:lang w:val="en-AU"/>
        </w:rPr>
        <w:t>stakeholder groups, and t</w:t>
      </w:r>
      <w:r>
        <w:rPr>
          <w:lang w:val="en-AU"/>
        </w:rPr>
        <w:t>riangulate</w:t>
      </w:r>
      <w:r w:rsidRPr="00882A14">
        <w:rPr>
          <w:lang w:val="en-AU"/>
        </w:rPr>
        <w:t xml:space="preserve"> consultation evidence against </w:t>
      </w:r>
      <w:r>
        <w:rPr>
          <w:lang w:val="en-AU"/>
        </w:rPr>
        <w:t xml:space="preserve">secondary </w:t>
      </w:r>
      <w:r w:rsidRPr="00882A14">
        <w:rPr>
          <w:lang w:val="en-AU"/>
        </w:rPr>
        <w:t>data.</w:t>
      </w:r>
    </w:p>
    <w:p w14:paraId="099A23B5" w14:textId="6D17671B" w:rsidR="00F01C22" w:rsidRPr="00882A14" w:rsidRDefault="00F01C22" w:rsidP="00F01C22">
      <w:pPr>
        <w:rPr>
          <w:lang w:val="en-AU"/>
        </w:rPr>
      </w:pPr>
      <w:r w:rsidRPr="00882A14">
        <w:rPr>
          <w:lang w:val="en-AU"/>
        </w:rPr>
        <w:t xml:space="preserve">Evidence strength was assessed to support transparent judgements. Evidence is assessed as </w:t>
      </w:r>
      <w:r w:rsidRPr="00882A14">
        <w:rPr>
          <w:b/>
          <w:bCs/>
          <w:lang w:val="en-AU"/>
        </w:rPr>
        <w:t>high</w:t>
      </w:r>
      <w:r w:rsidRPr="00882A14">
        <w:rPr>
          <w:lang w:val="en-AU"/>
        </w:rPr>
        <w:t xml:space="preserve"> where findings were triangulated across several source types and supported by quantitative or documentary data; </w:t>
      </w:r>
      <w:r w:rsidRPr="00882A14">
        <w:rPr>
          <w:b/>
          <w:bCs/>
          <w:lang w:val="en-AU"/>
        </w:rPr>
        <w:t>moderate to high</w:t>
      </w:r>
      <w:r w:rsidRPr="00882A14">
        <w:rPr>
          <w:lang w:val="en-AU"/>
        </w:rPr>
        <w:t xml:space="preserve"> where evidence was consistent across sources but related to systems or practices still being embedded; and </w:t>
      </w:r>
      <w:r w:rsidRPr="00882A14">
        <w:rPr>
          <w:b/>
          <w:bCs/>
          <w:lang w:val="en-AU"/>
        </w:rPr>
        <w:t>moderate</w:t>
      </w:r>
      <w:r w:rsidRPr="00882A14">
        <w:rPr>
          <w:lang w:val="en-AU"/>
        </w:rPr>
        <w:t xml:space="preserve"> where evidence was mainly qualitative, early-stage or drawn from a smaller number of sources. </w:t>
      </w:r>
    </w:p>
    <w:p w14:paraId="79589C10" w14:textId="77777777" w:rsidR="00F01C22" w:rsidRPr="00882A14" w:rsidRDefault="00F01C22" w:rsidP="00F01C22">
      <w:pPr>
        <w:rPr>
          <w:lang w:val="en-AU"/>
        </w:rPr>
      </w:pPr>
      <w:r w:rsidRPr="00882A14">
        <w:rPr>
          <w:lang w:val="en-AU"/>
        </w:rPr>
        <w:t xml:space="preserve">The review applied </w:t>
      </w:r>
      <w:r w:rsidRPr="00F01C22">
        <w:rPr>
          <w:b/>
          <w:bCs/>
          <w:lang w:val="en-AU"/>
        </w:rPr>
        <w:t>contribution-based analysis</w:t>
      </w:r>
      <w:r w:rsidRPr="00882A14">
        <w:rPr>
          <w:lang w:val="en-AU"/>
        </w:rPr>
        <w:t>. It distinguishes between Facility performance, S</w:t>
      </w:r>
      <w:r>
        <w:rPr>
          <w:lang w:val="en-AU"/>
        </w:rPr>
        <w:t>O</w:t>
      </w:r>
      <w:r w:rsidRPr="00882A14">
        <w:rPr>
          <w:lang w:val="en-AU"/>
        </w:rPr>
        <w:t xml:space="preserve"> contribution and broader development results. ASIPS+ is directly accountable for the quality and efficiency of Facility systems, operational support and development effectiveness functions. Development outcomes achieved through S</w:t>
      </w:r>
      <w:r>
        <w:rPr>
          <w:lang w:val="en-AU"/>
        </w:rPr>
        <w:t xml:space="preserve">Os </w:t>
      </w:r>
      <w:r w:rsidRPr="00882A14">
        <w:rPr>
          <w:lang w:val="en-AU"/>
        </w:rPr>
        <w:t>provide evidence of ASIPS+’s contribution but sit beyond the Facility’s control.</w:t>
      </w:r>
    </w:p>
    <w:p w14:paraId="57680352" w14:textId="77777777" w:rsidR="00F01C22" w:rsidRDefault="00F01C22" w:rsidP="00F01C22">
      <w:pPr>
        <w:rPr>
          <w:lang w:val="en-AU"/>
        </w:rPr>
      </w:pPr>
      <w:r w:rsidRPr="46C31772">
        <w:rPr>
          <w:lang w:val="en-AU"/>
        </w:rPr>
        <w:t>Progress towards EOFOs was assessed using the ASIPS+ performance rubric: highly challenging, challenging, adequate</w:t>
      </w:r>
      <w:r>
        <w:rPr>
          <w:lang w:val="en-AU"/>
        </w:rPr>
        <w:t xml:space="preserve"> (</w:t>
      </w:r>
      <w:r w:rsidRPr="46C31772">
        <w:rPr>
          <w:lang w:val="en-AU"/>
        </w:rPr>
        <w:t>or largely on track</w:t>
      </w:r>
      <w:r>
        <w:rPr>
          <w:lang w:val="en-AU"/>
        </w:rPr>
        <w:t>)</w:t>
      </w:r>
      <w:r w:rsidRPr="46C31772">
        <w:rPr>
          <w:lang w:val="en-AU"/>
        </w:rPr>
        <w:t xml:space="preserve">, and good </w:t>
      </w:r>
      <w:r>
        <w:rPr>
          <w:lang w:val="en-AU"/>
        </w:rPr>
        <w:t>(</w:t>
      </w:r>
      <w:r w:rsidRPr="46C31772">
        <w:rPr>
          <w:lang w:val="en-AU"/>
        </w:rPr>
        <w:t>or on track</w:t>
      </w:r>
      <w:r>
        <w:rPr>
          <w:lang w:val="en-AU"/>
        </w:rPr>
        <w:t>)</w:t>
      </w:r>
      <w:r w:rsidRPr="46C31772">
        <w:rPr>
          <w:lang w:val="en-AU"/>
        </w:rPr>
        <w:t>. As ASIPS+ is a hybrid facility rather than a program, the review does not calculate a unit cost for outcomes in the value for money assessment. SOs vary substantially in purpose, size, risk profile and delivery modality. Some are large development programs; others are targeted technical assistance, deployee support, flexible funds, small grants, procurement support or non-ODA operational activities. The most appropriate value for money test is therefore if the Facility model uses resources economically and efficiently, manages risk, enables AHC to deliver better and faster than feasible alternatives, and maintains quality and accountability as the portfolio grows.</w:t>
      </w:r>
    </w:p>
    <w:p w14:paraId="4C543289" w14:textId="77777777" w:rsidR="00F01C22" w:rsidRPr="00851309" w:rsidRDefault="00F01C22" w:rsidP="00F01C22">
      <w:pPr>
        <w:rPr>
          <w:lang w:val="en-AU"/>
        </w:rPr>
      </w:pPr>
      <w:r w:rsidRPr="00851309">
        <w:rPr>
          <w:lang w:val="en-AU"/>
        </w:rPr>
        <w:t xml:space="preserve">Judgements considered the strength of evidence, </w:t>
      </w:r>
      <w:r w:rsidRPr="00851309">
        <w:rPr>
          <w:shd w:val="clear" w:color="auto" w:fill="FFFFFF" w:themeFill="background1"/>
          <w:lang w:val="en-AU"/>
        </w:rPr>
        <w:t>the scale of portfolio growth, and the extent to which issues were within ASIPS+’s or DFAT’s control. The review also considered the maturity of the model which was developed at the beginning of 2024 after a six-month inception period. The ASIPS+ refreshed design was approved in August 2024</w:t>
      </w:r>
      <w:r>
        <w:rPr>
          <w:shd w:val="clear" w:color="auto" w:fill="FFFFFF" w:themeFill="background1"/>
          <w:lang w:val="en-AU"/>
        </w:rPr>
        <w:t>.  It</w:t>
      </w:r>
      <w:r w:rsidRPr="00851309">
        <w:rPr>
          <w:shd w:val="clear" w:color="auto" w:fill="FFFFFF" w:themeFill="background1"/>
          <w:lang w:val="en-AU"/>
        </w:rPr>
        <w:t xml:space="preserve"> </w:t>
      </w:r>
      <w:r w:rsidRPr="008F0862">
        <w:rPr>
          <w:shd w:val="clear" w:color="auto" w:fill="FFFFFF" w:themeFill="background1"/>
          <w:lang w:val="en-AU"/>
        </w:rPr>
        <w:t>centralised performance management under the Facility Director to ensure greater strategic alignment</w:t>
      </w:r>
      <w:r>
        <w:rPr>
          <w:shd w:val="clear" w:color="auto" w:fill="FFFFFF" w:themeFill="background1"/>
          <w:lang w:val="en-AU"/>
        </w:rPr>
        <w:t>,</w:t>
      </w:r>
      <w:r w:rsidRPr="008F0862">
        <w:rPr>
          <w:shd w:val="clear" w:color="auto" w:fill="FFFFFF" w:themeFill="background1"/>
          <w:lang w:val="en-AU"/>
        </w:rPr>
        <w:t xml:space="preserve"> consistency of </w:t>
      </w:r>
      <w:r w:rsidRPr="00851309">
        <w:rPr>
          <w:shd w:val="clear" w:color="auto" w:fill="FFFFFF" w:themeFill="background1"/>
          <w:lang w:val="en-AU"/>
        </w:rPr>
        <w:t xml:space="preserve">delivery and promoted a core team of advisors from DEH </w:t>
      </w:r>
      <w:r>
        <w:rPr>
          <w:shd w:val="clear" w:color="auto" w:fill="FFFFFF" w:themeFill="background1"/>
          <w:lang w:val="en-AU"/>
        </w:rPr>
        <w:t>to</w:t>
      </w:r>
      <w:r w:rsidRPr="00851309">
        <w:rPr>
          <w:shd w:val="clear" w:color="auto" w:fill="FFFFFF" w:themeFill="background1"/>
          <w:lang w:val="en-AU"/>
        </w:rPr>
        <w:t xml:space="preserve"> facilitate knowledge sharing and consistent implementation approaches. </w:t>
      </w:r>
      <w:r>
        <w:rPr>
          <w:shd w:val="clear" w:color="auto" w:fill="FFFFFF" w:themeFill="background1"/>
          <w:lang w:val="en-AU"/>
        </w:rPr>
        <w:t>Some</w:t>
      </w:r>
      <w:r w:rsidRPr="00851309">
        <w:rPr>
          <w:shd w:val="clear" w:color="auto" w:fill="FFFFFF" w:themeFill="background1"/>
          <w:lang w:val="en-AU"/>
        </w:rPr>
        <w:t xml:space="preserve"> systems, strategies and quality standards were still being operationalised during th</w:t>
      </w:r>
      <w:r>
        <w:rPr>
          <w:shd w:val="clear" w:color="auto" w:fill="FFFFFF" w:themeFill="background1"/>
          <w:lang w:val="en-AU"/>
        </w:rPr>
        <w:t xml:space="preserve">is </w:t>
      </w:r>
      <w:r w:rsidRPr="00851309">
        <w:rPr>
          <w:shd w:val="clear" w:color="auto" w:fill="FFFFFF" w:themeFill="background1"/>
          <w:lang w:val="en-AU"/>
        </w:rPr>
        <w:t>review period. Findings therefore reflect an early-stage hybrid facility model, rather than a fully institutionalised operating model.</w:t>
      </w:r>
    </w:p>
    <w:p w14:paraId="55239220" w14:textId="77777777" w:rsidR="00F01C22" w:rsidRDefault="00F01C22" w:rsidP="00F01C22">
      <w:pPr>
        <w:rPr>
          <w:lang w:val="en-AU"/>
        </w:rPr>
      </w:pPr>
      <w:r w:rsidRPr="007D335F">
        <w:rPr>
          <w:lang w:val="en-AU"/>
        </w:rPr>
        <w:t>Emerging findings were tested through an end-of-mission aide mémoire presentation with AHC, ASIPS+ and DT Global representatives on 25 March 2026. Feedback from this session informed the</w:t>
      </w:r>
      <w:r w:rsidRPr="00882A14">
        <w:rPr>
          <w:lang w:val="en-AU"/>
        </w:rPr>
        <w:t xml:space="preserve"> interpretation of evidence and helped refine the framing of findings and recommendations.</w:t>
      </w:r>
    </w:p>
    <w:p w14:paraId="50A9C617" w14:textId="11FFD806" w:rsidR="00F01C22" w:rsidRPr="00444470" w:rsidRDefault="00F01C22" w:rsidP="00C13F9E">
      <w:pPr>
        <w:pStyle w:val="Heading3"/>
      </w:pPr>
      <w:r w:rsidRPr="00444470">
        <w:t>Limitations</w:t>
      </w:r>
    </w:p>
    <w:p w14:paraId="3E248EE0" w14:textId="59C482F8" w:rsidR="00195048" w:rsidRDefault="00F01C22" w:rsidP="00F01C22">
      <w:pPr>
        <w:rPr>
          <w:lang w:val="en-AU"/>
        </w:rPr>
      </w:pPr>
      <w:r w:rsidRPr="00882A14">
        <w:rPr>
          <w:lang w:val="en-AU"/>
        </w:rPr>
        <w:t xml:space="preserve">The fieldwork period was short relative to the breadth of the </w:t>
      </w:r>
      <w:r w:rsidR="00AE4DF5">
        <w:rPr>
          <w:lang w:val="en-AU"/>
        </w:rPr>
        <w:t>f</w:t>
      </w:r>
      <w:r w:rsidRPr="00882A14">
        <w:rPr>
          <w:lang w:val="en-AU"/>
        </w:rPr>
        <w:t>acility and S</w:t>
      </w:r>
      <w:r>
        <w:rPr>
          <w:lang w:val="en-AU"/>
        </w:rPr>
        <w:t xml:space="preserve">O </w:t>
      </w:r>
      <w:r w:rsidRPr="00882A14">
        <w:rPr>
          <w:lang w:val="en-AU"/>
        </w:rPr>
        <w:t>portfolio. The review prioritised key informants and sampled S</w:t>
      </w:r>
      <w:r>
        <w:rPr>
          <w:lang w:val="en-AU"/>
        </w:rPr>
        <w:t>Os</w:t>
      </w:r>
      <w:r w:rsidRPr="00882A14">
        <w:rPr>
          <w:lang w:val="en-AU"/>
        </w:rPr>
        <w:t xml:space="preserve">, rather than seeking comprehensive coverage of all SO teams, downstream partners, provincial stakeholders and government counterparts. </w:t>
      </w:r>
    </w:p>
    <w:p w14:paraId="4574174A" w14:textId="759F3276" w:rsidR="00F01C22" w:rsidRPr="00882A14" w:rsidRDefault="00F01C22" w:rsidP="00F01C22">
      <w:pPr>
        <w:rPr>
          <w:lang w:val="en-AU"/>
        </w:rPr>
      </w:pPr>
      <w:r w:rsidRPr="46C31772">
        <w:rPr>
          <w:lang w:val="en-AU"/>
        </w:rPr>
        <w:lastRenderedPageBreak/>
        <w:t xml:space="preserve">The review relied partly on </w:t>
      </w:r>
      <w:r w:rsidR="00195048">
        <w:rPr>
          <w:lang w:val="en-AU"/>
        </w:rPr>
        <w:t>f</w:t>
      </w:r>
      <w:r w:rsidRPr="46C31772">
        <w:rPr>
          <w:lang w:val="en-AU"/>
        </w:rPr>
        <w:t xml:space="preserve">acility-generated monitoring, financial, procurement and human resources data. These sources were tested against consultation evidence, documents and SIG feedback. However, some datasets were still evolving as ASIPS+ systems matured. </w:t>
      </w:r>
      <w:r w:rsidR="00195048" w:rsidRPr="00882A14">
        <w:rPr>
          <w:lang w:val="en-AU"/>
        </w:rPr>
        <w:t>Direct community-level and beneficiary evidence was limited.</w:t>
      </w:r>
      <w:r w:rsidR="00195048">
        <w:rPr>
          <w:lang w:val="en-AU"/>
        </w:rPr>
        <w:t xml:space="preserve"> </w:t>
      </w:r>
      <w:r w:rsidRPr="46C31772">
        <w:rPr>
          <w:lang w:val="en-AU"/>
        </w:rPr>
        <w:t>Where evidence was partial</w:t>
      </w:r>
      <w:r>
        <w:rPr>
          <w:lang w:val="en-AU"/>
        </w:rPr>
        <w:t xml:space="preserve"> </w:t>
      </w:r>
      <w:r w:rsidRPr="46C31772">
        <w:rPr>
          <w:lang w:val="en-AU"/>
        </w:rPr>
        <w:t>or based mainly on stakeholder perceptions, this is reflected in the evidence strength ratings.</w:t>
      </w:r>
    </w:p>
    <w:p w14:paraId="45702990" w14:textId="77777777" w:rsidR="00F01C22" w:rsidRDefault="00F01C22" w:rsidP="00F05754">
      <w:r>
        <w:br w:type="page"/>
      </w:r>
    </w:p>
    <w:p w14:paraId="1D40DE25" w14:textId="796BB3EC" w:rsidR="004B25B9" w:rsidRPr="00550B3C" w:rsidRDefault="00306A84" w:rsidP="00550B3C">
      <w:pPr>
        <w:pStyle w:val="Heading2"/>
      </w:pPr>
      <w:bookmarkStart w:id="20" w:name="_Toc234426731"/>
      <w:r w:rsidRPr="00550B3C">
        <w:lastRenderedPageBreak/>
        <w:t xml:space="preserve">Annex </w:t>
      </w:r>
      <w:r w:rsidR="00E0018F">
        <w:t>2</w:t>
      </w:r>
      <w:r w:rsidRPr="00550B3C">
        <w:t>. Documents reviewed</w:t>
      </w:r>
      <w:bookmarkEnd w:id="20"/>
    </w:p>
    <w:p w14:paraId="6ECF0EA7" w14:textId="4A5C0683" w:rsidR="00BB26CD" w:rsidRDefault="00BB26CD" w:rsidP="00182398">
      <w:r w:rsidRPr="00BB26CD">
        <w:t>Australian National Audit Office. (2020). Value for money in the delivery of Official Development Assistance through facility arrangements (Auditor-General Report No. 32 of 2019–20). Australian National Audit Office.</w:t>
      </w:r>
    </w:p>
    <w:p w14:paraId="59B68035" w14:textId="3D292722" w:rsidR="00182398" w:rsidRDefault="00182398" w:rsidP="00182398">
      <w:r>
        <w:t>ASIPS+. (2023). ASIPS Localisation Strategy. DT Global.</w:t>
      </w:r>
    </w:p>
    <w:p w14:paraId="4961598E" w14:textId="77777777" w:rsidR="00182398" w:rsidRDefault="00182398" w:rsidP="00182398">
      <w:r>
        <w:t>ASIPS+. (2024). ASIPS+ Climate Change: An Integrated Approach. DT Global.</w:t>
      </w:r>
    </w:p>
    <w:p w14:paraId="36B5706E" w14:textId="77777777" w:rsidR="00182398" w:rsidRDefault="00182398" w:rsidP="00182398">
      <w:r>
        <w:t>ASIPS+. (2024). ASIPS+ First Nations Engagement: An Integrated Approach. DT Global.</w:t>
      </w:r>
    </w:p>
    <w:p w14:paraId="69A70F9D" w14:textId="77777777" w:rsidR="00182398" w:rsidRDefault="00182398" w:rsidP="00182398">
      <w:r>
        <w:t>ASIPS+. (2024). ASIPS+ Gender Equality, Disability Equity and Rights: An Integrated Approach. DT Global.</w:t>
      </w:r>
    </w:p>
    <w:p w14:paraId="490EEA34" w14:textId="77777777" w:rsidR="00182398" w:rsidRDefault="00182398" w:rsidP="00182398">
      <w:r>
        <w:t>ASIPS+. (2024). ASIPS+ Keeping People and the Environment Safe: An Integrated Safeguarding Approach. DT Global.</w:t>
      </w:r>
    </w:p>
    <w:p w14:paraId="5C3BA382" w14:textId="77777777" w:rsidR="00182398" w:rsidRDefault="00182398" w:rsidP="00182398">
      <w:r>
        <w:t>ASIPS+. (2024). ASIPS+ Programming and Performance Management Guidelines. DT Global.</w:t>
      </w:r>
    </w:p>
    <w:p w14:paraId="76FC8B2A" w14:textId="77777777" w:rsidR="00182398" w:rsidRDefault="00182398" w:rsidP="00182398">
      <w:r>
        <w:t>ASIPS+. (2024). ASIPS+ Quality Programming Strategy: An Integrated Approach. DT Global.</w:t>
      </w:r>
    </w:p>
    <w:p w14:paraId="5173BB66" w14:textId="77777777" w:rsidR="00182398" w:rsidRDefault="00182398" w:rsidP="00182398">
      <w:r>
        <w:t>ASIPS+. (2025). ASIPS+ Annual Report 2024. DT Global.</w:t>
      </w:r>
    </w:p>
    <w:p w14:paraId="5FE91CAF" w14:textId="77777777" w:rsidR="00182398" w:rsidRDefault="00182398" w:rsidP="00182398">
      <w:r>
        <w:t>ASIPS+. (2025). ASIPS+ Annual Work Plan 2025. DT Global.</w:t>
      </w:r>
    </w:p>
    <w:p w14:paraId="0CFE3D3E" w14:textId="77777777" w:rsidR="00182398" w:rsidRDefault="00182398" w:rsidP="00182398">
      <w:r>
        <w:t>ASIPS+. (2025). ASIPS+ Value for Money Supplementary Report 2025. DT Global.</w:t>
      </w:r>
    </w:p>
    <w:p w14:paraId="10803AEF" w14:textId="77777777" w:rsidR="00182398" w:rsidRDefault="00182398" w:rsidP="00182398">
      <w:r>
        <w:t>ASIPS+. (2026). ASIPS+ Annual Report 2025. DT Global.</w:t>
      </w:r>
    </w:p>
    <w:p w14:paraId="22619A46" w14:textId="77777777" w:rsidR="00182398" w:rsidRDefault="00182398" w:rsidP="00182398">
      <w:r>
        <w:t>ASIPS+. (2026). ASIPS+ Annual Work Plan 2026. DT Global.</w:t>
      </w:r>
    </w:p>
    <w:p w14:paraId="156832CB" w14:textId="77777777" w:rsidR="00182398" w:rsidRDefault="00182398" w:rsidP="00182398">
      <w:r>
        <w:t>ASIPS+. (2026). ASIPS+ Current Service Orders. DT Global.</w:t>
      </w:r>
    </w:p>
    <w:p w14:paraId="59715489" w14:textId="77777777" w:rsidR="00182398" w:rsidRDefault="00182398" w:rsidP="00182398">
      <w:r>
        <w:t>Department of Foreign Affairs and Trade. (2024). Australia-Solomon Islands Development Partnership Plan 2024-2029. Australian Government.</w:t>
      </w:r>
    </w:p>
    <w:p w14:paraId="6BC4EDD9" w14:textId="77777777" w:rsidR="00182398" w:rsidRDefault="00182398" w:rsidP="00182398">
      <w:r>
        <w:t>Department of Foreign Affairs and Trade. (2026). ASIPS+ Investment Monitoring Report: 1 January 2024 to 31 December 2024. Australian Government.</w:t>
      </w:r>
    </w:p>
    <w:p w14:paraId="7CE5951D" w14:textId="77777777" w:rsidR="00182398" w:rsidRDefault="00182398" w:rsidP="00182398">
      <w:r>
        <w:t>DT Global. (2024). Australia Solomon Islands Program Support Facility Plus Investment Design Document Refresh. DT Global.</w:t>
      </w:r>
    </w:p>
    <w:p w14:paraId="0E968056" w14:textId="77777777" w:rsidR="00182398" w:rsidRDefault="00182398" w:rsidP="00182398">
      <w:r>
        <w:t>Solomon Islands Government. (2016). National Development Strategy 2016 to 2035: Improving the Social and Economic Livelihoods of all Solomon Islanders. Ministry of Development Planning and Aid Coordination.</w:t>
      </w:r>
    </w:p>
    <w:p w14:paraId="3EC60E07" w14:textId="77777777" w:rsidR="00182398" w:rsidRDefault="00182398" w:rsidP="00182398">
      <w:r>
        <w:t>Strategic Oversight Group. (2024). ASIPS+ Strategic Oversight Group Meeting Minutes, 3 October 2024. ASIPS+.</w:t>
      </w:r>
    </w:p>
    <w:p w14:paraId="4F14F184" w14:textId="77777777" w:rsidR="00182398" w:rsidRDefault="00182398" w:rsidP="00182398">
      <w:r>
        <w:t>Strategic Oversight Group. (2025). ASIPS+ Strategic Oversight Group Meeting Minutes, 12 February 2025. ASIPS+.</w:t>
      </w:r>
    </w:p>
    <w:p w14:paraId="71824006" w14:textId="77777777" w:rsidR="00182398" w:rsidRDefault="00182398" w:rsidP="00182398">
      <w:r>
        <w:t>Strategic Oversight Group. (2025). ASIPS+ Strategic Oversight Group Meeting Minutes, 30 September 2025. ASIPS+.</w:t>
      </w:r>
    </w:p>
    <w:p w14:paraId="633AB667" w14:textId="054F4C1E" w:rsidR="00377576" w:rsidRDefault="00182398">
      <w:r>
        <w:t>Strategic Oversight Group. (2026). ASIPS+ Strategic Oversight Group Meeting Minutes, 31 March 2026. ASIPS+.</w:t>
      </w:r>
    </w:p>
    <w:p w14:paraId="1FBA831B" w14:textId="25B84405" w:rsidR="00093B6D" w:rsidRDefault="00306A84" w:rsidP="00544FE1">
      <w:pPr>
        <w:pStyle w:val="pf0"/>
        <w:rPr>
          <w:rFonts w:ascii="Arial" w:hAnsi="Arial" w:cs="Arial"/>
          <w:sz w:val="20"/>
          <w:szCs w:val="20"/>
        </w:rPr>
      </w:pPr>
      <w:r>
        <w:br w:type="page"/>
      </w:r>
    </w:p>
    <w:p w14:paraId="11371DA3" w14:textId="0FBA17C4" w:rsidR="004B25B9" w:rsidRPr="00550B3C" w:rsidRDefault="00306A84" w:rsidP="00550B3C">
      <w:pPr>
        <w:pStyle w:val="Heading2"/>
      </w:pPr>
      <w:bookmarkStart w:id="21" w:name="_Toc234426732"/>
      <w:r w:rsidRPr="00550B3C">
        <w:lastRenderedPageBreak/>
        <w:t xml:space="preserve">Annex </w:t>
      </w:r>
      <w:r w:rsidR="00E0018F">
        <w:t>3</w:t>
      </w:r>
      <w:r w:rsidRPr="00550B3C">
        <w:t>. Consultation list</w:t>
      </w:r>
      <w:bookmarkEnd w:id="21"/>
    </w:p>
    <w:tbl>
      <w:tblPr>
        <w:tblStyle w:val="TableGridLight"/>
        <w:tblW w:w="5000" w:type="pct"/>
        <w:tblLook w:val="04A0" w:firstRow="1" w:lastRow="0" w:firstColumn="1" w:lastColumn="0" w:noHBand="0" w:noVBand="1"/>
      </w:tblPr>
      <w:tblGrid>
        <w:gridCol w:w="1839"/>
        <w:gridCol w:w="2125"/>
        <w:gridCol w:w="4021"/>
        <w:gridCol w:w="2097"/>
      </w:tblGrid>
      <w:tr w:rsidR="003769AB" w:rsidRPr="00003015" w14:paraId="4C18163E" w14:textId="77777777" w:rsidTr="0093321B">
        <w:trPr>
          <w:tblHeader/>
        </w:trPr>
        <w:tc>
          <w:tcPr>
            <w:tcW w:w="912" w:type="pct"/>
            <w:shd w:val="clear" w:color="auto" w:fill="002060"/>
            <w:hideMark/>
          </w:tcPr>
          <w:p w14:paraId="1F00F75D" w14:textId="77777777" w:rsidR="003769AB" w:rsidRPr="00003015" w:rsidRDefault="003769AB" w:rsidP="00003015">
            <w:pPr>
              <w:spacing w:before="0" w:after="0"/>
              <w:rPr>
                <w:rFonts w:ascii="Arial" w:hAnsi="Arial" w:cs="Arial"/>
                <w:b/>
                <w:bCs/>
                <w:color w:val="FFFFFF" w:themeColor="background1"/>
                <w:sz w:val="18"/>
                <w:szCs w:val="18"/>
                <w:lang w:val="en-AU"/>
              </w:rPr>
            </w:pPr>
            <w:r w:rsidRPr="00003015">
              <w:rPr>
                <w:rFonts w:ascii="Arial" w:hAnsi="Arial" w:cs="Arial"/>
                <w:b/>
                <w:bCs/>
                <w:color w:val="FFFFFF" w:themeColor="background1"/>
                <w:sz w:val="18"/>
                <w:szCs w:val="18"/>
                <w:lang w:val="en-AU"/>
              </w:rPr>
              <w:t>Stakeholder group</w:t>
            </w:r>
          </w:p>
        </w:tc>
        <w:tc>
          <w:tcPr>
            <w:tcW w:w="1054" w:type="pct"/>
            <w:shd w:val="clear" w:color="auto" w:fill="002060"/>
            <w:hideMark/>
          </w:tcPr>
          <w:p w14:paraId="031E7784" w14:textId="3E667747" w:rsidR="003769AB" w:rsidRPr="00003015" w:rsidRDefault="003769AB" w:rsidP="00003015">
            <w:pPr>
              <w:spacing w:before="0" w:after="0"/>
              <w:rPr>
                <w:rFonts w:ascii="Arial" w:hAnsi="Arial" w:cs="Arial"/>
                <w:b/>
                <w:bCs/>
                <w:color w:val="FFFFFF" w:themeColor="background1"/>
                <w:sz w:val="18"/>
                <w:szCs w:val="18"/>
                <w:lang w:val="en-AU"/>
              </w:rPr>
            </w:pPr>
            <w:r w:rsidRPr="00003015">
              <w:rPr>
                <w:rFonts w:ascii="Arial" w:hAnsi="Arial" w:cs="Arial"/>
                <w:b/>
                <w:bCs/>
                <w:color w:val="FFFFFF" w:themeColor="background1"/>
                <w:sz w:val="18"/>
                <w:szCs w:val="18"/>
                <w:lang w:val="en-AU"/>
              </w:rPr>
              <w:t>Organisation</w:t>
            </w:r>
            <w:r w:rsidR="0093321B" w:rsidRPr="00003015">
              <w:rPr>
                <w:rFonts w:ascii="Arial" w:hAnsi="Arial" w:cs="Arial"/>
                <w:b/>
                <w:bCs/>
                <w:color w:val="FFFFFF" w:themeColor="background1"/>
                <w:sz w:val="18"/>
                <w:szCs w:val="18"/>
                <w:lang w:val="en-AU"/>
              </w:rPr>
              <w:t xml:space="preserve"> </w:t>
            </w:r>
            <w:r w:rsidRPr="00003015">
              <w:rPr>
                <w:rFonts w:ascii="Arial" w:hAnsi="Arial" w:cs="Arial"/>
                <w:b/>
                <w:bCs/>
                <w:color w:val="FFFFFF" w:themeColor="background1"/>
                <w:sz w:val="18"/>
                <w:szCs w:val="18"/>
                <w:lang w:val="en-AU"/>
              </w:rPr>
              <w:t>/</w:t>
            </w:r>
            <w:r w:rsidR="0093321B" w:rsidRPr="00003015">
              <w:rPr>
                <w:rFonts w:ascii="Arial" w:hAnsi="Arial" w:cs="Arial"/>
                <w:b/>
                <w:bCs/>
                <w:color w:val="FFFFFF" w:themeColor="background1"/>
                <w:sz w:val="18"/>
                <w:szCs w:val="18"/>
                <w:lang w:val="en-AU"/>
              </w:rPr>
              <w:t xml:space="preserve"> </w:t>
            </w:r>
            <w:r w:rsidRPr="00003015">
              <w:rPr>
                <w:rFonts w:ascii="Arial" w:hAnsi="Arial" w:cs="Arial"/>
                <w:b/>
                <w:bCs/>
                <w:color w:val="FFFFFF" w:themeColor="background1"/>
                <w:sz w:val="18"/>
                <w:szCs w:val="18"/>
                <w:lang w:val="en-AU"/>
              </w:rPr>
              <w:t>team</w:t>
            </w:r>
          </w:p>
        </w:tc>
        <w:tc>
          <w:tcPr>
            <w:tcW w:w="1994" w:type="pct"/>
            <w:shd w:val="clear" w:color="auto" w:fill="002060"/>
            <w:hideMark/>
          </w:tcPr>
          <w:p w14:paraId="42DBB66E" w14:textId="77777777" w:rsidR="003769AB" w:rsidRPr="00003015" w:rsidRDefault="003769AB" w:rsidP="00003015">
            <w:pPr>
              <w:spacing w:before="0" w:after="0"/>
              <w:rPr>
                <w:rFonts w:ascii="Arial" w:hAnsi="Arial" w:cs="Arial"/>
                <w:b/>
                <w:bCs/>
                <w:color w:val="FFFFFF" w:themeColor="background1"/>
                <w:sz w:val="18"/>
                <w:szCs w:val="18"/>
                <w:lang w:val="en-AU"/>
              </w:rPr>
            </w:pPr>
            <w:r w:rsidRPr="00003015">
              <w:rPr>
                <w:rFonts w:ascii="Arial" w:hAnsi="Arial" w:cs="Arial"/>
                <w:b/>
                <w:bCs/>
                <w:color w:val="FFFFFF" w:themeColor="background1"/>
                <w:sz w:val="18"/>
                <w:szCs w:val="18"/>
                <w:lang w:val="en-AU"/>
              </w:rPr>
              <w:t>Main area of consultation</w:t>
            </w:r>
          </w:p>
        </w:tc>
        <w:tc>
          <w:tcPr>
            <w:tcW w:w="1040" w:type="pct"/>
            <w:shd w:val="clear" w:color="auto" w:fill="002060"/>
            <w:hideMark/>
          </w:tcPr>
          <w:p w14:paraId="01F26BA4" w14:textId="77777777" w:rsidR="003769AB" w:rsidRPr="00003015" w:rsidRDefault="003769AB" w:rsidP="00003015">
            <w:pPr>
              <w:spacing w:before="0" w:after="0"/>
              <w:rPr>
                <w:rFonts w:ascii="Arial" w:hAnsi="Arial" w:cs="Arial"/>
                <w:b/>
                <w:bCs/>
                <w:color w:val="FFFFFF" w:themeColor="background1"/>
                <w:sz w:val="18"/>
                <w:szCs w:val="18"/>
                <w:lang w:val="en-AU"/>
              </w:rPr>
            </w:pPr>
            <w:r w:rsidRPr="00003015">
              <w:rPr>
                <w:rFonts w:ascii="Arial" w:hAnsi="Arial" w:cs="Arial"/>
                <w:b/>
                <w:bCs/>
                <w:color w:val="FFFFFF" w:themeColor="background1"/>
                <w:sz w:val="18"/>
                <w:szCs w:val="18"/>
                <w:lang w:val="en-AU"/>
              </w:rPr>
              <w:t>Consultation type</w:t>
            </w:r>
          </w:p>
        </w:tc>
      </w:tr>
      <w:tr w:rsidR="003769AB" w:rsidRPr="00003015" w14:paraId="3F6880F5" w14:textId="77777777" w:rsidTr="0093321B">
        <w:tc>
          <w:tcPr>
            <w:tcW w:w="912" w:type="pct"/>
            <w:hideMark/>
          </w:tcPr>
          <w:p w14:paraId="531A340C" w14:textId="6D60DA95"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AHC</w:t>
            </w:r>
          </w:p>
        </w:tc>
        <w:tc>
          <w:tcPr>
            <w:tcW w:w="1054" w:type="pct"/>
            <w:hideMark/>
          </w:tcPr>
          <w:p w14:paraId="2F4B93F1" w14:textId="04D2A0E1" w:rsidR="003769AB" w:rsidRPr="00003015" w:rsidRDefault="00643610" w:rsidP="00003015">
            <w:pPr>
              <w:spacing w:before="0" w:after="0"/>
              <w:rPr>
                <w:rFonts w:ascii="Arial" w:hAnsi="Arial" w:cs="Arial"/>
                <w:sz w:val="18"/>
                <w:szCs w:val="18"/>
                <w:lang w:val="en-AU"/>
              </w:rPr>
            </w:pPr>
            <w:r w:rsidRPr="00003015">
              <w:rPr>
                <w:rFonts w:ascii="Arial" w:hAnsi="Arial" w:cs="Arial"/>
                <w:sz w:val="18"/>
                <w:szCs w:val="18"/>
                <w:lang w:val="en-AU"/>
              </w:rPr>
              <w:t>AHC</w:t>
            </w:r>
            <w:r w:rsidR="003769AB" w:rsidRPr="00003015">
              <w:rPr>
                <w:rFonts w:ascii="Arial" w:hAnsi="Arial" w:cs="Arial"/>
                <w:sz w:val="18"/>
                <w:szCs w:val="18"/>
                <w:lang w:val="en-AU"/>
              </w:rPr>
              <w:t xml:space="preserve"> Honiara – senior leadership</w:t>
            </w:r>
          </w:p>
        </w:tc>
        <w:tc>
          <w:tcPr>
            <w:tcW w:w="1994" w:type="pct"/>
            <w:hideMark/>
          </w:tcPr>
          <w:p w14:paraId="01774764" w14:textId="329A9284"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 xml:space="preserve">Strategic direction, </w:t>
            </w:r>
            <w:r w:rsidR="00C20C31" w:rsidRPr="00003015">
              <w:rPr>
                <w:rFonts w:ascii="Arial" w:hAnsi="Arial" w:cs="Arial"/>
                <w:sz w:val="18"/>
                <w:szCs w:val="18"/>
                <w:lang w:val="en-AU"/>
              </w:rPr>
              <w:t>f</w:t>
            </w:r>
            <w:r w:rsidRPr="00003015">
              <w:rPr>
                <w:rFonts w:ascii="Arial" w:hAnsi="Arial" w:cs="Arial"/>
                <w:sz w:val="18"/>
                <w:szCs w:val="18"/>
                <w:lang w:val="en-AU"/>
              </w:rPr>
              <w:t>acility performance, governance, future pathway and decision points</w:t>
            </w:r>
          </w:p>
        </w:tc>
        <w:tc>
          <w:tcPr>
            <w:tcW w:w="1040" w:type="pct"/>
            <w:hideMark/>
          </w:tcPr>
          <w:p w14:paraId="57FA7BB4" w14:textId="2E00972C"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In-person consultation and aide mémoire discussion</w:t>
            </w:r>
          </w:p>
        </w:tc>
      </w:tr>
      <w:tr w:rsidR="003769AB" w:rsidRPr="00003015" w14:paraId="77301FAB" w14:textId="77777777" w:rsidTr="0093321B">
        <w:tc>
          <w:tcPr>
            <w:tcW w:w="912" w:type="pct"/>
            <w:hideMark/>
          </w:tcPr>
          <w:p w14:paraId="272810C5" w14:textId="28F8D71A"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AHC</w:t>
            </w:r>
          </w:p>
        </w:tc>
        <w:tc>
          <w:tcPr>
            <w:tcW w:w="1054" w:type="pct"/>
            <w:hideMark/>
          </w:tcPr>
          <w:p w14:paraId="47182045" w14:textId="44FB65CB"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Facility Investment Management Team</w:t>
            </w:r>
          </w:p>
        </w:tc>
        <w:tc>
          <w:tcPr>
            <w:tcW w:w="1994" w:type="pct"/>
            <w:hideMark/>
          </w:tcPr>
          <w:p w14:paraId="039AD495"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Facility oversight, ASIPS+ management, resourcing, performance, risks and ways of working</w:t>
            </w:r>
          </w:p>
        </w:tc>
        <w:tc>
          <w:tcPr>
            <w:tcW w:w="1040" w:type="pct"/>
            <w:hideMark/>
          </w:tcPr>
          <w:p w14:paraId="65D9FF9D"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Individual / small group consultation</w:t>
            </w:r>
          </w:p>
        </w:tc>
      </w:tr>
      <w:tr w:rsidR="003769AB" w:rsidRPr="00003015" w14:paraId="696751DF" w14:textId="77777777" w:rsidTr="0093321B">
        <w:tc>
          <w:tcPr>
            <w:tcW w:w="912" w:type="pct"/>
            <w:hideMark/>
          </w:tcPr>
          <w:p w14:paraId="0C3BEA12" w14:textId="62E2919B"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AHC</w:t>
            </w:r>
          </w:p>
        </w:tc>
        <w:tc>
          <w:tcPr>
            <w:tcW w:w="1054" w:type="pct"/>
            <w:hideMark/>
          </w:tcPr>
          <w:p w14:paraId="718F6D42" w14:textId="1F729DF3"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Economics Team</w:t>
            </w:r>
          </w:p>
        </w:tc>
        <w:tc>
          <w:tcPr>
            <w:tcW w:w="1994" w:type="pct"/>
            <w:hideMark/>
          </w:tcPr>
          <w:p w14:paraId="265F6A13" w14:textId="18747112"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 xml:space="preserve">Economic governance support, flexible technical assistance, procurement, efficiency and fit of the </w:t>
            </w:r>
            <w:r w:rsidR="00C20C31" w:rsidRPr="00003015">
              <w:rPr>
                <w:rFonts w:ascii="Arial" w:hAnsi="Arial" w:cs="Arial"/>
                <w:sz w:val="18"/>
                <w:szCs w:val="18"/>
                <w:lang w:val="en-AU"/>
              </w:rPr>
              <w:t>f</w:t>
            </w:r>
            <w:r w:rsidRPr="00003015">
              <w:rPr>
                <w:rFonts w:ascii="Arial" w:hAnsi="Arial" w:cs="Arial"/>
                <w:sz w:val="18"/>
                <w:szCs w:val="18"/>
                <w:lang w:val="en-AU"/>
              </w:rPr>
              <w:t>acility model</w:t>
            </w:r>
          </w:p>
        </w:tc>
        <w:tc>
          <w:tcPr>
            <w:tcW w:w="1040" w:type="pct"/>
            <w:hideMark/>
          </w:tcPr>
          <w:p w14:paraId="3575205D"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Small group consultation</w:t>
            </w:r>
          </w:p>
        </w:tc>
      </w:tr>
      <w:tr w:rsidR="003769AB" w:rsidRPr="00003015" w14:paraId="27C964CA" w14:textId="77777777" w:rsidTr="0093321B">
        <w:tc>
          <w:tcPr>
            <w:tcW w:w="912" w:type="pct"/>
            <w:hideMark/>
          </w:tcPr>
          <w:p w14:paraId="3BBCB9CB" w14:textId="7B083E5D"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AHC</w:t>
            </w:r>
          </w:p>
        </w:tc>
        <w:tc>
          <w:tcPr>
            <w:tcW w:w="1054" w:type="pct"/>
            <w:hideMark/>
          </w:tcPr>
          <w:p w14:paraId="52307C28" w14:textId="0B222E53"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Political Team</w:t>
            </w:r>
          </w:p>
        </w:tc>
        <w:tc>
          <w:tcPr>
            <w:tcW w:w="1994" w:type="pct"/>
            <w:hideMark/>
          </w:tcPr>
          <w:p w14:paraId="2917FB73" w14:textId="7FDC146D"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Responsiveness to political priorities, Community Partnerships, Leadership Fund, rapid response functions and sustainability</w:t>
            </w:r>
          </w:p>
        </w:tc>
        <w:tc>
          <w:tcPr>
            <w:tcW w:w="1040" w:type="pct"/>
            <w:hideMark/>
          </w:tcPr>
          <w:p w14:paraId="18163A5B"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Small group consultation</w:t>
            </w:r>
          </w:p>
        </w:tc>
      </w:tr>
      <w:tr w:rsidR="003769AB" w:rsidRPr="00003015" w14:paraId="3C01B068" w14:textId="77777777" w:rsidTr="0093321B">
        <w:tc>
          <w:tcPr>
            <w:tcW w:w="912" w:type="pct"/>
            <w:hideMark/>
          </w:tcPr>
          <w:p w14:paraId="742C67E8" w14:textId="064D69DA"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AHC</w:t>
            </w:r>
          </w:p>
        </w:tc>
        <w:tc>
          <w:tcPr>
            <w:tcW w:w="1054" w:type="pct"/>
            <w:hideMark/>
          </w:tcPr>
          <w:p w14:paraId="669B16E8" w14:textId="3957DEB9"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Governance and Security Team</w:t>
            </w:r>
          </w:p>
        </w:tc>
        <w:tc>
          <w:tcPr>
            <w:tcW w:w="1994" w:type="pct"/>
            <w:hideMark/>
          </w:tcPr>
          <w:p w14:paraId="66CAA436"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Governance and security programming, ODA and non-ODA support, procurement, risk, compliance and prioritisation</w:t>
            </w:r>
          </w:p>
        </w:tc>
        <w:tc>
          <w:tcPr>
            <w:tcW w:w="1040" w:type="pct"/>
            <w:hideMark/>
          </w:tcPr>
          <w:p w14:paraId="070A94F8"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Small group consultation</w:t>
            </w:r>
          </w:p>
        </w:tc>
      </w:tr>
      <w:tr w:rsidR="003769AB" w:rsidRPr="00003015" w14:paraId="7FD980A4" w14:textId="77777777" w:rsidTr="0093321B">
        <w:tc>
          <w:tcPr>
            <w:tcW w:w="912" w:type="pct"/>
            <w:hideMark/>
          </w:tcPr>
          <w:p w14:paraId="27D9561B"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hideMark/>
          </w:tcPr>
          <w:p w14:paraId="57C918DB" w14:textId="2D5D4204"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 xml:space="preserve">ASIPS+ Facility Director </w:t>
            </w:r>
            <w:r w:rsidR="00B37E1C" w:rsidRPr="00003015">
              <w:rPr>
                <w:rFonts w:ascii="Arial" w:hAnsi="Arial" w:cs="Arial"/>
                <w:sz w:val="18"/>
                <w:szCs w:val="18"/>
                <w:lang w:val="en-AU"/>
              </w:rPr>
              <w:t xml:space="preserve">/ </w:t>
            </w:r>
            <w:r w:rsidRPr="00003015">
              <w:rPr>
                <w:rFonts w:ascii="Arial" w:hAnsi="Arial" w:cs="Arial"/>
                <w:sz w:val="18"/>
                <w:szCs w:val="18"/>
                <w:lang w:val="en-AU"/>
              </w:rPr>
              <w:t>senior leadership</w:t>
            </w:r>
          </w:p>
        </w:tc>
        <w:tc>
          <w:tcPr>
            <w:tcW w:w="1994" w:type="pct"/>
            <w:hideMark/>
          </w:tcPr>
          <w:p w14:paraId="58CB7B99"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Facility evolution, governance, growth, resourcing, DEH, MEL, integration and future options</w:t>
            </w:r>
          </w:p>
        </w:tc>
        <w:tc>
          <w:tcPr>
            <w:tcW w:w="1040" w:type="pct"/>
            <w:hideMark/>
          </w:tcPr>
          <w:p w14:paraId="115187F5"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Individual consultation</w:t>
            </w:r>
          </w:p>
        </w:tc>
      </w:tr>
      <w:tr w:rsidR="004C195D" w:rsidRPr="00003015" w14:paraId="77665413" w14:textId="77777777" w:rsidTr="0093321B">
        <w:tc>
          <w:tcPr>
            <w:tcW w:w="912" w:type="pct"/>
          </w:tcPr>
          <w:p w14:paraId="7B0674B3" w14:textId="2F9A470C" w:rsidR="004C195D" w:rsidRPr="00003015" w:rsidRDefault="00951426"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tcPr>
          <w:p w14:paraId="41B7F821" w14:textId="589ED60C" w:rsidR="004C195D" w:rsidRPr="00003015" w:rsidRDefault="004F2D85" w:rsidP="00003015">
            <w:pPr>
              <w:spacing w:before="0" w:after="0"/>
              <w:rPr>
                <w:rFonts w:ascii="Arial" w:hAnsi="Arial" w:cs="Arial"/>
                <w:sz w:val="18"/>
                <w:szCs w:val="18"/>
                <w:lang w:val="en-AU"/>
              </w:rPr>
            </w:pPr>
            <w:r w:rsidRPr="00003015">
              <w:rPr>
                <w:rFonts w:ascii="Arial" w:hAnsi="Arial" w:cs="Arial"/>
                <w:sz w:val="18"/>
                <w:szCs w:val="18"/>
                <w:lang w:val="en-AU"/>
              </w:rPr>
              <w:t>ASIPS+ Deputy Facility Director / Operations Manager</w:t>
            </w:r>
          </w:p>
        </w:tc>
        <w:tc>
          <w:tcPr>
            <w:tcW w:w="1994" w:type="pct"/>
          </w:tcPr>
          <w:p w14:paraId="49B6E2A1" w14:textId="465BC758" w:rsidR="004C195D" w:rsidRPr="00003015" w:rsidRDefault="004F2D85" w:rsidP="00003015">
            <w:pPr>
              <w:spacing w:before="0" w:after="0"/>
              <w:rPr>
                <w:rFonts w:ascii="Arial" w:hAnsi="Arial" w:cs="Arial"/>
                <w:sz w:val="18"/>
                <w:szCs w:val="18"/>
                <w:lang w:val="en-AU"/>
              </w:rPr>
            </w:pPr>
            <w:r w:rsidRPr="00003015">
              <w:rPr>
                <w:rFonts w:ascii="Arial" w:hAnsi="Arial" w:cs="Arial"/>
                <w:sz w:val="18"/>
                <w:szCs w:val="18"/>
                <w:lang w:val="en-AU"/>
              </w:rPr>
              <w:t>Facility operations, internal coordination, service delivery, systems and processes, resourcing</w:t>
            </w:r>
          </w:p>
        </w:tc>
        <w:tc>
          <w:tcPr>
            <w:tcW w:w="1040" w:type="pct"/>
          </w:tcPr>
          <w:p w14:paraId="08210FC3" w14:textId="5D796618" w:rsidR="004C195D" w:rsidRPr="00003015" w:rsidRDefault="00951426" w:rsidP="00003015">
            <w:pPr>
              <w:spacing w:before="0" w:after="0"/>
              <w:rPr>
                <w:rFonts w:ascii="Arial" w:hAnsi="Arial" w:cs="Arial"/>
                <w:sz w:val="18"/>
                <w:szCs w:val="18"/>
                <w:lang w:val="en-AU"/>
              </w:rPr>
            </w:pPr>
            <w:r w:rsidRPr="00003015">
              <w:rPr>
                <w:rFonts w:ascii="Arial" w:hAnsi="Arial" w:cs="Arial"/>
                <w:sz w:val="18"/>
                <w:szCs w:val="18"/>
                <w:lang w:val="en-AU"/>
              </w:rPr>
              <w:t>Individual consultation</w:t>
            </w:r>
          </w:p>
        </w:tc>
      </w:tr>
      <w:tr w:rsidR="00951426" w:rsidRPr="00003015" w14:paraId="21533044" w14:textId="77777777" w:rsidTr="0093321B">
        <w:tc>
          <w:tcPr>
            <w:tcW w:w="912" w:type="pct"/>
          </w:tcPr>
          <w:p w14:paraId="0FBE5448" w14:textId="1FF00662" w:rsidR="00951426" w:rsidRPr="00003015" w:rsidRDefault="00951426"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tcPr>
          <w:p w14:paraId="13B417F7" w14:textId="211E9579" w:rsidR="00951426" w:rsidRPr="00003015" w:rsidRDefault="001E2756" w:rsidP="00003015">
            <w:pPr>
              <w:spacing w:before="0" w:after="0"/>
              <w:rPr>
                <w:rFonts w:ascii="Arial" w:hAnsi="Arial" w:cs="Arial"/>
                <w:sz w:val="18"/>
                <w:szCs w:val="18"/>
                <w:lang w:val="en-AU"/>
              </w:rPr>
            </w:pPr>
            <w:r w:rsidRPr="00003015">
              <w:rPr>
                <w:rFonts w:ascii="Arial" w:hAnsi="Arial" w:cs="Arial"/>
                <w:sz w:val="18"/>
                <w:szCs w:val="18"/>
                <w:lang w:val="en-AU"/>
              </w:rPr>
              <w:t>ASIPS+ Program Quality / Development Effectiveness Lead</w:t>
            </w:r>
          </w:p>
        </w:tc>
        <w:tc>
          <w:tcPr>
            <w:tcW w:w="1994" w:type="pct"/>
          </w:tcPr>
          <w:p w14:paraId="7F080EFB" w14:textId="581CD766" w:rsidR="00951426" w:rsidRPr="00003015" w:rsidRDefault="001E2756" w:rsidP="00003015">
            <w:pPr>
              <w:spacing w:before="0" w:after="0"/>
              <w:rPr>
                <w:rFonts w:ascii="Arial" w:hAnsi="Arial" w:cs="Arial"/>
                <w:sz w:val="18"/>
                <w:szCs w:val="18"/>
                <w:lang w:val="en-AU"/>
              </w:rPr>
            </w:pPr>
            <w:r w:rsidRPr="00003015">
              <w:rPr>
                <w:rFonts w:ascii="Arial" w:hAnsi="Arial" w:cs="Arial"/>
                <w:sz w:val="18"/>
                <w:szCs w:val="18"/>
                <w:lang w:val="en-AU"/>
              </w:rPr>
              <w:t>Quality programming architecture, Development Effectiveness Hub functions, implementation profiling, quality standards, portfolio coherence and cross-cutting integration</w:t>
            </w:r>
          </w:p>
        </w:tc>
        <w:tc>
          <w:tcPr>
            <w:tcW w:w="1040" w:type="pct"/>
          </w:tcPr>
          <w:p w14:paraId="7333B27C" w14:textId="036C5831" w:rsidR="00951426" w:rsidRPr="00003015" w:rsidRDefault="00E96EDB" w:rsidP="00003015">
            <w:pPr>
              <w:spacing w:before="0" w:after="0"/>
              <w:rPr>
                <w:rFonts w:ascii="Arial" w:hAnsi="Arial" w:cs="Arial"/>
                <w:sz w:val="18"/>
                <w:szCs w:val="18"/>
                <w:lang w:val="en-AU"/>
              </w:rPr>
            </w:pPr>
            <w:r w:rsidRPr="00003015">
              <w:rPr>
                <w:rFonts w:ascii="Arial" w:hAnsi="Arial" w:cs="Arial"/>
                <w:sz w:val="18"/>
                <w:szCs w:val="18"/>
                <w:lang w:val="en-AU"/>
              </w:rPr>
              <w:t>Individual consultation</w:t>
            </w:r>
          </w:p>
        </w:tc>
      </w:tr>
      <w:tr w:rsidR="003769AB" w:rsidRPr="00003015" w14:paraId="275F5AC7" w14:textId="77777777" w:rsidTr="0093321B">
        <w:tc>
          <w:tcPr>
            <w:tcW w:w="912" w:type="pct"/>
            <w:hideMark/>
          </w:tcPr>
          <w:p w14:paraId="56290E16"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hideMark/>
          </w:tcPr>
          <w:p w14:paraId="000E3B3C"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ASIPS+ Finance</w:t>
            </w:r>
          </w:p>
        </w:tc>
        <w:tc>
          <w:tcPr>
            <w:tcW w:w="1994" w:type="pct"/>
            <w:hideMark/>
          </w:tcPr>
          <w:p w14:paraId="3D032D16" w14:textId="1118A3C2"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 xml:space="preserve">Financial management, expenditure, forecasting, contract ceiling, headroom, scenario modelling </w:t>
            </w:r>
          </w:p>
        </w:tc>
        <w:tc>
          <w:tcPr>
            <w:tcW w:w="1040" w:type="pct"/>
            <w:hideMark/>
          </w:tcPr>
          <w:p w14:paraId="3DE578FD"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Individual consultation</w:t>
            </w:r>
          </w:p>
        </w:tc>
      </w:tr>
      <w:tr w:rsidR="00F670B9" w:rsidRPr="00003015" w14:paraId="40C01F3A" w14:textId="77777777" w:rsidTr="0093321B">
        <w:tc>
          <w:tcPr>
            <w:tcW w:w="912" w:type="pct"/>
          </w:tcPr>
          <w:p w14:paraId="02FEF690" w14:textId="7ECDAB23" w:rsidR="00F670B9" w:rsidRPr="00003015" w:rsidRDefault="00F670B9"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tcPr>
          <w:p w14:paraId="0A45AF88" w14:textId="65DCA1AA" w:rsidR="00F670B9" w:rsidRPr="00003015" w:rsidRDefault="006D71BC" w:rsidP="00003015">
            <w:pPr>
              <w:spacing w:before="0" w:after="0"/>
              <w:rPr>
                <w:rFonts w:ascii="Arial" w:hAnsi="Arial" w:cs="Arial"/>
                <w:sz w:val="18"/>
                <w:szCs w:val="18"/>
                <w:lang w:val="en-AU"/>
              </w:rPr>
            </w:pPr>
            <w:r w:rsidRPr="00003015">
              <w:rPr>
                <w:rFonts w:ascii="Arial" w:hAnsi="Arial" w:cs="Arial"/>
                <w:sz w:val="18"/>
                <w:szCs w:val="18"/>
                <w:lang w:val="en-AU"/>
              </w:rPr>
              <w:t>ASIPS+ Procurement and Grants Manager</w:t>
            </w:r>
          </w:p>
        </w:tc>
        <w:tc>
          <w:tcPr>
            <w:tcW w:w="1994" w:type="pct"/>
          </w:tcPr>
          <w:p w14:paraId="2E6BB73F" w14:textId="3A40E410" w:rsidR="00F670B9" w:rsidRPr="00003015" w:rsidRDefault="006D71BC" w:rsidP="00003015">
            <w:pPr>
              <w:spacing w:before="0" w:after="0"/>
              <w:rPr>
                <w:rFonts w:ascii="Arial" w:hAnsi="Arial" w:cs="Arial"/>
                <w:sz w:val="18"/>
                <w:szCs w:val="18"/>
                <w:lang w:val="en-AU"/>
              </w:rPr>
            </w:pPr>
            <w:r w:rsidRPr="00003015">
              <w:rPr>
                <w:rFonts w:ascii="Arial" w:hAnsi="Arial" w:cs="Arial"/>
                <w:sz w:val="18"/>
                <w:szCs w:val="18"/>
                <w:lang w:val="en-AU"/>
              </w:rPr>
              <w:t xml:space="preserve">Procurement and grants systems, timeliness, compliance, risk management, value for money </w:t>
            </w:r>
          </w:p>
        </w:tc>
        <w:tc>
          <w:tcPr>
            <w:tcW w:w="1040" w:type="pct"/>
          </w:tcPr>
          <w:p w14:paraId="7561B741" w14:textId="670D849D" w:rsidR="00F670B9" w:rsidRPr="00003015" w:rsidRDefault="003D118D" w:rsidP="00003015">
            <w:pPr>
              <w:spacing w:before="0" w:after="0"/>
              <w:rPr>
                <w:rFonts w:ascii="Arial" w:hAnsi="Arial" w:cs="Arial"/>
                <w:sz w:val="18"/>
                <w:szCs w:val="18"/>
                <w:lang w:val="en-AU"/>
              </w:rPr>
            </w:pPr>
            <w:r w:rsidRPr="00003015">
              <w:rPr>
                <w:rFonts w:ascii="Arial" w:hAnsi="Arial" w:cs="Arial"/>
                <w:sz w:val="18"/>
                <w:szCs w:val="18"/>
                <w:lang w:val="en-AU"/>
              </w:rPr>
              <w:t>Individual consultation</w:t>
            </w:r>
          </w:p>
        </w:tc>
      </w:tr>
      <w:tr w:rsidR="00A8611A" w:rsidRPr="00003015" w14:paraId="2E3A47EB" w14:textId="77777777" w:rsidTr="0093321B">
        <w:tc>
          <w:tcPr>
            <w:tcW w:w="912" w:type="pct"/>
          </w:tcPr>
          <w:p w14:paraId="27F7DBEC" w14:textId="2DEB299B" w:rsidR="00A8611A" w:rsidRPr="00003015" w:rsidRDefault="00A8611A"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tcPr>
          <w:p w14:paraId="6ABCC7D8" w14:textId="20146035" w:rsidR="00A8611A" w:rsidRPr="00003015" w:rsidRDefault="00A8611A" w:rsidP="00003015">
            <w:pPr>
              <w:spacing w:before="0" w:after="0"/>
              <w:rPr>
                <w:rFonts w:ascii="Arial" w:hAnsi="Arial" w:cs="Arial"/>
                <w:sz w:val="18"/>
                <w:szCs w:val="18"/>
                <w:lang w:val="en-AU"/>
              </w:rPr>
            </w:pPr>
            <w:r w:rsidRPr="00003015">
              <w:rPr>
                <w:rFonts w:ascii="Arial" w:hAnsi="Arial" w:cs="Arial"/>
                <w:sz w:val="18"/>
                <w:szCs w:val="18"/>
                <w:lang w:val="en-AU"/>
              </w:rPr>
              <w:t>ASIPS+ Security Manager</w:t>
            </w:r>
          </w:p>
        </w:tc>
        <w:tc>
          <w:tcPr>
            <w:tcW w:w="1994" w:type="pct"/>
          </w:tcPr>
          <w:p w14:paraId="674BA4E0" w14:textId="5D6A611E" w:rsidR="00A8611A" w:rsidRPr="00003015" w:rsidRDefault="00A8611A" w:rsidP="00003015">
            <w:pPr>
              <w:spacing w:before="0" w:after="0"/>
              <w:rPr>
                <w:rFonts w:ascii="Arial" w:hAnsi="Arial" w:cs="Arial"/>
                <w:sz w:val="18"/>
                <w:szCs w:val="18"/>
                <w:lang w:val="en-AU"/>
              </w:rPr>
            </w:pPr>
            <w:r w:rsidRPr="00003015">
              <w:rPr>
                <w:rFonts w:ascii="Arial" w:hAnsi="Arial" w:cs="Arial"/>
                <w:sz w:val="18"/>
                <w:szCs w:val="18"/>
                <w:lang w:val="en-AU"/>
              </w:rPr>
              <w:t xml:space="preserve">Security risk management, duty of care, travel and incident management systems, operational controls </w:t>
            </w:r>
          </w:p>
        </w:tc>
        <w:tc>
          <w:tcPr>
            <w:tcW w:w="1040" w:type="pct"/>
          </w:tcPr>
          <w:p w14:paraId="5C01056F" w14:textId="38BCD97C" w:rsidR="00A8611A" w:rsidRPr="00003015" w:rsidRDefault="00A8611A" w:rsidP="00003015">
            <w:pPr>
              <w:spacing w:before="0" w:after="0"/>
              <w:rPr>
                <w:rFonts w:ascii="Arial" w:hAnsi="Arial" w:cs="Arial"/>
                <w:sz w:val="18"/>
                <w:szCs w:val="18"/>
                <w:lang w:val="en-AU"/>
              </w:rPr>
            </w:pPr>
            <w:r w:rsidRPr="00003015">
              <w:rPr>
                <w:rFonts w:ascii="Arial" w:hAnsi="Arial" w:cs="Arial"/>
                <w:sz w:val="18"/>
                <w:szCs w:val="18"/>
                <w:lang w:val="en-AU"/>
              </w:rPr>
              <w:t>Individual consultation</w:t>
            </w:r>
          </w:p>
        </w:tc>
      </w:tr>
      <w:tr w:rsidR="003769AB" w:rsidRPr="00003015" w14:paraId="47537FF9" w14:textId="77777777" w:rsidTr="0093321B">
        <w:tc>
          <w:tcPr>
            <w:tcW w:w="912" w:type="pct"/>
            <w:hideMark/>
          </w:tcPr>
          <w:p w14:paraId="102A481B"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hideMark/>
          </w:tcPr>
          <w:p w14:paraId="411CF60C" w14:textId="7519A8A2"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ASIPS+ H</w:t>
            </w:r>
            <w:r w:rsidR="00B37E1C" w:rsidRPr="00003015">
              <w:rPr>
                <w:rFonts w:ascii="Arial" w:hAnsi="Arial" w:cs="Arial"/>
                <w:sz w:val="18"/>
                <w:szCs w:val="18"/>
                <w:lang w:val="en-AU"/>
              </w:rPr>
              <w:t>R</w:t>
            </w:r>
          </w:p>
        </w:tc>
        <w:tc>
          <w:tcPr>
            <w:tcW w:w="1994" w:type="pct"/>
            <w:hideMark/>
          </w:tcPr>
          <w:p w14:paraId="0F17F3B8"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Recruitment, localisation, staff welfare, performance management, HR systems, diversity and inclusion</w:t>
            </w:r>
          </w:p>
        </w:tc>
        <w:tc>
          <w:tcPr>
            <w:tcW w:w="1040" w:type="pct"/>
            <w:hideMark/>
          </w:tcPr>
          <w:p w14:paraId="24ED86A7"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Individual / small group consultation</w:t>
            </w:r>
          </w:p>
        </w:tc>
      </w:tr>
      <w:tr w:rsidR="003769AB" w:rsidRPr="00003015" w14:paraId="433BA782" w14:textId="77777777" w:rsidTr="0093321B">
        <w:tc>
          <w:tcPr>
            <w:tcW w:w="912" w:type="pct"/>
            <w:hideMark/>
          </w:tcPr>
          <w:p w14:paraId="69613BFC"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hideMark/>
          </w:tcPr>
          <w:p w14:paraId="52472C28" w14:textId="48CF0CAF"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 xml:space="preserve">ASIPS+ </w:t>
            </w:r>
            <w:r w:rsidR="004E24C8" w:rsidRPr="00003015">
              <w:rPr>
                <w:rFonts w:ascii="Arial" w:hAnsi="Arial" w:cs="Arial"/>
                <w:sz w:val="18"/>
                <w:szCs w:val="18"/>
                <w:lang w:val="en-AU"/>
              </w:rPr>
              <w:t>MEL</w:t>
            </w:r>
          </w:p>
        </w:tc>
        <w:tc>
          <w:tcPr>
            <w:tcW w:w="1994" w:type="pct"/>
            <w:hideMark/>
          </w:tcPr>
          <w:p w14:paraId="0F75CCCE"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MEL systems, learning, reporting, quality assurance, evidence use and portfolio-level results narrative</w:t>
            </w:r>
          </w:p>
        </w:tc>
        <w:tc>
          <w:tcPr>
            <w:tcW w:w="1040" w:type="pct"/>
            <w:hideMark/>
          </w:tcPr>
          <w:p w14:paraId="353EBF3F"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Individual / small group consultation</w:t>
            </w:r>
          </w:p>
        </w:tc>
      </w:tr>
      <w:tr w:rsidR="003769AB" w:rsidRPr="00003015" w14:paraId="4474B0F7" w14:textId="77777777" w:rsidTr="0093321B">
        <w:tc>
          <w:tcPr>
            <w:tcW w:w="912" w:type="pct"/>
            <w:hideMark/>
          </w:tcPr>
          <w:p w14:paraId="6295F4F9"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hideMark/>
          </w:tcPr>
          <w:p w14:paraId="2DE3F0FD" w14:textId="7FE06B18"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 xml:space="preserve">ASIPS+ </w:t>
            </w:r>
            <w:r w:rsidR="00C20C31" w:rsidRPr="00003015">
              <w:rPr>
                <w:rFonts w:ascii="Arial" w:hAnsi="Arial" w:cs="Arial"/>
                <w:sz w:val="18"/>
                <w:szCs w:val="18"/>
                <w:lang w:val="en-AU"/>
              </w:rPr>
              <w:t>GESU</w:t>
            </w:r>
          </w:p>
        </w:tc>
        <w:tc>
          <w:tcPr>
            <w:tcW w:w="1994" w:type="pct"/>
            <w:hideMark/>
          </w:tcPr>
          <w:p w14:paraId="1CA0EF68"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Gender equality programming, support to WDD, GBV data systems, women’s leadership, facility support and VfM</w:t>
            </w:r>
          </w:p>
        </w:tc>
        <w:tc>
          <w:tcPr>
            <w:tcW w:w="1040" w:type="pct"/>
            <w:hideMark/>
          </w:tcPr>
          <w:p w14:paraId="650D25EC"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Individual / small group consultation</w:t>
            </w:r>
          </w:p>
        </w:tc>
      </w:tr>
      <w:tr w:rsidR="00B2451B" w:rsidRPr="00003015" w14:paraId="2A67989A" w14:textId="77777777" w:rsidTr="0093321B">
        <w:tc>
          <w:tcPr>
            <w:tcW w:w="912" w:type="pct"/>
          </w:tcPr>
          <w:p w14:paraId="444BC7D3" w14:textId="595CF4BF"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2A3DC1D8" w14:textId="5E261FFF"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Development Effectiveness Hub – GEDSI Adviser</w:t>
            </w:r>
          </w:p>
        </w:tc>
        <w:tc>
          <w:tcPr>
            <w:tcW w:w="1994" w:type="pct"/>
          </w:tcPr>
          <w:p w14:paraId="1E424D4B" w14:textId="77A666F4"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Portfolio-wide integration of gender equality, disability and social inclusion, implementation profiling, technical support to Service Orders, quality assurance and evidence of application</w:t>
            </w:r>
          </w:p>
        </w:tc>
        <w:tc>
          <w:tcPr>
            <w:tcW w:w="1040" w:type="pct"/>
          </w:tcPr>
          <w:p w14:paraId="709BF735" w14:textId="45C89F5E"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Individual consultation</w:t>
            </w:r>
          </w:p>
        </w:tc>
      </w:tr>
      <w:tr w:rsidR="00B2451B" w:rsidRPr="00003015" w14:paraId="282E73F0" w14:textId="77777777" w:rsidTr="0093321B">
        <w:tc>
          <w:tcPr>
            <w:tcW w:w="912" w:type="pct"/>
          </w:tcPr>
          <w:p w14:paraId="71606EE4" w14:textId="3C96B563"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1B8B18A4" w14:textId="7CB96171"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Development Effectiveness Hub – Safeguards Adviser</w:t>
            </w:r>
          </w:p>
        </w:tc>
        <w:tc>
          <w:tcPr>
            <w:tcW w:w="1994" w:type="pct"/>
          </w:tcPr>
          <w:p w14:paraId="423D1023" w14:textId="6EDC1B04"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Safeguards screening, risk management, compliance, quality assurance, escalation processes and technical support to Service Orders</w:t>
            </w:r>
          </w:p>
        </w:tc>
        <w:tc>
          <w:tcPr>
            <w:tcW w:w="1040" w:type="pct"/>
          </w:tcPr>
          <w:p w14:paraId="3BA0F046" w14:textId="0D05691C"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Individual consultation</w:t>
            </w:r>
          </w:p>
        </w:tc>
      </w:tr>
      <w:tr w:rsidR="00B2451B" w:rsidRPr="00003015" w14:paraId="0E1E2FE7" w14:textId="77777777" w:rsidTr="0093321B">
        <w:tc>
          <w:tcPr>
            <w:tcW w:w="912" w:type="pct"/>
          </w:tcPr>
          <w:p w14:paraId="2951CF6E" w14:textId="239E0601"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428F656F" w14:textId="00591C00"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Development Effectiveness Hub – Climate Change Adviser</w:t>
            </w:r>
          </w:p>
        </w:tc>
        <w:tc>
          <w:tcPr>
            <w:tcW w:w="1994" w:type="pct"/>
          </w:tcPr>
          <w:p w14:paraId="12332F30" w14:textId="7593D1FC"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Climate risk screening, integration of climate and disaster resilience, adaptation planning, technical support and application across Service Orders</w:t>
            </w:r>
          </w:p>
        </w:tc>
        <w:tc>
          <w:tcPr>
            <w:tcW w:w="1040" w:type="pct"/>
          </w:tcPr>
          <w:p w14:paraId="50A61270" w14:textId="42EBB446"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Individual consultation</w:t>
            </w:r>
          </w:p>
        </w:tc>
      </w:tr>
      <w:tr w:rsidR="00B2451B" w:rsidRPr="00003015" w14:paraId="066C511A" w14:textId="77777777" w:rsidTr="0093321B">
        <w:tc>
          <w:tcPr>
            <w:tcW w:w="912" w:type="pct"/>
          </w:tcPr>
          <w:p w14:paraId="170442F3" w14:textId="676FAFBA"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19892611" w14:textId="42B56BA8"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Development Effectiveness Hub – First Nations Adviser</w:t>
            </w:r>
          </w:p>
        </w:tc>
        <w:tc>
          <w:tcPr>
            <w:tcW w:w="1994" w:type="pct"/>
          </w:tcPr>
          <w:p w14:paraId="3D862016" w14:textId="44EFD3E3"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Integration of First Nations perspectives and engagement, practical opportunities and constraints, technical advice and quality assurance</w:t>
            </w:r>
          </w:p>
        </w:tc>
        <w:tc>
          <w:tcPr>
            <w:tcW w:w="1040" w:type="pct"/>
          </w:tcPr>
          <w:p w14:paraId="5D89B186" w14:textId="3FA08CB9" w:rsidR="00B2451B" w:rsidRPr="00003015" w:rsidRDefault="00B2451B" w:rsidP="00003015">
            <w:pPr>
              <w:spacing w:before="0" w:after="0"/>
              <w:rPr>
                <w:rFonts w:ascii="Arial" w:hAnsi="Arial" w:cs="Arial"/>
                <w:sz w:val="18"/>
                <w:szCs w:val="18"/>
                <w:lang w:val="en-AU"/>
              </w:rPr>
            </w:pPr>
            <w:r w:rsidRPr="00003015">
              <w:rPr>
                <w:rFonts w:ascii="Arial" w:hAnsi="Arial" w:cs="Arial"/>
                <w:sz w:val="18"/>
                <w:szCs w:val="18"/>
              </w:rPr>
              <w:t>Individual consultation</w:t>
            </w:r>
          </w:p>
        </w:tc>
      </w:tr>
      <w:tr w:rsidR="003769AB" w:rsidRPr="00003015" w14:paraId="7CCF3E9D" w14:textId="77777777" w:rsidTr="0093321B">
        <w:tc>
          <w:tcPr>
            <w:tcW w:w="912" w:type="pct"/>
            <w:hideMark/>
          </w:tcPr>
          <w:p w14:paraId="4BB5D297"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ASIPS+ / DT Global</w:t>
            </w:r>
          </w:p>
        </w:tc>
        <w:tc>
          <w:tcPr>
            <w:tcW w:w="1054" w:type="pct"/>
            <w:hideMark/>
          </w:tcPr>
          <w:p w14:paraId="195CC30C"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Solomon Islands–Australia Partnership for Health / Health Team Leader</w:t>
            </w:r>
          </w:p>
        </w:tc>
        <w:tc>
          <w:tcPr>
            <w:tcW w:w="1994" w:type="pct"/>
            <w:hideMark/>
          </w:tcPr>
          <w:p w14:paraId="16B3752F" w14:textId="155C5DFD"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Health program delivery, shared services model, operational support, procurement, finance, HR and MEL</w:t>
            </w:r>
          </w:p>
        </w:tc>
        <w:tc>
          <w:tcPr>
            <w:tcW w:w="1040" w:type="pct"/>
            <w:hideMark/>
          </w:tcPr>
          <w:p w14:paraId="7DA34D09"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Individual consultation</w:t>
            </w:r>
          </w:p>
        </w:tc>
      </w:tr>
      <w:tr w:rsidR="00544FE1" w:rsidRPr="00003015" w14:paraId="0F218644" w14:textId="77777777" w:rsidTr="0093321B">
        <w:tc>
          <w:tcPr>
            <w:tcW w:w="912" w:type="pct"/>
          </w:tcPr>
          <w:p w14:paraId="318848EA" w14:textId="4D2883E2"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546208A8" w14:textId="265865CC"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SET Team Leader</w:t>
            </w:r>
          </w:p>
        </w:tc>
        <w:tc>
          <w:tcPr>
            <w:tcW w:w="1994" w:type="pct"/>
          </w:tcPr>
          <w:p w14:paraId="4FF2F217" w14:textId="2845FDC8"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 xml:space="preserve">SET implementation, engagement with government counterparts, operational and shared services support, quality and </w:t>
            </w:r>
            <w:r w:rsidRPr="00003015">
              <w:rPr>
                <w:rFonts w:ascii="Arial" w:hAnsi="Arial" w:cs="Arial"/>
                <w:sz w:val="18"/>
                <w:szCs w:val="18"/>
              </w:rPr>
              <w:lastRenderedPageBreak/>
              <w:t>performance management, and implications of the facility model</w:t>
            </w:r>
          </w:p>
        </w:tc>
        <w:tc>
          <w:tcPr>
            <w:tcW w:w="1040" w:type="pct"/>
          </w:tcPr>
          <w:p w14:paraId="363E4D20" w14:textId="20259DC0"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lastRenderedPageBreak/>
              <w:t>Individual consultation</w:t>
            </w:r>
          </w:p>
        </w:tc>
      </w:tr>
      <w:tr w:rsidR="00544FE1" w:rsidRPr="00003015" w14:paraId="09C4AD98" w14:textId="77777777" w:rsidTr="0093321B">
        <w:tc>
          <w:tcPr>
            <w:tcW w:w="912" w:type="pct"/>
          </w:tcPr>
          <w:p w14:paraId="3FB079A6" w14:textId="5E219C26"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7037B476" w14:textId="4A704FFF"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AASI Team Leader and Deputy Team Leader</w:t>
            </w:r>
          </w:p>
        </w:tc>
        <w:tc>
          <w:tcPr>
            <w:tcW w:w="1994" w:type="pct"/>
          </w:tcPr>
          <w:p w14:paraId="241306EF" w14:textId="51B9BC95"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AASI delivery, leadership arrangements, operational support, quality and performance management, and fit of the facility model</w:t>
            </w:r>
          </w:p>
        </w:tc>
        <w:tc>
          <w:tcPr>
            <w:tcW w:w="1040" w:type="pct"/>
          </w:tcPr>
          <w:p w14:paraId="08FDC03E" w14:textId="5D847CE3"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Small group consultation</w:t>
            </w:r>
          </w:p>
        </w:tc>
      </w:tr>
      <w:tr w:rsidR="00544FE1" w:rsidRPr="00003015" w14:paraId="71DA4D60" w14:textId="77777777" w:rsidTr="0093321B">
        <w:tc>
          <w:tcPr>
            <w:tcW w:w="912" w:type="pct"/>
          </w:tcPr>
          <w:p w14:paraId="357B5CD0" w14:textId="3EB80BB9"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58A45AC6" w14:textId="35A68A54"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CSSP Senior Program Manager</w:t>
            </w:r>
          </w:p>
        </w:tc>
        <w:tc>
          <w:tcPr>
            <w:tcW w:w="1994" w:type="pct"/>
          </w:tcPr>
          <w:p w14:paraId="343B3526" w14:textId="5115955A"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CSSP implementation, community and civil society partnerships, grants management, operational support, quality, risk and sustainability</w:t>
            </w:r>
          </w:p>
        </w:tc>
        <w:tc>
          <w:tcPr>
            <w:tcW w:w="1040" w:type="pct"/>
          </w:tcPr>
          <w:p w14:paraId="5E72B6C3" w14:textId="440F798F"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Individual consultation</w:t>
            </w:r>
          </w:p>
        </w:tc>
      </w:tr>
      <w:tr w:rsidR="00544FE1" w:rsidRPr="00003015" w14:paraId="33871DAB" w14:textId="77777777" w:rsidTr="0093321B">
        <w:tc>
          <w:tcPr>
            <w:tcW w:w="912" w:type="pct"/>
          </w:tcPr>
          <w:p w14:paraId="119E9721" w14:textId="20B730F4"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0C188F27" w14:textId="2EDDB77D"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SO08 Program Manager</w:t>
            </w:r>
          </w:p>
        </w:tc>
        <w:tc>
          <w:tcPr>
            <w:tcW w:w="1994" w:type="pct"/>
          </w:tcPr>
          <w:p w14:paraId="25388D8E" w14:textId="0AD50EC1"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SO08 implementation, operational support, procurement, finance, HR, risk and performance management</w:t>
            </w:r>
          </w:p>
        </w:tc>
        <w:tc>
          <w:tcPr>
            <w:tcW w:w="1040" w:type="pct"/>
          </w:tcPr>
          <w:p w14:paraId="059B57E2" w14:textId="2AA3BB83"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Individual consultation</w:t>
            </w:r>
          </w:p>
        </w:tc>
      </w:tr>
      <w:tr w:rsidR="00544FE1" w:rsidRPr="00003015" w14:paraId="5A4EA5C2" w14:textId="77777777" w:rsidTr="0093321B">
        <w:tc>
          <w:tcPr>
            <w:tcW w:w="912" w:type="pct"/>
          </w:tcPr>
          <w:p w14:paraId="63A6BA0F" w14:textId="665D494F"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ASIPS+ / DT Global</w:t>
            </w:r>
          </w:p>
        </w:tc>
        <w:tc>
          <w:tcPr>
            <w:tcW w:w="1054" w:type="pct"/>
          </w:tcPr>
          <w:p w14:paraId="0E3CC97D" w14:textId="23D248CC"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Solomon Islands–Australia Leadership Fund Program Manager</w:t>
            </w:r>
          </w:p>
        </w:tc>
        <w:tc>
          <w:tcPr>
            <w:tcW w:w="1994" w:type="pct"/>
          </w:tcPr>
          <w:p w14:paraId="4D0A7370" w14:textId="553F7F91"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Program implementation, responsiveness and flexibility, leadership engagement, operational support, risk and sustainability</w:t>
            </w:r>
          </w:p>
        </w:tc>
        <w:tc>
          <w:tcPr>
            <w:tcW w:w="1040" w:type="pct"/>
          </w:tcPr>
          <w:p w14:paraId="24FB5DEA" w14:textId="000DC621" w:rsidR="00544FE1" w:rsidRPr="00003015" w:rsidRDefault="00544FE1" w:rsidP="00003015">
            <w:pPr>
              <w:spacing w:before="0" w:after="0"/>
              <w:rPr>
                <w:rFonts w:ascii="Arial" w:hAnsi="Arial" w:cs="Arial"/>
                <w:sz w:val="18"/>
                <w:szCs w:val="18"/>
                <w:lang w:val="en-AU"/>
              </w:rPr>
            </w:pPr>
            <w:r w:rsidRPr="00003015">
              <w:rPr>
                <w:rFonts w:ascii="Arial" w:hAnsi="Arial" w:cs="Arial"/>
                <w:sz w:val="18"/>
                <w:szCs w:val="18"/>
              </w:rPr>
              <w:t>Individual consultation</w:t>
            </w:r>
          </w:p>
        </w:tc>
      </w:tr>
      <w:tr w:rsidR="003769AB" w:rsidRPr="00003015" w14:paraId="0FCCE7C3" w14:textId="77777777" w:rsidTr="0093321B">
        <w:tc>
          <w:tcPr>
            <w:tcW w:w="912" w:type="pct"/>
            <w:hideMark/>
          </w:tcPr>
          <w:p w14:paraId="35A2000D"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SIG</w:t>
            </w:r>
          </w:p>
        </w:tc>
        <w:tc>
          <w:tcPr>
            <w:tcW w:w="1054" w:type="pct"/>
            <w:hideMark/>
          </w:tcPr>
          <w:p w14:paraId="22E8C5AC" w14:textId="3A395840" w:rsidR="003769AB" w:rsidRPr="00003015" w:rsidRDefault="0069446C" w:rsidP="00003015">
            <w:pPr>
              <w:spacing w:before="0" w:after="0"/>
              <w:rPr>
                <w:rFonts w:ascii="Arial" w:hAnsi="Arial" w:cs="Arial"/>
                <w:sz w:val="18"/>
                <w:szCs w:val="18"/>
                <w:lang w:val="en-AU"/>
              </w:rPr>
            </w:pPr>
            <w:r w:rsidRPr="00003015">
              <w:rPr>
                <w:rFonts w:ascii="Arial" w:hAnsi="Arial" w:cs="Arial"/>
                <w:sz w:val="18"/>
                <w:szCs w:val="18"/>
                <w:lang w:val="en-AU"/>
              </w:rPr>
              <w:t>MNPDC</w:t>
            </w:r>
          </w:p>
        </w:tc>
        <w:tc>
          <w:tcPr>
            <w:tcW w:w="1994" w:type="pct"/>
            <w:hideMark/>
          </w:tcPr>
          <w:p w14:paraId="56F40DE2"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National development priorities, partnership alignment, coordination and ASIPS+ responsiveness to SIG priorities</w:t>
            </w:r>
          </w:p>
        </w:tc>
        <w:tc>
          <w:tcPr>
            <w:tcW w:w="1040" w:type="pct"/>
            <w:hideMark/>
          </w:tcPr>
          <w:p w14:paraId="6BC56BFE"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In-person consultation</w:t>
            </w:r>
          </w:p>
        </w:tc>
      </w:tr>
      <w:tr w:rsidR="003769AB" w:rsidRPr="00003015" w14:paraId="1BBA5597" w14:textId="77777777" w:rsidTr="0093321B">
        <w:tc>
          <w:tcPr>
            <w:tcW w:w="912" w:type="pct"/>
            <w:hideMark/>
          </w:tcPr>
          <w:p w14:paraId="42E3DA50"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SIG</w:t>
            </w:r>
          </w:p>
        </w:tc>
        <w:tc>
          <w:tcPr>
            <w:tcW w:w="1054" w:type="pct"/>
            <w:hideMark/>
          </w:tcPr>
          <w:p w14:paraId="3A3B0AED" w14:textId="45CF298D" w:rsidR="003769AB" w:rsidRPr="00003015" w:rsidRDefault="0069446C" w:rsidP="00003015">
            <w:pPr>
              <w:spacing w:before="0" w:after="0"/>
              <w:rPr>
                <w:rFonts w:ascii="Arial" w:hAnsi="Arial" w:cs="Arial"/>
                <w:sz w:val="18"/>
                <w:szCs w:val="18"/>
                <w:lang w:val="en-AU"/>
              </w:rPr>
            </w:pPr>
            <w:r w:rsidRPr="00003015">
              <w:rPr>
                <w:rFonts w:ascii="Arial" w:hAnsi="Arial" w:cs="Arial"/>
                <w:sz w:val="18"/>
                <w:szCs w:val="18"/>
                <w:lang w:val="en-AU"/>
              </w:rPr>
              <w:t>MEHRD</w:t>
            </w:r>
          </w:p>
        </w:tc>
        <w:tc>
          <w:tcPr>
            <w:tcW w:w="1994" w:type="pct"/>
            <w:hideMark/>
          </w:tcPr>
          <w:p w14:paraId="061EF41A"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Education sector priorities, senior secondary infrastructure, teacher quality, skills development and responsiveness to SIG priorities</w:t>
            </w:r>
          </w:p>
        </w:tc>
        <w:tc>
          <w:tcPr>
            <w:tcW w:w="1040" w:type="pct"/>
            <w:hideMark/>
          </w:tcPr>
          <w:p w14:paraId="6C87404A"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In-person consultation</w:t>
            </w:r>
          </w:p>
        </w:tc>
      </w:tr>
      <w:tr w:rsidR="003769AB" w:rsidRPr="00003015" w14:paraId="066D3990" w14:textId="77777777" w:rsidTr="0093321B">
        <w:tc>
          <w:tcPr>
            <w:tcW w:w="912" w:type="pct"/>
            <w:hideMark/>
          </w:tcPr>
          <w:p w14:paraId="56723B53"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Education partner</w:t>
            </w:r>
          </w:p>
        </w:tc>
        <w:tc>
          <w:tcPr>
            <w:tcW w:w="1054" w:type="pct"/>
            <w:hideMark/>
          </w:tcPr>
          <w:p w14:paraId="775AC534" w14:textId="7218B09A" w:rsidR="003769AB" w:rsidRPr="00003015" w:rsidRDefault="0069446C" w:rsidP="00003015">
            <w:pPr>
              <w:spacing w:before="0" w:after="0"/>
              <w:rPr>
                <w:rFonts w:ascii="Arial" w:hAnsi="Arial" w:cs="Arial"/>
                <w:sz w:val="18"/>
                <w:szCs w:val="18"/>
                <w:lang w:val="en-AU"/>
              </w:rPr>
            </w:pPr>
            <w:r w:rsidRPr="00003015">
              <w:rPr>
                <w:rFonts w:ascii="Arial" w:hAnsi="Arial" w:cs="Arial"/>
                <w:sz w:val="18"/>
                <w:szCs w:val="18"/>
                <w:lang w:val="en-AU"/>
              </w:rPr>
              <w:t xml:space="preserve">SINU </w:t>
            </w:r>
            <w:r w:rsidR="003769AB" w:rsidRPr="00003015">
              <w:rPr>
                <w:rFonts w:ascii="Arial" w:hAnsi="Arial" w:cs="Arial"/>
                <w:sz w:val="18"/>
                <w:szCs w:val="18"/>
                <w:lang w:val="en-AU"/>
              </w:rPr>
              <w:t>Quality Assurance staff</w:t>
            </w:r>
          </w:p>
        </w:tc>
        <w:tc>
          <w:tcPr>
            <w:tcW w:w="1994" w:type="pct"/>
            <w:hideMark/>
          </w:tcPr>
          <w:p w14:paraId="704C44DD"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Academic quality, governance, pedagogy, accreditation, Australian volunteer support and institutional strengthening</w:t>
            </w:r>
          </w:p>
        </w:tc>
        <w:tc>
          <w:tcPr>
            <w:tcW w:w="1040" w:type="pct"/>
            <w:hideMark/>
          </w:tcPr>
          <w:p w14:paraId="38FABE8F" w14:textId="77777777" w:rsidR="003769AB" w:rsidRPr="00003015" w:rsidRDefault="003769AB" w:rsidP="00003015">
            <w:pPr>
              <w:spacing w:before="0" w:after="0"/>
              <w:rPr>
                <w:rFonts w:ascii="Arial" w:hAnsi="Arial" w:cs="Arial"/>
                <w:sz w:val="18"/>
                <w:szCs w:val="18"/>
                <w:lang w:val="en-AU"/>
              </w:rPr>
            </w:pPr>
            <w:r w:rsidRPr="00003015">
              <w:rPr>
                <w:rFonts w:ascii="Arial" w:hAnsi="Arial" w:cs="Arial"/>
                <w:sz w:val="18"/>
                <w:szCs w:val="18"/>
                <w:lang w:val="en-AU"/>
              </w:rPr>
              <w:t>In-person consultation</w:t>
            </w:r>
          </w:p>
        </w:tc>
      </w:tr>
    </w:tbl>
    <w:p w14:paraId="5B04EBFB" w14:textId="77777777" w:rsidR="00055D5F" w:rsidRDefault="00055D5F" w:rsidP="003769AB">
      <w:pPr>
        <w:sectPr w:rsidR="00055D5F" w:rsidSect="00735BB7">
          <w:pgSz w:w="11906" w:h="16838" w:code="9"/>
          <w:pgMar w:top="1021" w:right="907" w:bottom="851" w:left="907" w:header="851" w:footer="454" w:gutter="0"/>
          <w:pgBorders w:offsetFrom="page">
            <w:top w:val="single" w:sz="48" w:space="0" w:color="507CB9"/>
            <w:left w:val="single" w:sz="48" w:space="0" w:color="507CB9"/>
            <w:bottom w:val="single" w:sz="48" w:space="0" w:color="507CB9"/>
            <w:right w:val="single" w:sz="48" w:space="0" w:color="507CB9"/>
          </w:pgBorders>
          <w:cols w:space="709"/>
          <w:titlePg/>
          <w:docGrid w:linePitch="360"/>
        </w:sectPr>
      </w:pPr>
    </w:p>
    <w:p w14:paraId="46D7EE53" w14:textId="1C77A64B" w:rsidR="004B25B9" w:rsidRPr="00550B3C" w:rsidRDefault="00306A84" w:rsidP="00550B3C">
      <w:pPr>
        <w:pStyle w:val="Heading2"/>
      </w:pPr>
      <w:bookmarkStart w:id="22" w:name="_Toc234426733"/>
      <w:r w:rsidRPr="00550B3C">
        <w:lastRenderedPageBreak/>
        <w:t xml:space="preserve">Annex </w:t>
      </w:r>
      <w:r w:rsidR="00E0018F">
        <w:t>4</w:t>
      </w:r>
      <w:r w:rsidRPr="00550B3C">
        <w:t>. Evaluation matrix and evidence strength</w:t>
      </w:r>
      <w:bookmarkEnd w:id="22"/>
    </w:p>
    <w:p w14:paraId="6DE09AE3" w14:textId="5A4DEA42" w:rsidR="00F97F67" w:rsidRPr="00F97F67" w:rsidRDefault="00055D5F" w:rsidP="00FC289A">
      <w:r w:rsidRPr="00055D5F">
        <w:t xml:space="preserve">This annex summarises the evidence base used to answer each KEQ. Evidence strength </w:t>
      </w:r>
      <w:r>
        <w:t xml:space="preserve">is </w:t>
      </w:r>
      <w:r w:rsidRPr="00055D5F">
        <w:t xml:space="preserve">assessed as </w:t>
      </w:r>
      <w:r w:rsidRPr="00055D5F">
        <w:rPr>
          <w:b/>
          <w:bCs/>
        </w:rPr>
        <w:t>high</w:t>
      </w:r>
      <w:r w:rsidRPr="00055D5F">
        <w:t xml:space="preserve"> where findings were triangulated across several source types and supported by monitoring or operational data; </w:t>
      </w:r>
      <w:r w:rsidRPr="00055D5F">
        <w:rPr>
          <w:b/>
          <w:bCs/>
        </w:rPr>
        <w:t>moderate</w:t>
      </w:r>
      <w:r w:rsidRPr="00055D5F">
        <w:t xml:space="preserve"> where two or more sources pointed in the same direction but gaps remained; and </w:t>
      </w:r>
      <w:r w:rsidRPr="00055D5F">
        <w:rPr>
          <w:b/>
          <w:bCs/>
        </w:rPr>
        <w:t>limited</w:t>
      </w:r>
      <w:r w:rsidRPr="00055D5F">
        <w:t xml:space="preserve"> where evidence was partial, forward-looking or primarily anecdotal.</w:t>
      </w:r>
    </w:p>
    <w:tbl>
      <w:tblPr>
        <w:tblStyle w:val="TableGridLight"/>
        <w:tblW w:w="5000" w:type="pct"/>
        <w:tblLook w:val="04A0" w:firstRow="1" w:lastRow="0" w:firstColumn="1" w:lastColumn="0" w:noHBand="0" w:noVBand="1"/>
      </w:tblPr>
      <w:tblGrid>
        <w:gridCol w:w="3224"/>
        <w:gridCol w:w="3608"/>
        <w:gridCol w:w="3804"/>
        <w:gridCol w:w="4378"/>
      </w:tblGrid>
      <w:tr w:rsidR="00055D5F" w:rsidRPr="0093321B" w14:paraId="10DF1B51" w14:textId="77777777" w:rsidTr="0093321B">
        <w:trPr>
          <w:tblHeader/>
        </w:trPr>
        <w:tc>
          <w:tcPr>
            <w:tcW w:w="1057" w:type="pct"/>
            <w:shd w:val="clear" w:color="auto" w:fill="002060"/>
            <w:hideMark/>
          </w:tcPr>
          <w:p w14:paraId="6F75DD1A" w14:textId="77777777" w:rsidR="00055D5F" w:rsidRPr="0093321B" w:rsidRDefault="00055D5F" w:rsidP="0093321B">
            <w:pPr>
              <w:spacing w:before="0" w:after="0"/>
              <w:rPr>
                <w:rFonts w:ascii="Arial" w:hAnsi="Arial" w:cs="Arial"/>
                <w:b/>
                <w:bCs/>
                <w:color w:val="FFFFFF" w:themeColor="background1"/>
                <w:sz w:val="18"/>
                <w:szCs w:val="18"/>
                <w:lang w:val="en-AU"/>
              </w:rPr>
            </w:pPr>
            <w:r w:rsidRPr="0093321B">
              <w:rPr>
                <w:rFonts w:ascii="Arial" w:hAnsi="Arial" w:cs="Arial"/>
                <w:b/>
                <w:bCs/>
                <w:color w:val="FFFFFF" w:themeColor="background1"/>
                <w:sz w:val="18"/>
                <w:szCs w:val="18"/>
                <w:lang w:val="en-AU"/>
              </w:rPr>
              <w:t>KEQ</w:t>
            </w:r>
          </w:p>
        </w:tc>
        <w:tc>
          <w:tcPr>
            <w:tcW w:w="1183" w:type="pct"/>
            <w:shd w:val="clear" w:color="auto" w:fill="002060"/>
            <w:hideMark/>
          </w:tcPr>
          <w:p w14:paraId="17B02B21" w14:textId="77777777" w:rsidR="00055D5F" w:rsidRPr="0093321B" w:rsidRDefault="00055D5F" w:rsidP="0093321B">
            <w:pPr>
              <w:spacing w:before="0" w:after="0"/>
              <w:rPr>
                <w:rFonts w:ascii="Arial" w:hAnsi="Arial" w:cs="Arial"/>
                <w:b/>
                <w:bCs/>
                <w:color w:val="FFFFFF" w:themeColor="background1"/>
                <w:sz w:val="18"/>
                <w:szCs w:val="18"/>
                <w:lang w:val="en-AU"/>
              </w:rPr>
            </w:pPr>
            <w:r w:rsidRPr="0093321B">
              <w:rPr>
                <w:rFonts w:ascii="Arial" w:hAnsi="Arial" w:cs="Arial"/>
                <w:b/>
                <w:bCs/>
                <w:color w:val="FFFFFF" w:themeColor="background1"/>
                <w:sz w:val="18"/>
                <w:szCs w:val="18"/>
                <w:lang w:val="en-AU"/>
              </w:rPr>
              <w:t>Evidence strength</w:t>
            </w:r>
          </w:p>
        </w:tc>
        <w:tc>
          <w:tcPr>
            <w:tcW w:w="1247" w:type="pct"/>
            <w:shd w:val="clear" w:color="auto" w:fill="002060"/>
            <w:hideMark/>
          </w:tcPr>
          <w:p w14:paraId="5C734E0E" w14:textId="77777777" w:rsidR="00055D5F" w:rsidRPr="0093321B" w:rsidRDefault="00055D5F" w:rsidP="0093321B">
            <w:pPr>
              <w:spacing w:before="0" w:after="0"/>
              <w:rPr>
                <w:rFonts w:ascii="Arial" w:hAnsi="Arial" w:cs="Arial"/>
                <w:b/>
                <w:bCs/>
                <w:color w:val="FFFFFF" w:themeColor="background1"/>
                <w:sz w:val="18"/>
                <w:szCs w:val="18"/>
                <w:lang w:val="en-AU"/>
              </w:rPr>
            </w:pPr>
            <w:r w:rsidRPr="0093321B">
              <w:rPr>
                <w:rFonts w:ascii="Arial" w:hAnsi="Arial" w:cs="Arial"/>
                <w:b/>
                <w:bCs/>
                <w:color w:val="FFFFFF" w:themeColor="background1"/>
                <w:sz w:val="18"/>
                <w:szCs w:val="18"/>
                <w:lang w:val="en-AU"/>
              </w:rPr>
              <w:t>Documentary evidence</w:t>
            </w:r>
          </w:p>
        </w:tc>
        <w:tc>
          <w:tcPr>
            <w:tcW w:w="1435" w:type="pct"/>
            <w:shd w:val="clear" w:color="auto" w:fill="002060"/>
            <w:hideMark/>
          </w:tcPr>
          <w:p w14:paraId="4E864A59" w14:textId="77777777" w:rsidR="00055D5F" w:rsidRPr="0093321B" w:rsidRDefault="00055D5F" w:rsidP="0093321B">
            <w:pPr>
              <w:spacing w:before="0" w:after="0"/>
              <w:rPr>
                <w:rFonts w:ascii="Arial" w:hAnsi="Arial" w:cs="Arial"/>
                <w:b/>
                <w:bCs/>
                <w:color w:val="FFFFFF" w:themeColor="background1"/>
                <w:sz w:val="18"/>
                <w:szCs w:val="18"/>
                <w:lang w:val="en-AU"/>
              </w:rPr>
            </w:pPr>
            <w:r w:rsidRPr="0093321B">
              <w:rPr>
                <w:rFonts w:ascii="Arial" w:hAnsi="Arial" w:cs="Arial"/>
                <w:b/>
                <w:bCs/>
                <w:color w:val="FFFFFF" w:themeColor="background1"/>
                <w:sz w:val="18"/>
                <w:szCs w:val="18"/>
                <w:lang w:val="en-AU"/>
              </w:rPr>
              <w:t>Consultation coverage</w:t>
            </w:r>
          </w:p>
        </w:tc>
      </w:tr>
      <w:tr w:rsidR="00055D5F" w:rsidRPr="0093321B" w14:paraId="53DBFA53" w14:textId="77777777" w:rsidTr="00055D5F">
        <w:tc>
          <w:tcPr>
            <w:tcW w:w="1057" w:type="pct"/>
            <w:shd w:val="clear" w:color="auto" w:fill="F2F2F2" w:themeFill="background1" w:themeFillShade="F2"/>
            <w:hideMark/>
          </w:tcPr>
          <w:p w14:paraId="5A27A3E1"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KEQ1. To what extent is ASIPS+ achieving its intended end-of-facility outcomes and key policy priorities?</w:t>
            </w:r>
          </w:p>
        </w:tc>
        <w:tc>
          <w:tcPr>
            <w:tcW w:w="1183" w:type="pct"/>
            <w:hideMark/>
          </w:tcPr>
          <w:p w14:paraId="3DC6C415"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Evidence is strong across KEQ1.1, KEQ1.2 and KEQ1.3, with triangulation across performance reporting, Facility systems, operational data and stakeholder consultations.</w:t>
            </w:r>
          </w:p>
        </w:tc>
        <w:tc>
          <w:tcPr>
            <w:tcW w:w="1247" w:type="pct"/>
            <w:hideMark/>
          </w:tcPr>
          <w:p w14:paraId="0D5D2F3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ASIPS+ Annual Reports 2024 and 2025; ASIPS+ 2025 and 2026 Annual Work Plans; Investment Design Document; MEL Plan; Programming and Performance Management Guidelines; Quality Programming Strategy; VfM assessment; annual reflection records; Strategic Oversight Group records.</w:t>
            </w:r>
          </w:p>
        </w:tc>
        <w:tc>
          <w:tcPr>
            <w:tcW w:w="1435" w:type="pct"/>
            <w:hideMark/>
          </w:tcPr>
          <w:p w14:paraId="4AE87BA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Broad coverage across AHC/DFAT teams, ASIPS+/DT Global, Service Order Leads, Facility Support Unit business units, Solomon Islands Government counterparts, MNPDC, MEHRD and SINU.</w:t>
            </w:r>
          </w:p>
        </w:tc>
      </w:tr>
      <w:tr w:rsidR="00055D5F" w:rsidRPr="0093321B" w14:paraId="72FCCD81" w14:textId="77777777" w:rsidTr="00055D5F">
        <w:tc>
          <w:tcPr>
            <w:tcW w:w="1057" w:type="pct"/>
            <w:shd w:val="clear" w:color="auto" w:fill="F2F2F2" w:themeFill="background1" w:themeFillShade="F2"/>
            <w:hideMark/>
          </w:tcPr>
          <w:p w14:paraId="391F216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KEQ1.1. To what extent is ASIPS+ progressing towards EOFO1?</w:t>
            </w:r>
          </w:p>
        </w:tc>
        <w:tc>
          <w:tcPr>
            <w:tcW w:w="1183" w:type="pct"/>
            <w:hideMark/>
          </w:tcPr>
          <w:p w14:paraId="7A50A7A1"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Moderate to high.</w:t>
            </w:r>
            <w:r w:rsidRPr="0093321B">
              <w:rPr>
                <w:rFonts w:ascii="Arial" w:hAnsi="Arial" w:cs="Arial"/>
                <w:sz w:val="18"/>
                <w:szCs w:val="18"/>
                <w:lang w:val="en-AU"/>
              </w:rPr>
              <w:t xml:space="preserve"> Evidence is strong on systems, quality architecture, design processes and early uptake of quality programming approaches. Evidence is less mature on portfolio-level development outcomes because several systems and approaches are recent.</w:t>
            </w:r>
          </w:p>
        </w:tc>
        <w:tc>
          <w:tcPr>
            <w:tcW w:w="1247" w:type="pct"/>
            <w:hideMark/>
          </w:tcPr>
          <w:p w14:paraId="033BD56F"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ASIPS+ Annual Reports 2024 and 2025; Quality Programming Strategy; Programming and Performance Management Guidelines; MEL Plan; Service Order design and planning documents; annual reflection records; Strategic Oversight Group records.</w:t>
            </w:r>
          </w:p>
        </w:tc>
        <w:tc>
          <w:tcPr>
            <w:tcW w:w="1435" w:type="pct"/>
            <w:hideMark/>
          </w:tcPr>
          <w:p w14:paraId="2977C63D"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Good coverage across DFAT, ASIPS+/Development Effectiveness Hub, Service Order Leads, MEHRD, SINU and education and skills stakeholders. Consultation evidence indicates that ASIPS+ has improved responsiveness and quality, with some caveats on consistency across Service Orders.</w:t>
            </w:r>
          </w:p>
        </w:tc>
      </w:tr>
      <w:tr w:rsidR="00055D5F" w:rsidRPr="0093321B" w14:paraId="55B8F8C5" w14:textId="77777777" w:rsidTr="00055D5F">
        <w:tc>
          <w:tcPr>
            <w:tcW w:w="1057" w:type="pct"/>
            <w:shd w:val="clear" w:color="auto" w:fill="F2F2F2" w:themeFill="background1" w:themeFillShade="F2"/>
            <w:hideMark/>
          </w:tcPr>
          <w:p w14:paraId="6764B94F"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KEQ1.2. To what extent is ASIPS+ progressing towards EOFO2?</w:t>
            </w:r>
          </w:p>
        </w:tc>
        <w:tc>
          <w:tcPr>
            <w:tcW w:w="1183" w:type="pct"/>
            <w:hideMark/>
          </w:tcPr>
          <w:p w14:paraId="1E25F7D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Strong quantitative and qualitative evidence is available on operational throughput, financial management, procurement, human resources, security, safeguards and responsiveness.</w:t>
            </w:r>
          </w:p>
        </w:tc>
        <w:tc>
          <w:tcPr>
            <w:tcW w:w="1247" w:type="pct"/>
            <w:hideMark/>
          </w:tcPr>
          <w:p w14:paraId="31A11140"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ASIPS+ Annual Reports 2024 and 2025; VfM assessment; finance, procurement and HR data; risk and safeguards records; annual reflection records; Strategic Oversight Group records.</w:t>
            </w:r>
          </w:p>
        </w:tc>
        <w:tc>
          <w:tcPr>
            <w:tcW w:w="1435" w:type="pct"/>
            <w:hideMark/>
          </w:tcPr>
          <w:p w14:paraId="0B1F958D" w14:textId="61E9027A"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Broad and consistent consultation evidence across DFAT teams, ASIPS+ operations, finance, HR, procurement, security, Deployee Support Services and S</w:t>
            </w:r>
            <w:r w:rsidR="00F05754">
              <w:rPr>
                <w:rFonts w:ascii="Arial" w:hAnsi="Arial" w:cs="Arial"/>
                <w:sz w:val="18"/>
                <w:szCs w:val="18"/>
                <w:lang w:val="en-AU"/>
              </w:rPr>
              <w:t xml:space="preserve">O </w:t>
            </w:r>
            <w:r w:rsidRPr="0093321B">
              <w:rPr>
                <w:rFonts w:ascii="Arial" w:hAnsi="Arial" w:cs="Arial"/>
                <w:sz w:val="18"/>
                <w:szCs w:val="18"/>
                <w:lang w:val="en-AU"/>
              </w:rPr>
              <w:t>Leads. Evidence from larger Service Orders also identifies pressure points in shared services.</w:t>
            </w:r>
          </w:p>
        </w:tc>
      </w:tr>
      <w:tr w:rsidR="00055D5F" w:rsidRPr="0093321B" w14:paraId="191196E3" w14:textId="77777777" w:rsidTr="00055D5F">
        <w:tc>
          <w:tcPr>
            <w:tcW w:w="1057" w:type="pct"/>
            <w:shd w:val="clear" w:color="auto" w:fill="F2F2F2" w:themeFill="background1" w:themeFillShade="F2"/>
            <w:hideMark/>
          </w:tcPr>
          <w:p w14:paraId="342C8066"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KEQ1.3. To what extent is ASIPS+ advancing GEDSI, climate change, locally led development and First Nations engagement?</w:t>
            </w:r>
          </w:p>
        </w:tc>
        <w:tc>
          <w:tcPr>
            <w:tcW w:w="1183" w:type="pct"/>
            <w:hideMark/>
          </w:tcPr>
          <w:p w14:paraId="2A4692F0"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Moderate to high.</w:t>
            </w:r>
            <w:r w:rsidRPr="0093321B">
              <w:rPr>
                <w:rFonts w:ascii="Arial" w:hAnsi="Arial" w:cs="Arial"/>
                <w:sz w:val="18"/>
                <w:szCs w:val="18"/>
                <w:lang w:val="en-AU"/>
              </w:rPr>
              <w:t xml:space="preserve"> Evidence is strong for gender equality, locally led development and safeguards; moderate for disability equity and climate change; and early for First Nations engagement.</w:t>
            </w:r>
          </w:p>
        </w:tc>
        <w:tc>
          <w:tcPr>
            <w:tcW w:w="1247" w:type="pct"/>
            <w:hideMark/>
          </w:tcPr>
          <w:p w14:paraId="707FB868" w14:textId="7D7FAEC8"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GEDSI approach; Climate Change approach; Localisation Strategy and locally led development evidence; First Nations Engagement approach; Safeguarding approach; 2025 Annual Report cross-cutting issue sections; Diversity, Equity and Inclusion survey data; supplier, procurement and HR data; GESU and S</w:t>
            </w:r>
            <w:r w:rsidR="00F05754">
              <w:rPr>
                <w:rFonts w:ascii="Arial" w:hAnsi="Arial" w:cs="Arial"/>
                <w:sz w:val="18"/>
                <w:szCs w:val="18"/>
                <w:lang w:val="en-AU"/>
              </w:rPr>
              <w:t>O</w:t>
            </w:r>
            <w:r w:rsidRPr="0093321B">
              <w:rPr>
                <w:rFonts w:ascii="Arial" w:hAnsi="Arial" w:cs="Arial"/>
                <w:sz w:val="18"/>
                <w:szCs w:val="18"/>
                <w:lang w:val="en-AU"/>
              </w:rPr>
              <w:t xml:space="preserve"> examples.</w:t>
            </w:r>
          </w:p>
        </w:tc>
        <w:tc>
          <w:tcPr>
            <w:tcW w:w="1435" w:type="pct"/>
            <w:hideMark/>
          </w:tcPr>
          <w:p w14:paraId="6ED268F6" w14:textId="00956745"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 xml:space="preserve">Good coverage across the Development Effectiveness Hub, HR, procurement, security, GESU, DFAT gender and civil society stakeholders, </w:t>
            </w:r>
            <w:r w:rsidR="00A83F3D" w:rsidRPr="0093321B">
              <w:rPr>
                <w:rFonts w:ascii="Arial" w:hAnsi="Arial" w:cs="Arial"/>
                <w:sz w:val="18"/>
                <w:szCs w:val="18"/>
                <w:lang w:val="en-AU"/>
              </w:rPr>
              <w:t>SO</w:t>
            </w:r>
            <w:r w:rsidRPr="0093321B">
              <w:rPr>
                <w:rFonts w:ascii="Arial" w:hAnsi="Arial" w:cs="Arial"/>
                <w:sz w:val="18"/>
                <w:szCs w:val="18"/>
                <w:lang w:val="en-AU"/>
              </w:rPr>
              <w:t xml:space="preserve"> teams and selected partners. </w:t>
            </w:r>
            <w:r w:rsidR="50AB09E8" w:rsidRPr="0093321B">
              <w:rPr>
                <w:rFonts w:ascii="Arial" w:hAnsi="Arial" w:cs="Arial"/>
                <w:sz w:val="18"/>
                <w:szCs w:val="18"/>
                <w:lang w:val="en-AU"/>
              </w:rPr>
              <w:t>The amount of d</w:t>
            </w:r>
            <w:r w:rsidR="594B0832" w:rsidRPr="0093321B">
              <w:rPr>
                <w:rFonts w:ascii="Arial" w:hAnsi="Arial" w:cs="Arial"/>
                <w:sz w:val="18"/>
                <w:szCs w:val="18"/>
                <w:lang w:val="en-AU"/>
              </w:rPr>
              <w:t xml:space="preserve">irect community-level and beneficiary evidence is </w:t>
            </w:r>
            <w:r w:rsidR="06EECC48" w:rsidRPr="0093321B">
              <w:rPr>
                <w:rFonts w:ascii="Arial" w:hAnsi="Arial" w:cs="Arial"/>
                <w:sz w:val="18"/>
                <w:szCs w:val="18"/>
                <w:lang w:val="en-AU"/>
              </w:rPr>
              <w:t>determined by the SO; ground-level feedback varies from SO to SO.</w:t>
            </w:r>
          </w:p>
        </w:tc>
      </w:tr>
      <w:tr w:rsidR="00055D5F" w:rsidRPr="0093321B" w14:paraId="3BDDF2BF" w14:textId="77777777" w:rsidTr="00055D5F">
        <w:tc>
          <w:tcPr>
            <w:tcW w:w="1057" w:type="pct"/>
            <w:shd w:val="clear" w:color="auto" w:fill="F2F2F2" w:themeFill="background1" w:themeFillShade="F2"/>
            <w:hideMark/>
          </w:tcPr>
          <w:p w14:paraId="52D63D22"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KEQ1.4. What could be improved to maximise effectiveness during the remainder of Phase 1 and beyond?</w:t>
            </w:r>
          </w:p>
        </w:tc>
        <w:tc>
          <w:tcPr>
            <w:tcW w:w="1183" w:type="pct"/>
            <w:hideMark/>
          </w:tcPr>
          <w:p w14:paraId="7FF423CE"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Strong convergence across documentary and consultation evidence.</w:t>
            </w:r>
          </w:p>
        </w:tc>
        <w:tc>
          <w:tcPr>
            <w:tcW w:w="1247" w:type="pct"/>
            <w:hideMark/>
          </w:tcPr>
          <w:p w14:paraId="540E8999"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VfM assessment; annual reflection records; Strategic Oversight Group records; Facility planning and resourcing analysis; 2026 Annual Work Plan priorities.</w:t>
            </w:r>
          </w:p>
        </w:tc>
        <w:tc>
          <w:tcPr>
            <w:tcW w:w="1435" w:type="pct"/>
            <w:hideMark/>
          </w:tcPr>
          <w:p w14:paraId="4CC1A4D9"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Strong convergence across DFAT, ASIPS+, Facility Support Unit business units and Service Order Leads that effectiveness now depends on disciplined consolidation, clearer prioritisation and proportional resourcing.</w:t>
            </w:r>
          </w:p>
        </w:tc>
      </w:tr>
      <w:tr w:rsidR="00055D5F" w:rsidRPr="0093321B" w14:paraId="2D5A3126" w14:textId="77777777" w:rsidTr="00055D5F">
        <w:tc>
          <w:tcPr>
            <w:tcW w:w="1057" w:type="pct"/>
            <w:shd w:val="clear" w:color="auto" w:fill="F2F2F2" w:themeFill="background1" w:themeFillShade="F2"/>
            <w:hideMark/>
          </w:tcPr>
          <w:p w14:paraId="4CB66207"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KEQ2. To what extent is ASIPS+ learning and adapting to evolving priorities, contextual changes, and DFAT and stakeholder needs?</w:t>
            </w:r>
          </w:p>
        </w:tc>
        <w:tc>
          <w:tcPr>
            <w:tcW w:w="1183" w:type="pct"/>
            <w:hideMark/>
          </w:tcPr>
          <w:p w14:paraId="0BDB7BD1"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Moderate to high.</w:t>
            </w:r>
            <w:r w:rsidRPr="0093321B">
              <w:rPr>
                <w:rFonts w:ascii="Arial" w:hAnsi="Arial" w:cs="Arial"/>
                <w:sz w:val="18"/>
                <w:szCs w:val="18"/>
                <w:lang w:val="en-AU"/>
              </w:rPr>
              <w:t xml:space="preserve"> Evidence is strong on practical responsiveness and adaptive delivery; evidence is more moderate on systematic learning-to-action across the full portfolio.</w:t>
            </w:r>
          </w:p>
        </w:tc>
        <w:tc>
          <w:tcPr>
            <w:tcW w:w="1247" w:type="pct"/>
            <w:hideMark/>
          </w:tcPr>
          <w:p w14:paraId="7E29A929"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MEL Plan; ASIPS+ Annual Reports 2024 and 2025; learning and adapting sections; annual reflection records; Program Managers Peer Group materials; MEL Community of Practice records; Strategic Oversight Group records.</w:t>
            </w:r>
          </w:p>
        </w:tc>
        <w:tc>
          <w:tcPr>
            <w:tcW w:w="1435" w:type="pct"/>
            <w:hideMark/>
          </w:tcPr>
          <w:p w14:paraId="1F4B787E"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Broad coverage across DFAT teams, ASIPS+/DT Global, Facility Support Unit business units, Service Order Leads, MEHRD and SINU. Stakeholders consistently describe ASIPS+ as responsive; evidence is more mixed on systematic use of learning for decisions.</w:t>
            </w:r>
          </w:p>
        </w:tc>
      </w:tr>
      <w:tr w:rsidR="00055D5F" w:rsidRPr="0093321B" w14:paraId="37A1BA27" w14:textId="77777777" w:rsidTr="00055D5F">
        <w:tc>
          <w:tcPr>
            <w:tcW w:w="1057" w:type="pct"/>
            <w:shd w:val="clear" w:color="auto" w:fill="F2F2F2" w:themeFill="background1" w:themeFillShade="F2"/>
            <w:hideMark/>
          </w:tcPr>
          <w:p w14:paraId="781C3B32"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KEQ2.1. To what extent is ASIPS+ flexible, responsive and adaptive?</w:t>
            </w:r>
          </w:p>
        </w:tc>
        <w:tc>
          <w:tcPr>
            <w:tcW w:w="1183" w:type="pct"/>
            <w:hideMark/>
          </w:tcPr>
          <w:p w14:paraId="6E17D670" w14:textId="0A3CB42D"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Strong quantitative and consultation evidence is available on rapid </w:t>
            </w:r>
            <w:r w:rsidRPr="0093321B">
              <w:rPr>
                <w:rFonts w:ascii="Arial" w:hAnsi="Arial" w:cs="Arial"/>
                <w:sz w:val="18"/>
                <w:szCs w:val="18"/>
                <w:lang w:val="en-AU"/>
              </w:rPr>
              <w:lastRenderedPageBreak/>
              <w:t>mobilisation, S</w:t>
            </w:r>
            <w:r w:rsidR="00F05754">
              <w:rPr>
                <w:rFonts w:ascii="Arial" w:hAnsi="Arial" w:cs="Arial"/>
                <w:sz w:val="18"/>
                <w:szCs w:val="18"/>
                <w:lang w:val="en-AU"/>
              </w:rPr>
              <w:t xml:space="preserve">O </w:t>
            </w:r>
            <w:r w:rsidRPr="0093321B">
              <w:rPr>
                <w:rFonts w:ascii="Arial" w:hAnsi="Arial" w:cs="Arial"/>
                <w:sz w:val="18"/>
                <w:szCs w:val="18"/>
                <w:lang w:val="en-AU"/>
              </w:rPr>
              <w:t>amendments, operational scale-up and responses to contextual change.</w:t>
            </w:r>
          </w:p>
        </w:tc>
        <w:tc>
          <w:tcPr>
            <w:tcW w:w="1247" w:type="pct"/>
            <w:hideMark/>
          </w:tcPr>
          <w:p w14:paraId="238A6879"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lastRenderedPageBreak/>
              <w:t xml:space="preserve">Service Order portfolio data; ASIPS+ Annual Reports 2024 and 2025; Strategic Oversight </w:t>
            </w:r>
            <w:r w:rsidRPr="0093321B">
              <w:rPr>
                <w:rFonts w:ascii="Arial" w:hAnsi="Arial" w:cs="Arial"/>
                <w:sz w:val="18"/>
                <w:szCs w:val="18"/>
                <w:lang w:val="en-AU"/>
              </w:rPr>
              <w:lastRenderedPageBreak/>
              <w:t>Group records; security and operations records; annual reflection records; expenditure analysis.</w:t>
            </w:r>
          </w:p>
        </w:tc>
        <w:tc>
          <w:tcPr>
            <w:tcW w:w="1435" w:type="pct"/>
            <w:hideMark/>
          </w:tcPr>
          <w:p w14:paraId="0FD69F16"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lastRenderedPageBreak/>
              <w:t xml:space="preserve">Strong convergence across DFAT Political, Governance and Security, and Economics teams; </w:t>
            </w:r>
            <w:r w:rsidRPr="0093321B">
              <w:rPr>
                <w:rFonts w:ascii="Arial" w:hAnsi="Arial" w:cs="Arial"/>
                <w:sz w:val="18"/>
                <w:szCs w:val="18"/>
                <w:lang w:val="en-AU"/>
              </w:rPr>
              <w:lastRenderedPageBreak/>
              <w:t>ASIPS+ teams; MEHRD; and SINU. Stakeholders consistently describe ASIPS+ as flexible and responsive.</w:t>
            </w:r>
          </w:p>
        </w:tc>
      </w:tr>
      <w:tr w:rsidR="00055D5F" w:rsidRPr="0093321B" w14:paraId="6A261B7B" w14:textId="77777777" w:rsidTr="00055D5F">
        <w:tc>
          <w:tcPr>
            <w:tcW w:w="1057" w:type="pct"/>
            <w:shd w:val="clear" w:color="auto" w:fill="F2F2F2" w:themeFill="background1" w:themeFillShade="F2"/>
            <w:hideMark/>
          </w:tcPr>
          <w:p w14:paraId="526F359F"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lastRenderedPageBreak/>
              <w:t>KEQ2.2. To what extent does ASIPS+ have effective working relationships, communication, collaboration and workplace culture?</w:t>
            </w:r>
          </w:p>
        </w:tc>
        <w:tc>
          <w:tcPr>
            <w:tcW w:w="1183" w:type="pct"/>
            <w:hideMark/>
          </w:tcPr>
          <w:p w14:paraId="0F68EB3B"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 for workplace culture and relationships; moderate for systematised communication.</w:t>
            </w:r>
            <w:r w:rsidRPr="0093321B">
              <w:rPr>
                <w:rFonts w:ascii="Arial" w:hAnsi="Arial" w:cs="Arial"/>
                <w:sz w:val="18"/>
                <w:szCs w:val="18"/>
                <w:lang w:val="en-AU"/>
              </w:rPr>
              <w:t xml:space="preserve"> Evidence indicates strong relationships and positive workplace culture, with recurring issues around role clarity, decision timeframes and manual workarounds.</w:t>
            </w:r>
          </w:p>
        </w:tc>
        <w:tc>
          <w:tcPr>
            <w:tcW w:w="1247" w:type="pct"/>
            <w:hideMark/>
          </w:tcPr>
          <w:p w14:paraId="47150170"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Diversity, Equity and Inclusion survey data; staff survey data; HR records; Annual Reports; Strategic Oversight Group records; annual reflection records; ASIPS+ 101 and internal coordination materials.</w:t>
            </w:r>
          </w:p>
        </w:tc>
        <w:tc>
          <w:tcPr>
            <w:tcW w:w="1435" w:type="pct"/>
            <w:hideMark/>
          </w:tcPr>
          <w:p w14:paraId="0BE4F8B6" w14:textId="6D085479"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Broad coverage across Facility Support Unit business units, S</w:t>
            </w:r>
            <w:r w:rsidR="000C1141">
              <w:rPr>
                <w:rFonts w:ascii="Arial" w:hAnsi="Arial" w:cs="Arial"/>
                <w:sz w:val="18"/>
                <w:szCs w:val="18"/>
                <w:lang w:val="en-AU"/>
              </w:rPr>
              <w:t xml:space="preserve">O </w:t>
            </w:r>
            <w:r w:rsidRPr="0093321B">
              <w:rPr>
                <w:rFonts w:ascii="Arial" w:hAnsi="Arial" w:cs="Arial"/>
                <w:sz w:val="18"/>
                <w:szCs w:val="18"/>
                <w:lang w:val="en-AU"/>
              </w:rPr>
              <w:t>Leads, DFAT teams and DT Global. Stakeholders report a positive culture and constructive relationships, with caveats on communication systems and decision processes.</w:t>
            </w:r>
          </w:p>
        </w:tc>
      </w:tr>
      <w:tr w:rsidR="00055D5F" w:rsidRPr="0093321B" w14:paraId="79905E72" w14:textId="77777777" w:rsidTr="00055D5F">
        <w:tc>
          <w:tcPr>
            <w:tcW w:w="1057" w:type="pct"/>
            <w:shd w:val="clear" w:color="auto" w:fill="F2F2F2" w:themeFill="background1" w:themeFillShade="F2"/>
            <w:hideMark/>
          </w:tcPr>
          <w:p w14:paraId="52F934D2"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KEQ2.3. What could strengthen responsiveness and adaptive management?</w:t>
            </w:r>
          </w:p>
        </w:tc>
        <w:tc>
          <w:tcPr>
            <w:tcW w:w="1183" w:type="pct"/>
            <w:hideMark/>
          </w:tcPr>
          <w:p w14:paraId="3D6C2EC9" w14:textId="16FB2004"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Evidence is practical and action-oriented, with strong convergence on request management, learning-to-action, differentiated S</w:t>
            </w:r>
            <w:r w:rsidR="00F05754">
              <w:rPr>
                <w:rFonts w:ascii="Arial" w:hAnsi="Arial" w:cs="Arial"/>
                <w:sz w:val="18"/>
                <w:szCs w:val="18"/>
                <w:lang w:val="en-AU"/>
              </w:rPr>
              <w:t xml:space="preserve">O </w:t>
            </w:r>
            <w:r w:rsidRPr="0093321B">
              <w:rPr>
                <w:rFonts w:ascii="Arial" w:hAnsi="Arial" w:cs="Arial"/>
                <w:sz w:val="18"/>
                <w:szCs w:val="18"/>
                <w:lang w:val="en-AU"/>
              </w:rPr>
              <w:t>support, role clarity and workload sustainability.</w:t>
            </w:r>
          </w:p>
        </w:tc>
        <w:tc>
          <w:tcPr>
            <w:tcW w:w="1247" w:type="pct"/>
            <w:hideMark/>
          </w:tcPr>
          <w:p w14:paraId="7A4BAE55"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Annual reflection records from procurement, finance, HR, operations, security, Deployee Support Services and the Development Effectiveness Hub; MEL evidence; Strategic Oversight Group records; 2026 Annual Work Plan priorities.</w:t>
            </w:r>
          </w:p>
        </w:tc>
        <w:tc>
          <w:tcPr>
            <w:tcW w:w="1435" w:type="pct"/>
            <w:hideMark/>
          </w:tcPr>
          <w:p w14:paraId="446BE080"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Strong convergence across Facility Support Unit teams, DFAT, ASIPS+ leadership and Service Order Leads.</w:t>
            </w:r>
          </w:p>
        </w:tc>
      </w:tr>
      <w:tr w:rsidR="00055D5F" w:rsidRPr="0093321B" w14:paraId="28AC924E" w14:textId="77777777" w:rsidTr="00055D5F">
        <w:tc>
          <w:tcPr>
            <w:tcW w:w="1057" w:type="pct"/>
            <w:shd w:val="clear" w:color="auto" w:fill="F2F2F2" w:themeFill="background1" w:themeFillShade="F2"/>
            <w:hideMark/>
          </w:tcPr>
          <w:p w14:paraId="32843459"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KEQ3. To what extent are ASIPS+ governance arrangements working effectively to support DFAT?</w:t>
            </w:r>
          </w:p>
        </w:tc>
        <w:tc>
          <w:tcPr>
            <w:tcW w:w="1183" w:type="pct"/>
            <w:hideMark/>
          </w:tcPr>
          <w:p w14:paraId="14D91AC5"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Strong documentary evidence and consultation convergence indicate that governance arrangements are functioning, while rapid growth has increased pressure around prioritisation, headroom and role clarity.</w:t>
            </w:r>
          </w:p>
        </w:tc>
        <w:tc>
          <w:tcPr>
            <w:tcW w:w="1247" w:type="pct"/>
            <w:hideMark/>
          </w:tcPr>
          <w:p w14:paraId="67E4A246"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Investment Design Document; Programming and Performance Management Guidelines; Strategic Oversight Group Terms of Reference; Strategic Oversight Group records 2024–2026; 2025 Annual Report; Facility governance and management records; Facility planning and financial scenario analysis.</w:t>
            </w:r>
          </w:p>
        </w:tc>
        <w:tc>
          <w:tcPr>
            <w:tcW w:w="1435" w:type="pct"/>
            <w:hideMark/>
          </w:tcPr>
          <w:p w14:paraId="493245CC" w14:textId="3AADED6E"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Broad coverage across AHC/DFAT, ASIPS+ leadership, DT Global, S</w:t>
            </w:r>
            <w:r w:rsidR="006D4556">
              <w:rPr>
                <w:rFonts w:ascii="Arial" w:hAnsi="Arial" w:cs="Arial"/>
                <w:sz w:val="18"/>
                <w:szCs w:val="18"/>
                <w:lang w:val="en-AU"/>
              </w:rPr>
              <w:t>O</w:t>
            </w:r>
            <w:r w:rsidRPr="0093321B">
              <w:rPr>
                <w:rFonts w:ascii="Arial" w:hAnsi="Arial" w:cs="Arial"/>
                <w:sz w:val="18"/>
                <w:szCs w:val="18"/>
                <w:lang w:val="en-AU"/>
              </w:rPr>
              <w:t xml:space="preserve"> Leads and selected Solomon Islands Government and institutional stakeholders. Stakeholders generally view governance as effective, with caveats on role clarity, prioritisation and decision timeframes.</w:t>
            </w:r>
          </w:p>
        </w:tc>
      </w:tr>
      <w:tr w:rsidR="00055D5F" w:rsidRPr="0093321B" w14:paraId="475D663C" w14:textId="77777777" w:rsidTr="00055D5F">
        <w:tc>
          <w:tcPr>
            <w:tcW w:w="1057" w:type="pct"/>
            <w:shd w:val="clear" w:color="auto" w:fill="F2F2F2" w:themeFill="background1" w:themeFillShade="F2"/>
            <w:hideMark/>
          </w:tcPr>
          <w:p w14:paraId="7F758316"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KEQ3.1. To what extent are governance arrangements supporting DFAT to maintain a coherent investment portfolio?</w:t>
            </w:r>
          </w:p>
        </w:tc>
        <w:tc>
          <w:tcPr>
            <w:tcW w:w="1183" w:type="pct"/>
            <w:hideMark/>
          </w:tcPr>
          <w:p w14:paraId="5A32F181"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Moderate to high.</w:t>
            </w:r>
            <w:r w:rsidRPr="0093321B">
              <w:rPr>
                <w:rFonts w:ascii="Arial" w:hAnsi="Arial" w:cs="Arial"/>
                <w:sz w:val="18"/>
                <w:szCs w:val="18"/>
                <w:lang w:val="en-AU"/>
              </w:rPr>
              <w:t xml:space="preserve"> Evidence is strong on improved coordination and the DPP contribution narrative; evidence is less mature on full portfolio coherence under rapid growth.</w:t>
            </w:r>
          </w:p>
        </w:tc>
        <w:tc>
          <w:tcPr>
            <w:tcW w:w="1247" w:type="pct"/>
            <w:hideMark/>
          </w:tcPr>
          <w:p w14:paraId="6F67CE48"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Annual Reports; Strategic Oversight Group records; ASIPS+ Annual Work Plans; DPP contribution reporting; Program Managers Peer Group records; Service Order portfolio summaries.</w:t>
            </w:r>
          </w:p>
        </w:tc>
        <w:tc>
          <w:tcPr>
            <w:tcW w:w="1435" w:type="pct"/>
            <w:hideMark/>
          </w:tcPr>
          <w:p w14:paraId="7C6199FC"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Good coverage across DFAT, ASIPS+, education and skills stakeholders, SINU, MEHRD and Service Order Leads. Stakeholders identify increased coherence, while also noting pipeline and resource pressures.</w:t>
            </w:r>
          </w:p>
        </w:tc>
      </w:tr>
      <w:tr w:rsidR="00055D5F" w:rsidRPr="0093321B" w14:paraId="7CFC0148" w14:textId="77777777" w:rsidTr="00055D5F">
        <w:tc>
          <w:tcPr>
            <w:tcW w:w="1057" w:type="pct"/>
            <w:shd w:val="clear" w:color="auto" w:fill="F2F2F2" w:themeFill="background1" w:themeFillShade="F2"/>
            <w:hideMark/>
          </w:tcPr>
          <w:p w14:paraId="6527F837"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KEQ3.2. How effectively are governance arrangements helping DFAT strategically advance Australia’s priorities and strengthen the partnership with Solomon Islands?</w:t>
            </w:r>
          </w:p>
        </w:tc>
        <w:tc>
          <w:tcPr>
            <w:tcW w:w="1183" w:type="pct"/>
            <w:hideMark/>
          </w:tcPr>
          <w:p w14:paraId="496A4FD0"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Moderate to high.</w:t>
            </w:r>
            <w:r w:rsidRPr="0093321B">
              <w:rPr>
                <w:rFonts w:ascii="Arial" w:hAnsi="Arial" w:cs="Arial"/>
                <w:sz w:val="18"/>
                <w:szCs w:val="18"/>
                <w:lang w:val="en-AU"/>
              </w:rPr>
              <w:t xml:space="preserve"> Evidence indicates that governance arrangements are contributing to strategic alignment and partnership outcomes, but these effects are contribution-based rather than directly attributable to ASIPS+ alone.</w:t>
            </w:r>
          </w:p>
        </w:tc>
        <w:tc>
          <w:tcPr>
            <w:tcW w:w="1247" w:type="pct"/>
            <w:hideMark/>
          </w:tcPr>
          <w:p w14:paraId="0E84C5BE" w14:textId="3FB49470"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Development Partnership Plan; Strategic Oversight Group records; Annual Reports; S</w:t>
            </w:r>
            <w:r w:rsidR="00F05754">
              <w:rPr>
                <w:rFonts w:ascii="Arial" w:hAnsi="Arial" w:cs="Arial"/>
                <w:sz w:val="18"/>
                <w:szCs w:val="18"/>
                <w:lang w:val="en-AU"/>
              </w:rPr>
              <w:t xml:space="preserve">O </w:t>
            </w:r>
            <w:r w:rsidRPr="0093321B">
              <w:rPr>
                <w:rFonts w:ascii="Arial" w:hAnsi="Arial" w:cs="Arial"/>
                <w:sz w:val="18"/>
                <w:szCs w:val="18"/>
                <w:lang w:val="en-AU"/>
              </w:rPr>
              <w:t>documentation for education, skills, community partnerships, leadership and engagement, strategic communications and economic governance.</w:t>
            </w:r>
          </w:p>
        </w:tc>
        <w:tc>
          <w:tcPr>
            <w:tcW w:w="1435" w:type="pct"/>
            <w:hideMark/>
          </w:tcPr>
          <w:p w14:paraId="16A2C21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Good coverage across DFAT Political, Governance and Security, and Economics teams; MEHRD; SINU; and ASIPS+ leadership. Evidence supports ASIPS+’ contribution to Australia’s broader statecraft and partnership objectives.</w:t>
            </w:r>
          </w:p>
        </w:tc>
      </w:tr>
      <w:tr w:rsidR="00055D5F" w:rsidRPr="0093321B" w14:paraId="58005D76" w14:textId="77777777" w:rsidTr="00055D5F">
        <w:tc>
          <w:tcPr>
            <w:tcW w:w="1057" w:type="pct"/>
            <w:shd w:val="clear" w:color="auto" w:fill="F2F2F2" w:themeFill="background1" w:themeFillShade="F2"/>
            <w:hideMark/>
          </w:tcPr>
          <w:p w14:paraId="6ACA11B4"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KEQ3.3. What could be improved in governance arrangements?</w:t>
            </w:r>
          </w:p>
        </w:tc>
        <w:tc>
          <w:tcPr>
            <w:tcW w:w="1183" w:type="pct"/>
            <w:hideMark/>
          </w:tcPr>
          <w:p w14:paraId="65160B9E"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Strong convergence on the need for clearer prioritisation, financial headroom management, role clarity, engagement protocols and improved management information.</w:t>
            </w:r>
          </w:p>
        </w:tc>
        <w:tc>
          <w:tcPr>
            <w:tcW w:w="1247" w:type="pct"/>
            <w:hideMark/>
          </w:tcPr>
          <w:p w14:paraId="19C89587"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Strategic Oversight Group records; annual reflection records; VfM assessment; finance and headroom modelling; Facility planning and resourcing analysis.</w:t>
            </w:r>
          </w:p>
        </w:tc>
        <w:tc>
          <w:tcPr>
            <w:tcW w:w="1435" w:type="pct"/>
            <w:hideMark/>
          </w:tcPr>
          <w:p w14:paraId="3F1D097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Strong convergence across Strategic Oversight Group members, DFAT, ASIPS+ leadership and Facility Support Unit teams.</w:t>
            </w:r>
          </w:p>
        </w:tc>
      </w:tr>
      <w:tr w:rsidR="00055D5F" w:rsidRPr="0093321B" w14:paraId="0CCDCFBA" w14:textId="77777777" w:rsidTr="00055D5F">
        <w:tc>
          <w:tcPr>
            <w:tcW w:w="1057" w:type="pct"/>
            <w:shd w:val="clear" w:color="auto" w:fill="F2F2F2" w:themeFill="background1" w:themeFillShade="F2"/>
            <w:hideMark/>
          </w:tcPr>
          <w:p w14:paraId="210E6C28"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KEQ4. To what extent is the ASIPS+ Facility mechanism providing value for money to DFAT?</w:t>
            </w:r>
          </w:p>
        </w:tc>
        <w:tc>
          <w:tcPr>
            <w:tcW w:w="1183" w:type="pct"/>
            <w:hideMark/>
          </w:tcPr>
          <w:p w14:paraId="415810C6"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 overall, with a clear proportionality caveat.</w:t>
            </w:r>
            <w:r w:rsidRPr="0093321B">
              <w:rPr>
                <w:rFonts w:ascii="Arial" w:hAnsi="Arial" w:cs="Arial"/>
                <w:sz w:val="18"/>
                <w:szCs w:val="18"/>
                <w:lang w:val="en-AU"/>
              </w:rPr>
              <w:t xml:space="preserve"> Evidence is strong on throughput, cost control, local procurement, responsiveness and risk </w:t>
            </w:r>
            <w:r w:rsidRPr="0093321B">
              <w:rPr>
                <w:rFonts w:ascii="Arial" w:hAnsi="Arial" w:cs="Arial"/>
                <w:sz w:val="18"/>
                <w:szCs w:val="18"/>
                <w:lang w:val="en-AU"/>
              </w:rPr>
              <w:lastRenderedPageBreak/>
              <w:t>management. Evidence is more moderate on longer-term cost-effectiveness.</w:t>
            </w:r>
          </w:p>
        </w:tc>
        <w:tc>
          <w:tcPr>
            <w:tcW w:w="1247" w:type="pct"/>
            <w:hideMark/>
          </w:tcPr>
          <w:p w14:paraId="6A885864" w14:textId="771F9612"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lastRenderedPageBreak/>
              <w:t>VfM assessment and evidence matrix; Annual Reports; finance and procurement data; expenditure analysis; audit, risk and compliance records; S</w:t>
            </w:r>
            <w:r w:rsidR="00F05754">
              <w:rPr>
                <w:rFonts w:ascii="Arial" w:hAnsi="Arial" w:cs="Arial"/>
                <w:sz w:val="18"/>
                <w:szCs w:val="18"/>
                <w:lang w:val="en-AU"/>
              </w:rPr>
              <w:t xml:space="preserve">O </w:t>
            </w:r>
            <w:r w:rsidRPr="0093321B">
              <w:rPr>
                <w:rFonts w:ascii="Arial" w:hAnsi="Arial" w:cs="Arial"/>
                <w:sz w:val="18"/>
                <w:szCs w:val="18"/>
                <w:lang w:val="en-AU"/>
              </w:rPr>
              <w:t>portfolio data.</w:t>
            </w:r>
          </w:p>
        </w:tc>
        <w:tc>
          <w:tcPr>
            <w:tcW w:w="1435" w:type="pct"/>
            <w:hideMark/>
          </w:tcPr>
          <w:p w14:paraId="0BB3D3B7"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 xml:space="preserve">Broad coverage across DFAT, ASIPS+ leadership, finance, procurement, HR, operations, security, the Development Effectiveness Hub and Service Order Leads. Strong convergence on value, with </w:t>
            </w:r>
            <w:r w:rsidRPr="0093321B">
              <w:rPr>
                <w:rFonts w:ascii="Arial" w:hAnsi="Arial" w:cs="Arial"/>
                <w:sz w:val="18"/>
                <w:szCs w:val="18"/>
                <w:lang w:val="en-AU"/>
              </w:rPr>
              <w:lastRenderedPageBreak/>
              <w:t>consistent concerns about proportionality under growth.</w:t>
            </w:r>
          </w:p>
        </w:tc>
      </w:tr>
      <w:tr w:rsidR="00055D5F" w:rsidRPr="0093321B" w14:paraId="5C3E85BE" w14:textId="77777777" w:rsidTr="00055D5F">
        <w:tc>
          <w:tcPr>
            <w:tcW w:w="1057" w:type="pct"/>
            <w:shd w:val="clear" w:color="auto" w:fill="F2F2F2" w:themeFill="background1" w:themeFillShade="F2"/>
            <w:hideMark/>
          </w:tcPr>
          <w:p w14:paraId="4EA6C78B"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lastRenderedPageBreak/>
              <w:t>KEQ4.1. To what extent does ASIPS+ deliver against DFAT VfM principles?</w:t>
            </w:r>
          </w:p>
        </w:tc>
        <w:tc>
          <w:tcPr>
            <w:tcW w:w="1183" w:type="pct"/>
            <w:hideMark/>
          </w:tcPr>
          <w:p w14:paraId="6F420971"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 xml:space="preserve">High </w:t>
            </w:r>
            <w:r w:rsidRPr="00F05754">
              <w:rPr>
                <w:rFonts w:ascii="Arial" w:hAnsi="Arial" w:cs="Arial"/>
                <w:sz w:val="18"/>
                <w:szCs w:val="18"/>
                <w:lang w:val="en-AU"/>
              </w:rPr>
              <w:t>for most VfM principles</w:t>
            </w:r>
            <w:r w:rsidRPr="0093321B">
              <w:rPr>
                <w:rFonts w:ascii="Arial" w:hAnsi="Arial" w:cs="Arial"/>
                <w:b/>
                <w:bCs/>
                <w:sz w:val="18"/>
                <w:szCs w:val="18"/>
                <w:lang w:val="en-AU"/>
              </w:rPr>
              <w:t xml:space="preserve">; moderate </w:t>
            </w:r>
            <w:r w:rsidRPr="00F05754">
              <w:rPr>
                <w:rFonts w:ascii="Arial" w:hAnsi="Arial" w:cs="Arial"/>
                <w:sz w:val="18"/>
                <w:szCs w:val="18"/>
                <w:lang w:val="en-AU"/>
              </w:rPr>
              <w:t>for proportionality and evidence-based decision-making</w:t>
            </w:r>
            <w:r w:rsidRPr="0093321B">
              <w:rPr>
                <w:rFonts w:ascii="Arial" w:hAnsi="Arial" w:cs="Arial"/>
                <w:b/>
                <w:bCs/>
                <w:sz w:val="18"/>
                <w:szCs w:val="18"/>
                <w:lang w:val="en-AU"/>
              </w:rPr>
              <w:t>.</w:t>
            </w:r>
          </w:p>
        </w:tc>
        <w:tc>
          <w:tcPr>
            <w:tcW w:w="1247" w:type="pct"/>
            <w:hideMark/>
          </w:tcPr>
          <w:p w14:paraId="53712E1C"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VfM assessment; Annual Reports; financial reports; procurement and recruitment data; audit records; risk registers; localisation and GEDSI evidence.</w:t>
            </w:r>
          </w:p>
        </w:tc>
        <w:tc>
          <w:tcPr>
            <w:tcW w:w="1435" w:type="pct"/>
            <w:hideMark/>
          </w:tcPr>
          <w:p w14:paraId="3802BDF7"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Good coverage across DFAT, ASIPS+ finance, procurement, HR, operations, the Development Effectiveness Hub and Service Order Leads. Consultation evidence triangulates the VfM assessment.</w:t>
            </w:r>
          </w:p>
        </w:tc>
      </w:tr>
      <w:tr w:rsidR="00055D5F" w:rsidRPr="0093321B" w14:paraId="1AEBC212" w14:textId="77777777" w:rsidTr="00055D5F">
        <w:tc>
          <w:tcPr>
            <w:tcW w:w="1057" w:type="pct"/>
            <w:shd w:val="clear" w:color="auto" w:fill="F2F2F2" w:themeFill="background1" w:themeFillShade="F2"/>
            <w:hideMark/>
          </w:tcPr>
          <w:p w14:paraId="659DC222"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KEQ4.2. What evidence is there that the hybrid model is adding value compared with an enabling-only model?</w:t>
            </w:r>
          </w:p>
        </w:tc>
        <w:tc>
          <w:tcPr>
            <w:tcW w:w="1183" w:type="pct"/>
            <w:hideMark/>
          </w:tcPr>
          <w:p w14:paraId="702D72B5"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Moderate to high.</w:t>
            </w:r>
            <w:r w:rsidRPr="0093321B">
              <w:rPr>
                <w:rFonts w:ascii="Arial" w:hAnsi="Arial" w:cs="Arial"/>
                <w:sz w:val="18"/>
                <w:szCs w:val="18"/>
                <w:lang w:val="en-AU"/>
              </w:rPr>
              <w:t xml:space="preserve"> Evidence is strong on contribution and stakeholder perceptions, but there is no formal counterfactual.</w:t>
            </w:r>
          </w:p>
        </w:tc>
        <w:tc>
          <w:tcPr>
            <w:tcW w:w="1247" w:type="pct"/>
            <w:hideMark/>
          </w:tcPr>
          <w:p w14:paraId="1A967A39" w14:textId="3CE48CC1"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Investment Design Document; Quality Programming Strategy; Programming and Performance Management Guidelines; MEL Plan; 2025 Annual Report; S</w:t>
            </w:r>
            <w:r w:rsidR="00F05754">
              <w:rPr>
                <w:rFonts w:ascii="Arial" w:hAnsi="Arial" w:cs="Arial"/>
                <w:sz w:val="18"/>
                <w:szCs w:val="18"/>
                <w:lang w:val="en-AU"/>
              </w:rPr>
              <w:t>O</w:t>
            </w:r>
            <w:r w:rsidRPr="0093321B">
              <w:rPr>
                <w:rFonts w:ascii="Arial" w:hAnsi="Arial" w:cs="Arial"/>
                <w:sz w:val="18"/>
                <w:szCs w:val="18"/>
                <w:lang w:val="en-AU"/>
              </w:rPr>
              <w:t xml:space="preserve"> design and planning evidence; SICRAD design evidence; education and skills portfolio evidence.</w:t>
            </w:r>
          </w:p>
        </w:tc>
        <w:tc>
          <w:tcPr>
            <w:tcW w:w="1435" w:type="pct"/>
            <w:hideMark/>
          </w:tcPr>
          <w:p w14:paraId="19DBA8E9"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Strong qualitative evidence from DFAT, ASIPS+, MEHRD, SINU, education and skills stakeholders, and Development Effectiveness Hub advisers that the “plus” function adds value beyond enabling services.</w:t>
            </w:r>
          </w:p>
        </w:tc>
      </w:tr>
      <w:tr w:rsidR="00055D5F" w:rsidRPr="0093321B" w14:paraId="1C94FFCF" w14:textId="77777777" w:rsidTr="00055D5F">
        <w:tc>
          <w:tcPr>
            <w:tcW w:w="1057" w:type="pct"/>
            <w:shd w:val="clear" w:color="auto" w:fill="F2F2F2" w:themeFill="background1" w:themeFillShade="F2"/>
            <w:hideMark/>
          </w:tcPr>
          <w:p w14:paraId="6180F4B1"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KEQ4.3. How effectively has ASIPS+ identified and managed risks?</w:t>
            </w:r>
          </w:p>
        </w:tc>
        <w:tc>
          <w:tcPr>
            <w:tcW w:w="1183" w:type="pct"/>
            <w:hideMark/>
          </w:tcPr>
          <w:p w14:paraId="2B38276F"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Strong evidence is available on risk systems, safeguards, security, compliance and incident management.</w:t>
            </w:r>
          </w:p>
        </w:tc>
        <w:tc>
          <w:tcPr>
            <w:tcW w:w="1247" w:type="pct"/>
            <w:hideMark/>
          </w:tcPr>
          <w:p w14:paraId="244D8DD7"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Risk registers; Annual Report risk and safeguards sections; Safeguarding approach; audit, risk and compliance records; security and Deployee Support Services reflection records; safeguarding training evidence.</w:t>
            </w:r>
          </w:p>
        </w:tc>
        <w:tc>
          <w:tcPr>
            <w:tcW w:w="1435" w:type="pct"/>
            <w:hideMark/>
          </w:tcPr>
          <w:p w14:paraId="4E4733A4" w14:textId="18774F60"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Broad coverage across ASIPS+ security, safeguards, DFAT, S</w:t>
            </w:r>
            <w:r w:rsidR="006D4556">
              <w:rPr>
                <w:rFonts w:ascii="Arial" w:hAnsi="Arial" w:cs="Arial"/>
                <w:sz w:val="18"/>
                <w:szCs w:val="18"/>
                <w:lang w:val="en-AU"/>
              </w:rPr>
              <w:t xml:space="preserve">O </w:t>
            </w:r>
            <w:r w:rsidRPr="0093321B">
              <w:rPr>
                <w:rFonts w:ascii="Arial" w:hAnsi="Arial" w:cs="Arial"/>
                <w:sz w:val="18"/>
                <w:szCs w:val="18"/>
                <w:lang w:val="en-AU"/>
              </w:rPr>
              <w:t>Leads and Facility Support Unit teams. Stakeholders indicate that systems are effective, while noting that growth-related risks require continued attention.</w:t>
            </w:r>
          </w:p>
        </w:tc>
      </w:tr>
      <w:tr w:rsidR="00055D5F" w:rsidRPr="0093321B" w14:paraId="7F3289D7" w14:textId="77777777" w:rsidTr="00055D5F">
        <w:tc>
          <w:tcPr>
            <w:tcW w:w="1057" w:type="pct"/>
            <w:shd w:val="clear" w:color="auto" w:fill="F2F2F2" w:themeFill="background1" w:themeFillShade="F2"/>
            <w:hideMark/>
          </w:tcPr>
          <w:p w14:paraId="1B266AE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 xml:space="preserve">KEQ4.4. What changes should DFAT and ASIPS+ consider </w:t>
            </w:r>
            <w:proofErr w:type="gramStart"/>
            <w:r w:rsidRPr="0093321B">
              <w:rPr>
                <w:rFonts w:ascii="Arial" w:hAnsi="Arial" w:cs="Arial"/>
                <w:b/>
                <w:bCs/>
                <w:sz w:val="18"/>
                <w:szCs w:val="18"/>
                <w:lang w:val="en-AU"/>
              </w:rPr>
              <w:t>to improve</w:t>
            </w:r>
            <w:proofErr w:type="gramEnd"/>
            <w:r w:rsidRPr="0093321B">
              <w:rPr>
                <w:rFonts w:ascii="Arial" w:hAnsi="Arial" w:cs="Arial"/>
                <w:b/>
                <w:bCs/>
                <w:sz w:val="18"/>
                <w:szCs w:val="18"/>
                <w:lang w:val="en-AU"/>
              </w:rPr>
              <w:t xml:space="preserve"> value for money?</w:t>
            </w:r>
          </w:p>
        </w:tc>
        <w:tc>
          <w:tcPr>
            <w:tcW w:w="1183" w:type="pct"/>
            <w:hideMark/>
          </w:tcPr>
          <w:p w14:paraId="2BDF5345" w14:textId="3AC8E2D4"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High.</w:t>
            </w:r>
            <w:r w:rsidRPr="0093321B">
              <w:rPr>
                <w:rFonts w:ascii="Arial" w:hAnsi="Arial" w:cs="Arial"/>
                <w:sz w:val="18"/>
                <w:szCs w:val="18"/>
                <w:lang w:val="en-AU"/>
              </w:rPr>
              <w:t xml:space="preserve"> Strong convergence on proportional resourcing, differentiated S</w:t>
            </w:r>
            <w:r w:rsidR="00F05754">
              <w:rPr>
                <w:rFonts w:ascii="Arial" w:hAnsi="Arial" w:cs="Arial"/>
                <w:sz w:val="18"/>
                <w:szCs w:val="18"/>
                <w:lang w:val="en-AU"/>
              </w:rPr>
              <w:t>O</w:t>
            </w:r>
            <w:r w:rsidRPr="0093321B">
              <w:rPr>
                <w:rFonts w:ascii="Arial" w:hAnsi="Arial" w:cs="Arial"/>
                <w:sz w:val="18"/>
                <w:szCs w:val="18"/>
                <w:lang w:val="en-AU"/>
              </w:rPr>
              <w:t xml:space="preserve"> support, integrated systems, forecasting, pipeline governance and reducing late-stage workarounds.</w:t>
            </w:r>
          </w:p>
        </w:tc>
        <w:tc>
          <w:tcPr>
            <w:tcW w:w="1247" w:type="pct"/>
            <w:hideMark/>
          </w:tcPr>
          <w:p w14:paraId="318A388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VfM assessment; Strategic Oversight Group records; annual reflection records; finance, procurement, HR and operations reflections; Facility planning and resourcing analysis.</w:t>
            </w:r>
          </w:p>
        </w:tc>
        <w:tc>
          <w:tcPr>
            <w:tcW w:w="1435" w:type="pct"/>
            <w:hideMark/>
          </w:tcPr>
          <w:p w14:paraId="1EA6C725"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Strong coverage across DFAT, ASIPS+ leadership, Facility Support Unit business units and Service Order Leads.</w:t>
            </w:r>
          </w:p>
        </w:tc>
      </w:tr>
      <w:tr w:rsidR="00055D5F" w:rsidRPr="0093321B" w14:paraId="600E44EF" w14:textId="77777777" w:rsidTr="00055D5F">
        <w:tc>
          <w:tcPr>
            <w:tcW w:w="1057" w:type="pct"/>
            <w:shd w:val="clear" w:color="auto" w:fill="F2F2F2" w:themeFill="background1" w:themeFillShade="F2"/>
            <w:hideMark/>
          </w:tcPr>
          <w:p w14:paraId="50DEEE2C"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KEQ4.5. What strategic options should DFAT consider for the future of the Facility beyond 2027?</w:t>
            </w:r>
          </w:p>
        </w:tc>
        <w:tc>
          <w:tcPr>
            <w:tcW w:w="1183" w:type="pct"/>
            <w:hideMark/>
          </w:tcPr>
          <w:p w14:paraId="1363EB9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b/>
                <w:bCs/>
                <w:sz w:val="18"/>
                <w:szCs w:val="18"/>
                <w:lang w:val="en-AU"/>
              </w:rPr>
              <w:t>Moderate to high.</w:t>
            </w:r>
            <w:r w:rsidRPr="0093321B">
              <w:rPr>
                <w:rFonts w:ascii="Arial" w:hAnsi="Arial" w:cs="Arial"/>
                <w:sz w:val="18"/>
                <w:szCs w:val="18"/>
                <w:lang w:val="en-AU"/>
              </w:rPr>
              <w:t xml:space="preserve"> Evidence is strong on demand, expenditure pressure and headroom. Future options are prospective and require further DFAT modelling and decision-making.</w:t>
            </w:r>
          </w:p>
        </w:tc>
        <w:tc>
          <w:tcPr>
            <w:tcW w:w="1247" w:type="pct"/>
            <w:hideMark/>
          </w:tcPr>
          <w:p w14:paraId="7B5114DB" w14:textId="6261A8CB"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Facility planning and financial scenario analysis; Strategic Oversight Group records; VfM assessment; finance projections; Head Deed extension information; S</w:t>
            </w:r>
            <w:r w:rsidR="00F05754">
              <w:rPr>
                <w:rFonts w:ascii="Arial" w:hAnsi="Arial" w:cs="Arial"/>
                <w:sz w:val="18"/>
                <w:szCs w:val="18"/>
                <w:lang w:val="en-AU"/>
              </w:rPr>
              <w:t>O</w:t>
            </w:r>
            <w:r w:rsidRPr="0093321B">
              <w:rPr>
                <w:rFonts w:ascii="Arial" w:hAnsi="Arial" w:cs="Arial"/>
                <w:sz w:val="18"/>
                <w:szCs w:val="18"/>
                <w:lang w:val="en-AU"/>
              </w:rPr>
              <w:t xml:space="preserve"> pipeline and expenditure forecasts.</w:t>
            </w:r>
          </w:p>
        </w:tc>
        <w:tc>
          <w:tcPr>
            <w:tcW w:w="1435" w:type="pct"/>
            <w:hideMark/>
          </w:tcPr>
          <w:p w14:paraId="709A0713" w14:textId="77777777" w:rsidR="00055D5F" w:rsidRPr="0093321B" w:rsidRDefault="00055D5F" w:rsidP="0093321B">
            <w:pPr>
              <w:spacing w:before="0" w:after="0"/>
              <w:rPr>
                <w:rFonts w:ascii="Arial" w:hAnsi="Arial" w:cs="Arial"/>
                <w:sz w:val="18"/>
                <w:szCs w:val="18"/>
                <w:lang w:val="en-AU"/>
              </w:rPr>
            </w:pPr>
            <w:r w:rsidRPr="0093321B">
              <w:rPr>
                <w:rFonts w:ascii="Arial" w:hAnsi="Arial" w:cs="Arial"/>
                <w:sz w:val="18"/>
                <w:szCs w:val="18"/>
                <w:lang w:val="en-AU"/>
              </w:rPr>
              <w:t>Good coverage across Strategic Oversight Group members, DFAT Facility Investment Management Team, ASIPS+ leadership, DT Global and finance stakeholders. Further DFAT Canberra engagement and modelling are required.</w:t>
            </w:r>
          </w:p>
        </w:tc>
      </w:tr>
    </w:tbl>
    <w:p w14:paraId="66DDDEDD" w14:textId="77777777" w:rsidR="00055D5F" w:rsidRDefault="00055D5F">
      <w:pPr>
        <w:sectPr w:rsidR="00055D5F" w:rsidSect="00735BB7">
          <w:pgSz w:w="16838" w:h="11906" w:orient="landscape" w:code="9"/>
          <w:pgMar w:top="1021" w:right="907" w:bottom="851" w:left="907" w:header="851" w:footer="454" w:gutter="0"/>
          <w:pgBorders w:offsetFrom="page">
            <w:top w:val="single" w:sz="48" w:space="0" w:color="507CB9"/>
            <w:left w:val="single" w:sz="48" w:space="0" w:color="507CB9"/>
            <w:bottom w:val="single" w:sz="48" w:space="0" w:color="507CB9"/>
            <w:right w:val="single" w:sz="48" w:space="0" w:color="507CB9"/>
          </w:pgBorders>
          <w:cols w:space="709"/>
          <w:titlePg/>
          <w:docGrid w:linePitch="360"/>
        </w:sectPr>
      </w:pPr>
    </w:p>
    <w:p w14:paraId="7C12B004" w14:textId="09D1D2B1" w:rsidR="004B25B9" w:rsidRPr="00550B3C" w:rsidRDefault="00306A84" w:rsidP="00550B3C">
      <w:pPr>
        <w:pStyle w:val="Heading2"/>
      </w:pPr>
      <w:bookmarkStart w:id="23" w:name="_Toc234426734"/>
      <w:bookmarkStart w:id="24" w:name="_Ref227763185"/>
      <w:r w:rsidRPr="00550B3C">
        <w:lastRenderedPageBreak/>
        <w:t xml:space="preserve">Annex </w:t>
      </w:r>
      <w:r w:rsidR="00E0018F">
        <w:t>5</w:t>
      </w:r>
      <w:r w:rsidRPr="00550B3C">
        <w:t xml:space="preserve">. </w:t>
      </w:r>
      <w:r w:rsidR="00516FD8" w:rsidRPr="00550B3C">
        <w:t>List of service orders</w:t>
      </w:r>
      <w:bookmarkEnd w:id="23"/>
      <w:bookmarkEnd w:id="24"/>
    </w:p>
    <w:p w14:paraId="35305A78" w14:textId="35434229" w:rsidR="7613864B" w:rsidRDefault="7613864B" w:rsidP="00003015">
      <w:pPr>
        <w:rPr>
          <w:b/>
          <w:bCs/>
        </w:rPr>
      </w:pPr>
      <w:r w:rsidRPr="2384E2B6">
        <w:t>Please note that the SO types were only articulated in the refreshed design, so SOs created prior to late 2024 may not adhere to the definitions provided in the design and accomp</w:t>
      </w:r>
      <w:r w:rsidR="4B3A1080" w:rsidRPr="2384E2B6">
        <w:t>anying documents.</w:t>
      </w:r>
    </w:p>
    <w:p w14:paraId="1F90A3E8" w14:textId="048C6755" w:rsidR="00B4334B" w:rsidRPr="00C13F9E" w:rsidRDefault="00B4334B" w:rsidP="00003015">
      <w:pPr>
        <w:keepNext/>
        <w:spacing w:before="120" w:after="0"/>
        <w:rPr>
          <w:b/>
          <w:bCs/>
          <w:color w:val="auto"/>
        </w:rPr>
      </w:pPr>
      <w:r w:rsidRPr="00C13F9E">
        <w:rPr>
          <w:b/>
          <w:bCs/>
        </w:rPr>
        <w:t xml:space="preserve">Table </w:t>
      </w:r>
      <w:r w:rsidRPr="00C13F9E">
        <w:rPr>
          <w:b/>
          <w:bCs/>
          <w:color w:val="auto"/>
        </w:rPr>
        <w:fldChar w:fldCharType="begin"/>
      </w:r>
      <w:r w:rsidRPr="00C13F9E">
        <w:rPr>
          <w:b/>
          <w:bCs/>
          <w:color w:val="auto"/>
        </w:rPr>
        <w:instrText xml:space="preserve"> SEQ Table \* ARABIC </w:instrText>
      </w:r>
      <w:r w:rsidRPr="00C13F9E">
        <w:rPr>
          <w:b/>
          <w:bCs/>
          <w:color w:val="auto"/>
        </w:rPr>
        <w:fldChar w:fldCharType="separate"/>
      </w:r>
      <w:r w:rsidR="0093321B">
        <w:rPr>
          <w:b/>
          <w:bCs/>
          <w:noProof/>
          <w:color w:val="auto"/>
        </w:rPr>
        <w:t>3</w:t>
      </w:r>
      <w:r w:rsidRPr="00C13F9E">
        <w:rPr>
          <w:b/>
          <w:bCs/>
          <w:color w:val="auto"/>
        </w:rPr>
        <w:fldChar w:fldCharType="end"/>
      </w:r>
      <w:r w:rsidRPr="00C13F9E">
        <w:rPr>
          <w:b/>
          <w:bCs/>
        </w:rPr>
        <w:t>. SO types</w:t>
      </w:r>
    </w:p>
    <w:tbl>
      <w:tblPr>
        <w:tblStyle w:val="TableGridLight"/>
        <w:tblW w:w="5000" w:type="pct"/>
        <w:tblLayout w:type="fixed"/>
        <w:tblLook w:val="04A0" w:firstRow="1" w:lastRow="0" w:firstColumn="1" w:lastColumn="0" w:noHBand="0" w:noVBand="1"/>
      </w:tblPr>
      <w:tblGrid>
        <w:gridCol w:w="2853"/>
        <w:gridCol w:w="3570"/>
        <w:gridCol w:w="8591"/>
      </w:tblGrid>
      <w:tr w:rsidR="00B4334B" w:rsidRPr="00851309" w14:paraId="48B2E86E" w14:textId="77777777" w:rsidTr="00444470">
        <w:tc>
          <w:tcPr>
            <w:tcW w:w="950" w:type="pct"/>
            <w:shd w:val="clear" w:color="auto" w:fill="002060"/>
          </w:tcPr>
          <w:p w14:paraId="0AECAFE2" w14:textId="77777777" w:rsidR="00B4334B" w:rsidRPr="00AE4DF5" w:rsidRDefault="00B4334B" w:rsidP="00003015">
            <w:pPr>
              <w:spacing w:before="0" w:after="0"/>
              <w:rPr>
                <w:color w:val="auto"/>
                <w:sz w:val="18"/>
                <w:szCs w:val="18"/>
              </w:rPr>
            </w:pPr>
            <w:r w:rsidRPr="00AE4DF5">
              <w:rPr>
                <w:rFonts w:ascii="Arial" w:eastAsia="Arial" w:hAnsi="Arial"/>
                <w:b/>
                <w:color w:val="auto"/>
                <w:sz w:val="18"/>
                <w:szCs w:val="18"/>
              </w:rPr>
              <w:t>SO type</w:t>
            </w:r>
          </w:p>
        </w:tc>
        <w:tc>
          <w:tcPr>
            <w:tcW w:w="1189" w:type="pct"/>
            <w:shd w:val="clear" w:color="auto" w:fill="002060"/>
          </w:tcPr>
          <w:p w14:paraId="35243836" w14:textId="77777777" w:rsidR="00B4334B" w:rsidRPr="00AE4DF5" w:rsidRDefault="00B4334B" w:rsidP="00003015">
            <w:pPr>
              <w:spacing w:before="0" w:after="0"/>
              <w:rPr>
                <w:color w:val="auto"/>
                <w:sz w:val="18"/>
                <w:szCs w:val="18"/>
              </w:rPr>
            </w:pPr>
            <w:r w:rsidRPr="00AE4DF5">
              <w:rPr>
                <w:rFonts w:ascii="Arial" w:eastAsia="Arial" w:hAnsi="Arial"/>
                <w:b/>
                <w:color w:val="auto"/>
                <w:sz w:val="18"/>
                <w:szCs w:val="18"/>
              </w:rPr>
              <w:t>Indicative budget / funding</w:t>
            </w:r>
          </w:p>
        </w:tc>
        <w:tc>
          <w:tcPr>
            <w:tcW w:w="2861" w:type="pct"/>
            <w:shd w:val="clear" w:color="auto" w:fill="002060"/>
          </w:tcPr>
          <w:p w14:paraId="498D318E" w14:textId="77777777" w:rsidR="00B4334B" w:rsidRPr="00AE4DF5" w:rsidRDefault="00B4334B" w:rsidP="00003015">
            <w:pPr>
              <w:spacing w:before="0" w:after="0"/>
              <w:rPr>
                <w:color w:val="auto"/>
                <w:sz w:val="18"/>
                <w:szCs w:val="18"/>
              </w:rPr>
            </w:pPr>
            <w:r w:rsidRPr="00AE4DF5">
              <w:rPr>
                <w:rFonts w:ascii="Arial" w:eastAsia="Arial" w:hAnsi="Arial"/>
                <w:b/>
                <w:color w:val="auto"/>
                <w:sz w:val="18"/>
                <w:szCs w:val="18"/>
              </w:rPr>
              <w:t>Meaning</w:t>
            </w:r>
          </w:p>
        </w:tc>
      </w:tr>
      <w:tr w:rsidR="00B4334B" w:rsidRPr="00851309" w14:paraId="2233832B" w14:textId="77777777" w:rsidTr="00444470">
        <w:tc>
          <w:tcPr>
            <w:tcW w:w="950" w:type="pct"/>
            <w:shd w:val="clear" w:color="auto" w:fill="F2F2F2" w:themeFill="background1" w:themeFillShade="F2"/>
          </w:tcPr>
          <w:p w14:paraId="128BA79E"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Type 1: Development Programs</w:t>
            </w:r>
          </w:p>
        </w:tc>
        <w:tc>
          <w:tcPr>
            <w:tcW w:w="1189" w:type="pct"/>
          </w:tcPr>
          <w:p w14:paraId="12AA2235"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Over AUD3 million; ODA</w:t>
            </w:r>
          </w:p>
        </w:tc>
        <w:tc>
          <w:tcPr>
            <w:tcW w:w="2861" w:type="pct"/>
          </w:tcPr>
          <w:p w14:paraId="23EEFB83"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Cohesive multi-year development programs designed to achieve long-term development outcomes, usually at sector level, with dedicated program management.</w:t>
            </w:r>
          </w:p>
        </w:tc>
      </w:tr>
      <w:tr w:rsidR="00B4334B" w:rsidRPr="00851309" w14:paraId="199BDF27" w14:textId="77777777" w:rsidTr="00444470">
        <w:tc>
          <w:tcPr>
            <w:tcW w:w="950" w:type="pct"/>
            <w:shd w:val="clear" w:color="auto" w:fill="F2F2F2" w:themeFill="background1" w:themeFillShade="F2"/>
          </w:tcPr>
          <w:p w14:paraId="2D3BD367"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Type 2: Deployee Support Services</w:t>
            </w:r>
          </w:p>
        </w:tc>
        <w:tc>
          <w:tcPr>
            <w:tcW w:w="1189" w:type="pct"/>
          </w:tcPr>
          <w:p w14:paraId="6B29D488"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Open; ODA and non-ODA</w:t>
            </w:r>
          </w:p>
        </w:tc>
        <w:tc>
          <w:tcPr>
            <w:tcW w:w="2861" w:type="pct"/>
          </w:tcPr>
          <w:p w14:paraId="3ECB5580"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Operational support services to Australian Government deployees and A-based staff. These SOs are enabling in nature.</w:t>
            </w:r>
          </w:p>
        </w:tc>
      </w:tr>
      <w:tr w:rsidR="00B4334B" w:rsidRPr="00851309" w14:paraId="3C6D658B" w14:textId="77777777" w:rsidTr="00444470">
        <w:tc>
          <w:tcPr>
            <w:tcW w:w="950" w:type="pct"/>
            <w:shd w:val="clear" w:color="auto" w:fill="F2F2F2" w:themeFill="background1" w:themeFillShade="F2"/>
          </w:tcPr>
          <w:p w14:paraId="0BCC91DE"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Type 3: Thematic Initiatives</w:t>
            </w:r>
          </w:p>
        </w:tc>
        <w:tc>
          <w:tcPr>
            <w:tcW w:w="1189" w:type="pct"/>
          </w:tcPr>
          <w:p w14:paraId="4204BC0D"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Generally AUD1 million to AUD3 million; ODA</w:t>
            </w:r>
          </w:p>
        </w:tc>
        <w:tc>
          <w:tcPr>
            <w:tcW w:w="2861" w:type="pct"/>
          </w:tcPr>
          <w:p w14:paraId="4AAF26B9"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Thematically based development initiatives designed to achieve immediate or intermediate development outcomes over medium timeframes. Some Type 3 SOs have approved exemptions or limited MEL expectations.</w:t>
            </w:r>
          </w:p>
        </w:tc>
      </w:tr>
      <w:tr w:rsidR="00B4334B" w:rsidRPr="00851309" w14:paraId="4CDED7A2" w14:textId="77777777" w:rsidTr="00444470">
        <w:tc>
          <w:tcPr>
            <w:tcW w:w="950" w:type="pct"/>
            <w:shd w:val="clear" w:color="auto" w:fill="F2F2F2" w:themeFill="background1" w:themeFillShade="F2"/>
          </w:tcPr>
          <w:p w14:paraId="4BDD5345"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Type 4: Flexible Funds / Assignments</w:t>
            </w:r>
          </w:p>
        </w:tc>
        <w:tc>
          <w:tcPr>
            <w:tcW w:w="1189" w:type="pct"/>
          </w:tcPr>
          <w:p w14:paraId="04D06CBD"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Generally AUD1 million to AUD3 million fund; ODA and non-ODA; activities commonly around AUD100,000</w:t>
            </w:r>
          </w:p>
        </w:tc>
        <w:tc>
          <w:tcPr>
            <w:tcW w:w="2861" w:type="pct"/>
          </w:tcPr>
          <w:p w14:paraId="4AE84D00" w14:textId="77777777" w:rsidR="00B4334B" w:rsidRPr="00AE4DF5" w:rsidRDefault="00B4334B" w:rsidP="00003015">
            <w:pPr>
              <w:spacing w:before="0" w:after="0"/>
              <w:rPr>
                <w:color w:val="auto"/>
                <w:sz w:val="18"/>
                <w:szCs w:val="18"/>
              </w:rPr>
            </w:pPr>
            <w:r w:rsidRPr="00AE4DF5">
              <w:rPr>
                <w:rFonts w:ascii="Arial" w:eastAsia="Arial" w:hAnsi="Arial"/>
                <w:color w:val="auto"/>
                <w:sz w:val="18"/>
                <w:szCs w:val="18"/>
              </w:rPr>
              <w:t>Flexible mechanism for rapidly commissioning small, discrete tasks where the full workplan is not known at SO commencement. Activities are normally authorised through assignments or tasking notes. Type 4 is a management modality, not a sector.</w:t>
            </w:r>
          </w:p>
        </w:tc>
      </w:tr>
    </w:tbl>
    <w:p w14:paraId="1C034B81" w14:textId="6FCFC823" w:rsidR="00B4334B" w:rsidRPr="00550B3C" w:rsidRDefault="00B4334B" w:rsidP="00003015">
      <w:pPr>
        <w:pStyle w:val="Caption"/>
        <w:keepNext/>
        <w:spacing w:before="120" w:after="0"/>
        <w:rPr>
          <w:color w:val="auto"/>
        </w:rPr>
      </w:pPr>
      <w:r w:rsidRPr="00550B3C">
        <w:rPr>
          <w:color w:val="auto"/>
          <w:sz w:val="20"/>
          <w:szCs w:val="20"/>
        </w:rPr>
        <w:t xml:space="preserve">Table </w:t>
      </w:r>
      <w:r w:rsidRPr="00550B3C">
        <w:rPr>
          <w:color w:val="auto"/>
          <w:sz w:val="20"/>
          <w:szCs w:val="20"/>
        </w:rPr>
        <w:fldChar w:fldCharType="begin"/>
      </w:r>
      <w:r w:rsidRPr="00550B3C">
        <w:rPr>
          <w:color w:val="auto"/>
          <w:sz w:val="20"/>
          <w:szCs w:val="20"/>
        </w:rPr>
        <w:instrText xml:space="preserve"> SEQ Table \* ARABIC </w:instrText>
      </w:r>
      <w:r w:rsidRPr="00550B3C">
        <w:rPr>
          <w:color w:val="auto"/>
          <w:sz w:val="20"/>
          <w:szCs w:val="20"/>
        </w:rPr>
        <w:fldChar w:fldCharType="separate"/>
      </w:r>
      <w:r w:rsidR="0093321B">
        <w:rPr>
          <w:noProof/>
          <w:color w:val="auto"/>
          <w:sz w:val="20"/>
          <w:szCs w:val="20"/>
        </w:rPr>
        <w:t>4</w:t>
      </w:r>
      <w:r w:rsidRPr="00550B3C">
        <w:rPr>
          <w:color w:val="auto"/>
          <w:sz w:val="20"/>
          <w:szCs w:val="20"/>
        </w:rPr>
        <w:fldChar w:fldCharType="end"/>
      </w:r>
      <w:r w:rsidRPr="00550B3C">
        <w:rPr>
          <w:color w:val="auto"/>
          <w:sz w:val="20"/>
          <w:szCs w:val="20"/>
        </w:rPr>
        <w:t>. ASIPS+ delivery role</w:t>
      </w:r>
    </w:p>
    <w:tbl>
      <w:tblPr>
        <w:tblStyle w:val="TableGridLight"/>
        <w:tblW w:w="5000" w:type="pct"/>
        <w:tblLayout w:type="fixed"/>
        <w:tblLook w:val="04A0" w:firstRow="1" w:lastRow="0" w:firstColumn="1" w:lastColumn="0" w:noHBand="0" w:noVBand="1"/>
      </w:tblPr>
      <w:tblGrid>
        <w:gridCol w:w="2925"/>
        <w:gridCol w:w="12089"/>
      </w:tblGrid>
      <w:tr w:rsidR="00B4334B" w14:paraId="1FA8C8D8" w14:textId="77777777">
        <w:tc>
          <w:tcPr>
            <w:tcW w:w="974" w:type="pct"/>
            <w:shd w:val="clear" w:color="auto" w:fill="002060"/>
          </w:tcPr>
          <w:p w14:paraId="45744BAF" w14:textId="77777777" w:rsidR="00B4334B" w:rsidRPr="00AE4DF5" w:rsidRDefault="00B4334B" w:rsidP="00003015">
            <w:pPr>
              <w:spacing w:before="0" w:after="0"/>
              <w:rPr>
                <w:sz w:val="18"/>
                <w:szCs w:val="18"/>
              </w:rPr>
            </w:pPr>
            <w:r w:rsidRPr="00AE4DF5">
              <w:rPr>
                <w:rFonts w:ascii="Arial" w:eastAsia="Arial" w:hAnsi="Arial"/>
                <w:b/>
                <w:color w:val="FFFFFF"/>
                <w:sz w:val="18"/>
                <w:szCs w:val="18"/>
              </w:rPr>
              <w:t>Delivery role</w:t>
            </w:r>
          </w:p>
        </w:tc>
        <w:tc>
          <w:tcPr>
            <w:tcW w:w="4026" w:type="pct"/>
            <w:shd w:val="clear" w:color="auto" w:fill="002060"/>
          </w:tcPr>
          <w:p w14:paraId="19885EC7" w14:textId="77777777" w:rsidR="00B4334B" w:rsidRPr="00AE4DF5" w:rsidRDefault="00B4334B" w:rsidP="00003015">
            <w:pPr>
              <w:spacing w:before="0" w:after="0"/>
              <w:rPr>
                <w:sz w:val="18"/>
                <w:szCs w:val="18"/>
              </w:rPr>
            </w:pPr>
            <w:r w:rsidRPr="00AE4DF5">
              <w:rPr>
                <w:rFonts w:ascii="Arial" w:eastAsia="Arial" w:hAnsi="Arial"/>
                <w:b/>
                <w:color w:val="FFFFFF"/>
                <w:sz w:val="18"/>
                <w:szCs w:val="18"/>
              </w:rPr>
              <w:t xml:space="preserve">Meaning </w:t>
            </w:r>
          </w:p>
        </w:tc>
      </w:tr>
      <w:tr w:rsidR="00B4334B" w14:paraId="09B30D20" w14:textId="77777777">
        <w:tc>
          <w:tcPr>
            <w:tcW w:w="974" w:type="pct"/>
            <w:shd w:val="clear" w:color="auto" w:fill="F2F2F2" w:themeFill="background1" w:themeFillShade="F2"/>
          </w:tcPr>
          <w:p w14:paraId="292DC410" w14:textId="77777777" w:rsidR="00B4334B" w:rsidRPr="00AE4DF5" w:rsidRDefault="00B4334B" w:rsidP="00003015">
            <w:pPr>
              <w:spacing w:before="0" w:after="0"/>
              <w:rPr>
                <w:sz w:val="18"/>
                <w:szCs w:val="18"/>
              </w:rPr>
            </w:pPr>
            <w:r w:rsidRPr="00AE4DF5">
              <w:rPr>
                <w:rFonts w:ascii="Arial" w:eastAsia="Arial" w:hAnsi="Arial"/>
                <w:sz w:val="18"/>
                <w:szCs w:val="18"/>
              </w:rPr>
              <w:t>Full development delivery</w:t>
            </w:r>
          </w:p>
        </w:tc>
        <w:tc>
          <w:tcPr>
            <w:tcW w:w="4026" w:type="pct"/>
          </w:tcPr>
          <w:p w14:paraId="5BC75920" w14:textId="77777777" w:rsidR="00B4334B" w:rsidRPr="00AE4DF5" w:rsidRDefault="00B4334B" w:rsidP="00003015">
            <w:pPr>
              <w:spacing w:before="0" w:after="0"/>
              <w:rPr>
                <w:sz w:val="18"/>
                <w:szCs w:val="18"/>
              </w:rPr>
            </w:pPr>
            <w:r w:rsidRPr="00AE4DF5">
              <w:rPr>
                <w:rFonts w:ascii="Arial" w:eastAsia="Arial" w:hAnsi="Arial"/>
                <w:sz w:val="18"/>
                <w:szCs w:val="18"/>
              </w:rPr>
              <w:t>ASIPS+ has a substantial role in managing or delivering a development program or thematic initiative with outcome-level program quality, implementation and MEL expectations.</w:t>
            </w:r>
          </w:p>
        </w:tc>
      </w:tr>
      <w:tr w:rsidR="00B4334B" w14:paraId="13A81A6B" w14:textId="77777777">
        <w:tc>
          <w:tcPr>
            <w:tcW w:w="974" w:type="pct"/>
            <w:shd w:val="clear" w:color="auto" w:fill="F2F2F2" w:themeFill="background1" w:themeFillShade="F2"/>
          </w:tcPr>
          <w:p w14:paraId="350B38B3" w14:textId="77777777" w:rsidR="00B4334B" w:rsidRPr="00AE4DF5" w:rsidRDefault="00B4334B" w:rsidP="00003015">
            <w:pPr>
              <w:spacing w:before="0" w:after="0"/>
              <w:rPr>
                <w:sz w:val="18"/>
                <w:szCs w:val="18"/>
              </w:rPr>
            </w:pPr>
            <w:r w:rsidRPr="00AE4DF5">
              <w:rPr>
                <w:rFonts w:ascii="Arial" w:eastAsia="Arial" w:hAnsi="Arial"/>
                <w:sz w:val="18"/>
                <w:szCs w:val="18"/>
              </w:rPr>
              <w:t>Partial development delivery</w:t>
            </w:r>
          </w:p>
        </w:tc>
        <w:tc>
          <w:tcPr>
            <w:tcW w:w="4026" w:type="pct"/>
          </w:tcPr>
          <w:p w14:paraId="0A8B0E16" w14:textId="77777777" w:rsidR="00B4334B" w:rsidRPr="00AE4DF5" w:rsidRDefault="00B4334B" w:rsidP="00003015">
            <w:pPr>
              <w:spacing w:before="0" w:after="0"/>
              <w:rPr>
                <w:sz w:val="18"/>
                <w:szCs w:val="18"/>
              </w:rPr>
            </w:pPr>
            <w:r w:rsidRPr="00AE4DF5">
              <w:rPr>
                <w:rFonts w:ascii="Arial" w:eastAsia="Arial" w:hAnsi="Arial"/>
                <w:sz w:val="18"/>
                <w:szCs w:val="18"/>
              </w:rPr>
              <w:t>ASIPS+ provides targeted technical assistance, design, grants, procurement, logistics, payment processing or implementation support that contributes to development outcomes, while DFAT, SIG or another program retains significant strategy, MEL or delivery ownership.</w:t>
            </w:r>
          </w:p>
        </w:tc>
      </w:tr>
      <w:tr w:rsidR="00B4334B" w14:paraId="34D01454" w14:textId="77777777">
        <w:tc>
          <w:tcPr>
            <w:tcW w:w="974" w:type="pct"/>
            <w:shd w:val="clear" w:color="auto" w:fill="F2F2F2" w:themeFill="background1" w:themeFillShade="F2"/>
          </w:tcPr>
          <w:p w14:paraId="330A25BB" w14:textId="77777777" w:rsidR="00B4334B" w:rsidRPr="00AE4DF5" w:rsidRDefault="00B4334B" w:rsidP="00003015">
            <w:pPr>
              <w:spacing w:before="0" w:after="0"/>
              <w:rPr>
                <w:sz w:val="18"/>
                <w:szCs w:val="18"/>
              </w:rPr>
            </w:pPr>
            <w:r w:rsidRPr="00AE4DF5">
              <w:rPr>
                <w:rFonts w:ascii="Arial" w:eastAsia="Arial" w:hAnsi="Arial"/>
                <w:sz w:val="18"/>
                <w:szCs w:val="18"/>
              </w:rPr>
              <w:t>Enabling / operational support</w:t>
            </w:r>
          </w:p>
        </w:tc>
        <w:tc>
          <w:tcPr>
            <w:tcW w:w="4026" w:type="pct"/>
          </w:tcPr>
          <w:p w14:paraId="27564CE1" w14:textId="77777777" w:rsidR="00B4334B" w:rsidRPr="00AE4DF5" w:rsidRDefault="00B4334B" w:rsidP="00003015">
            <w:pPr>
              <w:spacing w:before="0" w:after="0"/>
              <w:rPr>
                <w:sz w:val="18"/>
                <w:szCs w:val="18"/>
              </w:rPr>
            </w:pPr>
            <w:r w:rsidRPr="00AE4DF5">
              <w:rPr>
                <w:rFonts w:ascii="Arial" w:eastAsia="Arial" w:hAnsi="Arial"/>
                <w:sz w:val="18"/>
                <w:szCs w:val="18"/>
              </w:rPr>
              <w:t>ASIPS+ provides core facility, deployee support, recruitment, procurement, logistics, finance, security or administrative services that enable AHC and SO delivery rather than directly owning sector development outcomes.</w:t>
            </w:r>
          </w:p>
        </w:tc>
      </w:tr>
    </w:tbl>
    <w:p w14:paraId="2DA8A406" w14:textId="3F3AD84D" w:rsidR="00B4334B" w:rsidRPr="00550B3C" w:rsidRDefault="00B4334B" w:rsidP="00003015">
      <w:pPr>
        <w:pStyle w:val="Caption"/>
        <w:keepNext/>
        <w:spacing w:before="120" w:after="0"/>
        <w:rPr>
          <w:color w:val="auto"/>
        </w:rPr>
      </w:pPr>
      <w:r w:rsidRPr="00550B3C">
        <w:rPr>
          <w:color w:val="auto"/>
        </w:rPr>
        <w:t xml:space="preserve">Table </w:t>
      </w:r>
      <w:r w:rsidRPr="00550B3C">
        <w:rPr>
          <w:color w:val="auto"/>
        </w:rPr>
        <w:fldChar w:fldCharType="begin"/>
      </w:r>
      <w:r w:rsidRPr="00550B3C">
        <w:rPr>
          <w:color w:val="auto"/>
        </w:rPr>
        <w:instrText xml:space="preserve"> SEQ Table \* ARABIC </w:instrText>
      </w:r>
      <w:r w:rsidRPr="00550B3C">
        <w:rPr>
          <w:color w:val="auto"/>
        </w:rPr>
        <w:fldChar w:fldCharType="separate"/>
      </w:r>
      <w:r w:rsidR="0093321B">
        <w:rPr>
          <w:noProof/>
          <w:color w:val="auto"/>
        </w:rPr>
        <w:t>5</w:t>
      </w:r>
      <w:r w:rsidRPr="00550B3C">
        <w:rPr>
          <w:color w:val="auto"/>
        </w:rPr>
        <w:fldChar w:fldCharType="end"/>
      </w:r>
      <w:r w:rsidRPr="00550B3C">
        <w:rPr>
          <w:color w:val="auto"/>
        </w:rPr>
        <w:t>. SO register</w:t>
      </w:r>
    </w:p>
    <w:tbl>
      <w:tblPr>
        <w:tblStyle w:val="TableGrid"/>
        <w:tblW w:w="5000" w:type="pct"/>
        <w:jc w:val="center"/>
        <w:tblLayout w:type="fixed"/>
        <w:tblLook w:val="04A0" w:firstRow="1" w:lastRow="0" w:firstColumn="1" w:lastColumn="0" w:noHBand="0" w:noVBand="1"/>
      </w:tblPr>
      <w:tblGrid>
        <w:gridCol w:w="508"/>
        <w:gridCol w:w="2115"/>
        <w:gridCol w:w="1370"/>
        <w:gridCol w:w="890"/>
        <w:gridCol w:w="761"/>
        <w:gridCol w:w="785"/>
        <w:gridCol w:w="784"/>
        <w:gridCol w:w="1027"/>
        <w:gridCol w:w="1471"/>
        <w:gridCol w:w="1426"/>
        <w:gridCol w:w="1907"/>
        <w:gridCol w:w="1970"/>
      </w:tblGrid>
      <w:tr w:rsidR="00B4334B" w:rsidRPr="00444470" w14:paraId="20DAC22A" w14:textId="77777777" w:rsidTr="00444470">
        <w:trPr>
          <w:tblHeader/>
          <w:jc w:val="center"/>
        </w:trPr>
        <w:tc>
          <w:tcPr>
            <w:tcW w:w="169"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39A934E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b/>
                <w:color w:val="FFFFFF"/>
                <w:sz w:val="17"/>
                <w:szCs w:val="17"/>
              </w:rPr>
              <w:t>SO</w:t>
            </w:r>
          </w:p>
        </w:tc>
        <w:tc>
          <w:tcPr>
            <w:tcW w:w="704"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2B602B29"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SO name</w:t>
            </w:r>
          </w:p>
        </w:tc>
        <w:tc>
          <w:tcPr>
            <w:tcW w:w="456"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23648D2D"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hAnsi="Arial" w:cs="Arial"/>
                <w:b/>
                <w:color w:val="FFFFFF" w:themeColor="background1"/>
                <w:sz w:val="17"/>
                <w:szCs w:val="17"/>
              </w:rPr>
              <w:t>Type</w:t>
            </w:r>
          </w:p>
        </w:tc>
        <w:tc>
          <w:tcPr>
            <w:tcW w:w="296"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6388C38C"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Funding</w:t>
            </w:r>
          </w:p>
        </w:tc>
        <w:tc>
          <w:tcPr>
            <w:tcW w:w="253"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10C2C7A6"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Status</w:t>
            </w:r>
          </w:p>
        </w:tc>
        <w:tc>
          <w:tcPr>
            <w:tcW w:w="261"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1B71F377"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Start</w:t>
            </w:r>
          </w:p>
        </w:tc>
        <w:tc>
          <w:tcPr>
            <w:tcW w:w="261"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7D95CCA1"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End</w:t>
            </w:r>
          </w:p>
        </w:tc>
        <w:tc>
          <w:tcPr>
            <w:tcW w:w="342"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76D849BA"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Value (AUD)</w:t>
            </w:r>
          </w:p>
        </w:tc>
        <w:tc>
          <w:tcPr>
            <w:tcW w:w="490"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62914D8B"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Sector / function</w:t>
            </w:r>
          </w:p>
        </w:tc>
        <w:tc>
          <w:tcPr>
            <w:tcW w:w="475"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7B58B9C4"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Area</w:t>
            </w:r>
          </w:p>
        </w:tc>
        <w:tc>
          <w:tcPr>
            <w:tcW w:w="635"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15DB801A"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DPP alignment</w:t>
            </w:r>
          </w:p>
        </w:tc>
        <w:tc>
          <w:tcPr>
            <w:tcW w:w="656" w:type="pct"/>
            <w:tcBorders>
              <w:top w:val="single" w:sz="4" w:space="0" w:color="BFBFBF"/>
              <w:left w:val="single" w:sz="4" w:space="0" w:color="BFBFBF"/>
              <w:bottom w:val="single" w:sz="4" w:space="0" w:color="BFBFBF"/>
              <w:right w:val="single" w:sz="4" w:space="0" w:color="BFBFBF"/>
            </w:tcBorders>
            <w:shd w:val="clear" w:color="auto" w:fill="002060"/>
            <w:tcMar>
              <w:top w:w="45" w:type="dxa"/>
              <w:left w:w="45" w:type="dxa"/>
              <w:bottom w:w="45" w:type="dxa"/>
              <w:right w:w="45" w:type="dxa"/>
            </w:tcMar>
          </w:tcPr>
          <w:p w14:paraId="20CE2E81" w14:textId="77777777" w:rsidR="00B4334B" w:rsidRPr="00003015" w:rsidRDefault="00B4334B" w:rsidP="00003015">
            <w:pPr>
              <w:spacing w:before="0" w:after="0"/>
              <w:jc w:val="center"/>
              <w:rPr>
                <w:rFonts w:ascii="Arial" w:hAnsi="Arial" w:cs="Arial"/>
                <w:b/>
                <w:color w:val="FFFFFF" w:themeColor="background1"/>
                <w:sz w:val="17"/>
                <w:szCs w:val="17"/>
              </w:rPr>
            </w:pPr>
            <w:r w:rsidRPr="00003015">
              <w:rPr>
                <w:rFonts w:ascii="Arial" w:eastAsia="Arial" w:hAnsi="Arial" w:cs="Arial"/>
                <w:b/>
                <w:color w:val="FFFFFF" w:themeColor="background1"/>
                <w:sz w:val="17"/>
                <w:szCs w:val="17"/>
              </w:rPr>
              <w:t>Delivery role</w:t>
            </w:r>
          </w:p>
        </w:tc>
      </w:tr>
      <w:tr w:rsidR="00B4334B" w:rsidRPr="00444470" w14:paraId="495C0AA2"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3577AB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SO01</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E0A529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Support Unit (FSU)</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D0FE5A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FSU / not a downstream SO</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65E99C8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4E2763E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831565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22 Jun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7CAEA6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E8F493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22,165,194</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9F95825"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and operational enabling</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DB732A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 portfolio operations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81ECE6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all DPP objectives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0E1969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61BD1CAB"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B10BD8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SO03</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C437AE5"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Sector Support Program - Program Management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3CE8C77"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1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65EF930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32E7B58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E2AE06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DF0387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2024</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3B243A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5,094,941</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8DA607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and skills</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CB4A12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8975E2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203400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Full development delivery</w:t>
            </w:r>
          </w:p>
        </w:tc>
      </w:tr>
      <w:tr w:rsidR="00B4334B" w:rsidRPr="00444470" w14:paraId="2BF0FEC2"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F01C62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SO05</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21CA86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Provision of Health Sector Support Program / HSSP Phase 3</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076560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3 (limited MEL)</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66CE60A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165F671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5020D6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AC92FE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2024</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33F00E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2,620,403</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311F41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Health</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2CEA26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Health</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C380C4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D3CAE2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5AB03AFA"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76A18F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SO09</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C4D8AD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Technical Assistance to Lands Governance Reform</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5D30C6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4</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6C909AA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02899F1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4A9AFB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CC5EDD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2024</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0417E0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323,372</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B8C021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Infrastructure, lands and economic governance</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538433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Lands governance</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A780E57"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1 – economic growth/infrastructure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ACB0C9F"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49D3F465"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5D3758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SO10</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C511E7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Pacific Games Support Program / Technical Support to the Pacific Games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F0B050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04CC240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268DDAA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B0A43E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3DB21A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2024</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8A7A4E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276,595</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26D9DC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Governance, security, border and leadership</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24A210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Governance / public finance</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0E0CAB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3 – stability, security and resilience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ACD1CB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72569DB2"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353A4F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lastRenderedPageBreak/>
              <w:t>SO12</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AEBEB7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Gender Equality Support Program / Gender Equality Support Unit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7B4673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3</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0EE81A3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7942B87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FACDE6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5DC7EB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2024</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6F60AE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988,793</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80CD9E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Community, civil society and gender equality</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010E75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Gender equality</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387955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3795FA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Full development delivery</w:t>
            </w:r>
          </w:p>
        </w:tc>
      </w:tr>
      <w:tr w:rsidR="00B4334B" w:rsidRPr="00444470" w14:paraId="5C98359C"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FEC995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SO21</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2C2A8BF"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Provision of Health Sector Support Program</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0D065A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3 (limited MEL)</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05D88F5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5FFF9DC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C5586D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2024</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823610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31 Dec 2024</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04EA29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2,000,000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3C11CA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Health</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276092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Health</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54A74D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470206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456B4534"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64D76D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SO07</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4D5EA47"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Technical Assistance to Australia’s Infrastructure Investments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D89988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4</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32AC90A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213690A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557B6F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1134EA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CBDB24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1,427,378</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46D954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Infrastructure, lands and economic governance</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B03A67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Infrastructure advisory</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6162AD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1 – economic growth/infrastructure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B76BE3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11821920"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F4AA8D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SO04</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E3C2ED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Australia Awards Solomon Islands (AASI)</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5DE268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1</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4677FD6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044035E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E60933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9FC9CF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B1D9BF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16,566,059</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9F571C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and skills</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81BB74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 scholarships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A53685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CD70FB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Full development delivery</w:t>
            </w:r>
          </w:p>
        </w:tc>
      </w:tr>
      <w:tr w:rsidR="00B4334B" w:rsidRPr="00444470" w14:paraId="612055EA"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70AA50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SO06</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E6A1DE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Climate Change and Disaster Resilience Support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809829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4</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2FE33E0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3BCEAF3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323A3D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95091E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2025</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2F9D98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635,725</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61B10F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Climate, disaster resilience and agriculture</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7677555"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Climate change and disaster resilience</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70CF30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3 – stability, security and resilience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6D33EE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66D6CA2A"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08CEED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SO11</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9B3791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Overseas Development Assistance Deployee Support Services (ODA DSS)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539FA3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2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7C400D8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4053EB2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E72165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9D0885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00A243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3,101,905</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01CA3A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and operational enabling</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5BE3A2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ODA deployee support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DCA65E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all DPP objectives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8B51AE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061FBA16"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916A5D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SOD1</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4E426B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Departmental Deployee Support Services (DSS)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FAEABA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2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7AFCDA3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Non-ODA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514C966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2328AD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80628E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F5B55D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14,575,064</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DF8437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and operational enabling</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840EE7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Departmental deployee support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E093AF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Non-ODA / enabling broader bilateral engagement</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3274F7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758967A9"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A32802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SO13</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E6B782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Flexible Small-Scale Support / Flexible Funds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BECCF5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16DB741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7C02036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44A61B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29 Sep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493595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2025</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3D7FAF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995,195</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FC36F5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and operational enabling</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793D48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Flexible funds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D4DB435"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all DPP objectives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9073BAF"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4CD2F75C"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35ABC5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SO14</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AF8893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Australian Border Force Support / Provision of Australian Border Force Assistance</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BB49F27"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0B4A806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442C8BD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BFCA4B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06 Nov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6471D5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13DD3B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150,000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BEF30E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Governance, security, border and leadership</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232D9B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Border support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3D7213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3 – stability, security and resilience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F23006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00B3FDC8"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468680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SO16</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46AB13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Election Support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C1CCC4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07D5254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1703965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FAC66D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Dec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3F340D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2024</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60C65F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30,000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4B1262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Governance, security, border and leadership</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B11633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Elections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518D00F"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3 – stability, security and resilience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3F2B26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38621FB3"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41B90A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SO15</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08892C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Flexible Recruitment and Personnel Support Services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273F8A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0616254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1A9FCD0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F89A25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14 Dec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E26D0A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2025</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21F951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482,118</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0A6BDC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and operational enabling</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7CBB79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Recruitment / personnel support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D4EE11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all DPP objectives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61E02E7"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74206730"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766F05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SO18</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31E288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Lands Governance Reform - enabling support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706438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36593C2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1865812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9189EF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Jan 2024</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09755D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31 Jul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8C56A2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1,625,022</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88651D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Infrastructure, lands and economic governance</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3FE0EE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Lands governance</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48F7CE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1 – economic growth/infrastructure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FB88057"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6E8ADD2A"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A23979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SO17</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27C79E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Capacity Building Grants to CSOs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C5DE6F7"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3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19726D3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55D4CED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010E61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02 Jan 2024</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35849E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D18610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3,189,750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B4E831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Community, civil society and gender equality</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E08ACE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Civil society</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DDDEAB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3 – stability, security and resilience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5815AF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Full development delivery</w:t>
            </w:r>
          </w:p>
        </w:tc>
      </w:tr>
      <w:tr w:rsidR="00B4334B" w:rsidRPr="00444470" w14:paraId="7A572AD2"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05379A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lastRenderedPageBreak/>
              <w:t>SOD3</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D6E32E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Procurement Support for Departmental Funds - SIIP &amp; ASIPS+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7A4068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3A9B933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Non-ODA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7D6B1F2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196551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02 Jan 2024</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F4BF37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FC792A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1,237,732</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6516DD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and operational enabling</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CEF261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Departmental procurement / strategic communications / logistics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D955CE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Non-ODA / enabling broader bilateral engagement</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6190EB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2A393DB8"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D12A30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SO20</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F058E1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Sector Support Program (ESSP)</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32847D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1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5B58F43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7E9EF95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3D154E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12 Apr 2024</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0B20B6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31 Mar 2025</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96BB20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5,487,491</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39980F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and skills</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2F4B76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12BDA8F"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A6C5D0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Full development delivery</w:t>
            </w:r>
          </w:p>
        </w:tc>
      </w:tr>
      <w:tr w:rsidR="00B4334B" w:rsidRPr="00444470" w14:paraId="7516BCE4"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101789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SO22</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07CDE6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Gender Equality Support Unit (GESU)</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16DC8D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3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5BBF111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4BFF542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D4D44B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15 Aug 2024</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852492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Apr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7CCE56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1,500,000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A89C63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Community, civil society and gender equality</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286C48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Gender equality</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72DB1D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F0BDC7F"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Full development delivery</w:t>
            </w:r>
          </w:p>
        </w:tc>
      </w:tr>
      <w:tr w:rsidR="00B4334B" w:rsidRPr="00444470" w14:paraId="3BDC3A35"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4595EF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SO23</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39D893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SINU Security Studies Program / SINU Security Program Pilot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DA6E2F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3 (non-ODA exemption)</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065F119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Non-ODA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0833070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8A084D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Dec 2024</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114C68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2026</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512140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1,616,179</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195F26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Governance, security, border and leadership</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0805DC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Security studies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79ACD1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Non-ODA / security cooperation</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8BB133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16896695"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AB1E36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SO25</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56D288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Solomon Islands Australia Health Partnership (SIAHP)</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7B89B8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1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70339E1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0745224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241387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Jan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B1F0C7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12CDFD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8,625,000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192DEBF"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Health</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A77F0F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Health</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665358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3C3B87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Full development delivery</w:t>
            </w:r>
          </w:p>
        </w:tc>
      </w:tr>
      <w:tr w:rsidR="00B4334B" w:rsidRPr="00444470" w14:paraId="1D001D4B"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0312D6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SO28</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9A8C3D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Australia Skills Award Support (TVET)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A6E7BCF"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3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4B90601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7CC3D69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00BE5C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13 Jan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379C57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31 Dec 2025</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19A95A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452,287</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26CA44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and skills</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CE6110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Skills / TVET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127207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1 – skills and jobs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5154B8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620F7ADE"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8707B2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SO29</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E311D6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Refurbishment of the Solomon Islands Immigration Division Client Services Area</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D42900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3D9D181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4EB119B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B35787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Jul 2023</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D5C7E3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31 Dec 2025</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064161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249,920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AB177E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Governance, security, border and leadership</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552C93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Immigration / border operations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3FD2D9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3 – stability, security and resilience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2CA32E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3C3661B0"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6E9844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SO19</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7841AF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Climate Change, Disaster Resilience and Humanitarian Support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20A5B2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5257CB9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0D29892B"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D7FE40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29 Jan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E5BBD3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2028</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0774E5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1,300,264</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C05F5A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Climate, disaster resilience and agriculture</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BAE573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Climate change, disaster resilience and humanitarian support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A54DEB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3 – stability, security and resilience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4F1682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1DE2AF8F"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D4E608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SOD2</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2D9C86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Personnel and Recruitment (Departmental)</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7E8E09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4BFCF944"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Non-ODA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42F37B9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1D8700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Mar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74E63C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557B69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440,279</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103C5A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and operational enabling</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8C142A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Departmental personnel / recruitment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926A4A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Non-ODA / enabling broader bilateral engagement</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A86BBE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521E381D"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C75CE8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SO30</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E7FDE4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Personnel and Recruitment Services (Administered)</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A7EA16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4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2702F05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36CC1AF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F33673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14 Mar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20CBCD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DB585F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1,081,790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7E0D986"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Facility and operational enabling</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805F281"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Administered personnel / recruitment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734E60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all DPP objectives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36A5A7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Enabling / operational support</w:t>
            </w:r>
          </w:p>
        </w:tc>
      </w:tr>
      <w:tr w:rsidR="00B4334B" w:rsidRPr="00444470" w14:paraId="744268C1"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C5B8E1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SO08</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F681015"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Solomon Islands Australia Community Partnerships Support (SIACPS)</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63DC0C9" w14:textId="1A84CBDD"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3 </w:t>
            </w:r>
            <w:r w:rsidR="004C34D4" w:rsidRPr="00003015">
              <w:rPr>
                <w:rFonts w:ascii="Arial" w:eastAsia="Arial" w:hAnsi="Arial" w:cs="Arial"/>
                <w:sz w:val="17"/>
                <w:szCs w:val="17"/>
              </w:rPr>
              <w:t>(with exemption)</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2A19999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3326F78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8F2A13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27 Mar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F1F135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635ED8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16,058,607</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DE58C9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Community, civil society and gender equality</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A4E3F35"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Community partnerships support</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6DBDEB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BFC2C75" w14:textId="7EA7711E" w:rsidR="00B4334B" w:rsidRPr="00003015" w:rsidRDefault="00EB528D" w:rsidP="00003015">
            <w:pPr>
              <w:spacing w:before="0" w:after="0"/>
              <w:rPr>
                <w:rFonts w:ascii="Arial" w:hAnsi="Arial" w:cs="Arial"/>
                <w:sz w:val="17"/>
                <w:szCs w:val="17"/>
              </w:rPr>
            </w:pPr>
            <w:r w:rsidRPr="00003015">
              <w:rPr>
                <w:rFonts w:ascii="Arial" w:eastAsia="Arial" w:hAnsi="Arial" w:cs="Arial"/>
                <w:sz w:val="17"/>
                <w:szCs w:val="17"/>
              </w:rPr>
              <w:t>Enabling support</w:t>
            </w:r>
          </w:p>
        </w:tc>
      </w:tr>
      <w:tr w:rsidR="00B4334B" w:rsidRPr="00444470" w14:paraId="70C77FA3"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2B9B5A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SO24</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97B16D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Solomon Islands Australia Education Partnership - Stronger Education Together (SET)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2283F60"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1</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7D1416B8"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06B890A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192EBD3"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01 Apr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C6DF99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20CB3C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13,542,500</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C58B8C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and skills</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2B6411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4EC57D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2 – people and communities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9F395D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Full development delivery</w:t>
            </w:r>
          </w:p>
        </w:tc>
      </w:tr>
      <w:tr w:rsidR="00B4334B" w:rsidRPr="00444470" w14:paraId="66ED6888"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0789510"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lastRenderedPageBreak/>
              <w:t>SO31</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CFB629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Provision of the SICRAD Partnership (Design)</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30274F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3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404E7C2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F2F2F2"/>
            <w:tcMar>
              <w:top w:w="35" w:type="dxa"/>
              <w:left w:w="35" w:type="dxa"/>
              <w:bottom w:w="35" w:type="dxa"/>
              <w:right w:w="35" w:type="dxa"/>
            </w:tcMar>
          </w:tcPr>
          <w:p w14:paraId="1DFDBC36"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Closed</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A2A278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15 Oct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E3A491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31 Mar 2026</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D11FCC7"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143,915</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61B0B7B"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Climate, disaster resilience and agriculture</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6940F1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Agriculture / climate-resilient development design</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91432B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1 – economic growth/infrastructure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6EB2B6A"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1255D2B7"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CD0203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SO34</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771C78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Australia Skills Award Support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2FFB00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 xml:space="preserve">Type 3 </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2610C24E"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6BFAE1E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2BA762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03 Dec 2025</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6527D7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02 Dec 2026</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5A4483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1,103,076</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A74890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Education and skills</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3BAB4C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Skills / education awards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CB61633"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1 – skills and jobs</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07E8F8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3D615055"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1817CB2"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SO36</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F9958D8"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Provision of Economic Governance Support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8F2440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3 (with exemption)</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212991CC"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52CB083D" w14:textId="77777777" w:rsidR="00B4334B" w:rsidRPr="00003015" w:rsidRDefault="00B4334B" w:rsidP="00003015">
            <w:pPr>
              <w:spacing w:before="0" w:after="0"/>
              <w:jc w:val="center"/>
              <w:rPr>
                <w:rFonts w:ascii="Arial" w:hAnsi="Arial" w:cs="Arial"/>
                <w:sz w:val="17"/>
                <w:szCs w:val="17"/>
              </w:rPr>
            </w:pPr>
            <w:r w:rsidRPr="00003015">
              <w:rPr>
                <w:rFonts w:ascii="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207F0CA"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10 Mar 2026</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5AD4D0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3471B32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4,268,308</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8F1D6C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Infrastructure, lands and economic governance</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40CA39D5"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Economic governance</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919858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DPP Obj. 1 – economic growth/infrastructure</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324947D"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r w:rsidR="00B4334B" w:rsidRPr="00444470" w14:paraId="418FA5DB" w14:textId="77777777" w:rsidTr="00444470">
        <w:trPr>
          <w:jc w:val="center"/>
        </w:trPr>
        <w:tc>
          <w:tcPr>
            <w:tcW w:w="169"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953AD4F"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SO35</w:t>
            </w:r>
          </w:p>
        </w:tc>
        <w:tc>
          <w:tcPr>
            <w:tcW w:w="704"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A2CA722"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Leadership and Engagement and Strategic Communications Support</w:t>
            </w:r>
          </w:p>
        </w:tc>
        <w:tc>
          <w:tcPr>
            <w:tcW w:w="4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E14B1B9"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Type 3 (with exemption)</w:t>
            </w:r>
          </w:p>
        </w:tc>
        <w:tc>
          <w:tcPr>
            <w:tcW w:w="296" w:type="pct"/>
            <w:tcBorders>
              <w:top w:val="single" w:sz="3" w:space="0" w:color="D9E2F3"/>
              <w:left w:val="single" w:sz="3" w:space="0" w:color="D9E2F3"/>
              <w:bottom w:val="single" w:sz="3" w:space="0" w:color="D9E2F3"/>
              <w:right w:val="single" w:sz="3" w:space="0" w:color="D9E2F3"/>
            </w:tcBorders>
            <w:shd w:val="clear" w:color="auto" w:fill="FFFFFF" w:themeFill="background1"/>
            <w:tcMar>
              <w:top w:w="35" w:type="dxa"/>
              <w:left w:w="35" w:type="dxa"/>
              <w:bottom w:w="35" w:type="dxa"/>
              <w:right w:w="35" w:type="dxa"/>
            </w:tcMar>
          </w:tcPr>
          <w:p w14:paraId="1AF2CF1D"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ODA</w:t>
            </w:r>
          </w:p>
        </w:tc>
        <w:tc>
          <w:tcPr>
            <w:tcW w:w="253" w:type="pct"/>
            <w:tcBorders>
              <w:top w:val="single" w:sz="3" w:space="0" w:color="D9E2F3"/>
              <w:left w:val="single" w:sz="3" w:space="0" w:color="D9E2F3"/>
              <w:bottom w:val="single" w:sz="3" w:space="0" w:color="D9E2F3"/>
              <w:right w:val="single" w:sz="3" w:space="0" w:color="D9E2F3"/>
            </w:tcBorders>
            <w:shd w:val="clear" w:color="auto" w:fill="92D050"/>
            <w:tcMar>
              <w:top w:w="35" w:type="dxa"/>
              <w:left w:w="35" w:type="dxa"/>
              <w:bottom w:w="35" w:type="dxa"/>
              <w:right w:w="35" w:type="dxa"/>
            </w:tcMar>
          </w:tcPr>
          <w:p w14:paraId="70005B42" w14:textId="77777777" w:rsidR="00B4334B" w:rsidRPr="00003015" w:rsidRDefault="00B4334B" w:rsidP="00003015">
            <w:pPr>
              <w:spacing w:before="0" w:after="0"/>
              <w:jc w:val="center"/>
              <w:rPr>
                <w:rFonts w:ascii="Arial" w:hAnsi="Arial" w:cs="Arial"/>
                <w:sz w:val="17"/>
                <w:szCs w:val="17"/>
              </w:rPr>
            </w:pPr>
            <w:r w:rsidRPr="00003015">
              <w:rPr>
                <w:rFonts w:ascii="Arial" w:hAnsi="Arial" w:cs="Arial"/>
                <w:sz w:val="17"/>
                <w:szCs w:val="17"/>
              </w:rPr>
              <w:t>Active</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58B9D701"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23 Mar 2026</w:t>
            </w:r>
          </w:p>
        </w:tc>
        <w:tc>
          <w:tcPr>
            <w:tcW w:w="261"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6C7A2E15"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30 Jun 2027</w:t>
            </w:r>
          </w:p>
        </w:tc>
        <w:tc>
          <w:tcPr>
            <w:tcW w:w="342"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2646CAF9" w14:textId="77777777" w:rsidR="00B4334B" w:rsidRPr="00003015" w:rsidRDefault="00B4334B" w:rsidP="00003015">
            <w:pPr>
              <w:spacing w:before="0" w:after="0"/>
              <w:jc w:val="center"/>
              <w:rPr>
                <w:rFonts w:ascii="Arial" w:hAnsi="Arial" w:cs="Arial"/>
                <w:sz w:val="17"/>
                <w:szCs w:val="17"/>
              </w:rPr>
            </w:pPr>
            <w:r w:rsidRPr="00003015">
              <w:rPr>
                <w:rFonts w:ascii="Arial" w:eastAsia="Arial" w:hAnsi="Arial" w:cs="Arial"/>
                <w:sz w:val="17"/>
                <w:szCs w:val="17"/>
              </w:rPr>
              <w:t>2,018,602</w:t>
            </w:r>
          </w:p>
        </w:tc>
        <w:tc>
          <w:tcPr>
            <w:tcW w:w="490"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04E5894E"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Governance, security, border and leadership</w:t>
            </w:r>
          </w:p>
        </w:tc>
        <w:tc>
          <w:tcPr>
            <w:tcW w:w="47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4D11674"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Leadership / strategic communications</w:t>
            </w:r>
          </w:p>
        </w:tc>
        <w:tc>
          <w:tcPr>
            <w:tcW w:w="635"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145744E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Cross-DPP / partnership and public diplomacy</w:t>
            </w:r>
          </w:p>
        </w:tc>
        <w:tc>
          <w:tcPr>
            <w:tcW w:w="656" w:type="pct"/>
            <w:tcBorders>
              <w:top w:val="single" w:sz="3" w:space="0" w:color="D9E2F3"/>
              <w:left w:val="single" w:sz="3" w:space="0" w:color="D9E2F3"/>
              <w:bottom w:val="single" w:sz="3" w:space="0" w:color="D9E2F3"/>
              <w:right w:val="single" w:sz="3" w:space="0" w:color="D9E2F3"/>
            </w:tcBorders>
            <w:tcMar>
              <w:top w:w="35" w:type="dxa"/>
              <w:left w:w="35" w:type="dxa"/>
              <w:bottom w:w="35" w:type="dxa"/>
              <w:right w:w="35" w:type="dxa"/>
            </w:tcMar>
          </w:tcPr>
          <w:p w14:paraId="72FBD10C" w14:textId="77777777" w:rsidR="00B4334B" w:rsidRPr="00003015" w:rsidRDefault="00B4334B" w:rsidP="00003015">
            <w:pPr>
              <w:spacing w:before="0" w:after="0"/>
              <w:rPr>
                <w:rFonts w:ascii="Arial" w:hAnsi="Arial" w:cs="Arial"/>
                <w:sz w:val="17"/>
                <w:szCs w:val="17"/>
              </w:rPr>
            </w:pPr>
            <w:r w:rsidRPr="00003015">
              <w:rPr>
                <w:rFonts w:ascii="Arial" w:eastAsia="Arial" w:hAnsi="Arial" w:cs="Arial"/>
                <w:sz w:val="17"/>
                <w:szCs w:val="17"/>
              </w:rPr>
              <w:t>Partial development delivery</w:t>
            </w:r>
          </w:p>
        </w:tc>
      </w:tr>
    </w:tbl>
    <w:p w14:paraId="6F0589B5" w14:textId="77777777" w:rsidR="00B4334B" w:rsidRDefault="00B4334B">
      <w:pPr>
        <w:spacing w:after="0"/>
        <w:sectPr w:rsidR="00B4334B" w:rsidSect="00735BB7">
          <w:pgSz w:w="16838" w:h="11906" w:orient="landscape" w:code="9"/>
          <w:pgMar w:top="1021" w:right="907" w:bottom="851" w:left="907" w:header="851" w:footer="454" w:gutter="0"/>
          <w:pgBorders w:offsetFrom="page">
            <w:top w:val="single" w:sz="48" w:space="0" w:color="507CB9"/>
            <w:left w:val="single" w:sz="48" w:space="0" w:color="507CB9"/>
            <w:bottom w:val="single" w:sz="48" w:space="0" w:color="507CB9"/>
            <w:right w:val="single" w:sz="48" w:space="0" w:color="507CB9"/>
          </w:pgBorders>
          <w:cols w:space="709"/>
          <w:titlePg/>
          <w:docGrid w:linePitch="360"/>
        </w:sectPr>
      </w:pPr>
    </w:p>
    <w:p w14:paraId="6A5EB7B9" w14:textId="197C9A61" w:rsidR="00D3538D" w:rsidRDefault="00D3538D" w:rsidP="00550B3C">
      <w:pPr>
        <w:pStyle w:val="Heading2"/>
      </w:pPr>
      <w:bookmarkStart w:id="25" w:name="_Toc234426735"/>
      <w:r w:rsidRPr="00550B3C">
        <w:lastRenderedPageBreak/>
        <w:t xml:space="preserve">Annex </w:t>
      </w:r>
      <w:r w:rsidR="00E0018F">
        <w:t>6</w:t>
      </w:r>
      <w:r w:rsidRPr="00550B3C">
        <w:t xml:space="preserve">. </w:t>
      </w:r>
      <w:r w:rsidR="00F00E65" w:rsidRPr="00550B3C">
        <w:t>Portfolio growth and operational demand data</w:t>
      </w:r>
      <w:bookmarkEnd w:id="25"/>
    </w:p>
    <w:p w14:paraId="76627077" w14:textId="77777777" w:rsidR="00003015" w:rsidRPr="00003015" w:rsidRDefault="00003015" w:rsidP="00003015">
      <w:pPr>
        <w:pStyle w:val="Heading3NOTOC"/>
      </w:pPr>
      <w:r w:rsidRPr="00003015">
        <w:t>Portfolio demand and scale</w:t>
      </w:r>
    </w:p>
    <w:p w14:paraId="0FBCC71E" w14:textId="39818F19" w:rsidR="00003015" w:rsidRDefault="00003015" w:rsidP="00003015">
      <w:pPr>
        <w:rPr>
          <w:lang w:val="en-AU"/>
        </w:rPr>
      </w:pPr>
      <w:r w:rsidRPr="00003015">
        <w:rPr>
          <w:lang w:val="en-AU"/>
        </w:rPr>
        <w:t>The SO portfolio grew from 15 SOs in 2023 to 21 in 2024 and 24 in 2025. Combined maximum SO value increased from AUD67.2m to AUD82.3m and then AUD109.9m. In 2025, ASIPS+ added 11 new SOs worth AUD37.1m, including new major education and health programs.</w:t>
      </w:r>
    </w:p>
    <w:p w14:paraId="48432C81" w14:textId="77777777" w:rsidR="00003015" w:rsidRPr="00003015" w:rsidRDefault="00003015" w:rsidP="00003015">
      <w:pPr>
        <w:pStyle w:val="Heading3NOTOC"/>
      </w:pPr>
      <w:r w:rsidRPr="00003015">
        <w:t>Operating leverage</w:t>
      </w:r>
    </w:p>
    <w:p w14:paraId="40DF6BD9" w14:textId="35098D60" w:rsidR="00003015" w:rsidRPr="00003015" w:rsidRDefault="00003015" w:rsidP="00003015">
      <w:pPr>
        <w:rPr>
          <w:lang w:val="en-AU"/>
        </w:rPr>
      </w:pPr>
      <w:r w:rsidRPr="00003015">
        <w:rPr>
          <w:lang w:val="en-AU"/>
        </w:rPr>
        <w:t>SO01 FSU expenditure fell from 23.5% of total expenditure in FY23/24 to 18.2% in FY24/25, with continued decline forecast. Using the reported total and FSU expenditure figures, each AUD1 of FSU expenditure supported approximately AUD4.26 of total expenditure in FY23/24, AUD5.48 in FY24/25, and is forecast to support approximately AUD6.47–AUD6.79 in FY25/26–FY26/27.</w:t>
      </w:r>
      <w:r w:rsidR="00B13461">
        <w:rPr>
          <w:lang w:val="en-AU"/>
        </w:rPr>
        <w:t xml:space="preserve"> </w:t>
      </w:r>
      <w:r w:rsidRPr="00003015">
        <w:rPr>
          <w:lang w:val="en-AU"/>
        </w:rPr>
        <w:t>Each AUD1 of FSU expenditure supported AUD4.26 of SO expenditure in FY2023-24 and AUD5.48 in FY2024-25, and is forecast to support AUD6.47-AUD6.79 across FY2025-26 and FY2026-27. At face value, this shows improved efficiency, but it also means that the facility’s core support and “plus” functions are being stretched across a larger and more complex portfolio. This has exposed a structural and financial design risk, particularly the lack of elastic resourcing for support services as SOs expand. ASIPS+ has managed this risk through adaptive measures, including reallocating some costs between ODA and non-ODA funding streams, which has helped stabilise FSU resourcing in the short term.</w:t>
      </w:r>
    </w:p>
    <w:p w14:paraId="031CA5C0" w14:textId="3666D9EB" w:rsidR="00F00E65" w:rsidRPr="00F00E65" w:rsidRDefault="00F00E65" w:rsidP="00F00E65">
      <w:pPr>
        <w:pStyle w:val="BodyText"/>
        <w:spacing w:before="120" w:after="0" w:line="240" w:lineRule="auto"/>
        <w:rPr>
          <w:b/>
          <w:bCs/>
          <w:lang w:val="en-AU"/>
        </w:rPr>
      </w:pPr>
      <w:r w:rsidRPr="00F00E65">
        <w:rPr>
          <w:b/>
          <w:bCs/>
          <w:lang w:val="en-AU"/>
        </w:rPr>
        <w:t>S</w:t>
      </w:r>
      <w:r w:rsidR="00003015">
        <w:rPr>
          <w:b/>
          <w:bCs/>
          <w:lang w:val="en-AU"/>
        </w:rPr>
        <w:t xml:space="preserve">O </w:t>
      </w:r>
      <w:r w:rsidRPr="00F00E65">
        <w:rPr>
          <w:b/>
          <w:bCs/>
          <w:lang w:val="en-AU"/>
        </w:rPr>
        <w:t>portfolio growth, 2023–2025</w:t>
      </w:r>
      <w:r w:rsidR="00A7703C">
        <w:rPr>
          <w:rStyle w:val="FootnoteReference"/>
          <w:b/>
          <w:bCs/>
          <w:lang w:val="en-AU"/>
        </w:rPr>
        <w:footnoteReference w:id="34"/>
      </w:r>
    </w:p>
    <w:tbl>
      <w:tblPr>
        <w:tblStyle w:val="TableGridLight"/>
        <w:tblW w:w="5000" w:type="pct"/>
        <w:tblLook w:val="04A0" w:firstRow="1" w:lastRow="0" w:firstColumn="1" w:lastColumn="0" w:noHBand="0" w:noVBand="1"/>
      </w:tblPr>
      <w:tblGrid>
        <w:gridCol w:w="1942"/>
        <w:gridCol w:w="2129"/>
        <w:gridCol w:w="2377"/>
        <w:gridCol w:w="1454"/>
        <w:gridCol w:w="2180"/>
      </w:tblGrid>
      <w:tr w:rsidR="00F00E65" w:rsidRPr="00F00E65" w14:paraId="0948F832" w14:textId="77777777" w:rsidTr="00F00E65">
        <w:trPr>
          <w:trHeight w:val="279"/>
        </w:trPr>
        <w:tc>
          <w:tcPr>
            <w:tcW w:w="963" w:type="pct"/>
            <w:shd w:val="clear" w:color="auto" w:fill="002060"/>
            <w:hideMark/>
          </w:tcPr>
          <w:p w14:paraId="50EAD732" w14:textId="77777777" w:rsidR="00F00E65" w:rsidRPr="00AE4DF5" w:rsidRDefault="00F00E65" w:rsidP="00F00E65">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Calendar year</w:t>
            </w:r>
          </w:p>
        </w:tc>
        <w:tc>
          <w:tcPr>
            <w:tcW w:w="1056" w:type="pct"/>
            <w:shd w:val="clear" w:color="auto" w:fill="002060"/>
            <w:hideMark/>
          </w:tcPr>
          <w:p w14:paraId="5C4E752D" w14:textId="77777777" w:rsidR="00F00E65" w:rsidRPr="00AE4DF5" w:rsidRDefault="00F00E65" w:rsidP="00F00E65">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Total SOs supported</w:t>
            </w:r>
          </w:p>
        </w:tc>
        <w:tc>
          <w:tcPr>
            <w:tcW w:w="1179" w:type="pct"/>
            <w:shd w:val="clear" w:color="auto" w:fill="002060"/>
            <w:hideMark/>
          </w:tcPr>
          <w:p w14:paraId="48F21B49" w14:textId="77777777" w:rsidR="00F00E65" w:rsidRPr="00AE4DF5" w:rsidRDefault="00F00E65" w:rsidP="00F00E65">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Combined maximum value of SOs supported (AUD)</w:t>
            </w:r>
          </w:p>
        </w:tc>
        <w:tc>
          <w:tcPr>
            <w:tcW w:w="721" w:type="pct"/>
            <w:shd w:val="clear" w:color="auto" w:fill="002060"/>
            <w:hideMark/>
          </w:tcPr>
          <w:p w14:paraId="0B0D947E" w14:textId="77777777" w:rsidR="00F00E65" w:rsidRPr="00AE4DF5" w:rsidRDefault="00F00E65" w:rsidP="00F00E65">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New SOs added</w:t>
            </w:r>
          </w:p>
        </w:tc>
        <w:tc>
          <w:tcPr>
            <w:tcW w:w="1081" w:type="pct"/>
            <w:shd w:val="clear" w:color="auto" w:fill="002060"/>
            <w:hideMark/>
          </w:tcPr>
          <w:p w14:paraId="23065881" w14:textId="77777777" w:rsidR="00F00E65" w:rsidRPr="00AE4DF5" w:rsidRDefault="00F00E65" w:rsidP="00F00E65">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Combined maximum value of new SOs added (AUD)</w:t>
            </w:r>
          </w:p>
        </w:tc>
      </w:tr>
      <w:tr w:rsidR="00F00E65" w:rsidRPr="00F00E65" w14:paraId="44836FBD" w14:textId="77777777" w:rsidTr="00CB0E6B">
        <w:trPr>
          <w:trHeight w:hRule="exact" w:val="227"/>
        </w:trPr>
        <w:tc>
          <w:tcPr>
            <w:tcW w:w="963" w:type="pct"/>
            <w:hideMark/>
          </w:tcPr>
          <w:p w14:paraId="4F663DF3" w14:textId="77777777" w:rsidR="00F00E65" w:rsidRPr="00AE4DF5" w:rsidRDefault="00F00E65" w:rsidP="00F00E65">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2023 (from July)</w:t>
            </w:r>
          </w:p>
        </w:tc>
        <w:tc>
          <w:tcPr>
            <w:tcW w:w="1056" w:type="pct"/>
            <w:hideMark/>
          </w:tcPr>
          <w:p w14:paraId="20637E6D"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15</w:t>
            </w:r>
          </w:p>
        </w:tc>
        <w:tc>
          <w:tcPr>
            <w:tcW w:w="1179" w:type="pct"/>
            <w:hideMark/>
          </w:tcPr>
          <w:p w14:paraId="23F5EBB3"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67,198,999</w:t>
            </w:r>
          </w:p>
        </w:tc>
        <w:tc>
          <w:tcPr>
            <w:tcW w:w="721" w:type="pct"/>
            <w:hideMark/>
          </w:tcPr>
          <w:p w14:paraId="2C5FEC2C" w14:textId="6DEA5CBC" w:rsidR="00F00E65" w:rsidRPr="00AE4DF5" w:rsidRDefault="00003015" w:rsidP="00003015">
            <w:pPr>
              <w:spacing w:before="0" w:after="0"/>
              <w:jc w:val="right"/>
              <w:rPr>
                <w:rFonts w:ascii="Arial" w:eastAsia="Times New Roman" w:hAnsi="Arial" w:cs="Arial"/>
                <w:color w:val="auto"/>
                <w:sz w:val="18"/>
                <w:szCs w:val="18"/>
                <w:lang w:val="en-AU"/>
              </w:rPr>
            </w:pPr>
            <w:r>
              <w:rPr>
                <w:rFonts w:ascii="Arial" w:eastAsia="Times New Roman" w:hAnsi="Arial" w:cs="Arial"/>
                <w:color w:val="auto"/>
                <w:sz w:val="18"/>
                <w:szCs w:val="18"/>
                <w:lang w:val="en-AU"/>
              </w:rPr>
              <w:t>0</w:t>
            </w:r>
          </w:p>
        </w:tc>
        <w:tc>
          <w:tcPr>
            <w:tcW w:w="1081" w:type="pct"/>
            <w:hideMark/>
          </w:tcPr>
          <w:p w14:paraId="76F42C06" w14:textId="564E1E1A" w:rsidR="00F00E65" w:rsidRPr="00AE4DF5" w:rsidRDefault="00003015" w:rsidP="00003015">
            <w:pPr>
              <w:spacing w:before="0" w:after="0"/>
              <w:jc w:val="right"/>
              <w:rPr>
                <w:rFonts w:ascii="Arial" w:eastAsia="Times New Roman" w:hAnsi="Arial" w:cs="Arial"/>
                <w:color w:val="auto"/>
                <w:sz w:val="18"/>
                <w:szCs w:val="18"/>
                <w:lang w:val="en-AU"/>
              </w:rPr>
            </w:pPr>
            <w:r>
              <w:rPr>
                <w:rFonts w:ascii="Arial" w:eastAsia="Times New Roman" w:hAnsi="Arial" w:cs="Arial"/>
                <w:color w:val="auto"/>
                <w:sz w:val="18"/>
                <w:szCs w:val="18"/>
                <w:lang w:val="en-AU"/>
              </w:rPr>
              <w:t>0</w:t>
            </w:r>
          </w:p>
        </w:tc>
      </w:tr>
      <w:tr w:rsidR="00F00E65" w:rsidRPr="00F00E65" w14:paraId="13D02AFE" w14:textId="77777777" w:rsidTr="00CB0E6B">
        <w:trPr>
          <w:trHeight w:hRule="exact" w:val="227"/>
        </w:trPr>
        <w:tc>
          <w:tcPr>
            <w:tcW w:w="963" w:type="pct"/>
            <w:hideMark/>
          </w:tcPr>
          <w:p w14:paraId="016270AB" w14:textId="77777777" w:rsidR="00F00E65" w:rsidRPr="00AE4DF5" w:rsidRDefault="00F00E65" w:rsidP="00F00E65">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2024</w:t>
            </w:r>
          </w:p>
        </w:tc>
        <w:tc>
          <w:tcPr>
            <w:tcW w:w="1056" w:type="pct"/>
            <w:hideMark/>
          </w:tcPr>
          <w:p w14:paraId="3888FCC7"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21</w:t>
            </w:r>
          </w:p>
        </w:tc>
        <w:tc>
          <w:tcPr>
            <w:tcW w:w="1179" w:type="pct"/>
            <w:hideMark/>
          </w:tcPr>
          <w:p w14:paraId="7A564205"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82,273,990</w:t>
            </w:r>
          </w:p>
        </w:tc>
        <w:tc>
          <w:tcPr>
            <w:tcW w:w="721" w:type="pct"/>
            <w:hideMark/>
          </w:tcPr>
          <w:p w14:paraId="5A2FBC6A"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6</w:t>
            </w:r>
          </w:p>
        </w:tc>
        <w:tc>
          <w:tcPr>
            <w:tcW w:w="1081" w:type="pct"/>
            <w:hideMark/>
          </w:tcPr>
          <w:p w14:paraId="745C1F6C"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15,074,991</w:t>
            </w:r>
          </w:p>
        </w:tc>
      </w:tr>
      <w:tr w:rsidR="00F00E65" w:rsidRPr="00F00E65" w14:paraId="08CD1D03" w14:textId="77777777" w:rsidTr="00CB0E6B">
        <w:trPr>
          <w:trHeight w:hRule="exact" w:val="227"/>
        </w:trPr>
        <w:tc>
          <w:tcPr>
            <w:tcW w:w="963" w:type="pct"/>
            <w:hideMark/>
          </w:tcPr>
          <w:p w14:paraId="340E0740" w14:textId="77777777" w:rsidR="00F00E65" w:rsidRPr="00AE4DF5" w:rsidRDefault="00F00E65" w:rsidP="00F00E65">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2025</w:t>
            </w:r>
          </w:p>
        </w:tc>
        <w:tc>
          <w:tcPr>
            <w:tcW w:w="1056" w:type="pct"/>
            <w:hideMark/>
          </w:tcPr>
          <w:p w14:paraId="1938E5D7"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24</w:t>
            </w:r>
          </w:p>
        </w:tc>
        <w:tc>
          <w:tcPr>
            <w:tcW w:w="1179" w:type="pct"/>
            <w:hideMark/>
          </w:tcPr>
          <w:p w14:paraId="36D61670"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109,925,052</w:t>
            </w:r>
          </w:p>
        </w:tc>
        <w:tc>
          <w:tcPr>
            <w:tcW w:w="721" w:type="pct"/>
            <w:hideMark/>
          </w:tcPr>
          <w:p w14:paraId="4E279C68"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11</w:t>
            </w:r>
          </w:p>
        </w:tc>
        <w:tc>
          <w:tcPr>
            <w:tcW w:w="1081" w:type="pct"/>
            <w:hideMark/>
          </w:tcPr>
          <w:p w14:paraId="60A813D3" w14:textId="77777777" w:rsidR="00F00E65" w:rsidRPr="00AE4DF5" w:rsidRDefault="00F00E65" w:rsidP="00F00E65">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37,124,526</w:t>
            </w:r>
          </w:p>
        </w:tc>
      </w:tr>
    </w:tbl>
    <w:p w14:paraId="0BC2CC7E" w14:textId="5BA83DC5" w:rsidR="00F00E65" w:rsidRDefault="00DA4695" w:rsidP="00E174A2">
      <w:pPr>
        <w:pStyle w:val="BodyText"/>
        <w:rPr>
          <w:b/>
          <w:bCs/>
          <w:lang w:val="en-AU"/>
        </w:rPr>
      </w:pPr>
      <w:r>
        <w:rPr>
          <w:b/>
          <w:bCs/>
          <w:noProof/>
          <w:lang w:val="en-AU"/>
        </w:rPr>
        <w:drawing>
          <wp:inline distT="0" distB="0" distL="0" distR="0" wp14:anchorId="5EC8200B" wp14:editId="1AE280B6">
            <wp:extent cx="4962525" cy="2487295"/>
            <wp:effectExtent l="0" t="0" r="9525" b="8255"/>
            <wp:docPr id="989244241" name="Picture 1" descr="Graph demonstrating ASIPS+ SO portfolio growth from 2023 (15 SOs) to 2024 (21 SOs) and finally 2025 (24 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44241" name="Picture 1" descr="Graph demonstrating ASIPS+ SO portfolio growth from 2023 (15 SOs) to 2024 (21 SOs) and finally 2025 (24 SO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2525" cy="2487295"/>
                    </a:xfrm>
                    <a:prstGeom prst="rect">
                      <a:avLst/>
                    </a:prstGeom>
                    <a:noFill/>
                  </pic:spPr>
                </pic:pic>
              </a:graphicData>
            </a:graphic>
          </wp:inline>
        </w:drawing>
      </w:r>
    </w:p>
    <w:p w14:paraId="3DAC6247" w14:textId="23C98C55" w:rsidR="3D45908D" w:rsidRPr="00CF6D8E" w:rsidRDefault="3D45908D" w:rsidP="0D73AD58">
      <w:pPr>
        <w:pStyle w:val="BodyText"/>
        <w:spacing w:after="0" w:line="240" w:lineRule="auto"/>
        <w:rPr>
          <w:rFonts w:asciiTheme="minorHAnsi" w:eastAsiaTheme="majorEastAsia" w:hAnsiTheme="minorHAnsi" w:cs="Calibri"/>
          <w:color w:val="000000" w:themeColor="text1"/>
          <w:szCs w:val="20"/>
          <w:lang w:val="en-AU" w:eastAsia="en-AU"/>
        </w:rPr>
      </w:pPr>
      <w:r w:rsidRPr="00CF6D8E">
        <w:rPr>
          <w:rFonts w:asciiTheme="minorHAnsi" w:eastAsiaTheme="majorEastAsia" w:hAnsiTheme="minorHAnsi" w:cs="Calibri"/>
          <w:color w:val="000000" w:themeColor="text1"/>
          <w:szCs w:val="20"/>
          <w:lang w:val="en-AU" w:eastAsia="en-AU"/>
        </w:rPr>
        <w:t>Graph demonstrating ASIPS+ S</w:t>
      </w:r>
      <w:r w:rsidR="009731EE" w:rsidRPr="00CF6D8E">
        <w:rPr>
          <w:rFonts w:asciiTheme="minorHAnsi" w:eastAsiaTheme="majorEastAsia" w:hAnsiTheme="minorHAnsi" w:cs="Calibri"/>
          <w:color w:val="000000" w:themeColor="text1"/>
          <w:szCs w:val="20"/>
          <w:lang w:val="en-AU" w:eastAsia="en-AU"/>
        </w:rPr>
        <w:t>O</w:t>
      </w:r>
      <w:r w:rsidRPr="00CF6D8E">
        <w:rPr>
          <w:rFonts w:asciiTheme="minorHAnsi" w:eastAsiaTheme="majorEastAsia" w:hAnsiTheme="minorHAnsi" w:cs="Calibri"/>
          <w:color w:val="000000" w:themeColor="text1"/>
          <w:szCs w:val="20"/>
          <w:lang w:val="en-AU" w:eastAsia="en-AU"/>
        </w:rPr>
        <w:t xml:space="preserve"> portfolio growth from 2023 (15 </w:t>
      </w:r>
      <w:r w:rsidR="009731EE" w:rsidRPr="00CF6D8E">
        <w:rPr>
          <w:rFonts w:asciiTheme="minorHAnsi" w:eastAsiaTheme="majorEastAsia" w:hAnsiTheme="minorHAnsi" w:cs="Calibri"/>
          <w:color w:val="000000" w:themeColor="text1"/>
          <w:szCs w:val="20"/>
          <w:lang w:val="en-AU" w:eastAsia="en-AU"/>
        </w:rPr>
        <w:t>SOs</w:t>
      </w:r>
      <w:r w:rsidRPr="00CF6D8E">
        <w:rPr>
          <w:rFonts w:asciiTheme="minorHAnsi" w:eastAsiaTheme="majorEastAsia" w:hAnsiTheme="minorHAnsi" w:cs="Calibri"/>
          <w:color w:val="000000" w:themeColor="text1"/>
          <w:szCs w:val="20"/>
          <w:lang w:val="en-AU" w:eastAsia="en-AU"/>
        </w:rPr>
        <w:t xml:space="preserve">) to 2024 (21 </w:t>
      </w:r>
      <w:r w:rsidR="009731EE" w:rsidRPr="00CF6D8E">
        <w:rPr>
          <w:rFonts w:asciiTheme="minorHAnsi" w:eastAsiaTheme="majorEastAsia" w:hAnsiTheme="minorHAnsi" w:cs="Calibri"/>
          <w:color w:val="000000" w:themeColor="text1"/>
          <w:szCs w:val="20"/>
          <w:lang w:val="en-AU" w:eastAsia="en-AU"/>
        </w:rPr>
        <w:t>SOs</w:t>
      </w:r>
      <w:r w:rsidRPr="00CF6D8E">
        <w:rPr>
          <w:rFonts w:asciiTheme="minorHAnsi" w:eastAsiaTheme="majorEastAsia" w:hAnsiTheme="minorHAnsi" w:cs="Calibri"/>
          <w:color w:val="000000" w:themeColor="text1"/>
          <w:szCs w:val="20"/>
          <w:lang w:val="en-AU" w:eastAsia="en-AU"/>
        </w:rPr>
        <w:t xml:space="preserve">) and finally 2025 (24 </w:t>
      </w:r>
      <w:r w:rsidR="009731EE" w:rsidRPr="00CF6D8E">
        <w:rPr>
          <w:rFonts w:asciiTheme="minorHAnsi" w:eastAsiaTheme="majorEastAsia" w:hAnsiTheme="minorHAnsi" w:cs="Calibri"/>
          <w:color w:val="000000" w:themeColor="text1"/>
          <w:szCs w:val="20"/>
          <w:lang w:val="en-AU" w:eastAsia="en-AU"/>
        </w:rPr>
        <w:t>SOs</w:t>
      </w:r>
      <w:r w:rsidRPr="00CF6D8E">
        <w:rPr>
          <w:rFonts w:asciiTheme="minorHAnsi" w:eastAsiaTheme="majorEastAsia" w:hAnsiTheme="minorHAnsi" w:cs="Calibri"/>
          <w:color w:val="000000" w:themeColor="text1"/>
          <w:szCs w:val="20"/>
          <w:lang w:val="en-AU" w:eastAsia="en-AU"/>
        </w:rPr>
        <w:t>).</w:t>
      </w:r>
    </w:p>
    <w:p w14:paraId="7E0EFB4B" w14:textId="78C343E2" w:rsidR="00F00E65" w:rsidRDefault="00F00E65" w:rsidP="00F00E65">
      <w:pPr>
        <w:pStyle w:val="BodyText"/>
        <w:spacing w:after="0" w:line="240" w:lineRule="auto"/>
        <w:rPr>
          <w:b/>
          <w:bCs/>
          <w:lang w:val="en-AU"/>
        </w:rPr>
      </w:pPr>
      <w:r w:rsidRPr="00F00E65">
        <w:rPr>
          <w:b/>
          <w:bCs/>
          <w:lang w:val="en-AU"/>
        </w:rPr>
        <w:t>Expenditure and FSU share, FY23/24–FY26/27</w:t>
      </w:r>
      <w:r w:rsidR="00A7703C">
        <w:rPr>
          <w:rStyle w:val="FootnoteReference"/>
          <w:b/>
          <w:bCs/>
          <w:lang w:val="en-AU"/>
        </w:rPr>
        <w:footnoteReference w:id="35"/>
      </w:r>
    </w:p>
    <w:tbl>
      <w:tblPr>
        <w:tblStyle w:val="TableGridLight"/>
        <w:tblW w:w="5000" w:type="pct"/>
        <w:tblLook w:val="04A0" w:firstRow="1" w:lastRow="0" w:firstColumn="1" w:lastColumn="0" w:noHBand="0" w:noVBand="1"/>
      </w:tblPr>
      <w:tblGrid>
        <w:gridCol w:w="1977"/>
        <w:gridCol w:w="2027"/>
        <w:gridCol w:w="2126"/>
        <w:gridCol w:w="2178"/>
        <w:gridCol w:w="1774"/>
      </w:tblGrid>
      <w:tr w:rsidR="00F00E65" w:rsidRPr="00F00E65" w14:paraId="52308C45" w14:textId="77777777" w:rsidTr="00F00E65">
        <w:trPr>
          <w:trHeight w:val="279"/>
        </w:trPr>
        <w:tc>
          <w:tcPr>
            <w:tcW w:w="980" w:type="pct"/>
            <w:shd w:val="clear" w:color="auto" w:fill="002060"/>
            <w:hideMark/>
          </w:tcPr>
          <w:p w14:paraId="79DAAEF2" w14:textId="77777777" w:rsidR="00F00E65" w:rsidRPr="00AE4DF5" w:rsidRDefault="00F00E65" w:rsidP="00CB0E6B">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Financial year</w:t>
            </w:r>
          </w:p>
        </w:tc>
        <w:tc>
          <w:tcPr>
            <w:tcW w:w="1005" w:type="pct"/>
            <w:shd w:val="clear" w:color="auto" w:fill="002060"/>
            <w:hideMark/>
          </w:tcPr>
          <w:p w14:paraId="55767EC3" w14:textId="6AC4C2AB" w:rsidR="00F00E65" w:rsidRPr="00AE4DF5" w:rsidRDefault="00F00E65" w:rsidP="00CB0E6B">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Total expenditure</w:t>
            </w:r>
            <w:r w:rsidR="00CB0E6B">
              <w:rPr>
                <w:rFonts w:ascii="Arial" w:eastAsia="Times New Roman" w:hAnsi="Arial" w:cs="Arial"/>
                <w:b/>
                <w:bCs/>
                <w:color w:val="FFFFFF"/>
                <w:sz w:val="18"/>
                <w:szCs w:val="18"/>
                <w:lang w:val="en-AU"/>
              </w:rPr>
              <w:t xml:space="preserve">: </w:t>
            </w:r>
            <w:r w:rsidRPr="00AE4DF5">
              <w:rPr>
                <w:rFonts w:ascii="Arial" w:eastAsia="Times New Roman" w:hAnsi="Arial" w:cs="Arial"/>
                <w:b/>
                <w:bCs/>
                <w:color w:val="FFFFFF"/>
                <w:sz w:val="18"/>
                <w:szCs w:val="18"/>
                <w:lang w:val="en-AU"/>
              </w:rPr>
              <w:t>all SOs (AUD)</w:t>
            </w:r>
          </w:p>
        </w:tc>
        <w:tc>
          <w:tcPr>
            <w:tcW w:w="1054" w:type="pct"/>
            <w:shd w:val="clear" w:color="auto" w:fill="002060"/>
            <w:hideMark/>
          </w:tcPr>
          <w:p w14:paraId="3DE9DAA1" w14:textId="77777777" w:rsidR="00F00E65" w:rsidRPr="00AE4DF5" w:rsidRDefault="00F00E65" w:rsidP="00CB0E6B">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SO01 FSU expenditure (AUD)</w:t>
            </w:r>
          </w:p>
        </w:tc>
        <w:tc>
          <w:tcPr>
            <w:tcW w:w="1080" w:type="pct"/>
            <w:shd w:val="clear" w:color="auto" w:fill="002060"/>
            <w:hideMark/>
          </w:tcPr>
          <w:p w14:paraId="4F751985" w14:textId="77777777" w:rsidR="00F00E65" w:rsidRPr="00AE4DF5" w:rsidRDefault="00F00E65" w:rsidP="00CB0E6B">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SO01 FSU share of total (%)</w:t>
            </w:r>
          </w:p>
        </w:tc>
        <w:tc>
          <w:tcPr>
            <w:tcW w:w="880" w:type="pct"/>
            <w:shd w:val="clear" w:color="auto" w:fill="002060"/>
            <w:hideMark/>
          </w:tcPr>
          <w:p w14:paraId="5A60E4A6" w14:textId="77777777" w:rsidR="00F00E65" w:rsidRPr="00AE4DF5" w:rsidRDefault="00F00E65" w:rsidP="00CB0E6B">
            <w:pPr>
              <w:spacing w:before="0" w:after="0"/>
              <w:rPr>
                <w:rFonts w:ascii="Arial" w:eastAsia="Times New Roman" w:hAnsi="Arial" w:cs="Arial"/>
                <w:b/>
                <w:bCs/>
                <w:color w:val="FFFFFF"/>
                <w:sz w:val="18"/>
                <w:szCs w:val="18"/>
                <w:lang w:val="en-AU"/>
              </w:rPr>
            </w:pPr>
            <w:r w:rsidRPr="00AE4DF5">
              <w:rPr>
                <w:rFonts w:ascii="Arial" w:eastAsia="Times New Roman" w:hAnsi="Arial" w:cs="Arial"/>
                <w:b/>
                <w:bCs/>
                <w:color w:val="FFFFFF"/>
                <w:sz w:val="18"/>
                <w:szCs w:val="18"/>
                <w:lang w:val="en-AU"/>
              </w:rPr>
              <w:t>Status</w:t>
            </w:r>
          </w:p>
        </w:tc>
      </w:tr>
      <w:tr w:rsidR="00F00E65" w:rsidRPr="00F00E65" w14:paraId="7646F5D0" w14:textId="77777777" w:rsidTr="00CB0E6B">
        <w:trPr>
          <w:trHeight w:hRule="exact" w:val="227"/>
        </w:trPr>
        <w:tc>
          <w:tcPr>
            <w:tcW w:w="980" w:type="pct"/>
            <w:hideMark/>
          </w:tcPr>
          <w:p w14:paraId="2B821659" w14:textId="77777777" w:rsidR="00F00E65" w:rsidRPr="00AE4DF5" w:rsidRDefault="00F00E65" w:rsidP="00CB0E6B">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FY23/24</w:t>
            </w:r>
          </w:p>
        </w:tc>
        <w:tc>
          <w:tcPr>
            <w:tcW w:w="1005" w:type="pct"/>
            <w:hideMark/>
          </w:tcPr>
          <w:p w14:paraId="38A021A9"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19,570,000</w:t>
            </w:r>
          </w:p>
        </w:tc>
        <w:tc>
          <w:tcPr>
            <w:tcW w:w="1054" w:type="pct"/>
            <w:hideMark/>
          </w:tcPr>
          <w:p w14:paraId="72381540"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4,590,000</w:t>
            </w:r>
          </w:p>
        </w:tc>
        <w:tc>
          <w:tcPr>
            <w:tcW w:w="1080" w:type="pct"/>
            <w:hideMark/>
          </w:tcPr>
          <w:p w14:paraId="6C9435AD"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23.5</w:t>
            </w:r>
          </w:p>
        </w:tc>
        <w:tc>
          <w:tcPr>
            <w:tcW w:w="880" w:type="pct"/>
            <w:hideMark/>
          </w:tcPr>
          <w:p w14:paraId="0CDC30C0" w14:textId="77777777" w:rsidR="00F00E65" w:rsidRPr="00AE4DF5" w:rsidRDefault="00F00E65" w:rsidP="00CB0E6B">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Actual</w:t>
            </w:r>
          </w:p>
        </w:tc>
      </w:tr>
      <w:tr w:rsidR="00F00E65" w:rsidRPr="00F00E65" w14:paraId="0C40B79A" w14:textId="77777777" w:rsidTr="00CB0E6B">
        <w:trPr>
          <w:trHeight w:hRule="exact" w:val="227"/>
        </w:trPr>
        <w:tc>
          <w:tcPr>
            <w:tcW w:w="980" w:type="pct"/>
            <w:hideMark/>
          </w:tcPr>
          <w:p w14:paraId="1B511205" w14:textId="77777777" w:rsidR="00F00E65" w:rsidRPr="00AE4DF5" w:rsidRDefault="00F00E65" w:rsidP="00CB0E6B">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FY24/25</w:t>
            </w:r>
          </w:p>
        </w:tc>
        <w:tc>
          <w:tcPr>
            <w:tcW w:w="1005" w:type="pct"/>
            <w:hideMark/>
          </w:tcPr>
          <w:p w14:paraId="102CFB33"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27,860,000</w:t>
            </w:r>
          </w:p>
        </w:tc>
        <w:tc>
          <w:tcPr>
            <w:tcW w:w="1054" w:type="pct"/>
            <w:hideMark/>
          </w:tcPr>
          <w:p w14:paraId="28AD7B8A"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5,080,000</w:t>
            </w:r>
          </w:p>
        </w:tc>
        <w:tc>
          <w:tcPr>
            <w:tcW w:w="1080" w:type="pct"/>
            <w:hideMark/>
          </w:tcPr>
          <w:p w14:paraId="226936D3"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18.2</w:t>
            </w:r>
          </w:p>
        </w:tc>
        <w:tc>
          <w:tcPr>
            <w:tcW w:w="880" w:type="pct"/>
            <w:hideMark/>
          </w:tcPr>
          <w:p w14:paraId="39690063" w14:textId="77777777" w:rsidR="00F00E65" w:rsidRPr="00AE4DF5" w:rsidRDefault="00F00E65" w:rsidP="00CB0E6B">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Actual</w:t>
            </w:r>
          </w:p>
        </w:tc>
      </w:tr>
      <w:tr w:rsidR="00F00E65" w:rsidRPr="00F00E65" w14:paraId="6B6FBA6B" w14:textId="77777777" w:rsidTr="00CB0E6B">
        <w:trPr>
          <w:trHeight w:hRule="exact" w:val="227"/>
        </w:trPr>
        <w:tc>
          <w:tcPr>
            <w:tcW w:w="980" w:type="pct"/>
            <w:hideMark/>
          </w:tcPr>
          <w:p w14:paraId="29D0360F" w14:textId="77777777" w:rsidR="00F00E65" w:rsidRPr="00AE4DF5" w:rsidRDefault="00F00E65" w:rsidP="00CB0E6B">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FY25/26</w:t>
            </w:r>
          </w:p>
        </w:tc>
        <w:tc>
          <w:tcPr>
            <w:tcW w:w="1005" w:type="pct"/>
            <w:hideMark/>
          </w:tcPr>
          <w:p w14:paraId="33B6B03F"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40,830,000</w:t>
            </w:r>
          </w:p>
        </w:tc>
        <w:tc>
          <w:tcPr>
            <w:tcW w:w="1054" w:type="pct"/>
            <w:hideMark/>
          </w:tcPr>
          <w:p w14:paraId="02942FB7"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6,310,000</w:t>
            </w:r>
          </w:p>
        </w:tc>
        <w:tc>
          <w:tcPr>
            <w:tcW w:w="1080" w:type="pct"/>
            <w:hideMark/>
          </w:tcPr>
          <w:p w14:paraId="09F73642"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17.0</w:t>
            </w:r>
          </w:p>
        </w:tc>
        <w:tc>
          <w:tcPr>
            <w:tcW w:w="880" w:type="pct"/>
            <w:hideMark/>
          </w:tcPr>
          <w:p w14:paraId="6BE92CFC" w14:textId="77777777" w:rsidR="00F00E65" w:rsidRPr="00AE4DF5" w:rsidRDefault="00F00E65" w:rsidP="00CB0E6B">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Forecast</w:t>
            </w:r>
          </w:p>
        </w:tc>
      </w:tr>
      <w:tr w:rsidR="00F00E65" w:rsidRPr="00F00E65" w14:paraId="3E6BE341" w14:textId="77777777" w:rsidTr="00CB0E6B">
        <w:trPr>
          <w:trHeight w:hRule="exact" w:val="227"/>
        </w:trPr>
        <w:tc>
          <w:tcPr>
            <w:tcW w:w="980" w:type="pct"/>
            <w:hideMark/>
          </w:tcPr>
          <w:p w14:paraId="384F87BE" w14:textId="77777777" w:rsidR="00F00E65" w:rsidRPr="00AE4DF5" w:rsidRDefault="00F00E65" w:rsidP="00CB0E6B">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FY26/27</w:t>
            </w:r>
          </w:p>
        </w:tc>
        <w:tc>
          <w:tcPr>
            <w:tcW w:w="1005" w:type="pct"/>
            <w:hideMark/>
          </w:tcPr>
          <w:p w14:paraId="5E175B04"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42,050,000</w:t>
            </w:r>
          </w:p>
        </w:tc>
        <w:tc>
          <w:tcPr>
            <w:tcW w:w="1054" w:type="pct"/>
            <w:hideMark/>
          </w:tcPr>
          <w:p w14:paraId="410B7DDF"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6,190,000</w:t>
            </w:r>
          </w:p>
        </w:tc>
        <w:tc>
          <w:tcPr>
            <w:tcW w:w="1080" w:type="pct"/>
            <w:hideMark/>
          </w:tcPr>
          <w:p w14:paraId="70E8B08C" w14:textId="77777777" w:rsidR="00F00E65" w:rsidRPr="00AE4DF5" w:rsidRDefault="00F00E65" w:rsidP="00CB0E6B">
            <w:pPr>
              <w:spacing w:before="0" w:after="0"/>
              <w:jc w:val="right"/>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17.0</w:t>
            </w:r>
          </w:p>
        </w:tc>
        <w:tc>
          <w:tcPr>
            <w:tcW w:w="880" w:type="pct"/>
            <w:hideMark/>
          </w:tcPr>
          <w:p w14:paraId="29C9D137" w14:textId="77777777" w:rsidR="00F00E65" w:rsidRPr="00AE4DF5" w:rsidRDefault="00F00E65" w:rsidP="00CB0E6B">
            <w:pPr>
              <w:spacing w:before="0" w:after="0"/>
              <w:rPr>
                <w:rFonts w:ascii="Arial" w:eastAsia="Times New Roman" w:hAnsi="Arial" w:cs="Arial"/>
                <w:color w:val="auto"/>
                <w:sz w:val="18"/>
                <w:szCs w:val="18"/>
                <w:lang w:val="en-AU"/>
              </w:rPr>
            </w:pPr>
            <w:r w:rsidRPr="00AE4DF5">
              <w:rPr>
                <w:rFonts w:ascii="Arial" w:eastAsia="Times New Roman" w:hAnsi="Arial" w:cs="Arial"/>
                <w:color w:val="auto"/>
                <w:sz w:val="18"/>
                <w:szCs w:val="18"/>
                <w:lang w:val="en-AU"/>
              </w:rPr>
              <w:t>Forecast</w:t>
            </w:r>
          </w:p>
        </w:tc>
      </w:tr>
    </w:tbl>
    <w:p w14:paraId="6F6D9935" w14:textId="0132729E" w:rsidR="00F00E65" w:rsidRDefault="00DA4695" w:rsidP="00E174A2">
      <w:pPr>
        <w:pStyle w:val="BodyText"/>
        <w:rPr>
          <w:b/>
          <w:bCs/>
          <w:lang w:val="en-AU"/>
        </w:rPr>
      </w:pPr>
      <w:r>
        <w:rPr>
          <w:b/>
          <w:bCs/>
          <w:noProof/>
          <w:lang w:val="en-AU"/>
        </w:rPr>
        <w:lastRenderedPageBreak/>
        <w:drawing>
          <wp:inline distT="0" distB="0" distL="0" distR="0" wp14:anchorId="5291C570" wp14:editId="17047691">
            <wp:extent cx="4962525" cy="2487295"/>
            <wp:effectExtent l="0" t="0" r="9525" b="8255"/>
            <wp:docPr id="1953686684" name="Picture 2" descr="Graph demonstrating ASIPS+ SO combined maximum value growth from the last six months of 2023 (AUD 67m) to calendar year 2024 (AUD 82m) and finally 2025 (AUD109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86684" name="Picture 2" descr="Graph demonstrating ASIPS+ SO combined maximum value growth from the last six months of 2023 (AUD 67m) to calendar year 2024 (AUD 82m) and finally 2025 (AUD109 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62525" cy="2487295"/>
                    </a:xfrm>
                    <a:prstGeom prst="rect">
                      <a:avLst/>
                    </a:prstGeom>
                    <a:noFill/>
                  </pic:spPr>
                </pic:pic>
              </a:graphicData>
            </a:graphic>
          </wp:inline>
        </w:drawing>
      </w:r>
    </w:p>
    <w:p w14:paraId="456EE636" w14:textId="3BD2621A" w:rsidR="00F00E65" w:rsidRPr="00CF6D8E" w:rsidRDefault="1094452B" w:rsidP="00CF6D8E">
      <w:pPr>
        <w:pStyle w:val="BodyText"/>
        <w:spacing w:after="0" w:line="240" w:lineRule="auto"/>
        <w:rPr>
          <w:rFonts w:asciiTheme="minorHAnsi" w:eastAsiaTheme="majorEastAsia" w:hAnsiTheme="minorHAnsi" w:cs="Calibri"/>
          <w:color w:val="000000" w:themeColor="text1"/>
          <w:szCs w:val="20"/>
          <w:lang w:val="en-AU" w:eastAsia="en-AU"/>
        </w:rPr>
      </w:pPr>
      <w:r w:rsidRPr="00CF6D8E">
        <w:rPr>
          <w:rFonts w:asciiTheme="minorHAnsi" w:eastAsiaTheme="majorEastAsia" w:hAnsiTheme="minorHAnsi" w:cs="Calibri"/>
          <w:color w:val="000000" w:themeColor="text1"/>
          <w:szCs w:val="20"/>
          <w:lang w:val="en-AU" w:eastAsia="en-AU"/>
        </w:rPr>
        <w:t>Graph demonstrating ASIPS+ S</w:t>
      </w:r>
      <w:r w:rsidR="00CF6D8E" w:rsidRPr="00CF6D8E">
        <w:rPr>
          <w:rFonts w:asciiTheme="minorHAnsi" w:eastAsiaTheme="majorEastAsia" w:hAnsiTheme="minorHAnsi" w:cs="Calibri"/>
          <w:color w:val="000000" w:themeColor="text1"/>
          <w:szCs w:val="20"/>
          <w:lang w:val="en-AU" w:eastAsia="en-AU"/>
        </w:rPr>
        <w:t xml:space="preserve">O </w:t>
      </w:r>
      <w:r w:rsidR="0ADC0CD2" w:rsidRPr="00CF6D8E">
        <w:rPr>
          <w:rFonts w:asciiTheme="minorHAnsi" w:eastAsiaTheme="majorEastAsia" w:hAnsiTheme="minorHAnsi" w:cs="Calibri"/>
          <w:color w:val="000000" w:themeColor="text1"/>
          <w:szCs w:val="20"/>
          <w:lang w:val="en-AU" w:eastAsia="en-AU"/>
        </w:rPr>
        <w:t xml:space="preserve">combined maximum </w:t>
      </w:r>
      <w:r w:rsidRPr="00CF6D8E">
        <w:rPr>
          <w:rFonts w:asciiTheme="minorHAnsi" w:eastAsiaTheme="majorEastAsia" w:hAnsiTheme="minorHAnsi" w:cs="Calibri"/>
          <w:color w:val="000000" w:themeColor="text1"/>
          <w:szCs w:val="20"/>
          <w:lang w:val="en-AU" w:eastAsia="en-AU"/>
        </w:rPr>
        <w:t xml:space="preserve">value growth from </w:t>
      </w:r>
      <w:r w:rsidR="07DC462C" w:rsidRPr="00CF6D8E">
        <w:rPr>
          <w:rFonts w:asciiTheme="minorHAnsi" w:eastAsiaTheme="majorEastAsia" w:hAnsiTheme="minorHAnsi" w:cs="Calibri"/>
          <w:color w:val="000000" w:themeColor="text1"/>
          <w:szCs w:val="20"/>
          <w:lang w:val="en-AU" w:eastAsia="en-AU"/>
        </w:rPr>
        <w:t xml:space="preserve">the last six months of </w:t>
      </w:r>
      <w:r w:rsidRPr="00CF6D8E">
        <w:rPr>
          <w:rFonts w:asciiTheme="minorHAnsi" w:eastAsiaTheme="majorEastAsia" w:hAnsiTheme="minorHAnsi" w:cs="Calibri"/>
          <w:color w:val="000000" w:themeColor="text1"/>
          <w:szCs w:val="20"/>
          <w:lang w:val="en-AU" w:eastAsia="en-AU"/>
        </w:rPr>
        <w:t>2023 (</w:t>
      </w:r>
      <w:r w:rsidR="007C0534" w:rsidRPr="00CF6D8E">
        <w:rPr>
          <w:rFonts w:asciiTheme="minorHAnsi" w:eastAsiaTheme="majorEastAsia" w:hAnsiTheme="minorHAnsi" w:cs="Calibri"/>
          <w:color w:val="000000" w:themeColor="text1"/>
          <w:szCs w:val="20"/>
          <w:lang w:val="en-AU" w:eastAsia="en-AU"/>
        </w:rPr>
        <w:t xml:space="preserve">AUD </w:t>
      </w:r>
      <w:r w:rsidR="2DBDC88E" w:rsidRPr="00CF6D8E">
        <w:rPr>
          <w:rFonts w:asciiTheme="minorHAnsi" w:eastAsiaTheme="majorEastAsia" w:hAnsiTheme="minorHAnsi" w:cs="Calibri"/>
          <w:color w:val="000000" w:themeColor="text1"/>
          <w:szCs w:val="20"/>
          <w:lang w:val="en-AU" w:eastAsia="en-AU"/>
        </w:rPr>
        <w:t>67m</w:t>
      </w:r>
      <w:r w:rsidRPr="00CF6D8E">
        <w:rPr>
          <w:rFonts w:asciiTheme="minorHAnsi" w:eastAsiaTheme="majorEastAsia" w:hAnsiTheme="minorHAnsi" w:cs="Calibri"/>
          <w:color w:val="000000" w:themeColor="text1"/>
          <w:szCs w:val="20"/>
          <w:lang w:val="en-AU" w:eastAsia="en-AU"/>
        </w:rPr>
        <w:t xml:space="preserve">) to </w:t>
      </w:r>
      <w:r w:rsidR="5AC774D1" w:rsidRPr="00CF6D8E">
        <w:rPr>
          <w:rFonts w:asciiTheme="minorHAnsi" w:eastAsiaTheme="majorEastAsia" w:hAnsiTheme="minorHAnsi" w:cs="Calibri"/>
          <w:color w:val="000000" w:themeColor="text1"/>
          <w:szCs w:val="20"/>
          <w:lang w:val="en-AU" w:eastAsia="en-AU"/>
        </w:rPr>
        <w:t xml:space="preserve">calendar year </w:t>
      </w:r>
      <w:r w:rsidRPr="00CF6D8E">
        <w:rPr>
          <w:rFonts w:asciiTheme="minorHAnsi" w:eastAsiaTheme="majorEastAsia" w:hAnsiTheme="minorHAnsi" w:cs="Calibri"/>
          <w:color w:val="000000" w:themeColor="text1"/>
          <w:szCs w:val="20"/>
          <w:lang w:val="en-AU" w:eastAsia="en-AU"/>
        </w:rPr>
        <w:t>2024 (</w:t>
      </w:r>
      <w:r w:rsidR="007C0534" w:rsidRPr="00CF6D8E">
        <w:rPr>
          <w:rFonts w:asciiTheme="minorHAnsi" w:eastAsiaTheme="majorEastAsia" w:hAnsiTheme="minorHAnsi" w:cs="Calibri"/>
          <w:color w:val="000000" w:themeColor="text1"/>
          <w:szCs w:val="20"/>
          <w:lang w:val="en-AU" w:eastAsia="en-AU"/>
        </w:rPr>
        <w:t xml:space="preserve">AUD </w:t>
      </w:r>
      <w:r w:rsidR="29E926BA" w:rsidRPr="00CF6D8E">
        <w:rPr>
          <w:rFonts w:asciiTheme="minorHAnsi" w:eastAsiaTheme="majorEastAsia" w:hAnsiTheme="minorHAnsi" w:cs="Calibri"/>
          <w:color w:val="000000" w:themeColor="text1"/>
          <w:szCs w:val="20"/>
          <w:lang w:val="en-AU" w:eastAsia="en-AU"/>
        </w:rPr>
        <w:t>82m</w:t>
      </w:r>
      <w:r w:rsidRPr="00CF6D8E">
        <w:rPr>
          <w:rFonts w:asciiTheme="minorHAnsi" w:eastAsiaTheme="majorEastAsia" w:hAnsiTheme="minorHAnsi" w:cs="Calibri"/>
          <w:color w:val="000000" w:themeColor="text1"/>
          <w:szCs w:val="20"/>
          <w:lang w:val="en-AU" w:eastAsia="en-AU"/>
        </w:rPr>
        <w:t>) and finally 2025 (</w:t>
      </w:r>
      <w:r w:rsidR="007C0534" w:rsidRPr="00CF6D8E">
        <w:rPr>
          <w:rFonts w:asciiTheme="minorHAnsi" w:eastAsiaTheme="majorEastAsia" w:hAnsiTheme="minorHAnsi" w:cs="Calibri"/>
          <w:color w:val="000000" w:themeColor="text1"/>
          <w:szCs w:val="20"/>
          <w:lang w:val="en-AU" w:eastAsia="en-AU"/>
        </w:rPr>
        <w:t>AUD</w:t>
      </w:r>
      <w:r w:rsidR="0B89573B" w:rsidRPr="00CF6D8E">
        <w:rPr>
          <w:rFonts w:asciiTheme="minorHAnsi" w:eastAsiaTheme="majorEastAsia" w:hAnsiTheme="minorHAnsi" w:cs="Calibri"/>
          <w:color w:val="000000" w:themeColor="text1"/>
          <w:szCs w:val="20"/>
          <w:lang w:val="en-AU" w:eastAsia="en-AU"/>
        </w:rPr>
        <w:t>109</w:t>
      </w:r>
      <w:r w:rsidR="007C0534" w:rsidRPr="00CF6D8E">
        <w:rPr>
          <w:rFonts w:asciiTheme="minorHAnsi" w:eastAsiaTheme="majorEastAsia" w:hAnsiTheme="minorHAnsi" w:cs="Calibri"/>
          <w:color w:val="000000" w:themeColor="text1"/>
          <w:szCs w:val="20"/>
          <w:lang w:val="en-AU" w:eastAsia="en-AU"/>
        </w:rPr>
        <w:t xml:space="preserve"> </w:t>
      </w:r>
      <w:r w:rsidR="0B89573B" w:rsidRPr="00CF6D8E">
        <w:rPr>
          <w:rFonts w:asciiTheme="minorHAnsi" w:eastAsiaTheme="majorEastAsia" w:hAnsiTheme="minorHAnsi" w:cs="Calibri"/>
          <w:color w:val="000000" w:themeColor="text1"/>
          <w:szCs w:val="20"/>
          <w:lang w:val="en-AU" w:eastAsia="en-AU"/>
        </w:rPr>
        <w:t>m</w:t>
      </w:r>
      <w:r w:rsidRPr="00CF6D8E">
        <w:rPr>
          <w:rFonts w:asciiTheme="minorHAnsi" w:eastAsiaTheme="majorEastAsia" w:hAnsiTheme="minorHAnsi" w:cs="Calibri"/>
          <w:color w:val="000000" w:themeColor="text1"/>
          <w:szCs w:val="20"/>
          <w:lang w:val="en-AU" w:eastAsia="en-AU"/>
        </w:rPr>
        <w:t>).</w:t>
      </w:r>
    </w:p>
    <w:p w14:paraId="50825957" w14:textId="77777777" w:rsidR="00404110" w:rsidRDefault="10C3C5D3" w:rsidP="0021194A">
      <w:pPr>
        <w:pStyle w:val="BodyText"/>
      </w:pPr>
      <w:r>
        <w:rPr>
          <w:noProof/>
        </w:rPr>
        <w:drawing>
          <wp:inline distT="0" distB="0" distL="0" distR="0" wp14:anchorId="7DF920AB" wp14:editId="094BA23B">
            <wp:extent cx="4962574" cy="2487384"/>
            <wp:effectExtent l="0" t="0" r="0" b="8255"/>
            <wp:docPr id="1485916991" name="drawing" descr="Graph showing procurement demand growth with completed procurements and highlights a rising trend from around 300 procurements in late 2023 to approximately 1,000 in 2024 and over 2,000 in 202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16991" name="drawing" descr="Graph showing procurement demand growth with completed procurements and highlights a rising trend from around 300 procurements in late 2023 to approximately 1,000 in 2024 and over 2,000 in 2025.">
                      <a:extLst>
                        <a:ext uri="{C183D7F6-B498-43B3-948B-1728B52AA6E4}">
                          <adec:decorative xmlns:adec="http://schemas.microsoft.com/office/drawing/2017/decorative" val="0"/>
                        </a:ext>
                      </a:extLst>
                    </pic:cNvPr>
                    <pic:cNvPicPr/>
                  </pic:nvPicPr>
                  <pic:blipFill>
                    <a:blip r:embed="rId20">
                      <a:extLst>
                        <a:ext uri="{28A0092B-C50C-407E-A947-70E740481C1C}">
                          <a14:useLocalDpi xmlns:a14="http://schemas.microsoft.com/office/drawing/2010/main"/>
                        </a:ext>
                      </a:extLst>
                    </a:blip>
                    <a:stretch>
                      <a:fillRect/>
                    </a:stretch>
                  </pic:blipFill>
                  <pic:spPr>
                    <a:xfrm>
                      <a:off x="0" y="0"/>
                      <a:ext cx="4962574" cy="2487384"/>
                    </a:xfrm>
                    <a:prstGeom prst="rect">
                      <a:avLst/>
                    </a:prstGeom>
                  </pic:spPr>
                </pic:pic>
              </a:graphicData>
            </a:graphic>
          </wp:inline>
        </w:drawing>
      </w:r>
    </w:p>
    <w:p w14:paraId="74274F73" w14:textId="449FA3CE" w:rsidR="00537DDE" w:rsidRPr="00CF6D8E" w:rsidRDefault="56FF196E" w:rsidP="00CF6D8E">
      <w:pPr>
        <w:pStyle w:val="BodyText"/>
        <w:spacing w:after="0" w:line="240" w:lineRule="auto"/>
        <w:rPr>
          <w:rFonts w:asciiTheme="minorHAnsi" w:eastAsiaTheme="majorEastAsia" w:hAnsiTheme="minorHAnsi" w:cs="Calibri"/>
          <w:color w:val="000000" w:themeColor="text1"/>
          <w:szCs w:val="20"/>
          <w:lang w:val="en-AU" w:eastAsia="en-AU"/>
        </w:rPr>
      </w:pPr>
      <w:r w:rsidRPr="00CF6D8E">
        <w:rPr>
          <w:rFonts w:asciiTheme="minorHAnsi" w:eastAsiaTheme="majorEastAsia" w:hAnsiTheme="minorHAnsi" w:cs="Calibri"/>
          <w:color w:val="000000" w:themeColor="text1"/>
          <w:szCs w:val="20"/>
          <w:lang w:val="en-AU" w:eastAsia="en-AU"/>
        </w:rPr>
        <w:t xml:space="preserve">Graph </w:t>
      </w:r>
      <w:r w:rsidR="00404110" w:rsidRPr="00CF6D8E">
        <w:rPr>
          <w:rFonts w:asciiTheme="minorHAnsi" w:eastAsiaTheme="majorEastAsia" w:hAnsiTheme="minorHAnsi" w:cs="Calibri"/>
          <w:color w:val="000000" w:themeColor="text1"/>
          <w:szCs w:val="20"/>
          <w:lang w:val="en-AU" w:eastAsia="en-AU"/>
        </w:rPr>
        <w:t>showing procurement demand growth with completed procurements and highlights a rising trend from around 300 procurements in late 2023 to approximately 1,000 in 2024 and over 2,000 in 2025.</w:t>
      </w:r>
    </w:p>
    <w:p w14:paraId="4A04E8C2" w14:textId="4F6AA3BB" w:rsidR="00537DDE" w:rsidRDefault="4A9B9EF8" w:rsidP="0D73AD58">
      <w:r>
        <w:rPr>
          <w:noProof/>
        </w:rPr>
        <w:drawing>
          <wp:inline distT="0" distB="0" distL="0" distR="0" wp14:anchorId="64C389E3" wp14:editId="53C1DAB0">
            <wp:extent cx="4962574" cy="2487384"/>
            <wp:effectExtent l="0" t="0" r="0" b="8255"/>
            <wp:docPr id="1828619760" name="drawing" descr="Graph comparing ASIPS+ total expenditure for all SOs with FSU expenditure from 2023/2024 to 2026/2027.. Total expenditure rises from AUD 19.57 to AUD 42.05 million, while FSU expenditure remains stable around AUD 4.5 to 6.3 mill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19760" name="drawing" descr="Graph comparing ASIPS+ total expenditure for all SOs with FSU expenditure from 2023/2024 to 2026/2027.. Total expenditure rises from AUD 19.57 to AUD 42.05 million, while FSU expenditure remains stable around AUD 4.5 to 6.3 million.">
                      <a:extLst>
                        <a:ext uri="{C183D7F6-B498-43B3-948B-1728B52AA6E4}">
                          <adec:decorative xmlns:adec="http://schemas.microsoft.com/office/drawing/2017/decorative" val="0"/>
                        </a:ext>
                      </a:extLst>
                    </pic:cNvPr>
                    <pic:cNvPicPr/>
                  </pic:nvPicPr>
                  <pic:blipFill>
                    <a:blip r:embed="rId21">
                      <a:extLst>
                        <a:ext uri="{28A0092B-C50C-407E-A947-70E740481C1C}">
                          <a14:useLocalDpi xmlns:a14="http://schemas.microsoft.com/office/drawing/2010/main"/>
                        </a:ext>
                      </a:extLst>
                    </a:blip>
                    <a:stretch>
                      <a:fillRect/>
                    </a:stretch>
                  </pic:blipFill>
                  <pic:spPr>
                    <a:xfrm>
                      <a:off x="0" y="0"/>
                      <a:ext cx="4962574" cy="2487384"/>
                    </a:xfrm>
                    <a:prstGeom prst="rect">
                      <a:avLst/>
                    </a:prstGeom>
                  </pic:spPr>
                </pic:pic>
              </a:graphicData>
            </a:graphic>
          </wp:inline>
        </w:drawing>
      </w:r>
    </w:p>
    <w:p w14:paraId="2596741A" w14:textId="52AA7A81" w:rsidR="00537DDE" w:rsidRDefault="00C11E59" w:rsidP="00CF6D8E">
      <w:pPr>
        <w:pStyle w:val="BodyText"/>
        <w:spacing w:after="0" w:line="240" w:lineRule="auto"/>
      </w:pPr>
      <w:r w:rsidRPr="00CF6D8E">
        <w:rPr>
          <w:rFonts w:asciiTheme="minorHAnsi" w:eastAsiaTheme="majorEastAsia" w:hAnsiTheme="minorHAnsi" w:cs="Calibri"/>
          <w:color w:val="000000" w:themeColor="text1"/>
          <w:szCs w:val="20"/>
          <w:lang w:val="en-AU" w:eastAsia="en-AU"/>
        </w:rPr>
        <w:t>Graph comparing ASIPS+ total expenditure for all SOs with FSU expenditure</w:t>
      </w:r>
      <w:r w:rsidR="4A845B6E" w:rsidRPr="00CF6D8E">
        <w:rPr>
          <w:rFonts w:asciiTheme="minorHAnsi" w:eastAsiaTheme="majorEastAsia" w:hAnsiTheme="minorHAnsi" w:cs="Calibri"/>
          <w:color w:val="000000" w:themeColor="text1"/>
          <w:szCs w:val="20"/>
          <w:lang w:val="en-AU" w:eastAsia="en-AU"/>
        </w:rPr>
        <w:t xml:space="preserve"> from 2023/2024 to 2026/</w:t>
      </w:r>
      <w:proofErr w:type="gramStart"/>
      <w:r w:rsidR="4A845B6E" w:rsidRPr="00CF6D8E">
        <w:rPr>
          <w:rFonts w:asciiTheme="minorHAnsi" w:eastAsiaTheme="majorEastAsia" w:hAnsiTheme="minorHAnsi" w:cs="Calibri"/>
          <w:color w:val="000000" w:themeColor="text1"/>
          <w:szCs w:val="20"/>
          <w:lang w:val="en-AU" w:eastAsia="en-AU"/>
        </w:rPr>
        <w:t>2027.</w:t>
      </w:r>
      <w:r w:rsidRPr="00CF6D8E">
        <w:rPr>
          <w:rFonts w:asciiTheme="minorHAnsi" w:eastAsiaTheme="majorEastAsia" w:hAnsiTheme="minorHAnsi" w:cs="Calibri"/>
          <w:color w:val="000000" w:themeColor="text1"/>
          <w:szCs w:val="20"/>
          <w:lang w:val="en-AU" w:eastAsia="en-AU"/>
        </w:rPr>
        <w:t>.</w:t>
      </w:r>
      <w:proofErr w:type="gramEnd"/>
      <w:r w:rsidRPr="00CF6D8E">
        <w:rPr>
          <w:rFonts w:asciiTheme="minorHAnsi" w:eastAsiaTheme="majorEastAsia" w:hAnsiTheme="minorHAnsi" w:cs="Calibri"/>
          <w:color w:val="000000" w:themeColor="text1"/>
          <w:szCs w:val="20"/>
          <w:lang w:val="en-AU" w:eastAsia="en-AU"/>
        </w:rPr>
        <w:t xml:space="preserve"> Total expenditure rises from AUD 19.57 to AUD 42.05 million, while FSU expenditure remains stable around AUD 4.5 to 6.3 million.</w:t>
      </w:r>
      <w:r w:rsidR="00537DDE">
        <w:br w:type="page"/>
      </w:r>
    </w:p>
    <w:p w14:paraId="1534CD4E" w14:textId="65033995" w:rsidR="002A637C" w:rsidRPr="00550B3C" w:rsidRDefault="00537DDE" w:rsidP="00550B3C">
      <w:pPr>
        <w:pStyle w:val="Heading2"/>
      </w:pPr>
      <w:bookmarkStart w:id="26" w:name="_Toc234426736"/>
      <w:r w:rsidRPr="00550B3C">
        <w:lastRenderedPageBreak/>
        <w:t xml:space="preserve">Annex </w:t>
      </w:r>
      <w:r w:rsidR="00E0018F">
        <w:t>7</w:t>
      </w:r>
      <w:r w:rsidRPr="00550B3C">
        <w:t>. Summary assessment against DFAT VfM principles</w:t>
      </w:r>
      <w:bookmarkEnd w:id="26"/>
    </w:p>
    <w:tbl>
      <w:tblPr>
        <w:tblStyle w:val="TableGridLight"/>
        <w:tblW w:w="5000" w:type="pct"/>
        <w:tblLook w:val="04A0" w:firstRow="1" w:lastRow="0" w:firstColumn="1" w:lastColumn="0" w:noHBand="0" w:noVBand="1"/>
      </w:tblPr>
      <w:tblGrid>
        <w:gridCol w:w="1882"/>
        <w:gridCol w:w="1780"/>
        <w:gridCol w:w="6420"/>
      </w:tblGrid>
      <w:tr w:rsidR="00537DDE" w:rsidRPr="00537DDE" w14:paraId="721074C5" w14:textId="77777777" w:rsidTr="00537DDE">
        <w:tc>
          <w:tcPr>
            <w:tcW w:w="921" w:type="pct"/>
            <w:shd w:val="clear" w:color="auto" w:fill="002060"/>
            <w:hideMark/>
          </w:tcPr>
          <w:p w14:paraId="5BF0A314" w14:textId="77777777" w:rsidR="00537DDE" w:rsidRPr="00AE4DF5" w:rsidRDefault="00537DDE" w:rsidP="00537DDE">
            <w:pPr>
              <w:rPr>
                <w:b/>
                <w:bCs/>
                <w:color w:val="FFFFFF" w:themeColor="background1"/>
                <w:sz w:val="18"/>
                <w:szCs w:val="18"/>
                <w:lang w:val="en-AU"/>
              </w:rPr>
            </w:pPr>
            <w:r w:rsidRPr="00AE4DF5">
              <w:rPr>
                <w:b/>
                <w:bCs/>
                <w:color w:val="FFFFFF" w:themeColor="background1"/>
                <w:sz w:val="18"/>
                <w:szCs w:val="18"/>
                <w:lang w:val="en-AU"/>
              </w:rPr>
              <w:t>VfM principle</w:t>
            </w:r>
          </w:p>
        </w:tc>
        <w:tc>
          <w:tcPr>
            <w:tcW w:w="872" w:type="pct"/>
            <w:shd w:val="clear" w:color="auto" w:fill="002060"/>
            <w:hideMark/>
          </w:tcPr>
          <w:p w14:paraId="39AD28FB" w14:textId="77777777" w:rsidR="00537DDE" w:rsidRPr="00AE4DF5" w:rsidRDefault="00537DDE" w:rsidP="00537DDE">
            <w:pPr>
              <w:rPr>
                <w:b/>
                <w:bCs/>
                <w:color w:val="FFFFFF" w:themeColor="background1"/>
                <w:sz w:val="18"/>
                <w:szCs w:val="18"/>
                <w:lang w:val="en-AU"/>
              </w:rPr>
            </w:pPr>
            <w:r w:rsidRPr="00AE4DF5">
              <w:rPr>
                <w:b/>
                <w:bCs/>
                <w:color w:val="FFFFFF" w:themeColor="background1"/>
                <w:sz w:val="18"/>
                <w:szCs w:val="18"/>
                <w:lang w:val="en-AU"/>
              </w:rPr>
              <w:t>Review judgement</w:t>
            </w:r>
          </w:p>
        </w:tc>
        <w:tc>
          <w:tcPr>
            <w:tcW w:w="3145" w:type="pct"/>
            <w:shd w:val="clear" w:color="auto" w:fill="002060"/>
            <w:hideMark/>
          </w:tcPr>
          <w:p w14:paraId="430A028B" w14:textId="77777777" w:rsidR="00537DDE" w:rsidRPr="00AE4DF5" w:rsidRDefault="00537DDE" w:rsidP="00537DDE">
            <w:pPr>
              <w:rPr>
                <w:b/>
                <w:bCs/>
                <w:color w:val="FFFFFF" w:themeColor="background1"/>
                <w:sz w:val="18"/>
                <w:szCs w:val="18"/>
                <w:lang w:val="en-AU"/>
              </w:rPr>
            </w:pPr>
            <w:r w:rsidRPr="00AE4DF5">
              <w:rPr>
                <w:b/>
                <w:bCs/>
                <w:color w:val="FFFFFF" w:themeColor="background1"/>
                <w:sz w:val="18"/>
                <w:szCs w:val="18"/>
                <w:lang w:val="en-AU"/>
              </w:rPr>
              <w:t>Summary rationale</w:t>
            </w:r>
          </w:p>
        </w:tc>
      </w:tr>
      <w:tr w:rsidR="00537DDE" w:rsidRPr="00537DDE" w14:paraId="6BC29E08" w14:textId="77777777" w:rsidTr="00537DDE">
        <w:tc>
          <w:tcPr>
            <w:tcW w:w="921" w:type="pct"/>
            <w:shd w:val="clear" w:color="auto" w:fill="ECECEC" w:themeFill="accent4" w:themeFillTint="33"/>
            <w:hideMark/>
          </w:tcPr>
          <w:p w14:paraId="7C5CA771" w14:textId="77777777" w:rsidR="00537DDE" w:rsidRPr="00AE4DF5" w:rsidRDefault="00537DDE" w:rsidP="00537DDE">
            <w:pPr>
              <w:rPr>
                <w:sz w:val="18"/>
                <w:szCs w:val="18"/>
                <w:lang w:val="en-AU"/>
              </w:rPr>
            </w:pPr>
            <w:r w:rsidRPr="00AE4DF5">
              <w:rPr>
                <w:sz w:val="18"/>
                <w:szCs w:val="18"/>
                <w:lang w:val="en-AU"/>
              </w:rPr>
              <w:t>Cost consciousness</w:t>
            </w:r>
          </w:p>
        </w:tc>
        <w:tc>
          <w:tcPr>
            <w:tcW w:w="872" w:type="pct"/>
            <w:shd w:val="clear" w:color="auto" w:fill="92D050"/>
            <w:hideMark/>
          </w:tcPr>
          <w:p w14:paraId="0990A040" w14:textId="77777777" w:rsidR="00537DDE" w:rsidRPr="00AE4DF5" w:rsidRDefault="00537DDE" w:rsidP="00537DDE">
            <w:pPr>
              <w:rPr>
                <w:sz w:val="18"/>
                <w:szCs w:val="18"/>
                <w:lang w:val="en-AU"/>
              </w:rPr>
            </w:pPr>
            <w:r w:rsidRPr="00AE4DF5">
              <w:rPr>
                <w:sz w:val="18"/>
                <w:szCs w:val="18"/>
                <w:lang w:val="en-AU"/>
              </w:rPr>
              <w:t>Strong</w:t>
            </w:r>
          </w:p>
        </w:tc>
        <w:tc>
          <w:tcPr>
            <w:tcW w:w="3145" w:type="pct"/>
            <w:hideMark/>
          </w:tcPr>
          <w:p w14:paraId="0C607704" w14:textId="77777777" w:rsidR="00537DDE" w:rsidRPr="00AE4DF5" w:rsidRDefault="00537DDE" w:rsidP="00537DDE">
            <w:pPr>
              <w:rPr>
                <w:sz w:val="18"/>
                <w:szCs w:val="18"/>
                <w:lang w:val="en-AU"/>
              </w:rPr>
            </w:pPr>
            <w:r w:rsidRPr="00AE4DF5">
              <w:rPr>
                <w:sz w:val="18"/>
                <w:szCs w:val="18"/>
                <w:lang w:val="en-AU"/>
              </w:rPr>
              <w:t>Budgets are actively monitored, reporting is regular, expenditure execution is high, and procurement and recruitment processes are documented. There are concrete examples of savings through negotiation and system improvements.</w:t>
            </w:r>
          </w:p>
        </w:tc>
      </w:tr>
      <w:tr w:rsidR="00537DDE" w:rsidRPr="00537DDE" w14:paraId="3534A1BF" w14:textId="77777777" w:rsidTr="00537DDE">
        <w:tc>
          <w:tcPr>
            <w:tcW w:w="921" w:type="pct"/>
            <w:shd w:val="clear" w:color="auto" w:fill="ECECEC" w:themeFill="accent4" w:themeFillTint="33"/>
            <w:hideMark/>
          </w:tcPr>
          <w:p w14:paraId="243580FC" w14:textId="77777777" w:rsidR="00537DDE" w:rsidRPr="00AE4DF5" w:rsidRDefault="00537DDE" w:rsidP="00537DDE">
            <w:pPr>
              <w:rPr>
                <w:sz w:val="18"/>
                <w:szCs w:val="18"/>
                <w:lang w:val="en-AU"/>
              </w:rPr>
            </w:pPr>
            <w:r w:rsidRPr="00AE4DF5">
              <w:rPr>
                <w:sz w:val="18"/>
                <w:szCs w:val="18"/>
                <w:lang w:val="en-AU"/>
              </w:rPr>
              <w:t>Encouraging competition</w:t>
            </w:r>
          </w:p>
        </w:tc>
        <w:tc>
          <w:tcPr>
            <w:tcW w:w="872" w:type="pct"/>
            <w:shd w:val="clear" w:color="auto" w:fill="92D050"/>
            <w:hideMark/>
          </w:tcPr>
          <w:p w14:paraId="33A20290" w14:textId="77777777" w:rsidR="00537DDE" w:rsidRPr="00AE4DF5" w:rsidRDefault="00537DDE" w:rsidP="00537DDE">
            <w:pPr>
              <w:rPr>
                <w:sz w:val="18"/>
                <w:szCs w:val="18"/>
                <w:lang w:val="en-AU"/>
              </w:rPr>
            </w:pPr>
            <w:r w:rsidRPr="00AE4DF5">
              <w:rPr>
                <w:sz w:val="18"/>
                <w:szCs w:val="18"/>
                <w:lang w:val="en-AU"/>
              </w:rPr>
              <w:t>Strong, with contextual caveats</w:t>
            </w:r>
          </w:p>
        </w:tc>
        <w:tc>
          <w:tcPr>
            <w:tcW w:w="3145" w:type="pct"/>
            <w:hideMark/>
          </w:tcPr>
          <w:p w14:paraId="69491EEF" w14:textId="77777777" w:rsidR="00537DDE" w:rsidRPr="00AE4DF5" w:rsidRDefault="00537DDE" w:rsidP="00537DDE">
            <w:pPr>
              <w:rPr>
                <w:sz w:val="18"/>
                <w:szCs w:val="18"/>
                <w:lang w:val="en-AU"/>
              </w:rPr>
            </w:pPr>
            <w:r w:rsidRPr="00AE4DF5">
              <w:rPr>
                <w:sz w:val="18"/>
                <w:szCs w:val="18"/>
                <w:lang w:val="en-AU"/>
              </w:rPr>
              <w:t>ASIPS+ uses competitive procurement and recruitment approaches where feasible, while adapting to shallow local markets and localisation objectives. Competition is constrained in some cases by urgency, specialist requirements and late approvals.</w:t>
            </w:r>
          </w:p>
        </w:tc>
      </w:tr>
      <w:tr w:rsidR="00537DDE" w:rsidRPr="00537DDE" w14:paraId="77F29F9D" w14:textId="77777777" w:rsidTr="00537DDE">
        <w:tc>
          <w:tcPr>
            <w:tcW w:w="921" w:type="pct"/>
            <w:shd w:val="clear" w:color="auto" w:fill="ECECEC" w:themeFill="accent4" w:themeFillTint="33"/>
            <w:hideMark/>
          </w:tcPr>
          <w:p w14:paraId="3F2DFDF2" w14:textId="77777777" w:rsidR="00537DDE" w:rsidRPr="00AE4DF5" w:rsidRDefault="00537DDE" w:rsidP="00537DDE">
            <w:pPr>
              <w:rPr>
                <w:sz w:val="18"/>
                <w:szCs w:val="18"/>
                <w:lang w:val="en-AU"/>
              </w:rPr>
            </w:pPr>
            <w:r w:rsidRPr="00AE4DF5">
              <w:rPr>
                <w:sz w:val="18"/>
                <w:szCs w:val="18"/>
                <w:lang w:val="en-AU"/>
              </w:rPr>
              <w:t>Evidence-based decision-making</w:t>
            </w:r>
          </w:p>
        </w:tc>
        <w:tc>
          <w:tcPr>
            <w:tcW w:w="872" w:type="pct"/>
            <w:shd w:val="clear" w:color="auto" w:fill="FFFF00"/>
            <w:hideMark/>
          </w:tcPr>
          <w:p w14:paraId="6273F36B" w14:textId="77777777" w:rsidR="00537DDE" w:rsidRPr="00AE4DF5" w:rsidRDefault="00537DDE" w:rsidP="00537DDE">
            <w:pPr>
              <w:rPr>
                <w:sz w:val="18"/>
                <w:szCs w:val="18"/>
                <w:lang w:val="en-AU"/>
              </w:rPr>
            </w:pPr>
            <w:r w:rsidRPr="00AE4DF5">
              <w:rPr>
                <w:sz w:val="18"/>
                <w:szCs w:val="18"/>
                <w:lang w:val="en-AU"/>
              </w:rPr>
              <w:t>Adequate to good</w:t>
            </w:r>
          </w:p>
        </w:tc>
        <w:tc>
          <w:tcPr>
            <w:tcW w:w="3145" w:type="pct"/>
            <w:hideMark/>
          </w:tcPr>
          <w:p w14:paraId="154E4D27" w14:textId="77777777" w:rsidR="00537DDE" w:rsidRPr="00AE4DF5" w:rsidRDefault="00537DDE" w:rsidP="00537DDE">
            <w:pPr>
              <w:rPr>
                <w:sz w:val="18"/>
                <w:szCs w:val="18"/>
                <w:lang w:val="en-AU"/>
              </w:rPr>
            </w:pPr>
            <w:r w:rsidRPr="00AE4DF5">
              <w:rPr>
                <w:sz w:val="18"/>
                <w:szCs w:val="18"/>
                <w:lang w:val="en-AU"/>
              </w:rPr>
              <w:t xml:space="preserve">MEL, finance, procurement and portfolio reporting are improving and are used in SOG, FIMT and management processes. However, data systems remain partly </w:t>
            </w:r>
            <w:proofErr w:type="gramStart"/>
            <w:r w:rsidRPr="00AE4DF5">
              <w:rPr>
                <w:sz w:val="18"/>
                <w:szCs w:val="18"/>
                <w:lang w:val="en-AU"/>
              </w:rPr>
              <w:t>manual</w:t>
            </w:r>
            <w:proofErr w:type="gramEnd"/>
            <w:r w:rsidRPr="00AE4DF5">
              <w:rPr>
                <w:sz w:val="18"/>
                <w:szCs w:val="18"/>
                <w:lang w:val="en-AU"/>
              </w:rPr>
              <w:t xml:space="preserve"> and learning-to-action is not yet systematic across all service orders.</w:t>
            </w:r>
          </w:p>
        </w:tc>
      </w:tr>
      <w:tr w:rsidR="00537DDE" w:rsidRPr="00537DDE" w14:paraId="2E8CAD07" w14:textId="77777777" w:rsidTr="00537DDE">
        <w:tc>
          <w:tcPr>
            <w:tcW w:w="921" w:type="pct"/>
            <w:shd w:val="clear" w:color="auto" w:fill="ECECEC" w:themeFill="accent4" w:themeFillTint="33"/>
            <w:hideMark/>
          </w:tcPr>
          <w:p w14:paraId="31E2510F" w14:textId="77777777" w:rsidR="00537DDE" w:rsidRPr="00AE4DF5" w:rsidRDefault="00537DDE" w:rsidP="00537DDE">
            <w:pPr>
              <w:rPr>
                <w:sz w:val="18"/>
                <w:szCs w:val="18"/>
                <w:lang w:val="en-AU"/>
              </w:rPr>
            </w:pPr>
            <w:r w:rsidRPr="00AE4DF5">
              <w:rPr>
                <w:sz w:val="18"/>
                <w:szCs w:val="18"/>
                <w:lang w:val="en-AU"/>
              </w:rPr>
              <w:t>Proportionality</w:t>
            </w:r>
          </w:p>
        </w:tc>
        <w:tc>
          <w:tcPr>
            <w:tcW w:w="872" w:type="pct"/>
            <w:shd w:val="clear" w:color="auto" w:fill="FFC000"/>
            <w:hideMark/>
          </w:tcPr>
          <w:p w14:paraId="524C6C36" w14:textId="77777777" w:rsidR="00537DDE" w:rsidRPr="00AE4DF5" w:rsidRDefault="00537DDE" w:rsidP="00537DDE">
            <w:pPr>
              <w:rPr>
                <w:sz w:val="18"/>
                <w:szCs w:val="18"/>
                <w:lang w:val="en-AU"/>
              </w:rPr>
            </w:pPr>
            <w:r w:rsidRPr="00AE4DF5">
              <w:rPr>
                <w:sz w:val="18"/>
                <w:szCs w:val="18"/>
                <w:lang w:val="en-AU"/>
              </w:rPr>
              <w:t>Adequate and the main VfM risk</w:t>
            </w:r>
          </w:p>
        </w:tc>
        <w:tc>
          <w:tcPr>
            <w:tcW w:w="3145" w:type="pct"/>
            <w:hideMark/>
          </w:tcPr>
          <w:p w14:paraId="58E0438F" w14:textId="1008762C" w:rsidR="00537DDE" w:rsidRPr="00AE4DF5" w:rsidRDefault="00537DDE" w:rsidP="00537DDE">
            <w:pPr>
              <w:rPr>
                <w:sz w:val="18"/>
                <w:szCs w:val="18"/>
                <w:lang w:val="en-AU"/>
              </w:rPr>
            </w:pPr>
            <w:r w:rsidRPr="00AE4DF5">
              <w:rPr>
                <w:sz w:val="18"/>
                <w:szCs w:val="18"/>
                <w:lang w:val="en-AU"/>
              </w:rPr>
              <w:t xml:space="preserve">The </w:t>
            </w:r>
            <w:r w:rsidR="00CF6D8E">
              <w:rPr>
                <w:sz w:val="18"/>
                <w:szCs w:val="18"/>
                <w:lang w:val="en-AU"/>
              </w:rPr>
              <w:t>f</w:t>
            </w:r>
            <w:r w:rsidRPr="00AE4DF5">
              <w:rPr>
                <w:sz w:val="18"/>
                <w:szCs w:val="18"/>
                <w:lang w:val="en-AU"/>
              </w:rPr>
              <w:t>acility is supporting more service orders, higher expenditure and greater complexity without equivalent growth in FSU resourcing, systems or service standards. Larger and higher-intensity service orders require more dedicated operational support.</w:t>
            </w:r>
          </w:p>
        </w:tc>
      </w:tr>
      <w:tr w:rsidR="00537DDE" w:rsidRPr="00537DDE" w14:paraId="4EA50FDF" w14:textId="77777777" w:rsidTr="00537DDE">
        <w:tc>
          <w:tcPr>
            <w:tcW w:w="921" w:type="pct"/>
            <w:shd w:val="clear" w:color="auto" w:fill="ECECEC" w:themeFill="accent4" w:themeFillTint="33"/>
            <w:hideMark/>
          </w:tcPr>
          <w:p w14:paraId="65D6A47B" w14:textId="77777777" w:rsidR="00537DDE" w:rsidRPr="00AE4DF5" w:rsidRDefault="00537DDE" w:rsidP="00537DDE">
            <w:pPr>
              <w:rPr>
                <w:sz w:val="18"/>
                <w:szCs w:val="18"/>
                <w:lang w:val="en-AU"/>
              </w:rPr>
            </w:pPr>
            <w:r w:rsidRPr="00AE4DF5">
              <w:rPr>
                <w:sz w:val="18"/>
                <w:szCs w:val="18"/>
                <w:lang w:val="en-AU"/>
              </w:rPr>
              <w:t>Performance and risk management</w:t>
            </w:r>
          </w:p>
        </w:tc>
        <w:tc>
          <w:tcPr>
            <w:tcW w:w="872" w:type="pct"/>
            <w:shd w:val="clear" w:color="auto" w:fill="92D050"/>
            <w:hideMark/>
          </w:tcPr>
          <w:p w14:paraId="7670F2B3" w14:textId="77777777" w:rsidR="00537DDE" w:rsidRPr="00AE4DF5" w:rsidRDefault="00537DDE" w:rsidP="00537DDE">
            <w:pPr>
              <w:rPr>
                <w:sz w:val="18"/>
                <w:szCs w:val="18"/>
                <w:lang w:val="en-AU"/>
              </w:rPr>
            </w:pPr>
            <w:r w:rsidRPr="00AE4DF5">
              <w:rPr>
                <w:sz w:val="18"/>
                <w:szCs w:val="18"/>
                <w:lang w:val="en-AU"/>
              </w:rPr>
              <w:t>Strong</w:t>
            </w:r>
          </w:p>
        </w:tc>
        <w:tc>
          <w:tcPr>
            <w:tcW w:w="3145" w:type="pct"/>
            <w:hideMark/>
          </w:tcPr>
          <w:p w14:paraId="661BAC12" w14:textId="77777777" w:rsidR="00537DDE" w:rsidRPr="00AE4DF5" w:rsidRDefault="00537DDE" w:rsidP="00537DDE">
            <w:pPr>
              <w:rPr>
                <w:sz w:val="18"/>
                <w:szCs w:val="18"/>
                <w:lang w:val="en-AU"/>
              </w:rPr>
            </w:pPr>
            <w:r w:rsidRPr="00AE4DF5">
              <w:rPr>
                <w:sz w:val="18"/>
                <w:szCs w:val="18"/>
                <w:lang w:val="en-AU"/>
              </w:rPr>
              <w:t>Risk, safeguarding, security and compliance systems are functioning and are valued by stakeholders. The risk profile is shifting from basic operational controls to strategic risks around headroom, resourcing and compliance under growth.</w:t>
            </w:r>
          </w:p>
        </w:tc>
      </w:tr>
      <w:tr w:rsidR="00537DDE" w:rsidRPr="00537DDE" w14:paraId="26E34DCA" w14:textId="77777777" w:rsidTr="00537DDE">
        <w:tc>
          <w:tcPr>
            <w:tcW w:w="921" w:type="pct"/>
            <w:shd w:val="clear" w:color="auto" w:fill="ECECEC" w:themeFill="accent4" w:themeFillTint="33"/>
            <w:hideMark/>
          </w:tcPr>
          <w:p w14:paraId="2D5EB5FB" w14:textId="77777777" w:rsidR="00537DDE" w:rsidRPr="00AE4DF5" w:rsidRDefault="00537DDE" w:rsidP="00537DDE">
            <w:pPr>
              <w:rPr>
                <w:sz w:val="18"/>
                <w:szCs w:val="18"/>
                <w:lang w:val="en-AU"/>
              </w:rPr>
            </w:pPr>
            <w:r w:rsidRPr="00AE4DF5">
              <w:rPr>
                <w:sz w:val="18"/>
                <w:szCs w:val="18"/>
                <w:lang w:val="en-AU"/>
              </w:rPr>
              <w:t>Results focus</w:t>
            </w:r>
          </w:p>
        </w:tc>
        <w:tc>
          <w:tcPr>
            <w:tcW w:w="872" w:type="pct"/>
            <w:shd w:val="clear" w:color="auto" w:fill="92D050"/>
            <w:hideMark/>
          </w:tcPr>
          <w:p w14:paraId="25781B1A" w14:textId="77777777" w:rsidR="00537DDE" w:rsidRPr="00AE4DF5" w:rsidRDefault="00537DDE" w:rsidP="00537DDE">
            <w:pPr>
              <w:rPr>
                <w:sz w:val="18"/>
                <w:szCs w:val="18"/>
                <w:lang w:val="en-AU"/>
              </w:rPr>
            </w:pPr>
            <w:r w:rsidRPr="00AE4DF5">
              <w:rPr>
                <w:sz w:val="18"/>
                <w:szCs w:val="18"/>
                <w:lang w:val="en-AU"/>
              </w:rPr>
              <w:t>Good</w:t>
            </w:r>
          </w:p>
        </w:tc>
        <w:tc>
          <w:tcPr>
            <w:tcW w:w="3145" w:type="pct"/>
            <w:hideMark/>
          </w:tcPr>
          <w:p w14:paraId="0BB481C6" w14:textId="77777777" w:rsidR="00537DDE" w:rsidRPr="00AE4DF5" w:rsidRDefault="00537DDE" w:rsidP="00537DDE">
            <w:pPr>
              <w:rPr>
                <w:sz w:val="18"/>
                <w:szCs w:val="18"/>
                <w:lang w:val="en-AU"/>
              </w:rPr>
            </w:pPr>
            <w:r w:rsidRPr="00AE4DF5">
              <w:rPr>
                <w:sz w:val="18"/>
                <w:szCs w:val="18"/>
                <w:lang w:val="en-AU"/>
              </w:rPr>
              <w:t>ASIPS+ is supporting delivery against both EOFOs and has strengthened design, performance management, MEL and cross-cutting integration. The “plus” function is adding value, although outcome evidence is still maturing.</w:t>
            </w:r>
          </w:p>
        </w:tc>
      </w:tr>
      <w:tr w:rsidR="00537DDE" w:rsidRPr="00537DDE" w14:paraId="4FEC8515" w14:textId="77777777" w:rsidTr="00537DDE">
        <w:tc>
          <w:tcPr>
            <w:tcW w:w="921" w:type="pct"/>
            <w:shd w:val="clear" w:color="auto" w:fill="ECECEC" w:themeFill="accent4" w:themeFillTint="33"/>
            <w:hideMark/>
          </w:tcPr>
          <w:p w14:paraId="792C1572" w14:textId="77777777" w:rsidR="00537DDE" w:rsidRPr="00AE4DF5" w:rsidRDefault="00537DDE" w:rsidP="00537DDE">
            <w:pPr>
              <w:rPr>
                <w:sz w:val="18"/>
                <w:szCs w:val="18"/>
                <w:lang w:val="en-AU"/>
              </w:rPr>
            </w:pPr>
            <w:r w:rsidRPr="00AE4DF5">
              <w:rPr>
                <w:sz w:val="18"/>
                <w:szCs w:val="18"/>
                <w:lang w:val="en-AU"/>
              </w:rPr>
              <w:t>Experimentation and innovation</w:t>
            </w:r>
          </w:p>
        </w:tc>
        <w:tc>
          <w:tcPr>
            <w:tcW w:w="872" w:type="pct"/>
            <w:shd w:val="clear" w:color="auto" w:fill="C9C9CA" w:themeFill="accent2"/>
            <w:hideMark/>
          </w:tcPr>
          <w:p w14:paraId="2B3FB92A" w14:textId="77777777" w:rsidR="00537DDE" w:rsidRPr="00AE4DF5" w:rsidRDefault="00537DDE" w:rsidP="00537DDE">
            <w:pPr>
              <w:rPr>
                <w:sz w:val="18"/>
                <w:szCs w:val="18"/>
                <w:lang w:val="en-AU"/>
              </w:rPr>
            </w:pPr>
            <w:r w:rsidRPr="00AE4DF5">
              <w:rPr>
                <w:sz w:val="18"/>
                <w:szCs w:val="18"/>
                <w:lang w:val="en-AU"/>
              </w:rPr>
              <w:t>Limited relevance as a standalone VfM marker</w:t>
            </w:r>
          </w:p>
        </w:tc>
        <w:tc>
          <w:tcPr>
            <w:tcW w:w="3145" w:type="pct"/>
            <w:hideMark/>
          </w:tcPr>
          <w:p w14:paraId="46AF58BF" w14:textId="77777777" w:rsidR="00537DDE" w:rsidRPr="00AE4DF5" w:rsidRDefault="00537DDE" w:rsidP="00537DDE">
            <w:pPr>
              <w:rPr>
                <w:sz w:val="18"/>
                <w:szCs w:val="18"/>
                <w:lang w:val="en-AU"/>
              </w:rPr>
            </w:pPr>
            <w:r w:rsidRPr="00AE4DF5">
              <w:rPr>
                <w:sz w:val="18"/>
                <w:szCs w:val="18"/>
                <w:lang w:val="en-AU"/>
              </w:rPr>
              <w:t>ASIPS+ is not designed primarily as an experimental program. Its value lies more in flexible, adaptive and risk-managed delivery. There is evidence of practical innovation through shared advisers, integrated approaches and systems improvement.</w:t>
            </w:r>
          </w:p>
        </w:tc>
      </w:tr>
      <w:tr w:rsidR="00537DDE" w:rsidRPr="00537DDE" w14:paraId="12AA05D6" w14:textId="77777777" w:rsidTr="00537DDE">
        <w:tc>
          <w:tcPr>
            <w:tcW w:w="921" w:type="pct"/>
            <w:shd w:val="clear" w:color="auto" w:fill="ECECEC" w:themeFill="accent4" w:themeFillTint="33"/>
            <w:hideMark/>
          </w:tcPr>
          <w:p w14:paraId="3FBA4D79" w14:textId="77777777" w:rsidR="00537DDE" w:rsidRPr="00AE4DF5" w:rsidRDefault="00537DDE" w:rsidP="00537DDE">
            <w:pPr>
              <w:rPr>
                <w:sz w:val="18"/>
                <w:szCs w:val="18"/>
                <w:lang w:val="en-AU"/>
              </w:rPr>
            </w:pPr>
            <w:r w:rsidRPr="00AE4DF5">
              <w:rPr>
                <w:sz w:val="18"/>
                <w:szCs w:val="18"/>
                <w:lang w:val="en-AU"/>
              </w:rPr>
              <w:t>Accountability and transparency</w:t>
            </w:r>
          </w:p>
        </w:tc>
        <w:tc>
          <w:tcPr>
            <w:tcW w:w="872" w:type="pct"/>
            <w:shd w:val="clear" w:color="auto" w:fill="92D050"/>
            <w:hideMark/>
          </w:tcPr>
          <w:p w14:paraId="693AE270" w14:textId="77777777" w:rsidR="00537DDE" w:rsidRPr="00AE4DF5" w:rsidRDefault="00537DDE" w:rsidP="00537DDE">
            <w:pPr>
              <w:rPr>
                <w:sz w:val="18"/>
                <w:szCs w:val="18"/>
                <w:lang w:val="en-AU"/>
              </w:rPr>
            </w:pPr>
            <w:r w:rsidRPr="00AE4DF5">
              <w:rPr>
                <w:sz w:val="18"/>
                <w:szCs w:val="18"/>
                <w:lang w:val="en-AU"/>
              </w:rPr>
              <w:t>Good</w:t>
            </w:r>
          </w:p>
        </w:tc>
        <w:tc>
          <w:tcPr>
            <w:tcW w:w="3145" w:type="pct"/>
            <w:hideMark/>
          </w:tcPr>
          <w:p w14:paraId="130DC778" w14:textId="77777777" w:rsidR="00537DDE" w:rsidRPr="00AE4DF5" w:rsidRDefault="00537DDE" w:rsidP="00537DDE">
            <w:pPr>
              <w:rPr>
                <w:sz w:val="18"/>
                <w:szCs w:val="18"/>
                <w:lang w:val="en-AU"/>
              </w:rPr>
            </w:pPr>
            <w:r w:rsidRPr="00AE4DF5">
              <w:rPr>
                <w:sz w:val="18"/>
                <w:szCs w:val="18"/>
                <w:lang w:val="en-AU"/>
              </w:rPr>
              <w:t>ASIPS+ provides regular reporting, SOG oversight, financial reporting, risk escalation and audit/compliance processes. Transparency would be strengthened by better dashboards and exception reporting.</w:t>
            </w:r>
          </w:p>
        </w:tc>
      </w:tr>
      <w:tr w:rsidR="00537DDE" w:rsidRPr="00537DDE" w14:paraId="4C9ACA53" w14:textId="77777777" w:rsidTr="00537DDE">
        <w:tc>
          <w:tcPr>
            <w:tcW w:w="921" w:type="pct"/>
            <w:shd w:val="clear" w:color="auto" w:fill="ECECEC" w:themeFill="accent4" w:themeFillTint="33"/>
            <w:hideMark/>
          </w:tcPr>
          <w:p w14:paraId="1FAEA1E9" w14:textId="77777777" w:rsidR="00537DDE" w:rsidRPr="00AE4DF5" w:rsidRDefault="00537DDE" w:rsidP="00537DDE">
            <w:pPr>
              <w:rPr>
                <w:sz w:val="18"/>
                <w:szCs w:val="18"/>
                <w:lang w:val="en-AU"/>
              </w:rPr>
            </w:pPr>
            <w:r w:rsidRPr="00AE4DF5">
              <w:rPr>
                <w:sz w:val="18"/>
                <w:szCs w:val="18"/>
                <w:lang w:val="en-AU"/>
              </w:rPr>
              <w:t>Equity</w:t>
            </w:r>
          </w:p>
        </w:tc>
        <w:tc>
          <w:tcPr>
            <w:tcW w:w="872" w:type="pct"/>
            <w:shd w:val="clear" w:color="auto" w:fill="92D050"/>
            <w:hideMark/>
          </w:tcPr>
          <w:p w14:paraId="09861FD8" w14:textId="77777777" w:rsidR="00537DDE" w:rsidRPr="00AE4DF5" w:rsidRDefault="00537DDE" w:rsidP="00537DDE">
            <w:pPr>
              <w:rPr>
                <w:sz w:val="18"/>
                <w:szCs w:val="18"/>
                <w:lang w:val="en-AU"/>
              </w:rPr>
            </w:pPr>
            <w:r w:rsidRPr="00AE4DF5">
              <w:rPr>
                <w:sz w:val="18"/>
                <w:szCs w:val="18"/>
                <w:lang w:val="en-AU"/>
              </w:rPr>
              <w:t>Good</w:t>
            </w:r>
          </w:p>
        </w:tc>
        <w:tc>
          <w:tcPr>
            <w:tcW w:w="3145" w:type="pct"/>
            <w:hideMark/>
          </w:tcPr>
          <w:p w14:paraId="79805DC8" w14:textId="77777777" w:rsidR="00537DDE" w:rsidRPr="00AE4DF5" w:rsidRDefault="00537DDE" w:rsidP="00537DDE">
            <w:pPr>
              <w:rPr>
                <w:sz w:val="18"/>
                <w:szCs w:val="18"/>
                <w:lang w:val="en-AU"/>
              </w:rPr>
            </w:pPr>
            <w:r w:rsidRPr="00AE4DF5">
              <w:rPr>
                <w:sz w:val="18"/>
                <w:szCs w:val="18"/>
                <w:lang w:val="en-AU"/>
              </w:rPr>
              <w:t>ASIPS+ contributes to equity through local procurement, local employment, GEDSI integration, gender-balanced staffing and leadership, disability inclusion initiatives and support to women-led and local suppliers.</w:t>
            </w:r>
          </w:p>
        </w:tc>
      </w:tr>
    </w:tbl>
    <w:p w14:paraId="4FAB1DF2" w14:textId="698644A5" w:rsidR="00263D54" w:rsidRDefault="00263D54" w:rsidP="00772099"/>
    <w:p w14:paraId="5F0469DF" w14:textId="77777777" w:rsidR="00263D54" w:rsidRDefault="00263D54">
      <w:pPr>
        <w:spacing w:before="0" w:after="0"/>
      </w:pPr>
      <w:r>
        <w:br w:type="page"/>
      </w:r>
    </w:p>
    <w:p w14:paraId="1B4EF51F" w14:textId="6A23F4A8" w:rsidR="00263D54" w:rsidRPr="00550B3C" w:rsidRDefault="5173C5BA" w:rsidP="00550B3C">
      <w:pPr>
        <w:pStyle w:val="Heading2"/>
      </w:pPr>
      <w:bookmarkStart w:id="27" w:name="_Toc234426737"/>
      <w:r w:rsidRPr="00550B3C">
        <w:lastRenderedPageBreak/>
        <w:t xml:space="preserve">Annex </w:t>
      </w:r>
      <w:r w:rsidR="00E0018F">
        <w:t>8</w:t>
      </w:r>
      <w:r w:rsidRPr="00550B3C">
        <w:t>. Quality programming tools</w:t>
      </w:r>
      <w:bookmarkEnd w:id="27"/>
    </w:p>
    <w:p w14:paraId="79A3162C" w14:textId="3A798448" w:rsidR="00263D54" w:rsidRDefault="00263D54" w:rsidP="00263D54">
      <w:r>
        <w:t xml:space="preserve">ASIPS+ uses a quality programming system to support SOs to be well designed, appropriately resourced, risk-informed, aligned with DFAT and SIG priorities, and able to contribute to development outcomes. The system </w:t>
      </w:r>
      <w:r w:rsidR="00AE4DF5">
        <w:t xml:space="preserve">includes </w:t>
      </w:r>
      <w:r>
        <w:t>a set of linked guidance, templates, quality standards, performance expectations and review processes that support SOs across the activity lifecycle.</w:t>
      </w:r>
      <w:r w:rsidR="001D0B18">
        <w:t xml:space="preserve"> </w:t>
      </w:r>
      <w:r>
        <w:t>The key documents are the Quality Programming Strategy, the Programming and Performance Management Guidelines, the MEL Plan, and the integrated approaches for GEDSI, climate change, safeguards, locally led development and First Nations engagement. The Quality Programming Strategy states that performance expectations for SOs should be determined at concept stage and reflected in the SO.</w:t>
      </w:r>
    </w:p>
    <w:p w14:paraId="44FC5C97" w14:textId="2EC34E0A" w:rsidR="00263D54" w:rsidRDefault="00263D54" w:rsidP="00263D54">
      <w:r w:rsidRPr="00263D54">
        <w:t>How the quality programming system works</w:t>
      </w:r>
      <w:r>
        <w:t>:</w:t>
      </w:r>
    </w:p>
    <w:tbl>
      <w:tblPr>
        <w:tblStyle w:val="TableGridLight"/>
        <w:tblW w:w="5000" w:type="pct"/>
        <w:tblLook w:val="04A0" w:firstRow="1" w:lastRow="0" w:firstColumn="1" w:lastColumn="0" w:noHBand="0" w:noVBand="1"/>
      </w:tblPr>
      <w:tblGrid>
        <w:gridCol w:w="1915"/>
        <w:gridCol w:w="4612"/>
        <w:gridCol w:w="3555"/>
      </w:tblGrid>
      <w:tr w:rsidR="001D0B18" w:rsidRPr="00AE4DF5" w14:paraId="3DD208E4" w14:textId="77777777" w:rsidTr="00F01C22">
        <w:tc>
          <w:tcPr>
            <w:tcW w:w="950" w:type="pct"/>
            <w:shd w:val="clear" w:color="auto" w:fill="002060"/>
            <w:hideMark/>
          </w:tcPr>
          <w:p w14:paraId="128DFC6A" w14:textId="77777777" w:rsidR="001D0B18" w:rsidRPr="00AE4DF5" w:rsidRDefault="001D0B18" w:rsidP="00263D54">
            <w:pPr>
              <w:rPr>
                <w:b/>
                <w:bCs/>
                <w:color w:val="FFFFFF" w:themeColor="background1"/>
                <w:sz w:val="18"/>
                <w:szCs w:val="18"/>
                <w:lang w:val="en-AU"/>
              </w:rPr>
            </w:pPr>
            <w:r w:rsidRPr="00AE4DF5">
              <w:rPr>
                <w:b/>
                <w:bCs/>
                <w:color w:val="FFFFFF" w:themeColor="background1"/>
                <w:sz w:val="18"/>
                <w:szCs w:val="18"/>
                <w:lang w:val="en-AU"/>
              </w:rPr>
              <w:t>Tool or process</w:t>
            </w:r>
          </w:p>
        </w:tc>
        <w:tc>
          <w:tcPr>
            <w:tcW w:w="2287" w:type="pct"/>
            <w:shd w:val="clear" w:color="auto" w:fill="002060"/>
            <w:hideMark/>
          </w:tcPr>
          <w:p w14:paraId="6C1923EE" w14:textId="77777777" w:rsidR="001D0B18" w:rsidRPr="00AE4DF5" w:rsidRDefault="001D0B18" w:rsidP="00263D54">
            <w:pPr>
              <w:rPr>
                <w:b/>
                <w:bCs/>
                <w:color w:val="FFFFFF" w:themeColor="background1"/>
                <w:sz w:val="18"/>
                <w:szCs w:val="18"/>
                <w:lang w:val="en-AU"/>
              </w:rPr>
            </w:pPr>
            <w:r w:rsidRPr="00AE4DF5">
              <w:rPr>
                <w:b/>
                <w:bCs/>
                <w:color w:val="FFFFFF" w:themeColor="background1"/>
                <w:sz w:val="18"/>
                <w:szCs w:val="18"/>
                <w:lang w:val="en-AU"/>
              </w:rPr>
              <w:t>How it works</w:t>
            </w:r>
          </w:p>
        </w:tc>
        <w:tc>
          <w:tcPr>
            <w:tcW w:w="1764" w:type="pct"/>
            <w:shd w:val="clear" w:color="auto" w:fill="002060"/>
            <w:hideMark/>
          </w:tcPr>
          <w:p w14:paraId="1B844EDC" w14:textId="77777777" w:rsidR="001D0B18" w:rsidRPr="00AE4DF5" w:rsidRDefault="001D0B18" w:rsidP="00263D54">
            <w:pPr>
              <w:rPr>
                <w:b/>
                <w:bCs/>
                <w:color w:val="FFFFFF" w:themeColor="background1"/>
                <w:sz w:val="18"/>
                <w:szCs w:val="18"/>
                <w:lang w:val="en-AU"/>
              </w:rPr>
            </w:pPr>
            <w:r w:rsidRPr="00AE4DF5">
              <w:rPr>
                <w:b/>
                <w:bCs/>
                <w:color w:val="FFFFFF" w:themeColor="background1"/>
                <w:sz w:val="18"/>
                <w:szCs w:val="18"/>
                <w:lang w:val="en-AU"/>
              </w:rPr>
              <w:t>What it is intended to improve</w:t>
            </w:r>
          </w:p>
        </w:tc>
      </w:tr>
      <w:tr w:rsidR="001D0B18" w:rsidRPr="00AE4DF5" w14:paraId="73144B13" w14:textId="77777777" w:rsidTr="00F01C22">
        <w:tc>
          <w:tcPr>
            <w:tcW w:w="950" w:type="pct"/>
            <w:hideMark/>
          </w:tcPr>
          <w:p w14:paraId="075B5108" w14:textId="77777777" w:rsidR="001D0B18" w:rsidRPr="00AE4DF5" w:rsidRDefault="001D0B18" w:rsidP="00263D54">
            <w:pPr>
              <w:rPr>
                <w:sz w:val="18"/>
                <w:szCs w:val="18"/>
                <w:lang w:val="en-AU"/>
              </w:rPr>
            </w:pPr>
            <w:r w:rsidRPr="00AE4DF5">
              <w:rPr>
                <w:sz w:val="18"/>
                <w:szCs w:val="18"/>
                <w:lang w:val="en-AU"/>
              </w:rPr>
              <w:t>Early concept and SO development</w:t>
            </w:r>
          </w:p>
        </w:tc>
        <w:tc>
          <w:tcPr>
            <w:tcW w:w="2287" w:type="pct"/>
            <w:hideMark/>
          </w:tcPr>
          <w:p w14:paraId="554046DE" w14:textId="77777777" w:rsidR="001D0B18" w:rsidRPr="00AE4DF5" w:rsidRDefault="001D0B18" w:rsidP="00263D54">
            <w:pPr>
              <w:rPr>
                <w:sz w:val="18"/>
                <w:szCs w:val="18"/>
                <w:lang w:val="en-AU"/>
              </w:rPr>
            </w:pPr>
            <w:r w:rsidRPr="00AE4DF5">
              <w:rPr>
                <w:sz w:val="18"/>
                <w:szCs w:val="18"/>
                <w:lang w:val="en-AU"/>
              </w:rPr>
              <w:t>DFAT requests support through an SO or assignment. ASIPS+ uses concept notes, templates and early discussions to clarify objectives, scope, delivery role, risk and resourcing needs.</w:t>
            </w:r>
          </w:p>
        </w:tc>
        <w:tc>
          <w:tcPr>
            <w:tcW w:w="1764" w:type="pct"/>
            <w:hideMark/>
          </w:tcPr>
          <w:p w14:paraId="1DEB9DE0" w14:textId="77777777" w:rsidR="001D0B18" w:rsidRPr="00AE4DF5" w:rsidRDefault="001D0B18" w:rsidP="00263D54">
            <w:pPr>
              <w:rPr>
                <w:sz w:val="18"/>
                <w:szCs w:val="18"/>
                <w:lang w:val="en-AU"/>
              </w:rPr>
            </w:pPr>
            <w:r w:rsidRPr="00AE4DF5">
              <w:rPr>
                <w:sz w:val="18"/>
                <w:szCs w:val="18"/>
                <w:lang w:val="en-AU"/>
              </w:rPr>
              <w:t>Clearer SO objectives, stronger alignment with DFAT priorities, and more efficient SO development.</w:t>
            </w:r>
          </w:p>
        </w:tc>
      </w:tr>
      <w:tr w:rsidR="001D0B18" w:rsidRPr="00AE4DF5" w14:paraId="0F4B2E62" w14:textId="77777777" w:rsidTr="00F01C22">
        <w:tc>
          <w:tcPr>
            <w:tcW w:w="950" w:type="pct"/>
            <w:hideMark/>
          </w:tcPr>
          <w:p w14:paraId="15B85129" w14:textId="77777777" w:rsidR="001D0B18" w:rsidRPr="00AE4DF5" w:rsidRDefault="001D0B18" w:rsidP="00263D54">
            <w:pPr>
              <w:rPr>
                <w:sz w:val="18"/>
                <w:szCs w:val="18"/>
                <w:lang w:val="en-AU"/>
              </w:rPr>
            </w:pPr>
            <w:r w:rsidRPr="00AE4DF5">
              <w:rPr>
                <w:sz w:val="18"/>
                <w:szCs w:val="18"/>
                <w:lang w:val="en-AU"/>
              </w:rPr>
              <w:t>Implementation Profiling Tool</w:t>
            </w:r>
          </w:p>
        </w:tc>
        <w:tc>
          <w:tcPr>
            <w:tcW w:w="2287" w:type="pct"/>
            <w:hideMark/>
          </w:tcPr>
          <w:p w14:paraId="5B0E594D" w14:textId="77777777" w:rsidR="001D0B18" w:rsidRPr="00AE4DF5" w:rsidRDefault="001D0B18" w:rsidP="00263D54">
            <w:pPr>
              <w:rPr>
                <w:sz w:val="18"/>
                <w:szCs w:val="18"/>
                <w:lang w:val="en-AU"/>
              </w:rPr>
            </w:pPr>
            <w:r w:rsidRPr="00AE4DF5">
              <w:rPr>
                <w:sz w:val="18"/>
                <w:szCs w:val="18"/>
                <w:lang w:val="en-AU"/>
              </w:rPr>
              <w:t>The tool assesses operational and development-effectiveness complexity at concept or early design stage. It considers risk, complexity, delivery role and exposure to cross-cutting issues.</w:t>
            </w:r>
          </w:p>
        </w:tc>
        <w:tc>
          <w:tcPr>
            <w:tcW w:w="1764" w:type="pct"/>
            <w:hideMark/>
          </w:tcPr>
          <w:p w14:paraId="5084BCC8" w14:textId="77777777" w:rsidR="001D0B18" w:rsidRPr="00AE4DF5" w:rsidRDefault="001D0B18" w:rsidP="00263D54">
            <w:pPr>
              <w:rPr>
                <w:sz w:val="18"/>
                <w:szCs w:val="18"/>
                <w:lang w:val="en-AU"/>
              </w:rPr>
            </w:pPr>
            <w:r w:rsidRPr="00AE4DF5">
              <w:rPr>
                <w:sz w:val="18"/>
                <w:szCs w:val="18"/>
                <w:lang w:val="en-AU"/>
              </w:rPr>
              <w:t>Helps ASIPS+ avoid a one-size-fits-all approach and define the level of management, DEH input, MEL, safeguards, cross-cutting and operational support required.</w:t>
            </w:r>
          </w:p>
        </w:tc>
      </w:tr>
      <w:tr w:rsidR="001D0B18" w:rsidRPr="00AE4DF5" w14:paraId="1E4DDCBF" w14:textId="77777777" w:rsidTr="00F01C22">
        <w:tc>
          <w:tcPr>
            <w:tcW w:w="950" w:type="pct"/>
            <w:hideMark/>
          </w:tcPr>
          <w:p w14:paraId="5B63F268" w14:textId="77777777" w:rsidR="001D0B18" w:rsidRPr="00AE4DF5" w:rsidRDefault="001D0B18" w:rsidP="00263D54">
            <w:pPr>
              <w:rPr>
                <w:sz w:val="18"/>
                <w:szCs w:val="18"/>
                <w:lang w:val="en-AU"/>
              </w:rPr>
            </w:pPr>
            <w:r w:rsidRPr="00AE4DF5">
              <w:rPr>
                <w:sz w:val="18"/>
                <w:szCs w:val="18"/>
                <w:lang w:val="en-AU"/>
              </w:rPr>
              <w:t>SO design and planning tools</w:t>
            </w:r>
          </w:p>
        </w:tc>
        <w:tc>
          <w:tcPr>
            <w:tcW w:w="2287" w:type="pct"/>
            <w:hideMark/>
          </w:tcPr>
          <w:p w14:paraId="24577712" w14:textId="77777777" w:rsidR="001D0B18" w:rsidRPr="00AE4DF5" w:rsidRDefault="001D0B18" w:rsidP="00263D54">
            <w:pPr>
              <w:rPr>
                <w:sz w:val="18"/>
                <w:szCs w:val="18"/>
                <w:lang w:val="en-AU"/>
              </w:rPr>
            </w:pPr>
            <w:r w:rsidRPr="00AE4DF5">
              <w:rPr>
                <w:sz w:val="18"/>
                <w:szCs w:val="18"/>
                <w:lang w:val="en-AU"/>
              </w:rPr>
              <w:t>ASIPS+ uses design, workplan, implementation plan, budget, MEL, TOR and assignment templates where relevant. These templates can be adapted or replaced by partner systems if quality standards and performance expectations are still met.</w:t>
            </w:r>
          </w:p>
        </w:tc>
        <w:tc>
          <w:tcPr>
            <w:tcW w:w="1764" w:type="pct"/>
            <w:hideMark/>
          </w:tcPr>
          <w:p w14:paraId="4A7FA79C" w14:textId="77777777" w:rsidR="001D0B18" w:rsidRPr="00AE4DF5" w:rsidRDefault="001D0B18" w:rsidP="00263D54">
            <w:pPr>
              <w:rPr>
                <w:sz w:val="18"/>
                <w:szCs w:val="18"/>
                <w:lang w:val="en-AU"/>
              </w:rPr>
            </w:pPr>
            <w:r w:rsidRPr="00AE4DF5">
              <w:rPr>
                <w:sz w:val="18"/>
                <w:szCs w:val="18"/>
                <w:lang w:val="en-AU"/>
              </w:rPr>
              <w:t>Improves consistency and efficiency while allowing flexibility for different SO contexts.</w:t>
            </w:r>
          </w:p>
        </w:tc>
      </w:tr>
      <w:tr w:rsidR="001D0B18" w:rsidRPr="00AE4DF5" w14:paraId="4B530F3A" w14:textId="77777777" w:rsidTr="00F01C22">
        <w:tc>
          <w:tcPr>
            <w:tcW w:w="950" w:type="pct"/>
            <w:hideMark/>
          </w:tcPr>
          <w:p w14:paraId="08FE1287" w14:textId="77777777" w:rsidR="001D0B18" w:rsidRPr="00AE4DF5" w:rsidRDefault="001D0B18" w:rsidP="00263D54">
            <w:pPr>
              <w:rPr>
                <w:sz w:val="18"/>
                <w:szCs w:val="18"/>
                <w:lang w:val="en-AU"/>
              </w:rPr>
            </w:pPr>
            <w:r w:rsidRPr="00AE4DF5">
              <w:rPr>
                <w:sz w:val="18"/>
                <w:szCs w:val="18"/>
                <w:lang w:val="en-AU"/>
              </w:rPr>
              <w:t>Quality standards and performance expectations</w:t>
            </w:r>
          </w:p>
        </w:tc>
        <w:tc>
          <w:tcPr>
            <w:tcW w:w="2287" w:type="pct"/>
            <w:hideMark/>
          </w:tcPr>
          <w:p w14:paraId="16196770" w14:textId="77777777" w:rsidR="001D0B18" w:rsidRPr="00AE4DF5" w:rsidRDefault="001D0B18" w:rsidP="00263D54">
            <w:pPr>
              <w:rPr>
                <w:sz w:val="18"/>
                <w:szCs w:val="18"/>
                <w:lang w:val="en-AU"/>
              </w:rPr>
            </w:pPr>
            <w:r w:rsidRPr="00AE4DF5">
              <w:rPr>
                <w:sz w:val="18"/>
                <w:szCs w:val="18"/>
                <w:lang w:val="en-AU"/>
              </w:rPr>
              <w:t>Quality standards are linked to phases of delivery: design, work planning, progress reporting and completion. They cover MEL, GEDSI, climate, locally led development, First Nations engagement, communications and safeguards, and are graded according to risk profile.</w:t>
            </w:r>
          </w:p>
        </w:tc>
        <w:tc>
          <w:tcPr>
            <w:tcW w:w="1764" w:type="pct"/>
            <w:hideMark/>
          </w:tcPr>
          <w:p w14:paraId="67A1F579" w14:textId="77777777" w:rsidR="001D0B18" w:rsidRPr="00AE4DF5" w:rsidRDefault="001D0B18" w:rsidP="00263D54">
            <w:pPr>
              <w:rPr>
                <w:sz w:val="18"/>
                <w:szCs w:val="18"/>
                <w:lang w:val="en-AU"/>
              </w:rPr>
            </w:pPr>
            <w:r w:rsidRPr="00AE4DF5">
              <w:rPr>
                <w:sz w:val="18"/>
                <w:szCs w:val="18"/>
                <w:lang w:val="en-AU"/>
              </w:rPr>
              <w:t>Provides a proportionate basis for quality assurance rather than applying the same standard to every SO.</w:t>
            </w:r>
          </w:p>
        </w:tc>
      </w:tr>
      <w:tr w:rsidR="001D0B18" w:rsidRPr="00AE4DF5" w14:paraId="3BC218D9" w14:textId="77777777" w:rsidTr="00F01C22">
        <w:tc>
          <w:tcPr>
            <w:tcW w:w="950" w:type="pct"/>
            <w:hideMark/>
          </w:tcPr>
          <w:p w14:paraId="4E7D6626" w14:textId="77777777" w:rsidR="001D0B18" w:rsidRPr="00AE4DF5" w:rsidRDefault="001D0B18" w:rsidP="00263D54">
            <w:pPr>
              <w:rPr>
                <w:sz w:val="18"/>
                <w:szCs w:val="18"/>
                <w:lang w:val="en-AU"/>
              </w:rPr>
            </w:pPr>
            <w:r w:rsidRPr="00AE4DF5">
              <w:rPr>
                <w:sz w:val="18"/>
                <w:szCs w:val="18"/>
                <w:lang w:val="en-AU"/>
              </w:rPr>
              <w:t>DEH technical support and quality assurance</w:t>
            </w:r>
          </w:p>
        </w:tc>
        <w:tc>
          <w:tcPr>
            <w:tcW w:w="2287" w:type="pct"/>
            <w:hideMark/>
          </w:tcPr>
          <w:p w14:paraId="3BC49D77" w14:textId="77777777" w:rsidR="001D0B18" w:rsidRPr="00AE4DF5" w:rsidRDefault="001D0B18" w:rsidP="00263D54">
            <w:pPr>
              <w:rPr>
                <w:sz w:val="18"/>
                <w:szCs w:val="18"/>
                <w:lang w:val="en-AU"/>
              </w:rPr>
            </w:pPr>
            <w:r w:rsidRPr="00AE4DF5">
              <w:rPr>
                <w:sz w:val="18"/>
                <w:szCs w:val="18"/>
                <w:lang w:val="en-AU"/>
              </w:rPr>
              <w:t>The Development Effectiveness Hub provides technical support and quality assurance across design, MEL, GEDSI, climate change, safeguarding, communications and locally led development. For low-risk activities, quality checks are embedded in normal systems; larger or higher-risk SOs may require DEH or technical review.</w:t>
            </w:r>
          </w:p>
        </w:tc>
        <w:tc>
          <w:tcPr>
            <w:tcW w:w="1764" w:type="pct"/>
            <w:hideMark/>
          </w:tcPr>
          <w:p w14:paraId="00D9BA06" w14:textId="77777777" w:rsidR="001D0B18" w:rsidRPr="00AE4DF5" w:rsidRDefault="001D0B18" w:rsidP="00263D54">
            <w:pPr>
              <w:rPr>
                <w:sz w:val="18"/>
                <w:szCs w:val="18"/>
                <w:lang w:val="en-AU"/>
              </w:rPr>
            </w:pPr>
            <w:r w:rsidRPr="00AE4DF5">
              <w:rPr>
                <w:sz w:val="18"/>
                <w:szCs w:val="18"/>
                <w:lang w:val="en-AU"/>
              </w:rPr>
              <w:t>Ensures specialist inputs are available and that cross-cutting priorities are integrated throughout the activity lifecycle.</w:t>
            </w:r>
          </w:p>
        </w:tc>
      </w:tr>
      <w:tr w:rsidR="001D0B18" w:rsidRPr="00AE4DF5" w14:paraId="18B6150C" w14:textId="77777777" w:rsidTr="00F01C22">
        <w:tc>
          <w:tcPr>
            <w:tcW w:w="950" w:type="pct"/>
            <w:hideMark/>
          </w:tcPr>
          <w:p w14:paraId="56D214B0" w14:textId="77777777" w:rsidR="001D0B18" w:rsidRPr="00AE4DF5" w:rsidRDefault="001D0B18" w:rsidP="00263D54">
            <w:pPr>
              <w:rPr>
                <w:sz w:val="18"/>
                <w:szCs w:val="18"/>
                <w:lang w:val="en-AU"/>
              </w:rPr>
            </w:pPr>
            <w:r w:rsidRPr="00AE4DF5">
              <w:rPr>
                <w:sz w:val="18"/>
                <w:szCs w:val="18"/>
                <w:lang w:val="en-AU"/>
              </w:rPr>
              <w:t>Performance management, reporting and learning</w:t>
            </w:r>
          </w:p>
        </w:tc>
        <w:tc>
          <w:tcPr>
            <w:tcW w:w="2287" w:type="pct"/>
            <w:hideMark/>
          </w:tcPr>
          <w:p w14:paraId="54707F33" w14:textId="77777777" w:rsidR="001D0B18" w:rsidRPr="00AE4DF5" w:rsidRDefault="001D0B18" w:rsidP="00263D54">
            <w:pPr>
              <w:rPr>
                <w:sz w:val="18"/>
                <w:szCs w:val="18"/>
                <w:lang w:val="en-AU"/>
              </w:rPr>
            </w:pPr>
            <w:r w:rsidRPr="00AE4DF5">
              <w:rPr>
                <w:sz w:val="18"/>
                <w:szCs w:val="18"/>
                <w:lang w:val="en-AU"/>
              </w:rPr>
              <w:t>SO progress is monitored through workplans, progress reports, check-ins, deliverable reviews, adviser performance processes, MEL reporting, reflection processes and Facility-level reporting.</w:t>
            </w:r>
          </w:p>
        </w:tc>
        <w:tc>
          <w:tcPr>
            <w:tcW w:w="1764" w:type="pct"/>
            <w:hideMark/>
          </w:tcPr>
          <w:p w14:paraId="7ACCAA81" w14:textId="77777777" w:rsidR="001D0B18" w:rsidRPr="00AE4DF5" w:rsidRDefault="001D0B18" w:rsidP="00263D54">
            <w:pPr>
              <w:rPr>
                <w:sz w:val="18"/>
                <w:szCs w:val="18"/>
                <w:lang w:val="en-AU"/>
              </w:rPr>
            </w:pPr>
            <w:r w:rsidRPr="00AE4DF5">
              <w:rPr>
                <w:sz w:val="18"/>
                <w:szCs w:val="18"/>
                <w:lang w:val="en-AU"/>
              </w:rPr>
              <w:t>Supports adaptive management, learning, portfolio coherence and reporting against the Facility PAF, IMR criteria and DPP contribution.</w:t>
            </w:r>
          </w:p>
        </w:tc>
      </w:tr>
    </w:tbl>
    <w:p w14:paraId="12626E13" w14:textId="50F1FBAB" w:rsidR="00F01C22" w:rsidRDefault="00F01C22" w:rsidP="00263D54"/>
    <w:p w14:paraId="6E50B7A5" w14:textId="77777777" w:rsidR="00F01C22" w:rsidRDefault="00F01C22">
      <w:pPr>
        <w:spacing w:before="0" w:after="0"/>
      </w:pPr>
      <w:r>
        <w:br w:type="page"/>
      </w:r>
    </w:p>
    <w:p w14:paraId="153D0CF2" w14:textId="0D0F9E5B" w:rsidR="00AE4DF5" w:rsidRPr="00550B3C" w:rsidRDefault="00F01C22" w:rsidP="00550B3C">
      <w:pPr>
        <w:pStyle w:val="Heading2"/>
      </w:pPr>
      <w:bookmarkStart w:id="28" w:name="_Toc234426738"/>
      <w:r w:rsidRPr="00550B3C">
        <w:lastRenderedPageBreak/>
        <w:t xml:space="preserve">Annex </w:t>
      </w:r>
      <w:r w:rsidR="00E0018F">
        <w:t>9</w:t>
      </w:r>
      <w:r w:rsidRPr="00550B3C">
        <w:t xml:space="preserve">. </w:t>
      </w:r>
      <w:r w:rsidR="00AE4DF5" w:rsidRPr="00550B3C">
        <w:t>Cross-cutting priorities and policies</w:t>
      </w:r>
      <w:bookmarkEnd w:id="28"/>
    </w:p>
    <w:p w14:paraId="509F9F10" w14:textId="77777777" w:rsidR="00AE4DF5" w:rsidRPr="00C13F9E" w:rsidRDefault="00AE4DF5" w:rsidP="00C13F9E">
      <w:pPr>
        <w:pStyle w:val="Heading3"/>
      </w:pPr>
      <w:bookmarkStart w:id="29" w:name="_Toc234426739"/>
      <w:r w:rsidRPr="00C13F9E">
        <w:t>Gender equality</w:t>
      </w:r>
      <w:bookmarkEnd w:id="29"/>
    </w:p>
    <w:p w14:paraId="16A607C0" w14:textId="284A21BA" w:rsidR="00AE4DF5" w:rsidRDefault="00AE4DF5" w:rsidP="00AE4DF5">
      <w:pPr>
        <w:rPr>
          <w:lang w:val="en-AU"/>
        </w:rPr>
      </w:pPr>
      <w:r w:rsidRPr="002D212A">
        <w:rPr>
          <w:lang w:val="en-AU"/>
        </w:rPr>
        <w:t xml:space="preserve">Gender equality is </w:t>
      </w:r>
      <w:r w:rsidRPr="6518DF12">
        <w:rPr>
          <w:lang w:val="en-AU"/>
        </w:rPr>
        <w:t xml:space="preserve">embedded in </w:t>
      </w:r>
      <w:r>
        <w:rPr>
          <w:lang w:val="en-AU"/>
        </w:rPr>
        <w:t>f</w:t>
      </w:r>
      <w:r w:rsidRPr="6518DF12">
        <w:rPr>
          <w:lang w:val="en-AU"/>
        </w:rPr>
        <w:t xml:space="preserve">acility policy, workplace practice, recruitment, procurement, safeguarding, security operations, SO profiling and SO-level strategies. Workplace gender equality is also the </w:t>
      </w:r>
      <w:r>
        <w:rPr>
          <w:lang w:val="en-AU"/>
        </w:rPr>
        <w:t>f</w:t>
      </w:r>
      <w:r w:rsidRPr="6518DF12">
        <w:rPr>
          <w:lang w:val="en-AU"/>
        </w:rPr>
        <w:t xml:space="preserve">acility’s key policy priority. </w:t>
      </w:r>
    </w:p>
    <w:p w14:paraId="7A84098B" w14:textId="712A912F" w:rsidR="00AE4DF5" w:rsidRDefault="00AE4DF5" w:rsidP="14F6B5D0">
      <w:pPr>
        <w:spacing w:line="259" w:lineRule="auto"/>
        <w:rPr>
          <w:lang w:val="en-AU"/>
        </w:rPr>
      </w:pPr>
      <w:r w:rsidRPr="14F6B5D0">
        <w:rPr>
          <w:lang w:val="en-AU"/>
        </w:rPr>
        <w:t xml:space="preserve">The facility-wide GEDSI Approach was approved in </w:t>
      </w:r>
      <w:r w:rsidR="69EF4384" w:rsidRPr="14F6B5D0">
        <w:rPr>
          <w:lang w:val="en-AU"/>
        </w:rPr>
        <w:t>Dece</w:t>
      </w:r>
      <w:r w:rsidR="00FB123C">
        <w:rPr>
          <w:lang w:val="en-AU"/>
        </w:rPr>
        <w:t>m</w:t>
      </w:r>
      <w:r w:rsidR="69EF4384" w:rsidRPr="14F6B5D0">
        <w:rPr>
          <w:lang w:val="en-AU"/>
        </w:rPr>
        <w:t xml:space="preserve">ber </w:t>
      </w:r>
      <w:r w:rsidRPr="14F6B5D0">
        <w:rPr>
          <w:lang w:val="en-AU"/>
        </w:rPr>
        <w:t>2024. It sets out 14 summary indicators and 23 action points mapped to ASIPS+ outcomes. These indicators are appropriate for a facility mechanism because they track the things ASIPS+ can reasonably influence: whether GEDSI is built into systems, policies, SO design, procurement, recruitment, expenditure tracking, staff perceptions, risk management and SO-level implementation. The GEDSI indicators are tracked through several mechanisms: the annual Diversity, Equity and Inclusion Survey; HR recruitment and staffing data; gender pay gap analysis; SO Implementation Profiling; SO strategies and action plans; procurement and supplier data; finance task-code tagging; risk and safeguard reviews; and Facility reporting against the PAF. This provides a reasonable monitoring architecture, although some systems were still being built, especially expenditure tagging and supplier disaggregation.</w:t>
      </w:r>
    </w:p>
    <w:p w14:paraId="366F0D90" w14:textId="38C0976B" w:rsidR="00AE4DF5" w:rsidRDefault="00AE4DF5" w:rsidP="00AE4DF5">
      <w:pPr>
        <w:rPr>
          <w:lang w:val="en-AU"/>
        </w:rPr>
      </w:pPr>
      <w:r w:rsidRPr="00AB2915">
        <w:rPr>
          <w:lang w:val="en-AU"/>
        </w:rPr>
        <w:t xml:space="preserve">ASIPS+ has made strong progress in implementing IO2.4 as an internal </w:t>
      </w:r>
      <w:r>
        <w:rPr>
          <w:lang w:val="en-AU"/>
        </w:rPr>
        <w:t>f</w:t>
      </w:r>
      <w:r w:rsidRPr="00AB2915">
        <w:rPr>
          <w:lang w:val="en-AU"/>
        </w:rPr>
        <w:t>acility outcome.</w:t>
      </w:r>
      <w:r>
        <w:rPr>
          <w:lang w:val="en-AU"/>
        </w:rPr>
        <w:t xml:space="preserve"> </w:t>
      </w:r>
      <w:r w:rsidRPr="6518DF12">
        <w:rPr>
          <w:lang w:val="en-AU"/>
        </w:rPr>
        <w:t>ASIPS+ has maintained strong gender balance across staffing and leadership</w:t>
      </w:r>
      <w:r w:rsidRPr="6518DF12">
        <w:rPr>
          <w:rStyle w:val="FootnoteReference"/>
          <w:lang w:val="en-AU"/>
        </w:rPr>
        <w:footnoteReference w:id="36"/>
      </w:r>
      <w:r w:rsidRPr="6518DF12">
        <w:rPr>
          <w:lang w:val="en-AU"/>
        </w:rPr>
        <w:t>. It has strengthened gender-responsive workplace policies: it doubled primary carer parental leave from eight to 16 weeks from January 2025, socialised the Domestic Violence Leave Policy, and introduced paternity leave</w:t>
      </w:r>
      <w:r w:rsidRPr="6518DF12">
        <w:rPr>
          <w:rStyle w:val="FootnoteReference"/>
          <w:lang w:val="en-AU"/>
        </w:rPr>
        <w:footnoteReference w:id="37"/>
      </w:r>
      <w:r w:rsidRPr="6518DF12">
        <w:rPr>
          <w:lang w:val="en-AU"/>
        </w:rPr>
        <w:t>. Gender equality is increasingly visible in workplace culture, evident in staff survey results</w:t>
      </w:r>
      <w:r w:rsidRPr="6518DF12">
        <w:rPr>
          <w:rStyle w:val="FootnoteReference"/>
          <w:lang w:val="en-AU"/>
        </w:rPr>
        <w:footnoteReference w:id="38"/>
      </w:r>
      <w:r w:rsidRPr="6518DF12">
        <w:rPr>
          <w:lang w:val="en-AU"/>
        </w:rPr>
        <w:t xml:space="preserve"> and confirmed by consultations with ASIPS+ staff. Gender considerations are increasingly embedded in operational systems</w:t>
      </w:r>
      <w:r w:rsidRPr="6518DF12">
        <w:rPr>
          <w:rStyle w:val="FootnoteReference"/>
          <w:lang w:val="en-AU"/>
        </w:rPr>
        <w:footnoteReference w:id="39"/>
      </w:r>
      <w:r w:rsidRPr="6518DF12">
        <w:rPr>
          <w:lang w:val="en-AU"/>
        </w:rPr>
        <w:t xml:space="preserve">. </w:t>
      </w:r>
    </w:p>
    <w:p w14:paraId="5D680EB9" w14:textId="60077E4C" w:rsidR="00AE4DF5" w:rsidRDefault="00AE4DF5" w:rsidP="00AE4DF5">
      <w:pPr>
        <w:rPr>
          <w:lang w:val="en-AU"/>
        </w:rPr>
      </w:pPr>
      <w:r>
        <w:rPr>
          <w:lang w:val="en-AU"/>
        </w:rPr>
        <w:t>T</w:t>
      </w:r>
      <w:r w:rsidRPr="004F3F32">
        <w:rPr>
          <w:lang w:val="en-AU"/>
        </w:rPr>
        <w:t>he success of IO2.4 creates a case for shifting the next phase of effort from internal systems to external facing SO delivery. This does not require changing the IOs. Rather, the existing IOs should be interpreted in a more SO-facing way</w:t>
      </w:r>
      <w:r>
        <w:rPr>
          <w:lang w:val="en-AU"/>
        </w:rPr>
        <w:t xml:space="preserve"> (</w:t>
      </w:r>
      <w:r w:rsidRPr="004F3F32">
        <w:rPr>
          <w:lang w:val="en-AU"/>
        </w:rPr>
        <w:t>IO1.1 should ensure gender analysis, resourcing and indicators are built into SO design. IO1.2 should support coherent and contextually appropriate gender approaches across SOs.</w:t>
      </w:r>
      <w:r w:rsidR="00B46125">
        <w:rPr>
          <w:lang w:val="en-AU"/>
        </w:rPr>
        <w:t xml:space="preserve"> Under</w:t>
      </w:r>
      <w:r w:rsidRPr="004F3F32">
        <w:rPr>
          <w:lang w:val="en-AU"/>
        </w:rPr>
        <w:t xml:space="preserve"> IO1.3 </w:t>
      </w:r>
      <w:r w:rsidR="00B46125">
        <w:rPr>
          <w:lang w:val="en-AU"/>
        </w:rPr>
        <w:t xml:space="preserve">SOs </w:t>
      </w:r>
      <w:r w:rsidRPr="004F3F32">
        <w:rPr>
          <w:lang w:val="en-AU"/>
        </w:rPr>
        <w:t xml:space="preserve">should </w:t>
      </w:r>
      <w:r w:rsidR="00B46125">
        <w:rPr>
          <w:lang w:val="en-AU"/>
        </w:rPr>
        <w:t>capture</w:t>
      </w:r>
      <w:r w:rsidRPr="004F3F32">
        <w:rPr>
          <w:lang w:val="en-AU"/>
        </w:rPr>
        <w:t xml:space="preserve"> whether</w:t>
      </w:r>
      <w:r w:rsidR="00B16224">
        <w:rPr>
          <w:lang w:val="en-AU"/>
        </w:rPr>
        <w:t xml:space="preserve"> and how</w:t>
      </w:r>
      <w:r w:rsidRPr="004F3F32">
        <w:rPr>
          <w:lang w:val="en-AU"/>
        </w:rPr>
        <w:t xml:space="preserve"> </w:t>
      </w:r>
      <w:r w:rsidR="00B46125">
        <w:rPr>
          <w:lang w:val="en-AU"/>
        </w:rPr>
        <w:t>they</w:t>
      </w:r>
      <w:r w:rsidRPr="004F3F32">
        <w:rPr>
          <w:lang w:val="en-AU"/>
        </w:rPr>
        <w:t xml:space="preserve"> implement planned and budgeted gender actions. IO1.4 should use gender evidence, partner feedback and reflection to adapt programming. IO2.4 should continue to maintain the internal enabling environment, while increasingly supporting and modelling good practice for SO delivery</w:t>
      </w:r>
      <w:r>
        <w:rPr>
          <w:lang w:val="en-AU"/>
        </w:rPr>
        <w:t>)</w:t>
      </w:r>
      <w:r w:rsidRPr="004F3F32">
        <w:rPr>
          <w:lang w:val="en-AU"/>
        </w:rPr>
        <w:t>.</w:t>
      </w:r>
      <w:r>
        <w:rPr>
          <w:lang w:val="en-AU"/>
        </w:rPr>
        <w:t xml:space="preserve"> </w:t>
      </w:r>
      <w:r w:rsidRPr="004F3F32">
        <w:rPr>
          <w:lang w:val="en-AU"/>
        </w:rPr>
        <w:t>In practice, this means prioritising DEH and GEDSI support where SOs have clear gender risks or opportunities, where teams lack dedicated GEDSI or MEL capacity, or where gender results can be advanced through relationships with SIG</w:t>
      </w:r>
      <w:r>
        <w:rPr>
          <w:lang w:val="en-AU"/>
        </w:rPr>
        <w:t xml:space="preserve"> </w:t>
      </w:r>
      <w:r w:rsidRPr="004F3F32">
        <w:rPr>
          <w:lang w:val="en-AU"/>
        </w:rPr>
        <w:t xml:space="preserve">and local partners. </w:t>
      </w:r>
    </w:p>
    <w:p w14:paraId="7C09BEFF" w14:textId="77777777" w:rsidR="00AE4DF5" w:rsidRPr="002D212A" w:rsidRDefault="00AE4DF5" w:rsidP="00AE4DF5">
      <w:pPr>
        <w:rPr>
          <w:lang w:val="en-AU"/>
        </w:rPr>
      </w:pPr>
      <w:r w:rsidRPr="00DC1A15">
        <w:rPr>
          <w:lang w:val="en-AU"/>
        </w:rPr>
        <w:t>However, not all GEDSI indicators can yet be fully assessed. Supplier data was</w:t>
      </w:r>
      <w:r>
        <w:rPr>
          <w:lang w:val="en-AU"/>
        </w:rPr>
        <w:t xml:space="preserve"> </w:t>
      </w:r>
      <w:r w:rsidRPr="00DC1A15">
        <w:rPr>
          <w:lang w:val="en-AU"/>
        </w:rPr>
        <w:t>strengthened late in 2025 through revised questionnaires to suppliers. Finance task-code tagging for gender, safeguards and MEL expenditure was rolled out in 2026. As a result, ASIPS+ can demonstrate early systems change, but it cannot yet fully quantify GEDSI expenditure or report outcome-level gender change across all SOs.</w:t>
      </w:r>
    </w:p>
    <w:p w14:paraId="6DC35555" w14:textId="1A850B78" w:rsidR="00AE4DF5" w:rsidRPr="00290C93" w:rsidRDefault="00AE4DF5" w:rsidP="00AE4DF5">
      <w:pPr>
        <w:rPr>
          <w:lang w:val="en-AU"/>
        </w:rPr>
      </w:pPr>
      <w:r w:rsidRPr="00D41878">
        <w:rPr>
          <w:lang w:val="en-AU"/>
        </w:rPr>
        <w:t>There is credible SO-level gender evidence. The Gender Equality Support Unit (GESU; SO22) provides targeted support to the Ministry of Women, Youth, Children and Family Affairs (MWYCFA) Women’s Development Division, including work on women in leadership, Temporary Special Measures</w:t>
      </w:r>
      <w:r w:rsidRPr="00D41878">
        <w:rPr>
          <w:rStyle w:val="FootnoteReference"/>
          <w:lang w:val="en-AU"/>
        </w:rPr>
        <w:footnoteReference w:id="40"/>
      </w:r>
      <w:r w:rsidRPr="00D41878">
        <w:rPr>
          <w:lang w:val="en-AU"/>
        </w:rPr>
        <w:t xml:space="preserve">, women’s economic empowerment and SafeNet gender-based violence data systems. Consultation evidence </w:t>
      </w:r>
      <w:r w:rsidRPr="72224989">
        <w:rPr>
          <w:lang w:val="en-AU"/>
        </w:rPr>
        <w:t>indicates that the Facility model is important to GESU because procurement, finance, MEL and reporting support allow a small team to deliver work that would be difficult to sustain</w:t>
      </w:r>
      <w:r w:rsidRPr="00B95882">
        <w:rPr>
          <w:lang w:val="en-AU"/>
        </w:rPr>
        <w:t xml:space="preserve"> as a standalone program. GESU stakeholders also emphasised that the work is focused on practical outcomes, not strategies that “sit on the shelf</w:t>
      </w:r>
      <w:r w:rsidRPr="72224989">
        <w:rPr>
          <w:lang w:val="en-AU"/>
        </w:rPr>
        <w:t xml:space="preserve">”, which is consistent with the ASIPS+ emphasis on turning cross-cutting commitments into practice. </w:t>
      </w:r>
      <w:r w:rsidRPr="002D212A">
        <w:rPr>
          <w:lang w:val="en-AU"/>
        </w:rPr>
        <w:t xml:space="preserve">ASIPS+ is </w:t>
      </w:r>
      <w:r>
        <w:rPr>
          <w:lang w:val="en-AU"/>
        </w:rPr>
        <w:t xml:space="preserve">also </w:t>
      </w:r>
      <w:r w:rsidRPr="002D212A">
        <w:rPr>
          <w:lang w:val="en-AU"/>
        </w:rPr>
        <w:t>support</w:t>
      </w:r>
      <w:r>
        <w:rPr>
          <w:lang w:val="en-AU"/>
        </w:rPr>
        <w:t>ing</w:t>
      </w:r>
      <w:r w:rsidRPr="002D212A">
        <w:rPr>
          <w:lang w:val="en-AU"/>
        </w:rPr>
        <w:t xml:space="preserve"> cross-SO learning and practical gender equality action</w:t>
      </w:r>
      <w:r w:rsidRPr="72224989">
        <w:rPr>
          <w:lang w:val="en-AU"/>
        </w:rPr>
        <w:t xml:space="preserve">. </w:t>
      </w:r>
      <w:r>
        <w:t>For example, Australia Awards Solomon Islands</w:t>
      </w:r>
      <w:r w:rsidR="00B95F14">
        <w:t xml:space="preserve"> </w:t>
      </w:r>
      <w:r w:rsidRPr="72224989">
        <w:rPr>
          <w:lang w:val="en-AU"/>
        </w:rPr>
        <w:t>(</w:t>
      </w:r>
      <w:r w:rsidRPr="002D212A">
        <w:rPr>
          <w:lang w:val="en-AU"/>
        </w:rPr>
        <w:t>AASI</w:t>
      </w:r>
      <w:r w:rsidRPr="72224989">
        <w:rPr>
          <w:lang w:val="en-AU"/>
        </w:rPr>
        <w:t xml:space="preserve">, SO4), </w:t>
      </w:r>
      <w:r>
        <w:t xml:space="preserve">an ASIPS+-supported scholarships and alumni SO, developed </w:t>
      </w:r>
      <w:r>
        <w:rPr>
          <w:lang w:val="en-AU"/>
        </w:rPr>
        <w:t>a</w:t>
      </w:r>
      <w:r w:rsidRPr="002D212A">
        <w:rPr>
          <w:lang w:val="en-AU"/>
        </w:rPr>
        <w:t xml:space="preserve"> Women in Leadership approach </w:t>
      </w:r>
      <w:r w:rsidRPr="72224989">
        <w:rPr>
          <w:lang w:val="en-AU"/>
        </w:rPr>
        <w:t xml:space="preserve">that </w:t>
      </w:r>
      <w:r w:rsidRPr="002D212A">
        <w:rPr>
          <w:lang w:val="en-AU"/>
        </w:rPr>
        <w:t xml:space="preserve">informed </w:t>
      </w:r>
      <w:r>
        <w:t>the Women’s Leadership Initiative under the Solomon Islands Australia Health Partnership (</w:t>
      </w:r>
      <w:r w:rsidRPr="002D212A">
        <w:rPr>
          <w:lang w:val="en-AU"/>
        </w:rPr>
        <w:t>SIAHP</w:t>
      </w:r>
      <w:r w:rsidRPr="72224989">
        <w:rPr>
          <w:lang w:val="en-AU"/>
        </w:rPr>
        <w:t>, SO25).</w:t>
      </w:r>
    </w:p>
    <w:p w14:paraId="79AD941D" w14:textId="77777777" w:rsidR="00AE4DF5" w:rsidRDefault="00AE4DF5" w:rsidP="00C13F9E">
      <w:pPr>
        <w:pStyle w:val="Heading3"/>
      </w:pPr>
      <w:bookmarkStart w:id="30" w:name="_Toc234426740"/>
      <w:r w:rsidRPr="00B95882">
        <w:lastRenderedPageBreak/>
        <w:t>Disability equity and rights</w:t>
      </w:r>
      <w:bookmarkEnd w:id="30"/>
    </w:p>
    <w:p w14:paraId="4FCEA05A" w14:textId="77777777" w:rsidR="008F1227" w:rsidRPr="008F1227" w:rsidRDefault="008F1227" w:rsidP="008F1227">
      <w:pPr>
        <w:rPr>
          <w:lang w:val="en-AU"/>
        </w:rPr>
      </w:pPr>
      <w:r w:rsidRPr="008F1227">
        <w:rPr>
          <w:lang w:val="en-AU"/>
        </w:rPr>
        <w:t>The assessment of disability equity draws on the ASIPS+ GEDSI approach, annual reporting, SO-level examples and consultations. The GEDSI approach provides a sound framework for disability inclusion. It commits ASIPS+ to a minimum GEDSI-inclusive approach across operations and development investments, including reasonable accommodation, and applies a twin-track approach: mainstreaming disability inclusion through systems and SOs, while also supporting targeted actions where barriers are persistent. It also identifies the main barriers faced by people with disability in Solomon Islands, including attitudinal, information, physical and systemic barriers.</w:t>
      </w:r>
    </w:p>
    <w:p w14:paraId="44EA7AE1" w14:textId="18232CB9" w:rsidR="008F1227" w:rsidRPr="008F1227" w:rsidRDefault="008F1227" w:rsidP="008F1227">
      <w:pPr>
        <w:rPr>
          <w:lang w:val="en-AU"/>
        </w:rPr>
      </w:pPr>
      <w:r w:rsidRPr="008F1227">
        <w:rPr>
          <w:lang w:val="en-AU"/>
        </w:rPr>
        <w:t xml:space="preserve">ASIPS+ has begun translating this framework into practice. Disability equity is now considered through SO implementation profiling, with GEDSI specialist input triggered where complexity is higher. Practical measures include the </w:t>
      </w:r>
      <w:r w:rsidR="0097199F">
        <w:rPr>
          <w:lang w:val="en-AU"/>
        </w:rPr>
        <w:t>a</w:t>
      </w:r>
      <w:r w:rsidRPr="008F1227">
        <w:rPr>
          <w:lang w:val="en-AU"/>
        </w:rPr>
        <w:t xml:space="preserve">ccessibility </w:t>
      </w:r>
      <w:r w:rsidR="0097199F">
        <w:rPr>
          <w:lang w:val="en-AU"/>
        </w:rPr>
        <w:t>c</w:t>
      </w:r>
      <w:r w:rsidRPr="008F1227">
        <w:rPr>
          <w:lang w:val="en-AU"/>
        </w:rPr>
        <w:t xml:space="preserve">hecklist for </w:t>
      </w:r>
      <w:r w:rsidR="0097199F">
        <w:rPr>
          <w:lang w:val="en-AU"/>
        </w:rPr>
        <w:t>v</w:t>
      </w:r>
      <w:r w:rsidRPr="008F1227">
        <w:rPr>
          <w:lang w:val="en-AU"/>
        </w:rPr>
        <w:t>enues</w:t>
      </w:r>
      <w:r w:rsidR="00D960AF">
        <w:rPr>
          <w:lang w:val="en-AU"/>
        </w:rPr>
        <w:t xml:space="preserve"> and </w:t>
      </w:r>
      <w:r w:rsidRPr="008F1227">
        <w:rPr>
          <w:lang w:val="en-AU"/>
        </w:rPr>
        <w:t>accommodation</w:t>
      </w:r>
      <w:r w:rsidR="00D960AF">
        <w:rPr>
          <w:lang w:val="en-AU"/>
        </w:rPr>
        <w:t>,</w:t>
      </w:r>
      <w:r w:rsidRPr="008F1227">
        <w:rPr>
          <w:lang w:val="en-AU"/>
        </w:rPr>
        <w:t xml:space="preserve"> inclusive practice training, more accessible office arrangements, screen-reader accessible</w:t>
      </w:r>
      <w:r w:rsidR="00D960AF">
        <w:rPr>
          <w:lang w:val="en-AU"/>
        </w:rPr>
        <w:t xml:space="preserve"> </w:t>
      </w:r>
      <w:r w:rsidR="00D960AF" w:rsidRPr="008F1227">
        <w:rPr>
          <w:lang w:val="en-AU"/>
        </w:rPr>
        <w:t>supplier forms</w:t>
      </w:r>
      <w:r w:rsidRPr="008F1227">
        <w:rPr>
          <w:lang w:val="en-AU"/>
        </w:rPr>
        <w:t>, and the establishment of a Disability Internship Program, with two interns commencing six-month placements in 2026. ASIPS+ has also engaged OPDs in design processes and supported targeted disability-related activities, including a grant of AUD96,364 to the Blind and Visually Impaired People of Solomon Islands.</w:t>
      </w:r>
    </w:p>
    <w:p w14:paraId="7278EFF0" w14:textId="57F01073" w:rsidR="008F1227" w:rsidRPr="008F1227" w:rsidRDefault="008F1227" w:rsidP="008F1227">
      <w:pPr>
        <w:rPr>
          <w:lang w:val="en-AU"/>
        </w:rPr>
      </w:pPr>
      <w:r w:rsidRPr="008F1227">
        <w:rPr>
          <w:lang w:val="en-AU"/>
        </w:rPr>
        <w:t xml:space="preserve">Disability analysis is beginning to influence SO resourcing. For example, analysis under Australia Skills Award Support SO28 found that disability inclusion was not sufficiently resourced, which informed disability equity funding in SO34, the follow-on Australia Skills Award Support SO. </w:t>
      </w:r>
    </w:p>
    <w:p w14:paraId="60DDF230" w14:textId="7642A1F3" w:rsidR="008F1227" w:rsidRPr="00B95882" w:rsidRDefault="008F1227" w:rsidP="00AE4DF5">
      <w:pPr>
        <w:rPr>
          <w:lang w:val="en-AU"/>
        </w:rPr>
      </w:pPr>
      <w:r w:rsidRPr="008F1227">
        <w:rPr>
          <w:lang w:val="en-AU"/>
        </w:rPr>
        <w:t>However, implementation remains uneven. SOs do not yet consistently collect disability-disaggregated participation data, budget for reasonable accommodation such as accessible venues, interpreters, support persons, transport or accessible materials, or report whether disability inclusion actions enabled people with disability to participate in and benefit from activities. The next step is to make disability appraisal, budgeting, data collection and outcome tracking more consistent across relevant SOs through MEL, implementation profiling and learning-to-action processes.</w:t>
      </w:r>
    </w:p>
    <w:p w14:paraId="1A1BF711" w14:textId="77777777" w:rsidR="00AE4DF5" w:rsidRPr="00B95882" w:rsidRDefault="00AE4DF5" w:rsidP="00C13F9E">
      <w:pPr>
        <w:pStyle w:val="Heading3"/>
      </w:pPr>
      <w:bookmarkStart w:id="31" w:name="_Toc234426741"/>
      <w:r w:rsidRPr="00B95882">
        <w:t>Climate change integration</w:t>
      </w:r>
      <w:bookmarkEnd w:id="31"/>
    </w:p>
    <w:p w14:paraId="1AB20D0B" w14:textId="23FC2DB5" w:rsidR="008D50CF" w:rsidRDefault="00AE4DF5" w:rsidP="00AE4DF5">
      <w:pPr>
        <w:rPr>
          <w:lang w:val="en-AU"/>
        </w:rPr>
      </w:pPr>
      <w:r w:rsidRPr="3743F00D">
        <w:rPr>
          <w:lang w:val="en-AU"/>
        </w:rPr>
        <w:t xml:space="preserve">Climate change integration has moved from policy intent to </w:t>
      </w:r>
      <w:r w:rsidR="00225411">
        <w:rPr>
          <w:lang w:val="en-AU"/>
        </w:rPr>
        <w:t xml:space="preserve">early </w:t>
      </w:r>
      <w:r w:rsidRPr="3743F00D">
        <w:rPr>
          <w:lang w:val="en-AU"/>
        </w:rPr>
        <w:t>practice</w:t>
      </w:r>
      <w:r w:rsidR="001B0F59">
        <w:rPr>
          <w:lang w:val="en-AU"/>
        </w:rPr>
        <w:t xml:space="preserve"> and </w:t>
      </w:r>
      <w:r w:rsidR="002C646C">
        <w:rPr>
          <w:lang w:val="en-AU"/>
        </w:rPr>
        <w:t>ASIPS+ is</w:t>
      </w:r>
      <w:r w:rsidR="004717F4">
        <w:rPr>
          <w:lang w:val="en-AU"/>
        </w:rPr>
        <w:t xml:space="preserve"> incorporating </w:t>
      </w:r>
      <w:r w:rsidRPr="003D32FD">
        <w:rPr>
          <w:lang w:val="en-AU"/>
        </w:rPr>
        <w:t xml:space="preserve">climate screening and adaptation planning </w:t>
      </w:r>
      <w:r>
        <w:rPr>
          <w:lang w:val="en-AU"/>
        </w:rPr>
        <w:t xml:space="preserve">as a </w:t>
      </w:r>
      <w:r w:rsidRPr="003D32FD">
        <w:rPr>
          <w:lang w:val="en-AU"/>
        </w:rPr>
        <w:t xml:space="preserve">part of SO development and management. </w:t>
      </w:r>
      <w:r w:rsidR="00195560">
        <w:rPr>
          <w:lang w:val="en-AU"/>
        </w:rPr>
        <w:t xml:space="preserve">The facility </w:t>
      </w:r>
      <w:r w:rsidR="0032137F" w:rsidRPr="3743F00D">
        <w:rPr>
          <w:lang w:val="en-AU"/>
        </w:rPr>
        <w:t xml:space="preserve">has </w:t>
      </w:r>
      <w:r w:rsidR="0032137F">
        <w:rPr>
          <w:lang w:val="en-AU"/>
        </w:rPr>
        <w:t>developed</w:t>
      </w:r>
      <w:r w:rsidR="0032137F" w:rsidRPr="3743F00D">
        <w:rPr>
          <w:lang w:val="en-AU"/>
        </w:rPr>
        <w:t xml:space="preserve"> an integrated climate approach, </w:t>
      </w:r>
      <w:r w:rsidR="0032137F">
        <w:rPr>
          <w:lang w:val="en-AU"/>
        </w:rPr>
        <w:t>included</w:t>
      </w:r>
      <w:r w:rsidR="0032137F" w:rsidRPr="3743F00D">
        <w:rPr>
          <w:lang w:val="en-AU"/>
        </w:rPr>
        <w:t xml:space="preserve"> climate and disaster risks </w:t>
      </w:r>
      <w:r w:rsidR="0032137F">
        <w:rPr>
          <w:lang w:val="en-AU"/>
        </w:rPr>
        <w:t>in</w:t>
      </w:r>
      <w:r w:rsidR="0032137F" w:rsidRPr="3743F00D">
        <w:rPr>
          <w:lang w:val="en-AU"/>
        </w:rPr>
        <w:t xml:space="preserve"> </w:t>
      </w:r>
      <w:r w:rsidR="0032137F">
        <w:rPr>
          <w:lang w:val="en-AU"/>
        </w:rPr>
        <w:t>f</w:t>
      </w:r>
      <w:r w:rsidR="0032137F" w:rsidRPr="3743F00D">
        <w:rPr>
          <w:lang w:val="en-AU"/>
        </w:rPr>
        <w:t>acility risk processes</w:t>
      </w:r>
      <w:r w:rsidR="0032137F">
        <w:rPr>
          <w:rStyle w:val="FootnoteReference"/>
          <w:lang w:val="en-AU"/>
        </w:rPr>
        <w:footnoteReference w:id="41"/>
      </w:r>
      <w:r w:rsidR="0032137F" w:rsidRPr="3743F00D">
        <w:rPr>
          <w:lang w:val="en-AU"/>
        </w:rPr>
        <w:t xml:space="preserve">, developed provincial climate profiles, </w:t>
      </w:r>
      <w:r w:rsidR="0032137F">
        <w:rPr>
          <w:lang w:val="en-AU"/>
        </w:rPr>
        <w:t xml:space="preserve">and </w:t>
      </w:r>
      <w:r w:rsidR="0032137F" w:rsidRPr="00E53B8D">
        <w:rPr>
          <w:lang w:val="en-AU"/>
        </w:rPr>
        <w:t>climate tools</w:t>
      </w:r>
      <w:r w:rsidR="0032137F">
        <w:rPr>
          <w:lang w:val="en-AU"/>
        </w:rPr>
        <w:t xml:space="preserve"> that </w:t>
      </w:r>
      <w:r w:rsidR="0032137F" w:rsidRPr="00E53B8D">
        <w:rPr>
          <w:lang w:val="en-AU"/>
        </w:rPr>
        <w:t>help standardise climate analysis and make it easier for SO teams to consider climate risks at design stage</w:t>
      </w:r>
      <w:r w:rsidR="0032137F">
        <w:rPr>
          <w:rStyle w:val="FootnoteReference"/>
          <w:lang w:val="en-AU"/>
        </w:rPr>
        <w:footnoteReference w:id="42"/>
      </w:r>
      <w:r w:rsidR="0032137F" w:rsidRPr="00E53B8D">
        <w:rPr>
          <w:lang w:val="en-AU"/>
        </w:rPr>
        <w:t>.</w:t>
      </w:r>
      <w:r w:rsidR="0032137F">
        <w:rPr>
          <w:lang w:val="en-AU"/>
        </w:rPr>
        <w:t xml:space="preserve"> </w:t>
      </w:r>
      <w:r w:rsidR="0032137F" w:rsidRPr="00E53B8D">
        <w:rPr>
          <w:lang w:val="en-AU"/>
        </w:rPr>
        <w:t>Climate considerations are increasingly visible in SO design and delivery. SO24 SET</w:t>
      </w:r>
      <w:r w:rsidR="0032137F">
        <w:rPr>
          <w:lang w:val="en-AU"/>
        </w:rPr>
        <w:t xml:space="preserve"> and</w:t>
      </w:r>
      <w:r w:rsidR="0032137F" w:rsidRPr="00E53B8D">
        <w:rPr>
          <w:lang w:val="en-AU"/>
        </w:rPr>
        <w:t xml:space="preserve"> SO25 SIAHP incorporated climate considerations from the outset. SIAHP developed a Climate Adaptation Strategy with DEH support. SO19 supported the Ministry of Environment, Climate Change, Disaster Management and Meteorology, while SO17 supported Solomon Islands Climate Action Network participation in the November 2025 UN Climate Change Conference in Brazil.</w:t>
      </w:r>
    </w:p>
    <w:p w14:paraId="1624B6A1" w14:textId="43EEE526" w:rsidR="000C5112" w:rsidRDefault="000C5112" w:rsidP="00AE4DF5">
      <w:pPr>
        <w:rPr>
          <w:lang w:val="en-AU"/>
        </w:rPr>
      </w:pPr>
      <w:r w:rsidRPr="7586AA38">
        <w:rPr>
          <w:lang w:val="en-AU"/>
        </w:rPr>
        <w:t xml:space="preserve">Australia's International Development Policy </w:t>
      </w:r>
      <w:r>
        <w:rPr>
          <w:lang w:val="en-AU"/>
        </w:rPr>
        <w:t xml:space="preserve">recognises climate change </w:t>
      </w:r>
      <w:r w:rsidRPr="7586AA38">
        <w:rPr>
          <w:lang w:val="en-AU"/>
        </w:rPr>
        <w:t>as a primary concern for Indo</w:t>
      </w:r>
      <w:r>
        <w:noBreakHyphen/>
      </w:r>
      <w:r w:rsidRPr="7586AA38">
        <w:rPr>
          <w:lang w:val="en-AU"/>
        </w:rPr>
        <w:t>Pacific partners, and the single greatest threat to the livelihoods, security and well</w:t>
      </w:r>
      <w:r>
        <w:t>b</w:t>
      </w:r>
      <w:r w:rsidRPr="7586AA38">
        <w:rPr>
          <w:lang w:val="en-AU"/>
        </w:rPr>
        <w:t>eing of Pacific peoples</w:t>
      </w:r>
      <w:r>
        <w:rPr>
          <w:lang w:val="en-AU"/>
        </w:rPr>
        <w:t xml:space="preserve">. </w:t>
      </w:r>
      <w:r w:rsidRPr="7586AA38">
        <w:rPr>
          <w:lang w:val="en-AU"/>
        </w:rPr>
        <w:t xml:space="preserve">ASIPS+ is </w:t>
      </w:r>
      <w:r>
        <w:rPr>
          <w:lang w:val="en-AU"/>
        </w:rPr>
        <w:t>on track to reflect</w:t>
      </w:r>
      <w:r w:rsidRPr="7586AA38">
        <w:rPr>
          <w:lang w:val="en-AU"/>
        </w:rPr>
        <w:t xml:space="preserve"> </w:t>
      </w:r>
      <w:r>
        <w:rPr>
          <w:lang w:val="en-AU"/>
        </w:rPr>
        <w:t xml:space="preserve">this prioritisation. </w:t>
      </w:r>
      <w:r w:rsidRPr="7586AA38">
        <w:rPr>
          <w:lang w:val="en-AU"/>
        </w:rPr>
        <w:t>However</w:t>
      </w:r>
      <w:r>
        <w:rPr>
          <w:lang w:val="en-AU"/>
        </w:rPr>
        <w:t xml:space="preserve">, </w:t>
      </w:r>
      <w:r w:rsidRPr="7586AA38">
        <w:rPr>
          <w:lang w:val="en-AU"/>
        </w:rPr>
        <w:t xml:space="preserve">climate change is a new area of coordinated </w:t>
      </w:r>
      <w:r>
        <w:rPr>
          <w:lang w:val="en-AU"/>
        </w:rPr>
        <w:t>f</w:t>
      </w:r>
      <w:r w:rsidRPr="7586AA38">
        <w:rPr>
          <w:lang w:val="en-AU"/>
        </w:rPr>
        <w:t xml:space="preserve">acility practice, and SIG capacity is still developing. Implementation and </w:t>
      </w:r>
      <w:r>
        <w:rPr>
          <w:lang w:val="en-AU"/>
        </w:rPr>
        <w:t>e</w:t>
      </w:r>
      <w:r w:rsidRPr="7586AA38">
        <w:rPr>
          <w:lang w:val="en-AU"/>
        </w:rPr>
        <w:t>xpectations need to be phased and realistic.</w:t>
      </w:r>
      <w:r>
        <w:rPr>
          <w:lang w:val="en-AU"/>
        </w:rPr>
        <w:t xml:space="preserve"> </w:t>
      </w:r>
      <w:r w:rsidR="00E164AB" w:rsidRPr="00E164AB">
        <w:rPr>
          <w:lang w:val="en-AU"/>
        </w:rPr>
        <w:t>For the remainder of Phase 1, the facility should maintain and periodically validate the existing arrangements. Future climate-relevant or higher-complexity SOs should be used to assess whether profiling, specialist support, resourcing, adaptation measures and MEL arrangements operate as intended.</w:t>
      </w:r>
    </w:p>
    <w:p w14:paraId="4833D32D" w14:textId="1054923B" w:rsidR="00AE4DF5" w:rsidRPr="00E22F83" w:rsidRDefault="00AE4DF5" w:rsidP="00C13F9E">
      <w:pPr>
        <w:pStyle w:val="Heading3"/>
      </w:pPr>
      <w:bookmarkStart w:id="32" w:name="_Toc234426742"/>
      <w:proofErr w:type="gramStart"/>
      <w:r w:rsidRPr="00E22F83">
        <w:t>Locally</w:t>
      </w:r>
      <w:r w:rsidR="000215F3">
        <w:t>-</w:t>
      </w:r>
      <w:r w:rsidRPr="00E22F83">
        <w:t>led</w:t>
      </w:r>
      <w:proofErr w:type="gramEnd"/>
      <w:r w:rsidRPr="00E22F83">
        <w:t xml:space="preserve"> development</w:t>
      </w:r>
      <w:bookmarkEnd w:id="32"/>
    </w:p>
    <w:p w14:paraId="07394782" w14:textId="4128019C" w:rsidR="00AE4DF5" w:rsidRPr="00127B5A" w:rsidRDefault="00AE4DF5" w:rsidP="00AE4DF5">
      <w:pPr>
        <w:rPr>
          <w:lang w:val="en-AU"/>
        </w:rPr>
      </w:pPr>
      <w:r w:rsidRPr="6518DF12">
        <w:rPr>
          <w:lang w:val="en-AU"/>
        </w:rPr>
        <w:t>Locally led development has seen distinct progress. ASIPS+ has embedded localisation through national staffing, local procurement, supplier engagement, Pi</w:t>
      </w:r>
      <w:r w:rsidR="0052139D">
        <w:rPr>
          <w:lang w:val="en-AU"/>
        </w:rPr>
        <w:t>dji</w:t>
      </w:r>
      <w:r w:rsidRPr="6518DF12">
        <w:rPr>
          <w:lang w:val="en-AU"/>
        </w:rPr>
        <w:t xml:space="preserve">n language materials, cultural induction, local candidate pools, Solomon Islander-led coordination mechanisms and support to local partners. ASIPS+’s Localisation Strategy identifies four focus areas (management and culture, technical assistance and recruitment, procurement of goods and services, and grant-making and grant management) for operationalising locally led development. </w:t>
      </w:r>
    </w:p>
    <w:p w14:paraId="3B78F7C1" w14:textId="27680C60" w:rsidR="00AE4DF5" w:rsidRPr="00127B5A" w:rsidRDefault="00AE4DF5" w:rsidP="00AE4DF5">
      <w:pPr>
        <w:rPr>
          <w:lang w:val="en-AU"/>
        </w:rPr>
      </w:pPr>
      <w:r>
        <w:rPr>
          <w:lang w:val="en-AU"/>
        </w:rPr>
        <w:t xml:space="preserve">There is </w:t>
      </w:r>
      <w:r w:rsidRPr="00127B5A">
        <w:rPr>
          <w:lang w:val="en-AU"/>
        </w:rPr>
        <w:t>strong evidence of local staffing and leadership</w:t>
      </w:r>
      <w:r>
        <w:rPr>
          <w:rStyle w:val="FootnoteReference"/>
          <w:lang w:val="en-AU"/>
        </w:rPr>
        <w:footnoteReference w:id="43"/>
      </w:r>
      <w:r>
        <w:rPr>
          <w:lang w:val="en-AU"/>
        </w:rPr>
        <w:t xml:space="preserve"> </w:t>
      </w:r>
      <w:r w:rsidRPr="00127B5A">
        <w:rPr>
          <w:lang w:val="en-AU"/>
        </w:rPr>
        <w:t xml:space="preserve">and recruitment processes </w:t>
      </w:r>
      <w:r w:rsidRPr="003D32FD">
        <w:rPr>
          <w:lang w:val="en-AU"/>
        </w:rPr>
        <w:t>actively prioritis</w:t>
      </w:r>
      <w:r>
        <w:rPr>
          <w:lang w:val="en-AU"/>
        </w:rPr>
        <w:t xml:space="preserve">ed </w:t>
      </w:r>
      <w:r w:rsidRPr="00127B5A">
        <w:rPr>
          <w:lang w:val="en-AU"/>
        </w:rPr>
        <w:t xml:space="preserve">Solomon Islander candidates </w:t>
      </w:r>
      <w:r>
        <w:rPr>
          <w:lang w:val="en-AU"/>
        </w:rPr>
        <w:t xml:space="preserve">and local expertise </w:t>
      </w:r>
      <w:r w:rsidRPr="003D32FD">
        <w:rPr>
          <w:lang w:val="en-AU"/>
        </w:rPr>
        <w:t xml:space="preserve">wherever this </w:t>
      </w:r>
      <w:r>
        <w:rPr>
          <w:lang w:val="en-AU"/>
        </w:rPr>
        <w:t xml:space="preserve">was </w:t>
      </w:r>
      <w:r w:rsidRPr="003D32FD">
        <w:rPr>
          <w:lang w:val="en-AU"/>
        </w:rPr>
        <w:t>appropriate to the role and available in the market.</w:t>
      </w:r>
    </w:p>
    <w:p w14:paraId="2AC5836D" w14:textId="2B12AD12" w:rsidR="00AE4DF5" w:rsidRPr="00127B5A" w:rsidRDefault="00AE4DF5" w:rsidP="00AE4DF5">
      <w:pPr>
        <w:rPr>
          <w:lang w:val="en-AU"/>
        </w:rPr>
      </w:pPr>
      <w:r w:rsidRPr="00127B5A">
        <w:rPr>
          <w:lang w:val="en-AU"/>
        </w:rPr>
        <w:t>ASIPS+ has strengthened local ownership through internal governance and peer learning. A Solomon Islander-led Locally Led Development Committee became the central driver of the localisation approach. The Program Managers Peer Group was established to support peer learning, problem-solving and ownership among program managers, particularly for smaller SOs. Ten “</w:t>
      </w:r>
      <w:r w:rsidR="0052139D" w:rsidRPr="00127B5A">
        <w:rPr>
          <w:lang w:val="en-AU"/>
        </w:rPr>
        <w:t>Information</w:t>
      </w:r>
      <w:r w:rsidRPr="00127B5A">
        <w:rPr>
          <w:lang w:val="en-AU"/>
        </w:rPr>
        <w:t xml:space="preserve">” sessions were delivered for locally engaged staff, </w:t>
      </w:r>
      <w:r w:rsidRPr="00127B5A">
        <w:rPr>
          <w:lang w:val="en-AU"/>
        </w:rPr>
        <w:lastRenderedPageBreak/>
        <w:t>largely in Solomon Islands Pi</w:t>
      </w:r>
      <w:r w:rsidR="0052139D">
        <w:rPr>
          <w:lang w:val="en-AU"/>
        </w:rPr>
        <w:t>dji</w:t>
      </w:r>
      <w:r w:rsidRPr="00127B5A">
        <w:rPr>
          <w:lang w:val="en-AU"/>
        </w:rPr>
        <w:t xml:space="preserve">n, on topics including cross-cutting issues, writing effective emails, unconscious bias and Excel. </w:t>
      </w:r>
    </w:p>
    <w:p w14:paraId="764FBE0B" w14:textId="5DAF8A40" w:rsidR="00AE4DF5" w:rsidRPr="00127B5A" w:rsidRDefault="00AE4DF5" w:rsidP="00AE4DF5">
      <w:pPr>
        <w:rPr>
          <w:lang w:val="en-AU"/>
        </w:rPr>
      </w:pPr>
      <w:r w:rsidRPr="00127B5A">
        <w:rPr>
          <w:lang w:val="en-AU"/>
        </w:rPr>
        <w:t>Procurement is a major area of locally led development progress</w:t>
      </w:r>
      <w:r w:rsidRPr="46C31772">
        <w:rPr>
          <w:lang w:val="en-AU"/>
        </w:rPr>
        <w:t>. A majority of procurements are sourced from Solomon Islands businesses</w:t>
      </w:r>
      <w:r w:rsidRPr="46C31772">
        <w:rPr>
          <w:rStyle w:val="FootnoteReference"/>
          <w:lang w:val="en-AU"/>
        </w:rPr>
        <w:footnoteReference w:id="44"/>
      </w:r>
      <w:r w:rsidRPr="46C31772">
        <w:rPr>
          <w:lang w:val="en-AU"/>
        </w:rPr>
        <w:t xml:space="preserve"> and supplier questionnaires are updated to capture businesses owned, led or employing women and people with disabilities to improve evidence on inclusive local procurement from 2026. ASIPS+ is also helping local partners meet DFAT requirements. Finance and procurement teams have delivered training and templates to strengthen partner systems, reporting, acquittals, safeguarding and compliance</w:t>
      </w:r>
      <w:r w:rsidRPr="46C31772">
        <w:rPr>
          <w:rStyle w:val="FootnoteReference"/>
          <w:lang w:val="en-AU"/>
        </w:rPr>
        <w:footnoteReference w:id="45"/>
      </w:r>
      <w:r w:rsidRPr="46C31772">
        <w:rPr>
          <w:lang w:val="en-AU"/>
        </w:rPr>
        <w:t xml:space="preserve">. </w:t>
      </w:r>
    </w:p>
    <w:p w14:paraId="6C3A96D7" w14:textId="77777777" w:rsidR="00AE4DF5" w:rsidRPr="00127B5A" w:rsidRDefault="00AE4DF5" w:rsidP="00AE4DF5">
      <w:r w:rsidRPr="00127B5A">
        <w:rPr>
          <w:lang w:val="en-AU"/>
        </w:rPr>
        <w:t>There are strong SO-level examples</w:t>
      </w:r>
      <w:r>
        <w:rPr>
          <w:rStyle w:val="FootnoteReference"/>
          <w:lang w:val="en-AU"/>
        </w:rPr>
        <w:footnoteReference w:id="46"/>
      </w:r>
      <w:r>
        <w:rPr>
          <w:lang w:val="en-AU"/>
        </w:rPr>
        <w:t xml:space="preserve"> which </w:t>
      </w:r>
      <w:r w:rsidRPr="00127B5A">
        <w:rPr>
          <w:lang w:val="en-AU"/>
        </w:rPr>
        <w:t>show that locally led development is moving beyond staffing to partner systems, provincial engagement and local institutional capacity.</w:t>
      </w:r>
    </w:p>
    <w:p w14:paraId="1EB9B736" w14:textId="77777777" w:rsidR="00AE4DF5" w:rsidRDefault="00AE4DF5" w:rsidP="00AE4DF5">
      <w:r w:rsidRPr="46C31772">
        <w:rPr>
          <w:lang w:val="en-AU"/>
        </w:rPr>
        <w:t>Positive SIG feedback about improved responsiveness, particularly in the education and health sectors, highlighted elsewhere, also points to a commitment to deepen localisation.</w:t>
      </w:r>
    </w:p>
    <w:p w14:paraId="55B644E5" w14:textId="77777777" w:rsidR="00AE4DF5" w:rsidRDefault="00AE4DF5" w:rsidP="00C13F9E">
      <w:pPr>
        <w:pStyle w:val="Heading3"/>
      </w:pPr>
      <w:bookmarkStart w:id="33" w:name="_Toc234426743"/>
      <w:r w:rsidRPr="00E22F83">
        <w:t>First Nations engagement</w:t>
      </w:r>
      <w:bookmarkEnd w:id="33"/>
    </w:p>
    <w:p w14:paraId="4C7DDA76" w14:textId="77777777" w:rsidR="00AE4DF5" w:rsidRPr="00297E4A" w:rsidRDefault="00AE4DF5" w:rsidP="00AE4DF5">
      <w:pPr>
        <w:rPr>
          <w:lang w:val="en-AU"/>
        </w:rPr>
      </w:pPr>
      <w:r w:rsidRPr="00297E4A">
        <w:rPr>
          <w:lang w:val="en-AU"/>
        </w:rPr>
        <w:t xml:space="preserve">First Nations engagement is at an early stage but has moved beyond strategy development. ASIPS+ has positioned a First Nations Engagement Approach within the integrated quality programming architecture. The approach recognises that this is a new cross-cutting issue for ASIPS+ and that it requires specialist advice to guide implementation. </w:t>
      </w:r>
    </w:p>
    <w:p w14:paraId="1332AF78" w14:textId="68E5BAA8" w:rsidR="00AE4DF5" w:rsidRDefault="00AE4DF5" w:rsidP="00AE4DF5">
      <w:pPr>
        <w:rPr>
          <w:lang w:val="en-AU"/>
        </w:rPr>
      </w:pPr>
      <w:r w:rsidRPr="00297E4A">
        <w:rPr>
          <w:lang w:val="en-AU"/>
        </w:rPr>
        <w:t xml:space="preserve">In 2025, ASIPS+ engaged a First Nations </w:t>
      </w:r>
      <w:r w:rsidRPr="00F75A26">
        <w:rPr>
          <w:color w:val="auto"/>
          <w:lang w:val="en-AU"/>
        </w:rPr>
        <w:t xml:space="preserve">Engagement Adviser to build staff capability in culturally grounded practice, culturally safe engagement, relationship-based ways of working, and the relevance of First Nations perspectives to development programming. This support helped deepen understanding </w:t>
      </w:r>
      <w:r w:rsidRPr="00F75A26">
        <w:rPr>
          <w:color w:val="auto"/>
        </w:rPr>
        <w:t>across Facility leadership, managers, locally engaged staff, international personnel and program staff</w:t>
      </w:r>
      <w:r>
        <w:rPr>
          <w:rStyle w:val="FootnoteReference"/>
          <w:lang w:val="en-AU"/>
        </w:rPr>
        <w:footnoteReference w:id="47"/>
      </w:r>
      <w:r w:rsidRPr="00297E4A">
        <w:rPr>
          <w:lang w:val="en-AU"/>
        </w:rPr>
        <w:t xml:space="preserve">. </w:t>
      </w:r>
    </w:p>
    <w:p w14:paraId="1A8256D4" w14:textId="77777777" w:rsidR="00AE4DF5" w:rsidRPr="00297E4A" w:rsidRDefault="00AE4DF5" w:rsidP="00AE4DF5">
      <w:pPr>
        <w:rPr>
          <w:lang w:val="en-AU"/>
        </w:rPr>
      </w:pPr>
      <w:r w:rsidRPr="00297E4A">
        <w:rPr>
          <w:lang w:val="en-AU"/>
        </w:rPr>
        <w:t xml:space="preserve">The First Nations approach is being connected to locally led development. The Adviser worked with the Locally Led Development Committee to support implementation of the Locally Led Development Strategy and align First Nations principles with Solomon Islands ways of working. This is a sensible entry point because it avoids treating First Nations engagement as an abstract compliance issue and instead links it to cultural safety, trust, power-sharing and local ownership. </w:t>
      </w:r>
    </w:p>
    <w:p w14:paraId="1549BA64" w14:textId="77777777" w:rsidR="00AE4DF5" w:rsidRDefault="00AE4DF5" w:rsidP="00AE4DF5">
      <w:pPr>
        <w:rPr>
          <w:lang w:val="en-AU"/>
        </w:rPr>
      </w:pPr>
      <w:r w:rsidRPr="00297E4A">
        <w:rPr>
          <w:lang w:val="en-AU"/>
        </w:rPr>
        <w:t xml:space="preserve">There are SO-level examples. SO04, Australia Awards, embedded First Nations perspectives in pre-departure briefings, short courses, Indigenous learning frameworks, community-based fisheries modules, culturally responsive evaluation approaches and First Nations cultural immersion tours. ESSP engaged Wirrim Media, a First Nations media production company, to produce teacher professional development video content for MEHRD. This supported culturally relevant engagement and positive representation in the development of materials for Solomon Islands teachers. </w:t>
      </w:r>
    </w:p>
    <w:p w14:paraId="48804AB8" w14:textId="77777777" w:rsidR="00AE4DF5" w:rsidRPr="00E22F83" w:rsidRDefault="00AE4DF5" w:rsidP="00C13F9E">
      <w:pPr>
        <w:pStyle w:val="Heading3"/>
      </w:pPr>
      <w:bookmarkStart w:id="34" w:name="_Toc234426744"/>
      <w:r w:rsidRPr="00E22F83">
        <w:t>Safeguarding</w:t>
      </w:r>
      <w:bookmarkEnd w:id="34"/>
    </w:p>
    <w:p w14:paraId="7CBF5E1D" w14:textId="23E8D52C" w:rsidR="00AE4DF5" w:rsidRPr="00297E4A" w:rsidRDefault="00AE4DF5" w:rsidP="00AE4DF5">
      <w:pPr>
        <w:rPr>
          <w:lang w:val="en-AU"/>
        </w:rPr>
      </w:pPr>
      <w:r w:rsidRPr="00297E4A">
        <w:rPr>
          <w:lang w:val="en-AU"/>
        </w:rPr>
        <w:t>Safeguarding is a major strength of ASIPS+. The Facility has translated safeguarding requirements into systems, risk screening, partner training, Pi</w:t>
      </w:r>
      <w:r w:rsidR="0052139D">
        <w:rPr>
          <w:lang w:val="en-AU"/>
        </w:rPr>
        <w:t>dji</w:t>
      </w:r>
      <w:r w:rsidRPr="00297E4A">
        <w:rPr>
          <w:lang w:val="en-AU"/>
        </w:rPr>
        <w:t xml:space="preserve">n-language tools, focal point support, security training and practical behaviour-change approaches. </w:t>
      </w:r>
    </w:p>
    <w:p w14:paraId="548A869B" w14:textId="77777777" w:rsidR="00AE4DF5" w:rsidRDefault="00AE4DF5" w:rsidP="00AE4DF5">
      <w:pPr>
        <w:rPr>
          <w:lang w:val="en-AU"/>
        </w:rPr>
      </w:pPr>
      <w:r w:rsidRPr="00297E4A">
        <w:rPr>
          <w:lang w:val="en-AU"/>
        </w:rPr>
        <w:t xml:space="preserve">The Safeguarding Approach defines safeguarding as the organisational commitment to protect people, the environment and assets. </w:t>
      </w:r>
      <w:r>
        <w:rPr>
          <w:lang w:val="en-AU"/>
        </w:rPr>
        <w:t>It</w:t>
      </w:r>
      <w:r w:rsidRPr="00297E4A">
        <w:rPr>
          <w:lang w:val="en-AU"/>
        </w:rPr>
        <w:t xml:space="preserve"> is risk-based, proportionate, survivor-centred and grounded in the Solomon Islands context, where high rates of violence, low reporting, power imbalances and partner capacity constraints increase safeguarding risk. </w:t>
      </w:r>
    </w:p>
    <w:p w14:paraId="615ABCC0" w14:textId="77777777" w:rsidR="00AE4DF5" w:rsidRDefault="00AE4DF5" w:rsidP="00AE4DF5">
      <w:pPr>
        <w:rPr>
          <w:lang w:val="en-AU"/>
        </w:rPr>
      </w:pPr>
      <w:r w:rsidRPr="00297E4A">
        <w:rPr>
          <w:lang w:val="en-AU"/>
        </w:rPr>
        <w:t>ASIPS+ has adapted safeguarding materials for the local context</w:t>
      </w:r>
      <w:r>
        <w:rPr>
          <w:rStyle w:val="FootnoteReference"/>
          <w:lang w:val="en-AU"/>
        </w:rPr>
        <w:footnoteReference w:id="48"/>
      </w:r>
      <w:r>
        <w:rPr>
          <w:lang w:val="en-AU"/>
        </w:rPr>
        <w:t xml:space="preserve"> and </w:t>
      </w:r>
      <w:r w:rsidRPr="00297E4A">
        <w:rPr>
          <w:lang w:val="en-AU"/>
        </w:rPr>
        <w:t>has built a strong internal safeguarding network</w:t>
      </w:r>
      <w:r>
        <w:rPr>
          <w:lang w:val="en-AU"/>
        </w:rPr>
        <w:t xml:space="preserve"> with </w:t>
      </w:r>
      <w:r w:rsidRPr="00297E4A">
        <w:rPr>
          <w:lang w:val="en-AU"/>
        </w:rPr>
        <w:t xml:space="preserve">seven </w:t>
      </w:r>
      <w:r>
        <w:rPr>
          <w:lang w:val="en-AU"/>
        </w:rPr>
        <w:t xml:space="preserve">“safeguardians” who </w:t>
      </w:r>
      <w:r w:rsidRPr="00297E4A">
        <w:rPr>
          <w:lang w:val="en-AU"/>
        </w:rPr>
        <w:t>provide first-line support, deliver training, support partners and help drive consistent practice</w:t>
      </w:r>
      <w:r>
        <w:rPr>
          <w:rStyle w:val="FootnoteReference"/>
          <w:lang w:val="en-AU"/>
        </w:rPr>
        <w:footnoteReference w:id="49"/>
      </w:r>
      <w:r w:rsidRPr="00297E4A">
        <w:rPr>
          <w:lang w:val="en-AU"/>
        </w:rPr>
        <w:t>. Partner safeguarding capacity has also improved</w:t>
      </w:r>
      <w:r>
        <w:rPr>
          <w:lang w:val="en-AU"/>
        </w:rPr>
        <w:t xml:space="preserve"> through </w:t>
      </w:r>
      <w:r w:rsidRPr="00297E4A">
        <w:rPr>
          <w:lang w:val="en-AU"/>
        </w:rPr>
        <w:t xml:space="preserve">dedicated partner safeguarding </w:t>
      </w:r>
      <w:r>
        <w:rPr>
          <w:lang w:val="en-AU"/>
        </w:rPr>
        <w:t xml:space="preserve">capability-strengthening </w:t>
      </w:r>
      <w:r w:rsidRPr="00297E4A">
        <w:rPr>
          <w:lang w:val="en-AU"/>
        </w:rPr>
        <w:t>sessions</w:t>
      </w:r>
      <w:r>
        <w:rPr>
          <w:rStyle w:val="FootnoteReference"/>
          <w:lang w:val="en-AU"/>
        </w:rPr>
        <w:footnoteReference w:id="50"/>
      </w:r>
      <w:r>
        <w:rPr>
          <w:lang w:val="en-AU"/>
        </w:rPr>
        <w:t xml:space="preserve">. </w:t>
      </w:r>
    </w:p>
    <w:p w14:paraId="710806C9" w14:textId="15EC766C" w:rsidR="00AE4DF5" w:rsidRPr="00297E4A" w:rsidRDefault="00AE4DF5" w:rsidP="00AE4DF5">
      <w:pPr>
        <w:rPr>
          <w:lang w:val="en-AU"/>
        </w:rPr>
      </w:pPr>
      <w:r>
        <w:rPr>
          <w:lang w:val="en-AU"/>
        </w:rPr>
        <w:lastRenderedPageBreak/>
        <w:t>S</w:t>
      </w:r>
      <w:r w:rsidRPr="00297E4A">
        <w:rPr>
          <w:lang w:val="en-AU"/>
        </w:rPr>
        <w:t xml:space="preserve">afeguarding is being applied at SO level, not only at </w:t>
      </w:r>
      <w:r>
        <w:rPr>
          <w:lang w:val="en-AU"/>
        </w:rPr>
        <w:t>f</w:t>
      </w:r>
      <w:r w:rsidRPr="00297E4A">
        <w:rPr>
          <w:lang w:val="en-AU"/>
        </w:rPr>
        <w:t>acility level</w:t>
      </w:r>
      <w:r>
        <w:rPr>
          <w:rStyle w:val="FootnoteReference"/>
          <w:lang w:val="en-AU"/>
        </w:rPr>
        <w:footnoteReference w:id="51"/>
      </w:r>
      <w:r w:rsidRPr="00297E4A">
        <w:rPr>
          <w:lang w:val="en-AU"/>
        </w:rPr>
        <w:t xml:space="preserve">. Security operations </w:t>
      </w:r>
      <w:r>
        <w:rPr>
          <w:lang w:val="en-AU"/>
        </w:rPr>
        <w:t>are</w:t>
      </w:r>
      <w:r w:rsidRPr="00297E4A">
        <w:rPr>
          <w:lang w:val="en-AU"/>
        </w:rPr>
        <w:t xml:space="preserve"> a</w:t>
      </w:r>
      <w:r>
        <w:rPr>
          <w:lang w:val="en-AU"/>
        </w:rPr>
        <w:t>n</w:t>
      </w:r>
      <w:r w:rsidRPr="00297E4A">
        <w:rPr>
          <w:lang w:val="en-AU"/>
        </w:rPr>
        <w:t xml:space="preserve"> example of safeguarding integration</w:t>
      </w:r>
      <w:r>
        <w:rPr>
          <w:lang w:val="en-AU"/>
        </w:rPr>
        <w:t xml:space="preserve"> as </w:t>
      </w:r>
      <w:r w:rsidRPr="00297E4A">
        <w:rPr>
          <w:lang w:val="en-AU"/>
        </w:rPr>
        <w:t>ASIPS+ us</w:t>
      </w:r>
      <w:r>
        <w:rPr>
          <w:lang w:val="en-AU"/>
        </w:rPr>
        <w:t>ed</w:t>
      </w:r>
      <w:r w:rsidRPr="00297E4A">
        <w:rPr>
          <w:lang w:val="en-AU"/>
        </w:rPr>
        <w:t xml:space="preserve"> its operational footprint to raise safeguarding standards in the local security market</w:t>
      </w:r>
      <w:r>
        <w:rPr>
          <w:rStyle w:val="FootnoteReference"/>
          <w:lang w:val="en-AU"/>
        </w:rPr>
        <w:footnoteReference w:id="52"/>
      </w:r>
    </w:p>
    <w:p w14:paraId="294A01F7" w14:textId="5036B80A" w:rsidR="00AE4DF5" w:rsidRPr="00AE4DF5" w:rsidRDefault="00AE4DF5" w:rsidP="00AE4DF5">
      <w:pPr>
        <w:rPr>
          <w:lang w:val="en-AU"/>
        </w:rPr>
      </w:pPr>
      <w:r w:rsidRPr="46C31772">
        <w:rPr>
          <w:lang w:val="en-AU"/>
        </w:rPr>
        <w:t>ASIPS+ is also contributing to wider practice improvement as its safeguarding practice is recognised beyond the Facility. ASIPS+ safeguarding tools and approaches have been adapted by other DT Global programs and corporate teams, featured in Asia Pacific knowledge-sharing forums, and are used by AHC in-country to inform other partnership programs.</w:t>
      </w:r>
    </w:p>
    <w:sectPr w:rsidR="00AE4DF5" w:rsidRPr="00AE4DF5" w:rsidSect="00735BB7">
      <w:pgSz w:w="11906" w:h="16838" w:code="9"/>
      <w:pgMar w:top="1021" w:right="907" w:bottom="851" w:left="907" w:header="851" w:footer="454" w:gutter="0"/>
      <w:pgBorders w:offsetFrom="page">
        <w:top w:val="single" w:sz="48" w:space="0" w:color="507CB9"/>
        <w:left w:val="single" w:sz="48" w:space="0" w:color="507CB9"/>
        <w:bottom w:val="single" w:sz="48" w:space="0" w:color="507CB9"/>
        <w:right w:val="single" w:sz="48" w:space="0" w:color="507CB9"/>
      </w:pgBorders>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5EB14" w14:textId="77777777" w:rsidR="00EB2655" w:rsidRDefault="00EB2655" w:rsidP="00473290">
      <w:r>
        <w:separator/>
      </w:r>
    </w:p>
  </w:endnote>
  <w:endnote w:type="continuationSeparator" w:id="0">
    <w:p w14:paraId="2D94A046" w14:textId="77777777" w:rsidR="00EB2655" w:rsidRDefault="00EB2655" w:rsidP="00473290">
      <w:r>
        <w:continuationSeparator/>
      </w:r>
    </w:p>
  </w:endnote>
  <w:endnote w:type="continuationNotice" w:id="1">
    <w:p w14:paraId="49AFCD62" w14:textId="77777777" w:rsidR="00EB2655" w:rsidRDefault="00EB265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rpid C1 SCd Regular">
    <w:altName w:val="Arial"/>
    <w:charset w:val="00"/>
    <w:family w:val="swiss"/>
    <w:pitch w:val="variable"/>
    <w:sig w:usb0="A00000EF" w:usb1="5000205B" w:usb2="00000000" w:usb3="00000000" w:csb0="0000009B"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348080"/>
      <w:docPartObj>
        <w:docPartGallery w:val="Page Numbers (Bottom of Page)"/>
        <w:docPartUnique/>
      </w:docPartObj>
    </w:sdtPr>
    <w:sdtEndPr>
      <w:rPr>
        <w:noProof/>
      </w:rPr>
    </w:sdtEndPr>
    <w:sdtContent>
      <w:p w14:paraId="680358C4" w14:textId="3A39E8D6" w:rsidR="00AB4030" w:rsidRDefault="00AB40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5C3C45" w14:textId="77777777" w:rsidR="00AB4030" w:rsidRDefault="00AB4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1A349" w14:textId="77777777" w:rsidR="00EB2655" w:rsidRPr="003337B3" w:rsidRDefault="00EB2655" w:rsidP="003337B3">
      <w:pPr>
        <w:pStyle w:val="FootnoteText"/>
        <w:rPr>
          <w:color w:val="1D336D" w:themeColor="background2"/>
        </w:rPr>
      </w:pPr>
      <w:r w:rsidRPr="003337B3">
        <w:rPr>
          <w:color w:val="1D336D" w:themeColor="background2"/>
        </w:rPr>
        <w:separator/>
      </w:r>
    </w:p>
  </w:footnote>
  <w:footnote w:type="continuationSeparator" w:id="0">
    <w:p w14:paraId="7D32EFD0" w14:textId="77777777" w:rsidR="00EB2655" w:rsidRPr="003337B3" w:rsidRDefault="00EB2655" w:rsidP="003337B3">
      <w:pPr>
        <w:pStyle w:val="FootnoteText"/>
        <w:rPr>
          <w:color w:val="1D336D" w:themeColor="background2"/>
        </w:rPr>
      </w:pPr>
      <w:r w:rsidRPr="003337B3">
        <w:rPr>
          <w:color w:val="1D336D" w:themeColor="background2"/>
        </w:rPr>
        <w:continuationSeparator/>
      </w:r>
    </w:p>
  </w:footnote>
  <w:footnote w:type="continuationNotice" w:id="1">
    <w:p w14:paraId="41AF2F73" w14:textId="77777777" w:rsidR="00EB2655" w:rsidRDefault="00EB2655" w:rsidP="003337B3">
      <w:pPr>
        <w:pStyle w:val="FootnoteText"/>
      </w:pPr>
    </w:p>
  </w:footnote>
  <w:footnote w:id="2">
    <w:p w14:paraId="0B09526F" w14:textId="2F9356FD" w:rsidR="004E2A35" w:rsidRPr="004E2A35" w:rsidRDefault="004E2A35">
      <w:pPr>
        <w:pStyle w:val="FootnoteText"/>
        <w:rPr>
          <w:lang w:val="en-AU"/>
        </w:rPr>
      </w:pPr>
      <w:r>
        <w:rPr>
          <w:rStyle w:val="FootnoteReference"/>
        </w:rPr>
        <w:footnoteRef/>
      </w:r>
      <w:r>
        <w:t xml:space="preserve"> </w:t>
      </w:r>
      <w:r w:rsidRPr="004E2A35">
        <w:t>SOs are agreements between DFAT and DT Global that set out the scope of work, delivery responsibilities and budget for activities or investments.</w:t>
      </w:r>
    </w:p>
  </w:footnote>
  <w:footnote w:id="3">
    <w:p w14:paraId="0D30C3A8" w14:textId="77777777" w:rsidR="00D53666" w:rsidRPr="009850D8" w:rsidRDefault="00D53666" w:rsidP="00D53666">
      <w:pPr>
        <w:pStyle w:val="FootnoteText"/>
        <w:rPr>
          <w:lang w:val="en-AU"/>
        </w:rPr>
      </w:pPr>
      <w:r>
        <w:rPr>
          <w:rStyle w:val="FootnoteReference"/>
        </w:rPr>
        <w:footnoteRef/>
      </w:r>
      <w:r>
        <w:t xml:space="preserve"> </w:t>
      </w:r>
      <w:r w:rsidRPr="009850D8">
        <w:t xml:space="preserve">ASIPS+ supports DPP-aligned programming in education, health, skills, community partnerships, gender equality, civil society, climate resilience, economic governance, security and operational support. These areas also align with Solomon Islands’ National Development Strategy objectives on inclusive growth, equitable access to basic needs and services, quality health and education, climate and disaster resilience, and stable governance and public order. as mentioned in </w:t>
      </w:r>
      <w:r w:rsidRPr="009850D8">
        <w:rPr>
          <w:b/>
          <w:bCs/>
        </w:rPr>
        <w:t>Section 1.3</w:t>
      </w:r>
      <w:r w:rsidRPr="009850D8">
        <w:t>.</w:t>
      </w:r>
    </w:p>
  </w:footnote>
  <w:footnote w:id="4">
    <w:p w14:paraId="4B064919" w14:textId="0C2C956F" w:rsidR="005166B7" w:rsidRPr="009475FB" w:rsidRDefault="005166B7" w:rsidP="005166B7">
      <w:pPr>
        <w:pStyle w:val="FootnoteText"/>
        <w:rPr>
          <w:lang w:val="en-AU"/>
        </w:rPr>
      </w:pPr>
      <w:r>
        <w:rPr>
          <w:rStyle w:val="FootnoteReference"/>
        </w:rPr>
        <w:footnoteRef/>
      </w:r>
      <w:r>
        <w:t xml:space="preserve"> </w:t>
      </w:r>
      <w:r w:rsidRPr="003D3EFB">
        <w:t>SOs above AUD3 million, including Australia Awards Solomon Islands (SO04), Stronger Education Together (SO24) and the Solomon Islands Australia Health Partnership (SO25), have separate IMRs</w:t>
      </w:r>
      <w:r w:rsidR="00940144">
        <w:t xml:space="preserve"> that are moderated</w:t>
      </w:r>
      <w:r w:rsidRPr="003D3EFB">
        <w:t xml:space="preserve">. SOs below AUD3 million </w:t>
      </w:r>
      <w:r w:rsidR="00AE5480">
        <w:t>have non-moderated IMRs</w:t>
      </w:r>
      <w:r w:rsidRPr="003D3EFB">
        <w:t>.</w:t>
      </w:r>
    </w:p>
  </w:footnote>
  <w:footnote w:id="5">
    <w:p w14:paraId="0E5ADFDC" w14:textId="12BDB640" w:rsidR="00D712F5" w:rsidRPr="00D712F5" w:rsidRDefault="00CA1984">
      <w:pPr>
        <w:pStyle w:val="FootnoteText"/>
      </w:pPr>
      <w:r>
        <w:rPr>
          <w:rStyle w:val="FootnoteReference"/>
        </w:rPr>
        <w:footnoteRef/>
      </w:r>
      <w:r>
        <w:t xml:space="preserve"> </w:t>
      </w:r>
      <w:r w:rsidR="00D712F5" w:rsidRPr="00D712F5">
        <w:t xml:space="preserve">Penny Wong, Doorstop, Honiara, Solomon Islands [transcript], Australian Minister for Foreign Affairs, 6 June 2024, </w:t>
      </w:r>
      <w:hyperlink r:id="rId1" w:history="1">
        <w:r w:rsidR="00D712F5" w:rsidRPr="002F4D3E">
          <w:rPr>
            <w:rStyle w:val="Hyperlink"/>
          </w:rPr>
          <w:t>https://www.foreignminister.gov.au/minister/penny-wong/transcript/doorstop-honiara-solomon-islands</w:t>
        </w:r>
      </w:hyperlink>
    </w:p>
  </w:footnote>
  <w:footnote w:id="6">
    <w:p w14:paraId="7EEA53ED" w14:textId="3F90CBB8" w:rsidR="00CA1984" w:rsidRPr="00CA1984" w:rsidRDefault="00CA1984">
      <w:pPr>
        <w:pStyle w:val="FootnoteText"/>
        <w:rPr>
          <w:lang w:val="en-AU"/>
        </w:rPr>
      </w:pPr>
      <w:r>
        <w:rPr>
          <w:rStyle w:val="FootnoteReference"/>
        </w:rPr>
        <w:footnoteRef/>
      </w:r>
      <w:r>
        <w:t xml:space="preserve"> </w:t>
      </w:r>
      <w:r w:rsidRPr="00CA1984">
        <w:rPr>
          <w:i/>
          <w:iCs/>
          <w:lang w:val="en-AU"/>
        </w:rPr>
        <w:t>Ibid.</w:t>
      </w:r>
      <w:r>
        <w:rPr>
          <w:lang w:val="en-AU"/>
        </w:rPr>
        <w:t xml:space="preserve"> </w:t>
      </w:r>
    </w:p>
  </w:footnote>
  <w:footnote w:id="7">
    <w:p w14:paraId="10F2DD83" w14:textId="2F2BC5AF" w:rsidR="00FB4EA0" w:rsidRPr="00FB4EA0" w:rsidRDefault="00FB4EA0">
      <w:pPr>
        <w:pStyle w:val="FootnoteText"/>
        <w:rPr>
          <w:lang w:val="en-AU"/>
        </w:rPr>
      </w:pPr>
      <w:r>
        <w:rPr>
          <w:rStyle w:val="FootnoteReference"/>
        </w:rPr>
        <w:footnoteRef/>
      </w:r>
      <w:r>
        <w:t xml:space="preserve"> </w:t>
      </w:r>
      <w:r w:rsidRPr="00FB4EA0">
        <w:t xml:space="preserve">The DPP sets the goal of </w:t>
      </w:r>
      <w:r w:rsidRPr="00FB4EA0">
        <w:rPr>
          <w:i/>
          <w:iCs/>
        </w:rPr>
        <w:t>a stable and prosperous Solomon Islands</w:t>
      </w:r>
      <w:r w:rsidRPr="00FB4EA0">
        <w:t>. It is organised around three objectives: (1) inclusive economic growth, infrastructure and job creation; (2) investing in people, communities and links to Australia and the region; and (3) improved stability, security and resilience. ASIPS+ reporting maps the Facility’s contribution across all three DPP objectives and 21 of the DPP’s 30 indicators.</w:t>
      </w:r>
    </w:p>
  </w:footnote>
  <w:footnote w:id="8">
    <w:p w14:paraId="43601E07" w14:textId="52CAA162" w:rsidR="00FB4EA0" w:rsidRPr="00FB4EA0" w:rsidRDefault="00FB4EA0">
      <w:pPr>
        <w:pStyle w:val="FootnoteText"/>
        <w:rPr>
          <w:lang w:val="en-AU"/>
        </w:rPr>
      </w:pPr>
      <w:r>
        <w:rPr>
          <w:rStyle w:val="FootnoteReference"/>
        </w:rPr>
        <w:footnoteRef/>
      </w:r>
      <w:r>
        <w:t xml:space="preserve"> </w:t>
      </w:r>
      <w:r w:rsidRPr="00FB4EA0">
        <w:t xml:space="preserve">The National Development Strategy includes focus areas of ASIPS+ (education, health, skills and scholarships, gender equality and disability equity, community partnerships, civil society, climate resilience and agriculture, leadership, strategic communications, governance and security-related support; a list of all SOs is in </w:t>
      </w:r>
      <w:r w:rsidRPr="00FB4EA0">
        <w:rPr>
          <w:b/>
          <w:bCs/>
        </w:rPr>
        <w:t>Annex 4).</w:t>
      </w:r>
    </w:p>
  </w:footnote>
  <w:footnote w:id="9">
    <w:p w14:paraId="3DEA53D8" w14:textId="096B0656" w:rsidR="007B2B82" w:rsidRPr="007B2B82" w:rsidRDefault="007B2B82">
      <w:pPr>
        <w:pStyle w:val="FootnoteText"/>
        <w:rPr>
          <w:lang w:val="en-AU"/>
        </w:rPr>
      </w:pPr>
      <w:r>
        <w:rPr>
          <w:rStyle w:val="FootnoteReference"/>
        </w:rPr>
        <w:footnoteRef/>
      </w:r>
      <w:r>
        <w:t xml:space="preserve"> </w:t>
      </w:r>
      <w:r w:rsidRPr="007B2B82">
        <w:t>United Nations Conference on Trade and Development, Trade Preferences Outlook 2025: Navigating in Times of Uncertainty. The report lists Solomon Islands as scheduled to graduate from LDC status on 13 December 2027.</w:t>
      </w:r>
    </w:p>
  </w:footnote>
  <w:footnote w:id="10">
    <w:p w14:paraId="374570A8" w14:textId="77777777" w:rsidR="00B57FA7" w:rsidRPr="00E43E4B" w:rsidRDefault="00B57FA7" w:rsidP="00B57FA7">
      <w:pPr>
        <w:pStyle w:val="FootnoteText"/>
        <w:rPr>
          <w:lang w:val="en-AU"/>
        </w:rPr>
      </w:pPr>
      <w:r>
        <w:rPr>
          <w:rStyle w:val="FootnoteReference"/>
        </w:rPr>
        <w:footnoteRef/>
      </w:r>
      <w:r>
        <w:t xml:space="preserve"> </w:t>
      </w:r>
      <w:r w:rsidRPr="00E43E4B">
        <w:t>Department of Foreign Affairs and Trade. (2025). Australia–Solomon Islands Development Partnership Plan 2024–2029 (p. 4). The DPP uses the USD 2.15 poverty line at 2017 PPP (purchasing power parity).</w:t>
      </w:r>
    </w:p>
  </w:footnote>
  <w:footnote w:id="11">
    <w:p w14:paraId="46AF38EA" w14:textId="734FFEBD" w:rsidR="00573432" w:rsidRPr="00573432" w:rsidRDefault="00573432">
      <w:pPr>
        <w:pStyle w:val="FootnoteText"/>
        <w:rPr>
          <w:lang w:val="en-AU"/>
        </w:rPr>
      </w:pPr>
      <w:r>
        <w:rPr>
          <w:rStyle w:val="FootnoteReference"/>
        </w:rPr>
        <w:footnoteRef/>
      </w:r>
      <w:r>
        <w:t xml:space="preserve"> </w:t>
      </w:r>
      <w:r w:rsidRPr="00573432">
        <w:t xml:space="preserve">Department of Foreign Affairs and Trade. (2021). Pacific risk profile: Solomon Islands (pp. 1–2). </w:t>
      </w:r>
    </w:p>
  </w:footnote>
  <w:footnote w:id="12">
    <w:p w14:paraId="19900104" w14:textId="77777777" w:rsidR="00606D88" w:rsidRPr="008C1B3D" w:rsidRDefault="00606D88" w:rsidP="00606D88">
      <w:pPr>
        <w:pStyle w:val="FootnoteText"/>
      </w:pPr>
      <w:r>
        <w:rPr>
          <w:rStyle w:val="FootnoteReference"/>
        </w:rPr>
        <w:footnoteRef/>
      </w:r>
      <w:r>
        <w:t xml:space="preserve"> Department of Foreign Affairs and Trade. (2025). Australia–Solomon Islands Development Partnership Plan 2024–2029 (p. 4). Pacific Community, Statistics for Development Division. (2025, April 2). Population projections [Data set]. Pacific Data Hub. </w:t>
      </w:r>
      <w:hyperlink r:id="rId2" w:history="1">
        <w:r w:rsidRPr="002F4D3E">
          <w:rPr>
            <w:rStyle w:val="Hyperlink"/>
          </w:rPr>
          <w:t>https://pacificdata.org/data/dataset/population-projections-df-pop-proj</w:t>
        </w:r>
      </w:hyperlink>
    </w:p>
  </w:footnote>
  <w:footnote w:id="13">
    <w:p w14:paraId="52E2A42B" w14:textId="2D12766C" w:rsidR="00770023" w:rsidRPr="00770023" w:rsidRDefault="00770023">
      <w:pPr>
        <w:pStyle w:val="FootnoteText"/>
        <w:rPr>
          <w:lang w:val="en-AU"/>
        </w:rPr>
      </w:pPr>
      <w:r>
        <w:rPr>
          <w:rStyle w:val="FootnoteReference"/>
        </w:rPr>
        <w:footnoteRef/>
      </w:r>
      <w:r>
        <w:t xml:space="preserve"> </w:t>
      </w:r>
      <w:r w:rsidR="00882A14" w:rsidRPr="00882A14">
        <w:rPr>
          <w:b/>
          <w:bCs/>
        </w:rPr>
        <w:t>Standard 9</w:t>
      </w:r>
      <w:r w:rsidR="00882A14" w:rsidRPr="00882A14">
        <w:t xml:space="preserve"> informed the review design and implementation, including the </w:t>
      </w:r>
      <w:r w:rsidR="00882A14">
        <w:t>KEQs</w:t>
      </w:r>
      <w:r w:rsidR="00882A14" w:rsidRPr="00882A14">
        <w:t xml:space="preserve">, data collection methods, analysis framework and validation process. </w:t>
      </w:r>
      <w:r w:rsidR="00882A14" w:rsidRPr="00882A14">
        <w:rPr>
          <w:b/>
          <w:bCs/>
        </w:rPr>
        <w:t>Standard 10</w:t>
      </w:r>
      <w:r w:rsidR="00882A14" w:rsidRPr="00882A14">
        <w:t xml:space="preserve"> informed the report structure, including the transparent presentation of evidence strength, limitations, alternative viewpoints where they existed, and links between findings, conclusions and recommendations.</w:t>
      </w:r>
    </w:p>
  </w:footnote>
  <w:footnote w:id="14">
    <w:p w14:paraId="5507492D" w14:textId="4BC41436" w:rsidR="00810806" w:rsidRPr="00646E35" w:rsidRDefault="00810806">
      <w:pPr>
        <w:pStyle w:val="FootnoteText"/>
        <w:rPr>
          <w:lang w:val="en-AU"/>
        </w:rPr>
      </w:pPr>
      <w:r>
        <w:rPr>
          <w:rStyle w:val="FootnoteReference"/>
        </w:rPr>
        <w:footnoteRef/>
      </w:r>
      <w:r>
        <w:t xml:space="preserve"> </w:t>
      </w:r>
      <w:r w:rsidRPr="00810806">
        <w:t>Progress toward EOFO1 is adequate-to-good. It is good in relation to the establishment and early use of a quality programming system and responsiveness to AHC and SIG priorities. It is adequate in relation to consistent portfolio-wide application of quality programming and the still-emerging evidence of downstream development outcomes.</w:t>
      </w:r>
    </w:p>
  </w:footnote>
  <w:footnote w:id="15">
    <w:p w14:paraId="7B28A1A1" w14:textId="0D0BCE85" w:rsidR="00FD1951" w:rsidRPr="00FD1951" w:rsidRDefault="00FD1951">
      <w:pPr>
        <w:pStyle w:val="FootnoteText"/>
        <w:rPr>
          <w:lang w:val="en-AU"/>
        </w:rPr>
      </w:pPr>
      <w:r>
        <w:rPr>
          <w:rStyle w:val="FootnoteReference"/>
        </w:rPr>
        <w:footnoteRef/>
      </w:r>
      <w:r>
        <w:t xml:space="preserve"> M</w:t>
      </w:r>
      <w:r w:rsidRPr="00FD1951">
        <w:t>ore than 40</w:t>
      </w:r>
      <w:r>
        <w:t>%</w:t>
      </w:r>
      <w:r w:rsidRPr="00FD1951">
        <w:t xml:space="preserve"> of annual expenditure fell in Quarter 4 in both FY2023–24 and FY2024–25. The FY2024–25 profile improved once two high-value SOs </w:t>
      </w:r>
      <w:r>
        <w:t>(</w:t>
      </w:r>
      <w:r w:rsidRPr="00FD1951">
        <w:t>SO08 Solomon Islands–Australia Community Partnerships Support and SOD3 Procurement Support</w:t>
      </w:r>
      <w:r>
        <w:t xml:space="preserve">) </w:t>
      </w:r>
      <w:r w:rsidRPr="00FD1951">
        <w:t>were excluded, but late-year expenditure spikes still increased pressure on staff and processes, including overtime, time-off-in-lieu, sole-source justifications, single-tranche grants and compressed procurement and contracting timelines.</w:t>
      </w:r>
    </w:p>
  </w:footnote>
  <w:footnote w:id="16">
    <w:p w14:paraId="3CF5FC85" w14:textId="256D8111" w:rsidR="00061A13" w:rsidRPr="00061A13" w:rsidRDefault="00061A13" w:rsidP="00061A13">
      <w:pPr>
        <w:pStyle w:val="FootnoteText"/>
        <w:rPr>
          <w:lang w:val="en-AU"/>
        </w:rPr>
      </w:pPr>
      <w:r>
        <w:rPr>
          <w:rStyle w:val="FootnoteReference"/>
        </w:rPr>
        <w:footnoteRef/>
      </w:r>
      <w:r>
        <w:t xml:space="preserve"> </w:t>
      </w:r>
      <w:r w:rsidRPr="00061A13">
        <w:t xml:space="preserve">SOG4 provides important evidence that ASIPS+ governance is actively managing emerging constraints. At the March 2026 SOG meeting, members discussed the risk that the ASIPS+ SO ceiling could be reached before the contracted end date of 30 June 2031. The meeting considered Planning Scenario 4, which identified that cumulative contract value and forecasts could exceed the Head Deed by FY 2028–29. SOG noted the projected SO ceiling risk, confirmed that Scenario 4 was likely to be the preferred pathway, and agreed that a decision on the approach to managing the SO ceiling risk would be made at SOG5. This shows that the Facility’s governance systems are not only identifying </w:t>
      </w:r>
      <w:r w:rsidR="005C7084" w:rsidRPr="00061A13">
        <w:t>risks but</w:t>
      </w:r>
      <w:r w:rsidRPr="00061A13">
        <w:t xml:space="preserve"> escalating them for strategic decision-making.</w:t>
      </w:r>
    </w:p>
  </w:footnote>
  <w:footnote w:id="17">
    <w:p w14:paraId="1FBD06AA" w14:textId="037F7D6A" w:rsidR="00260000" w:rsidRPr="00260000" w:rsidRDefault="00260000">
      <w:pPr>
        <w:pStyle w:val="FootnoteText"/>
        <w:rPr>
          <w:lang w:val="en-AU"/>
        </w:rPr>
      </w:pPr>
      <w:r>
        <w:rPr>
          <w:rStyle w:val="FootnoteReference"/>
        </w:rPr>
        <w:footnoteRef/>
      </w:r>
      <w:r>
        <w:t xml:space="preserve"> </w:t>
      </w:r>
      <w:r w:rsidRPr="00260000">
        <w:t>In 2025, ASIPS+ completed 98 recruitment processes, an 88% increase from 2024, and mobilised 11 long-term personnel within an average of just over 30 days.</w:t>
      </w:r>
    </w:p>
  </w:footnote>
  <w:footnote w:id="18">
    <w:p w14:paraId="34534CDE" w14:textId="3CE0B660" w:rsidR="00061A13" w:rsidRPr="00061A13" w:rsidRDefault="00061A13">
      <w:pPr>
        <w:pStyle w:val="FootnoteText"/>
        <w:rPr>
          <w:lang w:val="en-AU"/>
        </w:rPr>
      </w:pPr>
      <w:r>
        <w:rPr>
          <w:rStyle w:val="FootnoteReference"/>
        </w:rPr>
        <w:footnoteRef/>
      </w:r>
      <w:r>
        <w:t xml:space="preserve"> </w:t>
      </w:r>
      <w:proofErr w:type="spellStart"/>
      <w:r w:rsidR="006A23AF" w:rsidRPr="6CF85AE0">
        <w:rPr>
          <w:lang w:val="en-AU"/>
        </w:rPr>
        <w:t>Deployee</w:t>
      </w:r>
      <w:proofErr w:type="spellEnd"/>
      <w:r w:rsidR="006A23AF" w:rsidRPr="6CF85AE0">
        <w:rPr>
          <w:lang w:val="en-AU"/>
        </w:rPr>
        <w:t xml:space="preserve"> Support Services </w:t>
      </w:r>
      <w:r w:rsidRPr="00061A13">
        <w:t>processed 501 job tickets for 37 households and properties, resolving more than half within 24 hours and nearly 90% within five days. Security and operations functions supported continuity through fleet management, asset tracking, property support, journey management, guard onboarding, crisis guidance, evacuation planning and updated standard operating procedures.</w:t>
      </w:r>
    </w:p>
  </w:footnote>
  <w:footnote w:id="19">
    <w:p w14:paraId="2B7B1907" w14:textId="6EA70D57" w:rsidR="00061A13" w:rsidRPr="00061A13" w:rsidRDefault="00061A13">
      <w:pPr>
        <w:pStyle w:val="FootnoteText"/>
        <w:rPr>
          <w:lang w:val="en-AU"/>
        </w:rPr>
      </w:pPr>
      <w:r>
        <w:rPr>
          <w:rStyle w:val="FootnoteReference"/>
        </w:rPr>
        <w:footnoteRef/>
      </w:r>
      <w:r>
        <w:t xml:space="preserve"> </w:t>
      </w:r>
      <w:r w:rsidRPr="00061A13">
        <w:t>In 2025, ASIPS+ received 2,198 procurement requests and completed 2,049 procurements valued at AUD15.97 million, a 117% increase from 2024. Of these, 1,964 procurements were sourced from Solomon Islands businesses, representing 96% of procurements. ASIPS+ also issued 44 contracts within 45 days, with a combined contract value of AUD13.64 million.</w:t>
      </w:r>
    </w:p>
  </w:footnote>
  <w:footnote w:id="20">
    <w:p w14:paraId="415B6801" w14:textId="1AE966D7" w:rsidR="00774AEB" w:rsidRPr="00774AEB" w:rsidRDefault="00774AEB">
      <w:pPr>
        <w:pStyle w:val="FootnoteText"/>
        <w:rPr>
          <w:lang w:val="en-AU"/>
        </w:rPr>
      </w:pPr>
      <w:r>
        <w:rPr>
          <w:rStyle w:val="FootnoteReference"/>
        </w:rPr>
        <w:footnoteRef/>
      </w:r>
      <w:r>
        <w:t xml:space="preserve"> </w:t>
      </w:r>
      <w:r w:rsidRPr="00774AEB">
        <w:t>In 2025, ASIPS+ managed 18,854 transactions, up from 17,783 in 2024 and 2,277 in 2023. It completed 1,880 spot checks across 207 invoices, up from 1,328 spot checks across 158 invoices in 2024.</w:t>
      </w:r>
    </w:p>
  </w:footnote>
  <w:footnote w:id="21">
    <w:p w14:paraId="511EB815" w14:textId="6A3271D1" w:rsidR="00E30B7D" w:rsidRPr="00E30B7D" w:rsidRDefault="00E30B7D">
      <w:pPr>
        <w:pStyle w:val="FootnoteText"/>
        <w:rPr>
          <w:lang w:val="en-AU"/>
        </w:rPr>
      </w:pPr>
      <w:r>
        <w:rPr>
          <w:rStyle w:val="FootnoteReference"/>
        </w:rPr>
        <w:footnoteRef/>
      </w:r>
      <w:r>
        <w:t xml:space="preserve"> </w:t>
      </w:r>
      <w:r w:rsidRPr="00E30B7D">
        <w:t xml:space="preserve">ASIPS+ completed safeguarding risk ratings for all active SOs in 2025 and developed specific safeguarding assessments and management plans for Whole of ASIPS+, SET, Australia Skills Award Support, SIAHP, and Capacity Building Grants to Civil Society Organisations. Safeguarding is supported by </w:t>
      </w:r>
      <w:proofErr w:type="spellStart"/>
      <w:r w:rsidRPr="00E30B7D">
        <w:t>Safeguardians</w:t>
      </w:r>
      <w:proofErr w:type="spellEnd"/>
      <w:r w:rsidRPr="00E30B7D">
        <w:t xml:space="preserve">, </w:t>
      </w:r>
      <w:r w:rsidR="00BC7E1D" w:rsidRPr="00E30B7D">
        <w:t>Pi</w:t>
      </w:r>
      <w:r w:rsidR="00BC7E1D">
        <w:t>d</w:t>
      </w:r>
      <w:r w:rsidR="00BC7E1D" w:rsidRPr="00E30B7D">
        <w:t>gin</w:t>
      </w:r>
      <w:r w:rsidRPr="00E30B7D">
        <w:t>-language resources, partner toolkits, training of trainers, drills, downstream partner training and updated systems aligned with DFAT’s 2025 safeguarding requirements.</w:t>
      </w:r>
    </w:p>
  </w:footnote>
  <w:footnote w:id="22">
    <w:p w14:paraId="61A44D3F" w14:textId="30E0DE81" w:rsidR="006511BC" w:rsidRPr="006511BC" w:rsidRDefault="006511BC">
      <w:pPr>
        <w:pStyle w:val="FootnoteText"/>
        <w:rPr>
          <w:lang w:val="en-AU"/>
        </w:rPr>
      </w:pPr>
      <w:r>
        <w:rPr>
          <w:rStyle w:val="FootnoteReference"/>
        </w:rPr>
        <w:footnoteRef/>
      </w:r>
      <w:r>
        <w:t xml:space="preserve"> </w:t>
      </w:r>
      <w:r w:rsidRPr="006511BC">
        <w:t>In 2025, the reflection process included six business-unit reflection sessions, one collective Facility Management Team reflection session, one half-day FSU and SO reflection session, and a DFAT FIMT–FSU leadership reflection session. Insights from these sessions informed the 2026 Annual Work Plan.</w:t>
      </w:r>
    </w:p>
  </w:footnote>
  <w:footnote w:id="23">
    <w:p w14:paraId="46449F40" w14:textId="77777777" w:rsidR="001D5688" w:rsidRPr="00D93515" w:rsidRDefault="001D5688" w:rsidP="001D5688">
      <w:pPr>
        <w:pStyle w:val="FootnoteText"/>
        <w:rPr>
          <w:lang w:val="en-AU"/>
        </w:rPr>
      </w:pPr>
      <w:r>
        <w:rPr>
          <w:rStyle w:val="FootnoteReference"/>
        </w:rPr>
        <w:footnoteRef/>
      </w:r>
      <w:r>
        <w:t xml:space="preserve"> </w:t>
      </w:r>
      <w:r w:rsidRPr="00D93515">
        <w:t xml:space="preserve">Procurement identified the need for stronger forecasting, supplier capacity-building, preferred supplier list improvements and procurement–finance system integration. Finance identified improvements in the Payment Request System, reduced unpaid invoices and payroll transition, while prioritising system improvements and further capacity-building. Human Resources identified better dashboards, templates, payroll management and performance review processes, while prioritising induction packages, hiring manager refresher training and recruitment workflow review. Operations, Security and </w:t>
      </w:r>
      <w:proofErr w:type="spellStart"/>
      <w:r w:rsidRPr="00D93515">
        <w:t>Deployee</w:t>
      </w:r>
      <w:proofErr w:type="spellEnd"/>
      <w:r w:rsidRPr="00D93515">
        <w:t xml:space="preserve"> Support Services identified improvements in fleet management, asset tracking, office support, travel procedures, guard onboarding and crisis guidance, while prioritising request management, service-level agreements, evacuation drills and vendor diversification.</w:t>
      </w:r>
    </w:p>
  </w:footnote>
  <w:footnote w:id="24">
    <w:p w14:paraId="653AB0E7" w14:textId="5E23EC7B" w:rsidR="001D5688" w:rsidRPr="001D5688" w:rsidRDefault="001D5688">
      <w:pPr>
        <w:pStyle w:val="FootnoteText"/>
        <w:rPr>
          <w:lang w:val="en-AU"/>
        </w:rPr>
      </w:pPr>
      <w:r>
        <w:rPr>
          <w:rStyle w:val="FootnoteReference"/>
        </w:rPr>
        <w:footnoteRef/>
      </w:r>
      <w:r>
        <w:t xml:space="preserve"> </w:t>
      </w:r>
      <w:r w:rsidRPr="001D5688">
        <w:t>The MEL Community of Practice was established in July 2025 and met six times during the year. It helped SO17, SO22 and SO24 share reflection workshop materials and reduce duplication. The Program Managers Peer Group created a space for staff managing Type 3 and Type 4 SOs to discuss common challenges, solve problems and develop shared guidance.</w:t>
      </w:r>
    </w:p>
  </w:footnote>
  <w:footnote w:id="25">
    <w:p w14:paraId="3BF68168" w14:textId="77777777" w:rsidR="001D5688" w:rsidRPr="00D93515" w:rsidRDefault="001D5688" w:rsidP="001D5688">
      <w:pPr>
        <w:pStyle w:val="FootnoteText"/>
        <w:rPr>
          <w:lang w:val="en-AU"/>
        </w:rPr>
      </w:pPr>
      <w:r>
        <w:rPr>
          <w:rStyle w:val="FootnoteReference"/>
        </w:rPr>
        <w:footnoteRef/>
      </w:r>
      <w:r>
        <w:t xml:space="preserve"> </w:t>
      </w:r>
      <w:r w:rsidRPr="00D93515">
        <w:t>In 2024, 91% of staff reported feeling safe at work, 85.1% said people within ASIPS+ respect each other, and 81.25% felt valued and appreciated. In 2025, 85% of surveyed staff reported feeling supported and encouraged, 77% said new ideas were welcomed and accepted, and 84.7% reported that staff are always or often treated with respect regardless of gender or cultural background.</w:t>
      </w:r>
    </w:p>
  </w:footnote>
  <w:footnote w:id="26">
    <w:p w14:paraId="455CC015" w14:textId="2161CE2C" w:rsidR="00603818" w:rsidRPr="00603818" w:rsidRDefault="00603818">
      <w:pPr>
        <w:pStyle w:val="FootnoteText"/>
        <w:rPr>
          <w:lang w:val="en-AU"/>
        </w:rPr>
      </w:pPr>
      <w:r>
        <w:rPr>
          <w:rStyle w:val="FootnoteReference"/>
        </w:rPr>
        <w:footnoteRef/>
      </w:r>
      <w:r>
        <w:t xml:space="preserve"> </w:t>
      </w:r>
      <w:r w:rsidRPr="00603818">
        <w:t>In FY23/24, ASIPS+ expensed AUD19.43 million of a combined available allocation of AUD21.48 million, an execution rate of 90.4%. In FY24/25, ASIPS+ spent approximately 100% of its total commitment, with a small net overspend largely explained by reclassification of costs.</w:t>
      </w:r>
    </w:p>
  </w:footnote>
  <w:footnote w:id="27">
    <w:p w14:paraId="327A21D3" w14:textId="31F02A39" w:rsidR="00603818" w:rsidRPr="00603818" w:rsidRDefault="00603818">
      <w:pPr>
        <w:pStyle w:val="FootnoteText"/>
        <w:rPr>
          <w:lang w:val="en-AU"/>
        </w:rPr>
      </w:pPr>
      <w:r>
        <w:rPr>
          <w:rStyle w:val="FootnoteReference"/>
        </w:rPr>
        <w:footnoteRef/>
      </w:r>
      <w:r>
        <w:t xml:space="preserve"> </w:t>
      </w:r>
      <w:r w:rsidRPr="00603818">
        <w:t>ASIPS+ administered AUD14.89 million of procurement activity in 2024, including 944 procurement requests, five tender processes, 28 subcontracts and 14 grants. In 2025, procurement volume increased substantially, with 2,049 procurements totalling AUD15.97 million. This represented a 117% increase over 2024 and more than a sixfold increase from 2023.</w:t>
      </w:r>
    </w:p>
  </w:footnote>
  <w:footnote w:id="28">
    <w:p w14:paraId="49391B48" w14:textId="77777777" w:rsidR="00603818" w:rsidRPr="00603818" w:rsidRDefault="00603818" w:rsidP="00603818">
      <w:pPr>
        <w:pStyle w:val="FootnoteText"/>
        <w:rPr>
          <w:lang w:val="en-AU"/>
        </w:rPr>
      </w:pPr>
      <w:r>
        <w:rPr>
          <w:rStyle w:val="FootnoteReference"/>
        </w:rPr>
        <w:footnoteRef/>
      </w:r>
      <w:r>
        <w:t xml:space="preserve"> </w:t>
      </w:r>
      <w:r w:rsidRPr="00603818">
        <w:t>For example, ASIPS+ negotiated a security provider rate down from AUD7.27 per hour to AUD4.90 per hour, generating an estimated annual saving of AUD427,727. The Facility also secured savings through accommodation negotiations and by using consolidated procurement approaches where feasible.</w:t>
      </w:r>
    </w:p>
  </w:footnote>
  <w:footnote w:id="29">
    <w:p w14:paraId="4D7D4E69" w14:textId="5E7C9229" w:rsidR="00807119" w:rsidRPr="00807119" w:rsidRDefault="00807119">
      <w:pPr>
        <w:pStyle w:val="FootnoteText"/>
        <w:rPr>
          <w:lang w:val="en-AU"/>
        </w:rPr>
      </w:pPr>
      <w:r>
        <w:rPr>
          <w:rStyle w:val="FootnoteReference"/>
        </w:rPr>
        <w:footnoteRef/>
      </w:r>
      <w:r>
        <w:t xml:space="preserve"> </w:t>
      </w:r>
      <w:r w:rsidRPr="00807119">
        <w:t>In FY24 and FY25, more than 40% of annual expenditure occurred in Q4. In FY25, two high-value SOs, SO08 and SOD3, spent a combined AUD2.98 million in Q4. Excluding these two SOs, Q4 FY25 expenditure was 35% of total FY25 expenditure, indicating some improvement in the portfolio. However, the ASIPS+ expenditure analysis prepared for SOG found that late-year expenditure spikes increased pressure on staff and systems, contributed to overtime and time-off-in-lieu, and led to more sole-source justifications, single-tranche grants and single-milestone contracts.</w:t>
      </w:r>
    </w:p>
  </w:footnote>
  <w:footnote w:id="30">
    <w:p w14:paraId="732608E2" w14:textId="747F4ECA" w:rsidR="00B6290C" w:rsidRPr="00B6290C" w:rsidRDefault="00B6290C">
      <w:pPr>
        <w:pStyle w:val="FootnoteText"/>
        <w:rPr>
          <w:lang w:val="en-AU"/>
        </w:rPr>
      </w:pPr>
      <w:r>
        <w:rPr>
          <w:rStyle w:val="FootnoteReference"/>
        </w:rPr>
        <w:footnoteRef/>
      </w:r>
      <w:r>
        <w:t xml:space="preserve"> </w:t>
      </w:r>
      <w:r w:rsidRPr="00B6290C">
        <w:t xml:space="preserve">ASIPS+ completed safeguards risk ratings for all active SOs in 2025 and developed safeguards assessments and management plans for whole-of-ASIPS+, SO24 SET, SO28 Australia Skills Award Support, SO25 SIAHP and SO17 Capacity Building Grants to CSOs. Safeguards are operationalised through screening, </w:t>
      </w:r>
      <w:proofErr w:type="spellStart"/>
      <w:r w:rsidRPr="00B6290C">
        <w:t>Safeguardians</w:t>
      </w:r>
      <w:proofErr w:type="spellEnd"/>
      <w:r w:rsidRPr="00B6290C">
        <w:t xml:space="preserve">, </w:t>
      </w:r>
      <w:proofErr w:type="spellStart"/>
      <w:r w:rsidRPr="00B6290C">
        <w:t>Pi</w:t>
      </w:r>
      <w:r w:rsidR="0052139D">
        <w:t>djin</w:t>
      </w:r>
      <w:proofErr w:type="spellEnd"/>
      <w:r w:rsidRPr="00B6290C">
        <w:t>-language materials, partner toolkits, drills, induction, focal point support and downstream partner training.</w:t>
      </w:r>
    </w:p>
  </w:footnote>
  <w:footnote w:id="31">
    <w:p w14:paraId="72A47402" w14:textId="5FB72296" w:rsidR="00B6290C" w:rsidRPr="00B6290C" w:rsidRDefault="00B6290C">
      <w:pPr>
        <w:pStyle w:val="FootnoteText"/>
        <w:rPr>
          <w:lang w:val="en-AU"/>
        </w:rPr>
      </w:pPr>
      <w:r>
        <w:rPr>
          <w:rStyle w:val="FootnoteReference"/>
        </w:rPr>
        <w:footnoteRef/>
      </w:r>
      <w:r>
        <w:t xml:space="preserve"> </w:t>
      </w:r>
      <w:r w:rsidRPr="00B6290C">
        <w:t>In 2025, ASIPS+ managed security across 37 sites, involving 283 guards and 178 security incidents. More than 858 compliance checks were undertaken, and safety and behaviour incidents declined from 35 in February to four in December 2025. More than 450 guards were certified through safeguarding training using direct and train-the-trainer approaches.</w:t>
      </w:r>
    </w:p>
  </w:footnote>
  <w:footnote w:id="32">
    <w:p w14:paraId="2B1A7E67" w14:textId="770E1903" w:rsidR="00CF3FE3" w:rsidRPr="00CF3FE3" w:rsidRDefault="00CF3FE3">
      <w:pPr>
        <w:pStyle w:val="FootnoteText"/>
        <w:rPr>
          <w:lang w:val="en-AU"/>
        </w:rPr>
      </w:pPr>
      <w:r>
        <w:rPr>
          <w:rStyle w:val="FootnoteReference"/>
        </w:rPr>
        <w:footnoteRef/>
      </w:r>
      <w:r>
        <w:t xml:space="preserve"> </w:t>
      </w:r>
      <w:r w:rsidRPr="00CF3FE3">
        <w:t>DFAT’s 2025 Child Protection and PSEAH policy updates have strengthened expectations for documented risk assessment, downstream partner management, safe and accessible reporting, mandatory incident reporting, compliance monitoring and proportionate Essential or Comprehensive Standards. These requirements are appropriate and important, but they increase the workload for ASIPS+ because the Facility is supporting a larger, more diverse and more community-facing portfolio.</w:t>
      </w:r>
    </w:p>
  </w:footnote>
  <w:footnote w:id="33">
    <w:p w14:paraId="09D3B7EC" w14:textId="77777777" w:rsidR="00F01C22" w:rsidRPr="00770023" w:rsidRDefault="00F01C22" w:rsidP="00F01C22">
      <w:pPr>
        <w:pStyle w:val="FootnoteText"/>
        <w:rPr>
          <w:lang w:val="en-AU"/>
        </w:rPr>
      </w:pPr>
      <w:r>
        <w:rPr>
          <w:rStyle w:val="FootnoteReference"/>
        </w:rPr>
        <w:footnoteRef/>
      </w:r>
      <w:r>
        <w:t xml:space="preserve"> </w:t>
      </w:r>
      <w:r w:rsidRPr="00882A14">
        <w:rPr>
          <w:b/>
          <w:bCs/>
        </w:rPr>
        <w:t>Standard 9</w:t>
      </w:r>
      <w:r w:rsidRPr="00882A14">
        <w:t xml:space="preserve"> informed the review design and implementation, including the </w:t>
      </w:r>
      <w:r>
        <w:t>KEQs</w:t>
      </w:r>
      <w:r w:rsidRPr="00882A14">
        <w:t xml:space="preserve">, data collection methods, analysis framework and validation process. </w:t>
      </w:r>
      <w:r w:rsidRPr="00882A14">
        <w:rPr>
          <w:b/>
          <w:bCs/>
        </w:rPr>
        <w:t>Standard 10</w:t>
      </w:r>
      <w:r w:rsidRPr="00882A14">
        <w:t xml:space="preserve"> informed the report structure, including the transparent presentation of evidence strength, limitations, alternative viewpoints where they existed, and links between findings, conclusions and recommendations.</w:t>
      </w:r>
    </w:p>
  </w:footnote>
  <w:footnote w:id="34">
    <w:p w14:paraId="3750BC93" w14:textId="2C0A9599" w:rsidR="00A7703C" w:rsidRPr="00A7703C" w:rsidRDefault="00A7703C">
      <w:pPr>
        <w:pStyle w:val="FootnoteText"/>
        <w:rPr>
          <w:lang w:val="en-AU"/>
        </w:rPr>
      </w:pPr>
      <w:r>
        <w:rPr>
          <w:rStyle w:val="FootnoteReference"/>
        </w:rPr>
        <w:footnoteRef/>
      </w:r>
      <w:r>
        <w:t xml:space="preserve"> </w:t>
      </w:r>
      <w:r>
        <w:rPr>
          <w:lang w:val="en-AU"/>
        </w:rPr>
        <w:t xml:space="preserve">Source: </w:t>
      </w:r>
      <w:r w:rsidRPr="00F00E65">
        <w:rPr>
          <w:lang w:val="en-AU"/>
        </w:rPr>
        <w:t>ASIPS+ Annual Report 2025</w:t>
      </w:r>
    </w:p>
  </w:footnote>
  <w:footnote w:id="35">
    <w:p w14:paraId="55806E35" w14:textId="221C42A3" w:rsidR="00A7703C" w:rsidRPr="00A7703C" w:rsidRDefault="00A7703C">
      <w:pPr>
        <w:pStyle w:val="FootnoteText"/>
        <w:rPr>
          <w:lang w:val="en-AU"/>
        </w:rPr>
      </w:pPr>
      <w:r>
        <w:rPr>
          <w:rStyle w:val="FootnoteReference"/>
        </w:rPr>
        <w:footnoteRef/>
      </w:r>
      <w:r>
        <w:t xml:space="preserve"> </w:t>
      </w:r>
      <w:r w:rsidRPr="00A7703C">
        <w:rPr>
          <w:i/>
          <w:iCs/>
          <w:lang w:val="en-AU"/>
        </w:rPr>
        <w:t>Ibid.</w:t>
      </w:r>
    </w:p>
  </w:footnote>
  <w:footnote w:id="36">
    <w:p w14:paraId="11607FD2" w14:textId="77777777" w:rsidR="00AE4DF5" w:rsidRPr="001C340D" w:rsidRDefault="00AE4DF5" w:rsidP="00AE4DF5">
      <w:pPr>
        <w:pStyle w:val="FootnoteText"/>
        <w:rPr>
          <w:lang w:val="en-AU"/>
        </w:rPr>
      </w:pPr>
      <w:r>
        <w:rPr>
          <w:rStyle w:val="FootnoteReference"/>
        </w:rPr>
        <w:footnoteRef/>
      </w:r>
      <w:r>
        <w:t xml:space="preserve"> </w:t>
      </w:r>
      <w:r w:rsidRPr="001C340D">
        <w:t>In 2025, women represented 50% of the workforce, with 54 women among 107 staff. Women also held 14 of 28 leadership positions, or 50% of leadership roles. Recruitment processes were similarly balanced: of 256 candidates interviewed in 2025, 127 were women, 126 were men and three identified otherwise.</w:t>
      </w:r>
    </w:p>
  </w:footnote>
  <w:footnote w:id="37">
    <w:p w14:paraId="3E14629F" w14:textId="77777777" w:rsidR="00AE4DF5" w:rsidRPr="00A218CB" w:rsidRDefault="00AE4DF5" w:rsidP="00AE4DF5">
      <w:pPr>
        <w:pStyle w:val="FootnoteText"/>
        <w:rPr>
          <w:lang w:val="en-AU"/>
        </w:rPr>
      </w:pPr>
      <w:r>
        <w:rPr>
          <w:rStyle w:val="FootnoteReference"/>
        </w:rPr>
        <w:footnoteRef/>
      </w:r>
      <w:r>
        <w:t xml:space="preserve"> </w:t>
      </w:r>
      <w:r w:rsidRPr="00A218CB">
        <w:t>Two personnel accessed paternity leave in 2025.</w:t>
      </w:r>
    </w:p>
  </w:footnote>
  <w:footnote w:id="38">
    <w:p w14:paraId="2F18449B" w14:textId="77777777" w:rsidR="00AE4DF5" w:rsidRPr="00A218CB" w:rsidRDefault="00AE4DF5" w:rsidP="00AE4DF5">
      <w:pPr>
        <w:pStyle w:val="FootnoteText"/>
        <w:rPr>
          <w:lang w:val="en-AU"/>
        </w:rPr>
      </w:pPr>
      <w:r>
        <w:rPr>
          <w:rStyle w:val="FootnoteReference"/>
        </w:rPr>
        <w:footnoteRef/>
      </w:r>
      <w:r>
        <w:t xml:space="preserve"> </w:t>
      </w:r>
      <w:r w:rsidRPr="00A218CB">
        <w:t>In the 2025 DEI Survey, 85% of respondents reported that staff are “always” or “often” treated with respect regardless of gender or cultural background. More than 71% reported observing at least some positive changes in workplace practices that support gender equality, including flexible hours, parental leave and inclusive policies.</w:t>
      </w:r>
    </w:p>
  </w:footnote>
  <w:footnote w:id="39">
    <w:p w14:paraId="510CB5CA" w14:textId="77777777" w:rsidR="00AE4DF5" w:rsidRPr="00A218CB" w:rsidRDefault="00AE4DF5" w:rsidP="00AE4DF5">
      <w:pPr>
        <w:pStyle w:val="FootnoteText"/>
        <w:rPr>
          <w:lang w:val="en-AU"/>
        </w:rPr>
      </w:pPr>
      <w:r>
        <w:rPr>
          <w:rStyle w:val="FootnoteReference"/>
        </w:rPr>
        <w:footnoteRef/>
      </w:r>
      <w:r>
        <w:t xml:space="preserve"> </w:t>
      </w:r>
      <w:r w:rsidRPr="00A218CB">
        <w:t>HR panels account for gender and cultural diversity. Procurement processes include supplier questions on whether businesses are owned or managed by women or people with disabilities. Finance systems are preparing to strengthen gender expenditure tagging. Security operations have used gender-disaggregated guard tracking to inform changes that allow women guards who choose to work night shifts to do so more safely. These safeguards include paired deployment, safe-haven points, additional radios, consent-based rostering and the right to withdraw consent.</w:t>
      </w:r>
    </w:p>
  </w:footnote>
  <w:footnote w:id="40">
    <w:p w14:paraId="6FA6EB29" w14:textId="77777777" w:rsidR="00AE4DF5" w:rsidRPr="00D41878" w:rsidRDefault="00AE4DF5" w:rsidP="00AE4DF5">
      <w:pPr>
        <w:pStyle w:val="FootnoteText"/>
        <w:rPr>
          <w:lang w:val="en-AU"/>
        </w:rPr>
      </w:pPr>
      <w:r>
        <w:rPr>
          <w:rStyle w:val="FootnoteReference"/>
        </w:rPr>
        <w:footnoteRef/>
      </w:r>
      <w:r>
        <w:t xml:space="preserve"> </w:t>
      </w:r>
      <w:r w:rsidRPr="00D41878">
        <w:t>Temporary Special Measures are time-bound measures designed to accelerate women’s representation and participation where structural barriers prevent equal political participation. In Solomon Islands,</w:t>
      </w:r>
      <w:r>
        <w:t xml:space="preserve"> these</w:t>
      </w:r>
      <w:r w:rsidRPr="00D41878">
        <w:t xml:space="preserve"> are particularly relevant because women’s representation in national and provincial government </w:t>
      </w:r>
      <w:r>
        <w:t>is v</w:t>
      </w:r>
      <w:r w:rsidRPr="00D41878">
        <w:t xml:space="preserve">ery low: three women were elected to the 50-member National Parliament in April 2024, and Temporary Special Measures to improve women’s representation in Provincial Assemblies are considered. </w:t>
      </w:r>
    </w:p>
  </w:footnote>
  <w:footnote w:id="41">
    <w:p w14:paraId="3920FF23" w14:textId="77777777" w:rsidR="0032137F" w:rsidRPr="00E53B8D" w:rsidRDefault="0032137F" w:rsidP="0032137F">
      <w:pPr>
        <w:pStyle w:val="FootnoteText"/>
        <w:rPr>
          <w:lang w:val="en-AU"/>
        </w:rPr>
      </w:pPr>
      <w:r>
        <w:rPr>
          <w:rStyle w:val="FootnoteReference"/>
        </w:rPr>
        <w:footnoteRef/>
      </w:r>
      <w:r>
        <w:t xml:space="preserve"> </w:t>
      </w:r>
      <w:r w:rsidRPr="00E53B8D">
        <w:t>Climate and disaster risks are included in the Facility Risk Register. The DEH Climate Adviser reviews these risks during cyclical risk processes, updates ratings and advises on response measures. By December 2025, ASIPS+ was monitoring a climate-related risk covering natural hazards, seasonal variability and wider climate change impacts. Operations and Health, Safety and Environment manuals have been updated to include climate-related hazards and continuity considerations.</w:t>
      </w:r>
    </w:p>
  </w:footnote>
  <w:footnote w:id="42">
    <w:p w14:paraId="41E8B58F" w14:textId="77777777" w:rsidR="0032137F" w:rsidRPr="00127B5A" w:rsidRDefault="0032137F" w:rsidP="0032137F">
      <w:pPr>
        <w:pStyle w:val="FootnoteText"/>
        <w:rPr>
          <w:lang w:val="en-AU"/>
        </w:rPr>
      </w:pPr>
      <w:r>
        <w:rPr>
          <w:rStyle w:val="FootnoteReference"/>
        </w:rPr>
        <w:footnoteRef/>
      </w:r>
      <w:r>
        <w:t xml:space="preserve"> </w:t>
      </w:r>
      <w:r w:rsidRPr="00127B5A">
        <w:t>Provincial Climate Profiles provide province-specific information on risks such as sea-level rise, cyclones, water scarcity and temperature change. A first-pass climate risk assessment tool supports early identification of climate risks in new SOs.</w:t>
      </w:r>
    </w:p>
  </w:footnote>
  <w:footnote w:id="43">
    <w:p w14:paraId="2F26000E" w14:textId="77777777" w:rsidR="00AE4DF5" w:rsidRPr="00127B5A" w:rsidRDefault="00AE4DF5" w:rsidP="00AE4DF5">
      <w:pPr>
        <w:pStyle w:val="FootnoteText"/>
        <w:rPr>
          <w:lang w:val="en-AU"/>
        </w:rPr>
      </w:pPr>
      <w:r>
        <w:rPr>
          <w:rStyle w:val="FootnoteReference"/>
        </w:rPr>
        <w:footnoteRef/>
      </w:r>
      <w:r>
        <w:t xml:space="preserve"> </w:t>
      </w:r>
      <w:r w:rsidRPr="00127B5A">
        <w:t>In 2025, 78 of 107 staff were Solomon Islanders, including 41 women. Solomon Islanders held 10 of 28 leadership positions, or 36% of leadership roles.</w:t>
      </w:r>
    </w:p>
  </w:footnote>
  <w:footnote w:id="44">
    <w:p w14:paraId="5FDCD7E0" w14:textId="77777777" w:rsidR="00AE4DF5" w:rsidRPr="00297E4A" w:rsidRDefault="00AE4DF5" w:rsidP="00AE4DF5">
      <w:pPr>
        <w:pStyle w:val="FootnoteText"/>
        <w:rPr>
          <w:lang w:val="en-AU"/>
        </w:rPr>
      </w:pPr>
      <w:r>
        <w:rPr>
          <w:rStyle w:val="FootnoteReference"/>
        </w:rPr>
        <w:footnoteRef/>
      </w:r>
      <w:r>
        <w:t xml:space="preserve"> </w:t>
      </w:r>
      <w:r w:rsidRPr="00297E4A">
        <w:t>In 2025, 1,964 of 2,049 procurements, or 96%, were sourced from Solomon Islands businesses. Thirty-one contracts valued at AUD9.36 million were awarded to Solomon Islands registered entities.</w:t>
      </w:r>
    </w:p>
  </w:footnote>
  <w:footnote w:id="45">
    <w:p w14:paraId="36528E75" w14:textId="77777777" w:rsidR="00AE4DF5" w:rsidRPr="00297E4A" w:rsidRDefault="00AE4DF5" w:rsidP="00AE4DF5">
      <w:pPr>
        <w:pStyle w:val="FootnoteText"/>
        <w:rPr>
          <w:lang w:val="en-AU"/>
        </w:rPr>
      </w:pPr>
      <w:r>
        <w:rPr>
          <w:rStyle w:val="FootnoteReference"/>
        </w:rPr>
        <w:footnoteRef/>
      </w:r>
      <w:r>
        <w:t xml:space="preserve"> </w:t>
      </w:r>
      <w:r w:rsidRPr="00297E4A">
        <w:t>For example, Seif Ples reported that ASIPS+ financial management tools and templates improved its ability to respond to audits and manage donor funds. Safeguarding and gender training also improved confidence and awareness among local organisations, suppliers and security firms.</w:t>
      </w:r>
    </w:p>
  </w:footnote>
  <w:footnote w:id="46">
    <w:p w14:paraId="182FEF6E" w14:textId="77777777" w:rsidR="00AE4DF5" w:rsidRPr="00297E4A" w:rsidRDefault="00AE4DF5" w:rsidP="00AE4DF5">
      <w:pPr>
        <w:pStyle w:val="FootnoteText"/>
        <w:rPr>
          <w:lang w:val="en-AU"/>
        </w:rPr>
      </w:pPr>
      <w:r>
        <w:rPr>
          <w:rStyle w:val="FootnoteReference"/>
        </w:rPr>
        <w:footnoteRef/>
      </w:r>
      <w:r>
        <w:t xml:space="preserve"> </w:t>
      </w:r>
      <w:r w:rsidRPr="00297E4A">
        <w:t>SO17 distributed AUD850,014 in grants, procurement support and capacity development to 27 CSOs and CBOs. SO22 supported SafeNet GBV data systems through an embedded national data adviser, improving standardised reporting across 12 SafeNet partners. SO25 strengthened decentralised health service delivery through provincial engagement, including with Tulagi Provincial Health Department.</w:t>
      </w:r>
    </w:p>
  </w:footnote>
  <w:footnote w:id="47">
    <w:p w14:paraId="02010909" w14:textId="77777777" w:rsidR="00AE4DF5" w:rsidRPr="00297E4A" w:rsidRDefault="00AE4DF5" w:rsidP="00AE4DF5">
      <w:pPr>
        <w:pStyle w:val="FootnoteText"/>
        <w:rPr>
          <w:lang w:val="en-AU"/>
        </w:rPr>
      </w:pPr>
      <w:r>
        <w:rPr>
          <w:rStyle w:val="FootnoteReference"/>
        </w:rPr>
        <w:footnoteRef/>
      </w:r>
      <w:r>
        <w:t xml:space="preserve"> </w:t>
      </w:r>
      <w:r w:rsidRPr="00297E4A">
        <w:t>Sessions explored power dynamics in cross-cultural environments, First Nations engagement principles, links between First Nations practice and localisation, and approaches to leading “at the speed of trust”. Sessions for locally engaged staff focused on confidence in holding crucial workplace conversations.</w:t>
      </w:r>
    </w:p>
  </w:footnote>
  <w:footnote w:id="48">
    <w:p w14:paraId="7CC448FA" w14:textId="77777777" w:rsidR="00AE4DF5" w:rsidRPr="00293A4C" w:rsidRDefault="00AE4DF5" w:rsidP="00AE4DF5">
      <w:pPr>
        <w:pStyle w:val="FootnoteText"/>
        <w:rPr>
          <w:lang w:val="en-AU"/>
        </w:rPr>
      </w:pPr>
      <w:r>
        <w:rPr>
          <w:rStyle w:val="FootnoteReference"/>
        </w:rPr>
        <w:footnoteRef/>
      </w:r>
      <w:r>
        <w:t xml:space="preserve"> </w:t>
      </w:r>
      <w:r w:rsidRPr="00293A4C">
        <w:t xml:space="preserve">Materials include </w:t>
      </w:r>
      <w:proofErr w:type="spellStart"/>
      <w:r w:rsidRPr="00293A4C">
        <w:t>Pijin</w:t>
      </w:r>
      <w:proofErr w:type="spellEnd"/>
      <w:r w:rsidRPr="00293A4C">
        <w:t>-language videos, brochures, checklists, partner toolkits, interactive games, scenario-based training, safeguarding drills and practical “let us know” reporting language. This is important because the Safeguarding Approach recognises that formal reporting language can create barriers in Solomon Islands, hence this approach prioritises accessible, trusted and culturally appropriate reporting pathways.</w:t>
      </w:r>
    </w:p>
  </w:footnote>
  <w:footnote w:id="49">
    <w:p w14:paraId="11308D32" w14:textId="77777777" w:rsidR="00AE4DF5" w:rsidRPr="00293A4C" w:rsidRDefault="00AE4DF5" w:rsidP="00AE4DF5">
      <w:pPr>
        <w:pStyle w:val="FootnoteText"/>
        <w:rPr>
          <w:lang w:val="en-AU"/>
        </w:rPr>
      </w:pPr>
      <w:r>
        <w:rPr>
          <w:rStyle w:val="FootnoteReference"/>
        </w:rPr>
        <w:footnoteRef/>
      </w:r>
      <w:r>
        <w:t xml:space="preserve"> </w:t>
      </w:r>
      <w:r w:rsidRPr="00293A4C">
        <w:t>In 2025, ASIPS+ conducted more than 20 safeguarding induction sessions, drills and knowledge-building sessions for staff, reaching at least 74 participants, including 49 women.</w:t>
      </w:r>
    </w:p>
  </w:footnote>
  <w:footnote w:id="50">
    <w:p w14:paraId="0EA570A3" w14:textId="77777777" w:rsidR="00AE4DF5" w:rsidRPr="00293A4C" w:rsidRDefault="00AE4DF5" w:rsidP="00AE4DF5">
      <w:pPr>
        <w:pStyle w:val="FootnoteText"/>
        <w:rPr>
          <w:lang w:val="en-AU"/>
        </w:rPr>
      </w:pPr>
      <w:r>
        <w:rPr>
          <w:rStyle w:val="FootnoteReference"/>
        </w:rPr>
        <w:footnoteRef/>
      </w:r>
      <w:r>
        <w:t xml:space="preserve"> </w:t>
      </w:r>
      <w:r w:rsidRPr="00293A4C">
        <w:t>ASIPS+ delivered 14 dedicated partner safeguarding sessions, covering advanced safeguards, train-the-trainer approaches, scenario-based workshops, Child Protection, PSEAH, data privacy and other safeguarding risks. These sessions reached 114 participants, including 42 women, from more than 38 partner organisations. Partners included civil society organisations, security firms, suppliers, AHC and SIG-based staff.</w:t>
      </w:r>
    </w:p>
  </w:footnote>
  <w:footnote w:id="51">
    <w:p w14:paraId="7BDEDCE7" w14:textId="77777777" w:rsidR="00AE4DF5" w:rsidRPr="00297E4A" w:rsidRDefault="00AE4DF5" w:rsidP="00AE4DF5">
      <w:pPr>
        <w:pStyle w:val="FootnoteText"/>
        <w:rPr>
          <w:lang w:val="en-AU"/>
        </w:rPr>
      </w:pPr>
      <w:r>
        <w:rPr>
          <w:rStyle w:val="FootnoteReference"/>
        </w:rPr>
        <w:footnoteRef/>
      </w:r>
      <w:r>
        <w:t xml:space="preserve"> </w:t>
      </w:r>
      <w:r w:rsidRPr="00297E4A">
        <w:t>ASIPS+ completed safeguards risk ratings for all active SOs in 2025. Specific safeguards assessments and management plans were developed for Whole of ASIPS+, SO24 SET, SO28 Australia Skills Award Support, SO25 SIAHP and SO17 Capacity Building Grants to CSOs.</w:t>
      </w:r>
    </w:p>
  </w:footnote>
  <w:footnote w:id="52">
    <w:p w14:paraId="2FCD72E5" w14:textId="4BC8B997" w:rsidR="00AE4DF5" w:rsidRPr="00293A4C" w:rsidRDefault="00AE4DF5" w:rsidP="00AE4DF5">
      <w:pPr>
        <w:pStyle w:val="FootnoteText"/>
        <w:rPr>
          <w:lang w:val="en-AU"/>
        </w:rPr>
      </w:pPr>
      <w:r>
        <w:rPr>
          <w:rStyle w:val="FootnoteReference"/>
        </w:rPr>
        <w:footnoteRef/>
      </w:r>
      <w:r>
        <w:t xml:space="preserve"> </w:t>
      </w:r>
      <w:r w:rsidRPr="00293A4C">
        <w:t xml:space="preserve">In 2025, ASIPS+ introduced compulsory safeguarding certification for guards using </w:t>
      </w:r>
      <w:proofErr w:type="spellStart"/>
      <w:r w:rsidRPr="00293A4C">
        <w:t>Pi</w:t>
      </w:r>
      <w:r w:rsidR="0052139D">
        <w:t>djin</w:t>
      </w:r>
      <w:proofErr w:type="spellEnd"/>
      <w:r w:rsidRPr="00293A4C">
        <w:t>-language and scenario-based training. More than 300 guards achieved the pass rate. By December 2025, 450 guards across Honiara had been certified through ASIPS+ and security company trainers. Only safeguarding-certified guards are deployed to AHC sites.</w:t>
      </w:r>
    </w:p>
  </w:footnote>
</w:footnotes>
</file>

<file path=word/intelligence2.xml><?xml version="1.0" encoding="utf-8"?>
<int2:intelligence xmlns:int2="http://schemas.microsoft.com/office/intelligence/2020/intelligence" xmlns:oel="http://schemas.microsoft.com/office/2019/extlst">
  <int2:observations>
    <int2:textHash int2:hashCode="ZS0m/WAOOEaI55" int2:id="b4p7ohXk">
      <int2:state int2:value="Rejected" int2:type="spell"/>
    </int2:textHash>
    <int2:textHash int2:hashCode="EnlCcLOsSq4BPW" int2:id="chLm4Vag">
      <int2:state int2:value="Rejected" int2:type="spell"/>
    </int2:textHash>
    <int2:textHash int2:hashCode="aG+z44WpgrTp0l" int2:id="xJviyDZ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7397"/>
    <w:multiLevelType w:val="hybridMultilevel"/>
    <w:tmpl w:val="8ACE6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62640A"/>
    <w:multiLevelType w:val="multilevel"/>
    <w:tmpl w:val="DED2BEC8"/>
    <w:styleLink w:val="Bullets"/>
    <w:lvl w:ilvl="0">
      <w:start w:val="1"/>
      <w:numFmt w:val="decimal"/>
      <w:lvlText w:val="1.%1."/>
      <w:lvlJc w:val="left"/>
      <w:pPr>
        <w:tabs>
          <w:tab w:val="num" w:pos="284"/>
        </w:tabs>
        <w:ind w:left="284" w:hanging="284"/>
      </w:pPr>
      <w:rPr>
        <w:rFonts w:hint="default"/>
        <w:color w:val="2294CD"/>
      </w:rPr>
    </w:lvl>
    <w:lvl w:ilvl="1">
      <w:start w:val="1"/>
      <w:numFmt w:val="bullet"/>
      <w:lvlText w:val="○"/>
      <w:lvlJc w:val="left"/>
      <w:pPr>
        <w:tabs>
          <w:tab w:val="num" w:pos="567"/>
        </w:tabs>
        <w:ind w:left="568" w:hanging="284"/>
      </w:pPr>
      <w:rPr>
        <w:rFonts w:ascii="Calibri" w:hAnsi="Calibri" w:hint="default"/>
        <w:color w:val="2294CD"/>
      </w:rPr>
    </w:lvl>
    <w:lvl w:ilvl="2">
      <w:start w:val="1"/>
      <w:numFmt w:val="bullet"/>
      <w:lvlText w:val="▪"/>
      <w:lvlJc w:val="left"/>
      <w:pPr>
        <w:tabs>
          <w:tab w:val="num" w:pos="851"/>
        </w:tabs>
        <w:ind w:left="852" w:hanging="284"/>
      </w:pPr>
      <w:rPr>
        <w:rFonts w:ascii="Calibri" w:hAnsi="Calibri" w:hint="default"/>
        <w:color w:val="2294CD"/>
      </w:rPr>
    </w:lvl>
    <w:lvl w:ilvl="3">
      <w:start w:val="1"/>
      <w:numFmt w:val="bullet"/>
      <w:lvlText w:val="−"/>
      <w:lvlJc w:val="left"/>
      <w:pPr>
        <w:tabs>
          <w:tab w:val="num" w:pos="1134"/>
        </w:tabs>
        <w:ind w:left="1136" w:hanging="284"/>
      </w:pPr>
      <w:rPr>
        <w:rFonts w:ascii="Calibri" w:hAnsi="Calibri" w:hint="default"/>
        <w:color w:val="1D336D" w:themeColor="background2"/>
      </w:rPr>
    </w:lvl>
    <w:lvl w:ilvl="4">
      <w:start w:val="1"/>
      <w:numFmt w:val="bullet"/>
      <w:lvlText w:val="−"/>
      <w:lvlJc w:val="left"/>
      <w:pPr>
        <w:tabs>
          <w:tab w:val="num" w:pos="1418"/>
        </w:tabs>
        <w:ind w:left="1420" w:hanging="284"/>
      </w:pPr>
      <w:rPr>
        <w:rFonts w:ascii="Calibri" w:hAnsi="Calibri" w:hint="default"/>
      </w:rPr>
    </w:lvl>
    <w:lvl w:ilvl="5">
      <w:start w:val="1"/>
      <w:numFmt w:val="bullet"/>
      <w:lvlText w:val="−"/>
      <w:lvlJc w:val="left"/>
      <w:pPr>
        <w:tabs>
          <w:tab w:val="num" w:pos="1777"/>
        </w:tabs>
        <w:ind w:left="1704" w:hanging="284"/>
      </w:pPr>
      <w:rPr>
        <w:rFonts w:ascii="Calibri" w:hAnsi="Calibri" w:hint="default"/>
      </w:rPr>
    </w:lvl>
    <w:lvl w:ilvl="6">
      <w:start w:val="1"/>
      <w:numFmt w:val="bullet"/>
      <w:lvlText w:val="−"/>
      <w:lvlJc w:val="left"/>
      <w:pPr>
        <w:tabs>
          <w:tab w:val="num" w:pos="2061"/>
        </w:tabs>
        <w:ind w:left="1988" w:hanging="284"/>
      </w:pPr>
      <w:rPr>
        <w:rFonts w:ascii="Calibri" w:hAnsi="Calibri" w:hint="default"/>
      </w:rPr>
    </w:lvl>
    <w:lvl w:ilvl="7">
      <w:start w:val="1"/>
      <w:numFmt w:val="bullet"/>
      <w:lvlText w:val="−"/>
      <w:lvlJc w:val="left"/>
      <w:pPr>
        <w:tabs>
          <w:tab w:val="num" w:pos="2345"/>
        </w:tabs>
        <w:ind w:left="2272" w:hanging="284"/>
      </w:pPr>
      <w:rPr>
        <w:rFonts w:ascii="Calibri" w:hAnsi="Calibri" w:hint="default"/>
      </w:rPr>
    </w:lvl>
    <w:lvl w:ilvl="8">
      <w:start w:val="1"/>
      <w:numFmt w:val="bullet"/>
      <w:lvlText w:val="−"/>
      <w:lvlJc w:val="left"/>
      <w:pPr>
        <w:tabs>
          <w:tab w:val="num" w:pos="2629"/>
        </w:tabs>
        <w:ind w:left="2556" w:hanging="284"/>
      </w:pPr>
      <w:rPr>
        <w:rFonts w:ascii="Calibri" w:hAnsi="Calibri" w:hint="default"/>
      </w:rPr>
    </w:lvl>
  </w:abstractNum>
  <w:abstractNum w:abstractNumId="2" w15:restartNumberingAfterBreak="0">
    <w:nsid w:val="0A60E456"/>
    <w:multiLevelType w:val="multilevel"/>
    <w:tmpl w:val="3F22456E"/>
    <w:styleLink w:val="AlphaList"/>
    <w:lvl w:ilvl="0">
      <w:start w:val="1"/>
      <w:numFmt w:val="decimal"/>
      <w:lvlText w:val="1.%1."/>
      <w:lvlJc w:val="left"/>
      <w:pPr>
        <w:ind w:left="360" w:hanging="360"/>
      </w:pPr>
      <w:rPr>
        <w:rFonts w:hint="default"/>
      </w:rPr>
    </w:lvl>
    <w:lvl w:ilvl="1">
      <w:start w:val="1"/>
      <w:numFmt w:val="decimal"/>
      <w:lvlText w:val="%1.%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C7464BB"/>
    <w:multiLevelType w:val="multilevel"/>
    <w:tmpl w:val="D3EEE87C"/>
    <w:name w:val="AutoNum"/>
    <w:lvl w:ilvl="0">
      <w:start w:val="1"/>
      <w:numFmt w:val="decimal"/>
      <w:lvlText w:val="%1."/>
      <w:lvlJc w:val="left"/>
      <w:pPr>
        <w:ind w:left="360" w:hanging="360"/>
      </w:pPr>
      <w:rPr>
        <w:rFonts w:asciiTheme="majorHAnsi" w:hAnsiTheme="majorHAnsi" w:hint="default"/>
        <w:b/>
        <w:i w:val="0"/>
        <w:color w:val="585858" w:themeColor="text2"/>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0EB022D8"/>
    <w:multiLevelType w:val="hybridMultilevel"/>
    <w:tmpl w:val="F756204A"/>
    <w:lvl w:ilvl="0" w:tplc="C930CACE">
      <w:start w:val="1"/>
      <w:numFmt w:val="bullet"/>
      <w:pStyle w:val="TableBullets"/>
      <w:lvlText w:val=""/>
      <w:lvlJc w:val="left"/>
      <w:pPr>
        <w:ind w:left="360" w:hanging="360"/>
      </w:pPr>
      <w:rPr>
        <w:rFonts w:ascii="Wingdings" w:hAnsi="Wingdings" w:hint="default"/>
        <w:color w:val="1D336D" w:themeColor="background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DE1AEE"/>
    <w:multiLevelType w:val="hybridMultilevel"/>
    <w:tmpl w:val="9C701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9809AC"/>
    <w:multiLevelType w:val="hybridMultilevel"/>
    <w:tmpl w:val="63FAF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990DDA"/>
    <w:multiLevelType w:val="hybridMultilevel"/>
    <w:tmpl w:val="4EA0D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940C18"/>
    <w:multiLevelType w:val="multilevel"/>
    <w:tmpl w:val="A928FB02"/>
    <w:lvl w:ilvl="0">
      <w:start w:val="1"/>
      <w:numFmt w:val="bullet"/>
      <w:pStyle w:val="BulletedList1-P4SP"/>
      <w:lvlText w:val=""/>
      <w:lvlJc w:val="left"/>
      <w:pPr>
        <w:ind w:left="357" w:hanging="357"/>
      </w:pPr>
      <w:rPr>
        <w:rFonts w:ascii="Symbol" w:hAnsi="Symbol" w:hint="default"/>
      </w:rPr>
    </w:lvl>
    <w:lvl w:ilvl="1">
      <w:start w:val="1"/>
      <w:numFmt w:val="bullet"/>
      <w:pStyle w:val="BulletedList2-P4SP"/>
      <w:lvlText w:val="o"/>
      <w:lvlJc w:val="left"/>
      <w:pPr>
        <w:ind w:left="714" w:hanging="357"/>
      </w:pPr>
      <w:rPr>
        <w:rFonts w:ascii="Courier New" w:hAnsi="Courier New" w:hint="default"/>
      </w:rPr>
    </w:lvl>
    <w:lvl w:ilvl="2">
      <w:start w:val="1"/>
      <w:numFmt w:val="bullet"/>
      <w:pStyle w:val="BulletedList3-P4SP"/>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34256C0"/>
    <w:multiLevelType w:val="multilevel"/>
    <w:tmpl w:val="1436D14C"/>
    <w:lvl w:ilvl="0">
      <w:start w:val="1"/>
      <w:numFmt w:val="none"/>
      <w:pStyle w:val="TableHeading"/>
      <w:lvlText w:val=""/>
      <w:lvlJc w:val="left"/>
      <w:pPr>
        <w:tabs>
          <w:tab w:val="num" w:pos="0"/>
        </w:tabs>
        <w:ind w:left="0" w:firstLine="0"/>
      </w:pPr>
      <w:rPr>
        <w:rFonts w:hint="default"/>
      </w:rPr>
    </w:lvl>
    <w:lvl w:ilvl="1">
      <w:start w:val="1"/>
      <w:numFmt w:val="decimal"/>
      <w:lvlText w:val="%2."/>
      <w:lvlJc w:val="left"/>
      <w:pPr>
        <w:tabs>
          <w:tab w:val="num" w:pos="284"/>
        </w:tabs>
        <w:ind w:left="284" w:hanging="284"/>
      </w:pPr>
      <w:rPr>
        <w:rFonts w:hint="default"/>
        <w:color w:val="1D336D" w:themeColor="background2"/>
      </w:rPr>
    </w:lvl>
    <w:lvl w:ilvl="2">
      <w:start w:val="1"/>
      <w:numFmt w:val="none"/>
      <w:lvlText w:val=""/>
      <w:lvlJc w:val="left"/>
      <w:pPr>
        <w:tabs>
          <w:tab w:val="num" w:pos="568"/>
        </w:tabs>
        <w:ind w:left="568" w:firstLine="0"/>
      </w:pPr>
      <w:rPr>
        <w:rFonts w:hint="default"/>
      </w:rPr>
    </w:lvl>
    <w:lvl w:ilvl="3">
      <w:start w:val="1"/>
      <w:numFmt w:val="none"/>
      <w:lvlText w:val=""/>
      <w:lvlJc w:val="left"/>
      <w:pPr>
        <w:tabs>
          <w:tab w:val="num" w:pos="852"/>
        </w:tabs>
        <w:ind w:left="852" w:firstLine="0"/>
      </w:pPr>
      <w:rPr>
        <w:rFonts w:hint="default"/>
      </w:rPr>
    </w:lvl>
    <w:lvl w:ilvl="4">
      <w:start w:val="1"/>
      <w:numFmt w:val="none"/>
      <w:lvlText w:val=""/>
      <w:lvlJc w:val="left"/>
      <w:pPr>
        <w:tabs>
          <w:tab w:val="num" w:pos="1136"/>
        </w:tabs>
        <w:ind w:left="1136" w:firstLine="0"/>
      </w:pPr>
      <w:rPr>
        <w:rFonts w:hint="default"/>
      </w:rPr>
    </w:lvl>
    <w:lvl w:ilvl="5">
      <w:start w:val="1"/>
      <w:numFmt w:val="none"/>
      <w:lvlText w:val=""/>
      <w:lvlJc w:val="left"/>
      <w:pPr>
        <w:tabs>
          <w:tab w:val="num" w:pos="1420"/>
        </w:tabs>
        <w:ind w:left="1420" w:firstLine="0"/>
      </w:pPr>
      <w:rPr>
        <w:rFonts w:hint="default"/>
      </w:rPr>
    </w:lvl>
    <w:lvl w:ilvl="6">
      <w:start w:val="1"/>
      <w:numFmt w:val="none"/>
      <w:lvlText w:val=""/>
      <w:lvlJc w:val="left"/>
      <w:pPr>
        <w:tabs>
          <w:tab w:val="num" w:pos="1704"/>
        </w:tabs>
        <w:ind w:left="1704" w:firstLine="0"/>
      </w:pPr>
      <w:rPr>
        <w:rFonts w:hint="default"/>
      </w:rPr>
    </w:lvl>
    <w:lvl w:ilvl="7">
      <w:start w:val="1"/>
      <w:numFmt w:val="none"/>
      <w:lvlText w:val=""/>
      <w:lvlJc w:val="left"/>
      <w:pPr>
        <w:tabs>
          <w:tab w:val="num" w:pos="1988"/>
        </w:tabs>
        <w:ind w:left="1988" w:firstLine="0"/>
      </w:pPr>
      <w:rPr>
        <w:rFonts w:hint="default"/>
      </w:rPr>
    </w:lvl>
    <w:lvl w:ilvl="8">
      <w:start w:val="1"/>
      <w:numFmt w:val="none"/>
      <w:lvlText w:val=""/>
      <w:lvlJc w:val="left"/>
      <w:pPr>
        <w:tabs>
          <w:tab w:val="num" w:pos="2272"/>
        </w:tabs>
        <w:ind w:left="2272" w:firstLine="0"/>
      </w:pPr>
      <w:rPr>
        <w:rFonts w:hint="default"/>
      </w:rPr>
    </w:lvl>
  </w:abstractNum>
  <w:abstractNum w:abstractNumId="10" w15:restartNumberingAfterBreak="0">
    <w:nsid w:val="24394B75"/>
    <w:multiLevelType w:val="hybridMultilevel"/>
    <w:tmpl w:val="3310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CF27A3"/>
    <w:multiLevelType w:val="multilevel"/>
    <w:tmpl w:val="09685C38"/>
    <w:styleLink w:val="MasterHeadings"/>
    <w:lvl w:ilvl="0">
      <w:start w:val="1"/>
      <w:numFmt w:val="none"/>
      <w:suff w:val="nothing"/>
      <w:lvlText w:val=""/>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2.%3."/>
      <w:lvlJc w:val="left"/>
      <w:pPr>
        <w:tabs>
          <w:tab w:val="num" w:pos="567"/>
        </w:tabs>
        <w:ind w:left="567" w:hanging="567"/>
      </w:pPr>
      <w:rPr>
        <w:rFonts w:hint="default"/>
      </w:rPr>
    </w:lvl>
    <w:lvl w:ilvl="3">
      <w:start w:val="1"/>
      <w:numFmt w:val="decimal"/>
      <w:lvlText w:val="%2.%3.%4."/>
      <w:lvlJc w:val="left"/>
      <w:pPr>
        <w:tabs>
          <w:tab w:val="num" w:pos="851"/>
        </w:tabs>
        <w:ind w:left="851" w:hanging="851"/>
      </w:pPr>
      <w:rPr>
        <w:rFonts w:hint="default"/>
      </w:rPr>
    </w:lvl>
    <w:lvl w:ilvl="4">
      <w:start w:val="1"/>
      <w:numFmt w:val="decimal"/>
      <w:lvlText w:val="%5."/>
      <w:lvlJc w:val="left"/>
      <w:pPr>
        <w:tabs>
          <w:tab w:val="num" w:pos="851"/>
        </w:tabs>
        <w:ind w:left="851" w:hanging="284"/>
      </w:pPr>
      <w:rPr>
        <w:rFonts w:hint="default"/>
        <w:color w:val="585858" w:themeColor="text2"/>
      </w:rPr>
    </w:lvl>
    <w:lvl w:ilvl="5">
      <w:start w:val="1"/>
      <w:numFmt w:val="lowerLetter"/>
      <w:lvlText w:val="%6."/>
      <w:lvlJc w:val="left"/>
      <w:pPr>
        <w:tabs>
          <w:tab w:val="num" w:pos="1134"/>
        </w:tabs>
        <w:ind w:left="1134" w:hanging="283"/>
      </w:pPr>
      <w:rPr>
        <w:rFonts w:hint="default"/>
        <w:color w:val="585858" w:themeColor="text2"/>
      </w:rPr>
    </w:lvl>
    <w:lvl w:ilvl="6">
      <w:start w:val="1"/>
      <w:numFmt w:val="lowerRoman"/>
      <w:lvlText w:val="%7."/>
      <w:lvlJc w:val="left"/>
      <w:pPr>
        <w:tabs>
          <w:tab w:val="num" w:pos="1418"/>
        </w:tabs>
        <w:ind w:left="1418" w:hanging="284"/>
      </w:pPr>
      <w:rPr>
        <w:rFonts w:hint="default"/>
        <w:color w:val="585858" w:themeColor="text2"/>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CA7235F"/>
    <w:multiLevelType w:val="hybridMultilevel"/>
    <w:tmpl w:val="E9E4733A"/>
    <w:lvl w:ilvl="0" w:tplc="D3588800">
      <w:start w:val="1"/>
      <w:numFmt w:val="decimal"/>
      <w:lvlText w:val="%1."/>
      <w:lvlJc w:val="left"/>
      <w:pPr>
        <w:ind w:left="720" w:hanging="360"/>
      </w:pPr>
      <w:rPr>
        <w:b w:val="0"/>
        <w:bCs w:val="0"/>
      </w:rPr>
    </w:lvl>
    <w:lvl w:ilvl="1" w:tplc="24D41B52">
      <w:start w:val="1"/>
      <w:numFmt w:val="lowerLetter"/>
      <w:lvlText w:val="%2."/>
      <w:lvlJc w:val="left"/>
      <w:pPr>
        <w:ind w:left="1440" w:hanging="360"/>
      </w:pPr>
    </w:lvl>
    <w:lvl w:ilvl="2" w:tplc="7742A78C">
      <w:start w:val="1"/>
      <w:numFmt w:val="lowerRoman"/>
      <w:lvlText w:val="%3."/>
      <w:lvlJc w:val="right"/>
      <w:pPr>
        <w:ind w:left="2160" w:hanging="180"/>
      </w:pPr>
    </w:lvl>
    <w:lvl w:ilvl="3" w:tplc="2BBC1B3C">
      <w:start w:val="1"/>
      <w:numFmt w:val="decimal"/>
      <w:lvlText w:val="%4."/>
      <w:lvlJc w:val="left"/>
      <w:pPr>
        <w:ind w:left="2880" w:hanging="360"/>
      </w:pPr>
    </w:lvl>
    <w:lvl w:ilvl="4" w:tplc="0DE8D00C">
      <w:start w:val="1"/>
      <w:numFmt w:val="lowerLetter"/>
      <w:lvlText w:val="%5."/>
      <w:lvlJc w:val="left"/>
      <w:pPr>
        <w:ind w:left="3600" w:hanging="360"/>
      </w:pPr>
    </w:lvl>
    <w:lvl w:ilvl="5" w:tplc="E248A1B0">
      <w:start w:val="1"/>
      <w:numFmt w:val="lowerRoman"/>
      <w:lvlText w:val="%6."/>
      <w:lvlJc w:val="right"/>
      <w:pPr>
        <w:ind w:left="4320" w:hanging="180"/>
      </w:pPr>
    </w:lvl>
    <w:lvl w:ilvl="6" w:tplc="521C540C">
      <w:start w:val="1"/>
      <w:numFmt w:val="decimal"/>
      <w:lvlText w:val="%7."/>
      <w:lvlJc w:val="left"/>
      <w:pPr>
        <w:ind w:left="5040" w:hanging="360"/>
      </w:pPr>
    </w:lvl>
    <w:lvl w:ilvl="7" w:tplc="A4980AB2">
      <w:start w:val="1"/>
      <w:numFmt w:val="lowerLetter"/>
      <w:lvlText w:val="%8."/>
      <w:lvlJc w:val="left"/>
      <w:pPr>
        <w:ind w:left="5760" w:hanging="360"/>
      </w:pPr>
    </w:lvl>
    <w:lvl w:ilvl="8" w:tplc="CF0E08B4">
      <w:start w:val="1"/>
      <w:numFmt w:val="lowerRoman"/>
      <w:lvlText w:val="%9."/>
      <w:lvlJc w:val="right"/>
      <w:pPr>
        <w:ind w:left="6480" w:hanging="180"/>
      </w:pPr>
    </w:lvl>
  </w:abstractNum>
  <w:abstractNum w:abstractNumId="13" w15:restartNumberingAfterBreak="0">
    <w:nsid w:val="2F1868E4"/>
    <w:multiLevelType w:val="hybridMultilevel"/>
    <w:tmpl w:val="79F8B8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EE6ABF"/>
    <w:multiLevelType w:val="hybridMultilevel"/>
    <w:tmpl w:val="FF7A8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572336"/>
    <w:multiLevelType w:val="hybridMultilevel"/>
    <w:tmpl w:val="0FDE3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537934"/>
    <w:multiLevelType w:val="hybridMultilevel"/>
    <w:tmpl w:val="3404F238"/>
    <w:lvl w:ilvl="0" w:tplc="0C090001">
      <w:start w:val="1"/>
      <w:numFmt w:val="bullet"/>
      <w:lvlText w:val=""/>
      <w:lvlJc w:val="left"/>
      <w:pPr>
        <w:ind w:left="574" w:hanging="360"/>
      </w:pPr>
      <w:rPr>
        <w:rFonts w:ascii="Symbol" w:hAnsi="Symbol" w:hint="default"/>
      </w:rPr>
    </w:lvl>
    <w:lvl w:ilvl="1" w:tplc="0C090003" w:tentative="1">
      <w:start w:val="1"/>
      <w:numFmt w:val="bullet"/>
      <w:lvlText w:val="o"/>
      <w:lvlJc w:val="left"/>
      <w:pPr>
        <w:ind w:left="1294" w:hanging="360"/>
      </w:pPr>
      <w:rPr>
        <w:rFonts w:ascii="Courier New" w:hAnsi="Courier New" w:cs="Courier New" w:hint="default"/>
      </w:rPr>
    </w:lvl>
    <w:lvl w:ilvl="2" w:tplc="0C090005" w:tentative="1">
      <w:start w:val="1"/>
      <w:numFmt w:val="bullet"/>
      <w:lvlText w:val=""/>
      <w:lvlJc w:val="left"/>
      <w:pPr>
        <w:ind w:left="2014" w:hanging="360"/>
      </w:pPr>
      <w:rPr>
        <w:rFonts w:ascii="Wingdings" w:hAnsi="Wingdings" w:hint="default"/>
      </w:rPr>
    </w:lvl>
    <w:lvl w:ilvl="3" w:tplc="0C090001" w:tentative="1">
      <w:start w:val="1"/>
      <w:numFmt w:val="bullet"/>
      <w:lvlText w:val=""/>
      <w:lvlJc w:val="left"/>
      <w:pPr>
        <w:ind w:left="2734" w:hanging="360"/>
      </w:pPr>
      <w:rPr>
        <w:rFonts w:ascii="Symbol" w:hAnsi="Symbol" w:hint="default"/>
      </w:rPr>
    </w:lvl>
    <w:lvl w:ilvl="4" w:tplc="0C090003" w:tentative="1">
      <w:start w:val="1"/>
      <w:numFmt w:val="bullet"/>
      <w:lvlText w:val="o"/>
      <w:lvlJc w:val="left"/>
      <w:pPr>
        <w:ind w:left="3454" w:hanging="360"/>
      </w:pPr>
      <w:rPr>
        <w:rFonts w:ascii="Courier New" w:hAnsi="Courier New" w:cs="Courier New" w:hint="default"/>
      </w:rPr>
    </w:lvl>
    <w:lvl w:ilvl="5" w:tplc="0C090005" w:tentative="1">
      <w:start w:val="1"/>
      <w:numFmt w:val="bullet"/>
      <w:lvlText w:val=""/>
      <w:lvlJc w:val="left"/>
      <w:pPr>
        <w:ind w:left="4174" w:hanging="360"/>
      </w:pPr>
      <w:rPr>
        <w:rFonts w:ascii="Wingdings" w:hAnsi="Wingdings" w:hint="default"/>
      </w:rPr>
    </w:lvl>
    <w:lvl w:ilvl="6" w:tplc="0C090001" w:tentative="1">
      <w:start w:val="1"/>
      <w:numFmt w:val="bullet"/>
      <w:lvlText w:val=""/>
      <w:lvlJc w:val="left"/>
      <w:pPr>
        <w:ind w:left="4894" w:hanging="360"/>
      </w:pPr>
      <w:rPr>
        <w:rFonts w:ascii="Symbol" w:hAnsi="Symbol" w:hint="default"/>
      </w:rPr>
    </w:lvl>
    <w:lvl w:ilvl="7" w:tplc="0C090003" w:tentative="1">
      <w:start w:val="1"/>
      <w:numFmt w:val="bullet"/>
      <w:lvlText w:val="o"/>
      <w:lvlJc w:val="left"/>
      <w:pPr>
        <w:ind w:left="5614" w:hanging="360"/>
      </w:pPr>
      <w:rPr>
        <w:rFonts w:ascii="Courier New" w:hAnsi="Courier New" w:cs="Courier New" w:hint="default"/>
      </w:rPr>
    </w:lvl>
    <w:lvl w:ilvl="8" w:tplc="0C090005" w:tentative="1">
      <w:start w:val="1"/>
      <w:numFmt w:val="bullet"/>
      <w:lvlText w:val=""/>
      <w:lvlJc w:val="left"/>
      <w:pPr>
        <w:ind w:left="6334" w:hanging="360"/>
      </w:pPr>
      <w:rPr>
        <w:rFonts w:ascii="Wingdings" w:hAnsi="Wingdings" w:hint="default"/>
      </w:rPr>
    </w:lvl>
  </w:abstractNum>
  <w:abstractNum w:abstractNumId="17" w15:restartNumberingAfterBreak="0">
    <w:nsid w:val="357D9956"/>
    <w:multiLevelType w:val="hybridMultilevel"/>
    <w:tmpl w:val="5EB83C20"/>
    <w:lvl w:ilvl="0" w:tplc="0EDEB090">
      <w:start w:val="1"/>
      <w:numFmt w:val="bullet"/>
      <w:lvlText w:val=""/>
      <w:lvlJc w:val="left"/>
      <w:pPr>
        <w:ind w:left="717" w:hanging="360"/>
      </w:pPr>
      <w:rPr>
        <w:rFonts w:ascii="Symbol" w:hAnsi="Symbol" w:hint="default"/>
      </w:rPr>
    </w:lvl>
    <w:lvl w:ilvl="1" w:tplc="0AD4D0F8">
      <w:start w:val="1"/>
      <w:numFmt w:val="bullet"/>
      <w:lvlText w:val="o"/>
      <w:lvlJc w:val="left"/>
      <w:pPr>
        <w:ind w:left="1440" w:hanging="360"/>
      </w:pPr>
      <w:rPr>
        <w:rFonts w:ascii="Courier New" w:hAnsi="Courier New" w:hint="default"/>
      </w:rPr>
    </w:lvl>
    <w:lvl w:ilvl="2" w:tplc="3EF4629E">
      <w:start w:val="1"/>
      <w:numFmt w:val="bullet"/>
      <w:lvlText w:val=""/>
      <w:lvlJc w:val="left"/>
      <w:pPr>
        <w:ind w:left="2160" w:hanging="360"/>
      </w:pPr>
      <w:rPr>
        <w:rFonts w:ascii="Wingdings" w:hAnsi="Wingdings" w:hint="default"/>
      </w:rPr>
    </w:lvl>
    <w:lvl w:ilvl="3" w:tplc="E5FA325C">
      <w:start w:val="1"/>
      <w:numFmt w:val="bullet"/>
      <w:lvlText w:val=""/>
      <w:lvlJc w:val="left"/>
      <w:pPr>
        <w:ind w:left="2880" w:hanging="360"/>
      </w:pPr>
      <w:rPr>
        <w:rFonts w:ascii="Symbol" w:hAnsi="Symbol" w:hint="default"/>
      </w:rPr>
    </w:lvl>
    <w:lvl w:ilvl="4" w:tplc="615EE352">
      <w:start w:val="1"/>
      <w:numFmt w:val="bullet"/>
      <w:lvlText w:val="o"/>
      <w:lvlJc w:val="left"/>
      <w:pPr>
        <w:ind w:left="3600" w:hanging="360"/>
      </w:pPr>
      <w:rPr>
        <w:rFonts w:ascii="Courier New" w:hAnsi="Courier New" w:hint="default"/>
      </w:rPr>
    </w:lvl>
    <w:lvl w:ilvl="5" w:tplc="772AFDBC">
      <w:start w:val="1"/>
      <w:numFmt w:val="bullet"/>
      <w:lvlText w:val=""/>
      <w:lvlJc w:val="left"/>
      <w:pPr>
        <w:ind w:left="4320" w:hanging="360"/>
      </w:pPr>
      <w:rPr>
        <w:rFonts w:ascii="Wingdings" w:hAnsi="Wingdings" w:hint="default"/>
      </w:rPr>
    </w:lvl>
    <w:lvl w:ilvl="6" w:tplc="AD3C5C28">
      <w:start w:val="1"/>
      <w:numFmt w:val="bullet"/>
      <w:lvlText w:val=""/>
      <w:lvlJc w:val="left"/>
      <w:pPr>
        <w:ind w:left="5040" w:hanging="360"/>
      </w:pPr>
      <w:rPr>
        <w:rFonts w:ascii="Symbol" w:hAnsi="Symbol" w:hint="default"/>
      </w:rPr>
    </w:lvl>
    <w:lvl w:ilvl="7" w:tplc="CC0431B4">
      <w:start w:val="1"/>
      <w:numFmt w:val="bullet"/>
      <w:lvlText w:val="o"/>
      <w:lvlJc w:val="left"/>
      <w:pPr>
        <w:ind w:left="5760" w:hanging="360"/>
      </w:pPr>
      <w:rPr>
        <w:rFonts w:ascii="Courier New" w:hAnsi="Courier New" w:hint="default"/>
      </w:rPr>
    </w:lvl>
    <w:lvl w:ilvl="8" w:tplc="32CAECC8">
      <w:start w:val="1"/>
      <w:numFmt w:val="bullet"/>
      <w:lvlText w:val=""/>
      <w:lvlJc w:val="left"/>
      <w:pPr>
        <w:ind w:left="6480" w:hanging="360"/>
      </w:pPr>
      <w:rPr>
        <w:rFonts w:ascii="Wingdings" w:hAnsi="Wingdings" w:hint="default"/>
      </w:rPr>
    </w:lvl>
  </w:abstractNum>
  <w:abstractNum w:abstractNumId="18" w15:restartNumberingAfterBreak="0">
    <w:nsid w:val="368256B4"/>
    <w:multiLevelType w:val="multilevel"/>
    <w:tmpl w:val="F50A1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8D7E0E"/>
    <w:multiLevelType w:val="multilevel"/>
    <w:tmpl w:val="631E0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7065B8"/>
    <w:multiLevelType w:val="hybridMultilevel"/>
    <w:tmpl w:val="1338C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F25DA2"/>
    <w:multiLevelType w:val="hybridMultilevel"/>
    <w:tmpl w:val="95F2D0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572BB8"/>
    <w:multiLevelType w:val="hybridMultilevel"/>
    <w:tmpl w:val="001A2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7F599F"/>
    <w:multiLevelType w:val="multilevel"/>
    <w:tmpl w:val="7DAEDE7A"/>
    <w:lvl w:ilvl="0">
      <w:start w:val="1"/>
      <w:numFmt w:val="decimal"/>
      <w:lvlText w:val="%1."/>
      <w:lvlJc w:val="left"/>
      <w:pPr>
        <w:ind w:left="546" w:hanging="54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DC36C1"/>
    <w:multiLevelType w:val="multilevel"/>
    <w:tmpl w:val="9F24BA58"/>
    <w:lvl w:ilvl="0">
      <w:start w:val="1"/>
      <w:numFmt w:val="decimal"/>
      <w:lvlText w:val="%1."/>
      <w:lvlJc w:val="left"/>
      <w:pPr>
        <w:ind w:left="429" w:hanging="429"/>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F204247"/>
    <w:multiLevelType w:val="multilevel"/>
    <w:tmpl w:val="1B2E107C"/>
    <w:styleLink w:val="Headings"/>
    <w:lvl w:ilvl="0">
      <w:start w:val="1"/>
      <w:numFmt w:val="decimal"/>
      <w:lvlText w:val="%1."/>
      <w:lvlJc w:val="left"/>
      <w:pPr>
        <w:tabs>
          <w:tab w:val="num" w:pos="284"/>
        </w:tabs>
        <w:ind w:left="284" w:hanging="284"/>
      </w:pPr>
      <w:rPr>
        <w:rFonts w:hint="default"/>
        <w:color w:val="2294CD"/>
      </w:rPr>
    </w:lvl>
    <w:lvl w:ilvl="1">
      <w:start w:val="1"/>
      <w:numFmt w:val="lowerLetter"/>
      <w:lvlText w:val="%2."/>
      <w:lvlJc w:val="left"/>
      <w:pPr>
        <w:tabs>
          <w:tab w:val="num" w:pos="567"/>
        </w:tabs>
        <w:ind w:left="568" w:hanging="284"/>
      </w:pPr>
      <w:rPr>
        <w:rFonts w:hint="default"/>
        <w:color w:val="2294CD"/>
      </w:rPr>
    </w:lvl>
    <w:lvl w:ilvl="2">
      <w:start w:val="1"/>
      <w:numFmt w:val="lowerRoman"/>
      <w:lvlText w:val="%3."/>
      <w:lvlJc w:val="left"/>
      <w:pPr>
        <w:tabs>
          <w:tab w:val="num" w:pos="851"/>
        </w:tabs>
        <w:ind w:left="852" w:hanging="284"/>
      </w:pPr>
      <w:rPr>
        <w:rFonts w:hint="default"/>
        <w:color w:val="2294CD"/>
      </w:rPr>
    </w:lvl>
    <w:lvl w:ilvl="3">
      <w:start w:val="1"/>
      <w:numFmt w:val="none"/>
      <w:lvlText w:val=""/>
      <w:lvlJc w:val="left"/>
      <w:pPr>
        <w:tabs>
          <w:tab w:val="num" w:pos="284"/>
        </w:tabs>
        <w:ind w:left="1136" w:hanging="284"/>
      </w:pPr>
      <w:rPr>
        <w:rFonts w:hint="default"/>
        <w:b w:val="0"/>
        <w:i w:val="0"/>
        <w:color w:val="1D336D" w:themeColor="background2"/>
      </w:rPr>
    </w:lvl>
    <w:lvl w:ilvl="4">
      <w:start w:val="1"/>
      <w:numFmt w:val="none"/>
      <w:lvlText w:val=""/>
      <w:lvlJc w:val="left"/>
      <w:pPr>
        <w:tabs>
          <w:tab w:val="num" w:pos="567"/>
        </w:tabs>
        <w:ind w:left="1420" w:hanging="284"/>
      </w:pPr>
      <w:rPr>
        <w:rFonts w:hint="default"/>
        <w:b w:val="0"/>
        <w:i w:val="0"/>
        <w:color w:val="1D336D" w:themeColor="background2"/>
      </w:rPr>
    </w:lvl>
    <w:lvl w:ilvl="5">
      <w:start w:val="1"/>
      <w:numFmt w:val="none"/>
      <w:lvlText w:val=""/>
      <w:lvlJc w:val="left"/>
      <w:pPr>
        <w:tabs>
          <w:tab w:val="num" w:pos="851"/>
        </w:tabs>
        <w:ind w:left="1704" w:hanging="284"/>
      </w:pPr>
      <w:rPr>
        <w:rFonts w:hint="default"/>
        <w:b w:val="0"/>
        <w:i w:val="0"/>
        <w:color w:val="1D336D" w:themeColor="background2"/>
      </w:rPr>
    </w:lvl>
    <w:lvl w:ilvl="6">
      <w:start w:val="1"/>
      <w:numFmt w:val="none"/>
      <w:lvlText w:val=""/>
      <w:lvlJc w:val="left"/>
      <w:pPr>
        <w:ind w:left="1988" w:hanging="284"/>
      </w:pPr>
      <w:rPr>
        <w:rFonts w:hint="default"/>
      </w:rPr>
    </w:lvl>
    <w:lvl w:ilvl="7">
      <w:start w:val="1"/>
      <w:numFmt w:val="none"/>
      <w:suff w:val="nothing"/>
      <w:lvlText w:val=""/>
      <w:lvlJc w:val="left"/>
      <w:pPr>
        <w:ind w:left="2272" w:hanging="284"/>
      </w:pPr>
      <w:rPr>
        <w:rFonts w:hint="default"/>
      </w:rPr>
    </w:lvl>
    <w:lvl w:ilvl="8">
      <w:start w:val="1"/>
      <w:numFmt w:val="none"/>
      <w:suff w:val="nothing"/>
      <w:lvlText w:val=""/>
      <w:lvlJc w:val="left"/>
      <w:pPr>
        <w:ind w:left="2556" w:hanging="284"/>
      </w:pPr>
      <w:rPr>
        <w:rFonts w:hint="default"/>
      </w:rPr>
    </w:lvl>
  </w:abstractNum>
  <w:abstractNum w:abstractNumId="26" w15:restartNumberingAfterBreak="0">
    <w:nsid w:val="50F21CC2"/>
    <w:multiLevelType w:val="hybridMultilevel"/>
    <w:tmpl w:val="08505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8E6D6FD"/>
    <w:multiLevelType w:val="hybridMultilevel"/>
    <w:tmpl w:val="0CD828F6"/>
    <w:lvl w:ilvl="0" w:tplc="B8E26AA2">
      <w:start w:val="1"/>
      <w:numFmt w:val="bullet"/>
      <w:lvlText w:val=""/>
      <w:lvlJc w:val="left"/>
      <w:pPr>
        <w:ind w:left="720" w:hanging="360"/>
      </w:pPr>
      <w:rPr>
        <w:rFonts w:ascii="Symbol" w:hAnsi="Symbol" w:hint="default"/>
      </w:rPr>
    </w:lvl>
    <w:lvl w:ilvl="1" w:tplc="40B83BDE">
      <w:start w:val="1"/>
      <w:numFmt w:val="bullet"/>
      <w:lvlText w:val="o"/>
      <w:lvlJc w:val="left"/>
      <w:pPr>
        <w:ind w:left="1440" w:hanging="360"/>
      </w:pPr>
      <w:rPr>
        <w:rFonts w:ascii="Courier New" w:hAnsi="Courier New" w:hint="default"/>
      </w:rPr>
    </w:lvl>
    <w:lvl w:ilvl="2" w:tplc="4306B1F6">
      <w:start w:val="1"/>
      <w:numFmt w:val="bullet"/>
      <w:lvlText w:val=""/>
      <w:lvlJc w:val="left"/>
      <w:pPr>
        <w:ind w:left="2160" w:hanging="360"/>
      </w:pPr>
      <w:rPr>
        <w:rFonts w:ascii="Wingdings" w:hAnsi="Wingdings" w:hint="default"/>
      </w:rPr>
    </w:lvl>
    <w:lvl w:ilvl="3" w:tplc="B71AE388">
      <w:start w:val="1"/>
      <w:numFmt w:val="bullet"/>
      <w:lvlText w:val=""/>
      <w:lvlJc w:val="left"/>
      <w:pPr>
        <w:ind w:left="2880" w:hanging="360"/>
      </w:pPr>
      <w:rPr>
        <w:rFonts w:ascii="Symbol" w:hAnsi="Symbol" w:hint="default"/>
      </w:rPr>
    </w:lvl>
    <w:lvl w:ilvl="4" w:tplc="56EC0D5E">
      <w:start w:val="1"/>
      <w:numFmt w:val="bullet"/>
      <w:lvlText w:val="o"/>
      <w:lvlJc w:val="left"/>
      <w:pPr>
        <w:ind w:left="3600" w:hanging="360"/>
      </w:pPr>
      <w:rPr>
        <w:rFonts w:ascii="Courier New" w:hAnsi="Courier New" w:hint="default"/>
      </w:rPr>
    </w:lvl>
    <w:lvl w:ilvl="5" w:tplc="23CA4CAE">
      <w:start w:val="1"/>
      <w:numFmt w:val="bullet"/>
      <w:lvlText w:val=""/>
      <w:lvlJc w:val="left"/>
      <w:pPr>
        <w:ind w:left="4320" w:hanging="360"/>
      </w:pPr>
      <w:rPr>
        <w:rFonts w:ascii="Wingdings" w:hAnsi="Wingdings" w:hint="default"/>
      </w:rPr>
    </w:lvl>
    <w:lvl w:ilvl="6" w:tplc="43E4DC34">
      <w:start w:val="1"/>
      <w:numFmt w:val="bullet"/>
      <w:lvlText w:val=""/>
      <w:lvlJc w:val="left"/>
      <w:pPr>
        <w:ind w:left="5040" w:hanging="360"/>
      </w:pPr>
      <w:rPr>
        <w:rFonts w:ascii="Symbol" w:hAnsi="Symbol" w:hint="default"/>
      </w:rPr>
    </w:lvl>
    <w:lvl w:ilvl="7" w:tplc="74F8BE52">
      <w:start w:val="1"/>
      <w:numFmt w:val="bullet"/>
      <w:lvlText w:val="o"/>
      <w:lvlJc w:val="left"/>
      <w:pPr>
        <w:ind w:left="5760" w:hanging="360"/>
      </w:pPr>
      <w:rPr>
        <w:rFonts w:ascii="Courier New" w:hAnsi="Courier New" w:hint="default"/>
      </w:rPr>
    </w:lvl>
    <w:lvl w:ilvl="8" w:tplc="D1400806">
      <w:start w:val="1"/>
      <w:numFmt w:val="bullet"/>
      <w:lvlText w:val=""/>
      <w:lvlJc w:val="left"/>
      <w:pPr>
        <w:ind w:left="6480" w:hanging="360"/>
      </w:pPr>
      <w:rPr>
        <w:rFonts w:ascii="Wingdings" w:hAnsi="Wingdings" w:hint="default"/>
      </w:rPr>
    </w:lvl>
  </w:abstractNum>
  <w:abstractNum w:abstractNumId="28" w15:restartNumberingAfterBreak="0">
    <w:nsid w:val="5A2CB497"/>
    <w:multiLevelType w:val="hybridMultilevel"/>
    <w:tmpl w:val="2286BAAA"/>
    <w:lvl w:ilvl="0" w:tplc="98E043F2">
      <w:start w:val="1"/>
      <w:numFmt w:val="bullet"/>
      <w:lvlText w:val=""/>
      <w:lvlJc w:val="left"/>
      <w:pPr>
        <w:ind w:left="644" w:hanging="360"/>
      </w:pPr>
      <w:rPr>
        <w:rFonts w:ascii="Symbol" w:hAnsi="Symbol" w:hint="default"/>
      </w:rPr>
    </w:lvl>
    <w:lvl w:ilvl="1" w:tplc="E8EE7196">
      <w:start w:val="1"/>
      <w:numFmt w:val="bullet"/>
      <w:lvlText w:val="o"/>
      <w:lvlJc w:val="left"/>
      <w:pPr>
        <w:ind w:left="1364" w:hanging="360"/>
      </w:pPr>
      <w:rPr>
        <w:rFonts w:ascii="Courier New" w:hAnsi="Courier New" w:hint="default"/>
      </w:rPr>
    </w:lvl>
    <w:lvl w:ilvl="2" w:tplc="FCC24C8E">
      <w:start w:val="1"/>
      <w:numFmt w:val="bullet"/>
      <w:lvlText w:val=""/>
      <w:lvlJc w:val="left"/>
      <w:pPr>
        <w:ind w:left="2084" w:hanging="360"/>
      </w:pPr>
      <w:rPr>
        <w:rFonts w:ascii="Wingdings" w:hAnsi="Wingdings" w:hint="default"/>
      </w:rPr>
    </w:lvl>
    <w:lvl w:ilvl="3" w:tplc="65C49FC6">
      <w:start w:val="1"/>
      <w:numFmt w:val="bullet"/>
      <w:lvlText w:val=""/>
      <w:lvlJc w:val="left"/>
      <w:pPr>
        <w:ind w:left="2804" w:hanging="360"/>
      </w:pPr>
      <w:rPr>
        <w:rFonts w:ascii="Symbol" w:hAnsi="Symbol" w:hint="default"/>
      </w:rPr>
    </w:lvl>
    <w:lvl w:ilvl="4" w:tplc="0D3283FE">
      <w:start w:val="1"/>
      <w:numFmt w:val="bullet"/>
      <w:lvlText w:val="o"/>
      <w:lvlJc w:val="left"/>
      <w:pPr>
        <w:ind w:left="3524" w:hanging="360"/>
      </w:pPr>
      <w:rPr>
        <w:rFonts w:ascii="Courier New" w:hAnsi="Courier New" w:hint="default"/>
      </w:rPr>
    </w:lvl>
    <w:lvl w:ilvl="5" w:tplc="0FB4C3E2">
      <w:start w:val="1"/>
      <w:numFmt w:val="bullet"/>
      <w:lvlText w:val=""/>
      <w:lvlJc w:val="left"/>
      <w:pPr>
        <w:ind w:left="4244" w:hanging="360"/>
      </w:pPr>
      <w:rPr>
        <w:rFonts w:ascii="Wingdings" w:hAnsi="Wingdings" w:hint="default"/>
      </w:rPr>
    </w:lvl>
    <w:lvl w:ilvl="6" w:tplc="37E8240E">
      <w:start w:val="1"/>
      <w:numFmt w:val="bullet"/>
      <w:lvlText w:val=""/>
      <w:lvlJc w:val="left"/>
      <w:pPr>
        <w:ind w:left="4964" w:hanging="360"/>
      </w:pPr>
      <w:rPr>
        <w:rFonts w:ascii="Symbol" w:hAnsi="Symbol" w:hint="default"/>
      </w:rPr>
    </w:lvl>
    <w:lvl w:ilvl="7" w:tplc="88D84CB6">
      <w:start w:val="1"/>
      <w:numFmt w:val="bullet"/>
      <w:lvlText w:val="o"/>
      <w:lvlJc w:val="left"/>
      <w:pPr>
        <w:ind w:left="5684" w:hanging="360"/>
      </w:pPr>
      <w:rPr>
        <w:rFonts w:ascii="Courier New" w:hAnsi="Courier New" w:hint="default"/>
      </w:rPr>
    </w:lvl>
    <w:lvl w:ilvl="8" w:tplc="65E696B0">
      <w:start w:val="1"/>
      <w:numFmt w:val="bullet"/>
      <w:lvlText w:val=""/>
      <w:lvlJc w:val="left"/>
      <w:pPr>
        <w:ind w:left="6404" w:hanging="360"/>
      </w:pPr>
      <w:rPr>
        <w:rFonts w:ascii="Wingdings" w:hAnsi="Wingdings" w:hint="default"/>
      </w:rPr>
    </w:lvl>
  </w:abstractNum>
  <w:abstractNum w:abstractNumId="29" w15:restartNumberingAfterBreak="0">
    <w:nsid w:val="624114F1"/>
    <w:multiLevelType w:val="hybridMultilevel"/>
    <w:tmpl w:val="123CF99C"/>
    <w:lvl w:ilvl="0" w:tplc="9BE65028">
      <w:start w:val="1"/>
      <w:numFmt w:val="lowerLetter"/>
      <w:lvlText w:val="%1)"/>
      <w:lvlJc w:val="left"/>
      <w:pPr>
        <w:ind w:left="644" w:hanging="360"/>
      </w:pPr>
    </w:lvl>
    <w:lvl w:ilvl="1" w:tplc="7A36EA18">
      <w:start w:val="1"/>
      <w:numFmt w:val="lowerLetter"/>
      <w:lvlText w:val="%2."/>
      <w:lvlJc w:val="left"/>
      <w:pPr>
        <w:ind w:left="1364" w:hanging="360"/>
      </w:pPr>
    </w:lvl>
    <w:lvl w:ilvl="2" w:tplc="5260AD9E">
      <w:start w:val="1"/>
      <w:numFmt w:val="lowerRoman"/>
      <w:lvlText w:val="%3."/>
      <w:lvlJc w:val="right"/>
      <w:pPr>
        <w:ind w:left="2084" w:hanging="180"/>
      </w:pPr>
    </w:lvl>
    <w:lvl w:ilvl="3" w:tplc="1310D01C">
      <w:start w:val="1"/>
      <w:numFmt w:val="decimal"/>
      <w:lvlText w:val="%4."/>
      <w:lvlJc w:val="left"/>
      <w:pPr>
        <w:ind w:left="2804" w:hanging="360"/>
      </w:pPr>
    </w:lvl>
    <w:lvl w:ilvl="4" w:tplc="42EE0A68">
      <w:start w:val="1"/>
      <w:numFmt w:val="lowerLetter"/>
      <w:lvlText w:val="%5."/>
      <w:lvlJc w:val="left"/>
      <w:pPr>
        <w:ind w:left="3524" w:hanging="360"/>
      </w:pPr>
    </w:lvl>
    <w:lvl w:ilvl="5" w:tplc="AB463164">
      <w:start w:val="1"/>
      <w:numFmt w:val="lowerRoman"/>
      <w:lvlText w:val="%6."/>
      <w:lvlJc w:val="right"/>
      <w:pPr>
        <w:ind w:left="4244" w:hanging="180"/>
      </w:pPr>
    </w:lvl>
    <w:lvl w:ilvl="6" w:tplc="1148744E">
      <w:start w:val="1"/>
      <w:numFmt w:val="decimal"/>
      <w:lvlText w:val="%7."/>
      <w:lvlJc w:val="left"/>
      <w:pPr>
        <w:ind w:left="4964" w:hanging="360"/>
      </w:pPr>
    </w:lvl>
    <w:lvl w:ilvl="7" w:tplc="300CC430">
      <w:start w:val="1"/>
      <w:numFmt w:val="lowerLetter"/>
      <w:lvlText w:val="%8."/>
      <w:lvlJc w:val="left"/>
      <w:pPr>
        <w:ind w:left="5684" w:hanging="360"/>
      </w:pPr>
    </w:lvl>
    <w:lvl w:ilvl="8" w:tplc="E5047938">
      <w:start w:val="1"/>
      <w:numFmt w:val="lowerRoman"/>
      <w:lvlText w:val="%9."/>
      <w:lvlJc w:val="right"/>
      <w:pPr>
        <w:ind w:left="6404" w:hanging="180"/>
      </w:pPr>
    </w:lvl>
  </w:abstractNum>
  <w:abstractNum w:abstractNumId="30" w15:restartNumberingAfterBreak="0">
    <w:nsid w:val="627D1F93"/>
    <w:multiLevelType w:val="multilevel"/>
    <w:tmpl w:val="BE2AD7E0"/>
    <w:styleLink w:val="NumberedList"/>
    <w:lvl w:ilvl="0">
      <w:start w:val="1"/>
      <w:numFmt w:val="decimal"/>
      <w:lvlText w:val="%1."/>
      <w:lvlJc w:val="left"/>
      <w:pPr>
        <w:ind w:left="357" w:hanging="357"/>
      </w:pPr>
      <w:rPr>
        <w:rFonts w:hint="default"/>
        <w:b w:val="0"/>
        <w:i w:val="0"/>
        <w:color w:val="585858" w:themeColor="text2"/>
      </w:rPr>
    </w:lvl>
    <w:lvl w:ilvl="1">
      <w:start w:val="1"/>
      <w:numFmt w:val="lowerLetter"/>
      <w:lvlText w:val="%2."/>
      <w:lvlJc w:val="left"/>
      <w:pPr>
        <w:ind w:left="714" w:hanging="357"/>
      </w:pPr>
      <w:rPr>
        <w:rFonts w:hint="default"/>
        <w:b w:val="0"/>
        <w:i w:val="0"/>
        <w:color w:val="585858" w:themeColor="text2"/>
      </w:rPr>
    </w:lvl>
    <w:lvl w:ilvl="2">
      <w:start w:val="1"/>
      <w:numFmt w:val="lowerRoman"/>
      <w:lvlText w:val="%3."/>
      <w:lvlJc w:val="left"/>
      <w:pPr>
        <w:ind w:left="1071" w:hanging="357"/>
      </w:pPr>
      <w:rPr>
        <w:rFonts w:hint="default"/>
        <w:b w:val="0"/>
        <w:i w:val="0"/>
        <w:color w:val="585858" w:themeColor="text2"/>
      </w:rPr>
    </w:lvl>
    <w:lvl w:ilvl="3">
      <w:start w:val="1"/>
      <w:numFmt w:val="none"/>
      <w:lvlText w:val=""/>
      <w:lvlJc w:val="left"/>
      <w:pPr>
        <w:tabs>
          <w:tab w:val="num" w:pos="1072"/>
        </w:tabs>
        <w:ind w:left="1072" w:firstLine="0"/>
      </w:pPr>
      <w:rPr>
        <w:rFonts w:hint="default"/>
      </w:rPr>
    </w:lvl>
    <w:lvl w:ilvl="4">
      <w:start w:val="1"/>
      <w:numFmt w:val="none"/>
      <w:lvlText w:val=""/>
      <w:lvlJc w:val="left"/>
      <w:pPr>
        <w:ind w:left="1072" w:firstLine="0"/>
      </w:pPr>
      <w:rPr>
        <w:rFonts w:hint="default"/>
      </w:rPr>
    </w:lvl>
    <w:lvl w:ilvl="5">
      <w:start w:val="1"/>
      <w:numFmt w:val="none"/>
      <w:lvlText w:val=""/>
      <w:lvlJc w:val="left"/>
      <w:pPr>
        <w:ind w:left="1072" w:firstLine="0"/>
      </w:pPr>
      <w:rPr>
        <w:rFonts w:hint="default"/>
      </w:rPr>
    </w:lvl>
    <w:lvl w:ilvl="6">
      <w:start w:val="1"/>
      <w:numFmt w:val="none"/>
      <w:lvlText w:val=""/>
      <w:lvlJc w:val="left"/>
      <w:pPr>
        <w:ind w:left="1072" w:firstLine="0"/>
      </w:pPr>
      <w:rPr>
        <w:rFonts w:hint="default"/>
      </w:rPr>
    </w:lvl>
    <w:lvl w:ilvl="7">
      <w:start w:val="1"/>
      <w:numFmt w:val="none"/>
      <w:lvlText w:val=""/>
      <w:lvlJc w:val="left"/>
      <w:pPr>
        <w:ind w:left="1072" w:firstLine="0"/>
      </w:pPr>
      <w:rPr>
        <w:rFonts w:hint="default"/>
      </w:rPr>
    </w:lvl>
    <w:lvl w:ilvl="8">
      <w:start w:val="1"/>
      <w:numFmt w:val="none"/>
      <w:lvlText w:val=""/>
      <w:lvlJc w:val="left"/>
      <w:pPr>
        <w:ind w:left="1072" w:firstLine="0"/>
      </w:pPr>
      <w:rPr>
        <w:rFonts w:hint="default"/>
      </w:rPr>
    </w:lvl>
  </w:abstractNum>
  <w:abstractNum w:abstractNumId="31" w15:restartNumberingAfterBreak="0">
    <w:nsid w:val="6B3E4441"/>
    <w:multiLevelType w:val="hybridMultilevel"/>
    <w:tmpl w:val="E6D665E8"/>
    <w:lvl w:ilvl="0" w:tplc="F3AA7DC8">
      <w:start w:val="1"/>
      <w:numFmt w:val="bullet"/>
      <w:lvlText w:val=""/>
      <w:lvlJc w:val="left"/>
      <w:pPr>
        <w:ind w:left="720" w:hanging="360"/>
      </w:pPr>
      <w:rPr>
        <w:rFonts w:ascii="Symbol" w:hAnsi="Symbol" w:hint="default"/>
      </w:rPr>
    </w:lvl>
    <w:lvl w:ilvl="1" w:tplc="CB144C30">
      <w:start w:val="1"/>
      <w:numFmt w:val="bullet"/>
      <w:lvlText w:val="o"/>
      <w:lvlJc w:val="left"/>
      <w:pPr>
        <w:ind w:left="1440" w:hanging="360"/>
      </w:pPr>
      <w:rPr>
        <w:rFonts w:ascii="Courier New" w:hAnsi="Courier New" w:hint="default"/>
      </w:rPr>
    </w:lvl>
    <w:lvl w:ilvl="2" w:tplc="55EE0C0E">
      <w:start w:val="1"/>
      <w:numFmt w:val="bullet"/>
      <w:lvlText w:val=""/>
      <w:lvlJc w:val="left"/>
      <w:pPr>
        <w:ind w:left="2160" w:hanging="360"/>
      </w:pPr>
      <w:rPr>
        <w:rFonts w:ascii="Wingdings" w:hAnsi="Wingdings" w:hint="default"/>
      </w:rPr>
    </w:lvl>
    <w:lvl w:ilvl="3" w:tplc="EBA8426A">
      <w:start w:val="1"/>
      <w:numFmt w:val="bullet"/>
      <w:lvlText w:val=""/>
      <w:lvlJc w:val="left"/>
      <w:pPr>
        <w:ind w:left="2880" w:hanging="360"/>
      </w:pPr>
      <w:rPr>
        <w:rFonts w:ascii="Symbol" w:hAnsi="Symbol" w:hint="default"/>
      </w:rPr>
    </w:lvl>
    <w:lvl w:ilvl="4" w:tplc="5108220A">
      <w:start w:val="1"/>
      <w:numFmt w:val="bullet"/>
      <w:lvlText w:val="o"/>
      <w:lvlJc w:val="left"/>
      <w:pPr>
        <w:ind w:left="3600" w:hanging="360"/>
      </w:pPr>
      <w:rPr>
        <w:rFonts w:ascii="Courier New" w:hAnsi="Courier New" w:hint="default"/>
      </w:rPr>
    </w:lvl>
    <w:lvl w:ilvl="5" w:tplc="456CCE12">
      <w:start w:val="1"/>
      <w:numFmt w:val="bullet"/>
      <w:lvlText w:val=""/>
      <w:lvlJc w:val="left"/>
      <w:pPr>
        <w:ind w:left="4320" w:hanging="360"/>
      </w:pPr>
      <w:rPr>
        <w:rFonts w:ascii="Wingdings" w:hAnsi="Wingdings" w:hint="default"/>
      </w:rPr>
    </w:lvl>
    <w:lvl w:ilvl="6" w:tplc="FFCCBF30">
      <w:start w:val="1"/>
      <w:numFmt w:val="bullet"/>
      <w:lvlText w:val=""/>
      <w:lvlJc w:val="left"/>
      <w:pPr>
        <w:ind w:left="5040" w:hanging="360"/>
      </w:pPr>
      <w:rPr>
        <w:rFonts w:ascii="Symbol" w:hAnsi="Symbol" w:hint="default"/>
      </w:rPr>
    </w:lvl>
    <w:lvl w:ilvl="7" w:tplc="11544060">
      <w:start w:val="1"/>
      <w:numFmt w:val="bullet"/>
      <w:lvlText w:val="o"/>
      <w:lvlJc w:val="left"/>
      <w:pPr>
        <w:ind w:left="5760" w:hanging="360"/>
      </w:pPr>
      <w:rPr>
        <w:rFonts w:ascii="Courier New" w:hAnsi="Courier New" w:hint="default"/>
      </w:rPr>
    </w:lvl>
    <w:lvl w:ilvl="8" w:tplc="EE422354">
      <w:start w:val="1"/>
      <w:numFmt w:val="bullet"/>
      <w:lvlText w:val=""/>
      <w:lvlJc w:val="left"/>
      <w:pPr>
        <w:ind w:left="6480" w:hanging="360"/>
      </w:pPr>
      <w:rPr>
        <w:rFonts w:ascii="Wingdings" w:hAnsi="Wingdings" w:hint="default"/>
      </w:rPr>
    </w:lvl>
  </w:abstractNum>
  <w:abstractNum w:abstractNumId="32" w15:restartNumberingAfterBreak="0">
    <w:nsid w:val="6CFF421A"/>
    <w:multiLevelType w:val="multilevel"/>
    <w:tmpl w:val="451E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BF7EF2"/>
    <w:multiLevelType w:val="hybridMultilevel"/>
    <w:tmpl w:val="E142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38651387">
    <w:abstractNumId w:val="17"/>
  </w:num>
  <w:num w:numId="2" w16cid:durableId="474374035">
    <w:abstractNumId w:val="12"/>
  </w:num>
  <w:num w:numId="3" w16cid:durableId="434129847">
    <w:abstractNumId w:val="31"/>
  </w:num>
  <w:num w:numId="4" w16cid:durableId="1129009483">
    <w:abstractNumId w:val="2"/>
  </w:num>
  <w:num w:numId="5" w16cid:durableId="856963423">
    <w:abstractNumId w:val="1"/>
  </w:num>
  <w:num w:numId="6" w16cid:durableId="1271283044">
    <w:abstractNumId w:val="30"/>
  </w:num>
  <w:num w:numId="7" w16cid:durableId="1393885634">
    <w:abstractNumId w:val="25"/>
  </w:num>
  <w:num w:numId="8" w16cid:durableId="538905646">
    <w:abstractNumId w:val="11"/>
  </w:num>
  <w:num w:numId="9" w16cid:durableId="1184056898">
    <w:abstractNumId w:val="9"/>
  </w:num>
  <w:num w:numId="10" w16cid:durableId="499273201">
    <w:abstractNumId w:val="4"/>
  </w:num>
  <w:num w:numId="11" w16cid:durableId="1385643659">
    <w:abstractNumId w:val="8"/>
  </w:num>
  <w:num w:numId="12" w16cid:durableId="680619106">
    <w:abstractNumId w:val="23"/>
  </w:num>
  <w:num w:numId="13" w16cid:durableId="141847045">
    <w:abstractNumId w:val="33"/>
  </w:num>
  <w:num w:numId="14" w16cid:durableId="1144617348">
    <w:abstractNumId w:val="0"/>
  </w:num>
  <w:num w:numId="15" w16cid:durableId="373043784">
    <w:abstractNumId w:val="14"/>
  </w:num>
  <w:num w:numId="16" w16cid:durableId="1020544608">
    <w:abstractNumId w:val="6"/>
  </w:num>
  <w:num w:numId="17" w16cid:durableId="1474835039">
    <w:abstractNumId w:val="15"/>
  </w:num>
  <w:num w:numId="18" w16cid:durableId="1802308119">
    <w:abstractNumId w:val="18"/>
  </w:num>
  <w:num w:numId="19" w16cid:durableId="525950819">
    <w:abstractNumId w:val="10"/>
  </w:num>
  <w:num w:numId="20" w16cid:durableId="2081905406">
    <w:abstractNumId w:val="19"/>
  </w:num>
  <w:num w:numId="21" w16cid:durableId="1770003254">
    <w:abstractNumId w:val="13"/>
  </w:num>
  <w:num w:numId="22" w16cid:durableId="210923488">
    <w:abstractNumId w:val="20"/>
  </w:num>
  <w:num w:numId="23" w16cid:durableId="1139346437">
    <w:abstractNumId w:val="32"/>
  </w:num>
  <w:num w:numId="24" w16cid:durableId="1424644129">
    <w:abstractNumId w:val="16"/>
  </w:num>
  <w:num w:numId="25" w16cid:durableId="1026255395">
    <w:abstractNumId w:val="5"/>
  </w:num>
  <w:num w:numId="26" w16cid:durableId="1357806181">
    <w:abstractNumId w:val="21"/>
  </w:num>
  <w:num w:numId="27" w16cid:durableId="37172682">
    <w:abstractNumId w:val="26"/>
  </w:num>
  <w:num w:numId="28" w16cid:durableId="426314800">
    <w:abstractNumId w:val="22"/>
  </w:num>
  <w:num w:numId="29" w16cid:durableId="326059600">
    <w:abstractNumId w:val="7"/>
  </w:num>
  <w:num w:numId="30" w16cid:durableId="676730913">
    <w:abstractNumId w:val="29"/>
  </w:num>
  <w:num w:numId="31" w16cid:durableId="1139759688">
    <w:abstractNumId w:val="27"/>
  </w:num>
  <w:num w:numId="32" w16cid:durableId="449593175">
    <w:abstractNumId w:val="28"/>
  </w:num>
  <w:num w:numId="33" w16cid:durableId="422186479">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284"/>
  <w:drawingGridHorizontalSpacing w:val="120"/>
  <w:displayHorizontalDrawingGridEvery w:val="2"/>
  <w:characterSpacingControl w:val="doNotCompress"/>
  <w:hdrShapeDefaults>
    <o:shapedefaults v:ext="edit" spidmax="2050" style="mso-position-vertical-relative:line;v-text-anchor:middle" fillcolor="none [3215]" strokecolor="none [2415]">
      <v:fill color="none [3215]"/>
      <v:stroke color="none [2415]" weight="5pt"/>
      <v:textbox inset=",2.5mm,,2.5mm"/>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00"/>
    <w:rsid w:val="000000F2"/>
    <w:rsid w:val="00000578"/>
    <w:rsid w:val="00000746"/>
    <w:rsid w:val="00000BBA"/>
    <w:rsid w:val="00000D88"/>
    <w:rsid w:val="000012BA"/>
    <w:rsid w:val="000012E0"/>
    <w:rsid w:val="00001505"/>
    <w:rsid w:val="00001664"/>
    <w:rsid w:val="00001A63"/>
    <w:rsid w:val="00002488"/>
    <w:rsid w:val="0000295B"/>
    <w:rsid w:val="00002E66"/>
    <w:rsid w:val="00003015"/>
    <w:rsid w:val="0000338E"/>
    <w:rsid w:val="0000364B"/>
    <w:rsid w:val="00003CBE"/>
    <w:rsid w:val="0000413C"/>
    <w:rsid w:val="00004242"/>
    <w:rsid w:val="00004AA8"/>
    <w:rsid w:val="000052FB"/>
    <w:rsid w:val="000053A2"/>
    <w:rsid w:val="00005B14"/>
    <w:rsid w:val="000060D1"/>
    <w:rsid w:val="0000621D"/>
    <w:rsid w:val="00006251"/>
    <w:rsid w:val="0000641D"/>
    <w:rsid w:val="00006AB8"/>
    <w:rsid w:val="00007268"/>
    <w:rsid w:val="00007666"/>
    <w:rsid w:val="00007781"/>
    <w:rsid w:val="0000796F"/>
    <w:rsid w:val="00007FDA"/>
    <w:rsid w:val="00010069"/>
    <w:rsid w:val="00010122"/>
    <w:rsid w:val="00010288"/>
    <w:rsid w:val="000108A4"/>
    <w:rsid w:val="00010C0E"/>
    <w:rsid w:val="00010C86"/>
    <w:rsid w:val="00010E22"/>
    <w:rsid w:val="00010FC7"/>
    <w:rsid w:val="0001126F"/>
    <w:rsid w:val="000113B3"/>
    <w:rsid w:val="00011527"/>
    <w:rsid w:val="00011842"/>
    <w:rsid w:val="00011A07"/>
    <w:rsid w:val="00011BBB"/>
    <w:rsid w:val="00011C06"/>
    <w:rsid w:val="00011D07"/>
    <w:rsid w:val="00011D6A"/>
    <w:rsid w:val="00011E87"/>
    <w:rsid w:val="00011F96"/>
    <w:rsid w:val="0001216D"/>
    <w:rsid w:val="000121D8"/>
    <w:rsid w:val="0001274A"/>
    <w:rsid w:val="000127AC"/>
    <w:rsid w:val="00012A56"/>
    <w:rsid w:val="00012F53"/>
    <w:rsid w:val="00013637"/>
    <w:rsid w:val="0001373B"/>
    <w:rsid w:val="00013B01"/>
    <w:rsid w:val="00013B95"/>
    <w:rsid w:val="00013F03"/>
    <w:rsid w:val="0001443B"/>
    <w:rsid w:val="000144EF"/>
    <w:rsid w:val="00014544"/>
    <w:rsid w:val="0001486F"/>
    <w:rsid w:val="000148C8"/>
    <w:rsid w:val="0001508D"/>
    <w:rsid w:val="00015394"/>
    <w:rsid w:val="00015640"/>
    <w:rsid w:val="00015A1C"/>
    <w:rsid w:val="00015FFF"/>
    <w:rsid w:val="0001617C"/>
    <w:rsid w:val="000162B4"/>
    <w:rsid w:val="00016408"/>
    <w:rsid w:val="00016932"/>
    <w:rsid w:val="00016CBE"/>
    <w:rsid w:val="00016FA0"/>
    <w:rsid w:val="000175A1"/>
    <w:rsid w:val="00017739"/>
    <w:rsid w:val="00017B2B"/>
    <w:rsid w:val="00017F4B"/>
    <w:rsid w:val="0002043C"/>
    <w:rsid w:val="0002076D"/>
    <w:rsid w:val="000209F5"/>
    <w:rsid w:val="00021119"/>
    <w:rsid w:val="000215F3"/>
    <w:rsid w:val="00021C07"/>
    <w:rsid w:val="00022029"/>
    <w:rsid w:val="00022479"/>
    <w:rsid w:val="00022620"/>
    <w:rsid w:val="000228A0"/>
    <w:rsid w:val="000231EC"/>
    <w:rsid w:val="00023AD8"/>
    <w:rsid w:val="00023D73"/>
    <w:rsid w:val="00024041"/>
    <w:rsid w:val="000242A9"/>
    <w:rsid w:val="000244A6"/>
    <w:rsid w:val="00024507"/>
    <w:rsid w:val="000245CF"/>
    <w:rsid w:val="00024A29"/>
    <w:rsid w:val="00024BAC"/>
    <w:rsid w:val="00024C9F"/>
    <w:rsid w:val="00024CA7"/>
    <w:rsid w:val="00024DB9"/>
    <w:rsid w:val="00024DE0"/>
    <w:rsid w:val="00024F12"/>
    <w:rsid w:val="00024FD5"/>
    <w:rsid w:val="00025173"/>
    <w:rsid w:val="00025174"/>
    <w:rsid w:val="000252C2"/>
    <w:rsid w:val="00025401"/>
    <w:rsid w:val="000254D2"/>
    <w:rsid w:val="00025BB7"/>
    <w:rsid w:val="00025E56"/>
    <w:rsid w:val="00025F89"/>
    <w:rsid w:val="0002604A"/>
    <w:rsid w:val="000260B6"/>
    <w:rsid w:val="000261D1"/>
    <w:rsid w:val="000264E3"/>
    <w:rsid w:val="000266E0"/>
    <w:rsid w:val="00026B4B"/>
    <w:rsid w:val="0002717D"/>
    <w:rsid w:val="000271EC"/>
    <w:rsid w:val="000276FF"/>
    <w:rsid w:val="000279D6"/>
    <w:rsid w:val="00027B59"/>
    <w:rsid w:val="00027C5D"/>
    <w:rsid w:val="00027DCB"/>
    <w:rsid w:val="000300B4"/>
    <w:rsid w:val="0003018F"/>
    <w:rsid w:val="00030455"/>
    <w:rsid w:val="00030607"/>
    <w:rsid w:val="00030645"/>
    <w:rsid w:val="00030F91"/>
    <w:rsid w:val="0003140E"/>
    <w:rsid w:val="0003176F"/>
    <w:rsid w:val="00031F30"/>
    <w:rsid w:val="000320B5"/>
    <w:rsid w:val="000321D0"/>
    <w:rsid w:val="000322E7"/>
    <w:rsid w:val="0003231C"/>
    <w:rsid w:val="000323ED"/>
    <w:rsid w:val="000323FF"/>
    <w:rsid w:val="0003275F"/>
    <w:rsid w:val="00032897"/>
    <w:rsid w:val="00032C72"/>
    <w:rsid w:val="000330FE"/>
    <w:rsid w:val="00033256"/>
    <w:rsid w:val="000332E0"/>
    <w:rsid w:val="00033700"/>
    <w:rsid w:val="00033A5A"/>
    <w:rsid w:val="000340EF"/>
    <w:rsid w:val="00034256"/>
    <w:rsid w:val="00034435"/>
    <w:rsid w:val="0003455A"/>
    <w:rsid w:val="000347A3"/>
    <w:rsid w:val="00034CAF"/>
    <w:rsid w:val="00034E67"/>
    <w:rsid w:val="00035125"/>
    <w:rsid w:val="00035769"/>
    <w:rsid w:val="00035A49"/>
    <w:rsid w:val="00035B76"/>
    <w:rsid w:val="00035FD2"/>
    <w:rsid w:val="0003617E"/>
    <w:rsid w:val="000362C0"/>
    <w:rsid w:val="0003637E"/>
    <w:rsid w:val="000365E6"/>
    <w:rsid w:val="000366AD"/>
    <w:rsid w:val="00036705"/>
    <w:rsid w:val="00036952"/>
    <w:rsid w:val="00036EE3"/>
    <w:rsid w:val="0003712E"/>
    <w:rsid w:val="00037792"/>
    <w:rsid w:val="000378D9"/>
    <w:rsid w:val="000379AA"/>
    <w:rsid w:val="000402CF"/>
    <w:rsid w:val="0004059A"/>
    <w:rsid w:val="0004074F"/>
    <w:rsid w:val="000407BC"/>
    <w:rsid w:val="00040AED"/>
    <w:rsid w:val="00040B4D"/>
    <w:rsid w:val="00040CBD"/>
    <w:rsid w:val="00041922"/>
    <w:rsid w:val="00041CAD"/>
    <w:rsid w:val="00041ED1"/>
    <w:rsid w:val="00042385"/>
    <w:rsid w:val="000425B4"/>
    <w:rsid w:val="0004265D"/>
    <w:rsid w:val="0004266A"/>
    <w:rsid w:val="00042E04"/>
    <w:rsid w:val="00042E9D"/>
    <w:rsid w:val="000430BC"/>
    <w:rsid w:val="000433A2"/>
    <w:rsid w:val="000433FF"/>
    <w:rsid w:val="0004354E"/>
    <w:rsid w:val="000438F1"/>
    <w:rsid w:val="00043904"/>
    <w:rsid w:val="00043BE9"/>
    <w:rsid w:val="00043C1C"/>
    <w:rsid w:val="00043CB5"/>
    <w:rsid w:val="00043FB8"/>
    <w:rsid w:val="000441FE"/>
    <w:rsid w:val="00044219"/>
    <w:rsid w:val="000444B4"/>
    <w:rsid w:val="00044522"/>
    <w:rsid w:val="000446AF"/>
    <w:rsid w:val="000447EB"/>
    <w:rsid w:val="00045249"/>
    <w:rsid w:val="000456A7"/>
    <w:rsid w:val="00045994"/>
    <w:rsid w:val="00045BFC"/>
    <w:rsid w:val="00045C46"/>
    <w:rsid w:val="0004682E"/>
    <w:rsid w:val="00046EC3"/>
    <w:rsid w:val="00047280"/>
    <w:rsid w:val="000473E4"/>
    <w:rsid w:val="000475A5"/>
    <w:rsid w:val="0004770B"/>
    <w:rsid w:val="00047A21"/>
    <w:rsid w:val="00047A95"/>
    <w:rsid w:val="00047F66"/>
    <w:rsid w:val="00047F96"/>
    <w:rsid w:val="00047FD8"/>
    <w:rsid w:val="00050502"/>
    <w:rsid w:val="00050875"/>
    <w:rsid w:val="00050F23"/>
    <w:rsid w:val="00050F7B"/>
    <w:rsid w:val="00051073"/>
    <w:rsid w:val="000510DC"/>
    <w:rsid w:val="000510F0"/>
    <w:rsid w:val="00051957"/>
    <w:rsid w:val="00051B12"/>
    <w:rsid w:val="00051DC7"/>
    <w:rsid w:val="00052274"/>
    <w:rsid w:val="000522C3"/>
    <w:rsid w:val="0005234B"/>
    <w:rsid w:val="00052399"/>
    <w:rsid w:val="000525C0"/>
    <w:rsid w:val="000528CC"/>
    <w:rsid w:val="00052934"/>
    <w:rsid w:val="00052968"/>
    <w:rsid w:val="00053065"/>
    <w:rsid w:val="00053078"/>
    <w:rsid w:val="00053200"/>
    <w:rsid w:val="00053425"/>
    <w:rsid w:val="000538A8"/>
    <w:rsid w:val="000539E0"/>
    <w:rsid w:val="00054016"/>
    <w:rsid w:val="000541B1"/>
    <w:rsid w:val="000543B3"/>
    <w:rsid w:val="00055A1C"/>
    <w:rsid w:val="00055B03"/>
    <w:rsid w:val="00055D03"/>
    <w:rsid w:val="00055D5F"/>
    <w:rsid w:val="00056126"/>
    <w:rsid w:val="000564AC"/>
    <w:rsid w:val="00056548"/>
    <w:rsid w:val="0005668D"/>
    <w:rsid w:val="00056693"/>
    <w:rsid w:val="0005678F"/>
    <w:rsid w:val="000569BD"/>
    <w:rsid w:val="00056B11"/>
    <w:rsid w:val="00056D2B"/>
    <w:rsid w:val="00056E79"/>
    <w:rsid w:val="00056FB1"/>
    <w:rsid w:val="00057039"/>
    <w:rsid w:val="0005724B"/>
    <w:rsid w:val="000572A5"/>
    <w:rsid w:val="0005766F"/>
    <w:rsid w:val="000577E4"/>
    <w:rsid w:val="000578E9"/>
    <w:rsid w:val="00057D14"/>
    <w:rsid w:val="00057FA5"/>
    <w:rsid w:val="0006025D"/>
    <w:rsid w:val="0006039E"/>
    <w:rsid w:val="0006059D"/>
    <w:rsid w:val="0006066A"/>
    <w:rsid w:val="0006089E"/>
    <w:rsid w:val="00060A3D"/>
    <w:rsid w:val="00060A85"/>
    <w:rsid w:val="00060BA9"/>
    <w:rsid w:val="0006122A"/>
    <w:rsid w:val="000612A4"/>
    <w:rsid w:val="00061540"/>
    <w:rsid w:val="00061A13"/>
    <w:rsid w:val="00061F90"/>
    <w:rsid w:val="00061FBF"/>
    <w:rsid w:val="00061FC4"/>
    <w:rsid w:val="000623A9"/>
    <w:rsid w:val="00062499"/>
    <w:rsid w:val="00062746"/>
    <w:rsid w:val="00062855"/>
    <w:rsid w:val="0006287B"/>
    <w:rsid w:val="00062A69"/>
    <w:rsid w:val="00062C7C"/>
    <w:rsid w:val="00062DC1"/>
    <w:rsid w:val="00063569"/>
    <w:rsid w:val="00063AF9"/>
    <w:rsid w:val="00063CFD"/>
    <w:rsid w:val="00063DD5"/>
    <w:rsid w:val="00063F3C"/>
    <w:rsid w:val="00063F4E"/>
    <w:rsid w:val="00063FF5"/>
    <w:rsid w:val="00064DA6"/>
    <w:rsid w:val="00064DE1"/>
    <w:rsid w:val="00064F87"/>
    <w:rsid w:val="0006505A"/>
    <w:rsid w:val="0006580B"/>
    <w:rsid w:val="00065ABA"/>
    <w:rsid w:val="00065B3C"/>
    <w:rsid w:val="00065BD2"/>
    <w:rsid w:val="00065CD0"/>
    <w:rsid w:val="00065EC2"/>
    <w:rsid w:val="000665C3"/>
    <w:rsid w:val="000667C1"/>
    <w:rsid w:val="00066BBB"/>
    <w:rsid w:val="00066FCB"/>
    <w:rsid w:val="00066FD4"/>
    <w:rsid w:val="00067319"/>
    <w:rsid w:val="0006753B"/>
    <w:rsid w:val="000677F7"/>
    <w:rsid w:val="00067A77"/>
    <w:rsid w:val="0006A930"/>
    <w:rsid w:val="00070158"/>
    <w:rsid w:val="000703FD"/>
    <w:rsid w:val="000707F1"/>
    <w:rsid w:val="0007097D"/>
    <w:rsid w:val="00070B6F"/>
    <w:rsid w:val="00070E4D"/>
    <w:rsid w:val="00070EF3"/>
    <w:rsid w:val="00070F93"/>
    <w:rsid w:val="00071223"/>
    <w:rsid w:val="0007128B"/>
    <w:rsid w:val="00071E5D"/>
    <w:rsid w:val="0007204B"/>
    <w:rsid w:val="000723FD"/>
    <w:rsid w:val="000725A5"/>
    <w:rsid w:val="00072D12"/>
    <w:rsid w:val="00072D6F"/>
    <w:rsid w:val="000730E7"/>
    <w:rsid w:val="000732BA"/>
    <w:rsid w:val="000742EE"/>
    <w:rsid w:val="0007452B"/>
    <w:rsid w:val="00074534"/>
    <w:rsid w:val="00074779"/>
    <w:rsid w:val="0007485A"/>
    <w:rsid w:val="00074D65"/>
    <w:rsid w:val="000753F6"/>
    <w:rsid w:val="000755A5"/>
    <w:rsid w:val="000759C1"/>
    <w:rsid w:val="00075B83"/>
    <w:rsid w:val="00075B8D"/>
    <w:rsid w:val="00075EED"/>
    <w:rsid w:val="0007634F"/>
    <w:rsid w:val="00076895"/>
    <w:rsid w:val="00076A78"/>
    <w:rsid w:val="00076B97"/>
    <w:rsid w:val="00077012"/>
    <w:rsid w:val="00077190"/>
    <w:rsid w:val="00077320"/>
    <w:rsid w:val="0007745C"/>
    <w:rsid w:val="000775BA"/>
    <w:rsid w:val="00077971"/>
    <w:rsid w:val="00077C40"/>
    <w:rsid w:val="00077CEF"/>
    <w:rsid w:val="00080158"/>
    <w:rsid w:val="000810B9"/>
    <w:rsid w:val="00081144"/>
    <w:rsid w:val="00081247"/>
    <w:rsid w:val="000817B6"/>
    <w:rsid w:val="000819EE"/>
    <w:rsid w:val="00082035"/>
    <w:rsid w:val="00082288"/>
    <w:rsid w:val="000822A1"/>
    <w:rsid w:val="00082B47"/>
    <w:rsid w:val="00082C55"/>
    <w:rsid w:val="00083019"/>
    <w:rsid w:val="0008332D"/>
    <w:rsid w:val="000839CE"/>
    <w:rsid w:val="00083B2A"/>
    <w:rsid w:val="00083F92"/>
    <w:rsid w:val="00084763"/>
    <w:rsid w:val="000848A6"/>
    <w:rsid w:val="00084FC1"/>
    <w:rsid w:val="00084FD4"/>
    <w:rsid w:val="00085456"/>
    <w:rsid w:val="00085D9F"/>
    <w:rsid w:val="00086092"/>
    <w:rsid w:val="000860CC"/>
    <w:rsid w:val="00086175"/>
    <w:rsid w:val="000861A3"/>
    <w:rsid w:val="00086246"/>
    <w:rsid w:val="00086B5F"/>
    <w:rsid w:val="00086D1D"/>
    <w:rsid w:val="000874B2"/>
    <w:rsid w:val="00087794"/>
    <w:rsid w:val="000877DB"/>
    <w:rsid w:val="00087F30"/>
    <w:rsid w:val="00087FA6"/>
    <w:rsid w:val="00090A9A"/>
    <w:rsid w:val="00090D1C"/>
    <w:rsid w:val="00091137"/>
    <w:rsid w:val="00091207"/>
    <w:rsid w:val="000913C7"/>
    <w:rsid w:val="0009180F"/>
    <w:rsid w:val="00091952"/>
    <w:rsid w:val="00091E01"/>
    <w:rsid w:val="00092225"/>
    <w:rsid w:val="00092621"/>
    <w:rsid w:val="000928C0"/>
    <w:rsid w:val="00092C5A"/>
    <w:rsid w:val="00092CE0"/>
    <w:rsid w:val="00092CF5"/>
    <w:rsid w:val="00092E54"/>
    <w:rsid w:val="000930D6"/>
    <w:rsid w:val="000933D2"/>
    <w:rsid w:val="000933D5"/>
    <w:rsid w:val="00093586"/>
    <w:rsid w:val="00093915"/>
    <w:rsid w:val="00093B06"/>
    <w:rsid w:val="00093B17"/>
    <w:rsid w:val="00093B6D"/>
    <w:rsid w:val="00093FF3"/>
    <w:rsid w:val="000943E0"/>
    <w:rsid w:val="00094527"/>
    <w:rsid w:val="00094815"/>
    <w:rsid w:val="00094A62"/>
    <w:rsid w:val="00094ACC"/>
    <w:rsid w:val="00094D11"/>
    <w:rsid w:val="00095085"/>
    <w:rsid w:val="0009531A"/>
    <w:rsid w:val="000953D7"/>
    <w:rsid w:val="0009541F"/>
    <w:rsid w:val="00095B46"/>
    <w:rsid w:val="00096366"/>
    <w:rsid w:val="00096741"/>
    <w:rsid w:val="00096D13"/>
    <w:rsid w:val="00096EAB"/>
    <w:rsid w:val="0009725B"/>
    <w:rsid w:val="000976AF"/>
    <w:rsid w:val="000976B4"/>
    <w:rsid w:val="000976C3"/>
    <w:rsid w:val="00097895"/>
    <w:rsid w:val="000978E9"/>
    <w:rsid w:val="000A035C"/>
    <w:rsid w:val="000A047B"/>
    <w:rsid w:val="000A04D2"/>
    <w:rsid w:val="000A050D"/>
    <w:rsid w:val="000A05C4"/>
    <w:rsid w:val="000A09E4"/>
    <w:rsid w:val="000A0D26"/>
    <w:rsid w:val="000A10CC"/>
    <w:rsid w:val="000A1205"/>
    <w:rsid w:val="000A1340"/>
    <w:rsid w:val="000A14E9"/>
    <w:rsid w:val="000A16E0"/>
    <w:rsid w:val="000A1A9A"/>
    <w:rsid w:val="000A1AD0"/>
    <w:rsid w:val="000A1B3F"/>
    <w:rsid w:val="000A1B76"/>
    <w:rsid w:val="000A1CDF"/>
    <w:rsid w:val="000A1D57"/>
    <w:rsid w:val="000A1E6F"/>
    <w:rsid w:val="000A1F60"/>
    <w:rsid w:val="000A1F89"/>
    <w:rsid w:val="000A223A"/>
    <w:rsid w:val="000A229A"/>
    <w:rsid w:val="000A274C"/>
    <w:rsid w:val="000A2C10"/>
    <w:rsid w:val="000A2DBB"/>
    <w:rsid w:val="000A30B9"/>
    <w:rsid w:val="000A3B32"/>
    <w:rsid w:val="000A3E28"/>
    <w:rsid w:val="000A40A5"/>
    <w:rsid w:val="000A44A6"/>
    <w:rsid w:val="000A454C"/>
    <w:rsid w:val="000A457E"/>
    <w:rsid w:val="000A4DA6"/>
    <w:rsid w:val="000A52D5"/>
    <w:rsid w:val="000A5531"/>
    <w:rsid w:val="000A597C"/>
    <w:rsid w:val="000A5984"/>
    <w:rsid w:val="000A5FC4"/>
    <w:rsid w:val="000A6030"/>
    <w:rsid w:val="000A6064"/>
    <w:rsid w:val="000A6691"/>
    <w:rsid w:val="000A67E7"/>
    <w:rsid w:val="000A6947"/>
    <w:rsid w:val="000A6B84"/>
    <w:rsid w:val="000A6C6F"/>
    <w:rsid w:val="000A6D9D"/>
    <w:rsid w:val="000A7D8E"/>
    <w:rsid w:val="000A7E33"/>
    <w:rsid w:val="000A7EA4"/>
    <w:rsid w:val="000A7FB3"/>
    <w:rsid w:val="000B00DD"/>
    <w:rsid w:val="000B00F5"/>
    <w:rsid w:val="000B065D"/>
    <w:rsid w:val="000B0B79"/>
    <w:rsid w:val="000B12BA"/>
    <w:rsid w:val="000B13A8"/>
    <w:rsid w:val="000B14DA"/>
    <w:rsid w:val="000B1AF9"/>
    <w:rsid w:val="000B1CA0"/>
    <w:rsid w:val="000B1DAE"/>
    <w:rsid w:val="000B2095"/>
    <w:rsid w:val="000B21A6"/>
    <w:rsid w:val="000B23DB"/>
    <w:rsid w:val="000B24E5"/>
    <w:rsid w:val="000B285F"/>
    <w:rsid w:val="000B2AAC"/>
    <w:rsid w:val="000B2B57"/>
    <w:rsid w:val="000B3066"/>
    <w:rsid w:val="000B31D5"/>
    <w:rsid w:val="000B32BF"/>
    <w:rsid w:val="000B331D"/>
    <w:rsid w:val="000B36AF"/>
    <w:rsid w:val="000B3858"/>
    <w:rsid w:val="000B4263"/>
    <w:rsid w:val="000B43D9"/>
    <w:rsid w:val="000B4719"/>
    <w:rsid w:val="000B4B24"/>
    <w:rsid w:val="000B4DC5"/>
    <w:rsid w:val="000B5A22"/>
    <w:rsid w:val="000B5F66"/>
    <w:rsid w:val="000B5FF9"/>
    <w:rsid w:val="000B601E"/>
    <w:rsid w:val="000B607E"/>
    <w:rsid w:val="000B611B"/>
    <w:rsid w:val="000B666F"/>
    <w:rsid w:val="000B688D"/>
    <w:rsid w:val="000B68DB"/>
    <w:rsid w:val="000B6BAE"/>
    <w:rsid w:val="000B6BD8"/>
    <w:rsid w:val="000B6C68"/>
    <w:rsid w:val="000B6C7D"/>
    <w:rsid w:val="000B6CC0"/>
    <w:rsid w:val="000B6F14"/>
    <w:rsid w:val="000B746E"/>
    <w:rsid w:val="000B74AC"/>
    <w:rsid w:val="000B7779"/>
    <w:rsid w:val="000B7D2A"/>
    <w:rsid w:val="000B7E04"/>
    <w:rsid w:val="000B7F5D"/>
    <w:rsid w:val="000C0859"/>
    <w:rsid w:val="000C0D9D"/>
    <w:rsid w:val="000C0EFB"/>
    <w:rsid w:val="000C0FD8"/>
    <w:rsid w:val="000C10C6"/>
    <w:rsid w:val="000C1141"/>
    <w:rsid w:val="000C12A6"/>
    <w:rsid w:val="000C130F"/>
    <w:rsid w:val="000C142F"/>
    <w:rsid w:val="000C1A71"/>
    <w:rsid w:val="000C1C1A"/>
    <w:rsid w:val="000C1D96"/>
    <w:rsid w:val="000C1DA3"/>
    <w:rsid w:val="000C1DCD"/>
    <w:rsid w:val="000C1E3C"/>
    <w:rsid w:val="000C1E77"/>
    <w:rsid w:val="000C1F6E"/>
    <w:rsid w:val="000C20AD"/>
    <w:rsid w:val="000C2145"/>
    <w:rsid w:val="000C22B1"/>
    <w:rsid w:val="000C2B88"/>
    <w:rsid w:val="000C2D28"/>
    <w:rsid w:val="000C315C"/>
    <w:rsid w:val="000C3194"/>
    <w:rsid w:val="000C3236"/>
    <w:rsid w:val="000C3369"/>
    <w:rsid w:val="000C39B1"/>
    <w:rsid w:val="000C39C1"/>
    <w:rsid w:val="000C3B03"/>
    <w:rsid w:val="000C3D71"/>
    <w:rsid w:val="000C3E1D"/>
    <w:rsid w:val="000C3F76"/>
    <w:rsid w:val="000C3F9E"/>
    <w:rsid w:val="000C40F3"/>
    <w:rsid w:val="000C4318"/>
    <w:rsid w:val="000C4398"/>
    <w:rsid w:val="000C43DA"/>
    <w:rsid w:val="000C43DD"/>
    <w:rsid w:val="000C448A"/>
    <w:rsid w:val="000C453E"/>
    <w:rsid w:val="000C49E6"/>
    <w:rsid w:val="000C4ACF"/>
    <w:rsid w:val="000C4D46"/>
    <w:rsid w:val="000C5112"/>
    <w:rsid w:val="000C51E0"/>
    <w:rsid w:val="000C5856"/>
    <w:rsid w:val="000C5BD9"/>
    <w:rsid w:val="000C5D86"/>
    <w:rsid w:val="000C6159"/>
    <w:rsid w:val="000C6299"/>
    <w:rsid w:val="000C629F"/>
    <w:rsid w:val="000C6817"/>
    <w:rsid w:val="000C69F3"/>
    <w:rsid w:val="000C6A12"/>
    <w:rsid w:val="000C6A6B"/>
    <w:rsid w:val="000C6BBC"/>
    <w:rsid w:val="000C6E87"/>
    <w:rsid w:val="000C71FF"/>
    <w:rsid w:val="000C7277"/>
    <w:rsid w:val="000C72F9"/>
    <w:rsid w:val="000C7905"/>
    <w:rsid w:val="000C7E99"/>
    <w:rsid w:val="000C7FD0"/>
    <w:rsid w:val="000D034A"/>
    <w:rsid w:val="000D060A"/>
    <w:rsid w:val="000D0C1B"/>
    <w:rsid w:val="000D0DA8"/>
    <w:rsid w:val="000D108A"/>
    <w:rsid w:val="000D1265"/>
    <w:rsid w:val="000D169A"/>
    <w:rsid w:val="000D22EA"/>
    <w:rsid w:val="000D2788"/>
    <w:rsid w:val="000D2A74"/>
    <w:rsid w:val="000D2D7E"/>
    <w:rsid w:val="000D2DA9"/>
    <w:rsid w:val="000D322F"/>
    <w:rsid w:val="000D370A"/>
    <w:rsid w:val="000D3C18"/>
    <w:rsid w:val="000D3E85"/>
    <w:rsid w:val="000D3F89"/>
    <w:rsid w:val="000D40DF"/>
    <w:rsid w:val="000D443A"/>
    <w:rsid w:val="000D4639"/>
    <w:rsid w:val="000D4688"/>
    <w:rsid w:val="000D47E1"/>
    <w:rsid w:val="000D48C4"/>
    <w:rsid w:val="000D4B30"/>
    <w:rsid w:val="000D4C21"/>
    <w:rsid w:val="000D4C99"/>
    <w:rsid w:val="000D4D1E"/>
    <w:rsid w:val="000D4D5B"/>
    <w:rsid w:val="000D509E"/>
    <w:rsid w:val="000D53A7"/>
    <w:rsid w:val="000D53F4"/>
    <w:rsid w:val="000D5437"/>
    <w:rsid w:val="000D5440"/>
    <w:rsid w:val="000D54A1"/>
    <w:rsid w:val="000D5569"/>
    <w:rsid w:val="000D5621"/>
    <w:rsid w:val="000D57AF"/>
    <w:rsid w:val="000D6244"/>
    <w:rsid w:val="000D62F4"/>
    <w:rsid w:val="000D6C42"/>
    <w:rsid w:val="000D6D0A"/>
    <w:rsid w:val="000D6FB2"/>
    <w:rsid w:val="000D7247"/>
    <w:rsid w:val="000D778C"/>
    <w:rsid w:val="000D7F04"/>
    <w:rsid w:val="000E0D19"/>
    <w:rsid w:val="000E1110"/>
    <w:rsid w:val="000E139E"/>
    <w:rsid w:val="000E18DA"/>
    <w:rsid w:val="000E192E"/>
    <w:rsid w:val="000E19B5"/>
    <w:rsid w:val="000E1F3B"/>
    <w:rsid w:val="000E2A18"/>
    <w:rsid w:val="000E2F06"/>
    <w:rsid w:val="000E3183"/>
    <w:rsid w:val="000E337B"/>
    <w:rsid w:val="000E3413"/>
    <w:rsid w:val="000E35E8"/>
    <w:rsid w:val="000E3810"/>
    <w:rsid w:val="000E3939"/>
    <w:rsid w:val="000E418A"/>
    <w:rsid w:val="000E41A5"/>
    <w:rsid w:val="000E4218"/>
    <w:rsid w:val="000E459C"/>
    <w:rsid w:val="000E47BF"/>
    <w:rsid w:val="000E4806"/>
    <w:rsid w:val="000E4924"/>
    <w:rsid w:val="000E4ACD"/>
    <w:rsid w:val="000E4DE9"/>
    <w:rsid w:val="000E5085"/>
    <w:rsid w:val="000E509A"/>
    <w:rsid w:val="000E5574"/>
    <w:rsid w:val="000E5687"/>
    <w:rsid w:val="000E60B0"/>
    <w:rsid w:val="000E60FA"/>
    <w:rsid w:val="000E62B0"/>
    <w:rsid w:val="000E6973"/>
    <w:rsid w:val="000E69E8"/>
    <w:rsid w:val="000E69FA"/>
    <w:rsid w:val="000E6E17"/>
    <w:rsid w:val="000E7343"/>
    <w:rsid w:val="000E790C"/>
    <w:rsid w:val="000E7A74"/>
    <w:rsid w:val="000E7C56"/>
    <w:rsid w:val="000E7DB2"/>
    <w:rsid w:val="000E7EB5"/>
    <w:rsid w:val="000F016E"/>
    <w:rsid w:val="000F0722"/>
    <w:rsid w:val="000F0B72"/>
    <w:rsid w:val="000F0BB7"/>
    <w:rsid w:val="000F0BE2"/>
    <w:rsid w:val="000F0D9A"/>
    <w:rsid w:val="000F111E"/>
    <w:rsid w:val="000F126B"/>
    <w:rsid w:val="000F194F"/>
    <w:rsid w:val="000F1D78"/>
    <w:rsid w:val="000F2C60"/>
    <w:rsid w:val="000F2D0C"/>
    <w:rsid w:val="000F2DC2"/>
    <w:rsid w:val="000F2F58"/>
    <w:rsid w:val="000F2FA7"/>
    <w:rsid w:val="000F3009"/>
    <w:rsid w:val="000F3032"/>
    <w:rsid w:val="000F307F"/>
    <w:rsid w:val="000F30C7"/>
    <w:rsid w:val="000F3113"/>
    <w:rsid w:val="000F39E0"/>
    <w:rsid w:val="000F3CD9"/>
    <w:rsid w:val="000F4715"/>
    <w:rsid w:val="000F47F6"/>
    <w:rsid w:val="000F486F"/>
    <w:rsid w:val="000F4C4A"/>
    <w:rsid w:val="000F4F6F"/>
    <w:rsid w:val="000F54F3"/>
    <w:rsid w:val="000F5766"/>
    <w:rsid w:val="000F5A7C"/>
    <w:rsid w:val="000F6024"/>
    <w:rsid w:val="000F616C"/>
    <w:rsid w:val="000F618E"/>
    <w:rsid w:val="000F6917"/>
    <w:rsid w:val="000F6C3B"/>
    <w:rsid w:val="000F7286"/>
    <w:rsid w:val="000F748A"/>
    <w:rsid w:val="000F7495"/>
    <w:rsid w:val="000F761C"/>
    <w:rsid w:val="000F7B7A"/>
    <w:rsid w:val="00100070"/>
    <w:rsid w:val="001002D3"/>
    <w:rsid w:val="00100459"/>
    <w:rsid w:val="00100623"/>
    <w:rsid w:val="0010068D"/>
    <w:rsid w:val="001007E6"/>
    <w:rsid w:val="00100C84"/>
    <w:rsid w:val="00100C8F"/>
    <w:rsid w:val="00100F68"/>
    <w:rsid w:val="001014F7"/>
    <w:rsid w:val="00101504"/>
    <w:rsid w:val="001015A9"/>
    <w:rsid w:val="00101979"/>
    <w:rsid w:val="00101ECA"/>
    <w:rsid w:val="00102132"/>
    <w:rsid w:val="001024A4"/>
    <w:rsid w:val="00102716"/>
    <w:rsid w:val="001034BC"/>
    <w:rsid w:val="001035D8"/>
    <w:rsid w:val="0010364E"/>
    <w:rsid w:val="00103891"/>
    <w:rsid w:val="0010452E"/>
    <w:rsid w:val="00104B69"/>
    <w:rsid w:val="00104D68"/>
    <w:rsid w:val="00104E1C"/>
    <w:rsid w:val="00104FBE"/>
    <w:rsid w:val="001053AA"/>
    <w:rsid w:val="0010544E"/>
    <w:rsid w:val="0010552A"/>
    <w:rsid w:val="00105A80"/>
    <w:rsid w:val="00105ADB"/>
    <w:rsid w:val="00105BC3"/>
    <w:rsid w:val="00105C50"/>
    <w:rsid w:val="00105CC0"/>
    <w:rsid w:val="00105E2F"/>
    <w:rsid w:val="00105F97"/>
    <w:rsid w:val="001060FD"/>
    <w:rsid w:val="0010626F"/>
    <w:rsid w:val="00106A55"/>
    <w:rsid w:val="00106EDA"/>
    <w:rsid w:val="001071B0"/>
    <w:rsid w:val="00107223"/>
    <w:rsid w:val="001075DA"/>
    <w:rsid w:val="00107700"/>
    <w:rsid w:val="00107903"/>
    <w:rsid w:val="001079D3"/>
    <w:rsid w:val="00107A69"/>
    <w:rsid w:val="00107A82"/>
    <w:rsid w:val="00107DD7"/>
    <w:rsid w:val="00107FB7"/>
    <w:rsid w:val="001100F9"/>
    <w:rsid w:val="001103FB"/>
    <w:rsid w:val="00110D31"/>
    <w:rsid w:val="00110F10"/>
    <w:rsid w:val="00110FF5"/>
    <w:rsid w:val="0011106A"/>
    <w:rsid w:val="00111445"/>
    <w:rsid w:val="001119AC"/>
    <w:rsid w:val="00111ACD"/>
    <w:rsid w:val="00111B54"/>
    <w:rsid w:val="00111C67"/>
    <w:rsid w:val="00111E76"/>
    <w:rsid w:val="00111EA7"/>
    <w:rsid w:val="00112380"/>
    <w:rsid w:val="00112393"/>
    <w:rsid w:val="001125E6"/>
    <w:rsid w:val="00112B48"/>
    <w:rsid w:val="00112CAE"/>
    <w:rsid w:val="00112F6A"/>
    <w:rsid w:val="001133B2"/>
    <w:rsid w:val="0011346F"/>
    <w:rsid w:val="001135EF"/>
    <w:rsid w:val="0011377D"/>
    <w:rsid w:val="0011379C"/>
    <w:rsid w:val="00113BE1"/>
    <w:rsid w:val="00114304"/>
    <w:rsid w:val="00114675"/>
    <w:rsid w:val="001146E8"/>
    <w:rsid w:val="0011470B"/>
    <w:rsid w:val="00114787"/>
    <w:rsid w:val="0011492B"/>
    <w:rsid w:val="00114ABE"/>
    <w:rsid w:val="00114C58"/>
    <w:rsid w:val="001153EA"/>
    <w:rsid w:val="00115513"/>
    <w:rsid w:val="00115566"/>
    <w:rsid w:val="00116354"/>
    <w:rsid w:val="00116B55"/>
    <w:rsid w:val="00116DD5"/>
    <w:rsid w:val="0011713D"/>
    <w:rsid w:val="00117283"/>
    <w:rsid w:val="00117340"/>
    <w:rsid w:val="001173AE"/>
    <w:rsid w:val="00117613"/>
    <w:rsid w:val="001176B4"/>
    <w:rsid w:val="00117863"/>
    <w:rsid w:val="00117BE4"/>
    <w:rsid w:val="00117DA0"/>
    <w:rsid w:val="0011D5FD"/>
    <w:rsid w:val="0012005F"/>
    <w:rsid w:val="001205C5"/>
    <w:rsid w:val="001206F2"/>
    <w:rsid w:val="00120854"/>
    <w:rsid w:val="001208C1"/>
    <w:rsid w:val="00120BA2"/>
    <w:rsid w:val="00120DFE"/>
    <w:rsid w:val="00120F86"/>
    <w:rsid w:val="00121203"/>
    <w:rsid w:val="00121268"/>
    <w:rsid w:val="001212AD"/>
    <w:rsid w:val="0012130A"/>
    <w:rsid w:val="001215A7"/>
    <w:rsid w:val="00121639"/>
    <w:rsid w:val="00121753"/>
    <w:rsid w:val="00121CF0"/>
    <w:rsid w:val="00121DDD"/>
    <w:rsid w:val="00121F93"/>
    <w:rsid w:val="001224B4"/>
    <w:rsid w:val="001224F8"/>
    <w:rsid w:val="0012294A"/>
    <w:rsid w:val="001229ED"/>
    <w:rsid w:val="00122A22"/>
    <w:rsid w:val="00122E3E"/>
    <w:rsid w:val="00123641"/>
    <w:rsid w:val="0012372B"/>
    <w:rsid w:val="00123F5B"/>
    <w:rsid w:val="00123F9A"/>
    <w:rsid w:val="0012449A"/>
    <w:rsid w:val="00124619"/>
    <w:rsid w:val="0012487D"/>
    <w:rsid w:val="00124D0B"/>
    <w:rsid w:val="00125765"/>
    <w:rsid w:val="00125D9B"/>
    <w:rsid w:val="00125E1C"/>
    <w:rsid w:val="00126542"/>
    <w:rsid w:val="0012682B"/>
    <w:rsid w:val="001269BF"/>
    <w:rsid w:val="00126C28"/>
    <w:rsid w:val="00126E3B"/>
    <w:rsid w:val="0012770A"/>
    <w:rsid w:val="001279A4"/>
    <w:rsid w:val="00127B5A"/>
    <w:rsid w:val="00127F98"/>
    <w:rsid w:val="00130533"/>
    <w:rsid w:val="00130CB0"/>
    <w:rsid w:val="00130CB1"/>
    <w:rsid w:val="00130FC1"/>
    <w:rsid w:val="001313D0"/>
    <w:rsid w:val="001317C2"/>
    <w:rsid w:val="001318B6"/>
    <w:rsid w:val="00131C38"/>
    <w:rsid w:val="00131E2D"/>
    <w:rsid w:val="00131FD2"/>
    <w:rsid w:val="00132558"/>
    <w:rsid w:val="001329F0"/>
    <w:rsid w:val="00132B76"/>
    <w:rsid w:val="00132C23"/>
    <w:rsid w:val="00132E3A"/>
    <w:rsid w:val="00132F75"/>
    <w:rsid w:val="0013316F"/>
    <w:rsid w:val="00133863"/>
    <w:rsid w:val="00133A34"/>
    <w:rsid w:val="00133DB3"/>
    <w:rsid w:val="00133EAB"/>
    <w:rsid w:val="00134152"/>
    <w:rsid w:val="00134268"/>
    <w:rsid w:val="00134314"/>
    <w:rsid w:val="00134425"/>
    <w:rsid w:val="001345E9"/>
    <w:rsid w:val="00134DC2"/>
    <w:rsid w:val="00134F43"/>
    <w:rsid w:val="00135013"/>
    <w:rsid w:val="001351F5"/>
    <w:rsid w:val="0013530D"/>
    <w:rsid w:val="001355E6"/>
    <w:rsid w:val="0013585A"/>
    <w:rsid w:val="00135BD3"/>
    <w:rsid w:val="00135CE5"/>
    <w:rsid w:val="00136326"/>
    <w:rsid w:val="001363DF"/>
    <w:rsid w:val="00136749"/>
    <w:rsid w:val="001367C2"/>
    <w:rsid w:val="001367F4"/>
    <w:rsid w:val="00136904"/>
    <w:rsid w:val="001369A0"/>
    <w:rsid w:val="00136B65"/>
    <w:rsid w:val="00136B99"/>
    <w:rsid w:val="00136CDC"/>
    <w:rsid w:val="00136E00"/>
    <w:rsid w:val="001370A4"/>
    <w:rsid w:val="0013737F"/>
    <w:rsid w:val="00137A65"/>
    <w:rsid w:val="00137BB9"/>
    <w:rsid w:val="00137D59"/>
    <w:rsid w:val="0014011F"/>
    <w:rsid w:val="0014040D"/>
    <w:rsid w:val="00140587"/>
    <w:rsid w:val="00140640"/>
    <w:rsid w:val="00140978"/>
    <w:rsid w:val="00141158"/>
    <w:rsid w:val="0014153A"/>
    <w:rsid w:val="001415DC"/>
    <w:rsid w:val="0014199D"/>
    <w:rsid w:val="00141C80"/>
    <w:rsid w:val="0014229C"/>
    <w:rsid w:val="00142540"/>
    <w:rsid w:val="00142634"/>
    <w:rsid w:val="00142898"/>
    <w:rsid w:val="00143043"/>
    <w:rsid w:val="00143049"/>
    <w:rsid w:val="001430BD"/>
    <w:rsid w:val="0014322E"/>
    <w:rsid w:val="00143308"/>
    <w:rsid w:val="00143571"/>
    <w:rsid w:val="00143588"/>
    <w:rsid w:val="00143691"/>
    <w:rsid w:val="00143711"/>
    <w:rsid w:val="00143858"/>
    <w:rsid w:val="00144088"/>
    <w:rsid w:val="001445DF"/>
    <w:rsid w:val="00144BD3"/>
    <w:rsid w:val="00144F28"/>
    <w:rsid w:val="00145656"/>
    <w:rsid w:val="00145A63"/>
    <w:rsid w:val="00145BD6"/>
    <w:rsid w:val="00146737"/>
    <w:rsid w:val="00146DD2"/>
    <w:rsid w:val="0014746D"/>
    <w:rsid w:val="0014758A"/>
    <w:rsid w:val="0014759B"/>
    <w:rsid w:val="00147A16"/>
    <w:rsid w:val="00147A68"/>
    <w:rsid w:val="00147EA1"/>
    <w:rsid w:val="001501F3"/>
    <w:rsid w:val="00150285"/>
    <w:rsid w:val="0015053A"/>
    <w:rsid w:val="00150A3C"/>
    <w:rsid w:val="00150D14"/>
    <w:rsid w:val="00150F6B"/>
    <w:rsid w:val="00151114"/>
    <w:rsid w:val="00151395"/>
    <w:rsid w:val="0015153E"/>
    <w:rsid w:val="00151C17"/>
    <w:rsid w:val="00151D1B"/>
    <w:rsid w:val="00151D22"/>
    <w:rsid w:val="00151F39"/>
    <w:rsid w:val="00151FE6"/>
    <w:rsid w:val="0015232A"/>
    <w:rsid w:val="001524E4"/>
    <w:rsid w:val="0015269A"/>
    <w:rsid w:val="0015269E"/>
    <w:rsid w:val="00152BAB"/>
    <w:rsid w:val="00153118"/>
    <w:rsid w:val="0015340A"/>
    <w:rsid w:val="00153648"/>
    <w:rsid w:val="00153880"/>
    <w:rsid w:val="001538BE"/>
    <w:rsid w:val="00153DBF"/>
    <w:rsid w:val="00153E6D"/>
    <w:rsid w:val="001545D1"/>
    <w:rsid w:val="00154710"/>
    <w:rsid w:val="00154ACF"/>
    <w:rsid w:val="00154DD1"/>
    <w:rsid w:val="00154E53"/>
    <w:rsid w:val="0015500E"/>
    <w:rsid w:val="001554BB"/>
    <w:rsid w:val="001554DE"/>
    <w:rsid w:val="001555F7"/>
    <w:rsid w:val="00155D06"/>
    <w:rsid w:val="0015605C"/>
    <w:rsid w:val="00156550"/>
    <w:rsid w:val="0015677B"/>
    <w:rsid w:val="00156815"/>
    <w:rsid w:val="00156B10"/>
    <w:rsid w:val="00156C96"/>
    <w:rsid w:val="00156D61"/>
    <w:rsid w:val="00156EAF"/>
    <w:rsid w:val="00157E74"/>
    <w:rsid w:val="00157FE8"/>
    <w:rsid w:val="0016017A"/>
    <w:rsid w:val="001602BF"/>
    <w:rsid w:val="001602CC"/>
    <w:rsid w:val="001604F0"/>
    <w:rsid w:val="00160F3F"/>
    <w:rsid w:val="0016112A"/>
    <w:rsid w:val="0016115D"/>
    <w:rsid w:val="0016130E"/>
    <w:rsid w:val="001616BA"/>
    <w:rsid w:val="001619DC"/>
    <w:rsid w:val="00161CD5"/>
    <w:rsid w:val="00162014"/>
    <w:rsid w:val="00162015"/>
    <w:rsid w:val="001620F3"/>
    <w:rsid w:val="001622C4"/>
    <w:rsid w:val="001622C8"/>
    <w:rsid w:val="00162706"/>
    <w:rsid w:val="00162912"/>
    <w:rsid w:val="00162957"/>
    <w:rsid w:val="00162B9D"/>
    <w:rsid w:val="00162FE2"/>
    <w:rsid w:val="001632A3"/>
    <w:rsid w:val="00163619"/>
    <w:rsid w:val="00163673"/>
    <w:rsid w:val="00163BEC"/>
    <w:rsid w:val="00163DC1"/>
    <w:rsid w:val="00164136"/>
    <w:rsid w:val="0016421F"/>
    <w:rsid w:val="00164298"/>
    <w:rsid w:val="0016432D"/>
    <w:rsid w:val="0016461E"/>
    <w:rsid w:val="0016479C"/>
    <w:rsid w:val="00164978"/>
    <w:rsid w:val="00164DD6"/>
    <w:rsid w:val="00164EB8"/>
    <w:rsid w:val="00165463"/>
    <w:rsid w:val="00165479"/>
    <w:rsid w:val="0016565E"/>
    <w:rsid w:val="0016570D"/>
    <w:rsid w:val="00165768"/>
    <w:rsid w:val="00165A80"/>
    <w:rsid w:val="00165AB5"/>
    <w:rsid w:val="00165B87"/>
    <w:rsid w:val="00165D8C"/>
    <w:rsid w:val="001663CB"/>
    <w:rsid w:val="0016663B"/>
    <w:rsid w:val="0016671A"/>
    <w:rsid w:val="001674EE"/>
    <w:rsid w:val="00167723"/>
    <w:rsid w:val="0016784A"/>
    <w:rsid w:val="00167EBB"/>
    <w:rsid w:val="00167FE4"/>
    <w:rsid w:val="00169738"/>
    <w:rsid w:val="00170071"/>
    <w:rsid w:val="001703BA"/>
    <w:rsid w:val="001707FB"/>
    <w:rsid w:val="00170E24"/>
    <w:rsid w:val="00170F79"/>
    <w:rsid w:val="001713DD"/>
    <w:rsid w:val="00171420"/>
    <w:rsid w:val="00171D5D"/>
    <w:rsid w:val="00171FE9"/>
    <w:rsid w:val="001723D4"/>
    <w:rsid w:val="001725AD"/>
    <w:rsid w:val="0017263F"/>
    <w:rsid w:val="001727B7"/>
    <w:rsid w:val="001728CF"/>
    <w:rsid w:val="001728E7"/>
    <w:rsid w:val="00172CB1"/>
    <w:rsid w:val="0017318C"/>
    <w:rsid w:val="0017387B"/>
    <w:rsid w:val="00173B17"/>
    <w:rsid w:val="00173B22"/>
    <w:rsid w:val="00174191"/>
    <w:rsid w:val="001743C5"/>
    <w:rsid w:val="0017443D"/>
    <w:rsid w:val="00174541"/>
    <w:rsid w:val="00174584"/>
    <w:rsid w:val="00174C96"/>
    <w:rsid w:val="00175736"/>
    <w:rsid w:val="00176189"/>
    <w:rsid w:val="0017628D"/>
    <w:rsid w:val="001762F2"/>
    <w:rsid w:val="001765E9"/>
    <w:rsid w:val="00176831"/>
    <w:rsid w:val="00176AB0"/>
    <w:rsid w:val="00176C26"/>
    <w:rsid w:val="00176C27"/>
    <w:rsid w:val="00176C42"/>
    <w:rsid w:val="00176F70"/>
    <w:rsid w:val="00176F9C"/>
    <w:rsid w:val="001770DB"/>
    <w:rsid w:val="001771BB"/>
    <w:rsid w:val="001773DF"/>
    <w:rsid w:val="001774D5"/>
    <w:rsid w:val="00177A17"/>
    <w:rsid w:val="00177AD1"/>
    <w:rsid w:val="00177AF8"/>
    <w:rsid w:val="00177F33"/>
    <w:rsid w:val="00180138"/>
    <w:rsid w:val="00180884"/>
    <w:rsid w:val="001809D5"/>
    <w:rsid w:val="00180B2B"/>
    <w:rsid w:val="00180D8B"/>
    <w:rsid w:val="00180E49"/>
    <w:rsid w:val="00180F55"/>
    <w:rsid w:val="0018173B"/>
    <w:rsid w:val="00181B22"/>
    <w:rsid w:val="00181D59"/>
    <w:rsid w:val="00181F2E"/>
    <w:rsid w:val="00182201"/>
    <w:rsid w:val="0018222A"/>
    <w:rsid w:val="001822F7"/>
    <w:rsid w:val="00182398"/>
    <w:rsid w:val="00182489"/>
    <w:rsid w:val="00182635"/>
    <w:rsid w:val="00182758"/>
    <w:rsid w:val="00182AC9"/>
    <w:rsid w:val="0018316D"/>
    <w:rsid w:val="00183357"/>
    <w:rsid w:val="0018357E"/>
    <w:rsid w:val="001835E7"/>
    <w:rsid w:val="0018367A"/>
    <w:rsid w:val="001837DD"/>
    <w:rsid w:val="00183841"/>
    <w:rsid w:val="0018394F"/>
    <w:rsid w:val="00183D29"/>
    <w:rsid w:val="001842EF"/>
    <w:rsid w:val="001849DC"/>
    <w:rsid w:val="00184B65"/>
    <w:rsid w:val="00184ED7"/>
    <w:rsid w:val="0018526F"/>
    <w:rsid w:val="001853D4"/>
    <w:rsid w:val="001855EC"/>
    <w:rsid w:val="0018597A"/>
    <w:rsid w:val="001859CC"/>
    <w:rsid w:val="00185CEA"/>
    <w:rsid w:val="001860A5"/>
    <w:rsid w:val="001863A4"/>
    <w:rsid w:val="0018652E"/>
    <w:rsid w:val="00186613"/>
    <w:rsid w:val="001868F2"/>
    <w:rsid w:val="00186BB1"/>
    <w:rsid w:val="00186E66"/>
    <w:rsid w:val="00186F58"/>
    <w:rsid w:val="00186F67"/>
    <w:rsid w:val="0018727F"/>
    <w:rsid w:val="001878CE"/>
    <w:rsid w:val="00187BCC"/>
    <w:rsid w:val="0019043F"/>
    <w:rsid w:val="001904A8"/>
    <w:rsid w:val="00190673"/>
    <w:rsid w:val="001906E8"/>
    <w:rsid w:val="0019077C"/>
    <w:rsid w:val="001909B0"/>
    <w:rsid w:val="00190B93"/>
    <w:rsid w:val="00190C66"/>
    <w:rsid w:val="00190D4C"/>
    <w:rsid w:val="00191038"/>
    <w:rsid w:val="0019116F"/>
    <w:rsid w:val="00191229"/>
    <w:rsid w:val="00191BA1"/>
    <w:rsid w:val="00191BC1"/>
    <w:rsid w:val="00191DC2"/>
    <w:rsid w:val="00192398"/>
    <w:rsid w:val="001927A2"/>
    <w:rsid w:val="001930D0"/>
    <w:rsid w:val="0019320A"/>
    <w:rsid w:val="001932B8"/>
    <w:rsid w:val="00193686"/>
    <w:rsid w:val="00193749"/>
    <w:rsid w:val="00193B60"/>
    <w:rsid w:val="00193BEA"/>
    <w:rsid w:val="00193E51"/>
    <w:rsid w:val="00194017"/>
    <w:rsid w:val="0019455F"/>
    <w:rsid w:val="00194854"/>
    <w:rsid w:val="001949FF"/>
    <w:rsid w:val="00194A0C"/>
    <w:rsid w:val="00194BB7"/>
    <w:rsid w:val="00194D6C"/>
    <w:rsid w:val="00194FCC"/>
    <w:rsid w:val="00195048"/>
    <w:rsid w:val="0019512F"/>
    <w:rsid w:val="00195437"/>
    <w:rsid w:val="00195560"/>
    <w:rsid w:val="00195915"/>
    <w:rsid w:val="00195944"/>
    <w:rsid w:val="00195BA3"/>
    <w:rsid w:val="00195F2A"/>
    <w:rsid w:val="00195F3C"/>
    <w:rsid w:val="001963FE"/>
    <w:rsid w:val="001964F2"/>
    <w:rsid w:val="001966EC"/>
    <w:rsid w:val="00196753"/>
    <w:rsid w:val="00196836"/>
    <w:rsid w:val="00196CAD"/>
    <w:rsid w:val="00196E08"/>
    <w:rsid w:val="00197076"/>
    <w:rsid w:val="001973DE"/>
    <w:rsid w:val="001975A0"/>
    <w:rsid w:val="00197700"/>
    <w:rsid w:val="001978A6"/>
    <w:rsid w:val="0019797D"/>
    <w:rsid w:val="00197C8D"/>
    <w:rsid w:val="00197D04"/>
    <w:rsid w:val="001A02E6"/>
    <w:rsid w:val="001A0408"/>
    <w:rsid w:val="001A045E"/>
    <w:rsid w:val="001A047D"/>
    <w:rsid w:val="001A06E6"/>
    <w:rsid w:val="001A0881"/>
    <w:rsid w:val="001A0AEF"/>
    <w:rsid w:val="001A1272"/>
    <w:rsid w:val="001A13A7"/>
    <w:rsid w:val="001A13BD"/>
    <w:rsid w:val="001A1520"/>
    <w:rsid w:val="001A15DC"/>
    <w:rsid w:val="001A192A"/>
    <w:rsid w:val="001A19CE"/>
    <w:rsid w:val="001A1A2E"/>
    <w:rsid w:val="001A1C72"/>
    <w:rsid w:val="001A2014"/>
    <w:rsid w:val="001A21E3"/>
    <w:rsid w:val="001A24A7"/>
    <w:rsid w:val="001A25D7"/>
    <w:rsid w:val="001A2932"/>
    <w:rsid w:val="001A2E6F"/>
    <w:rsid w:val="001A2E76"/>
    <w:rsid w:val="001A338A"/>
    <w:rsid w:val="001A358A"/>
    <w:rsid w:val="001A3599"/>
    <w:rsid w:val="001A382B"/>
    <w:rsid w:val="001A3A4F"/>
    <w:rsid w:val="001A3C30"/>
    <w:rsid w:val="001A3C33"/>
    <w:rsid w:val="001A3E71"/>
    <w:rsid w:val="001A3EED"/>
    <w:rsid w:val="001A4187"/>
    <w:rsid w:val="001A41A0"/>
    <w:rsid w:val="001A43CC"/>
    <w:rsid w:val="001A44F0"/>
    <w:rsid w:val="001A4CB1"/>
    <w:rsid w:val="001A4DF8"/>
    <w:rsid w:val="001A52CD"/>
    <w:rsid w:val="001A5376"/>
    <w:rsid w:val="001A5432"/>
    <w:rsid w:val="001A55E0"/>
    <w:rsid w:val="001A59A9"/>
    <w:rsid w:val="001A5A44"/>
    <w:rsid w:val="001A5B5C"/>
    <w:rsid w:val="001A5CF3"/>
    <w:rsid w:val="001A6305"/>
    <w:rsid w:val="001A662D"/>
    <w:rsid w:val="001A6C3A"/>
    <w:rsid w:val="001A71D3"/>
    <w:rsid w:val="001A720E"/>
    <w:rsid w:val="001A724C"/>
    <w:rsid w:val="001A72D1"/>
    <w:rsid w:val="001A75EA"/>
    <w:rsid w:val="001A7F27"/>
    <w:rsid w:val="001A8CA0"/>
    <w:rsid w:val="001B012D"/>
    <w:rsid w:val="001B01E9"/>
    <w:rsid w:val="001B039D"/>
    <w:rsid w:val="001B0659"/>
    <w:rsid w:val="001B0A6C"/>
    <w:rsid w:val="001B0DC0"/>
    <w:rsid w:val="001B0F59"/>
    <w:rsid w:val="001B10C1"/>
    <w:rsid w:val="001B168B"/>
    <w:rsid w:val="001B1895"/>
    <w:rsid w:val="001B1A68"/>
    <w:rsid w:val="001B1ABF"/>
    <w:rsid w:val="001B1B55"/>
    <w:rsid w:val="001B1C1F"/>
    <w:rsid w:val="001B1EBA"/>
    <w:rsid w:val="001B272B"/>
    <w:rsid w:val="001B2A99"/>
    <w:rsid w:val="001B2F30"/>
    <w:rsid w:val="001B31F5"/>
    <w:rsid w:val="001B32ED"/>
    <w:rsid w:val="001B38A0"/>
    <w:rsid w:val="001B3D34"/>
    <w:rsid w:val="001B402F"/>
    <w:rsid w:val="001B44F0"/>
    <w:rsid w:val="001B4597"/>
    <w:rsid w:val="001B46FB"/>
    <w:rsid w:val="001B47B7"/>
    <w:rsid w:val="001B48A9"/>
    <w:rsid w:val="001B4A84"/>
    <w:rsid w:val="001B4B41"/>
    <w:rsid w:val="001B4C0D"/>
    <w:rsid w:val="001B4C90"/>
    <w:rsid w:val="001B4FBA"/>
    <w:rsid w:val="001B57B7"/>
    <w:rsid w:val="001B5875"/>
    <w:rsid w:val="001B61ED"/>
    <w:rsid w:val="001B621D"/>
    <w:rsid w:val="001B6338"/>
    <w:rsid w:val="001B6362"/>
    <w:rsid w:val="001B6429"/>
    <w:rsid w:val="001B6498"/>
    <w:rsid w:val="001B6537"/>
    <w:rsid w:val="001B6BBD"/>
    <w:rsid w:val="001B7549"/>
    <w:rsid w:val="001B7A04"/>
    <w:rsid w:val="001B7A89"/>
    <w:rsid w:val="001BC04F"/>
    <w:rsid w:val="001C03E6"/>
    <w:rsid w:val="001C03FA"/>
    <w:rsid w:val="001C04B3"/>
    <w:rsid w:val="001C0824"/>
    <w:rsid w:val="001C0D81"/>
    <w:rsid w:val="001C0E8C"/>
    <w:rsid w:val="001C126F"/>
    <w:rsid w:val="001C1504"/>
    <w:rsid w:val="001C1E20"/>
    <w:rsid w:val="001C225A"/>
    <w:rsid w:val="001C2338"/>
    <w:rsid w:val="001C2626"/>
    <w:rsid w:val="001C27A3"/>
    <w:rsid w:val="001C2A00"/>
    <w:rsid w:val="001C2BE0"/>
    <w:rsid w:val="001C2CF7"/>
    <w:rsid w:val="001C2D18"/>
    <w:rsid w:val="001C2ED1"/>
    <w:rsid w:val="001C3040"/>
    <w:rsid w:val="001C315A"/>
    <w:rsid w:val="001C32B3"/>
    <w:rsid w:val="001C340D"/>
    <w:rsid w:val="001C360A"/>
    <w:rsid w:val="001C3710"/>
    <w:rsid w:val="001C3CA2"/>
    <w:rsid w:val="001C4075"/>
    <w:rsid w:val="001C4248"/>
    <w:rsid w:val="001C431B"/>
    <w:rsid w:val="001C4564"/>
    <w:rsid w:val="001C457C"/>
    <w:rsid w:val="001C45A6"/>
    <w:rsid w:val="001C4661"/>
    <w:rsid w:val="001C46D5"/>
    <w:rsid w:val="001C4731"/>
    <w:rsid w:val="001C4745"/>
    <w:rsid w:val="001C475D"/>
    <w:rsid w:val="001C4868"/>
    <w:rsid w:val="001C4AB4"/>
    <w:rsid w:val="001C4AEB"/>
    <w:rsid w:val="001C4B2F"/>
    <w:rsid w:val="001C51D9"/>
    <w:rsid w:val="001C53A7"/>
    <w:rsid w:val="001C5444"/>
    <w:rsid w:val="001C5D68"/>
    <w:rsid w:val="001C5E09"/>
    <w:rsid w:val="001C634E"/>
    <w:rsid w:val="001C6AE1"/>
    <w:rsid w:val="001C6EFE"/>
    <w:rsid w:val="001C718A"/>
    <w:rsid w:val="001C72D8"/>
    <w:rsid w:val="001C77C3"/>
    <w:rsid w:val="001C78DE"/>
    <w:rsid w:val="001C7AD6"/>
    <w:rsid w:val="001C7B77"/>
    <w:rsid w:val="001C7DD9"/>
    <w:rsid w:val="001C7FAE"/>
    <w:rsid w:val="001D0372"/>
    <w:rsid w:val="001D0539"/>
    <w:rsid w:val="001D069E"/>
    <w:rsid w:val="001D07B1"/>
    <w:rsid w:val="001D0B18"/>
    <w:rsid w:val="001D121A"/>
    <w:rsid w:val="001D1279"/>
    <w:rsid w:val="001D1893"/>
    <w:rsid w:val="001D18A5"/>
    <w:rsid w:val="001D1A03"/>
    <w:rsid w:val="001D1A5A"/>
    <w:rsid w:val="001D1B1C"/>
    <w:rsid w:val="001D1CAB"/>
    <w:rsid w:val="001D1ED7"/>
    <w:rsid w:val="001D2243"/>
    <w:rsid w:val="001D2898"/>
    <w:rsid w:val="001D2AC4"/>
    <w:rsid w:val="001D2BFE"/>
    <w:rsid w:val="001D2CCD"/>
    <w:rsid w:val="001D32B2"/>
    <w:rsid w:val="001D33AD"/>
    <w:rsid w:val="001D35AB"/>
    <w:rsid w:val="001D3940"/>
    <w:rsid w:val="001D3A6A"/>
    <w:rsid w:val="001D3B12"/>
    <w:rsid w:val="001D3EC5"/>
    <w:rsid w:val="001D42A7"/>
    <w:rsid w:val="001D4593"/>
    <w:rsid w:val="001D47A0"/>
    <w:rsid w:val="001D4907"/>
    <w:rsid w:val="001D4938"/>
    <w:rsid w:val="001D4B76"/>
    <w:rsid w:val="001D4E25"/>
    <w:rsid w:val="001D5008"/>
    <w:rsid w:val="001D5354"/>
    <w:rsid w:val="001D5688"/>
    <w:rsid w:val="001D5744"/>
    <w:rsid w:val="001D5939"/>
    <w:rsid w:val="001D599B"/>
    <w:rsid w:val="001D5B66"/>
    <w:rsid w:val="001D5DB2"/>
    <w:rsid w:val="001D5F06"/>
    <w:rsid w:val="001D5F8A"/>
    <w:rsid w:val="001D63B8"/>
    <w:rsid w:val="001D66C9"/>
    <w:rsid w:val="001D69E6"/>
    <w:rsid w:val="001D6A9F"/>
    <w:rsid w:val="001D6B56"/>
    <w:rsid w:val="001D6C1C"/>
    <w:rsid w:val="001D6F84"/>
    <w:rsid w:val="001D7C8A"/>
    <w:rsid w:val="001E04CA"/>
    <w:rsid w:val="001E077C"/>
    <w:rsid w:val="001E0A0B"/>
    <w:rsid w:val="001E0D2C"/>
    <w:rsid w:val="001E0F91"/>
    <w:rsid w:val="001E0FE8"/>
    <w:rsid w:val="001E1332"/>
    <w:rsid w:val="001E1589"/>
    <w:rsid w:val="001E17BF"/>
    <w:rsid w:val="001E1A3B"/>
    <w:rsid w:val="001E1D5B"/>
    <w:rsid w:val="001E2129"/>
    <w:rsid w:val="001E219B"/>
    <w:rsid w:val="001E2756"/>
    <w:rsid w:val="001E2950"/>
    <w:rsid w:val="001E2E86"/>
    <w:rsid w:val="001E302D"/>
    <w:rsid w:val="001E30C8"/>
    <w:rsid w:val="001E3392"/>
    <w:rsid w:val="001E3514"/>
    <w:rsid w:val="001E3617"/>
    <w:rsid w:val="001E3707"/>
    <w:rsid w:val="001E388E"/>
    <w:rsid w:val="001E3D27"/>
    <w:rsid w:val="001E3E1C"/>
    <w:rsid w:val="001E3E34"/>
    <w:rsid w:val="001E4564"/>
    <w:rsid w:val="001E524A"/>
    <w:rsid w:val="001E5308"/>
    <w:rsid w:val="001E5622"/>
    <w:rsid w:val="001E565B"/>
    <w:rsid w:val="001E5663"/>
    <w:rsid w:val="001E57FC"/>
    <w:rsid w:val="001E582B"/>
    <w:rsid w:val="001E584B"/>
    <w:rsid w:val="001E5856"/>
    <w:rsid w:val="001E5BC4"/>
    <w:rsid w:val="001E62EE"/>
    <w:rsid w:val="001E6491"/>
    <w:rsid w:val="001E64C6"/>
    <w:rsid w:val="001E64C9"/>
    <w:rsid w:val="001E65B2"/>
    <w:rsid w:val="001E6FB6"/>
    <w:rsid w:val="001E7604"/>
    <w:rsid w:val="001E7831"/>
    <w:rsid w:val="001E7A1A"/>
    <w:rsid w:val="001E7A7C"/>
    <w:rsid w:val="001F012F"/>
    <w:rsid w:val="001F070B"/>
    <w:rsid w:val="001F08AB"/>
    <w:rsid w:val="001F08FB"/>
    <w:rsid w:val="001F091A"/>
    <w:rsid w:val="001F09A8"/>
    <w:rsid w:val="001F13BB"/>
    <w:rsid w:val="001F14F1"/>
    <w:rsid w:val="001F1518"/>
    <w:rsid w:val="001F1588"/>
    <w:rsid w:val="001F1A54"/>
    <w:rsid w:val="001F1AEE"/>
    <w:rsid w:val="001F1EED"/>
    <w:rsid w:val="001F2336"/>
    <w:rsid w:val="001F2E2D"/>
    <w:rsid w:val="001F2F71"/>
    <w:rsid w:val="001F3032"/>
    <w:rsid w:val="001F31D4"/>
    <w:rsid w:val="001F32E1"/>
    <w:rsid w:val="001F341E"/>
    <w:rsid w:val="001F36C1"/>
    <w:rsid w:val="001F3AC6"/>
    <w:rsid w:val="001F3FC2"/>
    <w:rsid w:val="001F3FD7"/>
    <w:rsid w:val="001F4C97"/>
    <w:rsid w:val="001F4CA1"/>
    <w:rsid w:val="001F4D14"/>
    <w:rsid w:val="001F539B"/>
    <w:rsid w:val="001F5433"/>
    <w:rsid w:val="001F54D7"/>
    <w:rsid w:val="001F553E"/>
    <w:rsid w:val="001F586E"/>
    <w:rsid w:val="001F5977"/>
    <w:rsid w:val="001F5D54"/>
    <w:rsid w:val="001F5FB3"/>
    <w:rsid w:val="001F61C5"/>
    <w:rsid w:val="001F6558"/>
    <w:rsid w:val="001F6751"/>
    <w:rsid w:val="001F68E8"/>
    <w:rsid w:val="001F6ACD"/>
    <w:rsid w:val="001F6BC8"/>
    <w:rsid w:val="001F6C34"/>
    <w:rsid w:val="001F6DC1"/>
    <w:rsid w:val="001F7066"/>
    <w:rsid w:val="001F7211"/>
    <w:rsid w:val="001F7268"/>
    <w:rsid w:val="001F76B4"/>
    <w:rsid w:val="001F7987"/>
    <w:rsid w:val="002002BF"/>
    <w:rsid w:val="002004CA"/>
    <w:rsid w:val="00200688"/>
    <w:rsid w:val="002008D0"/>
    <w:rsid w:val="002009B7"/>
    <w:rsid w:val="00200A1C"/>
    <w:rsid w:val="00200AD4"/>
    <w:rsid w:val="00200B5D"/>
    <w:rsid w:val="0020136F"/>
    <w:rsid w:val="002018F4"/>
    <w:rsid w:val="00201A5F"/>
    <w:rsid w:val="00201AC0"/>
    <w:rsid w:val="00201DC2"/>
    <w:rsid w:val="00201FFF"/>
    <w:rsid w:val="0020248F"/>
    <w:rsid w:val="002024FA"/>
    <w:rsid w:val="00202DEC"/>
    <w:rsid w:val="00202F97"/>
    <w:rsid w:val="00202FC6"/>
    <w:rsid w:val="00203257"/>
    <w:rsid w:val="002033B4"/>
    <w:rsid w:val="00203D37"/>
    <w:rsid w:val="00204084"/>
    <w:rsid w:val="00204089"/>
    <w:rsid w:val="002040D0"/>
    <w:rsid w:val="00204280"/>
    <w:rsid w:val="00204298"/>
    <w:rsid w:val="0020434D"/>
    <w:rsid w:val="00204818"/>
    <w:rsid w:val="00205743"/>
    <w:rsid w:val="002058A2"/>
    <w:rsid w:val="00205952"/>
    <w:rsid w:val="00205C7E"/>
    <w:rsid w:val="00205EB1"/>
    <w:rsid w:val="00205F75"/>
    <w:rsid w:val="002063E0"/>
    <w:rsid w:val="00206401"/>
    <w:rsid w:val="002068A2"/>
    <w:rsid w:val="00206DBA"/>
    <w:rsid w:val="002070AC"/>
    <w:rsid w:val="0020737F"/>
    <w:rsid w:val="0020762C"/>
    <w:rsid w:val="0020780B"/>
    <w:rsid w:val="00207A9F"/>
    <w:rsid w:val="00207BDD"/>
    <w:rsid w:val="00207E47"/>
    <w:rsid w:val="00210399"/>
    <w:rsid w:val="0021043B"/>
    <w:rsid w:val="00210667"/>
    <w:rsid w:val="00211031"/>
    <w:rsid w:val="002113AF"/>
    <w:rsid w:val="00211520"/>
    <w:rsid w:val="0021153E"/>
    <w:rsid w:val="0021194A"/>
    <w:rsid w:val="00211C42"/>
    <w:rsid w:val="00211E28"/>
    <w:rsid w:val="0021203D"/>
    <w:rsid w:val="002125F9"/>
    <w:rsid w:val="00212BB8"/>
    <w:rsid w:val="00212D9D"/>
    <w:rsid w:val="00212E99"/>
    <w:rsid w:val="00213254"/>
    <w:rsid w:val="00213301"/>
    <w:rsid w:val="00213489"/>
    <w:rsid w:val="0021367B"/>
    <w:rsid w:val="00213780"/>
    <w:rsid w:val="0021388D"/>
    <w:rsid w:val="00213D45"/>
    <w:rsid w:val="00213E9B"/>
    <w:rsid w:val="00213EDC"/>
    <w:rsid w:val="002143A8"/>
    <w:rsid w:val="00214605"/>
    <w:rsid w:val="002147E2"/>
    <w:rsid w:val="00214A8E"/>
    <w:rsid w:val="00214D0A"/>
    <w:rsid w:val="00214FD6"/>
    <w:rsid w:val="0021508B"/>
    <w:rsid w:val="002152EC"/>
    <w:rsid w:val="002152FE"/>
    <w:rsid w:val="002155C2"/>
    <w:rsid w:val="002155F4"/>
    <w:rsid w:val="0021569C"/>
    <w:rsid w:val="00215842"/>
    <w:rsid w:val="00215867"/>
    <w:rsid w:val="00215C85"/>
    <w:rsid w:val="002162A7"/>
    <w:rsid w:val="00216CBF"/>
    <w:rsid w:val="00216F3D"/>
    <w:rsid w:val="002172A5"/>
    <w:rsid w:val="002179B7"/>
    <w:rsid w:val="00217E2C"/>
    <w:rsid w:val="00217E6A"/>
    <w:rsid w:val="00220097"/>
    <w:rsid w:val="00220113"/>
    <w:rsid w:val="002201FC"/>
    <w:rsid w:val="0022034E"/>
    <w:rsid w:val="0022042C"/>
    <w:rsid w:val="002209F8"/>
    <w:rsid w:val="00220DB9"/>
    <w:rsid w:val="00220E4B"/>
    <w:rsid w:val="00220E77"/>
    <w:rsid w:val="00220F14"/>
    <w:rsid w:val="002219B5"/>
    <w:rsid w:val="00221BA3"/>
    <w:rsid w:val="00221FD4"/>
    <w:rsid w:val="002221C6"/>
    <w:rsid w:val="002223A5"/>
    <w:rsid w:val="00222653"/>
    <w:rsid w:val="00222D99"/>
    <w:rsid w:val="0022310F"/>
    <w:rsid w:val="0022315C"/>
    <w:rsid w:val="00223845"/>
    <w:rsid w:val="00223B2D"/>
    <w:rsid w:val="00223F64"/>
    <w:rsid w:val="002240EF"/>
    <w:rsid w:val="00224145"/>
    <w:rsid w:val="0022417D"/>
    <w:rsid w:val="00224297"/>
    <w:rsid w:val="0022433F"/>
    <w:rsid w:val="00224340"/>
    <w:rsid w:val="002245A4"/>
    <w:rsid w:val="00224786"/>
    <w:rsid w:val="002248A1"/>
    <w:rsid w:val="002248CC"/>
    <w:rsid w:val="00224AAA"/>
    <w:rsid w:val="00224C2C"/>
    <w:rsid w:val="0022514E"/>
    <w:rsid w:val="00225411"/>
    <w:rsid w:val="002257B0"/>
    <w:rsid w:val="002257F9"/>
    <w:rsid w:val="00225E12"/>
    <w:rsid w:val="002262E0"/>
    <w:rsid w:val="0022652E"/>
    <w:rsid w:val="002265B1"/>
    <w:rsid w:val="00226C04"/>
    <w:rsid w:val="00227188"/>
    <w:rsid w:val="0022732E"/>
    <w:rsid w:val="002276C6"/>
    <w:rsid w:val="0022784C"/>
    <w:rsid w:val="00227E43"/>
    <w:rsid w:val="0023011E"/>
    <w:rsid w:val="0023027A"/>
    <w:rsid w:val="00230476"/>
    <w:rsid w:val="00230716"/>
    <w:rsid w:val="00230809"/>
    <w:rsid w:val="00230F54"/>
    <w:rsid w:val="002311A0"/>
    <w:rsid w:val="002314B7"/>
    <w:rsid w:val="002317EC"/>
    <w:rsid w:val="0023184B"/>
    <w:rsid w:val="00231862"/>
    <w:rsid w:val="00231B28"/>
    <w:rsid w:val="00231B50"/>
    <w:rsid w:val="00231F85"/>
    <w:rsid w:val="0023249F"/>
    <w:rsid w:val="00232982"/>
    <w:rsid w:val="00232C86"/>
    <w:rsid w:val="00232DB3"/>
    <w:rsid w:val="00232E44"/>
    <w:rsid w:val="0023364A"/>
    <w:rsid w:val="0023377F"/>
    <w:rsid w:val="002337F8"/>
    <w:rsid w:val="0023393B"/>
    <w:rsid w:val="00233B67"/>
    <w:rsid w:val="00233CE3"/>
    <w:rsid w:val="0023481C"/>
    <w:rsid w:val="00234DEC"/>
    <w:rsid w:val="00234F34"/>
    <w:rsid w:val="0023506B"/>
    <w:rsid w:val="0023510D"/>
    <w:rsid w:val="00235329"/>
    <w:rsid w:val="00235632"/>
    <w:rsid w:val="0023583C"/>
    <w:rsid w:val="00235B00"/>
    <w:rsid w:val="00235F9B"/>
    <w:rsid w:val="00236079"/>
    <w:rsid w:val="002368A6"/>
    <w:rsid w:val="00236A09"/>
    <w:rsid w:val="00236DDA"/>
    <w:rsid w:val="00236F58"/>
    <w:rsid w:val="002372FB"/>
    <w:rsid w:val="00237452"/>
    <w:rsid w:val="0023767F"/>
    <w:rsid w:val="002376EB"/>
    <w:rsid w:val="0023781F"/>
    <w:rsid w:val="00237D3B"/>
    <w:rsid w:val="00240138"/>
    <w:rsid w:val="0024017C"/>
    <w:rsid w:val="002401A2"/>
    <w:rsid w:val="00240260"/>
    <w:rsid w:val="00240267"/>
    <w:rsid w:val="00240390"/>
    <w:rsid w:val="00240391"/>
    <w:rsid w:val="0024084E"/>
    <w:rsid w:val="00240F22"/>
    <w:rsid w:val="002411D1"/>
    <w:rsid w:val="00241455"/>
    <w:rsid w:val="0024147C"/>
    <w:rsid w:val="002418C4"/>
    <w:rsid w:val="00241988"/>
    <w:rsid w:val="00241A2A"/>
    <w:rsid w:val="00241B0E"/>
    <w:rsid w:val="00241C71"/>
    <w:rsid w:val="00241D97"/>
    <w:rsid w:val="00241E66"/>
    <w:rsid w:val="00241EA0"/>
    <w:rsid w:val="00241F27"/>
    <w:rsid w:val="0024206E"/>
    <w:rsid w:val="002423C4"/>
    <w:rsid w:val="00243092"/>
    <w:rsid w:val="0024368E"/>
    <w:rsid w:val="002437C6"/>
    <w:rsid w:val="00243846"/>
    <w:rsid w:val="00243908"/>
    <w:rsid w:val="00243E44"/>
    <w:rsid w:val="00243EAA"/>
    <w:rsid w:val="00244423"/>
    <w:rsid w:val="00244490"/>
    <w:rsid w:val="0024487B"/>
    <w:rsid w:val="002449FC"/>
    <w:rsid w:val="00244A10"/>
    <w:rsid w:val="00244C43"/>
    <w:rsid w:val="00244E78"/>
    <w:rsid w:val="00244FD0"/>
    <w:rsid w:val="00245088"/>
    <w:rsid w:val="00245103"/>
    <w:rsid w:val="0024540B"/>
    <w:rsid w:val="002458AD"/>
    <w:rsid w:val="00245AF3"/>
    <w:rsid w:val="002460C4"/>
    <w:rsid w:val="0024614E"/>
    <w:rsid w:val="0024665E"/>
    <w:rsid w:val="002467C9"/>
    <w:rsid w:val="00246ABC"/>
    <w:rsid w:val="00246BF6"/>
    <w:rsid w:val="00246C37"/>
    <w:rsid w:val="00247296"/>
    <w:rsid w:val="002474F8"/>
    <w:rsid w:val="00247559"/>
    <w:rsid w:val="002478F1"/>
    <w:rsid w:val="00247B75"/>
    <w:rsid w:val="00247C92"/>
    <w:rsid w:val="00247D75"/>
    <w:rsid w:val="00247F9D"/>
    <w:rsid w:val="0025016C"/>
    <w:rsid w:val="00250261"/>
    <w:rsid w:val="0025054D"/>
    <w:rsid w:val="002512B3"/>
    <w:rsid w:val="002516E1"/>
    <w:rsid w:val="002517E3"/>
    <w:rsid w:val="0025192A"/>
    <w:rsid w:val="00251BE3"/>
    <w:rsid w:val="00251D18"/>
    <w:rsid w:val="0025225C"/>
    <w:rsid w:val="00252463"/>
    <w:rsid w:val="00252555"/>
    <w:rsid w:val="00252657"/>
    <w:rsid w:val="00252698"/>
    <w:rsid w:val="00252728"/>
    <w:rsid w:val="00252B48"/>
    <w:rsid w:val="00252C2F"/>
    <w:rsid w:val="00252CAF"/>
    <w:rsid w:val="00252E84"/>
    <w:rsid w:val="00252EDD"/>
    <w:rsid w:val="00253219"/>
    <w:rsid w:val="00253258"/>
    <w:rsid w:val="00253467"/>
    <w:rsid w:val="00253477"/>
    <w:rsid w:val="00253832"/>
    <w:rsid w:val="00253B5A"/>
    <w:rsid w:val="00253C9A"/>
    <w:rsid w:val="00253D1C"/>
    <w:rsid w:val="00253E74"/>
    <w:rsid w:val="00253EDE"/>
    <w:rsid w:val="00253F3E"/>
    <w:rsid w:val="002550DB"/>
    <w:rsid w:val="0025521C"/>
    <w:rsid w:val="00255262"/>
    <w:rsid w:val="00255799"/>
    <w:rsid w:val="002559B8"/>
    <w:rsid w:val="00255D76"/>
    <w:rsid w:val="00255DE4"/>
    <w:rsid w:val="00255F35"/>
    <w:rsid w:val="00256030"/>
    <w:rsid w:val="00256034"/>
    <w:rsid w:val="00256167"/>
    <w:rsid w:val="0025687E"/>
    <w:rsid w:val="00256B99"/>
    <w:rsid w:val="00256EAB"/>
    <w:rsid w:val="00257A85"/>
    <w:rsid w:val="00257DC5"/>
    <w:rsid w:val="00260000"/>
    <w:rsid w:val="00260233"/>
    <w:rsid w:val="0026027B"/>
    <w:rsid w:val="00260BFE"/>
    <w:rsid w:val="00260E12"/>
    <w:rsid w:val="00260F26"/>
    <w:rsid w:val="002610AD"/>
    <w:rsid w:val="002615B0"/>
    <w:rsid w:val="00261830"/>
    <w:rsid w:val="00261893"/>
    <w:rsid w:val="002618AF"/>
    <w:rsid w:val="00261B05"/>
    <w:rsid w:val="00261E84"/>
    <w:rsid w:val="002621E2"/>
    <w:rsid w:val="00262451"/>
    <w:rsid w:val="002625A4"/>
    <w:rsid w:val="002625F4"/>
    <w:rsid w:val="00262685"/>
    <w:rsid w:val="0026282F"/>
    <w:rsid w:val="00262923"/>
    <w:rsid w:val="00262B6D"/>
    <w:rsid w:val="00262B7A"/>
    <w:rsid w:val="00262C18"/>
    <w:rsid w:val="00262DCF"/>
    <w:rsid w:val="00262FA7"/>
    <w:rsid w:val="002631E8"/>
    <w:rsid w:val="0026342A"/>
    <w:rsid w:val="002634E3"/>
    <w:rsid w:val="002635D8"/>
    <w:rsid w:val="002635E3"/>
    <w:rsid w:val="002637CE"/>
    <w:rsid w:val="00263A5F"/>
    <w:rsid w:val="00263B7B"/>
    <w:rsid w:val="00263D54"/>
    <w:rsid w:val="00264693"/>
    <w:rsid w:val="002646F0"/>
    <w:rsid w:val="00264736"/>
    <w:rsid w:val="0026507A"/>
    <w:rsid w:val="00265245"/>
    <w:rsid w:val="00265446"/>
    <w:rsid w:val="00265641"/>
    <w:rsid w:val="00265686"/>
    <w:rsid w:val="0026599C"/>
    <w:rsid w:val="002659AB"/>
    <w:rsid w:val="002661F1"/>
    <w:rsid w:val="00266275"/>
    <w:rsid w:val="0026628A"/>
    <w:rsid w:val="002662D7"/>
    <w:rsid w:val="002663E9"/>
    <w:rsid w:val="0026677D"/>
    <w:rsid w:val="0026684F"/>
    <w:rsid w:val="002668BC"/>
    <w:rsid w:val="00266A61"/>
    <w:rsid w:val="00266D69"/>
    <w:rsid w:val="00266F39"/>
    <w:rsid w:val="002675A4"/>
    <w:rsid w:val="002678BA"/>
    <w:rsid w:val="00267917"/>
    <w:rsid w:val="00267AF0"/>
    <w:rsid w:val="00270052"/>
    <w:rsid w:val="002704B5"/>
    <w:rsid w:val="002705F1"/>
    <w:rsid w:val="002706A7"/>
    <w:rsid w:val="00270A44"/>
    <w:rsid w:val="00270F8A"/>
    <w:rsid w:val="00271648"/>
    <w:rsid w:val="00271BE6"/>
    <w:rsid w:val="00272105"/>
    <w:rsid w:val="0027218B"/>
    <w:rsid w:val="00272368"/>
    <w:rsid w:val="00272402"/>
    <w:rsid w:val="0027266B"/>
    <w:rsid w:val="002728A4"/>
    <w:rsid w:val="00272B74"/>
    <w:rsid w:val="00272EA3"/>
    <w:rsid w:val="002734CB"/>
    <w:rsid w:val="0027359A"/>
    <w:rsid w:val="00273783"/>
    <w:rsid w:val="00273E23"/>
    <w:rsid w:val="00273EA9"/>
    <w:rsid w:val="00274A5E"/>
    <w:rsid w:val="00274AEE"/>
    <w:rsid w:val="0027527E"/>
    <w:rsid w:val="002753E7"/>
    <w:rsid w:val="00275521"/>
    <w:rsid w:val="00275552"/>
    <w:rsid w:val="002756E5"/>
    <w:rsid w:val="00275965"/>
    <w:rsid w:val="00276599"/>
    <w:rsid w:val="002766EB"/>
    <w:rsid w:val="0027670E"/>
    <w:rsid w:val="00276A36"/>
    <w:rsid w:val="00276B6A"/>
    <w:rsid w:val="00277021"/>
    <w:rsid w:val="00277088"/>
    <w:rsid w:val="00277280"/>
    <w:rsid w:val="002773A7"/>
    <w:rsid w:val="00277729"/>
    <w:rsid w:val="0027786C"/>
    <w:rsid w:val="00277BF2"/>
    <w:rsid w:val="00277FB7"/>
    <w:rsid w:val="00280298"/>
    <w:rsid w:val="002803AD"/>
    <w:rsid w:val="002805D8"/>
    <w:rsid w:val="002805DA"/>
    <w:rsid w:val="00280608"/>
    <w:rsid w:val="002808D1"/>
    <w:rsid w:val="002808DC"/>
    <w:rsid w:val="00280904"/>
    <w:rsid w:val="002809F4"/>
    <w:rsid w:val="00280C02"/>
    <w:rsid w:val="00280CD1"/>
    <w:rsid w:val="00281217"/>
    <w:rsid w:val="00281797"/>
    <w:rsid w:val="00281941"/>
    <w:rsid w:val="00281F64"/>
    <w:rsid w:val="00281FF2"/>
    <w:rsid w:val="002823ED"/>
    <w:rsid w:val="00282A08"/>
    <w:rsid w:val="00282B01"/>
    <w:rsid w:val="00282D6F"/>
    <w:rsid w:val="00282DCF"/>
    <w:rsid w:val="00283104"/>
    <w:rsid w:val="0028327B"/>
    <w:rsid w:val="0028330D"/>
    <w:rsid w:val="002833BA"/>
    <w:rsid w:val="002835A4"/>
    <w:rsid w:val="00283614"/>
    <w:rsid w:val="00283871"/>
    <w:rsid w:val="00283AC7"/>
    <w:rsid w:val="00283D7C"/>
    <w:rsid w:val="00284860"/>
    <w:rsid w:val="00284BB5"/>
    <w:rsid w:val="00284EAB"/>
    <w:rsid w:val="00284F4E"/>
    <w:rsid w:val="00285AAD"/>
    <w:rsid w:val="00285F48"/>
    <w:rsid w:val="00286002"/>
    <w:rsid w:val="002861A5"/>
    <w:rsid w:val="0028642C"/>
    <w:rsid w:val="0028665C"/>
    <w:rsid w:val="002867B6"/>
    <w:rsid w:val="00286C39"/>
    <w:rsid w:val="00286DED"/>
    <w:rsid w:val="00287434"/>
    <w:rsid w:val="00287ABB"/>
    <w:rsid w:val="00287BEF"/>
    <w:rsid w:val="00290476"/>
    <w:rsid w:val="00290603"/>
    <w:rsid w:val="0029061B"/>
    <w:rsid w:val="0029069E"/>
    <w:rsid w:val="00290748"/>
    <w:rsid w:val="00290807"/>
    <w:rsid w:val="00290952"/>
    <w:rsid w:val="002909A9"/>
    <w:rsid w:val="00290ACA"/>
    <w:rsid w:val="00290AE6"/>
    <w:rsid w:val="00290C93"/>
    <w:rsid w:val="00290CB0"/>
    <w:rsid w:val="00290E12"/>
    <w:rsid w:val="00291313"/>
    <w:rsid w:val="002913BA"/>
    <w:rsid w:val="002915B7"/>
    <w:rsid w:val="002917BC"/>
    <w:rsid w:val="002917FD"/>
    <w:rsid w:val="00291A48"/>
    <w:rsid w:val="00291FA5"/>
    <w:rsid w:val="00292080"/>
    <w:rsid w:val="0029211F"/>
    <w:rsid w:val="0029216D"/>
    <w:rsid w:val="00292320"/>
    <w:rsid w:val="0029268C"/>
    <w:rsid w:val="002927B0"/>
    <w:rsid w:val="00292A93"/>
    <w:rsid w:val="00292B88"/>
    <w:rsid w:val="00292B9D"/>
    <w:rsid w:val="00293043"/>
    <w:rsid w:val="002934F1"/>
    <w:rsid w:val="002936C0"/>
    <w:rsid w:val="0029378B"/>
    <w:rsid w:val="00293A4C"/>
    <w:rsid w:val="00293AC6"/>
    <w:rsid w:val="00293E39"/>
    <w:rsid w:val="00293E81"/>
    <w:rsid w:val="0029419A"/>
    <w:rsid w:val="0029424E"/>
    <w:rsid w:val="00294307"/>
    <w:rsid w:val="002943BF"/>
    <w:rsid w:val="00294520"/>
    <w:rsid w:val="0029482E"/>
    <w:rsid w:val="00294877"/>
    <w:rsid w:val="00294AA9"/>
    <w:rsid w:val="00294C01"/>
    <w:rsid w:val="00294CB4"/>
    <w:rsid w:val="00294DD6"/>
    <w:rsid w:val="002950C5"/>
    <w:rsid w:val="0029520E"/>
    <w:rsid w:val="0029554B"/>
    <w:rsid w:val="0029567D"/>
    <w:rsid w:val="0029582A"/>
    <w:rsid w:val="002958B1"/>
    <w:rsid w:val="00296002"/>
    <w:rsid w:val="002963BA"/>
    <w:rsid w:val="00296521"/>
    <w:rsid w:val="002966A2"/>
    <w:rsid w:val="00296872"/>
    <w:rsid w:val="002968FE"/>
    <w:rsid w:val="00296AA1"/>
    <w:rsid w:val="00296C53"/>
    <w:rsid w:val="0029712F"/>
    <w:rsid w:val="002979E1"/>
    <w:rsid w:val="00297D34"/>
    <w:rsid w:val="00297DC5"/>
    <w:rsid w:val="00297E4A"/>
    <w:rsid w:val="002A0290"/>
    <w:rsid w:val="002A093D"/>
    <w:rsid w:val="002A0A1D"/>
    <w:rsid w:val="002A1102"/>
    <w:rsid w:val="002A12F4"/>
    <w:rsid w:val="002A14EE"/>
    <w:rsid w:val="002A1754"/>
    <w:rsid w:val="002A17F4"/>
    <w:rsid w:val="002A1A67"/>
    <w:rsid w:val="002A1AF8"/>
    <w:rsid w:val="002A1DBA"/>
    <w:rsid w:val="002A1EEF"/>
    <w:rsid w:val="002A2245"/>
    <w:rsid w:val="002A23AC"/>
    <w:rsid w:val="002A2A79"/>
    <w:rsid w:val="002A2BC6"/>
    <w:rsid w:val="002A2EC9"/>
    <w:rsid w:val="002A340C"/>
    <w:rsid w:val="002A3779"/>
    <w:rsid w:val="002A380D"/>
    <w:rsid w:val="002A40EA"/>
    <w:rsid w:val="002A425F"/>
    <w:rsid w:val="002A441A"/>
    <w:rsid w:val="002A4531"/>
    <w:rsid w:val="002A4BA5"/>
    <w:rsid w:val="002A4E9C"/>
    <w:rsid w:val="002A4FD5"/>
    <w:rsid w:val="002A5673"/>
    <w:rsid w:val="002A5D85"/>
    <w:rsid w:val="002A60D5"/>
    <w:rsid w:val="002A616A"/>
    <w:rsid w:val="002A637C"/>
    <w:rsid w:val="002A64FE"/>
    <w:rsid w:val="002A6612"/>
    <w:rsid w:val="002A6707"/>
    <w:rsid w:val="002A675C"/>
    <w:rsid w:val="002A6949"/>
    <w:rsid w:val="002A6DAD"/>
    <w:rsid w:val="002A6DCC"/>
    <w:rsid w:val="002A73A0"/>
    <w:rsid w:val="002A745A"/>
    <w:rsid w:val="002A78E7"/>
    <w:rsid w:val="002A7B02"/>
    <w:rsid w:val="002A7B03"/>
    <w:rsid w:val="002A7E31"/>
    <w:rsid w:val="002A7EDD"/>
    <w:rsid w:val="002B03AE"/>
    <w:rsid w:val="002B08B1"/>
    <w:rsid w:val="002B0AB3"/>
    <w:rsid w:val="002B164D"/>
    <w:rsid w:val="002B1855"/>
    <w:rsid w:val="002B189F"/>
    <w:rsid w:val="002B1D32"/>
    <w:rsid w:val="002B1E3B"/>
    <w:rsid w:val="002B202B"/>
    <w:rsid w:val="002B20B5"/>
    <w:rsid w:val="002B2229"/>
    <w:rsid w:val="002B237E"/>
    <w:rsid w:val="002B23BC"/>
    <w:rsid w:val="002B23D3"/>
    <w:rsid w:val="002B2845"/>
    <w:rsid w:val="002B2BC0"/>
    <w:rsid w:val="002B2BCC"/>
    <w:rsid w:val="002B32D8"/>
    <w:rsid w:val="002B32D9"/>
    <w:rsid w:val="002B3590"/>
    <w:rsid w:val="002B3A7B"/>
    <w:rsid w:val="002B3CA2"/>
    <w:rsid w:val="002B3F0A"/>
    <w:rsid w:val="002B3F14"/>
    <w:rsid w:val="002B4092"/>
    <w:rsid w:val="002B44B9"/>
    <w:rsid w:val="002B4B00"/>
    <w:rsid w:val="002B4F0A"/>
    <w:rsid w:val="002B4FF3"/>
    <w:rsid w:val="002B5426"/>
    <w:rsid w:val="002B587F"/>
    <w:rsid w:val="002B599C"/>
    <w:rsid w:val="002B5B91"/>
    <w:rsid w:val="002B5B9B"/>
    <w:rsid w:val="002B5CFD"/>
    <w:rsid w:val="002B5ECA"/>
    <w:rsid w:val="002B61A3"/>
    <w:rsid w:val="002B676F"/>
    <w:rsid w:val="002B6BD6"/>
    <w:rsid w:val="002B6D21"/>
    <w:rsid w:val="002B7192"/>
    <w:rsid w:val="002B74CA"/>
    <w:rsid w:val="002B7664"/>
    <w:rsid w:val="002B7DCA"/>
    <w:rsid w:val="002B7FB5"/>
    <w:rsid w:val="002C03AF"/>
    <w:rsid w:val="002C04B4"/>
    <w:rsid w:val="002C0555"/>
    <w:rsid w:val="002C081A"/>
    <w:rsid w:val="002C0963"/>
    <w:rsid w:val="002C0E16"/>
    <w:rsid w:val="002C0EC9"/>
    <w:rsid w:val="002C0F7E"/>
    <w:rsid w:val="002C12D8"/>
    <w:rsid w:val="002C1447"/>
    <w:rsid w:val="002C1A1C"/>
    <w:rsid w:val="002C1BA4"/>
    <w:rsid w:val="002C1D3D"/>
    <w:rsid w:val="002C216E"/>
    <w:rsid w:val="002C2175"/>
    <w:rsid w:val="002C22DD"/>
    <w:rsid w:val="002C22F6"/>
    <w:rsid w:val="002C2378"/>
    <w:rsid w:val="002C2A7B"/>
    <w:rsid w:val="002C2C78"/>
    <w:rsid w:val="002C2E8E"/>
    <w:rsid w:val="002C3629"/>
    <w:rsid w:val="002C37DC"/>
    <w:rsid w:val="002C3BBA"/>
    <w:rsid w:val="002C411A"/>
    <w:rsid w:val="002C439E"/>
    <w:rsid w:val="002C4622"/>
    <w:rsid w:val="002C4793"/>
    <w:rsid w:val="002C47F7"/>
    <w:rsid w:val="002C4BFC"/>
    <w:rsid w:val="002C4D73"/>
    <w:rsid w:val="002C4F8E"/>
    <w:rsid w:val="002C5135"/>
    <w:rsid w:val="002C523F"/>
    <w:rsid w:val="002C5515"/>
    <w:rsid w:val="002C5A28"/>
    <w:rsid w:val="002C5C1E"/>
    <w:rsid w:val="002C5C7C"/>
    <w:rsid w:val="002C5E53"/>
    <w:rsid w:val="002C6292"/>
    <w:rsid w:val="002C62DB"/>
    <w:rsid w:val="002C646C"/>
    <w:rsid w:val="002C65F1"/>
    <w:rsid w:val="002C6B34"/>
    <w:rsid w:val="002C6B6F"/>
    <w:rsid w:val="002C6C1B"/>
    <w:rsid w:val="002C6EF6"/>
    <w:rsid w:val="002C6F84"/>
    <w:rsid w:val="002C6F9F"/>
    <w:rsid w:val="002C7499"/>
    <w:rsid w:val="002D0043"/>
    <w:rsid w:val="002D0395"/>
    <w:rsid w:val="002D0442"/>
    <w:rsid w:val="002D05C0"/>
    <w:rsid w:val="002D0991"/>
    <w:rsid w:val="002D0A1C"/>
    <w:rsid w:val="002D0BFD"/>
    <w:rsid w:val="002D0D0B"/>
    <w:rsid w:val="002D1470"/>
    <w:rsid w:val="002D212A"/>
    <w:rsid w:val="002D215B"/>
    <w:rsid w:val="002D26EC"/>
    <w:rsid w:val="002D28CB"/>
    <w:rsid w:val="002D29FF"/>
    <w:rsid w:val="002D2D3F"/>
    <w:rsid w:val="002D31B5"/>
    <w:rsid w:val="002D32A0"/>
    <w:rsid w:val="002D33B0"/>
    <w:rsid w:val="002D3487"/>
    <w:rsid w:val="002D383E"/>
    <w:rsid w:val="002D3A9E"/>
    <w:rsid w:val="002D3AEA"/>
    <w:rsid w:val="002D3B23"/>
    <w:rsid w:val="002D3C15"/>
    <w:rsid w:val="002D3D83"/>
    <w:rsid w:val="002D3DF3"/>
    <w:rsid w:val="002D43B0"/>
    <w:rsid w:val="002D43BE"/>
    <w:rsid w:val="002D45F6"/>
    <w:rsid w:val="002D467D"/>
    <w:rsid w:val="002D48BF"/>
    <w:rsid w:val="002D49FE"/>
    <w:rsid w:val="002D4E44"/>
    <w:rsid w:val="002D51BB"/>
    <w:rsid w:val="002D51CF"/>
    <w:rsid w:val="002D5387"/>
    <w:rsid w:val="002D54B2"/>
    <w:rsid w:val="002D5718"/>
    <w:rsid w:val="002D5813"/>
    <w:rsid w:val="002D58A9"/>
    <w:rsid w:val="002D5CF0"/>
    <w:rsid w:val="002D5CFF"/>
    <w:rsid w:val="002D5D3F"/>
    <w:rsid w:val="002D5F2F"/>
    <w:rsid w:val="002D6153"/>
    <w:rsid w:val="002D653F"/>
    <w:rsid w:val="002D69E9"/>
    <w:rsid w:val="002D6B60"/>
    <w:rsid w:val="002D6F19"/>
    <w:rsid w:val="002D7051"/>
    <w:rsid w:val="002D70DA"/>
    <w:rsid w:val="002D717F"/>
    <w:rsid w:val="002D7204"/>
    <w:rsid w:val="002D77F5"/>
    <w:rsid w:val="002D7F84"/>
    <w:rsid w:val="002D7FA5"/>
    <w:rsid w:val="002E0167"/>
    <w:rsid w:val="002E0174"/>
    <w:rsid w:val="002E06B9"/>
    <w:rsid w:val="002E08EC"/>
    <w:rsid w:val="002E1028"/>
    <w:rsid w:val="002E1920"/>
    <w:rsid w:val="002E1F7F"/>
    <w:rsid w:val="002E2208"/>
    <w:rsid w:val="002E230D"/>
    <w:rsid w:val="002E23EE"/>
    <w:rsid w:val="002E26B8"/>
    <w:rsid w:val="002E2CA4"/>
    <w:rsid w:val="002E2DDE"/>
    <w:rsid w:val="002E3016"/>
    <w:rsid w:val="002E33DD"/>
    <w:rsid w:val="002E35D7"/>
    <w:rsid w:val="002E44AA"/>
    <w:rsid w:val="002E4756"/>
    <w:rsid w:val="002E4AAA"/>
    <w:rsid w:val="002E54FD"/>
    <w:rsid w:val="002E5506"/>
    <w:rsid w:val="002E55CF"/>
    <w:rsid w:val="002E5B4B"/>
    <w:rsid w:val="002E5DEB"/>
    <w:rsid w:val="002E5ECF"/>
    <w:rsid w:val="002E5F64"/>
    <w:rsid w:val="002E645E"/>
    <w:rsid w:val="002E682E"/>
    <w:rsid w:val="002E6A55"/>
    <w:rsid w:val="002E6FAE"/>
    <w:rsid w:val="002E7331"/>
    <w:rsid w:val="002E7692"/>
    <w:rsid w:val="002E79E1"/>
    <w:rsid w:val="002E7BBE"/>
    <w:rsid w:val="002E7D18"/>
    <w:rsid w:val="002F00DC"/>
    <w:rsid w:val="002F0286"/>
    <w:rsid w:val="002F02BB"/>
    <w:rsid w:val="002F053C"/>
    <w:rsid w:val="002F0564"/>
    <w:rsid w:val="002F05F2"/>
    <w:rsid w:val="002F0974"/>
    <w:rsid w:val="002F11F8"/>
    <w:rsid w:val="002F130F"/>
    <w:rsid w:val="002F15E2"/>
    <w:rsid w:val="002F1CC9"/>
    <w:rsid w:val="002F1E68"/>
    <w:rsid w:val="002F2573"/>
    <w:rsid w:val="002F2585"/>
    <w:rsid w:val="002F29C7"/>
    <w:rsid w:val="002F2C21"/>
    <w:rsid w:val="002F2F39"/>
    <w:rsid w:val="002F2FD9"/>
    <w:rsid w:val="002F3248"/>
    <w:rsid w:val="002F335C"/>
    <w:rsid w:val="002F3655"/>
    <w:rsid w:val="002F37B4"/>
    <w:rsid w:val="002F3C72"/>
    <w:rsid w:val="002F3D23"/>
    <w:rsid w:val="002F3F0D"/>
    <w:rsid w:val="002F3F5F"/>
    <w:rsid w:val="002F40D5"/>
    <w:rsid w:val="002F42E6"/>
    <w:rsid w:val="002F4463"/>
    <w:rsid w:val="002F4624"/>
    <w:rsid w:val="002F493E"/>
    <w:rsid w:val="002F4ABA"/>
    <w:rsid w:val="002F4EF8"/>
    <w:rsid w:val="002F51D4"/>
    <w:rsid w:val="002F5208"/>
    <w:rsid w:val="002F5AD4"/>
    <w:rsid w:val="002F5B69"/>
    <w:rsid w:val="002F5E18"/>
    <w:rsid w:val="002F646F"/>
    <w:rsid w:val="002F6587"/>
    <w:rsid w:val="002F6EDA"/>
    <w:rsid w:val="002F7362"/>
    <w:rsid w:val="002F742A"/>
    <w:rsid w:val="002F7983"/>
    <w:rsid w:val="002F7B31"/>
    <w:rsid w:val="002F7D60"/>
    <w:rsid w:val="002F7E38"/>
    <w:rsid w:val="003000D0"/>
    <w:rsid w:val="00300171"/>
    <w:rsid w:val="0030058B"/>
    <w:rsid w:val="00300D33"/>
    <w:rsid w:val="00301008"/>
    <w:rsid w:val="003010C7"/>
    <w:rsid w:val="00301A3A"/>
    <w:rsid w:val="00301B90"/>
    <w:rsid w:val="00302106"/>
    <w:rsid w:val="003029A7"/>
    <w:rsid w:val="00302BAB"/>
    <w:rsid w:val="00302BD2"/>
    <w:rsid w:val="0030361F"/>
    <w:rsid w:val="00303852"/>
    <w:rsid w:val="0030391D"/>
    <w:rsid w:val="00303ABB"/>
    <w:rsid w:val="00303B42"/>
    <w:rsid w:val="00303F1C"/>
    <w:rsid w:val="003044D1"/>
    <w:rsid w:val="00304C17"/>
    <w:rsid w:val="00304C6C"/>
    <w:rsid w:val="00304D32"/>
    <w:rsid w:val="00305210"/>
    <w:rsid w:val="00305668"/>
    <w:rsid w:val="00305CA8"/>
    <w:rsid w:val="00305D23"/>
    <w:rsid w:val="0030610C"/>
    <w:rsid w:val="0030616F"/>
    <w:rsid w:val="0030649F"/>
    <w:rsid w:val="00306A84"/>
    <w:rsid w:val="00306D0E"/>
    <w:rsid w:val="0030713B"/>
    <w:rsid w:val="00307252"/>
    <w:rsid w:val="00307256"/>
    <w:rsid w:val="003072E9"/>
    <w:rsid w:val="00307582"/>
    <w:rsid w:val="00307A19"/>
    <w:rsid w:val="00307B57"/>
    <w:rsid w:val="00307D09"/>
    <w:rsid w:val="00307EFB"/>
    <w:rsid w:val="003100E5"/>
    <w:rsid w:val="00310B3A"/>
    <w:rsid w:val="00310DF0"/>
    <w:rsid w:val="00310E6E"/>
    <w:rsid w:val="00310F60"/>
    <w:rsid w:val="00311042"/>
    <w:rsid w:val="00311576"/>
    <w:rsid w:val="00311FA7"/>
    <w:rsid w:val="00312011"/>
    <w:rsid w:val="00312298"/>
    <w:rsid w:val="003122AD"/>
    <w:rsid w:val="0031267B"/>
    <w:rsid w:val="00312730"/>
    <w:rsid w:val="00312794"/>
    <w:rsid w:val="00312A47"/>
    <w:rsid w:val="00312B61"/>
    <w:rsid w:val="00312CA6"/>
    <w:rsid w:val="00312CE5"/>
    <w:rsid w:val="00312DF8"/>
    <w:rsid w:val="0031377E"/>
    <w:rsid w:val="003137D4"/>
    <w:rsid w:val="00313B83"/>
    <w:rsid w:val="00313E09"/>
    <w:rsid w:val="00313E44"/>
    <w:rsid w:val="00314111"/>
    <w:rsid w:val="0031415B"/>
    <w:rsid w:val="00314468"/>
    <w:rsid w:val="00314CD1"/>
    <w:rsid w:val="00314EA0"/>
    <w:rsid w:val="00314F5B"/>
    <w:rsid w:val="00315148"/>
    <w:rsid w:val="003152AE"/>
    <w:rsid w:val="00315B95"/>
    <w:rsid w:val="0031602F"/>
    <w:rsid w:val="00316048"/>
    <w:rsid w:val="00316B1B"/>
    <w:rsid w:val="00316B21"/>
    <w:rsid w:val="00316C63"/>
    <w:rsid w:val="00316F65"/>
    <w:rsid w:val="00317861"/>
    <w:rsid w:val="00317C81"/>
    <w:rsid w:val="00317C8C"/>
    <w:rsid w:val="003203EC"/>
    <w:rsid w:val="00320408"/>
    <w:rsid w:val="003204CB"/>
    <w:rsid w:val="00320671"/>
    <w:rsid w:val="00320EB3"/>
    <w:rsid w:val="00320FF0"/>
    <w:rsid w:val="0032105A"/>
    <w:rsid w:val="003212D5"/>
    <w:rsid w:val="0032137F"/>
    <w:rsid w:val="0032164E"/>
    <w:rsid w:val="00321675"/>
    <w:rsid w:val="003216A1"/>
    <w:rsid w:val="00321D81"/>
    <w:rsid w:val="00321F5E"/>
    <w:rsid w:val="00322182"/>
    <w:rsid w:val="003222D5"/>
    <w:rsid w:val="0032230F"/>
    <w:rsid w:val="00322825"/>
    <w:rsid w:val="00322957"/>
    <w:rsid w:val="00323110"/>
    <w:rsid w:val="003239EE"/>
    <w:rsid w:val="00323A69"/>
    <w:rsid w:val="00323BFF"/>
    <w:rsid w:val="0032474E"/>
    <w:rsid w:val="003247F7"/>
    <w:rsid w:val="003248D3"/>
    <w:rsid w:val="0032496C"/>
    <w:rsid w:val="00324E1F"/>
    <w:rsid w:val="00324E64"/>
    <w:rsid w:val="00324FB6"/>
    <w:rsid w:val="0032517F"/>
    <w:rsid w:val="00325185"/>
    <w:rsid w:val="003252F5"/>
    <w:rsid w:val="0032540D"/>
    <w:rsid w:val="00325503"/>
    <w:rsid w:val="0032584F"/>
    <w:rsid w:val="00325DE4"/>
    <w:rsid w:val="00325FF6"/>
    <w:rsid w:val="00326202"/>
    <w:rsid w:val="0032632E"/>
    <w:rsid w:val="00326749"/>
    <w:rsid w:val="00326919"/>
    <w:rsid w:val="00326AD9"/>
    <w:rsid w:val="00326CE2"/>
    <w:rsid w:val="00326E18"/>
    <w:rsid w:val="00326FCE"/>
    <w:rsid w:val="00327208"/>
    <w:rsid w:val="0032769D"/>
    <w:rsid w:val="003276E4"/>
    <w:rsid w:val="0032786C"/>
    <w:rsid w:val="00327A20"/>
    <w:rsid w:val="00330009"/>
    <w:rsid w:val="00330058"/>
    <w:rsid w:val="003301AF"/>
    <w:rsid w:val="00330271"/>
    <w:rsid w:val="003302BB"/>
    <w:rsid w:val="00330607"/>
    <w:rsid w:val="0033080C"/>
    <w:rsid w:val="00330D69"/>
    <w:rsid w:val="00330F8D"/>
    <w:rsid w:val="00330FEA"/>
    <w:rsid w:val="00331131"/>
    <w:rsid w:val="00331139"/>
    <w:rsid w:val="0033114E"/>
    <w:rsid w:val="00331558"/>
    <w:rsid w:val="0033212A"/>
    <w:rsid w:val="00332148"/>
    <w:rsid w:val="0033234B"/>
    <w:rsid w:val="0033258E"/>
    <w:rsid w:val="0033282B"/>
    <w:rsid w:val="00332B55"/>
    <w:rsid w:val="0033337D"/>
    <w:rsid w:val="003333D6"/>
    <w:rsid w:val="003337B3"/>
    <w:rsid w:val="00333B3F"/>
    <w:rsid w:val="00333BED"/>
    <w:rsid w:val="00333D16"/>
    <w:rsid w:val="00333DA4"/>
    <w:rsid w:val="00333E62"/>
    <w:rsid w:val="00333E95"/>
    <w:rsid w:val="00333EB6"/>
    <w:rsid w:val="00334076"/>
    <w:rsid w:val="00334097"/>
    <w:rsid w:val="003341C5"/>
    <w:rsid w:val="003342D3"/>
    <w:rsid w:val="0033494A"/>
    <w:rsid w:val="00334CAB"/>
    <w:rsid w:val="00335149"/>
    <w:rsid w:val="003352AA"/>
    <w:rsid w:val="0033530C"/>
    <w:rsid w:val="0033544A"/>
    <w:rsid w:val="00335C80"/>
    <w:rsid w:val="00335E00"/>
    <w:rsid w:val="003362D3"/>
    <w:rsid w:val="0033635E"/>
    <w:rsid w:val="00336CE7"/>
    <w:rsid w:val="00336D8A"/>
    <w:rsid w:val="003375FE"/>
    <w:rsid w:val="003378BD"/>
    <w:rsid w:val="00337A53"/>
    <w:rsid w:val="00337A7A"/>
    <w:rsid w:val="00337ED0"/>
    <w:rsid w:val="0034040B"/>
    <w:rsid w:val="00340482"/>
    <w:rsid w:val="00340494"/>
    <w:rsid w:val="0034054E"/>
    <w:rsid w:val="0034075B"/>
    <w:rsid w:val="00340941"/>
    <w:rsid w:val="00340AC7"/>
    <w:rsid w:val="00340CAF"/>
    <w:rsid w:val="0034117B"/>
    <w:rsid w:val="00341755"/>
    <w:rsid w:val="00341DE3"/>
    <w:rsid w:val="00341F74"/>
    <w:rsid w:val="00341FD2"/>
    <w:rsid w:val="00341FD6"/>
    <w:rsid w:val="0034214E"/>
    <w:rsid w:val="00342298"/>
    <w:rsid w:val="003423F2"/>
    <w:rsid w:val="00342DD5"/>
    <w:rsid w:val="0034317D"/>
    <w:rsid w:val="00343A9B"/>
    <w:rsid w:val="00343FE9"/>
    <w:rsid w:val="0034423B"/>
    <w:rsid w:val="0034438B"/>
    <w:rsid w:val="00344717"/>
    <w:rsid w:val="003448AF"/>
    <w:rsid w:val="003449C8"/>
    <w:rsid w:val="00344BD0"/>
    <w:rsid w:val="00345092"/>
    <w:rsid w:val="00345A04"/>
    <w:rsid w:val="00345B63"/>
    <w:rsid w:val="003465D5"/>
    <w:rsid w:val="00346B54"/>
    <w:rsid w:val="00346BB6"/>
    <w:rsid w:val="00346E79"/>
    <w:rsid w:val="00347184"/>
    <w:rsid w:val="003477F6"/>
    <w:rsid w:val="003478D0"/>
    <w:rsid w:val="003478E7"/>
    <w:rsid w:val="00347AAD"/>
    <w:rsid w:val="00347AFA"/>
    <w:rsid w:val="00347CCF"/>
    <w:rsid w:val="00347CF1"/>
    <w:rsid w:val="00347F1E"/>
    <w:rsid w:val="00350149"/>
    <w:rsid w:val="00350286"/>
    <w:rsid w:val="0035034C"/>
    <w:rsid w:val="0035077F"/>
    <w:rsid w:val="003508B9"/>
    <w:rsid w:val="00350B5F"/>
    <w:rsid w:val="00350BEE"/>
    <w:rsid w:val="00350C48"/>
    <w:rsid w:val="00350DA0"/>
    <w:rsid w:val="00350E9A"/>
    <w:rsid w:val="0035105B"/>
    <w:rsid w:val="0035121D"/>
    <w:rsid w:val="00351470"/>
    <w:rsid w:val="003514BE"/>
    <w:rsid w:val="00351505"/>
    <w:rsid w:val="003518DC"/>
    <w:rsid w:val="00351E1C"/>
    <w:rsid w:val="00351FE2"/>
    <w:rsid w:val="003526A6"/>
    <w:rsid w:val="003529BA"/>
    <w:rsid w:val="00352B23"/>
    <w:rsid w:val="00352F0E"/>
    <w:rsid w:val="00353051"/>
    <w:rsid w:val="0035342E"/>
    <w:rsid w:val="003534A2"/>
    <w:rsid w:val="00353EDE"/>
    <w:rsid w:val="00354261"/>
    <w:rsid w:val="0035428E"/>
    <w:rsid w:val="003546F1"/>
    <w:rsid w:val="0035498D"/>
    <w:rsid w:val="003549B9"/>
    <w:rsid w:val="00354D4D"/>
    <w:rsid w:val="0035503B"/>
    <w:rsid w:val="00355130"/>
    <w:rsid w:val="00355135"/>
    <w:rsid w:val="003552FE"/>
    <w:rsid w:val="003553B8"/>
    <w:rsid w:val="00355D1B"/>
    <w:rsid w:val="0035623D"/>
    <w:rsid w:val="003563A1"/>
    <w:rsid w:val="00356AEB"/>
    <w:rsid w:val="00356AF3"/>
    <w:rsid w:val="00356C2C"/>
    <w:rsid w:val="00356DD3"/>
    <w:rsid w:val="00357074"/>
    <w:rsid w:val="003574E7"/>
    <w:rsid w:val="00357638"/>
    <w:rsid w:val="003576CE"/>
    <w:rsid w:val="00357AC7"/>
    <w:rsid w:val="00357C72"/>
    <w:rsid w:val="00357C99"/>
    <w:rsid w:val="00357DB3"/>
    <w:rsid w:val="00357DFD"/>
    <w:rsid w:val="00357E4A"/>
    <w:rsid w:val="00360138"/>
    <w:rsid w:val="0036024E"/>
    <w:rsid w:val="00360467"/>
    <w:rsid w:val="003606D2"/>
    <w:rsid w:val="00360916"/>
    <w:rsid w:val="00360B50"/>
    <w:rsid w:val="0036156E"/>
    <w:rsid w:val="0036177E"/>
    <w:rsid w:val="00361F7C"/>
    <w:rsid w:val="00361F87"/>
    <w:rsid w:val="00361F9B"/>
    <w:rsid w:val="00362906"/>
    <w:rsid w:val="0036297E"/>
    <w:rsid w:val="00362B84"/>
    <w:rsid w:val="00362CE3"/>
    <w:rsid w:val="00362E49"/>
    <w:rsid w:val="00363065"/>
    <w:rsid w:val="00363165"/>
    <w:rsid w:val="00363577"/>
    <w:rsid w:val="00363791"/>
    <w:rsid w:val="00363804"/>
    <w:rsid w:val="00363A44"/>
    <w:rsid w:val="00363BF4"/>
    <w:rsid w:val="00363D2B"/>
    <w:rsid w:val="00363F3F"/>
    <w:rsid w:val="0036439B"/>
    <w:rsid w:val="003644A2"/>
    <w:rsid w:val="003645CE"/>
    <w:rsid w:val="003652DA"/>
    <w:rsid w:val="0036587D"/>
    <w:rsid w:val="00365C48"/>
    <w:rsid w:val="00365FD9"/>
    <w:rsid w:val="0036607E"/>
    <w:rsid w:val="00366566"/>
    <w:rsid w:val="003665F9"/>
    <w:rsid w:val="0036661C"/>
    <w:rsid w:val="003668FA"/>
    <w:rsid w:val="00366D4A"/>
    <w:rsid w:val="00366F0E"/>
    <w:rsid w:val="003672E1"/>
    <w:rsid w:val="00367562"/>
    <w:rsid w:val="00367BF6"/>
    <w:rsid w:val="00367C35"/>
    <w:rsid w:val="00367E07"/>
    <w:rsid w:val="00370114"/>
    <w:rsid w:val="003701D3"/>
    <w:rsid w:val="00370472"/>
    <w:rsid w:val="003704A1"/>
    <w:rsid w:val="003705E3"/>
    <w:rsid w:val="00370945"/>
    <w:rsid w:val="00370E52"/>
    <w:rsid w:val="00370EF5"/>
    <w:rsid w:val="00371305"/>
    <w:rsid w:val="0037138F"/>
    <w:rsid w:val="003717DD"/>
    <w:rsid w:val="00371824"/>
    <w:rsid w:val="00371F71"/>
    <w:rsid w:val="00372BD7"/>
    <w:rsid w:val="00373171"/>
    <w:rsid w:val="00373189"/>
    <w:rsid w:val="003732B8"/>
    <w:rsid w:val="003732E2"/>
    <w:rsid w:val="00373457"/>
    <w:rsid w:val="0037347F"/>
    <w:rsid w:val="00373CA4"/>
    <w:rsid w:val="00373D6F"/>
    <w:rsid w:val="00373E63"/>
    <w:rsid w:val="0037432C"/>
    <w:rsid w:val="00374742"/>
    <w:rsid w:val="00374E50"/>
    <w:rsid w:val="00374E8E"/>
    <w:rsid w:val="00375078"/>
    <w:rsid w:val="00375141"/>
    <w:rsid w:val="003753AC"/>
    <w:rsid w:val="00375660"/>
    <w:rsid w:val="00375A52"/>
    <w:rsid w:val="00375D84"/>
    <w:rsid w:val="00375E20"/>
    <w:rsid w:val="00375E8D"/>
    <w:rsid w:val="00375F95"/>
    <w:rsid w:val="0037624F"/>
    <w:rsid w:val="00376433"/>
    <w:rsid w:val="003765AE"/>
    <w:rsid w:val="003765F0"/>
    <w:rsid w:val="0037665F"/>
    <w:rsid w:val="003769AB"/>
    <w:rsid w:val="00376E33"/>
    <w:rsid w:val="00377345"/>
    <w:rsid w:val="00377346"/>
    <w:rsid w:val="00377576"/>
    <w:rsid w:val="003775F1"/>
    <w:rsid w:val="003778C4"/>
    <w:rsid w:val="0037791E"/>
    <w:rsid w:val="00377C18"/>
    <w:rsid w:val="00377FDE"/>
    <w:rsid w:val="003801EC"/>
    <w:rsid w:val="0038042E"/>
    <w:rsid w:val="00380520"/>
    <w:rsid w:val="00380878"/>
    <w:rsid w:val="003809BE"/>
    <w:rsid w:val="00380E86"/>
    <w:rsid w:val="003810FC"/>
    <w:rsid w:val="003811A3"/>
    <w:rsid w:val="003812B1"/>
    <w:rsid w:val="0038166A"/>
    <w:rsid w:val="003819BA"/>
    <w:rsid w:val="00381BE8"/>
    <w:rsid w:val="00381F07"/>
    <w:rsid w:val="0038232C"/>
    <w:rsid w:val="00382367"/>
    <w:rsid w:val="0038237E"/>
    <w:rsid w:val="0038246F"/>
    <w:rsid w:val="003829F0"/>
    <w:rsid w:val="00382F7C"/>
    <w:rsid w:val="00383CAC"/>
    <w:rsid w:val="00383FF2"/>
    <w:rsid w:val="00384310"/>
    <w:rsid w:val="00384E62"/>
    <w:rsid w:val="003851DC"/>
    <w:rsid w:val="00385402"/>
    <w:rsid w:val="00385457"/>
    <w:rsid w:val="003856B0"/>
    <w:rsid w:val="0038585A"/>
    <w:rsid w:val="00385887"/>
    <w:rsid w:val="003859E1"/>
    <w:rsid w:val="003860B2"/>
    <w:rsid w:val="00386159"/>
    <w:rsid w:val="003863C9"/>
    <w:rsid w:val="0038640D"/>
    <w:rsid w:val="0038643B"/>
    <w:rsid w:val="00386C70"/>
    <w:rsid w:val="00386E04"/>
    <w:rsid w:val="00386E92"/>
    <w:rsid w:val="00386EA1"/>
    <w:rsid w:val="00387101"/>
    <w:rsid w:val="003873FD"/>
    <w:rsid w:val="0038746F"/>
    <w:rsid w:val="00387626"/>
    <w:rsid w:val="00387B67"/>
    <w:rsid w:val="00387D40"/>
    <w:rsid w:val="003901F5"/>
    <w:rsid w:val="00390320"/>
    <w:rsid w:val="003905C6"/>
    <w:rsid w:val="0039079F"/>
    <w:rsid w:val="00390B49"/>
    <w:rsid w:val="00390C9F"/>
    <w:rsid w:val="00390F12"/>
    <w:rsid w:val="00391012"/>
    <w:rsid w:val="00391486"/>
    <w:rsid w:val="00391665"/>
    <w:rsid w:val="00391A25"/>
    <w:rsid w:val="00391A49"/>
    <w:rsid w:val="00391D68"/>
    <w:rsid w:val="00391E12"/>
    <w:rsid w:val="00391F3F"/>
    <w:rsid w:val="00392310"/>
    <w:rsid w:val="00392764"/>
    <w:rsid w:val="0039316A"/>
    <w:rsid w:val="00393671"/>
    <w:rsid w:val="003936B2"/>
    <w:rsid w:val="003939A0"/>
    <w:rsid w:val="00393AE8"/>
    <w:rsid w:val="00393B64"/>
    <w:rsid w:val="003944FA"/>
    <w:rsid w:val="00394670"/>
    <w:rsid w:val="0039471C"/>
    <w:rsid w:val="0039494E"/>
    <w:rsid w:val="003949CA"/>
    <w:rsid w:val="00394C91"/>
    <w:rsid w:val="00394D50"/>
    <w:rsid w:val="00394D6F"/>
    <w:rsid w:val="00394F84"/>
    <w:rsid w:val="003951E1"/>
    <w:rsid w:val="003954B9"/>
    <w:rsid w:val="00395513"/>
    <w:rsid w:val="0039591C"/>
    <w:rsid w:val="003959AF"/>
    <w:rsid w:val="00395E90"/>
    <w:rsid w:val="003960DD"/>
    <w:rsid w:val="00396122"/>
    <w:rsid w:val="00396370"/>
    <w:rsid w:val="003967F3"/>
    <w:rsid w:val="00396817"/>
    <w:rsid w:val="00396860"/>
    <w:rsid w:val="00396F1A"/>
    <w:rsid w:val="003972FA"/>
    <w:rsid w:val="0039757B"/>
    <w:rsid w:val="00397739"/>
    <w:rsid w:val="0039773A"/>
    <w:rsid w:val="00397742"/>
    <w:rsid w:val="00397AD4"/>
    <w:rsid w:val="00397BE4"/>
    <w:rsid w:val="003A03BB"/>
    <w:rsid w:val="003A03EA"/>
    <w:rsid w:val="003A0806"/>
    <w:rsid w:val="003A0C55"/>
    <w:rsid w:val="003A0D7A"/>
    <w:rsid w:val="003A104B"/>
    <w:rsid w:val="003A128B"/>
    <w:rsid w:val="003A1417"/>
    <w:rsid w:val="003A17F8"/>
    <w:rsid w:val="003A1A9A"/>
    <w:rsid w:val="003A1AF7"/>
    <w:rsid w:val="003A1BC7"/>
    <w:rsid w:val="003A1F7B"/>
    <w:rsid w:val="003A2182"/>
    <w:rsid w:val="003A2230"/>
    <w:rsid w:val="003A251D"/>
    <w:rsid w:val="003A27A9"/>
    <w:rsid w:val="003A29A9"/>
    <w:rsid w:val="003A2A4B"/>
    <w:rsid w:val="003A2C2C"/>
    <w:rsid w:val="003A2F57"/>
    <w:rsid w:val="003A363B"/>
    <w:rsid w:val="003A3863"/>
    <w:rsid w:val="003A3946"/>
    <w:rsid w:val="003A3D54"/>
    <w:rsid w:val="003A404A"/>
    <w:rsid w:val="003A43B4"/>
    <w:rsid w:val="003A4450"/>
    <w:rsid w:val="003A45C9"/>
    <w:rsid w:val="003A484D"/>
    <w:rsid w:val="003A4B2A"/>
    <w:rsid w:val="003A4BC7"/>
    <w:rsid w:val="003A5075"/>
    <w:rsid w:val="003A57F7"/>
    <w:rsid w:val="003A57FB"/>
    <w:rsid w:val="003A5920"/>
    <w:rsid w:val="003A6605"/>
    <w:rsid w:val="003A6954"/>
    <w:rsid w:val="003A6D7A"/>
    <w:rsid w:val="003A73C5"/>
    <w:rsid w:val="003A74F0"/>
    <w:rsid w:val="003A753D"/>
    <w:rsid w:val="003A7620"/>
    <w:rsid w:val="003A7CBA"/>
    <w:rsid w:val="003A7CEA"/>
    <w:rsid w:val="003A7D52"/>
    <w:rsid w:val="003A7F17"/>
    <w:rsid w:val="003B0035"/>
    <w:rsid w:val="003B0289"/>
    <w:rsid w:val="003B0665"/>
    <w:rsid w:val="003B0C2E"/>
    <w:rsid w:val="003B1737"/>
    <w:rsid w:val="003B17C0"/>
    <w:rsid w:val="003B1EA3"/>
    <w:rsid w:val="003B2212"/>
    <w:rsid w:val="003B2217"/>
    <w:rsid w:val="003B251D"/>
    <w:rsid w:val="003B27B4"/>
    <w:rsid w:val="003B2B58"/>
    <w:rsid w:val="003B2C45"/>
    <w:rsid w:val="003B3135"/>
    <w:rsid w:val="003B31B0"/>
    <w:rsid w:val="003B3227"/>
    <w:rsid w:val="003B39D2"/>
    <w:rsid w:val="003B3D25"/>
    <w:rsid w:val="003B3EFA"/>
    <w:rsid w:val="003B40EC"/>
    <w:rsid w:val="003B4308"/>
    <w:rsid w:val="003B4496"/>
    <w:rsid w:val="003B459B"/>
    <w:rsid w:val="003B46C0"/>
    <w:rsid w:val="003B4ACE"/>
    <w:rsid w:val="003B4EED"/>
    <w:rsid w:val="003B4F42"/>
    <w:rsid w:val="003B55E3"/>
    <w:rsid w:val="003B57C4"/>
    <w:rsid w:val="003B59D5"/>
    <w:rsid w:val="003B6408"/>
    <w:rsid w:val="003B71C1"/>
    <w:rsid w:val="003B7383"/>
    <w:rsid w:val="003B7583"/>
    <w:rsid w:val="003B784C"/>
    <w:rsid w:val="003B7E7F"/>
    <w:rsid w:val="003C01FF"/>
    <w:rsid w:val="003C034C"/>
    <w:rsid w:val="003C0475"/>
    <w:rsid w:val="003C0533"/>
    <w:rsid w:val="003C0591"/>
    <w:rsid w:val="003C0617"/>
    <w:rsid w:val="003C0996"/>
    <w:rsid w:val="003C0D91"/>
    <w:rsid w:val="003C1454"/>
    <w:rsid w:val="003C16EF"/>
    <w:rsid w:val="003C192A"/>
    <w:rsid w:val="003C19B8"/>
    <w:rsid w:val="003C1D89"/>
    <w:rsid w:val="003C21E2"/>
    <w:rsid w:val="003C242B"/>
    <w:rsid w:val="003C2648"/>
    <w:rsid w:val="003C2C16"/>
    <w:rsid w:val="003C2DE3"/>
    <w:rsid w:val="003C3204"/>
    <w:rsid w:val="003C35A8"/>
    <w:rsid w:val="003C3694"/>
    <w:rsid w:val="003C3D1A"/>
    <w:rsid w:val="003C40B2"/>
    <w:rsid w:val="003C4357"/>
    <w:rsid w:val="003C4B2B"/>
    <w:rsid w:val="003C4E3E"/>
    <w:rsid w:val="003C5062"/>
    <w:rsid w:val="003C5294"/>
    <w:rsid w:val="003C56F9"/>
    <w:rsid w:val="003C57E3"/>
    <w:rsid w:val="003C5A2B"/>
    <w:rsid w:val="003C5D65"/>
    <w:rsid w:val="003C5E58"/>
    <w:rsid w:val="003C62EF"/>
    <w:rsid w:val="003C63A4"/>
    <w:rsid w:val="003C67C0"/>
    <w:rsid w:val="003C696A"/>
    <w:rsid w:val="003C6B31"/>
    <w:rsid w:val="003C6C32"/>
    <w:rsid w:val="003C6EDC"/>
    <w:rsid w:val="003C7139"/>
    <w:rsid w:val="003C714E"/>
    <w:rsid w:val="003C7455"/>
    <w:rsid w:val="003C7735"/>
    <w:rsid w:val="003C79BE"/>
    <w:rsid w:val="003C7A66"/>
    <w:rsid w:val="003C7E99"/>
    <w:rsid w:val="003C7F2A"/>
    <w:rsid w:val="003C7F74"/>
    <w:rsid w:val="003D00A5"/>
    <w:rsid w:val="003D02F7"/>
    <w:rsid w:val="003D0D1B"/>
    <w:rsid w:val="003D0D61"/>
    <w:rsid w:val="003D0E89"/>
    <w:rsid w:val="003D0F50"/>
    <w:rsid w:val="003D0F51"/>
    <w:rsid w:val="003D118D"/>
    <w:rsid w:val="003D12CA"/>
    <w:rsid w:val="003D13D6"/>
    <w:rsid w:val="003D165A"/>
    <w:rsid w:val="003D173C"/>
    <w:rsid w:val="003D1A10"/>
    <w:rsid w:val="003D1C13"/>
    <w:rsid w:val="003D1CC0"/>
    <w:rsid w:val="003D2EB2"/>
    <w:rsid w:val="003D2F63"/>
    <w:rsid w:val="003D3059"/>
    <w:rsid w:val="003D3228"/>
    <w:rsid w:val="003D32FD"/>
    <w:rsid w:val="003D3667"/>
    <w:rsid w:val="003D38EE"/>
    <w:rsid w:val="003D3920"/>
    <w:rsid w:val="003D3946"/>
    <w:rsid w:val="003D3B94"/>
    <w:rsid w:val="003D3C13"/>
    <w:rsid w:val="003D3EFB"/>
    <w:rsid w:val="003D4087"/>
    <w:rsid w:val="003D4301"/>
    <w:rsid w:val="003D46FA"/>
    <w:rsid w:val="003D4EE8"/>
    <w:rsid w:val="003D4F9F"/>
    <w:rsid w:val="003D5022"/>
    <w:rsid w:val="003D53C5"/>
    <w:rsid w:val="003D58BB"/>
    <w:rsid w:val="003D5D3B"/>
    <w:rsid w:val="003D62D6"/>
    <w:rsid w:val="003D64A3"/>
    <w:rsid w:val="003D64FE"/>
    <w:rsid w:val="003D65E0"/>
    <w:rsid w:val="003D6665"/>
    <w:rsid w:val="003D6A00"/>
    <w:rsid w:val="003D6D34"/>
    <w:rsid w:val="003D72D8"/>
    <w:rsid w:val="003D73F9"/>
    <w:rsid w:val="003D7573"/>
    <w:rsid w:val="003D75BF"/>
    <w:rsid w:val="003D77FE"/>
    <w:rsid w:val="003D7BA5"/>
    <w:rsid w:val="003E0027"/>
    <w:rsid w:val="003E0066"/>
    <w:rsid w:val="003E08A8"/>
    <w:rsid w:val="003E0EE5"/>
    <w:rsid w:val="003E1387"/>
    <w:rsid w:val="003E1526"/>
    <w:rsid w:val="003E1757"/>
    <w:rsid w:val="003E1948"/>
    <w:rsid w:val="003E2025"/>
    <w:rsid w:val="003E20A9"/>
    <w:rsid w:val="003E2167"/>
    <w:rsid w:val="003E238E"/>
    <w:rsid w:val="003E27FD"/>
    <w:rsid w:val="003E29FE"/>
    <w:rsid w:val="003E2CE7"/>
    <w:rsid w:val="003E36B6"/>
    <w:rsid w:val="003E37B4"/>
    <w:rsid w:val="003E37D1"/>
    <w:rsid w:val="003E3AE0"/>
    <w:rsid w:val="003E3D4A"/>
    <w:rsid w:val="003E3EEB"/>
    <w:rsid w:val="003E417A"/>
    <w:rsid w:val="003E42AA"/>
    <w:rsid w:val="003E448E"/>
    <w:rsid w:val="003E4623"/>
    <w:rsid w:val="003E476F"/>
    <w:rsid w:val="003E4851"/>
    <w:rsid w:val="003E4D5B"/>
    <w:rsid w:val="003E5014"/>
    <w:rsid w:val="003E54C1"/>
    <w:rsid w:val="003E54D0"/>
    <w:rsid w:val="003E56CC"/>
    <w:rsid w:val="003E57DA"/>
    <w:rsid w:val="003E5F42"/>
    <w:rsid w:val="003E5F74"/>
    <w:rsid w:val="003E5F7B"/>
    <w:rsid w:val="003E6002"/>
    <w:rsid w:val="003E619C"/>
    <w:rsid w:val="003E6346"/>
    <w:rsid w:val="003E6585"/>
    <w:rsid w:val="003E6B9E"/>
    <w:rsid w:val="003E6D0D"/>
    <w:rsid w:val="003E6F9A"/>
    <w:rsid w:val="003E7092"/>
    <w:rsid w:val="003E748E"/>
    <w:rsid w:val="003E7692"/>
    <w:rsid w:val="003E775B"/>
    <w:rsid w:val="003E7BB6"/>
    <w:rsid w:val="003E7BDF"/>
    <w:rsid w:val="003E7E5B"/>
    <w:rsid w:val="003F00CA"/>
    <w:rsid w:val="003F027B"/>
    <w:rsid w:val="003F0510"/>
    <w:rsid w:val="003F079C"/>
    <w:rsid w:val="003F0882"/>
    <w:rsid w:val="003F0A67"/>
    <w:rsid w:val="003F0C8E"/>
    <w:rsid w:val="003F0EE3"/>
    <w:rsid w:val="003F0EF1"/>
    <w:rsid w:val="003F147F"/>
    <w:rsid w:val="003F19AC"/>
    <w:rsid w:val="003F1B34"/>
    <w:rsid w:val="003F1E37"/>
    <w:rsid w:val="003F29EF"/>
    <w:rsid w:val="003F2CA7"/>
    <w:rsid w:val="003F38B7"/>
    <w:rsid w:val="003F39F9"/>
    <w:rsid w:val="003F3E26"/>
    <w:rsid w:val="003F40C0"/>
    <w:rsid w:val="003F4159"/>
    <w:rsid w:val="003F4659"/>
    <w:rsid w:val="003F4850"/>
    <w:rsid w:val="003F4DD6"/>
    <w:rsid w:val="003F4FD5"/>
    <w:rsid w:val="003F50C8"/>
    <w:rsid w:val="003F536E"/>
    <w:rsid w:val="003F543B"/>
    <w:rsid w:val="003F5A6E"/>
    <w:rsid w:val="003F5F5A"/>
    <w:rsid w:val="003F60BA"/>
    <w:rsid w:val="003F60E5"/>
    <w:rsid w:val="003F6153"/>
    <w:rsid w:val="003F63CE"/>
    <w:rsid w:val="003F6A6E"/>
    <w:rsid w:val="003F6A84"/>
    <w:rsid w:val="003F6C73"/>
    <w:rsid w:val="003F710C"/>
    <w:rsid w:val="003F7150"/>
    <w:rsid w:val="003F782C"/>
    <w:rsid w:val="003F79F6"/>
    <w:rsid w:val="003F7B6A"/>
    <w:rsid w:val="003F7DBE"/>
    <w:rsid w:val="00400086"/>
    <w:rsid w:val="00400296"/>
    <w:rsid w:val="00400340"/>
    <w:rsid w:val="00400580"/>
    <w:rsid w:val="00400703"/>
    <w:rsid w:val="004007D7"/>
    <w:rsid w:val="0040092A"/>
    <w:rsid w:val="0040094A"/>
    <w:rsid w:val="00400A41"/>
    <w:rsid w:val="00400A7E"/>
    <w:rsid w:val="00400B45"/>
    <w:rsid w:val="00400B74"/>
    <w:rsid w:val="004010B3"/>
    <w:rsid w:val="0040112E"/>
    <w:rsid w:val="0040123A"/>
    <w:rsid w:val="00401241"/>
    <w:rsid w:val="004012F0"/>
    <w:rsid w:val="004013E0"/>
    <w:rsid w:val="00401858"/>
    <w:rsid w:val="00401B92"/>
    <w:rsid w:val="00401DA9"/>
    <w:rsid w:val="004023CE"/>
    <w:rsid w:val="004024A5"/>
    <w:rsid w:val="00402709"/>
    <w:rsid w:val="00402C32"/>
    <w:rsid w:val="004031FB"/>
    <w:rsid w:val="004035D7"/>
    <w:rsid w:val="0040390D"/>
    <w:rsid w:val="0040395C"/>
    <w:rsid w:val="00403B29"/>
    <w:rsid w:val="00403D5E"/>
    <w:rsid w:val="00403D9F"/>
    <w:rsid w:val="00403F39"/>
    <w:rsid w:val="00404110"/>
    <w:rsid w:val="00404246"/>
    <w:rsid w:val="00404274"/>
    <w:rsid w:val="00404284"/>
    <w:rsid w:val="004042CA"/>
    <w:rsid w:val="00404541"/>
    <w:rsid w:val="004045B6"/>
    <w:rsid w:val="00404953"/>
    <w:rsid w:val="00404A4B"/>
    <w:rsid w:val="00404DEE"/>
    <w:rsid w:val="00405317"/>
    <w:rsid w:val="00405421"/>
    <w:rsid w:val="004056A1"/>
    <w:rsid w:val="00405930"/>
    <w:rsid w:val="0040596F"/>
    <w:rsid w:val="00405B0D"/>
    <w:rsid w:val="00405CBE"/>
    <w:rsid w:val="004067FC"/>
    <w:rsid w:val="0040684F"/>
    <w:rsid w:val="00406DDA"/>
    <w:rsid w:val="0040704B"/>
    <w:rsid w:val="004075B9"/>
    <w:rsid w:val="00407732"/>
    <w:rsid w:val="00407991"/>
    <w:rsid w:val="004101AD"/>
    <w:rsid w:val="0041020A"/>
    <w:rsid w:val="0041061D"/>
    <w:rsid w:val="0041069D"/>
    <w:rsid w:val="004106A3"/>
    <w:rsid w:val="00410A4B"/>
    <w:rsid w:val="00410B33"/>
    <w:rsid w:val="00410C73"/>
    <w:rsid w:val="00410F40"/>
    <w:rsid w:val="004114FC"/>
    <w:rsid w:val="00411915"/>
    <w:rsid w:val="00411AF1"/>
    <w:rsid w:val="00411CC7"/>
    <w:rsid w:val="00412981"/>
    <w:rsid w:val="00412B1E"/>
    <w:rsid w:val="00412CD9"/>
    <w:rsid w:val="00412CFE"/>
    <w:rsid w:val="00412DF9"/>
    <w:rsid w:val="00413732"/>
    <w:rsid w:val="004138B1"/>
    <w:rsid w:val="00413D3E"/>
    <w:rsid w:val="004143F6"/>
    <w:rsid w:val="00414694"/>
    <w:rsid w:val="00414BB8"/>
    <w:rsid w:val="004154F8"/>
    <w:rsid w:val="004156BF"/>
    <w:rsid w:val="00415764"/>
    <w:rsid w:val="00415976"/>
    <w:rsid w:val="00416626"/>
    <w:rsid w:val="00416BA3"/>
    <w:rsid w:val="00416EED"/>
    <w:rsid w:val="0041727B"/>
    <w:rsid w:val="00417426"/>
    <w:rsid w:val="004176B9"/>
    <w:rsid w:val="00417854"/>
    <w:rsid w:val="00417A71"/>
    <w:rsid w:val="00417DBF"/>
    <w:rsid w:val="00417DEE"/>
    <w:rsid w:val="00417E43"/>
    <w:rsid w:val="0042005F"/>
    <w:rsid w:val="004202C9"/>
    <w:rsid w:val="00420300"/>
    <w:rsid w:val="00420329"/>
    <w:rsid w:val="0042041D"/>
    <w:rsid w:val="0042041F"/>
    <w:rsid w:val="0042042C"/>
    <w:rsid w:val="0042053B"/>
    <w:rsid w:val="004205DC"/>
    <w:rsid w:val="00420787"/>
    <w:rsid w:val="00420B20"/>
    <w:rsid w:val="00420CA1"/>
    <w:rsid w:val="00420E47"/>
    <w:rsid w:val="00420FC9"/>
    <w:rsid w:val="00421259"/>
    <w:rsid w:val="00421325"/>
    <w:rsid w:val="004213C8"/>
    <w:rsid w:val="00421BC3"/>
    <w:rsid w:val="00421D7B"/>
    <w:rsid w:val="00421ED2"/>
    <w:rsid w:val="00422C30"/>
    <w:rsid w:val="00422DE3"/>
    <w:rsid w:val="00423240"/>
    <w:rsid w:val="004235F2"/>
    <w:rsid w:val="0042384D"/>
    <w:rsid w:val="00423A42"/>
    <w:rsid w:val="00423A82"/>
    <w:rsid w:val="00423AD3"/>
    <w:rsid w:val="00423B82"/>
    <w:rsid w:val="00423BB4"/>
    <w:rsid w:val="00423CFB"/>
    <w:rsid w:val="00423D04"/>
    <w:rsid w:val="00423DBD"/>
    <w:rsid w:val="004240DD"/>
    <w:rsid w:val="0042436C"/>
    <w:rsid w:val="004246F7"/>
    <w:rsid w:val="00424845"/>
    <w:rsid w:val="004249D3"/>
    <w:rsid w:val="00424A7B"/>
    <w:rsid w:val="00424B92"/>
    <w:rsid w:val="00424BFA"/>
    <w:rsid w:val="00424C08"/>
    <w:rsid w:val="00425582"/>
    <w:rsid w:val="004255FA"/>
    <w:rsid w:val="00425D35"/>
    <w:rsid w:val="00425DEB"/>
    <w:rsid w:val="00425E4C"/>
    <w:rsid w:val="00425ED2"/>
    <w:rsid w:val="00426062"/>
    <w:rsid w:val="00426192"/>
    <w:rsid w:val="004263AF"/>
    <w:rsid w:val="00426722"/>
    <w:rsid w:val="004267D3"/>
    <w:rsid w:val="00426952"/>
    <w:rsid w:val="00426E48"/>
    <w:rsid w:val="00426E81"/>
    <w:rsid w:val="00427164"/>
    <w:rsid w:val="0042721A"/>
    <w:rsid w:val="0042730E"/>
    <w:rsid w:val="00427712"/>
    <w:rsid w:val="004278BC"/>
    <w:rsid w:val="00427D33"/>
    <w:rsid w:val="00427F95"/>
    <w:rsid w:val="0043023E"/>
    <w:rsid w:val="0043068E"/>
    <w:rsid w:val="00430CD8"/>
    <w:rsid w:val="00430DA1"/>
    <w:rsid w:val="00431282"/>
    <w:rsid w:val="0043173A"/>
    <w:rsid w:val="00431ABB"/>
    <w:rsid w:val="00431C70"/>
    <w:rsid w:val="004321C7"/>
    <w:rsid w:val="004322C9"/>
    <w:rsid w:val="00432BFE"/>
    <w:rsid w:val="00432DAA"/>
    <w:rsid w:val="00433A6F"/>
    <w:rsid w:val="00433AF1"/>
    <w:rsid w:val="00433CDD"/>
    <w:rsid w:val="0043418B"/>
    <w:rsid w:val="00434317"/>
    <w:rsid w:val="004343AB"/>
    <w:rsid w:val="004343AF"/>
    <w:rsid w:val="004346DA"/>
    <w:rsid w:val="00434791"/>
    <w:rsid w:val="0043486E"/>
    <w:rsid w:val="00434C9F"/>
    <w:rsid w:val="00435013"/>
    <w:rsid w:val="0043519D"/>
    <w:rsid w:val="00435527"/>
    <w:rsid w:val="00435599"/>
    <w:rsid w:val="00435662"/>
    <w:rsid w:val="00435DD7"/>
    <w:rsid w:val="0043669B"/>
    <w:rsid w:val="004367BB"/>
    <w:rsid w:val="00436A81"/>
    <w:rsid w:val="0043728D"/>
    <w:rsid w:val="004372A0"/>
    <w:rsid w:val="0043751C"/>
    <w:rsid w:val="00437964"/>
    <w:rsid w:val="00437C97"/>
    <w:rsid w:val="00437D9B"/>
    <w:rsid w:val="004400FD"/>
    <w:rsid w:val="004401C5"/>
    <w:rsid w:val="004404D0"/>
    <w:rsid w:val="004406FE"/>
    <w:rsid w:val="00440A67"/>
    <w:rsid w:val="00440A98"/>
    <w:rsid w:val="00441120"/>
    <w:rsid w:val="004412C3"/>
    <w:rsid w:val="004414C4"/>
    <w:rsid w:val="004416FC"/>
    <w:rsid w:val="0044171B"/>
    <w:rsid w:val="00441859"/>
    <w:rsid w:val="00441A8E"/>
    <w:rsid w:val="00441FD1"/>
    <w:rsid w:val="004425EC"/>
    <w:rsid w:val="0044280B"/>
    <w:rsid w:val="004428BF"/>
    <w:rsid w:val="00442A8D"/>
    <w:rsid w:val="00442BA4"/>
    <w:rsid w:val="00442CB1"/>
    <w:rsid w:val="00442FE6"/>
    <w:rsid w:val="004430D5"/>
    <w:rsid w:val="0044324C"/>
    <w:rsid w:val="00443683"/>
    <w:rsid w:val="004436BB"/>
    <w:rsid w:val="00443B9A"/>
    <w:rsid w:val="00443DA9"/>
    <w:rsid w:val="00443FC7"/>
    <w:rsid w:val="00444294"/>
    <w:rsid w:val="0044433C"/>
    <w:rsid w:val="00444470"/>
    <w:rsid w:val="004444C6"/>
    <w:rsid w:val="004446C2"/>
    <w:rsid w:val="00444A70"/>
    <w:rsid w:val="00444C3C"/>
    <w:rsid w:val="00444C83"/>
    <w:rsid w:val="00444CD3"/>
    <w:rsid w:val="00444D20"/>
    <w:rsid w:val="00444D9B"/>
    <w:rsid w:val="00445423"/>
    <w:rsid w:val="00445602"/>
    <w:rsid w:val="00445CA4"/>
    <w:rsid w:val="00445CE3"/>
    <w:rsid w:val="00445CF9"/>
    <w:rsid w:val="004460CA"/>
    <w:rsid w:val="004461A3"/>
    <w:rsid w:val="0044656C"/>
    <w:rsid w:val="004467F1"/>
    <w:rsid w:val="00446865"/>
    <w:rsid w:val="004468A1"/>
    <w:rsid w:val="00446961"/>
    <w:rsid w:val="004469CB"/>
    <w:rsid w:val="00446B02"/>
    <w:rsid w:val="00446E22"/>
    <w:rsid w:val="00446F2C"/>
    <w:rsid w:val="0044704C"/>
    <w:rsid w:val="00447214"/>
    <w:rsid w:val="00447682"/>
    <w:rsid w:val="004477D6"/>
    <w:rsid w:val="00447959"/>
    <w:rsid w:val="004479CE"/>
    <w:rsid w:val="00447B31"/>
    <w:rsid w:val="00447D82"/>
    <w:rsid w:val="00447D98"/>
    <w:rsid w:val="004501F3"/>
    <w:rsid w:val="00450300"/>
    <w:rsid w:val="004505A5"/>
    <w:rsid w:val="00450829"/>
    <w:rsid w:val="00450C46"/>
    <w:rsid w:val="00450E12"/>
    <w:rsid w:val="00450EF0"/>
    <w:rsid w:val="0045103F"/>
    <w:rsid w:val="004511F4"/>
    <w:rsid w:val="00451351"/>
    <w:rsid w:val="004515CE"/>
    <w:rsid w:val="004517D4"/>
    <w:rsid w:val="00451FC6"/>
    <w:rsid w:val="0045207A"/>
    <w:rsid w:val="00452227"/>
    <w:rsid w:val="00452748"/>
    <w:rsid w:val="004527D8"/>
    <w:rsid w:val="00452801"/>
    <w:rsid w:val="00452B87"/>
    <w:rsid w:val="00452C1D"/>
    <w:rsid w:val="004532E5"/>
    <w:rsid w:val="00453567"/>
    <w:rsid w:val="00453770"/>
    <w:rsid w:val="004539A0"/>
    <w:rsid w:val="00453AEB"/>
    <w:rsid w:val="00453B33"/>
    <w:rsid w:val="00453D22"/>
    <w:rsid w:val="00453D50"/>
    <w:rsid w:val="004542E6"/>
    <w:rsid w:val="004544E0"/>
    <w:rsid w:val="004546B0"/>
    <w:rsid w:val="0045480A"/>
    <w:rsid w:val="00454842"/>
    <w:rsid w:val="00454903"/>
    <w:rsid w:val="00454912"/>
    <w:rsid w:val="00454B91"/>
    <w:rsid w:val="00454B93"/>
    <w:rsid w:val="00454E7D"/>
    <w:rsid w:val="00454EAB"/>
    <w:rsid w:val="004550BB"/>
    <w:rsid w:val="004550D8"/>
    <w:rsid w:val="0045588D"/>
    <w:rsid w:val="00455C66"/>
    <w:rsid w:val="00455FE4"/>
    <w:rsid w:val="00456506"/>
    <w:rsid w:val="0045700D"/>
    <w:rsid w:val="00457192"/>
    <w:rsid w:val="004571DA"/>
    <w:rsid w:val="00457359"/>
    <w:rsid w:val="004573AF"/>
    <w:rsid w:val="004576EC"/>
    <w:rsid w:val="00457749"/>
    <w:rsid w:val="00457875"/>
    <w:rsid w:val="00457C59"/>
    <w:rsid w:val="00457CC4"/>
    <w:rsid w:val="00460640"/>
    <w:rsid w:val="00460717"/>
    <w:rsid w:val="00460FD4"/>
    <w:rsid w:val="0046113E"/>
    <w:rsid w:val="0046121F"/>
    <w:rsid w:val="00461A89"/>
    <w:rsid w:val="00461BC1"/>
    <w:rsid w:val="00461C7A"/>
    <w:rsid w:val="00461DBB"/>
    <w:rsid w:val="00461DF2"/>
    <w:rsid w:val="0046210C"/>
    <w:rsid w:val="0046275A"/>
    <w:rsid w:val="00462A31"/>
    <w:rsid w:val="00462F6D"/>
    <w:rsid w:val="00462F9F"/>
    <w:rsid w:val="00462FC3"/>
    <w:rsid w:val="00463282"/>
    <w:rsid w:val="00463313"/>
    <w:rsid w:val="0046333E"/>
    <w:rsid w:val="004635DA"/>
    <w:rsid w:val="00463966"/>
    <w:rsid w:val="00463AEB"/>
    <w:rsid w:val="00463C41"/>
    <w:rsid w:val="00463D5D"/>
    <w:rsid w:val="00463DDC"/>
    <w:rsid w:val="0046437A"/>
    <w:rsid w:val="004644F2"/>
    <w:rsid w:val="00464848"/>
    <w:rsid w:val="00464C1E"/>
    <w:rsid w:val="00464E8B"/>
    <w:rsid w:val="00464FC8"/>
    <w:rsid w:val="00465448"/>
    <w:rsid w:val="004654AD"/>
    <w:rsid w:val="0046597B"/>
    <w:rsid w:val="00465A97"/>
    <w:rsid w:val="00465C31"/>
    <w:rsid w:val="00465F93"/>
    <w:rsid w:val="004660F0"/>
    <w:rsid w:val="004661E0"/>
    <w:rsid w:val="00466558"/>
    <w:rsid w:val="00466559"/>
    <w:rsid w:val="0046706D"/>
    <w:rsid w:val="004670D4"/>
    <w:rsid w:val="004679E4"/>
    <w:rsid w:val="00467B8B"/>
    <w:rsid w:val="00467E17"/>
    <w:rsid w:val="004701FA"/>
    <w:rsid w:val="004708FA"/>
    <w:rsid w:val="004709E6"/>
    <w:rsid w:val="00471308"/>
    <w:rsid w:val="00471429"/>
    <w:rsid w:val="004717F4"/>
    <w:rsid w:val="00471BF3"/>
    <w:rsid w:val="00471D2A"/>
    <w:rsid w:val="00471D5C"/>
    <w:rsid w:val="004724AC"/>
    <w:rsid w:val="004730F3"/>
    <w:rsid w:val="0047312E"/>
    <w:rsid w:val="00473290"/>
    <w:rsid w:val="00473718"/>
    <w:rsid w:val="00473902"/>
    <w:rsid w:val="00473BFC"/>
    <w:rsid w:val="00473CA5"/>
    <w:rsid w:val="00473D47"/>
    <w:rsid w:val="00473F43"/>
    <w:rsid w:val="00474309"/>
    <w:rsid w:val="00474388"/>
    <w:rsid w:val="00474510"/>
    <w:rsid w:val="00474741"/>
    <w:rsid w:val="00474831"/>
    <w:rsid w:val="00474842"/>
    <w:rsid w:val="00474B49"/>
    <w:rsid w:val="00474FD0"/>
    <w:rsid w:val="0047534F"/>
    <w:rsid w:val="004753C3"/>
    <w:rsid w:val="0047568A"/>
    <w:rsid w:val="004758F6"/>
    <w:rsid w:val="0047591F"/>
    <w:rsid w:val="00475BAA"/>
    <w:rsid w:val="0047642C"/>
    <w:rsid w:val="004769FD"/>
    <w:rsid w:val="00477348"/>
    <w:rsid w:val="00477368"/>
    <w:rsid w:val="00477437"/>
    <w:rsid w:val="00477748"/>
    <w:rsid w:val="0047778E"/>
    <w:rsid w:val="0047798B"/>
    <w:rsid w:val="00477A26"/>
    <w:rsid w:val="00477B28"/>
    <w:rsid w:val="00477BE5"/>
    <w:rsid w:val="00477CE7"/>
    <w:rsid w:val="00477D93"/>
    <w:rsid w:val="00477E30"/>
    <w:rsid w:val="00480147"/>
    <w:rsid w:val="00480186"/>
    <w:rsid w:val="00480368"/>
    <w:rsid w:val="00480649"/>
    <w:rsid w:val="004806E7"/>
    <w:rsid w:val="00481106"/>
    <w:rsid w:val="0048132D"/>
    <w:rsid w:val="004817FF"/>
    <w:rsid w:val="00481D31"/>
    <w:rsid w:val="0048203F"/>
    <w:rsid w:val="00482086"/>
    <w:rsid w:val="00482323"/>
    <w:rsid w:val="0048248A"/>
    <w:rsid w:val="00482521"/>
    <w:rsid w:val="004829A5"/>
    <w:rsid w:val="004829D0"/>
    <w:rsid w:val="00482B8D"/>
    <w:rsid w:val="0048336D"/>
    <w:rsid w:val="004834E5"/>
    <w:rsid w:val="0048362D"/>
    <w:rsid w:val="004837B4"/>
    <w:rsid w:val="00483C24"/>
    <w:rsid w:val="00483CA4"/>
    <w:rsid w:val="0048452B"/>
    <w:rsid w:val="00484651"/>
    <w:rsid w:val="00484704"/>
    <w:rsid w:val="00484951"/>
    <w:rsid w:val="00484A77"/>
    <w:rsid w:val="00484E5F"/>
    <w:rsid w:val="0048554F"/>
    <w:rsid w:val="00485C36"/>
    <w:rsid w:val="00485D23"/>
    <w:rsid w:val="004863DD"/>
    <w:rsid w:val="004864B2"/>
    <w:rsid w:val="004865F2"/>
    <w:rsid w:val="0048685A"/>
    <w:rsid w:val="00486FEC"/>
    <w:rsid w:val="00487227"/>
    <w:rsid w:val="00487293"/>
    <w:rsid w:val="0048729A"/>
    <w:rsid w:val="0048730E"/>
    <w:rsid w:val="0048749F"/>
    <w:rsid w:val="004874DD"/>
    <w:rsid w:val="004877D3"/>
    <w:rsid w:val="00487977"/>
    <w:rsid w:val="00487A26"/>
    <w:rsid w:val="00490A26"/>
    <w:rsid w:val="00490B6E"/>
    <w:rsid w:val="00490DAC"/>
    <w:rsid w:val="00490E10"/>
    <w:rsid w:val="00491017"/>
    <w:rsid w:val="00491308"/>
    <w:rsid w:val="004913A3"/>
    <w:rsid w:val="0049163B"/>
    <w:rsid w:val="00491723"/>
    <w:rsid w:val="00491948"/>
    <w:rsid w:val="004919BC"/>
    <w:rsid w:val="00491A3D"/>
    <w:rsid w:val="004923A5"/>
    <w:rsid w:val="00492835"/>
    <w:rsid w:val="00492854"/>
    <w:rsid w:val="00492871"/>
    <w:rsid w:val="0049293E"/>
    <w:rsid w:val="00492FAF"/>
    <w:rsid w:val="004930B8"/>
    <w:rsid w:val="00493174"/>
    <w:rsid w:val="004934D8"/>
    <w:rsid w:val="004935D3"/>
    <w:rsid w:val="0049361B"/>
    <w:rsid w:val="00493711"/>
    <w:rsid w:val="00493A99"/>
    <w:rsid w:val="00493E30"/>
    <w:rsid w:val="00493E6B"/>
    <w:rsid w:val="00494130"/>
    <w:rsid w:val="00494182"/>
    <w:rsid w:val="004941C4"/>
    <w:rsid w:val="00494388"/>
    <w:rsid w:val="0049458D"/>
    <w:rsid w:val="00494640"/>
    <w:rsid w:val="004950CB"/>
    <w:rsid w:val="004955BF"/>
    <w:rsid w:val="0049572B"/>
    <w:rsid w:val="00495B57"/>
    <w:rsid w:val="00495BF0"/>
    <w:rsid w:val="00495C12"/>
    <w:rsid w:val="00495DF9"/>
    <w:rsid w:val="004963DF"/>
    <w:rsid w:val="0049655C"/>
    <w:rsid w:val="004967A6"/>
    <w:rsid w:val="00496D76"/>
    <w:rsid w:val="00496EBF"/>
    <w:rsid w:val="00497075"/>
    <w:rsid w:val="004974AE"/>
    <w:rsid w:val="0049773E"/>
    <w:rsid w:val="00497FD3"/>
    <w:rsid w:val="00497FF8"/>
    <w:rsid w:val="004A0077"/>
    <w:rsid w:val="004A0442"/>
    <w:rsid w:val="004A06EC"/>
    <w:rsid w:val="004A06F9"/>
    <w:rsid w:val="004A08EA"/>
    <w:rsid w:val="004A0A93"/>
    <w:rsid w:val="004A0D1D"/>
    <w:rsid w:val="004A1273"/>
    <w:rsid w:val="004A12D1"/>
    <w:rsid w:val="004A1D60"/>
    <w:rsid w:val="004A1EF2"/>
    <w:rsid w:val="004A1F0E"/>
    <w:rsid w:val="004A2A2B"/>
    <w:rsid w:val="004A2BB9"/>
    <w:rsid w:val="004A2F0E"/>
    <w:rsid w:val="004A3273"/>
    <w:rsid w:val="004A32C4"/>
    <w:rsid w:val="004A39D0"/>
    <w:rsid w:val="004A3A31"/>
    <w:rsid w:val="004A3AA0"/>
    <w:rsid w:val="004A4044"/>
    <w:rsid w:val="004A41C8"/>
    <w:rsid w:val="004A420B"/>
    <w:rsid w:val="004A4416"/>
    <w:rsid w:val="004A4527"/>
    <w:rsid w:val="004A469F"/>
    <w:rsid w:val="004A46E7"/>
    <w:rsid w:val="004A4A6A"/>
    <w:rsid w:val="004A4D49"/>
    <w:rsid w:val="004A4D4F"/>
    <w:rsid w:val="004A4DA6"/>
    <w:rsid w:val="004A5194"/>
    <w:rsid w:val="004A549B"/>
    <w:rsid w:val="004A54F8"/>
    <w:rsid w:val="004A571B"/>
    <w:rsid w:val="004A5BF7"/>
    <w:rsid w:val="004A5CA0"/>
    <w:rsid w:val="004A5EC1"/>
    <w:rsid w:val="004A5F2B"/>
    <w:rsid w:val="004A5F6C"/>
    <w:rsid w:val="004A6080"/>
    <w:rsid w:val="004A643C"/>
    <w:rsid w:val="004A64B8"/>
    <w:rsid w:val="004A668F"/>
    <w:rsid w:val="004A6A67"/>
    <w:rsid w:val="004A6CC5"/>
    <w:rsid w:val="004A6CF1"/>
    <w:rsid w:val="004A6D4A"/>
    <w:rsid w:val="004A6FC2"/>
    <w:rsid w:val="004A70AA"/>
    <w:rsid w:val="004A71D1"/>
    <w:rsid w:val="004A7235"/>
    <w:rsid w:val="004A725B"/>
    <w:rsid w:val="004A7672"/>
    <w:rsid w:val="004A798F"/>
    <w:rsid w:val="004A7A9C"/>
    <w:rsid w:val="004B02C4"/>
    <w:rsid w:val="004B0746"/>
    <w:rsid w:val="004B0909"/>
    <w:rsid w:val="004B09E8"/>
    <w:rsid w:val="004B0B9E"/>
    <w:rsid w:val="004B0DA4"/>
    <w:rsid w:val="004B1446"/>
    <w:rsid w:val="004B1469"/>
    <w:rsid w:val="004B16D5"/>
    <w:rsid w:val="004B1C5B"/>
    <w:rsid w:val="004B25B9"/>
    <w:rsid w:val="004B2A4C"/>
    <w:rsid w:val="004B2AEB"/>
    <w:rsid w:val="004B2C83"/>
    <w:rsid w:val="004B2C9F"/>
    <w:rsid w:val="004B3191"/>
    <w:rsid w:val="004B334B"/>
    <w:rsid w:val="004B3A36"/>
    <w:rsid w:val="004B3B1D"/>
    <w:rsid w:val="004B3B81"/>
    <w:rsid w:val="004B44EC"/>
    <w:rsid w:val="004B464A"/>
    <w:rsid w:val="004B4ACD"/>
    <w:rsid w:val="004B4AED"/>
    <w:rsid w:val="004B4C26"/>
    <w:rsid w:val="004B551F"/>
    <w:rsid w:val="004B57A5"/>
    <w:rsid w:val="004B592F"/>
    <w:rsid w:val="004B5C71"/>
    <w:rsid w:val="004B5D52"/>
    <w:rsid w:val="004B5F3B"/>
    <w:rsid w:val="004B6786"/>
    <w:rsid w:val="004B6928"/>
    <w:rsid w:val="004B6A06"/>
    <w:rsid w:val="004B6B1C"/>
    <w:rsid w:val="004B71F0"/>
    <w:rsid w:val="004B7288"/>
    <w:rsid w:val="004B731E"/>
    <w:rsid w:val="004B773A"/>
    <w:rsid w:val="004B781F"/>
    <w:rsid w:val="004B7A02"/>
    <w:rsid w:val="004C0347"/>
    <w:rsid w:val="004C0471"/>
    <w:rsid w:val="004C0799"/>
    <w:rsid w:val="004C0D80"/>
    <w:rsid w:val="004C1029"/>
    <w:rsid w:val="004C1112"/>
    <w:rsid w:val="004C12A6"/>
    <w:rsid w:val="004C16EA"/>
    <w:rsid w:val="004C17A5"/>
    <w:rsid w:val="004C195D"/>
    <w:rsid w:val="004C1BF7"/>
    <w:rsid w:val="004C1EFC"/>
    <w:rsid w:val="004C2420"/>
    <w:rsid w:val="004C28C0"/>
    <w:rsid w:val="004C2BB7"/>
    <w:rsid w:val="004C2BF8"/>
    <w:rsid w:val="004C2EA8"/>
    <w:rsid w:val="004C34D4"/>
    <w:rsid w:val="004C3596"/>
    <w:rsid w:val="004C36EA"/>
    <w:rsid w:val="004C3AB0"/>
    <w:rsid w:val="004C3CA9"/>
    <w:rsid w:val="004C3D3D"/>
    <w:rsid w:val="004C41FE"/>
    <w:rsid w:val="004C4291"/>
    <w:rsid w:val="004C42B5"/>
    <w:rsid w:val="004C48A0"/>
    <w:rsid w:val="004C4902"/>
    <w:rsid w:val="004C4A5A"/>
    <w:rsid w:val="004C5021"/>
    <w:rsid w:val="004C510A"/>
    <w:rsid w:val="004C52AF"/>
    <w:rsid w:val="004C6031"/>
    <w:rsid w:val="004C6252"/>
    <w:rsid w:val="004C65D7"/>
    <w:rsid w:val="004C66AA"/>
    <w:rsid w:val="004C6F7D"/>
    <w:rsid w:val="004C728A"/>
    <w:rsid w:val="004C74A4"/>
    <w:rsid w:val="004C7587"/>
    <w:rsid w:val="004C7792"/>
    <w:rsid w:val="004C7963"/>
    <w:rsid w:val="004C7D6A"/>
    <w:rsid w:val="004C7DD1"/>
    <w:rsid w:val="004C8AF8"/>
    <w:rsid w:val="004D017D"/>
    <w:rsid w:val="004D042F"/>
    <w:rsid w:val="004D05D8"/>
    <w:rsid w:val="004D06B4"/>
    <w:rsid w:val="004D0AA8"/>
    <w:rsid w:val="004D0EC4"/>
    <w:rsid w:val="004D1272"/>
    <w:rsid w:val="004D1407"/>
    <w:rsid w:val="004D1461"/>
    <w:rsid w:val="004D15DD"/>
    <w:rsid w:val="004D16DF"/>
    <w:rsid w:val="004D1770"/>
    <w:rsid w:val="004D1C06"/>
    <w:rsid w:val="004D1C3F"/>
    <w:rsid w:val="004D1D07"/>
    <w:rsid w:val="004D1DC1"/>
    <w:rsid w:val="004D1E06"/>
    <w:rsid w:val="004D20AF"/>
    <w:rsid w:val="004D20D4"/>
    <w:rsid w:val="004D21EA"/>
    <w:rsid w:val="004D260B"/>
    <w:rsid w:val="004D294C"/>
    <w:rsid w:val="004D2AFD"/>
    <w:rsid w:val="004D2B0A"/>
    <w:rsid w:val="004D2C4F"/>
    <w:rsid w:val="004D307A"/>
    <w:rsid w:val="004D324D"/>
    <w:rsid w:val="004D3483"/>
    <w:rsid w:val="004D3683"/>
    <w:rsid w:val="004D3AE1"/>
    <w:rsid w:val="004D40DF"/>
    <w:rsid w:val="004D41D6"/>
    <w:rsid w:val="004D422E"/>
    <w:rsid w:val="004D46E0"/>
    <w:rsid w:val="004D4EAD"/>
    <w:rsid w:val="004D5081"/>
    <w:rsid w:val="004D51DD"/>
    <w:rsid w:val="004D5246"/>
    <w:rsid w:val="004D58E4"/>
    <w:rsid w:val="004D5AA4"/>
    <w:rsid w:val="004D63EC"/>
    <w:rsid w:val="004D6B06"/>
    <w:rsid w:val="004D6D92"/>
    <w:rsid w:val="004D6F20"/>
    <w:rsid w:val="004D7338"/>
    <w:rsid w:val="004D74EC"/>
    <w:rsid w:val="004D7589"/>
    <w:rsid w:val="004D7BB0"/>
    <w:rsid w:val="004E003D"/>
    <w:rsid w:val="004E0065"/>
    <w:rsid w:val="004E00EC"/>
    <w:rsid w:val="004E0A5F"/>
    <w:rsid w:val="004E0D14"/>
    <w:rsid w:val="004E134E"/>
    <w:rsid w:val="004E152B"/>
    <w:rsid w:val="004E17E8"/>
    <w:rsid w:val="004E1B8D"/>
    <w:rsid w:val="004E1D06"/>
    <w:rsid w:val="004E2030"/>
    <w:rsid w:val="004E24C8"/>
    <w:rsid w:val="004E252A"/>
    <w:rsid w:val="004E2669"/>
    <w:rsid w:val="004E295E"/>
    <w:rsid w:val="004E2A35"/>
    <w:rsid w:val="004E2B4E"/>
    <w:rsid w:val="004E2C87"/>
    <w:rsid w:val="004E32A9"/>
    <w:rsid w:val="004E32C2"/>
    <w:rsid w:val="004E3461"/>
    <w:rsid w:val="004E3546"/>
    <w:rsid w:val="004E3776"/>
    <w:rsid w:val="004E3AC0"/>
    <w:rsid w:val="004E3E54"/>
    <w:rsid w:val="004E3EA1"/>
    <w:rsid w:val="004E4327"/>
    <w:rsid w:val="004E4388"/>
    <w:rsid w:val="004E43B5"/>
    <w:rsid w:val="004E46E9"/>
    <w:rsid w:val="004E506B"/>
    <w:rsid w:val="004E55D8"/>
    <w:rsid w:val="004E5B0C"/>
    <w:rsid w:val="004E5C16"/>
    <w:rsid w:val="004E6167"/>
    <w:rsid w:val="004E6551"/>
    <w:rsid w:val="004E65F6"/>
    <w:rsid w:val="004E6A35"/>
    <w:rsid w:val="004E6C8D"/>
    <w:rsid w:val="004E7BC3"/>
    <w:rsid w:val="004E7C55"/>
    <w:rsid w:val="004E7E3B"/>
    <w:rsid w:val="004E7FEA"/>
    <w:rsid w:val="004F012A"/>
    <w:rsid w:val="004F02F3"/>
    <w:rsid w:val="004F038A"/>
    <w:rsid w:val="004F05F5"/>
    <w:rsid w:val="004F0652"/>
    <w:rsid w:val="004F0A99"/>
    <w:rsid w:val="004F0B1D"/>
    <w:rsid w:val="004F0B1E"/>
    <w:rsid w:val="004F0EBA"/>
    <w:rsid w:val="004F10E8"/>
    <w:rsid w:val="004F127F"/>
    <w:rsid w:val="004F1469"/>
    <w:rsid w:val="004F162F"/>
    <w:rsid w:val="004F1A7A"/>
    <w:rsid w:val="004F2000"/>
    <w:rsid w:val="004F2045"/>
    <w:rsid w:val="004F2677"/>
    <w:rsid w:val="004F27F7"/>
    <w:rsid w:val="004F2926"/>
    <w:rsid w:val="004F2B72"/>
    <w:rsid w:val="004F2D81"/>
    <w:rsid w:val="004F2D85"/>
    <w:rsid w:val="004F2F74"/>
    <w:rsid w:val="004F2F8B"/>
    <w:rsid w:val="004F30BF"/>
    <w:rsid w:val="004F3100"/>
    <w:rsid w:val="004F354F"/>
    <w:rsid w:val="004F3682"/>
    <w:rsid w:val="004F38E6"/>
    <w:rsid w:val="004F3976"/>
    <w:rsid w:val="004F3B27"/>
    <w:rsid w:val="004F3C3A"/>
    <w:rsid w:val="004F3F32"/>
    <w:rsid w:val="004F4264"/>
    <w:rsid w:val="004F4425"/>
    <w:rsid w:val="004F44EE"/>
    <w:rsid w:val="004F4585"/>
    <w:rsid w:val="004F493C"/>
    <w:rsid w:val="004F5991"/>
    <w:rsid w:val="004F59D4"/>
    <w:rsid w:val="004F5ABC"/>
    <w:rsid w:val="004F5FAE"/>
    <w:rsid w:val="004F60F8"/>
    <w:rsid w:val="004F65DB"/>
    <w:rsid w:val="004F6A72"/>
    <w:rsid w:val="004F6AB0"/>
    <w:rsid w:val="004F6BF7"/>
    <w:rsid w:val="004F6DA4"/>
    <w:rsid w:val="004F6E91"/>
    <w:rsid w:val="004F72B1"/>
    <w:rsid w:val="004F779A"/>
    <w:rsid w:val="0050016C"/>
    <w:rsid w:val="005002D0"/>
    <w:rsid w:val="0050049A"/>
    <w:rsid w:val="00500945"/>
    <w:rsid w:val="0050094D"/>
    <w:rsid w:val="00500BE8"/>
    <w:rsid w:val="005011FC"/>
    <w:rsid w:val="005014E7"/>
    <w:rsid w:val="0050173C"/>
    <w:rsid w:val="005018F9"/>
    <w:rsid w:val="00501C8B"/>
    <w:rsid w:val="00501D0C"/>
    <w:rsid w:val="0050208B"/>
    <w:rsid w:val="005028A6"/>
    <w:rsid w:val="00502E6E"/>
    <w:rsid w:val="005030F4"/>
    <w:rsid w:val="0050310F"/>
    <w:rsid w:val="005031CE"/>
    <w:rsid w:val="0050340E"/>
    <w:rsid w:val="00503571"/>
    <w:rsid w:val="005036C6"/>
    <w:rsid w:val="00503874"/>
    <w:rsid w:val="00503C8A"/>
    <w:rsid w:val="00503D56"/>
    <w:rsid w:val="00503F8E"/>
    <w:rsid w:val="00504431"/>
    <w:rsid w:val="005044A0"/>
    <w:rsid w:val="005047BF"/>
    <w:rsid w:val="00505527"/>
    <w:rsid w:val="00505583"/>
    <w:rsid w:val="005062E8"/>
    <w:rsid w:val="005063C4"/>
    <w:rsid w:val="005066D1"/>
    <w:rsid w:val="005069D1"/>
    <w:rsid w:val="00506CCD"/>
    <w:rsid w:val="00506F27"/>
    <w:rsid w:val="00507368"/>
    <w:rsid w:val="00507384"/>
    <w:rsid w:val="00507666"/>
    <w:rsid w:val="005076E9"/>
    <w:rsid w:val="00507A09"/>
    <w:rsid w:val="00507A95"/>
    <w:rsid w:val="00507B21"/>
    <w:rsid w:val="00507C1A"/>
    <w:rsid w:val="00507D0C"/>
    <w:rsid w:val="00507D5F"/>
    <w:rsid w:val="00507E50"/>
    <w:rsid w:val="00510192"/>
    <w:rsid w:val="00510243"/>
    <w:rsid w:val="0051040D"/>
    <w:rsid w:val="0051092A"/>
    <w:rsid w:val="00510F38"/>
    <w:rsid w:val="005110D2"/>
    <w:rsid w:val="00511241"/>
    <w:rsid w:val="005112BC"/>
    <w:rsid w:val="005119C4"/>
    <w:rsid w:val="00511BB0"/>
    <w:rsid w:val="00511F20"/>
    <w:rsid w:val="005123CA"/>
    <w:rsid w:val="00512861"/>
    <w:rsid w:val="00512D5C"/>
    <w:rsid w:val="00512E53"/>
    <w:rsid w:val="00512F54"/>
    <w:rsid w:val="005134D6"/>
    <w:rsid w:val="00513BB7"/>
    <w:rsid w:val="00513CCE"/>
    <w:rsid w:val="00513D0E"/>
    <w:rsid w:val="00513F24"/>
    <w:rsid w:val="00513F91"/>
    <w:rsid w:val="00514583"/>
    <w:rsid w:val="005146E3"/>
    <w:rsid w:val="0051485E"/>
    <w:rsid w:val="00514A12"/>
    <w:rsid w:val="00514D48"/>
    <w:rsid w:val="0051520D"/>
    <w:rsid w:val="00515599"/>
    <w:rsid w:val="00515736"/>
    <w:rsid w:val="00515816"/>
    <w:rsid w:val="00515A20"/>
    <w:rsid w:val="00516001"/>
    <w:rsid w:val="005166B7"/>
    <w:rsid w:val="005169A4"/>
    <w:rsid w:val="00516A89"/>
    <w:rsid w:val="00516CD3"/>
    <w:rsid w:val="00516DBC"/>
    <w:rsid w:val="00516E1F"/>
    <w:rsid w:val="00516EEA"/>
    <w:rsid w:val="00516FD8"/>
    <w:rsid w:val="005176E5"/>
    <w:rsid w:val="00517967"/>
    <w:rsid w:val="00517AA9"/>
    <w:rsid w:val="00517E62"/>
    <w:rsid w:val="005200EA"/>
    <w:rsid w:val="0052028E"/>
    <w:rsid w:val="00520342"/>
    <w:rsid w:val="00520825"/>
    <w:rsid w:val="00520860"/>
    <w:rsid w:val="005208C4"/>
    <w:rsid w:val="00520A02"/>
    <w:rsid w:val="00520BC2"/>
    <w:rsid w:val="0052139D"/>
    <w:rsid w:val="0052192B"/>
    <w:rsid w:val="005219EA"/>
    <w:rsid w:val="00521BD4"/>
    <w:rsid w:val="00521DAF"/>
    <w:rsid w:val="00522543"/>
    <w:rsid w:val="005225A3"/>
    <w:rsid w:val="00522935"/>
    <w:rsid w:val="00522E44"/>
    <w:rsid w:val="00522E60"/>
    <w:rsid w:val="00522EC3"/>
    <w:rsid w:val="00522F81"/>
    <w:rsid w:val="005230BF"/>
    <w:rsid w:val="00523210"/>
    <w:rsid w:val="005232CE"/>
    <w:rsid w:val="005238AB"/>
    <w:rsid w:val="00523E1B"/>
    <w:rsid w:val="00524024"/>
    <w:rsid w:val="0052426B"/>
    <w:rsid w:val="005243AA"/>
    <w:rsid w:val="0052440A"/>
    <w:rsid w:val="005247E7"/>
    <w:rsid w:val="00524D39"/>
    <w:rsid w:val="005250C3"/>
    <w:rsid w:val="005254E3"/>
    <w:rsid w:val="0052588E"/>
    <w:rsid w:val="00525EC0"/>
    <w:rsid w:val="0052624E"/>
    <w:rsid w:val="0052646B"/>
    <w:rsid w:val="005265CA"/>
    <w:rsid w:val="0052666D"/>
    <w:rsid w:val="00526D69"/>
    <w:rsid w:val="00526F72"/>
    <w:rsid w:val="00527162"/>
    <w:rsid w:val="00527510"/>
    <w:rsid w:val="00527795"/>
    <w:rsid w:val="00527880"/>
    <w:rsid w:val="00527AF7"/>
    <w:rsid w:val="00527D48"/>
    <w:rsid w:val="00527E25"/>
    <w:rsid w:val="00527E58"/>
    <w:rsid w:val="00530873"/>
    <w:rsid w:val="00530B7C"/>
    <w:rsid w:val="00530E81"/>
    <w:rsid w:val="00530F02"/>
    <w:rsid w:val="00531232"/>
    <w:rsid w:val="0053198E"/>
    <w:rsid w:val="00531AD6"/>
    <w:rsid w:val="0053219A"/>
    <w:rsid w:val="0053231B"/>
    <w:rsid w:val="00532407"/>
    <w:rsid w:val="0053256D"/>
    <w:rsid w:val="005328C0"/>
    <w:rsid w:val="00532A37"/>
    <w:rsid w:val="00532B14"/>
    <w:rsid w:val="005333FF"/>
    <w:rsid w:val="0053374A"/>
    <w:rsid w:val="005338DA"/>
    <w:rsid w:val="00533926"/>
    <w:rsid w:val="00533B87"/>
    <w:rsid w:val="00533BCA"/>
    <w:rsid w:val="00533D2E"/>
    <w:rsid w:val="00533D8F"/>
    <w:rsid w:val="0053455A"/>
    <w:rsid w:val="005346F8"/>
    <w:rsid w:val="00534749"/>
    <w:rsid w:val="0053487F"/>
    <w:rsid w:val="00534DFC"/>
    <w:rsid w:val="00535191"/>
    <w:rsid w:val="00535506"/>
    <w:rsid w:val="00535507"/>
    <w:rsid w:val="00535791"/>
    <w:rsid w:val="00535ECE"/>
    <w:rsid w:val="005360BA"/>
    <w:rsid w:val="0053642A"/>
    <w:rsid w:val="005364EC"/>
    <w:rsid w:val="005365A5"/>
    <w:rsid w:val="00536971"/>
    <w:rsid w:val="00536992"/>
    <w:rsid w:val="00536BCD"/>
    <w:rsid w:val="005370CC"/>
    <w:rsid w:val="00537402"/>
    <w:rsid w:val="005375DC"/>
    <w:rsid w:val="005378A4"/>
    <w:rsid w:val="005378B4"/>
    <w:rsid w:val="00537DDE"/>
    <w:rsid w:val="00540169"/>
    <w:rsid w:val="00540378"/>
    <w:rsid w:val="00540400"/>
    <w:rsid w:val="0054044B"/>
    <w:rsid w:val="00540590"/>
    <w:rsid w:val="005406FB"/>
    <w:rsid w:val="00540C46"/>
    <w:rsid w:val="00540C56"/>
    <w:rsid w:val="00540E52"/>
    <w:rsid w:val="00541085"/>
    <w:rsid w:val="00541414"/>
    <w:rsid w:val="00541814"/>
    <w:rsid w:val="00541895"/>
    <w:rsid w:val="00541D98"/>
    <w:rsid w:val="00541F0C"/>
    <w:rsid w:val="0054203B"/>
    <w:rsid w:val="0054215C"/>
    <w:rsid w:val="005421FB"/>
    <w:rsid w:val="00542C98"/>
    <w:rsid w:val="00542D07"/>
    <w:rsid w:val="00542D76"/>
    <w:rsid w:val="00542D8B"/>
    <w:rsid w:val="00542FD2"/>
    <w:rsid w:val="00543051"/>
    <w:rsid w:val="00543314"/>
    <w:rsid w:val="0054331C"/>
    <w:rsid w:val="005433FA"/>
    <w:rsid w:val="005434DD"/>
    <w:rsid w:val="0054382A"/>
    <w:rsid w:val="00543A29"/>
    <w:rsid w:val="00543E04"/>
    <w:rsid w:val="0054404C"/>
    <w:rsid w:val="005448AC"/>
    <w:rsid w:val="00544927"/>
    <w:rsid w:val="00544C38"/>
    <w:rsid w:val="00544FE1"/>
    <w:rsid w:val="00545064"/>
    <w:rsid w:val="0054515C"/>
    <w:rsid w:val="00545326"/>
    <w:rsid w:val="00545415"/>
    <w:rsid w:val="005457C7"/>
    <w:rsid w:val="005458A0"/>
    <w:rsid w:val="00545E8C"/>
    <w:rsid w:val="00546513"/>
    <w:rsid w:val="00546AF2"/>
    <w:rsid w:val="00546AFF"/>
    <w:rsid w:val="00546BC3"/>
    <w:rsid w:val="00546D8B"/>
    <w:rsid w:val="00547015"/>
    <w:rsid w:val="0054716A"/>
    <w:rsid w:val="005471DE"/>
    <w:rsid w:val="00547688"/>
    <w:rsid w:val="00547B8F"/>
    <w:rsid w:val="0055005D"/>
    <w:rsid w:val="00550090"/>
    <w:rsid w:val="0055015C"/>
    <w:rsid w:val="0055015D"/>
    <w:rsid w:val="00550395"/>
    <w:rsid w:val="0055057A"/>
    <w:rsid w:val="00550708"/>
    <w:rsid w:val="00550ABE"/>
    <w:rsid w:val="00550B3C"/>
    <w:rsid w:val="00550B58"/>
    <w:rsid w:val="00550B8F"/>
    <w:rsid w:val="00550C2F"/>
    <w:rsid w:val="00550C6A"/>
    <w:rsid w:val="00550D3B"/>
    <w:rsid w:val="00550D91"/>
    <w:rsid w:val="00550DD5"/>
    <w:rsid w:val="00550EED"/>
    <w:rsid w:val="005514BA"/>
    <w:rsid w:val="00551602"/>
    <w:rsid w:val="00551DA1"/>
    <w:rsid w:val="00552078"/>
    <w:rsid w:val="00552597"/>
    <w:rsid w:val="00552793"/>
    <w:rsid w:val="00552809"/>
    <w:rsid w:val="00552868"/>
    <w:rsid w:val="00552882"/>
    <w:rsid w:val="00552B7E"/>
    <w:rsid w:val="00552C4B"/>
    <w:rsid w:val="00552F4A"/>
    <w:rsid w:val="00553030"/>
    <w:rsid w:val="00553099"/>
    <w:rsid w:val="00553422"/>
    <w:rsid w:val="00553742"/>
    <w:rsid w:val="00553795"/>
    <w:rsid w:val="005538DA"/>
    <w:rsid w:val="005539F7"/>
    <w:rsid w:val="00553C09"/>
    <w:rsid w:val="0055400D"/>
    <w:rsid w:val="00554777"/>
    <w:rsid w:val="005547F0"/>
    <w:rsid w:val="005547FC"/>
    <w:rsid w:val="00554B05"/>
    <w:rsid w:val="00554E51"/>
    <w:rsid w:val="005553CD"/>
    <w:rsid w:val="00555719"/>
    <w:rsid w:val="005557A2"/>
    <w:rsid w:val="00555979"/>
    <w:rsid w:val="00555B17"/>
    <w:rsid w:val="00555F7A"/>
    <w:rsid w:val="005563D8"/>
    <w:rsid w:val="0055649E"/>
    <w:rsid w:val="005568FA"/>
    <w:rsid w:val="0055692C"/>
    <w:rsid w:val="0055694D"/>
    <w:rsid w:val="0055697A"/>
    <w:rsid w:val="00556ADB"/>
    <w:rsid w:val="00556BEB"/>
    <w:rsid w:val="00556C0D"/>
    <w:rsid w:val="00556E0B"/>
    <w:rsid w:val="00556FB9"/>
    <w:rsid w:val="00557280"/>
    <w:rsid w:val="005574B0"/>
    <w:rsid w:val="0055763A"/>
    <w:rsid w:val="00557A06"/>
    <w:rsid w:val="005601B8"/>
    <w:rsid w:val="00560293"/>
    <w:rsid w:val="00560597"/>
    <w:rsid w:val="005605A3"/>
    <w:rsid w:val="00560635"/>
    <w:rsid w:val="005607E0"/>
    <w:rsid w:val="0056090F"/>
    <w:rsid w:val="005609FA"/>
    <w:rsid w:val="00560BCE"/>
    <w:rsid w:val="00560D45"/>
    <w:rsid w:val="00560EA5"/>
    <w:rsid w:val="005610A1"/>
    <w:rsid w:val="005610FF"/>
    <w:rsid w:val="005615A0"/>
    <w:rsid w:val="00561BAB"/>
    <w:rsid w:val="00561CB6"/>
    <w:rsid w:val="00561D5B"/>
    <w:rsid w:val="0056201E"/>
    <w:rsid w:val="005624FB"/>
    <w:rsid w:val="00562509"/>
    <w:rsid w:val="00562591"/>
    <w:rsid w:val="005628D3"/>
    <w:rsid w:val="00562E41"/>
    <w:rsid w:val="00562EDB"/>
    <w:rsid w:val="0056311F"/>
    <w:rsid w:val="0056340A"/>
    <w:rsid w:val="005637F3"/>
    <w:rsid w:val="005637F8"/>
    <w:rsid w:val="00563B21"/>
    <w:rsid w:val="00563C43"/>
    <w:rsid w:val="00564231"/>
    <w:rsid w:val="00564342"/>
    <w:rsid w:val="005646AA"/>
    <w:rsid w:val="005646D8"/>
    <w:rsid w:val="00564867"/>
    <w:rsid w:val="00564AB4"/>
    <w:rsid w:val="005651E3"/>
    <w:rsid w:val="005651E4"/>
    <w:rsid w:val="005657A3"/>
    <w:rsid w:val="005657EB"/>
    <w:rsid w:val="00565AF3"/>
    <w:rsid w:val="00565DAB"/>
    <w:rsid w:val="00565E13"/>
    <w:rsid w:val="00566930"/>
    <w:rsid w:val="00566B39"/>
    <w:rsid w:val="00567218"/>
    <w:rsid w:val="00567225"/>
    <w:rsid w:val="00567376"/>
    <w:rsid w:val="005674AC"/>
    <w:rsid w:val="005675C3"/>
    <w:rsid w:val="00567A32"/>
    <w:rsid w:val="00570759"/>
    <w:rsid w:val="00570944"/>
    <w:rsid w:val="00570BEE"/>
    <w:rsid w:val="00570DFB"/>
    <w:rsid w:val="0057142F"/>
    <w:rsid w:val="00571571"/>
    <w:rsid w:val="005718D9"/>
    <w:rsid w:val="00571D9D"/>
    <w:rsid w:val="00572272"/>
    <w:rsid w:val="005725E0"/>
    <w:rsid w:val="00572660"/>
    <w:rsid w:val="00572A56"/>
    <w:rsid w:val="00572C8D"/>
    <w:rsid w:val="00573099"/>
    <w:rsid w:val="0057333F"/>
    <w:rsid w:val="005733C4"/>
    <w:rsid w:val="00573428"/>
    <w:rsid w:val="00573432"/>
    <w:rsid w:val="005735E0"/>
    <w:rsid w:val="00573828"/>
    <w:rsid w:val="005738F0"/>
    <w:rsid w:val="00573C15"/>
    <w:rsid w:val="00573CFE"/>
    <w:rsid w:val="0057477D"/>
    <w:rsid w:val="00574B54"/>
    <w:rsid w:val="00574E64"/>
    <w:rsid w:val="00575026"/>
    <w:rsid w:val="005757C8"/>
    <w:rsid w:val="00575CFB"/>
    <w:rsid w:val="005760D5"/>
    <w:rsid w:val="00576258"/>
    <w:rsid w:val="005763D6"/>
    <w:rsid w:val="00576496"/>
    <w:rsid w:val="00576733"/>
    <w:rsid w:val="00576904"/>
    <w:rsid w:val="00576B8C"/>
    <w:rsid w:val="00576C08"/>
    <w:rsid w:val="00576CE5"/>
    <w:rsid w:val="005776D2"/>
    <w:rsid w:val="005776FB"/>
    <w:rsid w:val="00577900"/>
    <w:rsid w:val="00577E3F"/>
    <w:rsid w:val="00577E91"/>
    <w:rsid w:val="00577FDB"/>
    <w:rsid w:val="005803B8"/>
    <w:rsid w:val="005805D9"/>
    <w:rsid w:val="00580791"/>
    <w:rsid w:val="00580AA4"/>
    <w:rsid w:val="00580ACE"/>
    <w:rsid w:val="00580EA9"/>
    <w:rsid w:val="0058102F"/>
    <w:rsid w:val="00581069"/>
    <w:rsid w:val="0058111A"/>
    <w:rsid w:val="00581195"/>
    <w:rsid w:val="00581230"/>
    <w:rsid w:val="0058132B"/>
    <w:rsid w:val="00581400"/>
    <w:rsid w:val="005818F4"/>
    <w:rsid w:val="00581A33"/>
    <w:rsid w:val="00581D90"/>
    <w:rsid w:val="00581F27"/>
    <w:rsid w:val="00581FC4"/>
    <w:rsid w:val="005821D2"/>
    <w:rsid w:val="00582811"/>
    <w:rsid w:val="0058291F"/>
    <w:rsid w:val="005830E9"/>
    <w:rsid w:val="005835B9"/>
    <w:rsid w:val="0058380D"/>
    <w:rsid w:val="00583B18"/>
    <w:rsid w:val="00583BB1"/>
    <w:rsid w:val="00583BF1"/>
    <w:rsid w:val="00583CFF"/>
    <w:rsid w:val="00583D10"/>
    <w:rsid w:val="005846F0"/>
    <w:rsid w:val="00584AA7"/>
    <w:rsid w:val="00584B42"/>
    <w:rsid w:val="00584BE0"/>
    <w:rsid w:val="0058539C"/>
    <w:rsid w:val="0058556B"/>
    <w:rsid w:val="00585745"/>
    <w:rsid w:val="0058579F"/>
    <w:rsid w:val="00585855"/>
    <w:rsid w:val="005859A7"/>
    <w:rsid w:val="00585C32"/>
    <w:rsid w:val="00585DAF"/>
    <w:rsid w:val="00585E93"/>
    <w:rsid w:val="00586369"/>
    <w:rsid w:val="0058662E"/>
    <w:rsid w:val="005866FE"/>
    <w:rsid w:val="00586764"/>
    <w:rsid w:val="005867D4"/>
    <w:rsid w:val="00586D09"/>
    <w:rsid w:val="00586EAE"/>
    <w:rsid w:val="00586EF6"/>
    <w:rsid w:val="005870A5"/>
    <w:rsid w:val="00587B5C"/>
    <w:rsid w:val="00590044"/>
    <w:rsid w:val="0059012B"/>
    <w:rsid w:val="0059087B"/>
    <w:rsid w:val="005908D6"/>
    <w:rsid w:val="0059091B"/>
    <w:rsid w:val="00590BA9"/>
    <w:rsid w:val="00590C09"/>
    <w:rsid w:val="00590C73"/>
    <w:rsid w:val="00590CA0"/>
    <w:rsid w:val="00590F6B"/>
    <w:rsid w:val="00591733"/>
    <w:rsid w:val="00591BAA"/>
    <w:rsid w:val="00591C5A"/>
    <w:rsid w:val="005923BD"/>
    <w:rsid w:val="005924BE"/>
    <w:rsid w:val="0059294E"/>
    <w:rsid w:val="00592AF3"/>
    <w:rsid w:val="00592C8A"/>
    <w:rsid w:val="00593144"/>
    <w:rsid w:val="005931CA"/>
    <w:rsid w:val="00593431"/>
    <w:rsid w:val="005937F9"/>
    <w:rsid w:val="00593E57"/>
    <w:rsid w:val="00593F40"/>
    <w:rsid w:val="005943C6"/>
    <w:rsid w:val="00594413"/>
    <w:rsid w:val="005944D3"/>
    <w:rsid w:val="005944F5"/>
    <w:rsid w:val="005947E7"/>
    <w:rsid w:val="005948CC"/>
    <w:rsid w:val="00594FDD"/>
    <w:rsid w:val="00595A98"/>
    <w:rsid w:val="00595BC5"/>
    <w:rsid w:val="00595C84"/>
    <w:rsid w:val="00595E6A"/>
    <w:rsid w:val="0059610E"/>
    <w:rsid w:val="00596177"/>
    <w:rsid w:val="0059666D"/>
    <w:rsid w:val="00596F9E"/>
    <w:rsid w:val="00597082"/>
    <w:rsid w:val="005971C4"/>
    <w:rsid w:val="005973F9"/>
    <w:rsid w:val="00597467"/>
    <w:rsid w:val="0059774B"/>
    <w:rsid w:val="0059793B"/>
    <w:rsid w:val="00597A64"/>
    <w:rsid w:val="005A043A"/>
    <w:rsid w:val="005A091C"/>
    <w:rsid w:val="005A0D25"/>
    <w:rsid w:val="005A0D84"/>
    <w:rsid w:val="005A0DC6"/>
    <w:rsid w:val="005A0E68"/>
    <w:rsid w:val="005A0EC5"/>
    <w:rsid w:val="005A1034"/>
    <w:rsid w:val="005A110F"/>
    <w:rsid w:val="005A1147"/>
    <w:rsid w:val="005A11D8"/>
    <w:rsid w:val="005A12D1"/>
    <w:rsid w:val="005A17D9"/>
    <w:rsid w:val="005A1BE9"/>
    <w:rsid w:val="005A1DCB"/>
    <w:rsid w:val="005A2380"/>
    <w:rsid w:val="005A23A0"/>
    <w:rsid w:val="005A25C5"/>
    <w:rsid w:val="005A26A1"/>
    <w:rsid w:val="005A2BB8"/>
    <w:rsid w:val="005A2E5F"/>
    <w:rsid w:val="005A2EFA"/>
    <w:rsid w:val="005A38C8"/>
    <w:rsid w:val="005A42AF"/>
    <w:rsid w:val="005A43C8"/>
    <w:rsid w:val="005A4570"/>
    <w:rsid w:val="005A489C"/>
    <w:rsid w:val="005A4957"/>
    <w:rsid w:val="005A4DC6"/>
    <w:rsid w:val="005A4FD3"/>
    <w:rsid w:val="005A506F"/>
    <w:rsid w:val="005A51C0"/>
    <w:rsid w:val="005A5232"/>
    <w:rsid w:val="005A57E9"/>
    <w:rsid w:val="005A591F"/>
    <w:rsid w:val="005A5AF8"/>
    <w:rsid w:val="005A5BBA"/>
    <w:rsid w:val="005A61D7"/>
    <w:rsid w:val="005A6435"/>
    <w:rsid w:val="005A645D"/>
    <w:rsid w:val="005A6848"/>
    <w:rsid w:val="005A6CFB"/>
    <w:rsid w:val="005A7419"/>
    <w:rsid w:val="005A7460"/>
    <w:rsid w:val="005A7546"/>
    <w:rsid w:val="005A77FD"/>
    <w:rsid w:val="005A78D3"/>
    <w:rsid w:val="005A79F9"/>
    <w:rsid w:val="005A7D15"/>
    <w:rsid w:val="005A7E63"/>
    <w:rsid w:val="005B0271"/>
    <w:rsid w:val="005B04BE"/>
    <w:rsid w:val="005B0D63"/>
    <w:rsid w:val="005B11F1"/>
    <w:rsid w:val="005B1798"/>
    <w:rsid w:val="005B18D6"/>
    <w:rsid w:val="005B1DAD"/>
    <w:rsid w:val="005B1E4F"/>
    <w:rsid w:val="005B1F50"/>
    <w:rsid w:val="005B2706"/>
    <w:rsid w:val="005B2860"/>
    <w:rsid w:val="005B2AE4"/>
    <w:rsid w:val="005B2BE7"/>
    <w:rsid w:val="005B2D73"/>
    <w:rsid w:val="005B2EB7"/>
    <w:rsid w:val="005B2EC1"/>
    <w:rsid w:val="005B3126"/>
    <w:rsid w:val="005B370F"/>
    <w:rsid w:val="005B3A53"/>
    <w:rsid w:val="005B3F29"/>
    <w:rsid w:val="005B43DA"/>
    <w:rsid w:val="005B45D2"/>
    <w:rsid w:val="005B47DB"/>
    <w:rsid w:val="005B4A6B"/>
    <w:rsid w:val="005B4E17"/>
    <w:rsid w:val="005B51A8"/>
    <w:rsid w:val="005B543F"/>
    <w:rsid w:val="005B54C8"/>
    <w:rsid w:val="005B5659"/>
    <w:rsid w:val="005B5B31"/>
    <w:rsid w:val="005B5BE3"/>
    <w:rsid w:val="005B5D94"/>
    <w:rsid w:val="005B5F51"/>
    <w:rsid w:val="005B6030"/>
    <w:rsid w:val="005B60D1"/>
    <w:rsid w:val="005B6744"/>
    <w:rsid w:val="005B6B42"/>
    <w:rsid w:val="005B6BBE"/>
    <w:rsid w:val="005B6D4A"/>
    <w:rsid w:val="005B6E49"/>
    <w:rsid w:val="005B6E6D"/>
    <w:rsid w:val="005B6E73"/>
    <w:rsid w:val="005B75FC"/>
    <w:rsid w:val="005B7681"/>
    <w:rsid w:val="005B7CEA"/>
    <w:rsid w:val="005C02F5"/>
    <w:rsid w:val="005C0DCF"/>
    <w:rsid w:val="005C0DFC"/>
    <w:rsid w:val="005C0F77"/>
    <w:rsid w:val="005C0F92"/>
    <w:rsid w:val="005C11C1"/>
    <w:rsid w:val="005C1670"/>
    <w:rsid w:val="005C1A55"/>
    <w:rsid w:val="005C2536"/>
    <w:rsid w:val="005C29EB"/>
    <w:rsid w:val="005C2E79"/>
    <w:rsid w:val="005C2EED"/>
    <w:rsid w:val="005C3054"/>
    <w:rsid w:val="005C3452"/>
    <w:rsid w:val="005C3727"/>
    <w:rsid w:val="005C3D12"/>
    <w:rsid w:val="005C3D29"/>
    <w:rsid w:val="005C3F39"/>
    <w:rsid w:val="005C4510"/>
    <w:rsid w:val="005C48BA"/>
    <w:rsid w:val="005C4BA4"/>
    <w:rsid w:val="005C4BEE"/>
    <w:rsid w:val="005C51FC"/>
    <w:rsid w:val="005C5221"/>
    <w:rsid w:val="005C5635"/>
    <w:rsid w:val="005C58FB"/>
    <w:rsid w:val="005C5FF5"/>
    <w:rsid w:val="005C60C9"/>
    <w:rsid w:val="005C6653"/>
    <w:rsid w:val="005C67E3"/>
    <w:rsid w:val="005C697D"/>
    <w:rsid w:val="005C6DE0"/>
    <w:rsid w:val="005C7084"/>
    <w:rsid w:val="005C70D8"/>
    <w:rsid w:val="005C731A"/>
    <w:rsid w:val="005C7392"/>
    <w:rsid w:val="005C7664"/>
    <w:rsid w:val="005C7763"/>
    <w:rsid w:val="005C783F"/>
    <w:rsid w:val="005C79D1"/>
    <w:rsid w:val="005C7D8E"/>
    <w:rsid w:val="005C7DEA"/>
    <w:rsid w:val="005C7F20"/>
    <w:rsid w:val="005C7F6C"/>
    <w:rsid w:val="005C7F8C"/>
    <w:rsid w:val="005D0587"/>
    <w:rsid w:val="005D0830"/>
    <w:rsid w:val="005D0C67"/>
    <w:rsid w:val="005D0EAD"/>
    <w:rsid w:val="005D1209"/>
    <w:rsid w:val="005D13E9"/>
    <w:rsid w:val="005D140D"/>
    <w:rsid w:val="005D15D1"/>
    <w:rsid w:val="005D1945"/>
    <w:rsid w:val="005D198D"/>
    <w:rsid w:val="005D1BE1"/>
    <w:rsid w:val="005D1D2C"/>
    <w:rsid w:val="005D1DE3"/>
    <w:rsid w:val="005D1F76"/>
    <w:rsid w:val="005D20F4"/>
    <w:rsid w:val="005D2814"/>
    <w:rsid w:val="005D28D6"/>
    <w:rsid w:val="005D2CFE"/>
    <w:rsid w:val="005D2E9C"/>
    <w:rsid w:val="005D3444"/>
    <w:rsid w:val="005D354D"/>
    <w:rsid w:val="005D3A6C"/>
    <w:rsid w:val="005D3B1C"/>
    <w:rsid w:val="005D3D23"/>
    <w:rsid w:val="005D3DA2"/>
    <w:rsid w:val="005D3E62"/>
    <w:rsid w:val="005D417E"/>
    <w:rsid w:val="005D4355"/>
    <w:rsid w:val="005D4583"/>
    <w:rsid w:val="005D4DDB"/>
    <w:rsid w:val="005D5109"/>
    <w:rsid w:val="005D514C"/>
    <w:rsid w:val="005D57CA"/>
    <w:rsid w:val="005D5D39"/>
    <w:rsid w:val="005D6984"/>
    <w:rsid w:val="005D6F27"/>
    <w:rsid w:val="005D7249"/>
    <w:rsid w:val="005D764E"/>
    <w:rsid w:val="005D7A63"/>
    <w:rsid w:val="005D7A6A"/>
    <w:rsid w:val="005D7B16"/>
    <w:rsid w:val="005E009C"/>
    <w:rsid w:val="005E0318"/>
    <w:rsid w:val="005E0346"/>
    <w:rsid w:val="005E0432"/>
    <w:rsid w:val="005E05C7"/>
    <w:rsid w:val="005E06DB"/>
    <w:rsid w:val="005E0BF9"/>
    <w:rsid w:val="005E13F0"/>
    <w:rsid w:val="005E1990"/>
    <w:rsid w:val="005E1D27"/>
    <w:rsid w:val="005E1DFD"/>
    <w:rsid w:val="005E1F17"/>
    <w:rsid w:val="005E1F24"/>
    <w:rsid w:val="005E2048"/>
    <w:rsid w:val="005E2119"/>
    <w:rsid w:val="005E21E7"/>
    <w:rsid w:val="005E246E"/>
    <w:rsid w:val="005E26AD"/>
    <w:rsid w:val="005E28E6"/>
    <w:rsid w:val="005E2D4A"/>
    <w:rsid w:val="005E2EC3"/>
    <w:rsid w:val="005E3135"/>
    <w:rsid w:val="005E32D5"/>
    <w:rsid w:val="005E3393"/>
    <w:rsid w:val="005E367B"/>
    <w:rsid w:val="005E3A2E"/>
    <w:rsid w:val="005E3CD2"/>
    <w:rsid w:val="005E3DC7"/>
    <w:rsid w:val="005E44E5"/>
    <w:rsid w:val="005E44FE"/>
    <w:rsid w:val="005E51B5"/>
    <w:rsid w:val="005E5CFD"/>
    <w:rsid w:val="005E5DA1"/>
    <w:rsid w:val="005E604F"/>
    <w:rsid w:val="005E63E6"/>
    <w:rsid w:val="005E68D1"/>
    <w:rsid w:val="005E69FF"/>
    <w:rsid w:val="005E6B0B"/>
    <w:rsid w:val="005E6B52"/>
    <w:rsid w:val="005E6B6F"/>
    <w:rsid w:val="005E6E88"/>
    <w:rsid w:val="005E6F52"/>
    <w:rsid w:val="005E6F9A"/>
    <w:rsid w:val="005E6FBB"/>
    <w:rsid w:val="005E6FD9"/>
    <w:rsid w:val="005E72EB"/>
    <w:rsid w:val="005E78CD"/>
    <w:rsid w:val="005E7A8B"/>
    <w:rsid w:val="005E7CAA"/>
    <w:rsid w:val="005E7CF1"/>
    <w:rsid w:val="005E7D30"/>
    <w:rsid w:val="005F01D8"/>
    <w:rsid w:val="005F0212"/>
    <w:rsid w:val="005F029D"/>
    <w:rsid w:val="005F09E1"/>
    <w:rsid w:val="005F0C2A"/>
    <w:rsid w:val="005F0CE4"/>
    <w:rsid w:val="005F1059"/>
    <w:rsid w:val="005F11C3"/>
    <w:rsid w:val="005F1779"/>
    <w:rsid w:val="005F181E"/>
    <w:rsid w:val="005F1865"/>
    <w:rsid w:val="005F1878"/>
    <w:rsid w:val="005F1A82"/>
    <w:rsid w:val="005F212E"/>
    <w:rsid w:val="005F25A4"/>
    <w:rsid w:val="005F260D"/>
    <w:rsid w:val="005F2661"/>
    <w:rsid w:val="005F2A34"/>
    <w:rsid w:val="005F2CF6"/>
    <w:rsid w:val="005F301E"/>
    <w:rsid w:val="005F369E"/>
    <w:rsid w:val="005F398D"/>
    <w:rsid w:val="005F3C04"/>
    <w:rsid w:val="005F419D"/>
    <w:rsid w:val="005F423D"/>
    <w:rsid w:val="005F4297"/>
    <w:rsid w:val="005F43C4"/>
    <w:rsid w:val="005F4533"/>
    <w:rsid w:val="005F47C6"/>
    <w:rsid w:val="005F4B7D"/>
    <w:rsid w:val="005F4BB8"/>
    <w:rsid w:val="005F4E26"/>
    <w:rsid w:val="005F5216"/>
    <w:rsid w:val="005F5713"/>
    <w:rsid w:val="005F58C9"/>
    <w:rsid w:val="005F58EC"/>
    <w:rsid w:val="005F599A"/>
    <w:rsid w:val="005F5DC6"/>
    <w:rsid w:val="005F637D"/>
    <w:rsid w:val="005F6555"/>
    <w:rsid w:val="005F66D7"/>
    <w:rsid w:val="005F66DA"/>
    <w:rsid w:val="005F678F"/>
    <w:rsid w:val="005F6B2B"/>
    <w:rsid w:val="005F6CC5"/>
    <w:rsid w:val="005F6D3F"/>
    <w:rsid w:val="005F6F1F"/>
    <w:rsid w:val="005F6F2A"/>
    <w:rsid w:val="005F6F52"/>
    <w:rsid w:val="005F6FBE"/>
    <w:rsid w:val="005F73CC"/>
    <w:rsid w:val="005F7910"/>
    <w:rsid w:val="005F7966"/>
    <w:rsid w:val="005F7970"/>
    <w:rsid w:val="005F7D1C"/>
    <w:rsid w:val="005F7E77"/>
    <w:rsid w:val="005F7EAE"/>
    <w:rsid w:val="0060025B"/>
    <w:rsid w:val="0060071B"/>
    <w:rsid w:val="00600A06"/>
    <w:rsid w:val="00600DCE"/>
    <w:rsid w:val="0060109D"/>
    <w:rsid w:val="00601984"/>
    <w:rsid w:val="00601CF1"/>
    <w:rsid w:val="00601DC0"/>
    <w:rsid w:val="00602105"/>
    <w:rsid w:val="006028B4"/>
    <w:rsid w:val="00602A74"/>
    <w:rsid w:val="00602CB0"/>
    <w:rsid w:val="00602F7E"/>
    <w:rsid w:val="00602FF3"/>
    <w:rsid w:val="00603031"/>
    <w:rsid w:val="006032BA"/>
    <w:rsid w:val="006034C7"/>
    <w:rsid w:val="00603800"/>
    <w:rsid w:val="00603818"/>
    <w:rsid w:val="00603B76"/>
    <w:rsid w:val="00603B9A"/>
    <w:rsid w:val="00603DF6"/>
    <w:rsid w:val="00603E6C"/>
    <w:rsid w:val="00603F7C"/>
    <w:rsid w:val="006042B3"/>
    <w:rsid w:val="006043F3"/>
    <w:rsid w:val="00604470"/>
    <w:rsid w:val="0060494A"/>
    <w:rsid w:val="00604ADA"/>
    <w:rsid w:val="00604D5C"/>
    <w:rsid w:val="00605197"/>
    <w:rsid w:val="006051BD"/>
    <w:rsid w:val="0060533D"/>
    <w:rsid w:val="00605343"/>
    <w:rsid w:val="00605621"/>
    <w:rsid w:val="00605648"/>
    <w:rsid w:val="006056CE"/>
    <w:rsid w:val="00605A70"/>
    <w:rsid w:val="00605B13"/>
    <w:rsid w:val="00605C74"/>
    <w:rsid w:val="00605EBA"/>
    <w:rsid w:val="0060619D"/>
    <w:rsid w:val="006063E0"/>
    <w:rsid w:val="0060641C"/>
    <w:rsid w:val="0060679E"/>
    <w:rsid w:val="0060680B"/>
    <w:rsid w:val="00606941"/>
    <w:rsid w:val="006069C4"/>
    <w:rsid w:val="00606D64"/>
    <w:rsid w:val="00606D88"/>
    <w:rsid w:val="006070CC"/>
    <w:rsid w:val="00607B67"/>
    <w:rsid w:val="00607CA3"/>
    <w:rsid w:val="00607EAB"/>
    <w:rsid w:val="006101A6"/>
    <w:rsid w:val="0061094C"/>
    <w:rsid w:val="00611046"/>
    <w:rsid w:val="00611390"/>
    <w:rsid w:val="006115C8"/>
    <w:rsid w:val="00612352"/>
    <w:rsid w:val="0061249E"/>
    <w:rsid w:val="00612ECE"/>
    <w:rsid w:val="00613037"/>
    <w:rsid w:val="00613368"/>
    <w:rsid w:val="00613467"/>
    <w:rsid w:val="00613476"/>
    <w:rsid w:val="00613A3D"/>
    <w:rsid w:val="00613BE8"/>
    <w:rsid w:val="00613DF8"/>
    <w:rsid w:val="00614046"/>
    <w:rsid w:val="00614156"/>
    <w:rsid w:val="006146FA"/>
    <w:rsid w:val="00614722"/>
    <w:rsid w:val="00614729"/>
    <w:rsid w:val="006147B8"/>
    <w:rsid w:val="00614AE2"/>
    <w:rsid w:val="00614BE9"/>
    <w:rsid w:val="00614D9B"/>
    <w:rsid w:val="006154AD"/>
    <w:rsid w:val="00615742"/>
    <w:rsid w:val="006157F1"/>
    <w:rsid w:val="00615EEC"/>
    <w:rsid w:val="00616355"/>
    <w:rsid w:val="006164A7"/>
    <w:rsid w:val="00616B5C"/>
    <w:rsid w:val="00617073"/>
    <w:rsid w:val="00617257"/>
    <w:rsid w:val="006173AD"/>
    <w:rsid w:val="00617422"/>
    <w:rsid w:val="00617A91"/>
    <w:rsid w:val="00617B93"/>
    <w:rsid w:val="00617C87"/>
    <w:rsid w:val="00617DEE"/>
    <w:rsid w:val="00620743"/>
    <w:rsid w:val="006207BA"/>
    <w:rsid w:val="006208A1"/>
    <w:rsid w:val="0062097C"/>
    <w:rsid w:val="00620C23"/>
    <w:rsid w:val="00620D9C"/>
    <w:rsid w:val="0062105B"/>
    <w:rsid w:val="00621177"/>
    <w:rsid w:val="006213CB"/>
    <w:rsid w:val="006214A1"/>
    <w:rsid w:val="006217CC"/>
    <w:rsid w:val="00621948"/>
    <w:rsid w:val="00621A4E"/>
    <w:rsid w:val="00622090"/>
    <w:rsid w:val="006220E7"/>
    <w:rsid w:val="006227AF"/>
    <w:rsid w:val="00622BA2"/>
    <w:rsid w:val="00622E81"/>
    <w:rsid w:val="006231A5"/>
    <w:rsid w:val="0062348B"/>
    <w:rsid w:val="00623DAF"/>
    <w:rsid w:val="00623F19"/>
    <w:rsid w:val="006241A5"/>
    <w:rsid w:val="0062471A"/>
    <w:rsid w:val="00624A60"/>
    <w:rsid w:val="00624D16"/>
    <w:rsid w:val="00624DBC"/>
    <w:rsid w:val="00624DBF"/>
    <w:rsid w:val="00624EB5"/>
    <w:rsid w:val="006250FF"/>
    <w:rsid w:val="00625104"/>
    <w:rsid w:val="00625363"/>
    <w:rsid w:val="00625592"/>
    <w:rsid w:val="006256A7"/>
    <w:rsid w:val="00625983"/>
    <w:rsid w:val="00625BC1"/>
    <w:rsid w:val="006262F1"/>
    <w:rsid w:val="00626464"/>
    <w:rsid w:val="0062646A"/>
    <w:rsid w:val="006265CE"/>
    <w:rsid w:val="00626737"/>
    <w:rsid w:val="00626A79"/>
    <w:rsid w:val="00626BE2"/>
    <w:rsid w:val="0062743A"/>
    <w:rsid w:val="00627636"/>
    <w:rsid w:val="00627B2B"/>
    <w:rsid w:val="00627E5B"/>
    <w:rsid w:val="00630102"/>
    <w:rsid w:val="00630373"/>
    <w:rsid w:val="00630C29"/>
    <w:rsid w:val="00630CE4"/>
    <w:rsid w:val="00630DC5"/>
    <w:rsid w:val="006312F7"/>
    <w:rsid w:val="006315B6"/>
    <w:rsid w:val="00631AC0"/>
    <w:rsid w:val="00631BE6"/>
    <w:rsid w:val="00632047"/>
    <w:rsid w:val="00632B22"/>
    <w:rsid w:val="00632D1F"/>
    <w:rsid w:val="00632DEC"/>
    <w:rsid w:val="0063309F"/>
    <w:rsid w:val="00633174"/>
    <w:rsid w:val="00633255"/>
    <w:rsid w:val="00633580"/>
    <w:rsid w:val="00633663"/>
    <w:rsid w:val="006337A9"/>
    <w:rsid w:val="00633E65"/>
    <w:rsid w:val="0063402B"/>
    <w:rsid w:val="00634061"/>
    <w:rsid w:val="0063412C"/>
    <w:rsid w:val="0063419D"/>
    <w:rsid w:val="0063449A"/>
    <w:rsid w:val="006349F1"/>
    <w:rsid w:val="00634C50"/>
    <w:rsid w:val="006356F4"/>
    <w:rsid w:val="00635BCD"/>
    <w:rsid w:val="00635C95"/>
    <w:rsid w:val="0063619D"/>
    <w:rsid w:val="006363CA"/>
    <w:rsid w:val="0063684A"/>
    <w:rsid w:val="00636D6D"/>
    <w:rsid w:val="00636E96"/>
    <w:rsid w:val="00637270"/>
    <w:rsid w:val="00637356"/>
    <w:rsid w:val="006373CF"/>
    <w:rsid w:val="00637712"/>
    <w:rsid w:val="00637BD3"/>
    <w:rsid w:val="00637C61"/>
    <w:rsid w:val="00637CC5"/>
    <w:rsid w:val="00637D3F"/>
    <w:rsid w:val="00637DC7"/>
    <w:rsid w:val="00637FA9"/>
    <w:rsid w:val="00640111"/>
    <w:rsid w:val="0064014A"/>
    <w:rsid w:val="00640188"/>
    <w:rsid w:val="006402A3"/>
    <w:rsid w:val="0064034E"/>
    <w:rsid w:val="00640372"/>
    <w:rsid w:val="00640849"/>
    <w:rsid w:val="00640AD9"/>
    <w:rsid w:val="00640DED"/>
    <w:rsid w:val="00641060"/>
    <w:rsid w:val="006410AF"/>
    <w:rsid w:val="00641355"/>
    <w:rsid w:val="006413CB"/>
    <w:rsid w:val="0064189E"/>
    <w:rsid w:val="0064195F"/>
    <w:rsid w:val="00641D49"/>
    <w:rsid w:val="00641F4C"/>
    <w:rsid w:val="006420FF"/>
    <w:rsid w:val="006423E3"/>
    <w:rsid w:val="00642580"/>
    <w:rsid w:val="00642714"/>
    <w:rsid w:val="00642926"/>
    <w:rsid w:val="00642A05"/>
    <w:rsid w:val="00642AA0"/>
    <w:rsid w:val="00642BD8"/>
    <w:rsid w:val="00642C37"/>
    <w:rsid w:val="00642DEC"/>
    <w:rsid w:val="00642EA1"/>
    <w:rsid w:val="00643149"/>
    <w:rsid w:val="0064316E"/>
    <w:rsid w:val="006435E4"/>
    <w:rsid w:val="00643610"/>
    <w:rsid w:val="006436B0"/>
    <w:rsid w:val="006438B2"/>
    <w:rsid w:val="00644035"/>
    <w:rsid w:val="006441D0"/>
    <w:rsid w:val="006448C8"/>
    <w:rsid w:val="00644A1C"/>
    <w:rsid w:val="00644E62"/>
    <w:rsid w:val="006452B3"/>
    <w:rsid w:val="006452DF"/>
    <w:rsid w:val="00645663"/>
    <w:rsid w:val="00645936"/>
    <w:rsid w:val="00645A5F"/>
    <w:rsid w:val="00645E9A"/>
    <w:rsid w:val="00645FEE"/>
    <w:rsid w:val="006461DB"/>
    <w:rsid w:val="00646464"/>
    <w:rsid w:val="00646501"/>
    <w:rsid w:val="0064655E"/>
    <w:rsid w:val="00646E04"/>
    <w:rsid w:val="00646E35"/>
    <w:rsid w:val="00646E50"/>
    <w:rsid w:val="00647043"/>
    <w:rsid w:val="0064729E"/>
    <w:rsid w:val="006474E8"/>
    <w:rsid w:val="006475E9"/>
    <w:rsid w:val="006478B8"/>
    <w:rsid w:val="006501DE"/>
    <w:rsid w:val="0065054A"/>
    <w:rsid w:val="00650618"/>
    <w:rsid w:val="00650766"/>
    <w:rsid w:val="00650984"/>
    <w:rsid w:val="00650C05"/>
    <w:rsid w:val="00650F41"/>
    <w:rsid w:val="006511BC"/>
    <w:rsid w:val="00651B4D"/>
    <w:rsid w:val="00652024"/>
    <w:rsid w:val="00652502"/>
    <w:rsid w:val="00652507"/>
    <w:rsid w:val="00652622"/>
    <w:rsid w:val="00652693"/>
    <w:rsid w:val="006526DE"/>
    <w:rsid w:val="00652E7B"/>
    <w:rsid w:val="006533E4"/>
    <w:rsid w:val="006538BB"/>
    <w:rsid w:val="00653C79"/>
    <w:rsid w:val="00653CC5"/>
    <w:rsid w:val="00653EE5"/>
    <w:rsid w:val="00653F26"/>
    <w:rsid w:val="006543BE"/>
    <w:rsid w:val="00654D8F"/>
    <w:rsid w:val="00654FDF"/>
    <w:rsid w:val="00655259"/>
    <w:rsid w:val="006553A7"/>
    <w:rsid w:val="0065582D"/>
    <w:rsid w:val="00655B52"/>
    <w:rsid w:val="00655BF5"/>
    <w:rsid w:val="00655D7B"/>
    <w:rsid w:val="00656859"/>
    <w:rsid w:val="006573E7"/>
    <w:rsid w:val="006578A1"/>
    <w:rsid w:val="00657A10"/>
    <w:rsid w:val="00657C3B"/>
    <w:rsid w:val="00657CA0"/>
    <w:rsid w:val="0066040D"/>
    <w:rsid w:val="00660494"/>
    <w:rsid w:val="0066094A"/>
    <w:rsid w:val="00660A56"/>
    <w:rsid w:val="00660E4F"/>
    <w:rsid w:val="00660FC3"/>
    <w:rsid w:val="00661053"/>
    <w:rsid w:val="00661358"/>
    <w:rsid w:val="00661388"/>
    <w:rsid w:val="006617C5"/>
    <w:rsid w:val="006617F3"/>
    <w:rsid w:val="00661817"/>
    <w:rsid w:val="00661E97"/>
    <w:rsid w:val="006621C8"/>
    <w:rsid w:val="00662389"/>
    <w:rsid w:val="0066241E"/>
    <w:rsid w:val="00662A55"/>
    <w:rsid w:val="00662C90"/>
    <w:rsid w:val="00663143"/>
    <w:rsid w:val="006632FC"/>
    <w:rsid w:val="00663E27"/>
    <w:rsid w:val="0066416A"/>
    <w:rsid w:val="006642DC"/>
    <w:rsid w:val="006645EF"/>
    <w:rsid w:val="00664734"/>
    <w:rsid w:val="006647E1"/>
    <w:rsid w:val="00664CF5"/>
    <w:rsid w:val="00665060"/>
    <w:rsid w:val="006653B7"/>
    <w:rsid w:val="00665642"/>
    <w:rsid w:val="0066586A"/>
    <w:rsid w:val="00665DEA"/>
    <w:rsid w:val="00666103"/>
    <w:rsid w:val="006664C3"/>
    <w:rsid w:val="0066662C"/>
    <w:rsid w:val="00666755"/>
    <w:rsid w:val="006667AD"/>
    <w:rsid w:val="006669A6"/>
    <w:rsid w:val="00666D9F"/>
    <w:rsid w:val="00666E15"/>
    <w:rsid w:val="00666F2C"/>
    <w:rsid w:val="00667132"/>
    <w:rsid w:val="0066718C"/>
    <w:rsid w:val="00667310"/>
    <w:rsid w:val="00667BC7"/>
    <w:rsid w:val="00667E21"/>
    <w:rsid w:val="0067019A"/>
    <w:rsid w:val="00670432"/>
    <w:rsid w:val="0067049F"/>
    <w:rsid w:val="006707DB"/>
    <w:rsid w:val="00670A03"/>
    <w:rsid w:val="00670C7D"/>
    <w:rsid w:val="00670D5A"/>
    <w:rsid w:val="00670EB3"/>
    <w:rsid w:val="00670F04"/>
    <w:rsid w:val="00671170"/>
    <w:rsid w:val="006715F0"/>
    <w:rsid w:val="00671737"/>
    <w:rsid w:val="00671BBA"/>
    <w:rsid w:val="00671E97"/>
    <w:rsid w:val="00672162"/>
    <w:rsid w:val="006721B1"/>
    <w:rsid w:val="006726A6"/>
    <w:rsid w:val="006726A8"/>
    <w:rsid w:val="0067274C"/>
    <w:rsid w:val="006728D1"/>
    <w:rsid w:val="00672956"/>
    <w:rsid w:val="006729B2"/>
    <w:rsid w:val="00672B3B"/>
    <w:rsid w:val="00672D03"/>
    <w:rsid w:val="00672F05"/>
    <w:rsid w:val="006733CC"/>
    <w:rsid w:val="0067351A"/>
    <w:rsid w:val="006736C6"/>
    <w:rsid w:val="0067390D"/>
    <w:rsid w:val="00673B7C"/>
    <w:rsid w:val="00673C4B"/>
    <w:rsid w:val="00673E3D"/>
    <w:rsid w:val="00673E87"/>
    <w:rsid w:val="0067414E"/>
    <w:rsid w:val="006741E2"/>
    <w:rsid w:val="00674267"/>
    <w:rsid w:val="00674B60"/>
    <w:rsid w:val="00674B61"/>
    <w:rsid w:val="00674C41"/>
    <w:rsid w:val="00674D31"/>
    <w:rsid w:val="00674DBB"/>
    <w:rsid w:val="00675058"/>
    <w:rsid w:val="0067529C"/>
    <w:rsid w:val="006753FE"/>
    <w:rsid w:val="0067557C"/>
    <w:rsid w:val="00675725"/>
    <w:rsid w:val="00675743"/>
    <w:rsid w:val="0067581A"/>
    <w:rsid w:val="006758B8"/>
    <w:rsid w:val="00675DC3"/>
    <w:rsid w:val="00675DE0"/>
    <w:rsid w:val="00675E3F"/>
    <w:rsid w:val="00676088"/>
    <w:rsid w:val="0067611A"/>
    <w:rsid w:val="006765C3"/>
    <w:rsid w:val="00676BE2"/>
    <w:rsid w:val="00676CD9"/>
    <w:rsid w:val="00677187"/>
    <w:rsid w:val="006773A0"/>
    <w:rsid w:val="006777E4"/>
    <w:rsid w:val="006779AF"/>
    <w:rsid w:val="00677B3B"/>
    <w:rsid w:val="00677BCA"/>
    <w:rsid w:val="00677D46"/>
    <w:rsid w:val="00677E0F"/>
    <w:rsid w:val="00677F29"/>
    <w:rsid w:val="00680006"/>
    <w:rsid w:val="006800B4"/>
    <w:rsid w:val="00680321"/>
    <w:rsid w:val="0068033A"/>
    <w:rsid w:val="0068090D"/>
    <w:rsid w:val="00680D05"/>
    <w:rsid w:val="006812D3"/>
    <w:rsid w:val="00681378"/>
    <w:rsid w:val="00681475"/>
    <w:rsid w:val="00681F01"/>
    <w:rsid w:val="00681F3A"/>
    <w:rsid w:val="0068257E"/>
    <w:rsid w:val="006828BE"/>
    <w:rsid w:val="0068298F"/>
    <w:rsid w:val="00682A45"/>
    <w:rsid w:val="00683026"/>
    <w:rsid w:val="006830D6"/>
    <w:rsid w:val="0068349E"/>
    <w:rsid w:val="006840BD"/>
    <w:rsid w:val="00684740"/>
    <w:rsid w:val="00685229"/>
    <w:rsid w:val="0068524F"/>
    <w:rsid w:val="00685310"/>
    <w:rsid w:val="00685528"/>
    <w:rsid w:val="00686035"/>
    <w:rsid w:val="006860A1"/>
    <w:rsid w:val="006863B6"/>
    <w:rsid w:val="00686A7A"/>
    <w:rsid w:val="00686F96"/>
    <w:rsid w:val="006870F8"/>
    <w:rsid w:val="0068717E"/>
    <w:rsid w:val="0068750D"/>
    <w:rsid w:val="00687A9B"/>
    <w:rsid w:val="00687EB8"/>
    <w:rsid w:val="006902B9"/>
    <w:rsid w:val="00690333"/>
    <w:rsid w:val="00690914"/>
    <w:rsid w:val="00690A47"/>
    <w:rsid w:val="00690CDA"/>
    <w:rsid w:val="00690F73"/>
    <w:rsid w:val="006910C3"/>
    <w:rsid w:val="006911EA"/>
    <w:rsid w:val="00692385"/>
    <w:rsid w:val="006923BD"/>
    <w:rsid w:val="00692548"/>
    <w:rsid w:val="0069262E"/>
    <w:rsid w:val="00692B6C"/>
    <w:rsid w:val="00692E69"/>
    <w:rsid w:val="00693278"/>
    <w:rsid w:val="006933D5"/>
    <w:rsid w:val="006935E5"/>
    <w:rsid w:val="006935EB"/>
    <w:rsid w:val="006936F9"/>
    <w:rsid w:val="006937EF"/>
    <w:rsid w:val="006939E1"/>
    <w:rsid w:val="00693D1F"/>
    <w:rsid w:val="00693DE2"/>
    <w:rsid w:val="00693F56"/>
    <w:rsid w:val="00693F88"/>
    <w:rsid w:val="006940CC"/>
    <w:rsid w:val="00694223"/>
    <w:rsid w:val="0069436E"/>
    <w:rsid w:val="00694390"/>
    <w:rsid w:val="0069446C"/>
    <w:rsid w:val="006944CD"/>
    <w:rsid w:val="006944DA"/>
    <w:rsid w:val="00694530"/>
    <w:rsid w:val="0069498A"/>
    <w:rsid w:val="00694A88"/>
    <w:rsid w:val="00694CCD"/>
    <w:rsid w:val="006950DA"/>
    <w:rsid w:val="00695210"/>
    <w:rsid w:val="00695302"/>
    <w:rsid w:val="00695428"/>
    <w:rsid w:val="00695603"/>
    <w:rsid w:val="00695BD0"/>
    <w:rsid w:val="00695BE8"/>
    <w:rsid w:val="006968C7"/>
    <w:rsid w:val="00696A79"/>
    <w:rsid w:val="00696EE5"/>
    <w:rsid w:val="0069747D"/>
    <w:rsid w:val="0069773B"/>
    <w:rsid w:val="00697851"/>
    <w:rsid w:val="006979C8"/>
    <w:rsid w:val="00697CC5"/>
    <w:rsid w:val="00697E49"/>
    <w:rsid w:val="006A01E1"/>
    <w:rsid w:val="006A02B9"/>
    <w:rsid w:val="006A051F"/>
    <w:rsid w:val="006A0648"/>
    <w:rsid w:val="006A0719"/>
    <w:rsid w:val="006A0D0F"/>
    <w:rsid w:val="006A0D53"/>
    <w:rsid w:val="006A0E13"/>
    <w:rsid w:val="006A1082"/>
    <w:rsid w:val="006A12D0"/>
    <w:rsid w:val="006A1387"/>
    <w:rsid w:val="006A14F8"/>
    <w:rsid w:val="006A17B1"/>
    <w:rsid w:val="006A190F"/>
    <w:rsid w:val="006A19DD"/>
    <w:rsid w:val="006A1A01"/>
    <w:rsid w:val="006A1BB9"/>
    <w:rsid w:val="006A1D9F"/>
    <w:rsid w:val="006A1EE3"/>
    <w:rsid w:val="006A1F4B"/>
    <w:rsid w:val="006A1F9D"/>
    <w:rsid w:val="006A23AF"/>
    <w:rsid w:val="006A24A4"/>
    <w:rsid w:val="006A29DF"/>
    <w:rsid w:val="006A2B92"/>
    <w:rsid w:val="006A2DC8"/>
    <w:rsid w:val="006A31CC"/>
    <w:rsid w:val="006A3447"/>
    <w:rsid w:val="006A353E"/>
    <w:rsid w:val="006A3561"/>
    <w:rsid w:val="006A37D2"/>
    <w:rsid w:val="006A3BAD"/>
    <w:rsid w:val="006A3C83"/>
    <w:rsid w:val="006A3C9D"/>
    <w:rsid w:val="006A3EDB"/>
    <w:rsid w:val="006A3F1A"/>
    <w:rsid w:val="006A429E"/>
    <w:rsid w:val="006A42A8"/>
    <w:rsid w:val="006A4556"/>
    <w:rsid w:val="006A4AF6"/>
    <w:rsid w:val="006A4B18"/>
    <w:rsid w:val="006A4BC6"/>
    <w:rsid w:val="006A4BF9"/>
    <w:rsid w:val="006A5039"/>
    <w:rsid w:val="006A504C"/>
    <w:rsid w:val="006A50E6"/>
    <w:rsid w:val="006A57FA"/>
    <w:rsid w:val="006A5ACF"/>
    <w:rsid w:val="006A5DCA"/>
    <w:rsid w:val="006A634F"/>
    <w:rsid w:val="006A6409"/>
    <w:rsid w:val="006A6899"/>
    <w:rsid w:val="006A6EF8"/>
    <w:rsid w:val="006A6FB9"/>
    <w:rsid w:val="006A72A1"/>
    <w:rsid w:val="006A72B0"/>
    <w:rsid w:val="006A7872"/>
    <w:rsid w:val="006A797A"/>
    <w:rsid w:val="006A7E7A"/>
    <w:rsid w:val="006A7E81"/>
    <w:rsid w:val="006A7FBA"/>
    <w:rsid w:val="006B056D"/>
    <w:rsid w:val="006B05BC"/>
    <w:rsid w:val="006B0BC9"/>
    <w:rsid w:val="006B10A9"/>
    <w:rsid w:val="006B161A"/>
    <w:rsid w:val="006B1BDC"/>
    <w:rsid w:val="006B21E7"/>
    <w:rsid w:val="006B241F"/>
    <w:rsid w:val="006B2501"/>
    <w:rsid w:val="006B257C"/>
    <w:rsid w:val="006B259A"/>
    <w:rsid w:val="006B277A"/>
    <w:rsid w:val="006B2813"/>
    <w:rsid w:val="006B2DD2"/>
    <w:rsid w:val="006B2E0D"/>
    <w:rsid w:val="006B35D2"/>
    <w:rsid w:val="006B381E"/>
    <w:rsid w:val="006B3AE6"/>
    <w:rsid w:val="006B3D99"/>
    <w:rsid w:val="006B3F9E"/>
    <w:rsid w:val="006B41CD"/>
    <w:rsid w:val="006B4530"/>
    <w:rsid w:val="006B454B"/>
    <w:rsid w:val="006B45BD"/>
    <w:rsid w:val="006B4828"/>
    <w:rsid w:val="006B48CA"/>
    <w:rsid w:val="006B4B1C"/>
    <w:rsid w:val="006B4CD9"/>
    <w:rsid w:val="006B5573"/>
    <w:rsid w:val="006B5C23"/>
    <w:rsid w:val="006B5C39"/>
    <w:rsid w:val="006B5EF7"/>
    <w:rsid w:val="006B610A"/>
    <w:rsid w:val="006B6419"/>
    <w:rsid w:val="006B65F8"/>
    <w:rsid w:val="006B6847"/>
    <w:rsid w:val="006B68DA"/>
    <w:rsid w:val="006B7018"/>
    <w:rsid w:val="006B70D4"/>
    <w:rsid w:val="006B71DB"/>
    <w:rsid w:val="006B72ED"/>
    <w:rsid w:val="006B72EF"/>
    <w:rsid w:val="006B78EE"/>
    <w:rsid w:val="006B7AE7"/>
    <w:rsid w:val="006C0138"/>
    <w:rsid w:val="006C04D8"/>
    <w:rsid w:val="006C05BD"/>
    <w:rsid w:val="006C05C5"/>
    <w:rsid w:val="006C0710"/>
    <w:rsid w:val="006C09C6"/>
    <w:rsid w:val="006C0F3B"/>
    <w:rsid w:val="006C1673"/>
    <w:rsid w:val="006C17D5"/>
    <w:rsid w:val="006C18BB"/>
    <w:rsid w:val="006C1B02"/>
    <w:rsid w:val="006C1F91"/>
    <w:rsid w:val="006C22A1"/>
    <w:rsid w:val="006C24BF"/>
    <w:rsid w:val="006C2564"/>
    <w:rsid w:val="006C26A2"/>
    <w:rsid w:val="006C27BC"/>
    <w:rsid w:val="006C2A6B"/>
    <w:rsid w:val="006C2CCA"/>
    <w:rsid w:val="006C2FF9"/>
    <w:rsid w:val="006C335B"/>
    <w:rsid w:val="006C3465"/>
    <w:rsid w:val="006C34A4"/>
    <w:rsid w:val="006C36C2"/>
    <w:rsid w:val="006C3ABF"/>
    <w:rsid w:val="006C3B57"/>
    <w:rsid w:val="006C3F42"/>
    <w:rsid w:val="006C41AC"/>
    <w:rsid w:val="006C44C3"/>
    <w:rsid w:val="006C4E4F"/>
    <w:rsid w:val="006C50CB"/>
    <w:rsid w:val="006C57D4"/>
    <w:rsid w:val="006C59FF"/>
    <w:rsid w:val="006C5CB6"/>
    <w:rsid w:val="006C5FDB"/>
    <w:rsid w:val="006C65F9"/>
    <w:rsid w:val="006C6757"/>
    <w:rsid w:val="006C6C24"/>
    <w:rsid w:val="006C6D2B"/>
    <w:rsid w:val="006C6DE6"/>
    <w:rsid w:val="006C7007"/>
    <w:rsid w:val="006C75D2"/>
    <w:rsid w:val="006C75DA"/>
    <w:rsid w:val="006C764C"/>
    <w:rsid w:val="006C78CB"/>
    <w:rsid w:val="006C79CF"/>
    <w:rsid w:val="006C7B17"/>
    <w:rsid w:val="006C7C3D"/>
    <w:rsid w:val="006C7EEC"/>
    <w:rsid w:val="006D0561"/>
    <w:rsid w:val="006D06DA"/>
    <w:rsid w:val="006D075E"/>
    <w:rsid w:val="006D0DE1"/>
    <w:rsid w:val="006D1266"/>
    <w:rsid w:val="006D175E"/>
    <w:rsid w:val="006D1BAD"/>
    <w:rsid w:val="006D1C61"/>
    <w:rsid w:val="006D1D5A"/>
    <w:rsid w:val="006D27EB"/>
    <w:rsid w:val="006D29A7"/>
    <w:rsid w:val="006D32B1"/>
    <w:rsid w:val="006D3D9F"/>
    <w:rsid w:val="006D3DD9"/>
    <w:rsid w:val="006D4556"/>
    <w:rsid w:val="006D4880"/>
    <w:rsid w:val="006D4AB2"/>
    <w:rsid w:val="006D4D67"/>
    <w:rsid w:val="006D503B"/>
    <w:rsid w:val="006D5168"/>
    <w:rsid w:val="006D53D1"/>
    <w:rsid w:val="006D57DD"/>
    <w:rsid w:val="006D5C22"/>
    <w:rsid w:val="006D5D11"/>
    <w:rsid w:val="006D5E7A"/>
    <w:rsid w:val="006D5F08"/>
    <w:rsid w:val="006D5FCE"/>
    <w:rsid w:val="006D60D7"/>
    <w:rsid w:val="006D6524"/>
    <w:rsid w:val="006D6E68"/>
    <w:rsid w:val="006D71BC"/>
    <w:rsid w:val="006D7298"/>
    <w:rsid w:val="006D7357"/>
    <w:rsid w:val="006D7A96"/>
    <w:rsid w:val="006D7ADA"/>
    <w:rsid w:val="006D7DF2"/>
    <w:rsid w:val="006D7F72"/>
    <w:rsid w:val="006DB598"/>
    <w:rsid w:val="006E0191"/>
    <w:rsid w:val="006E02A4"/>
    <w:rsid w:val="006E0312"/>
    <w:rsid w:val="006E081A"/>
    <w:rsid w:val="006E0864"/>
    <w:rsid w:val="006E0976"/>
    <w:rsid w:val="006E0ABF"/>
    <w:rsid w:val="006E0C9D"/>
    <w:rsid w:val="006E0D85"/>
    <w:rsid w:val="006E1216"/>
    <w:rsid w:val="006E14D3"/>
    <w:rsid w:val="006E14FF"/>
    <w:rsid w:val="006E1883"/>
    <w:rsid w:val="006E1E1A"/>
    <w:rsid w:val="006E1F69"/>
    <w:rsid w:val="006E208A"/>
    <w:rsid w:val="006E2A6B"/>
    <w:rsid w:val="006E2B2B"/>
    <w:rsid w:val="006E3032"/>
    <w:rsid w:val="006E30B3"/>
    <w:rsid w:val="006E3169"/>
    <w:rsid w:val="006E322B"/>
    <w:rsid w:val="006E3585"/>
    <w:rsid w:val="006E35B5"/>
    <w:rsid w:val="006E37E7"/>
    <w:rsid w:val="006E397F"/>
    <w:rsid w:val="006E3E88"/>
    <w:rsid w:val="006E3F95"/>
    <w:rsid w:val="006E4477"/>
    <w:rsid w:val="006E4680"/>
    <w:rsid w:val="006E4955"/>
    <w:rsid w:val="006E4CE9"/>
    <w:rsid w:val="006E4DF5"/>
    <w:rsid w:val="006E4EAC"/>
    <w:rsid w:val="006E5727"/>
    <w:rsid w:val="006E5B50"/>
    <w:rsid w:val="006E5B6A"/>
    <w:rsid w:val="006E5C00"/>
    <w:rsid w:val="006E5C5F"/>
    <w:rsid w:val="006E6471"/>
    <w:rsid w:val="006E6677"/>
    <w:rsid w:val="006E67DC"/>
    <w:rsid w:val="006E681B"/>
    <w:rsid w:val="006E6C4B"/>
    <w:rsid w:val="006E6EBF"/>
    <w:rsid w:val="006E6F7B"/>
    <w:rsid w:val="006E6F8B"/>
    <w:rsid w:val="006E702D"/>
    <w:rsid w:val="006E70AC"/>
    <w:rsid w:val="006E71FD"/>
    <w:rsid w:val="006E74B7"/>
    <w:rsid w:val="006E7619"/>
    <w:rsid w:val="006E76A0"/>
    <w:rsid w:val="006E787A"/>
    <w:rsid w:val="006E7942"/>
    <w:rsid w:val="006E7B16"/>
    <w:rsid w:val="006E7CE8"/>
    <w:rsid w:val="006E7F8F"/>
    <w:rsid w:val="006F0040"/>
    <w:rsid w:val="006F01DF"/>
    <w:rsid w:val="006F02F2"/>
    <w:rsid w:val="006F06DE"/>
    <w:rsid w:val="006F0957"/>
    <w:rsid w:val="006F0BB4"/>
    <w:rsid w:val="006F0BBB"/>
    <w:rsid w:val="006F0C90"/>
    <w:rsid w:val="006F0F64"/>
    <w:rsid w:val="006F1640"/>
    <w:rsid w:val="006F179D"/>
    <w:rsid w:val="006F18D0"/>
    <w:rsid w:val="006F1A5C"/>
    <w:rsid w:val="006F1FFE"/>
    <w:rsid w:val="006F2196"/>
    <w:rsid w:val="006F2AA0"/>
    <w:rsid w:val="006F2C12"/>
    <w:rsid w:val="006F2CE7"/>
    <w:rsid w:val="006F2D93"/>
    <w:rsid w:val="006F2FA1"/>
    <w:rsid w:val="006F32ED"/>
    <w:rsid w:val="006F398B"/>
    <w:rsid w:val="006F3AC5"/>
    <w:rsid w:val="006F3E2A"/>
    <w:rsid w:val="006F451B"/>
    <w:rsid w:val="006F4540"/>
    <w:rsid w:val="006F46A9"/>
    <w:rsid w:val="006F48DE"/>
    <w:rsid w:val="006F4C21"/>
    <w:rsid w:val="006F4E28"/>
    <w:rsid w:val="006F4E5D"/>
    <w:rsid w:val="006F4EA0"/>
    <w:rsid w:val="006F509F"/>
    <w:rsid w:val="006F5448"/>
    <w:rsid w:val="006F589E"/>
    <w:rsid w:val="006F58B5"/>
    <w:rsid w:val="006F58F3"/>
    <w:rsid w:val="006F5D16"/>
    <w:rsid w:val="006F64A3"/>
    <w:rsid w:val="006F6807"/>
    <w:rsid w:val="006F6EBB"/>
    <w:rsid w:val="006F6F3F"/>
    <w:rsid w:val="006F750B"/>
    <w:rsid w:val="006F7747"/>
    <w:rsid w:val="006F7954"/>
    <w:rsid w:val="007000EB"/>
    <w:rsid w:val="00700521"/>
    <w:rsid w:val="00700B98"/>
    <w:rsid w:val="00700D9D"/>
    <w:rsid w:val="00700F75"/>
    <w:rsid w:val="00701249"/>
    <w:rsid w:val="00701393"/>
    <w:rsid w:val="00701566"/>
    <w:rsid w:val="007019F8"/>
    <w:rsid w:val="00701B50"/>
    <w:rsid w:val="00701E6D"/>
    <w:rsid w:val="00702086"/>
    <w:rsid w:val="00702269"/>
    <w:rsid w:val="00702874"/>
    <w:rsid w:val="00702B77"/>
    <w:rsid w:val="00702C86"/>
    <w:rsid w:val="00702EE2"/>
    <w:rsid w:val="00702F62"/>
    <w:rsid w:val="007034ED"/>
    <w:rsid w:val="007037B4"/>
    <w:rsid w:val="0070390D"/>
    <w:rsid w:val="00703929"/>
    <w:rsid w:val="00703EBF"/>
    <w:rsid w:val="0070426D"/>
    <w:rsid w:val="0070437D"/>
    <w:rsid w:val="007045F5"/>
    <w:rsid w:val="007046E0"/>
    <w:rsid w:val="0070482F"/>
    <w:rsid w:val="00704F9C"/>
    <w:rsid w:val="00704FBB"/>
    <w:rsid w:val="00705031"/>
    <w:rsid w:val="007052DA"/>
    <w:rsid w:val="00705706"/>
    <w:rsid w:val="00705DA1"/>
    <w:rsid w:val="00706E53"/>
    <w:rsid w:val="00706FF3"/>
    <w:rsid w:val="0070731E"/>
    <w:rsid w:val="007073DE"/>
    <w:rsid w:val="007074AC"/>
    <w:rsid w:val="007077CD"/>
    <w:rsid w:val="0070790E"/>
    <w:rsid w:val="00707A0A"/>
    <w:rsid w:val="0071085E"/>
    <w:rsid w:val="00710867"/>
    <w:rsid w:val="007108CF"/>
    <w:rsid w:val="00710C32"/>
    <w:rsid w:val="00710DDA"/>
    <w:rsid w:val="007111D2"/>
    <w:rsid w:val="00711285"/>
    <w:rsid w:val="007114D2"/>
    <w:rsid w:val="0071184B"/>
    <w:rsid w:val="00711E5F"/>
    <w:rsid w:val="00711FE3"/>
    <w:rsid w:val="0071204C"/>
    <w:rsid w:val="00712165"/>
    <w:rsid w:val="007122C8"/>
    <w:rsid w:val="00712CD9"/>
    <w:rsid w:val="00712D36"/>
    <w:rsid w:val="00712EBB"/>
    <w:rsid w:val="007137C8"/>
    <w:rsid w:val="00713AA2"/>
    <w:rsid w:val="00713B6F"/>
    <w:rsid w:val="00713CD3"/>
    <w:rsid w:val="00713F9E"/>
    <w:rsid w:val="00713FBF"/>
    <w:rsid w:val="0071418B"/>
    <w:rsid w:val="00714578"/>
    <w:rsid w:val="00714649"/>
    <w:rsid w:val="0071493F"/>
    <w:rsid w:val="00714F22"/>
    <w:rsid w:val="0071536B"/>
    <w:rsid w:val="0071557F"/>
    <w:rsid w:val="00715931"/>
    <w:rsid w:val="0071599D"/>
    <w:rsid w:val="007159BD"/>
    <w:rsid w:val="0071600B"/>
    <w:rsid w:val="007160F3"/>
    <w:rsid w:val="0071633B"/>
    <w:rsid w:val="00716413"/>
    <w:rsid w:val="0071658C"/>
    <w:rsid w:val="0071679B"/>
    <w:rsid w:val="00716B24"/>
    <w:rsid w:val="00716DA3"/>
    <w:rsid w:val="007171B3"/>
    <w:rsid w:val="0071721A"/>
    <w:rsid w:val="007175A4"/>
    <w:rsid w:val="007175DF"/>
    <w:rsid w:val="00717791"/>
    <w:rsid w:val="007177D0"/>
    <w:rsid w:val="0072008E"/>
    <w:rsid w:val="00720397"/>
    <w:rsid w:val="007203F5"/>
    <w:rsid w:val="0072048E"/>
    <w:rsid w:val="0072081C"/>
    <w:rsid w:val="00720E77"/>
    <w:rsid w:val="00721046"/>
    <w:rsid w:val="00721082"/>
    <w:rsid w:val="007211DC"/>
    <w:rsid w:val="0072131D"/>
    <w:rsid w:val="007215FC"/>
    <w:rsid w:val="00722074"/>
    <w:rsid w:val="00722263"/>
    <w:rsid w:val="00722CB7"/>
    <w:rsid w:val="00722FE4"/>
    <w:rsid w:val="00723163"/>
    <w:rsid w:val="007233D8"/>
    <w:rsid w:val="007233DD"/>
    <w:rsid w:val="007236A3"/>
    <w:rsid w:val="00723801"/>
    <w:rsid w:val="00723B4E"/>
    <w:rsid w:val="007247C1"/>
    <w:rsid w:val="00724907"/>
    <w:rsid w:val="007249D1"/>
    <w:rsid w:val="00724A35"/>
    <w:rsid w:val="00724B94"/>
    <w:rsid w:val="00724F32"/>
    <w:rsid w:val="00725369"/>
    <w:rsid w:val="007259B0"/>
    <w:rsid w:val="00725C59"/>
    <w:rsid w:val="00726369"/>
    <w:rsid w:val="007267E1"/>
    <w:rsid w:val="00726816"/>
    <w:rsid w:val="0072692F"/>
    <w:rsid w:val="00726950"/>
    <w:rsid w:val="00726AE0"/>
    <w:rsid w:val="00726D77"/>
    <w:rsid w:val="00726F0D"/>
    <w:rsid w:val="0072709A"/>
    <w:rsid w:val="0072726A"/>
    <w:rsid w:val="007272BC"/>
    <w:rsid w:val="0072771D"/>
    <w:rsid w:val="0072780D"/>
    <w:rsid w:val="00727833"/>
    <w:rsid w:val="00727E19"/>
    <w:rsid w:val="007300A1"/>
    <w:rsid w:val="007308BB"/>
    <w:rsid w:val="00730AE0"/>
    <w:rsid w:val="00730B3A"/>
    <w:rsid w:val="00730B9B"/>
    <w:rsid w:val="00731338"/>
    <w:rsid w:val="00731CEC"/>
    <w:rsid w:val="00731E7E"/>
    <w:rsid w:val="00731ED8"/>
    <w:rsid w:val="00731FAE"/>
    <w:rsid w:val="0073242A"/>
    <w:rsid w:val="0073273A"/>
    <w:rsid w:val="00732923"/>
    <w:rsid w:val="00732939"/>
    <w:rsid w:val="00732B55"/>
    <w:rsid w:val="00732B56"/>
    <w:rsid w:val="00733629"/>
    <w:rsid w:val="00733676"/>
    <w:rsid w:val="0073367F"/>
    <w:rsid w:val="007336EE"/>
    <w:rsid w:val="00733827"/>
    <w:rsid w:val="0073397D"/>
    <w:rsid w:val="00733D46"/>
    <w:rsid w:val="007340CD"/>
    <w:rsid w:val="0073413F"/>
    <w:rsid w:val="0073434D"/>
    <w:rsid w:val="00734617"/>
    <w:rsid w:val="0073492C"/>
    <w:rsid w:val="00734D32"/>
    <w:rsid w:val="007353F8"/>
    <w:rsid w:val="007356F6"/>
    <w:rsid w:val="0073597D"/>
    <w:rsid w:val="007359CF"/>
    <w:rsid w:val="00735BB7"/>
    <w:rsid w:val="00735BCF"/>
    <w:rsid w:val="00735C7D"/>
    <w:rsid w:val="00736569"/>
    <w:rsid w:val="00736A36"/>
    <w:rsid w:val="00736BEC"/>
    <w:rsid w:val="00736D47"/>
    <w:rsid w:val="00737354"/>
    <w:rsid w:val="0073768A"/>
    <w:rsid w:val="007377BB"/>
    <w:rsid w:val="00737900"/>
    <w:rsid w:val="007379E3"/>
    <w:rsid w:val="00737C76"/>
    <w:rsid w:val="00737FFB"/>
    <w:rsid w:val="00740288"/>
    <w:rsid w:val="00740654"/>
    <w:rsid w:val="00740A04"/>
    <w:rsid w:val="00740A37"/>
    <w:rsid w:val="00740A94"/>
    <w:rsid w:val="00740F24"/>
    <w:rsid w:val="00740F47"/>
    <w:rsid w:val="00741077"/>
    <w:rsid w:val="00741147"/>
    <w:rsid w:val="00741531"/>
    <w:rsid w:val="007415C5"/>
    <w:rsid w:val="007416E1"/>
    <w:rsid w:val="007417A9"/>
    <w:rsid w:val="007419CA"/>
    <w:rsid w:val="00741ABF"/>
    <w:rsid w:val="00741B95"/>
    <w:rsid w:val="00741C09"/>
    <w:rsid w:val="00741C71"/>
    <w:rsid w:val="00741E04"/>
    <w:rsid w:val="00741ED2"/>
    <w:rsid w:val="00741F46"/>
    <w:rsid w:val="0074218A"/>
    <w:rsid w:val="0074219E"/>
    <w:rsid w:val="00742287"/>
    <w:rsid w:val="0074230A"/>
    <w:rsid w:val="00742421"/>
    <w:rsid w:val="007429F0"/>
    <w:rsid w:val="007433DE"/>
    <w:rsid w:val="007433FE"/>
    <w:rsid w:val="007435F1"/>
    <w:rsid w:val="0074365A"/>
    <w:rsid w:val="00743683"/>
    <w:rsid w:val="00743814"/>
    <w:rsid w:val="00743892"/>
    <w:rsid w:val="007439CF"/>
    <w:rsid w:val="00743C5C"/>
    <w:rsid w:val="00743C8A"/>
    <w:rsid w:val="00743F73"/>
    <w:rsid w:val="00743F91"/>
    <w:rsid w:val="007441CD"/>
    <w:rsid w:val="0074426B"/>
    <w:rsid w:val="0074429D"/>
    <w:rsid w:val="007442B9"/>
    <w:rsid w:val="007447DE"/>
    <w:rsid w:val="00744860"/>
    <w:rsid w:val="00744DED"/>
    <w:rsid w:val="00745016"/>
    <w:rsid w:val="007450ED"/>
    <w:rsid w:val="00745176"/>
    <w:rsid w:val="007451D3"/>
    <w:rsid w:val="00745251"/>
    <w:rsid w:val="0074557F"/>
    <w:rsid w:val="0074591C"/>
    <w:rsid w:val="00746017"/>
    <w:rsid w:val="007460BE"/>
    <w:rsid w:val="00746315"/>
    <w:rsid w:val="007468CB"/>
    <w:rsid w:val="00746F68"/>
    <w:rsid w:val="00747354"/>
    <w:rsid w:val="0074747F"/>
    <w:rsid w:val="00747505"/>
    <w:rsid w:val="007476CD"/>
    <w:rsid w:val="007476DD"/>
    <w:rsid w:val="00747D28"/>
    <w:rsid w:val="00747EEC"/>
    <w:rsid w:val="0075020F"/>
    <w:rsid w:val="0075036F"/>
    <w:rsid w:val="00750AF1"/>
    <w:rsid w:val="00750B9B"/>
    <w:rsid w:val="00750BF4"/>
    <w:rsid w:val="0075105B"/>
    <w:rsid w:val="00751154"/>
    <w:rsid w:val="007513EA"/>
    <w:rsid w:val="0075173A"/>
    <w:rsid w:val="0075187D"/>
    <w:rsid w:val="00751E36"/>
    <w:rsid w:val="00751F79"/>
    <w:rsid w:val="00752004"/>
    <w:rsid w:val="00752144"/>
    <w:rsid w:val="007522BC"/>
    <w:rsid w:val="00752DA3"/>
    <w:rsid w:val="007535AE"/>
    <w:rsid w:val="00753EBB"/>
    <w:rsid w:val="0075414A"/>
    <w:rsid w:val="0075482D"/>
    <w:rsid w:val="00754876"/>
    <w:rsid w:val="00754ED5"/>
    <w:rsid w:val="00754F90"/>
    <w:rsid w:val="007552CF"/>
    <w:rsid w:val="00755750"/>
    <w:rsid w:val="00755A72"/>
    <w:rsid w:val="007563EF"/>
    <w:rsid w:val="00756845"/>
    <w:rsid w:val="0075692C"/>
    <w:rsid w:val="00756967"/>
    <w:rsid w:val="00756B76"/>
    <w:rsid w:val="00757003"/>
    <w:rsid w:val="00757051"/>
    <w:rsid w:val="00757111"/>
    <w:rsid w:val="00757BC9"/>
    <w:rsid w:val="00757DD5"/>
    <w:rsid w:val="00757FEA"/>
    <w:rsid w:val="00760137"/>
    <w:rsid w:val="007601A3"/>
    <w:rsid w:val="00760D36"/>
    <w:rsid w:val="00760DC3"/>
    <w:rsid w:val="00761366"/>
    <w:rsid w:val="00761367"/>
    <w:rsid w:val="007615A2"/>
    <w:rsid w:val="007615A4"/>
    <w:rsid w:val="007617DB"/>
    <w:rsid w:val="00761B10"/>
    <w:rsid w:val="00761D4B"/>
    <w:rsid w:val="00761E18"/>
    <w:rsid w:val="007627BE"/>
    <w:rsid w:val="0076283A"/>
    <w:rsid w:val="00763154"/>
    <w:rsid w:val="007633AD"/>
    <w:rsid w:val="007633F3"/>
    <w:rsid w:val="00763C1A"/>
    <w:rsid w:val="00763FDA"/>
    <w:rsid w:val="00764151"/>
    <w:rsid w:val="007641E9"/>
    <w:rsid w:val="0076596C"/>
    <w:rsid w:val="00765A6F"/>
    <w:rsid w:val="00765B87"/>
    <w:rsid w:val="00765C6B"/>
    <w:rsid w:val="00766085"/>
    <w:rsid w:val="0076655A"/>
    <w:rsid w:val="00766E0E"/>
    <w:rsid w:val="00766E2C"/>
    <w:rsid w:val="0076727F"/>
    <w:rsid w:val="0076732B"/>
    <w:rsid w:val="00767357"/>
    <w:rsid w:val="00767477"/>
    <w:rsid w:val="007677E0"/>
    <w:rsid w:val="007679D5"/>
    <w:rsid w:val="00767BDE"/>
    <w:rsid w:val="00767C0A"/>
    <w:rsid w:val="00770023"/>
    <w:rsid w:val="007700B3"/>
    <w:rsid w:val="00770476"/>
    <w:rsid w:val="007705D8"/>
    <w:rsid w:val="007709E6"/>
    <w:rsid w:val="00770E15"/>
    <w:rsid w:val="00770E5E"/>
    <w:rsid w:val="007713CF"/>
    <w:rsid w:val="0077165A"/>
    <w:rsid w:val="007719EE"/>
    <w:rsid w:val="00771A8C"/>
    <w:rsid w:val="00771CDE"/>
    <w:rsid w:val="00771CE8"/>
    <w:rsid w:val="00771DB2"/>
    <w:rsid w:val="00771EE2"/>
    <w:rsid w:val="00771F35"/>
    <w:rsid w:val="00772099"/>
    <w:rsid w:val="0077217D"/>
    <w:rsid w:val="007721C4"/>
    <w:rsid w:val="0077253A"/>
    <w:rsid w:val="007725B2"/>
    <w:rsid w:val="007725FF"/>
    <w:rsid w:val="0077272A"/>
    <w:rsid w:val="0077277A"/>
    <w:rsid w:val="007727A5"/>
    <w:rsid w:val="00772A17"/>
    <w:rsid w:val="00772D0B"/>
    <w:rsid w:val="00772EF1"/>
    <w:rsid w:val="00772EFB"/>
    <w:rsid w:val="00773999"/>
    <w:rsid w:val="00773B42"/>
    <w:rsid w:val="00773B4F"/>
    <w:rsid w:val="00774015"/>
    <w:rsid w:val="00774698"/>
    <w:rsid w:val="00774736"/>
    <w:rsid w:val="00774739"/>
    <w:rsid w:val="007747A5"/>
    <w:rsid w:val="0077496C"/>
    <w:rsid w:val="00774AEB"/>
    <w:rsid w:val="007754AE"/>
    <w:rsid w:val="00775719"/>
    <w:rsid w:val="007766EB"/>
    <w:rsid w:val="00776DB5"/>
    <w:rsid w:val="00776DBB"/>
    <w:rsid w:val="00777802"/>
    <w:rsid w:val="00780129"/>
    <w:rsid w:val="007801FA"/>
    <w:rsid w:val="0078036E"/>
    <w:rsid w:val="00780503"/>
    <w:rsid w:val="0078088D"/>
    <w:rsid w:val="00780D8F"/>
    <w:rsid w:val="00780DFA"/>
    <w:rsid w:val="007811F3"/>
    <w:rsid w:val="00781407"/>
    <w:rsid w:val="0078159E"/>
    <w:rsid w:val="00781621"/>
    <w:rsid w:val="00781EFD"/>
    <w:rsid w:val="00781FB8"/>
    <w:rsid w:val="007821D3"/>
    <w:rsid w:val="007821E7"/>
    <w:rsid w:val="007822A9"/>
    <w:rsid w:val="0078235D"/>
    <w:rsid w:val="007825EA"/>
    <w:rsid w:val="00782686"/>
    <w:rsid w:val="007828F6"/>
    <w:rsid w:val="00782B19"/>
    <w:rsid w:val="00782C36"/>
    <w:rsid w:val="007833A9"/>
    <w:rsid w:val="00783896"/>
    <w:rsid w:val="00783B80"/>
    <w:rsid w:val="00783CEF"/>
    <w:rsid w:val="00783F7F"/>
    <w:rsid w:val="00784050"/>
    <w:rsid w:val="0078432E"/>
    <w:rsid w:val="00784364"/>
    <w:rsid w:val="00784748"/>
    <w:rsid w:val="00784B34"/>
    <w:rsid w:val="00785149"/>
    <w:rsid w:val="0078561B"/>
    <w:rsid w:val="00785BE2"/>
    <w:rsid w:val="00785E61"/>
    <w:rsid w:val="007862CA"/>
    <w:rsid w:val="00786A65"/>
    <w:rsid w:val="00786E93"/>
    <w:rsid w:val="0078727E"/>
    <w:rsid w:val="00787409"/>
    <w:rsid w:val="007874AA"/>
    <w:rsid w:val="00787581"/>
    <w:rsid w:val="007879BB"/>
    <w:rsid w:val="00787A2C"/>
    <w:rsid w:val="00787A72"/>
    <w:rsid w:val="0079001F"/>
    <w:rsid w:val="00790029"/>
    <w:rsid w:val="00790520"/>
    <w:rsid w:val="0079101A"/>
    <w:rsid w:val="00791225"/>
    <w:rsid w:val="00791460"/>
    <w:rsid w:val="00791536"/>
    <w:rsid w:val="00791B39"/>
    <w:rsid w:val="00791FDF"/>
    <w:rsid w:val="00792410"/>
    <w:rsid w:val="0079248C"/>
    <w:rsid w:val="00792B44"/>
    <w:rsid w:val="00792BB5"/>
    <w:rsid w:val="00792F43"/>
    <w:rsid w:val="007935C0"/>
    <w:rsid w:val="00793733"/>
    <w:rsid w:val="00793861"/>
    <w:rsid w:val="00793A2A"/>
    <w:rsid w:val="00793E51"/>
    <w:rsid w:val="00793F3C"/>
    <w:rsid w:val="0079494E"/>
    <w:rsid w:val="00794A1F"/>
    <w:rsid w:val="00794C62"/>
    <w:rsid w:val="00794F0F"/>
    <w:rsid w:val="007950ED"/>
    <w:rsid w:val="007951DD"/>
    <w:rsid w:val="007952AF"/>
    <w:rsid w:val="007952B0"/>
    <w:rsid w:val="0079562F"/>
    <w:rsid w:val="007956FC"/>
    <w:rsid w:val="00795A7C"/>
    <w:rsid w:val="00795E87"/>
    <w:rsid w:val="0079635F"/>
    <w:rsid w:val="00796468"/>
    <w:rsid w:val="00796558"/>
    <w:rsid w:val="00796A15"/>
    <w:rsid w:val="00796F04"/>
    <w:rsid w:val="0079705A"/>
    <w:rsid w:val="00797063"/>
    <w:rsid w:val="00797336"/>
    <w:rsid w:val="00797647"/>
    <w:rsid w:val="007976FF"/>
    <w:rsid w:val="0079796B"/>
    <w:rsid w:val="007979DA"/>
    <w:rsid w:val="00797D8B"/>
    <w:rsid w:val="00797F13"/>
    <w:rsid w:val="007A06D6"/>
    <w:rsid w:val="007A0701"/>
    <w:rsid w:val="007A0842"/>
    <w:rsid w:val="007A0888"/>
    <w:rsid w:val="007A09B9"/>
    <w:rsid w:val="007A0A30"/>
    <w:rsid w:val="007A0BA5"/>
    <w:rsid w:val="007A0D9A"/>
    <w:rsid w:val="007A0E41"/>
    <w:rsid w:val="007A1132"/>
    <w:rsid w:val="007A120B"/>
    <w:rsid w:val="007A139A"/>
    <w:rsid w:val="007A14E2"/>
    <w:rsid w:val="007A1B01"/>
    <w:rsid w:val="007A1C4C"/>
    <w:rsid w:val="007A2182"/>
    <w:rsid w:val="007A223E"/>
    <w:rsid w:val="007A2690"/>
    <w:rsid w:val="007A2945"/>
    <w:rsid w:val="007A2A85"/>
    <w:rsid w:val="007A2AC6"/>
    <w:rsid w:val="007A2B70"/>
    <w:rsid w:val="007A2E4A"/>
    <w:rsid w:val="007A2E54"/>
    <w:rsid w:val="007A2F4A"/>
    <w:rsid w:val="007A3919"/>
    <w:rsid w:val="007A3C79"/>
    <w:rsid w:val="007A42D8"/>
    <w:rsid w:val="007A43B1"/>
    <w:rsid w:val="007A49A0"/>
    <w:rsid w:val="007A49B6"/>
    <w:rsid w:val="007A4B02"/>
    <w:rsid w:val="007A4CDD"/>
    <w:rsid w:val="007A4F05"/>
    <w:rsid w:val="007A4FE7"/>
    <w:rsid w:val="007A50AA"/>
    <w:rsid w:val="007A5433"/>
    <w:rsid w:val="007A54BD"/>
    <w:rsid w:val="007A578E"/>
    <w:rsid w:val="007A58A4"/>
    <w:rsid w:val="007A5DE5"/>
    <w:rsid w:val="007A5E76"/>
    <w:rsid w:val="007A69A0"/>
    <w:rsid w:val="007A6A50"/>
    <w:rsid w:val="007A6C28"/>
    <w:rsid w:val="007A6C2C"/>
    <w:rsid w:val="007A6F44"/>
    <w:rsid w:val="007A6FDB"/>
    <w:rsid w:val="007A7858"/>
    <w:rsid w:val="007A7B49"/>
    <w:rsid w:val="007A7DF0"/>
    <w:rsid w:val="007A7EAB"/>
    <w:rsid w:val="007B00ED"/>
    <w:rsid w:val="007B0187"/>
    <w:rsid w:val="007B03E9"/>
    <w:rsid w:val="007B0784"/>
    <w:rsid w:val="007B07E6"/>
    <w:rsid w:val="007B08D0"/>
    <w:rsid w:val="007B0AD3"/>
    <w:rsid w:val="007B0DD4"/>
    <w:rsid w:val="007B1192"/>
    <w:rsid w:val="007B1364"/>
    <w:rsid w:val="007B1CF7"/>
    <w:rsid w:val="007B2AB8"/>
    <w:rsid w:val="007B2B82"/>
    <w:rsid w:val="007B2DF2"/>
    <w:rsid w:val="007B34AD"/>
    <w:rsid w:val="007B3B82"/>
    <w:rsid w:val="007B3CCD"/>
    <w:rsid w:val="007B3CFE"/>
    <w:rsid w:val="007B46A4"/>
    <w:rsid w:val="007B48D3"/>
    <w:rsid w:val="007B4913"/>
    <w:rsid w:val="007B4E78"/>
    <w:rsid w:val="007B4F93"/>
    <w:rsid w:val="007B528C"/>
    <w:rsid w:val="007B531A"/>
    <w:rsid w:val="007B54EE"/>
    <w:rsid w:val="007B56BF"/>
    <w:rsid w:val="007B5911"/>
    <w:rsid w:val="007B5DAB"/>
    <w:rsid w:val="007B5DAC"/>
    <w:rsid w:val="007B67B8"/>
    <w:rsid w:val="007B6B15"/>
    <w:rsid w:val="007B6BA0"/>
    <w:rsid w:val="007B6EA1"/>
    <w:rsid w:val="007B6F72"/>
    <w:rsid w:val="007B710B"/>
    <w:rsid w:val="007B742F"/>
    <w:rsid w:val="007B769F"/>
    <w:rsid w:val="007B783E"/>
    <w:rsid w:val="007C0236"/>
    <w:rsid w:val="007C0464"/>
    <w:rsid w:val="007C0534"/>
    <w:rsid w:val="007C11E2"/>
    <w:rsid w:val="007C1505"/>
    <w:rsid w:val="007C1600"/>
    <w:rsid w:val="007C165A"/>
    <w:rsid w:val="007C1B39"/>
    <w:rsid w:val="007C1CB7"/>
    <w:rsid w:val="007C1F37"/>
    <w:rsid w:val="007C1F75"/>
    <w:rsid w:val="007C2235"/>
    <w:rsid w:val="007C245E"/>
    <w:rsid w:val="007C2B27"/>
    <w:rsid w:val="007C2BAC"/>
    <w:rsid w:val="007C2DA3"/>
    <w:rsid w:val="007C2EAD"/>
    <w:rsid w:val="007C2EB4"/>
    <w:rsid w:val="007C3072"/>
    <w:rsid w:val="007C30D4"/>
    <w:rsid w:val="007C33E3"/>
    <w:rsid w:val="007C33F3"/>
    <w:rsid w:val="007C354B"/>
    <w:rsid w:val="007C37AF"/>
    <w:rsid w:val="007C392E"/>
    <w:rsid w:val="007C3B8B"/>
    <w:rsid w:val="007C4319"/>
    <w:rsid w:val="007C44C5"/>
    <w:rsid w:val="007C44FF"/>
    <w:rsid w:val="007C4516"/>
    <w:rsid w:val="007C47FD"/>
    <w:rsid w:val="007C48AE"/>
    <w:rsid w:val="007C4946"/>
    <w:rsid w:val="007C4A24"/>
    <w:rsid w:val="007C4BB0"/>
    <w:rsid w:val="007C4BDF"/>
    <w:rsid w:val="007C540F"/>
    <w:rsid w:val="007C54BC"/>
    <w:rsid w:val="007C55AC"/>
    <w:rsid w:val="007C5D07"/>
    <w:rsid w:val="007C63EA"/>
    <w:rsid w:val="007C6E79"/>
    <w:rsid w:val="007C7088"/>
    <w:rsid w:val="007C7119"/>
    <w:rsid w:val="007C7384"/>
    <w:rsid w:val="007C7B63"/>
    <w:rsid w:val="007C7B7D"/>
    <w:rsid w:val="007C7BED"/>
    <w:rsid w:val="007CF457"/>
    <w:rsid w:val="007D0223"/>
    <w:rsid w:val="007D053A"/>
    <w:rsid w:val="007D070A"/>
    <w:rsid w:val="007D0828"/>
    <w:rsid w:val="007D0870"/>
    <w:rsid w:val="007D09C2"/>
    <w:rsid w:val="007D0B53"/>
    <w:rsid w:val="007D0CBE"/>
    <w:rsid w:val="007D1F06"/>
    <w:rsid w:val="007D216C"/>
    <w:rsid w:val="007D2CB6"/>
    <w:rsid w:val="007D2D45"/>
    <w:rsid w:val="007D3176"/>
    <w:rsid w:val="007D335F"/>
    <w:rsid w:val="007D35A5"/>
    <w:rsid w:val="007D365E"/>
    <w:rsid w:val="007D3AD7"/>
    <w:rsid w:val="007D3CC8"/>
    <w:rsid w:val="007D3D4D"/>
    <w:rsid w:val="007D400A"/>
    <w:rsid w:val="007D405A"/>
    <w:rsid w:val="007D41F2"/>
    <w:rsid w:val="007D42F9"/>
    <w:rsid w:val="007D44FF"/>
    <w:rsid w:val="007D45D1"/>
    <w:rsid w:val="007D466E"/>
    <w:rsid w:val="007D4C3A"/>
    <w:rsid w:val="007D4D43"/>
    <w:rsid w:val="007D4D53"/>
    <w:rsid w:val="007D4FBC"/>
    <w:rsid w:val="007D5071"/>
    <w:rsid w:val="007D5098"/>
    <w:rsid w:val="007D5224"/>
    <w:rsid w:val="007D5B4F"/>
    <w:rsid w:val="007D5DFA"/>
    <w:rsid w:val="007D614E"/>
    <w:rsid w:val="007D62AB"/>
    <w:rsid w:val="007D6481"/>
    <w:rsid w:val="007D64A1"/>
    <w:rsid w:val="007D676B"/>
    <w:rsid w:val="007D70EB"/>
    <w:rsid w:val="007D7354"/>
    <w:rsid w:val="007D772C"/>
    <w:rsid w:val="007D79B4"/>
    <w:rsid w:val="007E00E7"/>
    <w:rsid w:val="007E0199"/>
    <w:rsid w:val="007E01F1"/>
    <w:rsid w:val="007E0388"/>
    <w:rsid w:val="007E0483"/>
    <w:rsid w:val="007E04CF"/>
    <w:rsid w:val="007E0917"/>
    <w:rsid w:val="007E0A17"/>
    <w:rsid w:val="007E0B93"/>
    <w:rsid w:val="007E0B96"/>
    <w:rsid w:val="007E0D38"/>
    <w:rsid w:val="007E0D7A"/>
    <w:rsid w:val="007E0F0F"/>
    <w:rsid w:val="007E0F19"/>
    <w:rsid w:val="007E1019"/>
    <w:rsid w:val="007E1555"/>
    <w:rsid w:val="007E18F8"/>
    <w:rsid w:val="007E1B53"/>
    <w:rsid w:val="007E2563"/>
    <w:rsid w:val="007E292A"/>
    <w:rsid w:val="007E2EB7"/>
    <w:rsid w:val="007E38B5"/>
    <w:rsid w:val="007E38EA"/>
    <w:rsid w:val="007E3985"/>
    <w:rsid w:val="007E3AC6"/>
    <w:rsid w:val="007E3D7F"/>
    <w:rsid w:val="007E4144"/>
    <w:rsid w:val="007E41FC"/>
    <w:rsid w:val="007E4451"/>
    <w:rsid w:val="007E4541"/>
    <w:rsid w:val="007E484E"/>
    <w:rsid w:val="007E4BE7"/>
    <w:rsid w:val="007E50A9"/>
    <w:rsid w:val="007E53D5"/>
    <w:rsid w:val="007E5447"/>
    <w:rsid w:val="007E54B9"/>
    <w:rsid w:val="007E55EC"/>
    <w:rsid w:val="007E5673"/>
    <w:rsid w:val="007E5CE1"/>
    <w:rsid w:val="007E5E28"/>
    <w:rsid w:val="007E5EEA"/>
    <w:rsid w:val="007E5FF2"/>
    <w:rsid w:val="007E64E7"/>
    <w:rsid w:val="007E6566"/>
    <w:rsid w:val="007E679F"/>
    <w:rsid w:val="007E6C5B"/>
    <w:rsid w:val="007E6DE7"/>
    <w:rsid w:val="007E6FAF"/>
    <w:rsid w:val="007E745F"/>
    <w:rsid w:val="007E74E6"/>
    <w:rsid w:val="007E753E"/>
    <w:rsid w:val="007E7732"/>
    <w:rsid w:val="007E7B6D"/>
    <w:rsid w:val="007E7E6B"/>
    <w:rsid w:val="007E7ECD"/>
    <w:rsid w:val="007E7EDE"/>
    <w:rsid w:val="007F018A"/>
    <w:rsid w:val="007F069F"/>
    <w:rsid w:val="007F0F71"/>
    <w:rsid w:val="007F123C"/>
    <w:rsid w:val="007F1692"/>
    <w:rsid w:val="007F1ED5"/>
    <w:rsid w:val="007F1F45"/>
    <w:rsid w:val="007F2299"/>
    <w:rsid w:val="007F2406"/>
    <w:rsid w:val="007F25E4"/>
    <w:rsid w:val="007F2735"/>
    <w:rsid w:val="007F2ABD"/>
    <w:rsid w:val="007F2ADE"/>
    <w:rsid w:val="007F3544"/>
    <w:rsid w:val="007F35BF"/>
    <w:rsid w:val="007F35CD"/>
    <w:rsid w:val="007F37E4"/>
    <w:rsid w:val="007F3C6A"/>
    <w:rsid w:val="007F4041"/>
    <w:rsid w:val="007F448B"/>
    <w:rsid w:val="007F44FF"/>
    <w:rsid w:val="007F4B07"/>
    <w:rsid w:val="007F4B22"/>
    <w:rsid w:val="007F4EDC"/>
    <w:rsid w:val="007F4FD6"/>
    <w:rsid w:val="007F5681"/>
    <w:rsid w:val="007F580C"/>
    <w:rsid w:val="007F5850"/>
    <w:rsid w:val="007F59BD"/>
    <w:rsid w:val="007F59FB"/>
    <w:rsid w:val="007F5E26"/>
    <w:rsid w:val="007F604C"/>
    <w:rsid w:val="007F6556"/>
    <w:rsid w:val="007F6926"/>
    <w:rsid w:val="007F69FE"/>
    <w:rsid w:val="007F6BEC"/>
    <w:rsid w:val="007F6CB9"/>
    <w:rsid w:val="007F6D38"/>
    <w:rsid w:val="007F7094"/>
    <w:rsid w:val="007F7153"/>
    <w:rsid w:val="007F767C"/>
    <w:rsid w:val="007F7A5D"/>
    <w:rsid w:val="008000CE"/>
    <w:rsid w:val="00800221"/>
    <w:rsid w:val="00800B15"/>
    <w:rsid w:val="00800BBF"/>
    <w:rsid w:val="00800CF7"/>
    <w:rsid w:val="00800D1E"/>
    <w:rsid w:val="00800D57"/>
    <w:rsid w:val="008011E5"/>
    <w:rsid w:val="008014CD"/>
    <w:rsid w:val="00801588"/>
    <w:rsid w:val="008015AA"/>
    <w:rsid w:val="00801659"/>
    <w:rsid w:val="0080173D"/>
    <w:rsid w:val="00801A4F"/>
    <w:rsid w:val="00801FB7"/>
    <w:rsid w:val="00802073"/>
    <w:rsid w:val="0080217B"/>
    <w:rsid w:val="00802320"/>
    <w:rsid w:val="00802A4E"/>
    <w:rsid w:val="00802BEB"/>
    <w:rsid w:val="00802C5F"/>
    <w:rsid w:val="00802EEE"/>
    <w:rsid w:val="0080314C"/>
    <w:rsid w:val="0080319B"/>
    <w:rsid w:val="00803229"/>
    <w:rsid w:val="0080381B"/>
    <w:rsid w:val="00803A93"/>
    <w:rsid w:val="00803D1E"/>
    <w:rsid w:val="00803E3B"/>
    <w:rsid w:val="00804050"/>
    <w:rsid w:val="008040DD"/>
    <w:rsid w:val="0080458A"/>
    <w:rsid w:val="00804646"/>
    <w:rsid w:val="00804977"/>
    <w:rsid w:val="0080513E"/>
    <w:rsid w:val="00805152"/>
    <w:rsid w:val="008054D4"/>
    <w:rsid w:val="0080556E"/>
    <w:rsid w:val="00805688"/>
    <w:rsid w:val="00805763"/>
    <w:rsid w:val="00805B98"/>
    <w:rsid w:val="008064E7"/>
    <w:rsid w:val="008065A3"/>
    <w:rsid w:val="00807119"/>
    <w:rsid w:val="00807774"/>
    <w:rsid w:val="00807861"/>
    <w:rsid w:val="00807A16"/>
    <w:rsid w:val="00807A2E"/>
    <w:rsid w:val="00807B5E"/>
    <w:rsid w:val="00810133"/>
    <w:rsid w:val="00810806"/>
    <w:rsid w:val="00810C59"/>
    <w:rsid w:val="00810ED6"/>
    <w:rsid w:val="00810F94"/>
    <w:rsid w:val="00811481"/>
    <w:rsid w:val="008118AD"/>
    <w:rsid w:val="008118C9"/>
    <w:rsid w:val="008118ED"/>
    <w:rsid w:val="008119E9"/>
    <w:rsid w:val="00811A1D"/>
    <w:rsid w:val="00811A5D"/>
    <w:rsid w:val="0081223D"/>
    <w:rsid w:val="008127DA"/>
    <w:rsid w:val="00812A96"/>
    <w:rsid w:val="00813225"/>
    <w:rsid w:val="00813313"/>
    <w:rsid w:val="008133A7"/>
    <w:rsid w:val="008134ED"/>
    <w:rsid w:val="00813551"/>
    <w:rsid w:val="008135C9"/>
    <w:rsid w:val="008139CE"/>
    <w:rsid w:val="00813A4D"/>
    <w:rsid w:val="00813BCF"/>
    <w:rsid w:val="00813C3B"/>
    <w:rsid w:val="00813D7F"/>
    <w:rsid w:val="00813F12"/>
    <w:rsid w:val="00814201"/>
    <w:rsid w:val="00814241"/>
    <w:rsid w:val="00814E35"/>
    <w:rsid w:val="00814E7E"/>
    <w:rsid w:val="0081523A"/>
    <w:rsid w:val="00815E44"/>
    <w:rsid w:val="00815E55"/>
    <w:rsid w:val="00816284"/>
    <w:rsid w:val="00816396"/>
    <w:rsid w:val="0081676B"/>
    <w:rsid w:val="008168E0"/>
    <w:rsid w:val="00816A46"/>
    <w:rsid w:val="00816D4A"/>
    <w:rsid w:val="00817607"/>
    <w:rsid w:val="008178F8"/>
    <w:rsid w:val="00817CE2"/>
    <w:rsid w:val="00817D6E"/>
    <w:rsid w:val="00817F9A"/>
    <w:rsid w:val="008200BB"/>
    <w:rsid w:val="008201B0"/>
    <w:rsid w:val="00820213"/>
    <w:rsid w:val="00820380"/>
    <w:rsid w:val="00820416"/>
    <w:rsid w:val="00820566"/>
    <w:rsid w:val="00820AE1"/>
    <w:rsid w:val="00820D75"/>
    <w:rsid w:val="00820F3F"/>
    <w:rsid w:val="008214AE"/>
    <w:rsid w:val="008219D2"/>
    <w:rsid w:val="00821C13"/>
    <w:rsid w:val="00821D7C"/>
    <w:rsid w:val="008220A2"/>
    <w:rsid w:val="0082225A"/>
    <w:rsid w:val="008222FB"/>
    <w:rsid w:val="00822352"/>
    <w:rsid w:val="00822411"/>
    <w:rsid w:val="008226D5"/>
    <w:rsid w:val="00822BD8"/>
    <w:rsid w:val="00822D87"/>
    <w:rsid w:val="00822F60"/>
    <w:rsid w:val="00823096"/>
    <w:rsid w:val="008233FC"/>
    <w:rsid w:val="008235EE"/>
    <w:rsid w:val="00823974"/>
    <w:rsid w:val="00823A38"/>
    <w:rsid w:val="00823B07"/>
    <w:rsid w:val="0082404B"/>
    <w:rsid w:val="00824304"/>
    <w:rsid w:val="008243E9"/>
    <w:rsid w:val="00824B4C"/>
    <w:rsid w:val="00824E15"/>
    <w:rsid w:val="00824E6F"/>
    <w:rsid w:val="00824F85"/>
    <w:rsid w:val="00824FFA"/>
    <w:rsid w:val="0082535D"/>
    <w:rsid w:val="008253D4"/>
    <w:rsid w:val="00825761"/>
    <w:rsid w:val="008259E4"/>
    <w:rsid w:val="00826805"/>
    <w:rsid w:val="00826977"/>
    <w:rsid w:val="00826A74"/>
    <w:rsid w:val="00826B29"/>
    <w:rsid w:val="00826CE9"/>
    <w:rsid w:val="00826D3C"/>
    <w:rsid w:val="008270CD"/>
    <w:rsid w:val="008274D7"/>
    <w:rsid w:val="00827AB2"/>
    <w:rsid w:val="00827C04"/>
    <w:rsid w:val="00827ED2"/>
    <w:rsid w:val="008300F2"/>
    <w:rsid w:val="00830591"/>
    <w:rsid w:val="00830679"/>
    <w:rsid w:val="00830D6A"/>
    <w:rsid w:val="00830D72"/>
    <w:rsid w:val="00830F1D"/>
    <w:rsid w:val="00830F52"/>
    <w:rsid w:val="008310E9"/>
    <w:rsid w:val="008310F2"/>
    <w:rsid w:val="00831102"/>
    <w:rsid w:val="00831627"/>
    <w:rsid w:val="00831DCB"/>
    <w:rsid w:val="00832153"/>
    <w:rsid w:val="00832184"/>
    <w:rsid w:val="00832501"/>
    <w:rsid w:val="0083259C"/>
    <w:rsid w:val="00832B76"/>
    <w:rsid w:val="00832C07"/>
    <w:rsid w:val="00832D4E"/>
    <w:rsid w:val="00832EBB"/>
    <w:rsid w:val="00833196"/>
    <w:rsid w:val="0083322D"/>
    <w:rsid w:val="008336EF"/>
    <w:rsid w:val="008339D6"/>
    <w:rsid w:val="00833EA9"/>
    <w:rsid w:val="00833EB7"/>
    <w:rsid w:val="008340C9"/>
    <w:rsid w:val="00834110"/>
    <w:rsid w:val="00834B2C"/>
    <w:rsid w:val="00834D5A"/>
    <w:rsid w:val="00834DED"/>
    <w:rsid w:val="00834EDF"/>
    <w:rsid w:val="00835015"/>
    <w:rsid w:val="0083531E"/>
    <w:rsid w:val="00835503"/>
    <w:rsid w:val="00835CFB"/>
    <w:rsid w:val="0083636D"/>
    <w:rsid w:val="008366AB"/>
    <w:rsid w:val="00836CBF"/>
    <w:rsid w:val="00836D59"/>
    <w:rsid w:val="00836FD4"/>
    <w:rsid w:val="0083721A"/>
    <w:rsid w:val="00837BB9"/>
    <w:rsid w:val="00837E99"/>
    <w:rsid w:val="008401B3"/>
    <w:rsid w:val="00840278"/>
    <w:rsid w:val="00840291"/>
    <w:rsid w:val="0084073A"/>
    <w:rsid w:val="0084082B"/>
    <w:rsid w:val="00840BCC"/>
    <w:rsid w:val="00841A49"/>
    <w:rsid w:val="00841ECE"/>
    <w:rsid w:val="00842323"/>
    <w:rsid w:val="008424A7"/>
    <w:rsid w:val="008426B3"/>
    <w:rsid w:val="00842C63"/>
    <w:rsid w:val="00842C96"/>
    <w:rsid w:val="00843414"/>
    <w:rsid w:val="008436AE"/>
    <w:rsid w:val="0084397F"/>
    <w:rsid w:val="008445CE"/>
    <w:rsid w:val="00844AD8"/>
    <w:rsid w:val="00844CF9"/>
    <w:rsid w:val="00844DC2"/>
    <w:rsid w:val="008451BC"/>
    <w:rsid w:val="00845348"/>
    <w:rsid w:val="008457C0"/>
    <w:rsid w:val="0084590D"/>
    <w:rsid w:val="00845C2A"/>
    <w:rsid w:val="00845C7B"/>
    <w:rsid w:val="00845CB7"/>
    <w:rsid w:val="00846026"/>
    <w:rsid w:val="00846048"/>
    <w:rsid w:val="0084607D"/>
    <w:rsid w:val="0084692A"/>
    <w:rsid w:val="00846936"/>
    <w:rsid w:val="00846C87"/>
    <w:rsid w:val="00846C9A"/>
    <w:rsid w:val="00847043"/>
    <w:rsid w:val="008472AF"/>
    <w:rsid w:val="00847498"/>
    <w:rsid w:val="00847689"/>
    <w:rsid w:val="00847962"/>
    <w:rsid w:val="00847D5A"/>
    <w:rsid w:val="00847E29"/>
    <w:rsid w:val="00850035"/>
    <w:rsid w:val="00850387"/>
    <w:rsid w:val="008504E4"/>
    <w:rsid w:val="00850846"/>
    <w:rsid w:val="00850877"/>
    <w:rsid w:val="00850986"/>
    <w:rsid w:val="00850ABE"/>
    <w:rsid w:val="00850AC9"/>
    <w:rsid w:val="00850BFC"/>
    <w:rsid w:val="008510A3"/>
    <w:rsid w:val="00851260"/>
    <w:rsid w:val="008512E5"/>
    <w:rsid w:val="00851309"/>
    <w:rsid w:val="0085159F"/>
    <w:rsid w:val="00851A7A"/>
    <w:rsid w:val="00851E2A"/>
    <w:rsid w:val="00851E2F"/>
    <w:rsid w:val="00851F09"/>
    <w:rsid w:val="00852673"/>
    <w:rsid w:val="008527C4"/>
    <w:rsid w:val="00852989"/>
    <w:rsid w:val="00852E36"/>
    <w:rsid w:val="00852F11"/>
    <w:rsid w:val="0085300E"/>
    <w:rsid w:val="008533E2"/>
    <w:rsid w:val="0085351A"/>
    <w:rsid w:val="008536CB"/>
    <w:rsid w:val="008536D9"/>
    <w:rsid w:val="00853CF4"/>
    <w:rsid w:val="00854122"/>
    <w:rsid w:val="00854380"/>
    <w:rsid w:val="008543E6"/>
    <w:rsid w:val="00854A15"/>
    <w:rsid w:val="00854A32"/>
    <w:rsid w:val="00854BCC"/>
    <w:rsid w:val="00854DA6"/>
    <w:rsid w:val="00854EE5"/>
    <w:rsid w:val="008552CB"/>
    <w:rsid w:val="0085533E"/>
    <w:rsid w:val="008555C7"/>
    <w:rsid w:val="008559CE"/>
    <w:rsid w:val="008559F6"/>
    <w:rsid w:val="00855ADA"/>
    <w:rsid w:val="00855B55"/>
    <w:rsid w:val="00855D16"/>
    <w:rsid w:val="00855EBD"/>
    <w:rsid w:val="00855EE5"/>
    <w:rsid w:val="00856331"/>
    <w:rsid w:val="00856388"/>
    <w:rsid w:val="00856538"/>
    <w:rsid w:val="00856583"/>
    <w:rsid w:val="00856A14"/>
    <w:rsid w:val="00856C50"/>
    <w:rsid w:val="00856CA4"/>
    <w:rsid w:val="00856E14"/>
    <w:rsid w:val="00856FA9"/>
    <w:rsid w:val="00857237"/>
    <w:rsid w:val="00857423"/>
    <w:rsid w:val="0085777E"/>
    <w:rsid w:val="008577A8"/>
    <w:rsid w:val="00857878"/>
    <w:rsid w:val="008578B1"/>
    <w:rsid w:val="008579CE"/>
    <w:rsid w:val="008579FB"/>
    <w:rsid w:val="00857B51"/>
    <w:rsid w:val="00857C42"/>
    <w:rsid w:val="00857C62"/>
    <w:rsid w:val="00857E5A"/>
    <w:rsid w:val="00857FF7"/>
    <w:rsid w:val="00860043"/>
    <w:rsid w:val="00860411"/>
    <w:rsid w:val="008604A9"/>
    <w:rsid w:val="008606D2"/>
    <w:rsid w:val="008608C2"/>
    <w:rsid w:val="00860B25"/>
    <w:rsid w:val="00860BB6"/>
    <w:rsid w:val="00860F2F"/>
    <w:rsid w:val="00861199"/>
    <w:rsid w:val="0086119C"/>
    <w:rsid w:val="00861A47"/>
    <w:rsid w:val="008620C9"/>
    <w:rsid w:val="00862173"/>
    <w:rsid w:val="008621D2"/>
    <w:rsid w:val="00862A12"/>
    <w:rsid w:val="00862C7F"/>
    <w:rsid w:val="00862D78"/>
    <w:rsid w:val="00862E78"/>
    <w:rsid w:val="00862FF3"/>
    <w:rsid w:val="008632B9"/>
    <w:rsid w:val="008635DC"/>
    <w:rsid w:val="00863649"/>
    <w:rsid w:val="00863760"/>
    <w:rsid w:val="008639EE"/>
    <w:rsid w:val="00863FE3"/>
    <w:rsid w:val="00864671"/>
    <w:rsid w:val="00864D92"/>
    <w:rsid w:val="008651DA"/>
    <w:rsid w:val="00865224"/>
    <w:rsid w:val="008652D0"/>
    <w:rsid w:val="008654C1"/>
    <w:rsid w:val="008658C6"/>
    <w:rsid w:val="00865B50"/>
    <w:rsid w:val="008660D8"/>
    <w:rsid w:val="008662B1"/>
    <w:rsid w:val="008665EB"/>
    <w:rsid w:val="00866634"/>
    <w:rsid w:val="00866962"/>
    <w:rsid w:val="00866ACD"/>
    <w:rsid w:val="00866BC9"/>
    <w:rsid w:val="00867680"/>
    <w:rsid w:val="00867798"/>
    <w:rsid w:val="00867B9D"/>
    <w:rsid w:val="00867E33"/>
    <w:rsid w:val="0087031D"/>
    <w:rsid w:val="00870E79"/>
    <w:rsid w:val="008710CE"/>
    <w:rsid w:val="0087160B"/>
    <w:rsid w:val="008716CA"/>
    <w:rsid w:val="0087186E"/>
    <w:rsid w:val="00871925"/>
    <w:rsid w:val="00871EF5"/>
    <w:rsid w:val="00872188"/>
    <w:rsid w:val="008721B7"/>
    <w:rsid w:val="00872714"/>
    <w:rsid w:val="008727DA"/>
    <w:rsid w:val="008730C1"/>
    <w:rsid w:val="008737CE"/>
    <w:rsid w:val="0087388D"/>
    <w:rsid w:val="0087397F"/>
    <w:rsid w:val="00873EB9"/>
    <w:rsid w:val="008746ED"/>
    <w:rsid w:val="00874A14"/>
    <w:rsid w:val="00874AC8"/>
    <w:rsid w:val="00874C72"/>
    <w:rsid w:val="00874CFF"/>
    <w:rsid w:val="00874D62"/>
    <w:rsid w:val="008750A5"/>
    <w:rsid w:val="00875611"/>
    <w:rsid w:val="0087570B"/>
    <w:rsid w:val="0087580E"/>
    <w:rsid w:val="008758D4"/>
    <w:rsid w:val="00875F15"/>
    <w:rsid w:val="00876096"/>
    <w:rsid w:val="008764AE"/>
    <w:rsid w:val="00876A62"/>
    <w:rsid w:val="00876C62"/>
    <w:rsid w:val="00876CC7"/>
    <w:rsid w:val="00876E0C"/>
    <w:rsid w:val="0087717B"/>
    <w:rsid w:val="0087739C"/>
    <w:rsid w:val="008773B0"/>
    <w:rsid w:val="00877EC1"/>
    <w:rsid w:val="00880183"/>
    <w:rsid w:val="00880639"/>
    <w:rsid w:val="00880750"/>
    <w:rsid w:val="00880F74"/>
    <w:rsid w:val="008811E7"/>
    <w:rsid w:val="008815CA"/>
    <w:rsid w:val="00881810"/>
    <w:rsid w:val="00881D65"/>
    <w:rsid w:val="0088201B"/>
    <w:rsid w:val="0088275E"/>
    <w:rsid w:val="00882A14"/>
    <w:rsid w:val="00882C47"/>
    <w:rsid w:val="008835F4"/>
    <w:rsid w:val="00883830"/>
    <w:rsid w:val="00883B42"/>
    <w:rsid w:val="00883CD0"/>
    <w:rsid w:val="00883DE8"/>
    <w:rsid w:val="0088410D"/>
    <w:rsid w:val="00884532"/>
    <w:rsid w:val="0088469B"/>
    <w:rsid w:val="00884737"/>
    <w:rsid w:val="008848F2"/>
    <w:rsid w:val="00884B4D"/>
    <w:rsid w:val="00884C64"/>
    <w:rsid w:val="00884E03"/>
    <w:rsid w:val="0088517C"/>
    <w:rsid w:val="008853E7"/>
    <w:rsid w:val="008854E1"/>
    <w:rsid w:val="00885929"/>
    <w:rsid w:val="008859A7"/>
    <w:rsid w:val="00885AF8"/>
    <w:rsid w:val="00885B4C"/>
    <w:rsid w:val="00885D73"/>
    <w:rsid w:val="00885FBC"/>
    <w:rsid w:val="008860E6"/>
    <w:rsid w:val="008862BA"/>
    <w:rsid w:val="008863A2"/>
    <w:rsid w:val="00886B84"/>
    <w:rsid w:val="00886F23"/>
    <w:rsid w:val="00887192"/>
    <w:rsid w:val="0088728D"/>
    <w:rsid w:val="00887D60"/>
    <w:rsid w:val="00887EC4"/>
    <w:rsid w:val="008900E9"/>
    <w:rsid w:val="008900FB"/>
    <w:rsid w:val="00890246"/>
    <w:rsid w:val="00890602"/>
    <w:rsid w:val="00890760"/>
    <w:rsid w:val="0089081D"/>
    <w:rsid w:val="0089098C"/>
    <w:rsid w:val="00890A42"/>
    <w:rsid w:val="00890AA9"/>
    <w:rsid w:val="00890C42"/>
    <w:rsid w:val="00890E23"/>
    <w:rsid w:val="00890EF1"/>
    <w:rsid w:val="008911E2"/>
    <w:rsid w:val="00891289"/>
    <w:rsid w:val="008913B8"/>
    <w:rsid w:val="008914F8"/>
    <w:rsid w:val="008915B6"/>
    <w:rsid w:val="00891689"/>
    <w:rsid w:val="00891B2B"/>
    <w:rsid w:val="00891B80"/>
    <w:rsid w:val="00891CA1"/>
    <w:rsid w:val="00891E56"/>
    <w:rsid w:val="00891FFC"/>
    <w:rsid w:val="0089217B"/>
    <w:rsid w:val="008924DC"/>
    <w:rsid w:val="008924F1"/>
    <w:rsid w:val="00892A9F"/>
    <w:rsid w:val="0089303D"/>
    <w:rsid w:val="00893393"/>
    <w:rsid w:val="008939A7"/>
    <w:rsid w:val="00893EAF"/>
    <w:rsid w:val="00894CE8"/>
    <w:rsid w:val="008950CF"/>
    <w:rsid w:val="008954CB"/>
    <w:rsid w:val="0089555F"/>
    <w:rsid w:val="00895D38"/>
    <w:rsid w:val="00895DFD"/>
    <w:rsid w:val="00896302"/>
    <w:rsid w:val="008966FB"/>
    <w:rsid w:val="00896936"/>
    <w:rsid w:val="00896B1B"/>
    <w:rsid w:val="00896C9E"/>
    <w:rsid w:val="00896D7B"/>
    <w:rsid w:val="008971D6"/>
    <w:rsid w:val="008972A1"/>
    <w:rsid w:val="008973B8"/>
    <w:rsid w:val="008973EE"/>
    <w:rsid w:val="00897A68"/>
    <w:rsid w:val="00897C4D"/>
    <w:rsid w:val="008A02A2"/>
    <w:rsid w:val="008A041C"/>
    <w:rsid w:val="008A0ED5"/>
    <w:rsid w:val="008A11C4"/>
    <w:rsid w:val="008A16BF"/>
    <w:rsid w:val="008A18AA"/>
    <w:rsid w:val="008A1C30"/>
    <w:rsid w:val="008A1C77"/>
    <w:rsid w:val="008A1FE2"/>
    <w:rsid w:val="008A2E9A"/>
    <w:rsid w:val="008A2F92"/>
    <w:rsid w:val="008A331C"/>
    <w:rsid w:val="008A34FE"/>
    <w:rsid w:val="008A3792"/>
    <w:rsid w:val="008A3D62"/>
    <w:rsid w:val="008A3D7C"/>
    <w:rsid w:val="008A3E07"/>
    <w:rsid w:val="008A42BC"/>
    <w:rsid w:val="008A46D2"/>
    <w:rsid w:val="008A5147"/>
    <w:rsid w:val="008A5432"/>
    <w:rsid w:val="008A568A"/>
    <w:rsid w:val="008A5824"/>
    <w:rsid w:val="008A588C"/>
    <w:rsid w:val="008A598F"/>
    <w:rsid w:val="008A5CE0"/>
    <w:rsid w:val="008A5E3E"/>
    <w:rsid w:val="008A6232"/>
    <w:rsid w:val="008A69BB"/>
    <w:rsid w:val="008A6E8F"/>
    <w:rsid w:val="008A716E"/>
    <w:rsid w:val="008A71F8"/>
    <w:rsid w:val="008A735F"/>
    <w:rsid w:val="008A7450"/>
    <w:rsid w:val="008A7584"/>
    <w:rsid w:val="008A7B86"/>
    <w:rsid w:val="008A7BFD"/>
    <w:rsid w:val="008A7C37"/>
    <w:rsid w:val="008B000A"/>
    <w:rsid w:val="008B0116"/>
    <w:rsid w:val="008B0119"/>
    <w:rsid w:val="008B0126"/>
    <w:rsid w:val="008B01D6"/>
    <w:rsid w:val="008B0242"/>
    <w:rsid w:val="008B07BB"/>
    <w:rsid w:val="008B0F18"/>
    <w:rsid w:val="008B1C33"/>
    <w:rsid w:val="008B1E1B"/>
    <w:rsid w:val="008B23B4"/>
    <w:rsid w:val="008B2677"/>
    <w:rsid w:val="008B26F0"/>
    <w:rsid w:val="008B27A3"/>
    <w:rsid w:val="008B27F9"/>
    <w:rsid w:val="008B281B"/>
    <w:rsid w:val="008B2D3B"/>
    <w:rsid w:val="008B2ECC"/>
    <w:rsid w:val="008B3173"/>
    <w:rsid w:val="008B31D8"/>
    <w:rsid w:val="008B31E4"/>
    <w:rsid w:val="008B3454"/>
    <w:rsid w:val="008B36C2"/>
    <w:rsid w:val="008B37FD"/>
    <w:rsid w:val="008B39A8"/>
    <w:rsid w:val="008B3A54"/>
    <w:rsid w:val="008B3DB0"/>
    <w:rsid w:val="008B3E47"/>
    <w:rsid w:val="008B3FC4"/>
    <w:rsid w:val="008B4224"/>
    <w:rsid w:val="008B42E0"/>
    <w:rsid w:val="008B48BD"/>
    <w:rsid w:val="008B4946"/>
    <w:rsid w:val="008B4C4B"/>
    <w:rsid w:val="008B4D51"/>
    <w:rsid w:val="008B4E39"/>
    <w:rsid w:val="008B5041"/>
    <w:rsid w:val="008B5145"/>
    <w:rsid w:val="008B51AA"/>
    <w:rsid w:val="008B5467"/>
    <w:rsid w:val="008B580D"/>
    <w:rsid w:val="008B5923"/>
    <w:rsid w:val="008B5B4F"/>
    <w:rsid w:val="008B5CBA"/>
    <w:rsid w:val="008B5D41"/>
    <w:rsid w:val="008B5E94"/>
    <w:rsid w:val="008B6097"/>
    <w:rsid w:val="008B6266"/>
    <w:rsid w:val="008B64BF"/>
    <w:rsid w:val="008B66FF"/>
    <w:rsid w:val="008B6AAD"/>
    <w:rsid w:val="008B6C39"/>
    <w:rsid w:val="008B6CB3"/>
    <w:rsid w:val="008B6CDC"/>
    <w:rsid w:val="008B6DE8"/>
    <w:rsid w:val="008B74D6"/>
    <w:rsid w:val="008B7532"/>
    <w:rsid w:val="008B7A06"/>
    <w:rsid w:val="008B7C28"/>
    <w:rsid w:val="008B7D71"/>
    <w:rsid w:val="008C0059"/>
    <w:rsid w:val="008C011F"/>
    <w:rsid w:val="008C050E"/>
    <w:rsid w:val="008C070F"/>
    <w:rsid w:val="008C0AD4"/>
    <w:rsid w:val="008C0CA0"/>
    <w:rsid w:val="008C0D22"/>
    <w:rsid w:val="008C12F6"/>
    <w:rsid w:val="008C1327"/>
    <w:rsid w:val="008C13D2"/>
    <w:rsid w:val="008C1437"/>
    <w:rsid w:val="008C1510"/>
    <w:rsid w:val="008C1522"/>
    <w:rsid w:val="008C1548"/>
    <w:rsid w:val="008C1700"/>
    <w:rsid w:val="008C1B3D"/>
    <w:rsid w:val="008C1D96"/>
    <w:rsid w:val="008C2014"/>
    <w:rsid w:val="008C216F"/>
    <w:rsid w:val="008C2278"/>
    <w:rsid w:val="008C237C"/>
    <w:rsid w:val="008C23CE"/>
    <w:rsid w:val="008C240C"/>
    <w:rsid w:val="008C2DD9"/>
    <w:rsid w:val="008C3221"/>
    <w:rsid w:val="008C34E8"/>
    <w:rsid w:val="008C35E3"/>
    <w:rsid w:val="008C3617"/>
    <w:rsid w:val="008C392F"/>
    <w:rsid w:val="008C3A1D"/>
    <w:rsid w:val="008C3F09"/>
    <w:rsid w:val="008C497F"/>
    <w:rsid w:val="008C4DD5"/>
    <w:rsid w:val="008C50A0"/>
    <w:rsid w:val="008C50A8"/>
    <w:rsid w:val="008C520F"/>
    <w:rsid w:val="008C5636"/>
    <w:rsid w:val="008C57E1"/>
    <w:rsid w:val="008C58C9"/>
    <w:rsid w:val="008C59A7"/>
    <w:rsid w:val="008C5B16"/>
    <w:rsid w:val="008C5EEA"/>
    <w:rsid w:val="008C62EC"/>
    <w:rsid w:val="008C6482"/>
    <w:rsid w:val="008C6525"/>
    <w:rsid w:val="008C68A1"/>
    <w:rsid w:val="008C6C17"/>
    <w:rsid w:val="008C6DBD"/>
    <w:rsid w:val="008C6E75"/>
    <w:rsid w:val="008C712C"/>
    <w:rsid w:val="008C7340"/>
    <w:rsid w:val="008C7532"/>
    <w:rsid w:val="008C7793"/>
    <w:rsid w:val="008C7913"/>
    <w:rsid w:val="008C7AD5"/>
    <w:rsid w:val="008D0023"/>
    <w:rsid w:val="008D00C0"/>
    <w:rsid w:val="008D01CB"/>
    <w:rsid w:val="008D063A"/>
    <w:rsid w:val="008D06F9"/>
    <w:rsid w:val="008D07F9"/>
    <w:rsid w:val="008D081E"/>
    <w:rsid w:val="008D0B8C"/>
    <w:rsid w:val="008D133D"/>
    <w:rsid w:val="008D1354"/>
    <w:rsid w:val="008D1603"/>
    <w:rsid w:val="008D1926"/>
    <w:rsid w:val="008D1E80"/>
    <w:rsid w:val="008D1E96"/>
    <w:rsid w:val="008D1E97"/>
    <w:rsid w:val="008D2306"/>
    <w:rsid w:val="008D2313"/>
    <w:rsid w:val="008D26B5"/>
    <w:rsid w:val="008D272C"/>
    <w:rsid w:val="008D2888"/>
    <w:rsid w:val="008D3090"/>
    <w:rsid w:val="008D3176"/>
    <w:rsid w:val="008D3427"/>
    <w:rsid w:val="008D395E"/>
    <w:rsid w:val="008D39FD"/>
    <w:rsid w:val="008D3BA2"/>
    <w:rsid w:val="008D3BEF"/>
    <w:rsid w:val="008D3C6A"/>
    <w:rsid w:val="008D4587"/>
    <w:rsid w:val="008D4E7A"/>
    <w:rsid w:val="008D50CF"/>
    <w:rsid w:val="008D554F"/>
    <w:rsid w:val="008D555B"/>
    <w:rsid w:val="008D5B8C"/>
    <w:rsid w:val="008D5FB0"/>
    <w:rsid w:val="008D63D1"/>
    <w:rsid w:val="008D63D4"/>
    <w:rsid w:val="008D63DD"/>
    <w:rsid w:val="008D64AC"/>
    <w:rsid w:val="008D64D2"/>
    <w:rsid w:val="008D64DD"/>
    <w:rsid w:val="008D6986"/>
    <w:rsid w:val="008D6A82"/>
    <w:rsid w:val="008D6D06"/>
    <w:rsid w:val="008D6D32"/>
    <w:rsid w:val="008D7523"/>
    <w:rsid w:val="008D76A0"/>
    <w:rsid w:val="008D7797"/>
    <w:rsid w:val="008D7940"/>
    <w:rsid w:val="008D79FA"/>
    <w:rsid w:val="008D7AEE"/>
    <w:rsid w:val="008E0300"/>
    <w:rsid w:val="008E03C0"/>
    <w:rsid w:val="008E0695"/>
    <w:rsid w:val="008E08B9"/>
    <w:rsid w:val="008E0C18"/>
    <w:rsid w:val="008E0C26"/>
    <w:rsid w:val="008E0D9C"/>
    <w:rsid w:val="008E1237"/>
    <w:rsid w:val="008E17B7"/>
    <w:rsid w:val="008E1928"/>
    <w:rsid w:val="008E1995"/>
    <w:rsid w:val="008E20BD"/>
    <w:rsid w:val="008E2316"/>
    <w:rsid w:val="008E272E"/>
    <w:rsid w:val="008E28E5"/>
    <w:rsid w:val="008E2AE1"/>
    <w:rsid w:val="008E337D"/>
    <w:rsid w:val="008E3602"/>
    <w:rsid w:val="008E3F62"/>
    <w:rsid w:val="008E406A"/>
    <w:rsid w:val="008E41F7"/>
    <w:rsid w:val="008E4664"/>
    <w:rsid w:val="008E4697"/>
    <w:rsid w:val="008E4A3E"/>
    <w:rsid w:val="008E4FA9"/>
    <w:rsid w:val="008E531A"/>
    <w:rsid w:val="008E5512"/>
    <w:rsid w:val="008E553D"/>
    <w:rsid w:val="008E5863"/>
    <w:rsid w:val="008E5A0E"/>
    <w:rsid w:val="008E5D34"/>
    <w:rsid w:val="008E5E26"/>
    <w:rsid w:val="008E5FF2"/>
    <w:rsid w:val="008E600A"/>
    <w:rsid w:val="008E60AC"/>
    <w:rsid w:val="008E63A2"/>
    <w:rsid w:val="008E6418"/>
    <w:rsid w:val="008E641C"/>
    <w:rsid w:val="008E6885"/>
    <w:rsid w:val="008E6920"/>
    <w:rsid w:val="008E6AB4"/>
    <w:rsid w:val="008E6C5F"/>
    <w:rsid w:val="008E6EA4"/>
    <w:rsid w:val="008E6FB7"/>
    <w:rsid w:val="008E709D"/>
    <w:rsid w:val="008E736C"/>
    <w:rsid w:val="008E79FC"/>
    <w:rsid w:val="008E7A04"/>
    <w:rsid w:val="008E7A5E"/>
    <w:rsid w:val="008E7C6E"/>
    <w:rsid w:val="008E7C7F"/>
    <w:rsid w:val="008E7CD5"/>
    <w:rsid w:val="008E7D2A"/>
    <w:rsid w:val="008E7D93"/>
    <w:rsid w:val="008F006C"/>
    <w:rsid w:val="008F038A"/>
    <w:rsid w:val="008F0519"/>
    <w:rsid w:val="008F0862"/>
    <w:rsid w:val="008F0909"/>
    <w:rsid w:val="008F0C23"/>
    <w:rsid w:val="008F0D8D"/>
    <w:rsid w:val="008F0F10"/>
    <w:rsid w:val="008F1051"/>
    <w:rsid w:val="008F1227"/>
    <w:rsid w:val="008F14DD"/>
    <w:rsid w:val="008F1A09"/>
    <w:rsid w:val="008F1C46"/>
    <w:rsid w:val="008F22A2"/>
    <w:rsid w:val="008F22E4"/>
    <w:rsid w:val="008F2618"/>
    <w:rsid w:val="008F2E7E"/>
    <w:rsid w:val="008F2F04"/>
    <w:rsid w:val="008F3053"/>
    <w:rsid w:val="008F31EE"/>
    <w:rsid w:val="008F31F8"/>
    <w:rsid w:val="008F329D"/>
    <w:rsid w:val="008F3946"/>
    <w:rsid w:val="008F39DE"/>
    <w:rsid w:val="008F3CDC"/>
    <w:rsid w:val="008F405F"/>
    <w:rsid w:val="008F40DF"/>
    <w:rsid w:val="008F44D9"/>
    <w:rsid w:val="008F4646"/>
    <w:rsid w:val="008F46C9"/>
    <w:rsid w:val="008F4880"/>
    <w:rsid w:val="008F49BC"/>
    <w:rsid w:val="008F4D85"/>
    <w:rsid w:val="008F4DD7"/>
    <w:rsid w:val="008F5018"/>
    <w:rsid w:val="008F50A5"/>
    <w:rsid w:val="008F5190"/>
    <w:rsid w:val="008F52C8"/>
    <w:rsid w:val="008F549E"/>
    <w:rsid w:val="008F5929"/>
    <w:rsid w:val="008F59CF"/>
    <w:rsid w:val="008F59FE"/>
    <w:rsid w:val="008F5A11"/>
    <w:rsid w:val="008F5A5D"/>
    <w:rsid w:val="008F5CC0"/>
    <w:rsid w:val="008F5EA0"/>
    <w:rsid w:val="008F60E3"/>
    <w:rsid w:val="008F61B7"/>
    <w:rsid w:val="008F6373"/>
    <w:rsid w:val="008F63DA"/>
    <w:rsid w:val="008F6D05"/>
    <w:rsid w:val="008F6DAD"/>
    <w:rsid w:val="008F6DFF"/>
    <w:rsid w:val="008F6FB5"/>
    <w:rsid w:val="008F7404"/>
    <w:rsid w:val="008F7622"/>
    <w:rsid w:val="008F7847"/>
    <w:rsid w:val="008F7937"/>
    <w:rsid w:val="008F7E95"/>
    <w:rsid w:val="009002E5"/>
    <w:rsid w:val="00900A95"/>
    <w:rsid w:val="009011B4"/>
    <w:rsid w:val="009014B7"/>
    <w:rsid w:val="009015B4"/>
    <w:rsid w:val="009016F4"/>
    <w:rsid w:val="00901808"/>
    <w:rsid w:val="00901A25"/>
    <w:rsid w:val="00901B04"/>
    <w:rsid w:val="00901CC5"/>
    <w:rsid w:val="00901EAA"/>
    <w:rsid w:val="00902168"/>
    <w:rsid w:val="00902B22"/>
    <w:rsid w:val="00902B44"/>
    <w:rsid w:val="00902BAE"/>
    <w:rsid w:val="00903522"/>
    <w:rsid w:val="0090366A"/>
    <w:rsid w:val="00903A86"/>
    <w:rsid w:val="00903B86"/>
    <w:rsid w:val="00903BBD"/>
    <w:rsid w:val="00903BEB"/>
    <w:rsid w:val="009043AB"/>
    <w:rsid w:val="00904443"/>
    <w:rsid w:val="009045DC"/>
    <w:rsid w:val="00904DEE"/>
    <w:rsid w:val="00905141"/>
    <w:rsid w:val="009057E7"/>
    <w:rsid w:val="0090598E"/>
    <w:rsid w:val="00905C1E"/>
    <w:rsid w:val="00905E0A"/>
    <w:rsid w:val="0090642D"/>
    <w:rsid w:val="0090660F"/>
    <w:rsid w:val="0090690D"/>
    <w:rsid w:val="00906999"/>
    <w:rsid w:val="00906BDB"/>
    <w:rsid w:val="00906D77"/>
    <w:rsid w:val="00906F8C"/>
    <w:rsid w:val="0090773F"/>
    <w:rsid w:val="00907861"/>
    <w:rsid w:val="00907B61"/>
    <w:rsid w:val="00907D45"/>
    <w:rsid w:val="00910123"/>
    <w:rsid w:val="009103F9"/>
    <w:rsid w:val="00910743"/>
    <w:rsid w:val="00910756"/>
    <w:rsid w:val="009109F9"/>
    <w:rsid w:val="00910A04"/>
    <w:rsid w:val="00910A71"/>
    <w:rsid w:val="00910F97"/>
    <w:rsid w:val="00911053"/>
    <w:rsid w:val="0091116B"/>
    <w:rsid w:val="0091152E"/>
    <w:rsid w:val="00911658"/>
    <w:rsid w:val="00911726"/>
    <w:rsid w:val="00911972"/>
    <w:rsid w:val="00911B29"/>
    <w:rsid w:val="00911DEC"/>
    <w:rsid w:val="00911E45"/>
    <w:rsid w:val="00912045"/>
    <w:rsid w:val="0091205D"/>
    <w:rsid w:val="0091232E"/>
    <w:rsid w:val="009125C5"/>
    <w:rsid w:val="00912B1A"/>
    <w:rsid w:val="00912CF9"/>
    <w:rsid w:val="00912DD3"/>
    <w:rsid w:val="00912F32"/>
    <w:rsid w:val="00913587"/>
    <w:rsid w:val="00913B56"/>
    <w:rsid w:val="00913BA0"/>
    <w:rsid w:val="0091409F"/>
    <w:rsid w:val="0091567C"/>
    <w:rsid w:val="00915FB4"/>
    <w:rsid w:val="00916021"/>
    <w:rsid w:val="009160AC"/>
    <w:rsid w:val="0091616C"/>
    <w:rsid w:val="00916199"/>
    <w:rsid w:val="009161D2"/>
    <w:rsid w:val="009162BA"/>
    <w:rsid w:val="009164DB"/>
    <w:rsid w:val="009167E5"/>
    <w:rsid w:val="00916923"/>
    <w:rsid w:val="00916AAC"/>
    <w:rsid w:val="00916BF5"/>
    <w:rsid w:val="00916DDA"/>
    <w:rsid w:val="00916FB4"/>
    <w:rsid w:val="00916FBA"/>
    <w:rsid w:val="00917201"/>
    <w:rsid w:val="009174A1"/>
    <w:rsid w:val="009174E6"/>
    <w:rsid w:val="00917FA0"/>
    <w:rsid w:val="00920096"/>
    <w:rsid w:val="0092067A"/>
    <w:rsid w:val="00920C47"/>
    <w:rsid w:val="00920C7A"/>
    <w:rsid w:val="00920CEA"/>
    <w:rsid w:val="00920FA1"/>
    <w:rsid w:val="0092148D"/>
    <w:rsid w:val="00921722"/>
    <w:rsid w:val="00921CF8"/>
    <w:rsid w:val="009222B5"/>
    <w:rsid w:val="00922400"/>
    <w:rsid w:val="009224AB"/>
    <w:rsid w:val="00922555"/>
    <w:rsid w:val="009228FF"/>
    <w:rsid w:val="009229E7"/>
    <w:rsid w:val="00922CF4"/>
    <w:rsid w:val="00922E71"/>
    <w:rsid w:val="00922F69"/>
    <w:rsid w:val="00923141"/>
    <w:rsid w:val="00923367"/>
    <w:rsid w:val="009237F3"/>
    <w:rsid w:val="0092388B"/>
    <w:rsid w:val="009238DD"/>
    <w:rsid w:val="00923BC9"/>
    <w:rsid w:val="00923F31"/>
    <w:rsid w:val="00924099"/>
    <w:rsid w:val="009245E5"/>
    <w:rsid w:val="0092525E"/>
    <w:rsid w:val="00925542"/>
    <w:rsid w:val="00925DDA"/>
    <w:rsid w:val="00926336"/>
    <w:rsid w:val="00926D4C"/>
    <w:rsid w:val="00926F19"/>
    <w:rsid w:val="00927366"/>
    <w:rsid w:val="0092739D"/>
    <w:rsid w:val="00927764"/>
    <w:rsid w:val="009277CC"/>
    <w:rsid w:val="0092787A"/>
    <w:rsid w:val="00927AF5"/>
    <w:rsid w:val="0093098D"/>
    <w:rsid w:val="00930B78"/>
    <w:rsid w:val="00930CC7"/>
    <w:rsid w:val="00930D89"/>
    <w:rsid w:val="00930E32"/>
    <w:rsid w:val="0093133A"/>
    <w:rsid w:val="00931388"/>
    <w:rsid w:val="00931659"/>
    <w:rsid w:val="00931700"/>
    <w:rsid w:val="009319DC"/>
    <w:rsid w:val="009319E3"/>
    <w:rsid w:val="00931BAA"/>
    <w:rsid w:val="00931E67"/>
    <w:rsid w:val="009324D2"/>
    <w:rsid w:val="009325E0"/>
    <w:rsid w:val="009327FD"/>
    <w:rsid w:val="009328E9"/>
    <w:rsid w:val="00932CF3"/>
    <w:rsid w:val="00932F4E"/>
    <w:rsid w:val="00932FAF"/>
    <w:rsid w:val="009330BA"/>
    <w:rsid w:val="0093321B"/>
    <w:rsid w:val="0093353F"/>
    <w:rsid w:val="009335C7"/>
    <w:rsid w:val="009335CE"/>
    <w:rsid w:val="00933A2C"/>
    <w:rsid w:val="00933BC9"/>
    <w:rsid w:val="009341ED"/>
    <w:rsid w:val="009346A6"/>
    <w:rsid w:val="009346C9"/>
    <w:rsid w:val="009348A1"/>
    <w:rsid w:val="00934BDB"/>
    <w:rsid w:val="00934CFA"/>
    <w:rsid w:val="009352DE"/>
    <w:rsid w:val="009357D4"/>
    <w:rsid w:val="00935AB3"/>
    <w:rsid w:val="00935ECE"/>
    <w:rsid w:val="00935EFB"/>
    <w:rsid w:val="00935FC7"/>
    <w:rsid w:val="0093619E"/>
    <w:rsid w:val="009361D1"/>
    <w:rsid w:val="009362ED"/>
    <w:rsid w:val="0093634F"/>
    <w:rsid w:val="00936441"/>
    <w:rsid w:val="00936656"/>
    <w:rsid w:val="00936A1C"/>
    <w:rsid w:val="00936AB0"/>
    <w:rsid w:val="00936CF8"/>
    <w:rsid w:val="009375A7"/>
    <w:rsid w:val="0093787F"/>
    <w:rsid w:val="00937909"/>
    <w:rsid w:val="00937AD9"/>
    <w:rsid w:val="00937E60"/>
    <w:rsid w:val="00937EF1"/>
    <w:rsid w:val="00940144"/>
    <w:rsid w:val="009404EF"/>
    <w:rsid w:val="00940850"/>
    <w:rsid w:val="009408A9"/>
    <w:rsid w:val="009410D7"/>
    <w:rsid w:val="00941224"/>
    <w:rsid w:val="00941459"/>
    <w:rsid w:val="00941A04"/>
    <w:rsid w:val="00941E2B"/>
    <w:rsid w:val="00941ED3"/>
    <w:rsid w:val="0094227B"/>
    <w:rsid w:val="009422E1"/>
    <w:rsid w:val="00942300"/>
    <w:rsid w:val="009423A7"/>
    <w:rsid w:val="009428E3"/>
    <w:rsid w:val="00942B4B"/>
    <w:rsid w:val="00942DF1"/>
    <w:rsid w:val="00943748"/>
    <w:rsid w:val="0094378F"/>
    <w:rsid w:val="00943821"/>
    <w:rsid w:val="00943EB4"/>
    <w:rsid w:val="00943FA2"/>
    <w:rsid w:val="00944238"/>
    <w:rsid w:val="00944281"/>
    <w:rsid w:val="009442D8"/>
    <w:rsid w:val="0094487D"/>
    <w:rsid w:val="00944958"/>
    <w:rsid w:val="00944C55"/>
    <w:rsid w:val="00944E11"/>
    <w:rsid w:val="00944E33"/>
    <w:rsid w:val="009452D0"/>
    <w:rsid w:val="0094586E"/>
    <w:rsid w:val="00945B71"/>
    <w:rsid w:val="009460C7"/>
    <w:rsid w:val="0094636A"/>
    <w:rsid w:val="00946765"/>
    <w:rsid w:val="0094678A"/>
    <w:rsid w:val="00946A82"/>
    <w:rsid w:val="00946D7E"/>
    <w:rsid w:val="0094729C"/>
    <w:rsid w:val="00947349"/>
    <w:rsid w:val="009473BB"/>
    <w:rsid w:val="00947499"/>
    <w:rsid w:val="009475FB"/>
    <w:rsid w:val="009478D3"/>
    <w:rsid w:val="00947FA1"/>
    <w:rsid w:val="00947FE6"/>
    <w:rsid w:val="0094C6D8"/>
    <w:rsid w:val="00950146"/>
    <w:rsid w:val="00950440"/>
    <w:rsid w:val="00950565"/>
    <w:rsid w:val="00950574"/>
    <w:rsid w:val="00950AE5"/>
    <w:rsid w:val="00950FEC"/>
    <w:rsid w:val="0095131C"/>
    <w:rsid w:val="00951426"/>
    <w:rsid w:val="00951452"/>
    <w:rsid w:val="0095156E"/>
    <w:rsid w:val="0095189D"/>
    <w:rsid w:val="009519BF"/>
    <w:rsid w:val="00951A3A"/>
    <w:rsid w:val="00951A80"/>
    <w:rsid w:val="00951E24"/>
    <w:rsid w:val="0095217F"/>
    <w:rsid w:val="0095262A"/>
    <w:rsid w:val="00952719"/>
    <w:rsid w:val="009527A6"/>
    <w:rsid w:val="009527B9"/>
    <w:rsid w:val="009530C1"/>
    <w:rsid w:val="009530F9"/>
    <w:rsid w:val="009535D3"/>
    <w:rsid w:val="00953B38"/>
    <w:rsid w:val="0095400B"/>
    <w:rsid w:val="0095444F"/>
    <w:rsid w:val="00955098"/>
    <w:rsid w:val="009551B4"/>
    <w:rsid w:val="009558C3"/>
    <w:rsid w:val="00955BB5"/>
    <w:rsid w:val="00955F87"/>
    <w:rsid w:val="00956684"/>
    <w:rsid w:val="009569BD"/>
    <w:rsid w:val="00956EAE"/>
    <w:rsid w:val="0095722D"/>
    <w:rsid w:val="0095741E"/>
    <w:rsid w:val="009578E3"/>
    <w:rsid w:val="009605BA"/>
    <w:rsid w:val="00960901"/>
    <w:rsid w:val="00960A30"/>
    <w:rsid w:val="00960AEC"/>
    <w:rsid w:val="00961086"/>
    <w:rsid w:val="009612BF"/>
    <w:rsid w:val="0096162F"/>
    <w:rsid w:val="00961BFF"/>
    <w:rsid w:val="00961D0E"/>
    <w:rsid w:val="0096204B"/>
    <w:rsid w:val="00962075"/>
    <w:rsid w:val="009621F1"/>
    <w:rsid w:val="00962BC3"/>
    <w:rsid w:val="00962DDE"/>
    <w:rsid w:val="00962F6F"/>
    <w:rsid w:val="009630A1"/>
    <w:rsid w:val="009634E3"/>
    <w:rsid w:val="0096382D"/>
    <w:rsid w:val="00963BAD"/>
    <w:rsid w:val="0096415A"/>
    <w:rsid w:val="00964436"/>
    <w:rsid w:val="009648E9"/>
    <w:rsid w:val="009649F9"/>
    <w:rsid w:val="00964D4A"/>
    <w:rsid w:val="00964F9D"/>
    <w:rsid w:val="00965229"/>
    <w:rsid w:val="00965590"/>
    <w:rsid w:val="0096566A"/>
    <w:rsid w:val="009659FD"/>
    <w:rsid w:val="00965B14"/>
    <w:rsid w:val="00965B72"/>
    <w:rsid w:val="00965FD0"/>
    <w:rsid w:val="00965FED"/>
    <w:rsid w:val="0096604F"/>
    <w:rsid w:val="0096645D"/>
    <w:rsid w:val="0096655D"/>
    <w:rsid w:val="009666EE"/>
    <w:rsid w:val="0096692A"/>
    <w:rsid w:val="00966E2F"/>
    <w:rsid w:val="00967034"/>
    <w:rsid w:val="00967333"/>
    <w:rsid w:val="009674B8"/>
    <w:rsid w:val="00967A37"/>
    <w:rsid w:val="00967BF0"/>
    <w:rsid w:val="00967D66"/>
    <w:rsid w:val="00967F05"/>
    <w:rsid w:val="00967F83"/>
    <w:rsid w:val="0097043F"/>
    <w:rsid w:val="0097074E"/>
    <w:rsid w:val="00971432"/>
    <w:rsid w:val="009718FD"/>
    <w:rsid w:val="0097199F"/>
    <w:rsid w:val="00971BD7"/>
    <w:rsid w:val="00971DA1"/>
    <w:rsid w:val="00971ED5"/>
    <w:rsid w:val="00972294"/>
    <w:rsid w:val="00972365"/>
    <w:rsid w:val="009725A3"/>
    <w:rsid w:val="00972711"/>
    <w:rsid w:val="00972992"/>
    <w:rsid w:val="00972B97"/>
    <w:rsid w:val="00972D5D"/>
    <w:rsid w:val="00972E2D"/>
    <w:rsid w:val="009730DF"/>
    <w:rsid w:val="009731EE"/>
    <w:rsid w:val="00973286"/>
    <w:rsid w:val="0097339C"/>
    <w:rsid w:val="00973B39"/>
    <w:rsid w:val="00973D43"/>
    <w:rsid w:val="00973DD2"/>
    <w:rsid w:val="00973EFC"/>
    <w:rsid w:val="0097414D"/>
    <w:rsid w:val="00974363"/>
    <w:rsid w:val="009743B8"/>
    <w:rsid w:val="0097446D"/>
    <w:rsid w:val="009747D9"/>
    <w:rsid w:val="009748EF"/>
    <w:rsid w:val="00974AE1"/>
    <w:rsid w:val="00974B2D"/>
    <w:rsid w:val="00974C5B"/>
    <w:rsid w:val="00974F61"/>
    <w:rsid w:val="0097527E"/>
    <w:rsid w:val="009753CC"/>
    <w:rsid w:val="00975621"/>
    <w:rsid w:val="00975C36"/>
    <w:rsid w:val="00975FCD"/>
    <w:rsid w:val="00976052"/>
    <w:rsid w:val="009761FA"/>
    <w:rsid w:val="009766F8"/>
    <w:rsid w:val="00976995"/>
    <w:rsid w:val="00976B9F"/>
    <w:rsid w:val="00976E16"/>
    <w:rsid w:val="00976ED9"/>
    <w:rsid w:val="0097701F"/>
    <w:rsid w:val="00977123"/>
    <w:rsid w:val="009771DB"/>
    <w:rsid w:val="009772E1"/>
    <w:rsid w:val="00980680"/>
    <w:rsid w:val="009806F7"/>
    <w:rsid w:val="009808D2"/>
    <w:rsid w:val="00980B0B"/>
    <w:rsid w:val="0098126D"/>
    <w:rsid w:val="00981B03"/>
    <w:rsid w:val="00981B64"/>
    <w:rsid w:val="00981FD5"/>
    <w:rsid w:val="00982148"/>
    <w:rsid w:val="009821E3"/>
    <w:rsid w:val="00982297"/>
    <w:rsid w:val="009826B3"/>
    <w:rsid w:val="00982864"/>
    <w:rsid w:val="009828D1"/>
    <w:rsid w:val="00982B3E"/>
    <w:rsid w:val="00982C25"/>
    <w:rsid w:val="00982ED4"/>
    <w:rsid w:val="00982EE3"/>
    <w:rsid w:val="00982EF9"/>
    <w:rsid w:val="00983276"/>
    <w:rsid w:val="00983855"/>
    <w:rsid w:val="00983B46"/>
    <w:rsid w:val="00983D75"/>
    <w:rsid w:val="00983DB8"/>
    <w:rsid w:val="00984236"/>
    <w:rsid w:val="00984A50"/>
    <w:rsid w:val="00984DFA"/>
    <w:rsid w:val="009850D8"/>
    <w:rsid w:val="0098541C"/>
    <w:rsid w:val="009855A7"/>
    <w:rsid w:val="009857BE"/>
    <w:rsid w:val="009858A8"/>
    <w:rsid w:val="0098599C"/>
    <w:rsid w:val="009859B6"/>
    <w:rsid w:val="00985B84"/>
    <w:rsid w:val="00985BE8"/>
    <w:rsid w:val="00985D63"/>
    <w:rsid w:val="00985F7D"/>
    <w:rsid w:val="00986009"/>
    <w:rsid w:val="009865EE"/>
    <w:rsid w:val="0098661A"/>
    <w:rsid w:val="0098696E"/>
    <w:rsid w:val="00986AFA"/>
    <w:rsid w:val="00986E50"/>
    <w:rsid w:val="00986EC3"/>
    <w:rsid w:val="0098703D"/>
    <w:rsid w:val="00987406"/>
    <w:rsid w:val="00987690"/>
    <w:rsid w:val="00987878"/>
    <w:rsid w:val="00987AF9"/>
    <w:rsid w:val="00987C91"/>
    <w:rsid w:val="00987EBA"/>
    <w:rsid w:val="00990066"/>
    <w:rsid w:val="009903B1"/>
    <w:rsid w:val="00990404"/>
    <w:rsid w:val="009908B5"/>
    <w:rsid w:val="00990E7A"/>
    <w:rsid w:val="00991120"/>
    <w:rsid w:val="0099139B"/>
    <w:rsid w:val="009913F0"/>
    <w:rsid w:val="009916F2"/>
    <w:rsid w:val="00991F24"/>
    <w:rsid w:val="00992064"/>
    <w:rsid w:val="0099219B"/>
    <w:rsid w:val="00992234"/>
    <w:rsid w:val="0099247E"/>
    <w:rsid w:val="009927D4"/>
    <w:rsid w:val="009928F1"/>
    <w:rsid w:val="00992A0E"/>
    <w:rsid w:val="00992EA6"/>
    <w:rsid w:val="00992FF6"/>
    <w:rsid w:val="00993062"/>
    <w:rsid w:val="0099321C"/>
    <w:rsid w:val="00993273"/>
    <w:rsid w:val="009933A0"/>
    <w:rsid w:val="00993744"/>
    <w:rsid w:val="0099387B"/>
    <w:rsid w:val="0099396E"/>
    <w:rsid w:val="00993C3E"/>
    <w:rsid w:val="00994043"/>
    <w:rsid w:val="0099408D"/>
    <w:rsid w:val="00994125"/>
    <w:rsid w:val="0099456D"/>
    <w:rsid w:val="00994586"/>
    <w:rsid w:val="0099474D"/>
    <w:rsid w:val="00994B64"/>
    <w:rsid w:val="00995182"/>
    <w:rsid w:val="009951C2"/>
    <w:rsid w:val="00995531"/>
    <w:rsid w:val="0099554B"/>
    <w:rsid w:val="009955F3"/>
    <w:rsid w:val="00995D08"/>
    <w:rsid w:val="009963EF"/>
    <w:rsid w:val="00996431"/>
    <w:rsid w:val="00996943"/>
    <w:rsid w:val="00996A76"/>
    <w:rsid w:val="00996B25"/>
    <w:rsid w:val="00996EB8"/>
    <w:rsid w:val="00997377"/>
    <w:rsid w:val="00997E81"/>
    <w:rsid w:val="00997EA0"/>
    <w:rsid w:val="009A0126"/>
    <w:rsid w:val="009A01DA"/>
    <w:rsid w:val="009A0785"/>
    <w:rsid w:val="009A097B"/>
    <w:rsid w:val="009A0C52"/>
    <w:rsid w:val="009A0C89"/>
    <w:rsid w:val="009A183F"/>
    <w:rsid w:val="009A1A51"/>
    <w:rsid w:val="009A1C43"/>
    <w:rsid w:val="009A1EC1"/>
    <w:rsid w:val="009A2351"/>
    <w:rsid w:val="009A2A05"/>
    <w:rsid w:val="009A2A64"/>
    <w:rsid w:val="009A2C96"/>
    <w:rsid w:val="009A3001"/>
    <w:rsid w:val="009A3411"/>
    <w:rsid w:val="009A35C5"/>
    <w:rsid w:val="009A39B1"/>
    <w:rsid w:val="009A3AC3"/>
    <w:rsid w:val="009A3E27"/>
    <w:rsid w:val="009A4116"/>
    <w:rsid w:val="009A44A6"/>
    <w:rsid w:val="009A44D7"/>
    <w:rsid w:val="009A473B"/>
    <w:rsid w:val="009A474C"/>
    <w:rsid w:val="009A476F"/>
    <w:rsid w:val="009A479F"/>
    <w:rsid w:val="009A4869"/>
    <w:rsid w:val="009A4CE1"/>
    <w:rsid w:val="009A4CE5"/>
    <w:rsid w:val="009A5091"/>
    <w:rsid w:val="009A5353"/>
    <w:rsid w:val="009A53C5"/>
    <w:rsid w:val="009A553E"/>
    <w:rsid w:val="009A5910"/>
    <w:rsid w:val="009A59E4"/>
    <w:rsid w:val="009A5ACD"/>
    <w:rsid w:val="009A5B2E"/>
    <w:rsid w:val="009A5BC4"/>
    <w:rsid w:val="009A5E51"/>
    <w:rsid w:val="009A6138"/>
    <w:rsid w:val="009A63B5"/>
    <w:rsid w:val="009A65EB"/>
    <w:rsid w:val="009A7257"/>
    <w:rsid w:val="009A92EE"/>
    <w:rsid w:val="009B01F4"/>
    <w:rsid w:val="009B02FA"/>
    <w:rsid w:val="009B0604"/>
    <w:rsid w:val="009B078E"/>
    <w:rsid w:val="009B07D1"/>
    <w:rsid w:val="009B0AE4"/>
    <w:rsid w:val="009B0FD0"/>
    <w:rsid w:val="009B12EC"/>
    <w:rsid w:val="009B131B"/>
    <w:rsid w:val="009B1428"/>
    <w:rsid w:val="009B1CC9"/>
    <w:rsid w:val="009B1D25"/>
    <w:rsid w:val="009B202B"/>
    <w:rsid w:val="009B204E"/>
    <w:rsid w:val="009B20B7"/>
    <w:rsid w:val="009B298A"/>
    <w:rsid w:val="009B3173"/>
    <w:rsid w:val="009B3A34"/>
    <w:rsid w:val="009B3AC1"/>
    <w:rsid w:val="009B3C6C"/>
    <w:rsid w:val="009B3EB2"/>
    <w:rsid w:val="009B40C7"/>
    <w:rsid w:val="009B441A"/>
    <w:rsid w:val="009B4948"/>
    <w:rsid w:val="009B4AA6"/>
    <w:rsid w:val="009B4BF8"/>
    <w:rsid w:val="009B4CFB"/>
    <w:rsid w:val="009B5339"/>
    <w:rsid w:val="009B539F"/>
    <w:rsid w:val="009B5862"/>
    <w:rsid w:val="009B5A64"/>
    <w:rsid w:val="009B5A82"/>
    <w:rsid w:val="009B5E31"/>
    <w:rsid w:val="009B6002"/>
    <w:rsid w:val="009B62A4"/>
    <w:rsid w:val="009B65B4"/>
    <w:rsid w:val="009B67B1"/>
    <w:rsid w:val="009B69C6"/>
    <w:rsid w:val="009B6D09"/>
    <w:rsid w:val="009B6D85"/>
    <w:rsid w:val="009B6F1A"/>
    <w:rsid w:val="009B6F65"/>
    <w:rsid w:val="009B707E"/>
    <w:rsid w:val="009B7112"/>
    <w:rsid w:val="009B7266"/>
    <w:rsid w:val="009B753F"/>
    <w:rsid w:val="009B75B2"/>
    <w:rsid w:val="009B7CA0"/>
    <w:rsid w:val="009B7D2E"/>
    <w:rsid w:val="009B7EA1"/>
    <w:rsid w:val="009B7F74"/>
    <w:rsid w:val="009C036F"/>
    <w:rsid w:val="009C04B9"/>
    <w:rsid w:val="009C0539"/>
    <w:rsid w:val="009C0763"/>
    <w:rsid w:val="009C0869"/>
    <w:rsid w:val="009C092A"/>
    <w:rsid w:val="009C0AF5"/>
    <w:rsid w:val="009C0EBD"/>
    <w:rsid w:val="009C0EDE"/>
    <w:rsid w:val="009C0F7F"/>
    <w:rsid w:val="009C1363"/>
    <w:rsid w:val="009C1597"/>
    <w:rsid w:val="009C197C"/>
    <w:rsid w:val="009C262D"/>
    <w:rsid w:val="009C2741"/>
    <w:rsid w:val="009C29DD"/>
    <w:rsid w:val="009C2B77"/>
    <w:rsid w:val="009C2BCD"/>
    <w:rsid w:val="009C2F91"/>
    <w:rsid w:val="009C2FB5"/>
    <w:rsid w:val="009C2FC2"/>
    <w:rsid w:val="009C314A"/>
    <w:rsid w:val="009C32E0"/>
    <w:rsid w:val="009C34D9"/>
    <w:rsid w:val="009C3501"/>
    <w:rsid w:val="009C38B3"/>
    <w:rsid w:val="009C3D3F"/>
    <w:rsid w:val="009C3E27"/>
    <w:rsid w:val="009C45FF"/>
    <w:rsid w:val="009C4827"/>
    <w:rsid w:val="009C4995"/>
    <w:rsid w:val="009C4A8C"/>
    <w:rsid w:val="009C4A92"/>
    <w:rsid w:val="009C4E38"/>
    <w:rsid w:val="009C4F26"/>
    <w:rsid w:val="009C4F6B"/>
    <w:rsid w:val="009C501C"/>
    <w:rsid w:val="009C5279"/>
    <w:rsid w:val="009C52C6"/>
    <w:rsid w:val="009C5434"/>
    <w:rsid w:val="009C5497"/>
    <w:rsid w:val="009C55A6"/>
    <w:rsid w:val="009C55E8"/>
    <w:rsid w:val="009C5633"/>
    <w:rsid w:val="009C58E0"/>
    <w:rsid w:val="009C5BAD"/>
    <w:rsid w:val="009C6009"/>
    <w:rsid w:val="009C631F"/>
    <w:rsid w:val="009C6789"/>
    <w:rsid w:val="009C68F7"/>
    <w:rsid w:val="009C6C1A"/>
    <w:rsid w:val="009C6CAA"/>
    <w:rsid w:val="009C6EC5"/>
    <w:rsid w:val="009C70F7"/>
    <w:rsid w:val="009C7202"/>
    <w:rsid w:val="009C7204"/>
    <w:rsid w:val="009C74BA"/>
    <w:rsid w:val="009C75D3"/>
    <w:rsid w:val="009C763A"/>
    <w:rsid w:val="009C783C"/>
    <w:rsid w:val="009C7D35"/>
    <w:rsid w:val="009D02F3"/>
    <w:rsid w:val="009D055A"/>
    <w:rsid w:val="009D0750"/>
    <w:rsid w:val="009D07D2"/>
    <w:rsid w:val="009D0B0A"/>
    <w:rsid w:val="009D0F8F"/>
    <w:rsid w:val="009D0FFD"/>
    <w:rsid w:val="009D1272"/>
    <w:rsid w:val="009D1CED"/>
    <w:rsid w:val="009D1EC5"/>
    <w:rsid w:val="009D1FDC"/>
    <w:rsid w:val="009D31A3"/>
    <w:rsid w:val="009D31AD"/>
    <w:rsid w:val="009D3267"/>
    <w:rsid w:val="009D34F0"/>
    <w:rsid w:val="009D3F14"/>
    <w:rsid w:val="009D4290"/>
    <w:rsid w:val="009D4368"/>
    <w:rsid w:val="009D4831"/>
    <w:rsid w:val="009D4DD3"/>
    <w:rsid w:val="009D4E3B"/>
    <w:rsid w:val="009D5398"/>
    <w:rsid w:val="009D5594"/>
    <w:rsid w:val="009D5598"/>
    <w:rsid w:val="009D6037"/>
    <w:rsid w:val="009D68D1"/>
    <w:rsid w:val="009D6B6F"/>
    <w:rsid w:val="009D6DEE"/>
    <w:rsid w:val="009D6F5F"/>
    <w:rsid w:val="009D7060"/>
    <w:rsid w:val="009D70B0"/>
    <w:rsid w:val="009D7ABA"/>
    <w:rsid w:val="009D7CA3"/>
    <w:rsid w:val="009D7D32"/>
    <w:rsid w:val="009D7FCB"/>
    <w:rsid w:val="009D7FDC"/>
    <w:rsid w:val="009E02D1"/>
    <w:rsid w:val="009E09B0"/>
    <w:rsid w:val="009E0B79"/>
    <w:rsid w:val="009E0B9A"/>
    <w:rsid w:val="009E0D64"/>
    <w:rsid w:val="009E106E"/>
    <w:rsid w:val="009E1532"/>
    <w:rsid w:val="009E169D"/>
    <w:rsid w:val="009E1E9B"/>
    <w:rsid w:val="009E22A8"/>
    <w:rsid w:val="009E2436"/>
    <w:rsid w:val="009E2DB2"/>
    <w:rsid w:val="009E3165"/>
    <w:rsid w:val="009E3572"/>
    <w:rsid w:val="009E3690"/>
    <w:rsid w:val="009E392A"/>
    <w:rsid w:val="009E3C1C"/>
    <w:rsid w:val="009E4161"/>
    <w:rsid w:val="009E453E"/>
    <w:rsid w:val="009E45B5"/>
    <w:rsid w:val="009E492C"/>
    <w:rsid w:val="009E4ADC"/>
    <w:rsid w:val="009E4B33"/>
    <w:rsid w:val="009E4B52"/>
    <w:rsid w:val="009E4C0F"/>
    <w:rsid w:val="009E4D2F"/>
    <w:rsid w:val="009E4E2F"/>
    <w:rsid w:val="009E50B6"/>
    <w:rsid w:val="009E5112"/>
    <w:rsid w:val="009E51E1"/>
    <w:rsid w:val="009E54B1"/>
    <w:rsid w:val="009E54F1"/>
    <w:rsid w:val="009E551F"/>
    <w:rsid w:val="009E589B"/>
    <w:rsid w:val="009E5B1E"/>
    <w:rsid w:val="009E5F04"/>
    <w:rsid w:val="009E6061"/>
    <w:rsid w:val="009E6418"/>
    <w:rsid w:val="009E6652"/>
    <w:rsid w:val="009E6A0A"/>
    <w:rsid w:val="009E6E69"/>
    <w:rsid w:val="009E7068"/>
    <w:rsid w:val="009E7129"/>
    <w:rsid w:val="009E73AC"/>
    <w:rsid w:val="009E742E"/>
    <w:rsid w:val="009E78E5"/>
    <w:rsid w:val="009E7C17"/>
    <w:rsid w:val="009E7D8F"/>
    <w:rsid w:val="009E7E5E"/>
    <w:rsid w:val="009E7ECA"/>
    <w:rsid w:val="009F0164"/>
    <w:rsid w:val="009F0569"/>
    <w:rsid w:val="009F0A7E"/>
    <w:rsid w:val="009F0C5D"/>
    <w:rsid w:val="009F0D65"/>
    <w:rsid w:val="009F1038"/>
    <w:rsid w:val="009F13FB"/>
    <w:rsid w:val="009F17CF"/>
    <w:rsid w:val="009F1BA4"/>
    <w:rsid w:val="009F2219"/>
    <w:rsid w:val="009F22F1"/>
    <w:rsid w:val="009F251C"/>
    <w:rsid w:val="009F26AF"/>
    <w:rsid w:val="009F2745"/>
    <w:rsid w:val="009F27E6"/>
    <w:rsid w:val="009F2C3E"/>
    <w:rsid w:val="009F2C3F"/>
    <w:rsid w:val="009F2CF5"/>
    <w:rsid w:val="009F2D43"/>
    <w:rsid w:val="009F2EBE"/>
    <w:rsid w:val="009F30FA"/>
    <w:rsid w:val="009F34FB"/>
    <w:rsid w:val="009F393E"/>
    <w:rsid w:val="009F407E"/>
    <w:rsid w:val="009F41C2"/>
    <w:rsid w:val="009F4297"/>
    <w:rsid w:val="009F430C"/>
    <w:rsid w:val="009F4565"/>
    <w:rsid w:val="009F4914"/>
    <w:rsid w:val="009F4D17"/>
    <w:rsid w:val="009F59DA"/>
    <w:rsid w:val="009F5AC1"/>
    <w:rsid w:val="009F5B83"/>
    <w:rsid w:val="009F5C89"/>
    <w:rsid w:val="009F5F45"/>
    <w:rsid w:val="009F60D5"/>
    <w:rsid w:val="009F66D4"/>
    <w:rsid w:val="009F6939"/>
    <w:rsid w:val="009F69BF"/>
    <w:rsid w:val="009F6A05"/>
    <w:rsid w:val="009F7236"/>
    <w:rsid w:val="009F74E0"/>
    <w:rsid w:val="009F7A60"/>
    <w:rsid w:val="009F7D1F"/>
    <w:rsid w:val="009F7EA7"/>
    <w:rsid w:val="009F7F28"/>
    <w:rsid w:val="00A00050"/>
    <w:rsid w:val="00A00057"/>
    <w:rsid w:val="00A00C9E"/>
    <w:rsid w:val="00A00CE1"/>
    <w:rsid w:val="00A00DAB"/>
    <w:rsid w:val="00A00F6D"/>
    <w:rsid w:val="00A01453"/>
    <w:rsid w:val="00A01F42"/>
    <w:rsid w:val="00A0231E"/>
    <w:rsid w:val="00A026C0"/>
    <w:rsid w:val="00A02E6D"/>
    <w:rsid w:val="00A032C0"/>
    <w:rsid w:val="00A0345C"/>
    <w:rsid w:val="00A0379E"/>
    <w:rsid w:val="00A037F6"/>
    <w:rsid w:val="00A03904"/>
    <w:rsid w:val="00A03B58"/>
    <w:rsid w:val="00A03BEA"/>
    <w:rsid w:val="00A03EF3"/>
    <w:rsid w:val="00A04818"/>
    <w:rsid w:val="00A04CE6"/>
    <w:rsid w:val="00A04EBB"/>
    <w:rsid w:val="00A05708"/>
    <w:rsid w:val="00A05B61"/>
    <w:rsid w:val="00A05BF1"/>
    <w:rsid w:val="00A05F06"/>
    <w:rsid w:val="00A05FB6"/>
    <w:rsid w:val="00A063DC"/>
    <w:rsid w:val="00A068F6"/>
    <w:rsid w:val="00A06A67"/>
    <w:rsid w:val="00A06AF5"/>
    <w:rsid w:val="00A06DC0"/>
    <w:rsid w:val="00A070BD"/>
    <w:rsid w:val="00A07338"/>
    <w:rsid w:val="00A076F3"/>
    <w:rsid w:val="00A07989"/>
    <w:rsid w:val="00A07B46"/>
    <w:rsid w:val="00A07D54"/>
    <w:rsid w:val="00A102EF"/>
    <w:rsid w:val="00A1035E"/>
    <w:rsid w:val="00A10479"/>
    <w:rsid w:val="00A1067E"/>
    <w:rsid w:val="00A109AE"/>
    <w:rsid w:val="00A10B76"/>
    <w:rsid w:val="00A11177"/>
    <w:rsid w:val="00A111D1"/>
    <w:rsid w:val="00A11210"/>
    <w:rsid w:val="00A112CD"/>
    <w:rsid w:val="00A113EC"/>
    <w:rsid w:val="00A114E9"/>
    <w:rsid w:val="00A116AB"/>
    <w:rsid w:val="00A116C5"/>
    <w:rsid w:val="00A1178E"/>
    <w:rsid w:val="00A11867"/>
    <w:rsid w:val="00A11B45"/>
    <w:rsid w:val="00A11C4B"/>
    <w:rsid w:val="00A11D22"/>
    <w:rsid w:val="00A12117"/>
    <w:rsid w:val="00A12B93"/>
    <w:rsid w:val="00A12BCC"/>
    <w:rsid w:val="00A13131"/>
    <w:rsid w:val="00A1331B"/>
    <w:rsid w:val="00A13BBB"/>
    <w:rsid w:val="00A13D4A"/>
    <w:rsid w:val="00A13F6E"/>
    <w:rsid w:val="00A1403C"/>
    <w:rsid w:val="00A141B2"/>
    <w:rsid w:val="00A142CA"/>
    <w:rsid w:val="00A147CC"/>
    <w:rsid w:val="00A14832"/>
    <w:rsid w:val="00A148A7"/>
    <w:rsid w:val="00A14AA8"/>
    <w:rsid w:val="00A14BDD"/>
    <w:rsid w:val="00A14E67"/>
    <w:rsid w:val="00A15A1D"/>
    <w:rsid w:val="00A15D56"/>
    <w:rsid w:val="00A15FA3"/>
    <w:rsid w:val="00A1603A"/>
    <w:rsid w:val="00A16045"/>
    <w:rsid w:val="00A1640E"/>
    <w:rsid w:val="00A1647D"/>
    <w:rsid w:val="00A166EB"/>
    <w:rsid w:val="00A167F4"/>
    <w:rsid w:val="00A167F6"/>
    <w:rsid w:val="00A17098"/>
    <w:rsid w:val="00A170D8"/>
    <w:rsid w:val="00A171DD"/>
    <w:rsid w:val="00A17CA8"/>
    <w:rsid w:val="00A20027"/>
    <w:rsid w:val="00A201C7"/>
    <w:rsid w:val="00A201DE"/>
    <w:rsid w:val="00A2022D"/>
    <w:rsid w:val="00A20230"/>
    <w:rsid w:val="00A20799"/>
    <w:rsid w:val="00A20976"/>
    <w:rsid w:val="00A20A8D"/>
    <w:rsid w:val="00A20B97"/>
    <w:rsid w:val="00A20E2A"/>
    <w:rsid w:val="00A20EEE"/>
    <w:rsid w:val="00A21359"/>
    <w:rsid w:val="00A213E3"/>
    <w:rsid w:val="00A21474"/>
    <w:rsid w:val="00A21785"/>
    <w:rsid w:val="00A2179B"/>
    <w:rsid w:val="00A218CB"/>
    <w:rsid w:val="00A21A2E"/>
    <w:rsid w:val="00A21E06"/>
    <w:rsid w:val="00A21EC5"/>
    <w:rsid w:val="00A221D5"/>
    <w:rsid w:val="00A22290"/>
    <w:rsid w:val="00A228AE"/>
    <w:rsid w:val="00A22C15"/>
    <w:rsid w:val="00A22C96"/>
    <w:rsid w:val="00A230A2"/>
    <w:rsid w:val="00A23132"/>
    <w:rsid w:val="00A23197"/>
    <w:rsid w:val="00A23A04"/>
    <w:rsid w:val="00A23A9B"/>
    <w:rsid w:val="00A23D81"/>
    <w:rsid w:val="00A24076"/>
    <w:rsid w:val="00A24918"/>
    <w:rsid w:val="00A24AA4"/>
    <w:rsid w:val="00A24BF7"/>
    <w:rsid w:val="00A24CCA"/>
    <w:rsid w:val="00A24E7D"/>
    <w:rsid w:val="00A25254"/>
    <w:rsid w:val="00A258D7"/>
    <w:rsid w:val="00A25BC3"/>
    <w:rsid w:val="00A25BC9"/>
    <w:rsid w:val="00A25F99"/>
    <w:rsid w:val="00A25FAC"/>
    <w:rsid w:val="00A267B1"/>
    <w:rsid w:val="00A269A1"/>
    <w:rsid w:val="00A26E75"/>
    <w:rsid w:val="00A27009"/>
    <w:rsid w:val="00A27B8A"/>
    <w:rsid w:val="00A27C26"/>
    <w:rsid w:val="00A27D9F"/>
    <w:rsid w:val="00A27DDA"/>
    <w:rsid w:val="00A30155"/>
    <w:rsid w:val="00A3023D"/>
    <w:rsid w:val="00A303A0"/>
    <w:rsid w:val="00A3042A"/>
    <w:rsid w:val="00A30483"/>
    <w:rsid w:val="00A309B4"/>
    <w:rsid w:val="00A30C5F"/>
    <w:rsid w:val="00A30DA3"/>
    <w:rsid w:val="00A30E5A"/>
    <w:rsid w:val="00A31190"/>
    <w:rsid w:val="00A313ED"/>
    <w:rsid w:val="00A32383"/>
    <w:rsid w:val="00A325FE"/>
    <w:rsid w:val="00A3267C"/>
    <w:rsid w:val="00A328F6"/>
    <w:rsid w:val="00A3295B"/>
    <w:rsid w:val="00A329ED"/>
    <w:rsid w:val="00A32BBF"/>
    <w:rsid w:val="00A32BF0"/>
    <w:rsid w:val="00A33106"/>
    <w:rsid w:val="00A3318E"/>
    <w:rsid w:val="00A33194"/>
    <w:rsid w:val="00A331BC"/>
    <w:rsid w:val="00A3333D"/>
    <w:rsid w:val="00A33730"/>
    <w:rsid w:val="00A339D3"/>
    <w:rsid w:val="00A33CDB"/>
    <w:rsid w:val="00A33F55"/>
    <w:rsid w:val="00A340F1"/>
    <w:rsid w:val="00A345E2"/>
    <w:rsid w:val="00A35064"/>
    <w:rsid w:val="00A35082"/>
    <w:rsid w:val="00A35451"/>
    <w:rsid w:val="00A354CA"/>
    <w:rsid w:val="00A35828"/>
    <w:rsid w:val="00A360D3"/>
    <w:rsid w:val="00A3619C"/>
    <w:rsid w:val="00A36A4B"/>
    <w:rsid w:val="00A36C26"/>
    <w:rsid w:val="00A36D26"/>
    <w:rsid w:val="00A36E74"/>
    <w:rsid w:val="00A3722F"/>
    <w:rsid w:val="00A373A5"/>
    <w:rsid w:val="00A374B4"/>
    <w:rsid w:val="00A37BA4"/>
    <w:rsid w:val="00A37F1C"/>
    <w:rsid w:val="00A40172"/>
    <w:rsid w:val="00A401A7"/>
    <w:rsid w:val="00A402F9"/>
    <w:rsid w:val="00A4079E"/>
    <w:rsid w:val="00A4093E"/>
    <w:rsid w:val="00A409BA"/>
    <w:rsid w:val="00A409CA"/>
    <w:rsid w:val="00A40BD9"/>
    <w:rsid w:val="00A41303"/>
    <w:rsid w:val="00A416FE"/>
    <w:rsid w:val="00A4180F"/>
    <w:rsid w:val="00A41BC5"/>
    <w:rsid w:val="00A4235A"/>
    <w:rsid w:val="00A42784"/>
    <w:rsid w:val="00A429AD"/>
    <w:rsid w:val="00A429DB"/>
    <w:rsid w:val="00A42AB1"/>
    <w:rsid w:val="00A42D11"/>
    <w:rsid w:val="00A42E17"/>
    <w:rsid w:val="00A42F3A"/>
    <w:rsid w:val="00A42FC2"/>
    <w:rsid w:val="00A432B3"/>
    <w:rsid w:val="00A43314"/>
    <w:rsid w:val="00A435A8"/>
    <w:rsid w:val="00A4366E"/>
    <w:rsid w:val="00A436DE"/>
    <w:rsid w:val="00A43C51"/>
    <w:rsid w:val="00A43CA6"/>
    <w:rsid w:val="00A43DA7"/>
    <w:rsid w:val="00A43E5E"/>
    <w:rsid w:val="00A4439C"/>
    <w:rsid w:val="00A445EC"/>
    <w:rsid w:val="00A44AA2"/>
    <w:rsid w:val="00A44E5D"/>
    <w:rsid w:val="00A4508E"/>
    <w:rsid w:val="00A451A5"/>
    <w:rsid w:val="00A45497"/>
    <w:rsid w:val="00A454A0"/>
    <w:rsid w:val="00A455A9"/>
    <w:rsid w:val="00A45B75"/>
    <w:rsid w:val="00A4609B"/>
    <w:rsid w:val="00A46497"/>
    <w:rsid w:val="00A4698C"/>
    <w:rsid w:val="00A46BF6"/>
    <w:rsid w:val="00A46C28"/>
    <w:rsid w:val="00A46C6E"/>
    <w:rsid w:val="00A4754C"/>
    <w:rsid w:val="00A4778D"/>
    <w:rsid w:val="00A47AEC"/>
    <w:rsid w:val="00A47B36"/>
    <w:rsid w:val="00A50443"/>
    <w:rsid w:val="00A506AD"/>
    <w:rsid w:val="00A50D36"/>
    <w:rsid w:val="00A50DEA"/>
    <w:rsid w:val="00A51053"/>
    <w:rsid w:val="00A512C0"/>
    <w:rsid w:val="00A51403"/>
    <w:rsid w:val="00A514DF"/>
    <w:rsid w:val="00A51599"/>
    <w:rsid w:val="00A515B0"/>
    <w:rsid w:val="00A517D3"/>
    <w:rsid w:val="00A51CD3"/>
    <w:rsid w:val="00A51F61"/>
    <w:rsid w:val="00A51FDA"/>
    <w:rsid w:val="00A52136"/>
    <w:rsid w:val="00A5235A"/>
    <w:rsid w:val="00A52AAA"/>
    <w:rsid w:val="00A52AE3"/>
    <w:rsid w:val="00A52CB4"/>
    <w:rsid w:val="00A5330A"/>
    <w:rsid w:val="00A534CF"/>
    <w:rsid w:val="00A53508"/>
    <w:rsid w:val="00A5392B"/>
    <w:rsid w:val="00A53B70"/>
    <w:rsid w:val="00A53BF5"/>
    <w:rsid w:val="00A53C0A"/>
    <w:rsid w:val="00A53D09"/>
    <w:rsid w:val="00A53DA7"/>
    <w:rsid w:val="00A5408E"/>
    <w:rsid w:val="00A540DF"/>
    <w:rsid w:val="00A5429F"/>
    <w:rsid w:val="00A54602"/>
    <w:rsid w:val="00A546BB"/>
    <w:rsid w:val="00A5487E"/>
    <w:rsid w:val="00A549A8"/>
    <w:rsid w:val="00A54B69"/>
    <w:rsid w:val="00A54DD1"/>
    <w:rsid w:val="00A54FEB"/>
    <w:rsid w:val="00A55325"/>
    <w:rsid w:val="00A55456"/>
    <w:rsid w:val="00A55714"/>
    <w:rsid w:val="00A558CE"/>
    <w:rsid w:val="00A55924"/>
    <w:rsid w:val="00A55B92"/>
    <w:rsid w:val="00A55C9C"/>
    <w:rsid w:val="00A55D8C"/>
    <w:rsid w:val="00A55F78"/>
    <w:rsid w:val="00A56711"/>
    <w:rsid w:val="00A56C02"/>
    <w:rsid w:val="00A56D28"/>
    <w:rsid w:val="00A570ED"/>
    <w:rsid w:val="00A571FF"/>
    <w:rsid w:val="00A5726E"/>
    <w:rsid w:val="00A57325"/>
    <w:rsid w:val="00A5739C"/>
    <w:rsid w:val="00A57783"/>
    <w:rsid w:val="00A577B9"/>
    <w:rsid w:val="00A57BA3"/>
    <w:rsid w:val="00A57BF7"/>
    <w:rsid w:val="00A57C57"/>
    <w:rsid w:val="00A6028D"/>
    <w:rsid w:val="00A6029D"/>
    <w:rsid w:val="00A602D7"/>
    <w:rsid w:val="00A60432"/>
    <w:rsid w:val="00A6061B"/>
    <w:rsid w:val="00A60650"/>
    <w:rsid w:val="00A6084F"/>
    <w:rsid w:val="00A60900"/>
    <w:rsid w:val="00A60AB4"/>
    <w:rsid w:val="00A60AFD"/>
    <w:rsid w:val="00A60B05"/>
    <w:rsid w:val="00A60B1A"/>
    <w:rsid w:val="00A60EF7"/>
    <w:rsid w:val="00A612AE"/>
    <w:rsid w:val="00A612B6"/>
    <w:rsid w:val="00A61876"/>
    <w:rsid w:val="00A619D5"/>
    <w:rsid w:val="00A61CDA"/>
    <w:rsid w:val="00A62233"/>
    <w:rsid w:val="00A62398"/>
    <w:rsid w:val="00A6246E"/>
    <w:rsid w:val="00A627EF"/>
    <w:rsid w:val="00A62865"/>
    <w:rsid w:val="00A629D1"/>
    <w:rsid w:val="00A62C87"/>
    <w:rsid w:val="00A62CD6"/>
    <w:rsid w:val="00A62DE2"/>
    <w:rsid w:val="00A631C2"/>
    <w:rsid w:val="00A63394"/>
    <w:rsid w:val="00A635C0"/>
    <w:rsid w:val="00A63948"/>
    <w:rsid w:val="00A63BF2"/>
    <w:rsid w:val="00A63C59"/>
    <w:rsid w:val="00A641FC"/>
    <w:rsid w:val="00A64327"/>
    <w:rsid w:val="00A6497F"/>
    <w:rsid w:val="00A64A80"/>
    <w:rsid w:val="00A64B24"/>
    <w:rsid w:val="00A6517A"/>
    <w:rsid w:val="00A654F0"/>
    <w:rsid w:val="00A65660"/>
    <w:rsid w:val="00A65C0A"/>
    <w:rsid w:val="00A65DA6"/>
    <w:rsid w:val="00A65EEA"/>
    <w:rsid w:val="00A65FAF"/>
    <w:rsid w:val="00A66010"/>
    <w:rsid w:val="00A6625F"/>
    <w:rsid w:val="00A663D5"/>
    <w:rsid w:val="00A6655F"/>
    <w:rsid w:val="00A66946"/>
    <w:rsid w:val="00A6696F"/>
    <w:rsid w:val="00A66D1E"/>
    <w:rsid w:val="00A66D98"/>
    <w:rsid w:val="00A66F3E"/>
    <w:rsid w:val="00A67620"/>
    <w:rsid w:val="00A67BE8"/>
    <w:rsid w:val="00A67C11"/>
    <w:rsid w:val="00A67F38"/>
    <w:rsid w:val="00A67FC6"/>
    <w:rsid w:val="00A7042C"/>
    <w:rsid w:val="00A7043B"/>
    <w:rsid w:val="00A70EF5"/>
    <w:rsid w:val="00A71268"/>
    <w:rsid w:val="00A7127D"/>
    <w:rsid w:val="00A71428"/>
    <w:rsid w:val="00A71462"/>
    <w:rsid w:val="00A716B5"/>
    <w:rsid w:val="00A717C7"/>
    <w:rsid w:val="00A71930"/>
    <w:rsid w:val="00A71A61"/>
    <w:rsid w:val="00A71E9F"/>
    <w:rsid w:val="00A72333"/>
    <w:rsid w:val="00A72B4F"/>
    <w:rsid w:val="00A72B67"/>
    <w:rsid w:val="00A72CF0"/>
    <w:rsid w:val="00A72F7F"/>
    <w:rsid w:val="00A73022"/>
    <w:rsid w:val="00A731BC"/>
    <w:rsid w:val="00A73483"/>
    <w:rsid w:val="00A73788"/>
    <w:rsid w:val="00A73855"/>
    <w:rsid w:val="00A73914"/>
    <w:rsid w:val="00A73C8A"/>
    <w:rsid w:val="00A73DBE"/>
    <w:rsid w:val="00A74827"/>
    <w:rsid w:val="00A74A21"/>
    <w:rsid w:val="00A7512F"/>
    <w:rsid w:val="00A7569B"/>
    <w:rsid w:val="00A75772"/>
    <w:rsid w:val="00A75C54"/>
    <w:rsid w:val="00A760F7"/>
    <w:rsid w:val="00A761D1"/>
    <w:rsid w:val="00A7628D"/>
    <w:rsid w:val="00A76321"/>
    <w:rsid w:val="00A7644E"/>
    <w:rsid w:val="00A76492"/>
    <w:rsid w:val="00A7680C"/>
    <w:rsid w:val="00A76AC0"/>
    <w:rsid w:val="00A76EDA"/>
    <w:rsid w:val="00A7703C"/>
    <w:rsid w:val="00A77223"/>
    <w:rsid w:val="00A778F0"/>
    <w:rsid w:val="00A7798E"/>
    <w:rsid w:val="00A77A96"/>
    <w:rsid w:val="00A77AF5"/>
    <w:rsid w:val="00A77D83"/>
    <w:rsid w:val="00A77DEB"/>
    <w:rsid w:val="00A80297"/>
    <w:rsid w:val="00A80485"/>
    <w:rsid w:val="00A8049C"/>
    <w:rsid w:val="00A805EC"/>
    <w:rsid w:val="00A80E37"/>
    <w:rsid w:val="00A80E42"/>
    <w:rsid w:val="00A80E8D"/>
    <w:rsid w:val="00A8106A"/>
    <w:rsid w:val="00A8117E"/>
    <w:rsid w:val="00A81408"/>
    <w:rsid w:val="00A81449"/>
    <w:rsid w:val="00A82043"/>
    <w:rsid w:val="00A8251C"/>
    <w:rsid w:val="00A82579"/>
    <w:rsid w:val="00A826A9"/>
    <w:rsid w:val="00A829F2"/>
    <w:rsid w:val="00A835DB"/>
    <w:rsid w:val="00A83637"/>
    <w:rsid w:val="00A837FC"/>
    <w:rsid w:val="00A8391D"/>
    <w:rsid w:val="00A83B8B"/>
    <w:rsid w:val="00A83F3D"/>
    <w:rsid w:val="00A842D3"/>
    <w:rsid w:val="00A843C2"/>
    <w:rsid w:val="00A849DE"/>
    <w:rsid w:val="00A84B88"/>
    <w:rsid w:val="00A84C16"/>
    <w:rsid w:val="00A84C36"/>
    <w:rsid w:val="00A84C72"/>
    <w:rsid w:val="00A8507C"/>
    <w:rsid w:val="00A8518A"/>
    <w:rsid w:val="00A855CA"/>
    <w:rsid w:val="00A85658"/>
    <w:rsid w:val="00A857C4"/>
    <w:rsid w:val="00A85C8A"/>
    <w:rsid w:val="00A85EA5"/>
    <w:rsid w:val="00A8611A"/>
    <w:rsid w:val="00A86266"/>
    <w:rsid w:val="00A86943"/>
    <w:rsid w:val="00A86CF6"/>
    <w:rsid w:val="00A86DA6"/>
    <w:rsid w:val="00A871C6"/>
    <w:rsid w:val="00A87319"/>
    <w:rsid w:val="00A87330"/>
    <w:rsid w:val="00A874CE"/>
    <w:rsid w:val="00A87522"/>
    <w:rsid w:val="00A8782E"/>
    <w:rsid w:val="00A87A6D"/>
    <w:rsid w:val="00A87DFB"/>
    <w:rsid w:val="00A87E7E"/>
    <w:rsid w:val="00A90209"/>
    <w:rsid w:val="00A903BA"/>
    <w:rsid w:val="00A905E7"/>
    <w:rsid w:val="00A90837"/>
    <w:rsid w:val="00A90B2F"/>
    <w:rsid w:val="00A90B9F"/>
    <w:rsid w:val="00A90BBF"/>
    <w:rsid w:val="00A90FEC"/>
    <w:rsid w:val="00A91467"/>
    <w:rsid w:val="00A91477"/>
    <w:rsid w:val="00A91A22"/>
    <w:rsid w:val="00A91B99"/>
    <w:rsid w:val="00A92054"/>
    <w:rsid w:val="00A921EC"/>
    <w:rsid w:val="00A923DD"/>
    <w:rsid w:val="00A92691"/>
    <w:rsid w:val="00A92710"/>
    <w:rsid w:val="00A92CB8"/>
    <w:rsid w:val="00A92D88"/>
    <w:rsid w:val="00A92F75"/>
    <w:rsid w:val="00A93173"/>
    <w:rsid w:val="00A935DE"/>
    <w:rsid w:val="00A939E5"/>
    <w:rsid w:val="00A93FD1"/>
    <w:rsid w:val="00A94033"/>
    <w:rsid w:val="00A94069"/>
    <w:rsid w:val="00A94433"/>
    <w:rsid w:val="00A94510"/>
    <w:rsid w:val="00A949ED"/>
    <w:rsid w:val="00A94AF0"/>
    <w:rsid w:val="00A94E98"/>
    <w:rsid w:val="00A950FB"/>
    <w:rsid w:val="00A95376"/>
    <w:rsid w:val="00A959A7"/>
    <w:rsid w:val="00A95AFC"/>
    <w:rsid w:val="00A95C31"/>
    <w:rsid w:val="00A95C73"/>
    <w:rsid w:val="00A95EDA"/>
    <w:rsid w:val="00A96353"/>
    <w:rsid w:val="00A96393"/>
    <w:rsid w:val="00A96467"/>
    <w:rsid w:val="00A965EA"/>
    <w:rsid w:val="00A96878"/>
    <w:rsid w:val="00A96A6C"/>
    <w:rsid w:val="00A96BA2"/>
    <w:rsid w:val="00A9700F"/>
    <w:rsid w:val="00A973EF"/>
    <w:rsid w:val="00A979E8"/>
    <w:rsid w:val="00A97A0B"/>
    <w:rsid w:val="00A97B45"/>
    <w:rsid w:val="00A97C02"/>
    <w:rsid w:val="00AA02EB"/>
    <w:rsid w:val="00AA08A9"/>
    <w:rsid w:val="00AA092C"/>
    <w:rsid w:val="00AA09AF"/>
    <w:rsid w:val="00AA0CC1"/>
    <w:rsid w:val="00AA10E4"/>
    <w:rsid w:val="00AA124D"/>
    <w:rsid w:val="00AA12C4"/>
    <w:rsid w:val="00AA1435"/>
    <w:rsid w:val="00AA1917"/>
    <w:rsid w:val="00AA1AA0"/>
    <w:rsid w:val="00AA2352"/>
    <w:rsid w:val="00AA258A"/>
    <w:rsid w:val="00AA26EA"/>
    <w:rsid w:val="00AA2E0F"/>
    <w:rsid w:val="00AA2F24"/>
    <w:rsid w:val="00AA3604"/>
    <w:rsid w:val="00AA3771"/>
    <w:rsid w:val="00AA3C0D"/>
    <w:rsid w:val="00AA3CEA"/>
    <w:rsid w:val="00AA3D88"/>
    <w:rsid w:val="00AA3E1C"/>
    <w:rsid w:val="00AA3E5E"/>
    <w:rsid w:val="00AA3EF0"/>
    <w:rsid w:val="00AA3F42"/>
    <w:rsid w:val="00AA3FF1"/>
    <w:rsid w:val="00AA40DD"/>
    <w:rsid w:val="00AA415F"/>
    <w:rsid w:val="00AA462E"/>
    <w:rsid w:val="00AA4657"/>
    <w:rsid w:val="00AA46A4"/>
    <w:rsid w:val="00AA4875"/>
    <w:rsid w:val="00AA48A5"/>
    <w:rsid w:val="00AA4AAC"/>
    <w:rsid w:val="00AA4E3F"/>
    <w:rsid w:val="00AA5152"/>
    <w:rsid w:val="00AA52D3"/>
    <w:rsid w:val="00AA5CD4"/>
    <w:rsid w:val="00AA5DB3"/>
    <w:rsid w:val="00AA5DF2"/>
    <w:rsid w:val="00AA5E7D"/>
    <w:rsid w:val="00AA6143"/>
    <w:rsid w:val="00AA61F3"/>
    <w:rsid w:val="00AA623E"/>
    <w:rsid w:val="00AA65EA"/>
    <w:rsid w:val="00AA6846"/>
    <w:rsid w:val="00AA6D3D"/>
    <w:rsid w:val="00AA6D74"/>
    <w:rsid w:val="00AA6D87"/>
    <w:rsid w:val="00AA774A"/>
    <w:rsid w:val="00AA7790"/>
    <w:rsid w:val="00AA7DC1"/>
    <w:rsid w:val="00AA7E42"/>
    <w:rsid w:val="00AB0271"/>
    <w:rsid w:val="00AB05E6"/>
    <w:rsid w:val="00AB076F"/>
    <w:rsid w:val="00AB0AD7"/>
    <w:rsid w:val="00AB0C35"/>
    <w:rsid w:val="00AB0DBD"/>
    <w:rsid w:val="00AB10E7"/>
    <w:rsid w:val="00AB128B"/>
    <w:rsid w:val="00AB12D7"/>
    <w:rsid w:val="00AB134F"/>
    <w:rsid w:val="00AB1583"/>
    <w:rsid w:val="00AB164C"/>
    <w:rsid w:val="00AB17F4"/>
    <w:rsid w:val="00AB1AEA"/>
    <w:rsid w:val="00AB1EFE"/>
    <w:rsid w:val="00AB2915"/>
    <w:rsid w:val="00AB2C4D"/>
    <w:rsid w:val="00AB3640"/>
    <w:rsid w:val="00AB3929"/>
    <w:rsid w:val="00AB3934"/>
    <w:rsid w:val="00AB3999"/>
    <w:rsid w:val="00AB3F59"/>
    <w:rsid w:val="00AB4030"/>
    <w:rsid w:val="00AB43E4"/>
    <w:rsid w:val="00AB4C35"/>
    <w:rsid w:val="00AB4D82"/>
    <w:rsid w:val="00AB5162"/>
    <w:rsid w:val="00AB553D"/>
    <w:rsid w:val="00AB5884"/>
    <w:rsid w:val="00AB5A37"/>
    <w:rsid w:val="00AB5A59"/>
    <w:rsid w:val="00AB5E20"/>
    <w:rsid w:val="00AB6000"/>
    <w:rsid w:val="00AB6039"/>
    <w:rsid w:val="00AB6345"/>
    <w:rsid w:val="00AB648A"/>
    <w:rsid w:val="00AB64DA"/>
    <w:rsid w:val="00AB6697"/>
    <w:rsid w:val="00AB6700"/>
    <w:rsid w:val="00AB67A8"/>
    <w:rsid w:val="00AB67C2"/>
    <w:rsid w:val="00AB6966"/>
    <w:rsid w:val="00AB6994"/>
    <w:rsid w:val="00AB6998"/>
    <w:rsid w:val="00AB6C10"/>
    <w:rsid w:val="00AB700F"/>
    <w:rsid w:val="00AB735B"/>
    <w:rsid w:val="00AB771E"/>
    <w:rsid w:val="00AB7963"/>
    <w:rsid w:val="00AB7B3E"/>
    <w:rsid w:val="00AB7E68"/>
    <w:rsid w:val="00AC022D"/>
    <w:rsid w:val="00AC0538"/>
    <w:rsid w:val="00AC0545"/>
    <w:rsid w:val="00AC088F"/>
    <w:rsid w:val="00AC0903"/>
    <w:rsid w:val="00AC0ECC"/>
    <w:rsid w:val="00AC0F0E"/>
    <w:rsid w:val="00AC0F82"/>
    <w:rsid w:val="00AC1122"/>
    <w:rsid w:val="00AC129E"/>
    <w:rsid w:val="00AC1587"/>
    <w:rsid w:val="00AC1665"/>
    <w:rsid w:val="00AC1678"/>
    <w:rsid w:val="00AC16E5"/>
    <w:rsid w:val="00AC18A9"/>
    <w:rsid w:val="00AC1D2F"/>
    <w:rsid w:val="00AC1F60"/>
    <w:rsid w:val="00AC209F"/>
    <w:rsid w:val="00AC21C2"/>
    <w:rsid w:val="00AC22DF"/>
    <w:rsid w:val="00AC235A"/>
    <w:rsid w:val="00AC27C1"/>
    <w:rsid w:val="00AC29F2"/>
    <w:rsid w:val="00AC2F25"/>
    <w:rsid w:val="00AC3480"/>
    <w:rsid w:val="00AC36BC"/>
    <w:rsid w:val="00AC3AC6"/>
    <w:rsid w:val="00AC3C4A"/>
    <w:rsid w:val="00AC419C"/>
    <w:rsid w:val="00AC4748"/>
    <w:rsid w:val="00AC4CDF"/>
    <w:rsid w:val="00AC4D85"/>
    <w:rsid w:val="00AC4E02"/>
    <w:rsid w:val="00AC5427"/>
    <w:rsid w:val="00AC5517"/>
    <w:rsid w:val="00AC55D8"/>
    <w:rsid w:val="00AC5A6E"/>
    <w:rsid w:val="00AC5AA7"/>
    <w:rsid w:val="00AC5AB9"/>
    <w:rsid w:val="00AC5CBC"/>
    <w:rsid w:val="00AC61DD"/>
    <w:rsid w:val="00AC66EB"/>
    <w:rsid w:val="00AC6FD5"/>
    <w:rsid w:val="00AC7003"/>
    <w:rsid w:val="00AC73E2"/>
    <w:rsid w:val="00AC767A"/>
    <w:rsid w:val="00AC7A9F"/>
    <w:rsid w:val="00AC7CD1"/>
    <w:rsid w:val="00AD0054"/>
    <w:rsid w:val="00AD06BB"/>
    <w:rsid w:val="00AD076B"/>
    <w:rsid w:val="00AD08F7"/>
    <w:rsid w:val="00AD0ABF"/>
    <w:rsid w:val="00AD0D7C"/>
    <w:rsid w:val="00AD0E33"/>
    <w:rsid w:val="00AD0E45"/>
    <w:rsid w:val="00AD0EF1"/>
    <w:rsid w:val="00AD1677"/>
    <w:rsid w:val="00AD17E8"/>
    <w:rsid w:val="00AD191B"/>
    <w:rsid w:val="00AD2D30"/>
    <w:rsid w:val="00AD2EF2"/>
    <w:rsid w:val="00AD3067"/>
    <w:rsid w:val="00AD313E"/>
    <w:rsid w:val="00AD317C"/>
    <w:rsid w:val="00AD321D"/>
    <w:rsid w:val="00AD32CB"/>
    <w:rsid w:val="00AD374B"/>
    <w:rsid w:val="00AD3908"/>
    <w:rsid w:val="00AD3929"/>
    <w:rsid w:val="00AD3C00"/>
    <w:rsid w:val="00AD3DA7"/>
    <w:rsid w:val="00AD3DC5"/>
    <w:rsid w:val="00AD3DD7"/>
    <w:rsid w:val="00AD3F5B"/>
    <w:rsid w:val="00AD40C8"/>
    <w:rsid w:val="00AD45F7"/>
    <w:rsid w:val="00AD4BCF"/>
    <w:rsid w:val="00AD4C88"/>
    <w:rsid w:val="00AD4F53"/>
    <w:rsid w:val="00AD51BB"/>
    <w:rsid w:val="00AD5353"/>
    <w:rsid w:val="00AD5649"/>
    <w:rsid w:val="00AD5859"/>
    <w:rsid w:val="00AD590C"/>
    <w:rsid w:val="00AD5B9C"/>
    <w:rsid w:val="00AD5CB6"/>
    <w:rsid w:val="00AD5F66"/>
    <w:rsid w:val="00AD62D5"/>
    <w:rsid w:val="00AD63B5"/>
    <w:rsid w:val="00AD643D"/>
    <w:rsid w:val="00AD64DB"/>
    <w:rsid w:val="00AD69C9"/>
    <w:rsid w:val="00AD6E6C"/>
    <w:rsid w:val="00AD7235"/>
    <w:rsid w:val="00AD758E"/>
    <w:rsid w:val="00AD75C9"/>
    <w:rsid w:val="00AD788B"/>
    <w:rsid w:val="00AD7A5A"/>
    <w:rsid w:val="00AD7A86"/>
    <w:rsid w:val="00AD7FDD"/>
    <w:rsid w:val="00AE00BA"/>
    <w:rsid w:val="00AE018B"/>
    <w:rsid w:val="00AE05E0"/>
    <w:rsid w:val="00AE0BA0"/>
    <w:rsid w:val="00AE0D3F"/>
    <w:rsid w:val="00AE119B"/>
    <w:rsid w:val="00AE1862"/>
    <w:rsid w:val="00AE199E"/>
    <w:rsid w:val="00AE1CD5"/>
    <w:rsid w:val="00AE1D1A"/>
    <w:rsid w:val="00AE1FB2"/>
    <w:rsid w:val="00AE2046"/>
    <w:rsid w:val="00AE2382"/>
    <w:rsid w:val="00AE26F5"/>
    <w:rsid w:val="00AE2709"/>
    <w:rsid w:val="00AE3071"/>
    <w:rsid w:val="00AE3104"/>
    <w:rsid w:val="00AE3185"/>
    <w:rsid w:val="00AE3569"/>
    <w:rsid w:val="00AE393A"/>
    <w:rsid w:val="00AE39A6"/>
    <w:rsid w:val="00AE3A32"/>
    <w:rsid w:val="00AE3ABC"/>
    <w:rsid w:val="00AE3AF0"/>
    <w:rsid w:val="00AE3F0E"/>
    <w:rsid w:val="00AE4784"/>
    <w:rsid w:val="00AE4DF5"/>
    <w:rsid w:val="00AE4E05"/>
    <w:rsid w:val="00AE504A"/>
    <w:rsid w:val="00AE516E"/>
    <w:rsid w:val="00AE5480"/>
    <w:rsid w:val="00AE5888"/>
    <w:rsid w:val="00AE59D3"/>
    <w:rsid w:val="00AE5C48"/>
    <w:rsid w:val="00AE5D85"/>
    <w:rsid w:val="00AE5E5F"/>
    <w:rsid w:val="00AE6500"/>
    <w:rsid w:val="00AE671A"/>
    <w:rsid w:val="00AE6E43"/>
    <w:rsid w:val="00AE6EB4"/>
    <w:rsid w:val="00AE707A"/>
    <w:rsid w:val="00AE7704"/>
    <w:rsid w:val="00AE7ACB"/>
    <w:rsid w:val="00AE7C67"/>
    <w:rsid w:val="00AE7D98"/>
    <w:rsid w:val="00AE7ECA"/>
    <w:rsid w:val="00AE7ED5"/>
    <w:rsid w:val="00AF0065"/>
    <w:rsid w:val="00AF03A3"/>
    <w:rsid w:val="00AF0498"/>
    <w:rsid w:val="00AF062A"/>
    <w:rsid w:val="00AF073C"/>
    <w:rsid w:val="00AF0E61"/>
    <w:rsid w:val="00AF11E5"/>
    <w:rsid w:val="00AF18B0"/>
    <w:rsid w:val="00AF196F"/>
    <w:rsid w:val="00AF19E4"/>
    <w:rsid w:val="00AF1A2F"/>
    <w:rsid w:val="00AF1C02"/>
    <w:rsid w:val="00AF23F7"/>
    <w:rsid w:val="00AF27D0"/>
    <w:rsid w:val="00AF27EF"/>
    <w:rsid w:val="00AF2827"/>
    <w:rsid w:val="00AF28C1"/>
    <w:rsid w:val="00AF2AB0"/>
    <w:rsid w:val="00AF2C74"/>
    <w:rsid w:val="00AF2DAE"/>
    <w:rsid w:val="00AF3079"/>
    <w:rsid w:val="00AF35F6"/>
    <w:rsid w:val="00AF37C7"/>
    <w:rsid w:val="00AF3DC2"/>
    <w:rsid w:val="00AF421E"/>
    <w:rsid w:val="00AF47D7"/>
    <w:rsid w:val="00AF488E"/>
    <w:rsid w:val="00AF4893"/>
    <w:rsid w:val="00AF4951"/>
    <w:rsid w:val="00AF50FE"/>
    <w:rsid w:val="00AF51F5"/>
    <w:rsid w:val="00AF5376"/>
    <w:rsid w:val="00AF53CE"/>
    <w:rsid w:val="00AF542A"/>
    <w:rsid w:val="00AF563A"/>
    <w:rsid w:val="00AF56F8"/>
    <w:rsid w:val="00AF57DF"/>
    <w:rsid w:val="00AF5825"/>
    <w:rsid w:val="00AF5C5D"/>
    <w:rsid w:val="00AF5D19"/>
    <w:rsid w:val="00AF6380"/>
    <w:rsid w:val="00AF645F"/>
    <w:rsid w:val="00AF6467"/>
    <w:rsid w:val="00AF6627"/>
    <w:rsid w:val="00AF67E4"/>
    <w:rsid w:val="00AF7081"/>
    <w:rsid w:val="00AF70D3"/>
    <w:rsid w:val="00AF7402"/>
    <w:rsid w:val="00AF7908"/>
    <w:rsid w:val="00AF7CE8"/>
    <w:rsid w:val="00B00152"/>
    <w:rsid w:val="00B0088F"/>
    <w:rsid w:val="00B00A1F"/>
    <w:rsid w:val="00B00AFF"/>
    <w:rsid w:val="00B00B2B"/>
    <w:rsid w:val="00B00B3C"/>
    <w:rsid w:val="00B00C27"/>
    <w:rsid w:val="00B0151C"/>
    <w:rsid w:val="00B015C1"/>
    <w:rsid w:val="00B01BB9"/>
    <w:rsid w:val="00B01BEC"/>
    <w:rsid w:val="00B01C4F"/>
    <w:rsid w:val="00B01C92"/>
    <w:rsid w:val="00B01DAB"/>
    <w:rsid w:val="00B01F11"/>
    <w:rsid w:val="00B02407"/>
    <w:rsid w:val="00B02713"/>
    <w:rsid w:val="00B02826"/>
    <w:rsid w:val="00B02846"/>
    <w:rsid w:val="00B0348D"/>
    <w:rsid w:val="00B0378F"/>
    <w:rsid w:val="00B037DC"/>
    <w:rsid w:val="00B03ACA"/>
    <w:rsid w:val="00B03C08"/>
    <w:rsid w:val="00B03CA2"/>
    <w:rsid w:val="00B03CE1"/>
    <w:rsid w:val="00B03EF8"/>
    <w:rsid w:val="00B04078"/>
    <w:rsid w:val="00B045C1"/>
    <w:rsid w:val="00B048D9"/>
    <w:rsid w:val="00B04BF2"/>
    <w:rsid w:val="00B04C33"/>
    <w:rsid w:val="00B05039"/>
    <w:rsid w:val="00B05672"/>
    <w:rsid w:val="00B057E9"/>
    <w:rsid w:val="00B05861"/>
    <w:rsid w:val="00B05896"/>
    <w:rsid w:val="00B05DC0"/>
    <w:rsid w:val="00B060E5"/>
    <w:rsid w:val="00B063BB"/>
    <w:rsid w:val="00B066D9"/>
    <w:rsid w:val="00B06801"/>
    <w:rsid w:val="00B068AC"/>
    <w:rsid w:val="00B06D0F"/>
    <w:rsid w:val="00B06E86"/>
    <w:rsid w:val="00B06ECE"/>
    <w:rsid w:val="00B07828"/>
    <w:rsid w:val="00B07C73"/>
    <w:rsid w:val="00B07EF5"/>
    <w:rsid w:val="00B07FB7"/>
    <w:rsid w:val="00B106B7"/>
    <w:rsid w:val="00B10A53"/>
    <w:rsid w:val="00B10A91"/>
    <w:rsid w:val="00B10E11"/>
    <w:rsid w:val="00B12397"/>
    <w:rsid w:val="00B123CA"/>
    <w:rsid w:val="00B1245E"/>
    <w:rsid w:val="00B12AB6"/>
    <w:rsid w:val="00B12AF2"/>
    <w:rsid w:val="00B13104"/>
    <w:rsid w:val="00B1314F"/>
    <w:rsid w:val="00B132F5"/>
    <w:rsid w:val="00B13345"/>
    <w:rsid w:val="00B13461"/>
    <w:rsid w:val="00B13866"/>
    <w:rsid w:val="00B13CE4"/>
    <w:rsid w:val="00B13F75"/>
    <w:rsid w:val="00B142E5"/>
    <w:rsid w:val="00B14699"/>
    <w:rsid w:val="00B14862"/>
    <w:rsid w:val="00B15027"/>
    <w:rsid w:val="00B15061"/>
    <w:rsid w:val="00B150A6"/>
    <w:rsid w:val="00B15378"/>
    <w:rsid w:val="00B15396"/>
    <w:rsid w:val="00B1560D"/>
    <w:rsid w:val="00B1579F"/>
    <w:rsid w:val="00B15AD8"/>
    <w:rsid w:val="00B15F91"/>
    <w:rsid w:val="00B16031"/>
    <w:rsid w:val="00B16073"/>
    <w:rsid w:val="00B16224"/>
    <w:rsid w:val="00B1623C"/>
    <w:rsid w:val="00B1623F"/>
    <w:rsid w:val="00B1646F"/>
    <w:rsid w:val="00B16569"/>
    <w:rsid w:val="00B1657C"/>
    <w:rsid w:val="00B16764"/>
    <w:rsid w:val="00B167B7"/>
    <w:rsid w:val="00B167C6"/>
    <w:rsid w:val="00B16837"/>
    <w:rsid w:val="00B16935"/>
    <w:rsid w:val="00B16C0E"/>
    <w:rsid w:val="00B170E4"/>
    <w:rsid w:val="00B17378"/>
    <w:rsid w:val="00B17557"/>
    <w:rsid w:val="00B17C5E"/>
    <w:rsid w:val="00B2024C"/>
    <w:rsid w:val="00B202EA"/>
    <w:rsid w:val="00B2047B"/>
    <w:rsid w:val="00B2050E"/>
    <w:rsid w:val="00B20586"/>
    <w:rsid w:val="00B20727"/>
    <w:rsid w:val="00B20857"/>
    <w:rsid w:val="00B2089E"/>
    <w:rsid w:val="00B21057"/>
    <w:rsid w:val="00B211FE"/>
    <w:rsid w:val="00B218B8"/>
    <w:rsid w:val="00B219C5"/>
    <w:rsid w:val="00B21ADC"/>
    <w:rsid w:val="00B21B0F"/>
    <w:rsid w:val="00B21B74"/>
    <w:rsid w:val="00B21BAE"/>
    <w:rsid w:val="00B21DE1"/>
    <w:rsid w:val="00B21E19"/>
    <w:rsid w:val="00B22031"/>
    <w:rsid w:val="00B220AC"/>
    <w:rsid w:val="00B22724"/>
    <w:rsid w:val="00B22745"/>
    <w:rsid w:val="00B227BC"/>
    <w:rsid w:val="00B2288E"/>
    <w:rsid w:val="00B22AA4"/>
    <w:rsid w:val="00B22DA5"/>
    <w:rsid w:val="00B22E18"/>
    <w:rsid w:val="00B22E4B"/>
    <w:rsid w:val="00B22F0B"/>
    <w:rsid w:val="00B2339B"/>
    <w:rsid w:val="00B2347E"/>
    <w:rsid w:val="00B2390E"/>
    <w:rsid w:val="00B239B8"/>
    <w:rsid w:val="00B23A56"/>
    <w:rsid w:val="00B23ABD"/>
    <w:rsid w:val="00B23E6E"/>
    <w:rsid w:val="00B23F78"/>
    <w:rsid w:val="00B2451B"/>
    <w:rsid w:val="00B24C92"/>
    <w:rsid w:val="00B24D47"/>
    <w:rsid w:val="00B24ECF"/>
    <w:rsid w:val="00B25277"/>
    <w:rsid w:val="00B2536B"/>
    <w:rsid w:val="00B25414"/>
    <w:rsid w:val="00B25596"/>
    <w:rsid w:val="00B25618"/>
    <w:rsid w:val="00B25C7B"/>
    <w:rsid w:val="00B25FE2"/>
    <w:rsid w:val="00B2607A"/>
    <w:rsid w:val="00B2649D"/>
    <w:rsid w:val="00B269D1"/>
    <w:rsid w:val="00B27048"/>
    <w:rsid w:val="00B272C2"/>
    <w:rsid w:val="00B2763A"/>
    <w:rsid w:val="00B277B2"/>
    <w:rsid w:val="00B27B8E"/>
    <w:rsid w:val="00B27CF5"/>
    <w:rsid w:val="00B27E0A"/>
    <w:rsid w:val="00B303D3"/>
    <w:rsid w:val="00B30708"/>
    <w:rsid w:val="00B3073A"/>
    <w:rsid w:val="00B309E3"/>
    <w:rsid w:val="00B30DD0"/>
    <w:rsid w:val="00B30F02"/>
    <w:rsid w:val="00B3119A"/>
    <w:rsid w:val="00B31295"/>
    <w:rsid w:val="00B3158A"/>
    <w:rsid w:val="00B31646"/>
    <w:rsid w:val="00B31732"/>
    <w:rsid w:val="00B31A54"/>
    <w:rsid w:val="00B31A9D"/>
    <w:rsid w:val="00B31AD0"/>
    <w:rsid w:val="00B31B50"/>
    <w:rsid w:val="00B31DDB"/>
    <w:rsid w:val="00B3295F"/>
    <w:rsid w:val="00B32B43"/>
    <w:rsid w:val="00B32CA3"/>
    <w:rsid w:val="00B32EE3"/>
    <w:rsid w:val="00B3325A"/>
    <w:rsid w:val="00B336AD"/>
    <w:rsid w:val="00B33CEF"/>
    <w:rsid w:val="00B33D29"/>
    <w:rsid w:val="00B3412C"/>
    <w:rsid w:val="00B343D8"/>
    <w:rsid w:val="00B34879"/>
    <w:rsid w:val="00B349A8"/>
    <w:rsid w:val="00B349EF"/>
    <w:rsid w:val="00B34AD5"/>
    <w:rsid w:val="00B34B6C"/>
    <w:rsid w:val="00B34C23"/>
    <w:rsid w:val="00B34E63"/>
    <w:rsid w:val="00B34F2F"/>
    <w:rsid w:val="00B353F7"/>
    <w:rsid w:val="00B35596"/>
    <w:rsid w:val="00B355BD"/>
    <w:rsid w:val="00B35605"/>
    <w:rsid w:val="00B357FB"/>
    <w:rsid w:val="00B358CE"/>
    <w:rsid w:val="00B36757"/>
    <w:rsid w:val="00B367A9"/>
    <w:rsid w:val="00B36CD6"/>
    <w:rsid w:val="00B3740E"/>
    <w:rsid w:val="00B37A63"/>
    <w:rsid w:val="00B37BBE"/>
    <w:rsid w:val="00B37C71"/>
    <w:rsid w:val="00B37E1C"/>
    <w:rsid w:val="00B37EBD"/>
    <w:rsid w:val="00B37FEE"/>
    <w:rsid w:val="00B4065B"/>
    <w:rsid w:val="00B4077D"/>
    <w:rsid w:val="00B40899"/>
    <w:rsid w:val="00B4094A"/>
    <w:rsid w:val="00B40A2C"/>
    <w:rsid w:val="00B40A70"/>
    <w:rsid w:val="00B40A9D"/>
    <w:rsid w:val="00B40B48"/>
    <w:rsid w:val="00B40CC2"/>
    <w:rsid w:val="00B417FB"/>
    <w:rsid w:val="00B41930"/>
    <w:rsid w:val="00B41B92"/>
    <w:rsid w:val="00B41CB7"/>
    <w:rsid w:val="00B41DA4"/>
    <w:rsid w:val="00B41DAC"/>
    <w:rsid w:val="00B420CA"/>
    <w:rsid w:val="00B422BA"/>
    <w:rsid w:val="00B422E4"/>
    <w:rsid w:val="00B42376"/>
    <w:rsid w:val="00B42705"/>
    <w:rsid w:val="00B428F2"/>
    <w:rsid w:val="00B42A27"/>
    <w:rsid w:val="00B42D2B"/>
    <w:rsid w:val="00B42E47"/>
    <w:rsid w:val="00B42EC9"/>
    <w:rsid w:val="00B42F3B"/>
    <w:rsid w:val="00B4334B"/>
    <w:rsid w:val="00B43489"/>
    <w:rsid w:val="00B434AA"/>
    <w:rsid w:val="00B43806"/>
    <w:rsid w:val="00B43B7C"/>
    <w:rsid w:val="00B43C54"/>
    <w:rsid w:val="00B44113"/>
    <w:rsid w:val="00B44188"/>
    <w:rsid w:val="00B44C5D"/>
    <w:rsid w:val="00B45071"/>
    <w:rsid w:val="00B45293"/>
    <w:rsid w:val="00B453AE"/>
    <w:rsid w:val="00B4548B"/>
    <w:rsid w:val="00B4558C"/>
    <w:rsid w:val="00B45AFD"/>
    <w:rsid w:val="00B45C19"/>
    <w:rsid w:val="00B45D71"/>
    <w:rsid w:val="00B46125"/>
    <w:rsid w:val="00B46507"/>
    <w:rsid w:val="00B4678F"/>
    <w:rsid w:val="00B46E5E"/>
    <w:rsid w:val="00B4715C"/>
    <w:rsid w:val="00B47458"/>
    <w:rsid w:val="00B47FDB"/>
    <w:rsid w:val="00B5039F"/>
    <w:rsid w:val="00B50426"/>
    <w:rsid w:val="00B50822"/>
    <w:rsid w:val="00B50944"/>
    <w:rsid w:val="00B50C0B"/>
    <w:rsid w:val="00B510EE"/>
    <w:rsid w:val="00B514E6"/>
    <w:rsid w:val="00B515EA"/>
    <w:rsid w:val="00B519F4"/>
    <w:rsid w:val="00B51D79"/>
    <w:rsid w:val="00B52C8B"/>
    <w:rsid w:val="00B52D78"/>
    <w:rsid w:val="00B52E46"/>
    <w:rsid w:val="00B5303D"/>
    <w:rsid w:val="00B5312D"/>
    <w:rsid w:val="00B5322A"/>
    <w:rsid w:val="00B534F7"/>
    <w:rsid w:val="00B5364B"/>
    <w:rsid w:val="00B53896"/>
    <w:rsid w:val="00B53D73"/>
    <w:rsid w:val="00B53E70"/>
    <w:rsid w:val="00B542CB"/>
    <w:rsid w:val="00B54889"/>
    <w:rsid w:val="00B54BE4"/>
    <w:rsid w:val="00B55366"/>
    <w:rsid w:val="00B5557F"/>
    <w:rsid w:val="00B555F3"/>
    <w:rsid w:val="00B558BA"/>
    <w:rsid w:val="00B55D89"/>
    <w:rsid w:val="00B55DE4"/>
    <w:rsid w:val="00B56243"/>
    <w:rsid w:val="00B567A6"/>
    <w:rsid w:val="00B56F00"/>
    <w:rsid w:val="00B56F47"/>
    <w:rsid w:val="00B571F1"/>
    <w:rsid w:val="00B574B8"/>
    <w:rsid w:val="00B579B4"/>
    <w:rsid w:val="00B57B96"/>
    <w:rsid w:val="00B57B9E"/>
    <w:rsid w:val="00B57CCE"/>
    <w:rsid w:val="00B57EA1"/>
    <w:rsid w:val="00B57FA7"/>
    <w:rsid w:val="00B602A6"/>
    <w:rsid w:val="00B605CF"/>
    <w:rsid w:val="00B606C6"/>
    <w:rsid w:val="00B609E4"/>
    <w:rsid w:val="00B60B0B"/>
    <w:rsid w:val="00B60E7D"/>
    <w:rsid w:val="00B60F8D"/>
    <w:rsid w:val="00B611A9"/>
    <w:rsid w:val="00B614C8"/>
    <w:rsid w:val="00B61FDB"/>
    <w:rsid w:val="00B62243"/>
    <w:rsid w:val="00B626B9"/>
    <w:rsid w:val="00B6290C"/>
    <w:rsid w:val="00B62D60"/>
    <w:rsid w:val="00B62FA8"/>
    <w:rsid w:val="00B6313D"/>
    <w:rsid w:val="00B6331B"/>
    <w:rsid w:val="00B63645"/>
    <w:rsid w:val="00B640B4"/>
    <w:rsid w:val="00B640E0"/>
    <w:rsid w:val="00B642F7"/>
    <w:rsid w:val="00B643A6"/>
    <w:rsid w:val="00B648A0"/>
    <w:rsid w:val="00B64920"/>
    <w:rsid w:val="00B64ABC"/>
    <w:rsid w:val="00B64BF9"/>
    <w:rsid w:val="00B64CEB"/>
    <w:rsid w:val="00B64EDA"/>
    <w:rsid w:val="00B654FE"/>
    <w:rsid w:val="00B65823"/>
    <w:rsid w:val="00B658EE"/>
    <w:rsid w:val="00B65C30"/>
    <w:rsid w:val="00B663DF"/>
    <w:rsid w:val="00B664EA"/>
    <w:rsid w:val="00B66785"/>
    <w:rsid w:val="00B66AE6"/>
    <w:rsid w:val="00B66B78"/>
    <w:rsid w:val="00B66EEC"/>
    <w:rsid w:val="00B678DF"/>
    <w:rsid w:val="00B678F4"/>
    <w:rsid w:val="00B67C4E"/>
    <w:rsid w:val="00B67FFA"/>
    <w:rsid w:val="00B7033B"/>
    <w:rsid w:val="00B7050F"/>
    <w:rsid w:val="00B71066"/>
    <w:rsid w:val="00B716BE"/>
    <w:rsid w:val="00B716E7"/>
    <w:rsid w:val="00B717AE"/>
    <w:rsid w:val="00B71A17"/>
    <w:rsid w:val="00B7204F"/>
    <w:rsid w:val="00B72319"/>
    <w:rsid w:val="00B72631"/>
    <w:rsid w:val="00B7274A"/>
    <w:rsid w:val="00B72A3B"/>
    <w:rsid w:val="00B72CAC"/>
    <w:rsid w:val="00B72DE2"/>
    <w:rsid w:val="00B72F05"/>
    <w:rsid w:val="00B72FA9"/>
    <w:rsid w:val="00B730EE"/>
    <w:rsid w:val="00B732F2"/>
    <w:rsid w:val="00B73307"/>
    <w:rsid w:val="00B73BCF"/>
    <w:rsid w:val="00B73D01"/>
    <w:rsid w:val="00B73D8A"/>
    <w:rsid w:val="00B73E37"/>
    <w:rsid w:val="00B74020"/>
    <w:rsid w:val="00B745CA"/>
    <w:rsid w:val="00B747D6"/>
    <w:rsid w:val="00B74FFC"/>
    <w:rsid w:val="00B75055"/>
    <w:rsid w:val="00B750A3"/>
    <w:rsid w:val="00B753CE"/>
    <w:rsid w:val="00B7557A"/>
    <w:rsid w:val="00B75643"/>
    <w:rsid w:val="00B75A15"/>
    <w:rsid w:val="00B75C27"/>
    <w:rsid w:val="00B75CB3"/>
    <w:rsid w:val="00B75D29"/>
    <w:rsid w:val="00B761BF"/>
    <w:rsid w:val="00B7623D"/>
    <w:rsid w:val="00B7640E"/>
    <w:rsid w:val="00B76492"/>
    <w:rsid w:val="00B76641"/>
    <w:rsid w:val="00B76B15"/>
    <w:rsid w:val="00B76CC1"/>
    <w:rsid w:val="00B76D57"/>
    <w:rsid w:val="00B7728C"/>
    <w:rsid w:val="00B772B1"/>
    <w:rsid w:val="00B7754B"/>
    <w:rsid w:val="00B77F61"/>
    <w:rsid w:val="00B80002"/>
    <w:rsid w:val="00B801B6"/>
    <w:rsid w:val="00B80215"/>
    <w:rsid w:val="00B80227"/>
    <w:rsid w:val="00B806D7"/>
    <w:rsid w:val="00B809AC"/>
    <w:rsid w:val="00B81D30"/>
    <w:rsid w:val="00B81ED3"/>
    <w:rsid w:val="00B8202A"/>
    <w:rsid w:val="00B8208E"/>
    <w:rsid w:val="00B82189"/>
    <w:rsid w:val="00B824E0"/>
    <w:rsid w:val="00B828AD"/>
    <w:rsid w:val="00B82CFB"/>
    <w:rsid w:val="00B83009"/>
    <w:rsid w:val="00B831DF"/>
    <w:rsid w:val="00B83220"/>
    <w:rsid w:val="00B83433"/>
    <w:rsid w:val="00B834B7"/>
    <w:rsid w:val="00B8382C"/>
    <w:rsid w:val="00B83E95"/>
    <w:rsid w:val="00B83F07"/>
    <w:rsid w:val="00B83F38"/>
    <w:rsid w:val="00B842CF"/>
    <w:rsid w:val="00B8497B"/>
    <w:rsid w:val="00B84BAB"/>
    <w:rsid w:val="00B850A1"/>
    <w:rsid w:val="00B8547D"/>
    <w:rsid w:val="00B85575"/>
    <w:rsid w:val="00B85CED"/>
    <w:rsid w:val="00B85FF7"/>
    <w:rsid w:val="00B86257"/>
    <w:rsid w:val="00B8639D"/>
    <w:rsid w:val="00B864EE"/>
    <w:rsid w:val="00B8658A"/>
    <w:rsid w:val="00B868D4"/>
    <w:rsid w:val="00B86CBE"/>
    <w:rsid w:val="00B87512"/>
    <w:rsid w:val="00B8774D"/>
    <w:rsid w:val="00B87B63"/>
    <w:rsid w:val="00B87EAF"/>
    <w:rsid w:val="00B87EB6"/>
    <w:rsid w:val="00B88574"/>
    <w:rsid w:val="00B90089"/>
    <w:rsid w:val="00B90475"/>
    <w:rsid w:val="00B90496"/>
    <w:rsid w:val="00B9054D"/>
    <w:rsid w:val="00B90A8D"/>
    <w:rsid w:val="00B90BE5"/>
    <w:rsid w:val="00B9142B"/>
    <w:rsid w:val="00B9169A"/>
    <w:rsid w:val="00B91821"/>
    <w:rsid w:val="00B91E8F"/>
    <w:rsid w:val="00B92095"/>
    <w:rsid w:val="00B92133"/>
    <w:rsid w:val="00B92137"/>
    <w:rsid w:val="00B923CA"/>
    <w:rsid w:val="00B9257B"/>
    <w:rsid w:val="00B925F1"/>
    <w:rsid w:val="00B92B34"/>
    <w:rsid w:val="00B92B4C"/>
    <w:rsid w:val="00B92ED6"/>
    <w:rsid w:val="00B93001"/>
    <w:rsid w:val="00B9312D"/>
    <w:rsid w:val="00B934D0"/>
    <w:rsid w:val="00B935CE"/>
    <w:rsid w:val="00B93C0B"/>
    <w:rsid w:val="00B93E9E"/>
    <w:rsid w:val="00B94207"/>
    <w:rsid w:val="00B947ED"/>
    <w:rsid w:val="00B949F4"/>
    <w:rsid w:val="00B94A4C"/>
    <w:rsid w:val="00B94C6A"/>
    <w:rsid w:val="00B94EB1"/>
    <w:rsid w:val="00B9510A"/>
    <w:rsid w:val="00B95125"/>
    <w:rsid w:val="00B95134"/>
    <w:rsid w:val="00B95384"/>
    <w:rsid w:val="00B95666"/>
    <w:rsid w:val="00B95882"/>
    <w:rsid w:val="00B95B2A"/>
    <w:rsid w:val="00B95F14"/>
    <w:rsid w:val="00B95F73"/>
    <w:rsid w:val="00B96150"/>
    <w:rsid w:val="00B962A8"/>
    <w:rsid w:val="00B96353"/>
    <w:rsid w:val="00B963C3"/>
    <w:rsid w:val="00B96454"/>
    <w:rsid w:val="00B96587"/>
    <w:rsid w:val="00B969CF"/>
    <w:rsid w:val="00B96B26"/>
    <w:rsid w:val="00B96BB3"/>
    <w:rsid w:val="00B97057"/>
    <w:rsid w:val="00B97413"/>
    <w:rsid w:val="00B97C89"/>
    <w:rsid w:val="00B97FA5"/>
    <w:rsid w:val="00BA0078"/>
    <w:rsid w:val="00BA00C9"/>
    <w:rsid w:val="00BA0226"/>
    <w:rsid w:val="00BA03AD"/>
    <w:rsid w:val="00BA03CE"/>
    <w:rsid w:val="00BA05A5"/>
    <w:rsid w:val="00BA07D3"/>
    <w:rsid w:val="00BA0E61"/>
    <w:rsid w:val="00BA0F2C"/>
    <w:rsid w:val="00BA10E1"/>
    <w:rsid w:val="00BA11E5"/>
    <w:rsid w:val="00BA11EE"/>
    <w:rsid w:val="00BA18B7"/>
    <w:rsid w:val="00BA2104"/>
    <w:rsid w:val="00BA2675"/>
    <w:rsid w:val="00BA27BC"/>
    <w:rsid w:val="00BA2DD0"/>
    <w:rsid w:val="00BA3187"/>
    <w:rsid w:val="00BA3BD3"/>
    <w:rsid w:val="00BA3E76"/>
    <w:rsid w:val="00BA4A0C"/>
    <w:rsid w:val="00BA4A23"/>
    <w:rsid w:val="00BA4A80"/>
    <w:rsid w:val="00BA5152"/>
    <w:rsid w:val="00BA5428"/>
    <w:rsid w:val="00BA5494"/>
    <w:rsid w:val="00BA54B1"/>
    <w:rsid w:val="00BA5B81"/>
    <w:rsid w:val="00BA5C2D"/>
    <w:rsid w:val="00BA5F9F"/>
    <w:rsid w:val="00BA61B1"/>
    <w:rsid w:val="00BA61EC"/>
    <w:rsid w:val="00BA6578"/>
    <w:rsid w:val="00BA65B2"/>
    <w:rsid w:val="00BA65C8"/>
    <w:rsid w:val="00BA6746"/>
    <w:rsid w:val="00BA6A41"/>
    <w:rsid w:val="00BA6B19"/>
    <w:rsid w:val="00BA6B4F"/>
    <w:rsid w:val="00BA6E3F"/>
    <w:rsid w:val="00BA6E86"/>
    <w:rsid w:val="00BA6F93"/>
    <w:rsid w:val="00BA7104"/>
    <w:rsid w:val="00BA71BA"/>
    <w:rsid w:val="00BA75AB"/>
    <w:rsid w:val="00BA7780"/>
    <w:rsid w:val="00BA7AC2"/>
    <w:rsid w:val="00BA7C96"/>
    <w:rsid w:val="00BA7DE9"/>
    <w:rsid w:val="00BA7E9A"/>
    <w:rsid w:val="00BB030E"/>
    <w:rsid w:val="00BB04FF"/>
    <w:rsid w:val="00BB052C"/>
    <w:rsid w:val="00BB05D4"/>
    <w:rsid w:val="00BB09B2"/>
    <w:rsid w:val="00BB0C64"/>
    <w:rsid w:val="00BB0C84"/>
    <w:rsid w:val="00BB1603"/>
    <w:rsid w:val="00BB1AF9"/>
    <w:rsid w:val="00BB1D8A"/>
    <w:rsid w:val="00BB1EC2"/>
    <w:rsid w:val="00BB2068"/>
    <w:rsid w:val="00BB2070"/>
    <w:rsid w:val="00BB22BD"/>
    <w:rsid w:val="00BB26CD"/>
    <w:rsid w:val="00BB2E8E"/>
    <w:rsid w:val="00BB38E0"/>
    <w:rsid w:val="00BB3B09"/>
    <w:rsid w:val="00BB3DC5"/>
    <w:rsid w:val="00BB4300"/>
    <w:rsid w:val="00BB462D"/>
    <w:rsid w:val="00BB470C"/>
    <w:rsid w:val="00BB4B9B"/>
    <w:rsid w:val="00BB4FC6"/>
    <w:rsid w:val="00BB53C8"/>
    <w:rsid w:val="00BB56A2"/>
    <w:rsid w:val="00BB5A49"/>
    <w:rsid w:val="00BB5AF2"/>
    <w:rsid w:val="00BB6108"/>
    <w:rsid w:val="00BB664C"/>
    <w:rsid w:val="00BB6A80"/>
    <w:rsid w:val="00BB6B22"/>
    <w:rsid w:val="00BB6C97"/>
    <w:rsid w:val="00BB6E74"/>
    <w:rsid w:val="00BB7BA1"/>
    <w:rsid w:val="00BB7DD6"/>
    <w:rsid w:val="00BB7DE4"/>
    <w:rsid w:val="00BC0881"/>
    <w:rsid w:val="00BC0A55"/>
    <w:rsid w:val="00BC0C75"/>
    <w:rsid w:val="00BC0CCE"/>
    <w:rsid w:val="00BC0D60"/>
    <w:rsid w:val="00BC0E6D"/>
    <w:rsid w:val="00BC14C5"/>
    <w:rsid w:val="00BC18C8"/>
    <w:rsid w:val="00BC1B2D"/>
    <w:rsid w:val="00BC1C5C"/>
    <w:rsid w:val="00BC1E2B"/>
    <w:rsid w:val="00BC1E60"/>
    <w:rsid w:val="00BC234D"/>
    <w:rsid w:val="00BC2E29"/>
    <w:rsid w:val="00BC2E30"/>
    <w:rsid w:val="00BC3195"/>
    <w:rsid w:val="00BC346C"/>
    <w:rsid w:val="00BC3613"/>
    <w:rsid w:val="00BC3639"/>
    <w:rsid w:val="00BC3794"/>
    <w:rsid w:val="00BC39BA"/>
    <w:rsid w:val="00BC39FE"/>
    <w:rsid w:val="00BC3BE3"/>
    <w:rsid w:val="00BC3CEA"/>
    <w:rsid w:val="00BC3D6C"/>
    <w:rsid w:val="00BC3DFD"/>
    <w:rsid w:val="00BC3EAC"/>
    <w:rsid w:val="00BC4006"/>
    <w:rsid w:val="00BC4323"/>
    <w:rsid w:val="00BC44DF"/>
    <w:rsid w:val="00BC4993"/>
    <w:rsid w:val="00BC4C6F"/>
    <w:rsid w:val="00BC4E12"/>
    <w:rsid w:val="00BC518E"/>
    <w:rsid w:val="00BC521D"/>
    <w:rsid w:val="00BC5CB1"/>
    <w:rsid w:val="00BC5E03"/>
    <w:rsid w:val="00BC5F4B"/>
    <w:rsid w:val="00BC68E0"/>
    <w:rsid w:val="00BC68E4"/>
    <w:rsid w:val="00BC6936"/>
    <w:rsid w:val="00BC6987"/>
    <w:rsid w:val="00BC6D6D"/>
    <w:rsid w:val="00BC711F"/>
    <w:rsid w:val="00BC717B"/>
    <w:rsid w:val="00BC731C"/>
    <w:rsid w:val="00BC73C8"/>
    <w:rsid w:val="00BC7484"/>
    <w:rsid w:val="00BC7A31"/>
    <w:rsid w:val="00BC7D8D"/>
    <w:rsid w:val="00BC7E1D"/>
    <w:rsid w:val="00BC7F75"/>
    <w:rsid w:val="00BD01B0"/>
    <w:rsid w:val="00BD0415"/>
    <w:rsid w:val="00BD05DE"/>
    <w:rsid w:val="00BD08AB"/>
    <w:rsid w:val="00BD09B5"/>
    <w:rsid w:val="00BD0AED"/>
    <w:rsid w:val="00BD0B79"/>
    <w:rsid w:val="00BD0FEC"/>
    <w:rsid w:val="00BD1178"/>
    <w:rsid w:val="00BD127A"/>
    <w:rsid w:val="00BD1346"/>
    <w:rsid w:val="00BD1482"/>
    <w:rsid w:val="00BD1745"/>
    <w:rsid w:val="00BD17E6"/>
    <w:rsid w:val="00BD1AC3"/>
    <w:rsid w:val="00BD1AE1"/>
    <w:rsid w:val="00BD1C05"/>
    <w:rsid w:val="00BD2725"/>
    <w:rsid w:val="00BD288D"/>
    <w:rsid w:val="00BD2E72"/>
    <w:rsid w:val="00BD2EB1"/>
    <w:rsid w:val="00BD30A6"/>
    <w:rsid w:val="00BD30E5"/>
    <w:rsid w:val="00BD326E"/>
    <w:rsid w:val="00BD3440"/>
    <w:rsid w:val="00BD34C8"/>
    <w:rsid w:val="00BD36B5"/>
    <w:rsid w:val="00BD37DE"/>
    <w:rsid w:val="00BD3854"/>
    <w:rsid w:val="00BD3866"/>
    <w:rsid w:val="00BD3AC2"/>
    <w:rsid w:val="00BD4405"/>
    <w:rsid w:val="00BD450C"/>
    <w:rsid w:val="00BD4AA9"/>
    <w:rsid w:val="00BD543E"/>
    <w:rsid w:val="00BD5AB4"/>
    <w:rsid w:val="00BD5D7A"/>
    <w:rsid w:val="00BD5E71"/>
    <w:rsid w:val="00BD6256"/>
    <w:rsid w:val="00BD659A"/>
    <w:rsid w:val="00BD6780"/>
    <w:rsid w:val="00BD6A85"/>
    <w:rsid w:val="00BD6FBA"/>
    <w:rsid w:val="00BD713A"/>
    <w:rsid w:val="00BD7141"/>
    <w:rsid w:val="00BD7345"/>
    <w:rsid w:val="00BD775E"/>
    <w:rsid w:val="00BD7948"/>
    <w:rsid w:val="00BD7A52"/>
    <w:rsid w:val="00BD7BE2"/>
    <w:rsid w:val="00BD7C6D"/>
    <w:rsid w:val="00BD7C79"/>
    <w:rsid w:val="00BE00BC"/>
    <w:rsid w:val="00BE0164"/>
    <w:rsid w:val="00BE017F"/>
    <w:rsid w:val="00BE0279"/>
    <w:rsid w:val="00BE0383"/>
    <w:rsid w:val="00BE0460"/>
    <w:rsid w:val="00BE06BE"/>
    <w:rsid w:val="00BE0937"/>
    <w:rsid w:val="00BE0B09"/>
    <w:rsid w:val="00BE0B4C"/>
    <w:rsid w:val="00BE0D40"/>
    <w:rsid w:val="00BE0DC5"/>
    <w:rsid w:val="00BE0FCA"/>
    <w:rsid w:val="00BE150D"/>
    <w:rsid w:val="00BE1557"/>
    <w:rsid w:val="00BE16B5"/>
    <w:rsid w:val="00BE1BED"/>
    <w:rsid w:val="00BE25F1"/>
    <w:rsid w:val="00BE2868"/>
    <w:rsid w:val="00BE32BA"/>
    <w:rsid w:val="00BE364D"/>
    <w:rsid w:val="00BE3690"/>
    <w:rsid w:val="00BE3769"/>
    <w:rsid w:val="00BE3B3D"/>
    <w:rsid w:val="00BE3C6E"/>
    <w:rsid w:val="00BE417D"/>
    <w:rsid w:val="00BE43C4"/>
    <w:rsid w:val="00BE4719"/>
    <w:rsid w:val="00BE4728"/>
    <w:rsid w:val="00BE4A93"/>
    <w:rsid w:val="00BE4C2C"/>
    <w:rsid w:val="00BE4C56"/>
    <w:rsid w:val="00BE4E98"/>
    <w:rsid w:val="00BE524A"/>
    <w:rsid w:val="00BE5809"/>
    <w:rsid w:val="00BE5B57"/>
    <w:rsid w:val="00BE5E67"/>
    <w:rsid w:val="00BE6078"/>
    <w:rsid w:val="00BE64F5"/>
    <w:rsid w:val="00BE6720"/>
    <w:rsid w:val="00BE67FF"/>
    <w:rsid w:val="00BE69B7"/>
    <w:rsid w:val="00BE6E6E"/>
    <w:rsid w:val="00BE6F40"/>
    <w:rsid w:val="00BE6FDF"/>
    <w:rsid w:val="00BE6FE4"/>
    <w:rsid w:val="00BE72EA"/>
    <w:rsid w:val="00BE786B"/>
    <w:rsid w:val="00BE7AF5"/>
    <w:rsid w:val="00BE7D32"/>
    <w:rsid w:val="00BE7FEB"/>
    <w:rsid w:val="00BF006A"/>
    <w:rsid w:val="00BF02E4"/>
    <w:rsid w:val="00BF04E0"/>
    <w:rsid w:val="00BF089A"/>
    <w:rsid w:val="00BF0A12"/>
    <w:rsid w:val="00BF0C37"/>
    <w:rsid w:val="00BF0D0D"/>
    <w:rsid w:val="00BF0DF5"/>
    <w:rsid w:val="00BF1030"/>
    <w:rsid w:val="00BF12E4"/>
    <w:rsid w:val="00BF13E6"/>
    <w:rsid w:val="00BF15FA"/>
    <w:rsid w:val="00BF17A2"/>
    <w:rsid w:val="00BF18D3"/>
    <w:rsid w:val="00BF1CBC"/>
    <w:rsid w:val="00BF1D42"/>
    <w:rsid w:val="00BF1D4C"/>
    <w:rsid w:val="00BF21AB"/>
    <w:rsid w:val="00BF231D"/>
    <w:rsid w:val="00BF24F2"/>
    <w:rsid w:val="00BF25C7"/>
    <w:rsid w:val="00BF272D"/>
    <w:rsid w:val="00BF281B"/>
    <w:rsid w:val="00BF2942"/>
    <w:rsid w:val="00BF3003"/>
    <w:rsid w:val="00BF33F9"/>
    <w:rsid w:val="00BF3551"/>
    <w:rsid w:val="00BF375E"/>
    <w:rsid w:val="00BF3771"/>
    <w:rsid w:val="00BF3FAE"/>
    <w:rsid w:val="00BF46C1"/>
    <w:rsid w:val="00BF49D8"/>
    <w:rsid w:val="00BF4F6D"/>
    <w:rsid w:val="00BF4FF7"/>
    <w:rsid w:val="00BF50A4"/>
    <w:rsid w:val="00BF56D9"/>
    <w:rsid w:val="00BF5B5F"/>
    <w:rsid w:val="00BF5C0D"/>
    <w:rsid w:val="00BF5CCA"/>
    <w:rsid w:val="00BF5ED0"/>
    <w:rsid w:val="00BF6176"/>
    <w:rsid w:val="00BF625C"/>
    <w:rsid w:val="00BF6480"/>
    <w:rsid w:val="00BF64AB"/>
    <w:rsid w:val="00BF6658"/>
    <w:rsid w:val="00BF6D41"/>
    <w:rsid w:val="00BF718B"/>
    <w:rsid w:val="00BF7769"/>
    <w:rsid w:val="00BF7800"/>
    <w:rsid w:val="00C007B6"/>
    <w:rsid w:val="00C00922"/>
    <w:rsid w:val="00C00E24"/>
    <w:rsid w:val="00C011EC"/>
    <w:rsid w:val="00C014B1"/>
    <w:rsid w:val="00C0193A"/>
    <w:rsid w:val="00C0198D"/>
    <w:rsid w:val="00C01A7F"/>
    <w:rsid w:val="00C01AEE"/>
    <w:rsid w:val="00C01B7D"/>
    <w:rsid w:val="00C01DD7"/>
    <w:rsid w:val="00C01E85"/>
    <w:rsid w:val="00C0215F"/>
    <w:rsid w:val="00C024C1"/>
    <w:rsid w:val="00C028C2"/>
    <w:rsid w:val="00C029A8"/>
    <w:rsid w:val="00C02E2A"/>
    <w:rsid w:val="00C02F7D"/>
    <w:rsid w:val="00C030A9"/>
    <w:rsid w:val="00C030D9"/>
    <w:rsid w:val="00C031B9"/>
    <w:rsid w:val="00C0331A"/>
    <w:rsid w:val="00C035AC"/>
    <w:rsid w:val="00C035F2"/>
    <w:rsid w:val="00C03878"/>
    <w:rsid w:val="00C03BC2"/>
    <w:rsid w:val="00C03F49"/>
    <w:rsid w:val="00C0402B"/>
    <w:rsid w:val="00C0410D"/>
    <w:rsid w:val="00C041A5"/>
    <w:rsid w:val="00C0420B"/>
    <w:rsid w:val="00C042FA"/>
    <w:rsid w:val="00C04561"/>
    <w:rsid w:val="00C04637"/>
    <w:rsid w:val="00C04698"/>
    <w:rsid w:val="00C047A0"/>
    <w:rsid w:val="00C04D18"/>
    <w:rsid w:val="00C04D67"/>
    <w:rsid w:val="00C04E31"/>
    <w:rsid w:val="00C04F55"/>
    <w:rsid w:val="00C05319"/>
    <w:rsid w:val="00C05783"/>
    <w:rsid w:val="00C057CD"/>
    <w:rsid w:val="00C058CA"/>
    <w:rsid w:val="00C05972"/>
    <w:rsid w:val="00C05B4E"/>
    <w:rsid w:val="00C06184"/>
    <w:rsid w:val="00C0681C"/>
    <w:rsid w:val="00C06832"/>
    <w:rsid w:val="00C068D1"/>
    <w:rsid w:val="00C07146"/>
    <w:rsid w:val="00C072FA"/>
    <w:rsid w:val="00C0737D"/>
    <w:rsid w:val="00C073E5"/>
    <w:rsid w:val="00C074DD"/>
    <w:rsid w:val="00C07756"/>
    <w:rsid w:val="00C07A02"/>
    <w:rsid w:val="00C07A11"/>
    <w:rsid w:val="00C07AB1"/>
    <w:rsid w:val="00C102B9"/>
    <w:rsid w:val="00C10380"/>
    <w:rsid w:val="00C107DD"/>
    <w:rsid w:val="00C107EB"/>
    <w:rsid w:val="00C1099B"/>
    <w:rsid w:val="00C10A73"/>
    <w:rsid w:val="00C10BD0"/>
    <w:rsid w:val="00C10CC8"/>
    <w:rsid w:val="00C10D35"/>
    <w:rsid w:val="00C10DAA"/>
    <w:rsid w:val="00C10F84"/>
    <w:rsid w:val="00C11CE8"/>
    <w:rsid w:val="00C11DAB"/>
    <w:rsid w:val="00C11E59"/>
    <w:rsid w:val="00C120E2"/>
    <w:rsid w:val="00C122EB"/>
    <w:rsid w:val="00C126CC"/>
    <w:rsid w:val="00C126D8"/>
    <w:rsid w:val="00C1280F"/>
    <w:rsid w:val="00C129DF"/>
    <w:rsid w:val="00C12D18"/>
    <w:rsid w:val="00C13014"/>
    <w:rsid w:val="00C13062"/>
    <w:rsid w:val="00C1316D"/>
    <w:rsid w:val="00C136CB"/>
    <w:rsid w:val="00C1371E"/>
    <w:rsid w:val="00C13728"/>
    <w:rsid w:val="00C138E2"/>
    <w:rsid w:val="00C1392B"/>
    <w:rsid w:val="00C139A9"/>
    <w:rsid w:val="00C13AA4"/>
    <w:rsid w:val="00C13F9E"/>
    <w:rsid w:val="00C142A4"/>
    <w:rsid w:val="00C14A15"/>
    <w:rsid w:val="00C14C2B"/>
    <w:rsid w:val="00C14CF6"/>
    <w:rsid w:val="00C14EB2"/>
    <w:rsid w:val="00C14F8A"/>
    <w:rsid w:val="00C151F5"/>
    <w:rsid w:val="00C1561C"/>
    <w:rsid w:val="00C1569C"/>
    <w:rsid w:val="00C15EDC"/>
    <w:rsid w:val="00C16025"/>
    <w:rsid w:val="00C16178"/>
    <w:rsid w:val="00C16324"/>
    <w:rsid w:val="00C1693A"/>
    <w:rsid w:val="00C16AA7"/>
    <w:rsid w:val="00C16F01"/>
    <w:rsid w:val="00C17426"/>
    <w:rsid w:val="00C17588"/>
    <w:rsid w:val="00C176D0"/>
    <w:rsid w:val="00C177CD"/>
    <w:rsid w:val="00C17A61"/>
    <w:rsid w:val="00C17ABE"/>
    <w:rsid w:val="00C17C1D"/>
    <w:rsid w:val="00C17DF9"/>
    <w:rsid w:val="00C17EDB"/>
    <w:rsid w:val="00C20917"/>
    <w:rsid w:val="00C20A62"/>
    <w:rsid w:val="00C20B29"/>
    <w:rsid w:val="00C20C31"/>
    <w:rsid w:val="00C2117D"/>
    <w:rsid w:val="00C212D7"/>
    <w:rsid w:val="00C214E4"/>
    <w:rsid w:val="00C2190F"/>
    <w:rsid w:val="00C2198E"/>
    <w:rsid w:val="00C21DBA"/>
    <w:rsid w:val="00C222B6"/>
    <w:rsid w:val="00C222E5"/>
    <w:rsid w:val="00C22328"/>
    <w:rsid w:val="00C22340"/>
    <w:rsid w:val="00C2241A"/>
    <w:rsid w:val="00C224E5"/>
    <w:rsid w:val="00C228B9"/>
    <w:rsid w:val="00C2296F"/>
    <w:rsid w:val="00C22B64"/>
    <w:rsid w:val="00C22D4D"/>
    <w:rsid w:val="00C22E82"/>
    <w:rsid w:val="00C231DB"/>
    <w:rsid w:val="00C2331C"/>
    <w:rsid w:val="00C233E0"/>
    <w:rsid w:val="00C23867"/>
    <w:rsid w:val="00C23C0E"/>
    <w:rsid w:val="00C23FF7"/>
    <w:rsid w:val="00C243A4"/>
    <w:rsid w:val="00C24855"/>
    <w:rsid w:val="00C24D12"/>
    <w:rsid w:val="00C24DC7"/>
    <w:rsid w:val="00C24F99"/>
    <w:rsid w:val="00C25032"/>
    <w:rsid w:val="00C253B5"/>
    <w:rsid w:val="00C25707"/>
    <w:rsid w:val="00C257EB"/>
    <w:rsid w:val="00C257EF"/>
    <w:rsid w:val="00C25E44"/>
    <w:rsid w:val="00C260E4"/>
    <w:rsid w:val="00C2688C"/>
    <w:rsid w:val="00C26C52"/>
    <w:rsid w:val="00C26D93"/>
    <w:rsid w:val="00C2700B"/>
    <w:rsid w:val="00C2765E"/>
    <w:rsid w:val="00C2797C"/>
    <w:rsid w:val="00C27DBB"/>
    <w:rsid w:val="00C27E0B"/>
    <w:rsid w:val="00C27F57"/>
    <w:rsid w:val="00C27FBB"/>
    <w:rsid w:val="00C304F8"/>
    <w:rsid w:val="00C30805"/>
    <w:rsid w:val="00C3093A"/>
    <w:rsid w:val="00C30A51"/>
    <w:rsid w:val="00C30C0B"/>
    <w:rsid w:val="00C30F53"/>
    <w:rsid w:val="00C31223"/>
    <w:rsid w:val="00C3159C"/>
    <w:rsid w:val="00C315C9"/>
    <w:rsid w:val="00C31926"/>
    <w:rsid w:val="00C32231"/>
    <w:rsid w:val="00C324BE"/>
    <w:rsid w:val="00C3267E"/>
    <w:rsid w:val="00C32FAC"/>
    <w:rsid w:val="00C3334A"/>
    <w:rsid w:val="00C33380"/>
    <w:rsid w:val="00C337D6"/>
    <w:rsid w:val="00C3398F"/>
    <w:rsid w:val="00C34054"/>
    <w:rsid w:val="00C34BBD"/>
    <w:rsid w:val="00C34D97"/>
    <w:rsid w:val="00C35032"/>
    <w:rsid w:val="00C35449"/>
    <w:rsid w:val="00C354F8"/>
    <w:rsid w:val="00C355D0"/>
    <w:rsid w:val="00C358BB"/>
    <w:rsid w:val="00C35EEC"/>
    <w:rsid w:val="00C3611A"/>
    <w:rsid w:val="00C3622B"/>
    <w:rsid w:val="00C3633A"/>
    <w:rsid w:val="00C36B18"/>
    <w:rsid w:val="00C36E50"/>
    <w:rsid w:val="00C36EC9"/>
    <w:rsid w:val="00C37252"/>
    <w:rsid w:val="00C374A5"/>
    <w:rsid w:val="00C374A9"/>
    <w:rsid w:val="00C37E18"/>
    <w:rsid w:val="00C400A5"/>
    <w:rsid w:val="00C40359"/>
    <w:rsid w:val="00C4079E"/>
    <w:rsid w:val="00C40956"/>
    <w:rsid w:val="00C40AD8"/>
    <w:rsid w:val="00C40F18"/>
    <w:rsid w:val="00C413F7"/>
    <w:rsid w:val="00C41690"/>
    <w:rsid w:val="00C416F0"/>
    <w:rsid w:val="00C4180F"/>
    <w:rsid w:val="00C41884"/>
    <w:rsid w:val="00C41957"/>
    <w:rsid w:val="00C420E3"/>
    <w:rsid w:val="00C423FC"/>
    <w:rsid w:val="00C4268E"/>
    <w:rsid w:val="00C426D8"/>
    <w:rsid w:val="00C4274E"/>
    <w:rsid w:val="00C42848"/>
    <w:rsid w:val="00C4296F"/>
    <w:rsid w:val="00C42CAA"/>
    <w:rsid w:val="00C43070"/>
    <w:rsid w:val="00C43352"/>
    <w:rsid w:val="00C4362C"/>
    <w:rsid w:val="00C437BB"/>
    <w:rsid w:val="00C43962"/>
    <w:rsid w:val="00C43989"/>
    <w:rsid w:val="00C43A97"/>
    <w:rsid w:val="00C43FFE"/>
    <w:rsid w:val="00C4428D"/>
    <w:rsid w:val="00C4443C"/>
    <w:rsid w:val="00C448A3"/>
    <w:rsid w:val="00C44A4B"/>
    <w:rsid w:val="00C44C04"/>
    <w:rsid w:val="00C44DA3"/>
    <w:rsid w:val="00C44EC8"/>
    <w:rsid w:val="00C45173"/>
    <w:rsid w:val="00C45311"/>
    <w:rsid w:val="00C4534E"/>
    <w:rsid w:val="00C4572F"/>
    <w:rsid w:val="00C45977"/>
    <w:rsid w:val="00C45AFC"/>
    <w:rsid w:val="00C45B8C"/>
    <w:rsid w:val="00C45DEE"/>
    <w:rsid w:val="00C4633D"/>
    <w:rsid w:val="00C46442"/>
    <w:rsid w:val="00C46846"/>
    <w:rsid w:val="00C46DB0"/>
    <w:rsid w:val="00C47088"/>
    <w:rsid w:val="00C4744F"/>
    <w:rsid w:val="00C47A6E"/>
    <w:rsid w:val="00C47CF9"/>
    <w:rsid w:val="00C47DB4"/>
    <w:rsid w:val="00C47F76"/>
    <w:rsid w:val="00C5022D"/>
    <w:rsid w:val="00C502CE"/>
    <w:rsid w:val="00C50366"/>
    <w:rsid w:val="00C50417"/>
    <w:rsid w:val="00C51188"/>
    <w:rsid w:val="00C511FE"/>
    <w:rsid w:val="00C5121F"/>
    <w:rsid w:val="00C51250"/>
    <w:rsid w:val="00C513E7"/>
    <w:rsid w:val="00C515F2"/>
    <w:rsid w:val="00C51824"/>
    <w:rsid w:val="00C51837"/>
    <w:rsid w:val="00C51BFC"/>
    <w:rsid w:val="00C51D5D"/>
    <w:rsid w:val="00C51E5D"/>
    <w:rsid w:val="00C520D3"/>
    <w:rsid w:val="00C5212F"/>
    <w:rsid w:val="00C5232B"/>
    <w:rsid w:val="00C5242D"/>
    <w:rsid w:val="00C5251C"/>
    <w:rsid w:val="00C52990"/>
    <w:rsid w:val="00C52A6E"/>
    <w:rsid w:val="00C52AB3"/>
    <w:rsid w:val="00C52EED"/>
    <w:rsid w:val="00C53504"/>
    <w:rsid w:val="00C53549"/>
    <w:rsid w:val="00C53967"/>
    <w:rsid w:val="00C539C3"/>
    <w:rsid w:val="00C53DA6"/>
    <w:rsid w:val="00C5459E"/>
    <w:rsid w:val="00C54A8D"/>
    <w:rsid w:val="00C54AD4"/>
    <w:rsid w:val="00C54B40"/>
    <w:rsid w:val="00C554BE"/>
    <w:rsid w:val="00C556C6"/>
    <w:rsid w:val="00C55817"/>
    <w:rsid w:val="00C55C42"/>
    <w:rsid w:val="00C55D83"/>
    <w:rsid w:val="00C55D98"/>
    <w:rsid w:val="00C562F9"/>
    <w:rsid w:val="00C56A31"/>
    <w:rsid w:val="00C56B54"/>
    <w:rsid w:val="00C56E51"/>
    <w:rsid w:val="00C56FBE"/>
    <w:rsid w:val="00C5720B"/>
    <w:rsid w:val="00C57217"/>
    <w:rsid w:val="00C5721B"/>
    <w:rsid w:val="00C57280"/>
    <w:rsid w:val="00C574F6"/>
    <w:rsid w:val="00C5782F"/>
    <w:rsid w:val="00C57A99"/>
    <w:rsid w:val="00C57AC5"/>
    <w:rsid w:val="00C57BD9"/>
    <w:rsid w:val="00C57DB5"/>
    <w:rsid w:val="00C602DE"/>
    <w:rsid w:val="00C6057B"/>
    <w:rsid w:val="00C60B62"/>
    <w:rsid w:val="00C60B8F"/>
    <w:rsid w:val="00C60BF3"/>
    <w:rsid w:val="00C60D25"/>
    <w:rsid w:val="00C61153"/>
    <w:rsid w:val="00C61365"/>
    <w:rsid w:val="00C61678"/>
    <w:rsid w:val="00C61A60"/>
    <w:rsid w:val="00C61FC0"/>
    <w:rsid w:val="00C6207F"/>
    <w:rsid w:val="00C621BD"/>
    <w:rsid w:val="00C625A8"/>
    <w:rsid w:val="00C62C17"/>
    <w:rsid w:val="00C6349F"/>
    <w:rsid w:val="00C6366D"/>
    <w:rsid w:val="00C63768"/>
    <w:rsid w:val="00C63AF0"/>
    <w:rsid w:val="00C63C31"/>
    <w:rsid w:val="00C63C7B"/>
    <w:rsid w:val="00C63D23"/>
    <w:rsid w:val="00C6423A"/>
    <w:rsid w:val="00C64716"/>
    <w:rsid w:val="00C6480B"/>
    <w:rsid w:val="00C64A01"/>
    <w:rsid w:val="00C6506F"/>
    <w:rsid w:val="00C653C6"/>
    <w:rsid w:val="00C657C0"/>
    <w:rsid w:val="00C65B18"/>
    <w:rsid w:val="00C65E09"/>
    <w:rsid w:val="00C65F54"/>
    <w:rsid w:val="00C6629E"/>
    <w:rsid w:val="00C6657E"/>
    <w:rsid w:val="00C66701"/>
    <w:rsid w:val="00C6699E"/>
    <w:rsid w:val="00C66C89"/>
    <w:rsid w:val="00C66E14"/>
    <w:rsid w:val="00C67168"/>
    <w:rsid w:val="00C67940"/>
    <w:rsid w:val="00C67A33"/>
    <w:rsid w:val="00C7011D"/>
    <w:rsid w:val="00C704B4"/>
    <w:rsid w:val="00C706D4"/>
    <w:rsid w:val="00C706DE"/>
    <w:rsid w:val="00C70A30"/>
    <w:rsid w:val="00C70B74"/>
    <w:rsid w:val="00C70E16"/>
    <w:rsid w:val="00C7141C"/>
    <w:rsid w:val="00C71428"/>
    <w:rsid w:val="00C7142A"/>
    <w:rsid w:val="00C715FE"/>
    <w:rsid w:val="00C71668"/>
    <w:rsid w:val="00C7184F"/>
    <w:rsid w:val="00C718B1"/>
    <w:rsid w:val="00C71975"/>
    <w:rsid w:val="00C719E2"/>
    <w:rsid w:val="00C71ADD"/>
    <w:rsid w:val="00C71C12"/>
    <w:rsid w:val="00C71FBA"/>
    <w:rsid w:val="00C71FD3"/>
    <w:rsid w:val="00C7204A"/>
    <w:rsid w:val="00C721D3"/>
    <w:rsid w:val="00C72634"/>
    <w:rsid w:val="00C727D0"/>
    <w:rsid w:val="00C72A86"/>
    <w:rsid w:val="00C72B43"/>
    <w:rsid w:val="00C734B7"/>
    <w:rsid w:val="00C73684"/>
    <w:rsid w:val="00C738BC"/>
    <w:rsid w:val="00C73DDC"/>
    <w:rsid w:val="00C740A6"/>
    <w:rsid w:val="00C742C6"/>
    <w:rsid w:val="00C743EF"/>
    <w:rsid w:val="00C74599"/>
    <w:rsid w:val="00C74674"/>
    <w:rsid w:val="00C749C5"/>
    <w:rsid w:val="00C75363"/>
    <w:rsid w:val="00C759D9"/>
    <w:rsid w:val="00C75A7C"/>
    <w:rsid w:val="00C75D8F"/>
    <w:rsid w:val="00C7610E"/>
    <w:rsid w:val="00C76269"/>
    <w:rsid w:val="00C76395"/>
    <w:rsid w:val="00C768CC"/>
    <w:rsid w:val="00C76AAB"/>
    <w:rsid w:val="00C76B0D"/>
    <w:rsid w:val="00C7778B"/>
    <w:rsid w:val="00C7780C"/>
    <w:rsid w:val="00C779F5"/>
    <w:rsid w:val="00C77D09"/>
    <w:rsid w:val="00C77EB1"/>
    <w:rsid w:val="00C8051D"/>
    <w:rsid w:val="00C80547"/>
    <w:rsid w:val="00C807AE"/>
    <w:rsid w:val="00C807CE"/>
    <w:rsid w:val="00C8094B"/>
    <w:rsid w:val="00C809FE"/>
    <w:rsid w:val="00C80D82"/>
    <w:rsid w:val="00C80ED0"/>
    <w:rsid w:val="00C811EE"/>
    <w:rsid w:val="00C81224"/>
    <w:rsid w:val="00C8127B"/>
    <w:rsid w:val="00C81306"/>
    <w:rsid w:val="00C81564"/>
    <w:rsid w:val="00C81654"/>
    <w:rsid w:val="00C816F9"/>
    <w:rsid w:val="00C81A10"/>
    <w:rsid w:val="00C81D9D"/>
    <w:rsid w:val="00C81F26"/>
    <w:rsid w:val="00C824A6"/>
    <w:rsid w:val="00C8281E"/>
    <w:rsid w:val="00C82ED4"/>
    <w:rsid w:val="00C83366"/>
    <w:rsid w:val="00C83428"/>
    <w:rsid w:val="00C8390D"/>
    <w:rsid w:val="00C83F9A"/>
    <w:rsid w:val="00C83FC7"/>
    <w:rsid w:val="00C84031"/>
    <w:rsid w:val="00C84594"/>
    <w:rsid w:val="00C84831"/>
    <w:rsid w:val="00C84AAA"/>
    <w:rsid w:val="00C84B5B"/>
    <w:rsid w:val="00C84BE8"/>
    <w:rsid w:val="00C84D29"/>
    <w:rsid w:val="00C85149"/>
    <w:rsid w:val="00C85214"/>
    <w:rsid w:val="00C85452"/>
    <w:rsid w:val="00C85910"/>
    <w:rsid w:val="00C85CA1"/>
    <w:rsid w:val="00C85EE0"/>
    <w:rsid w:val="00C8612B"/>
    <w:rsid w:val="00C8635D"/>
    <w:rsid w:val="00C863F3"/>
    <w:rsid w:val="00C864A6"/>
    <w:rsid w:val="00C8650A"/>
    <w:rsid w:val="00C86649"/>
    <w:rsid w:val="00C86726"/>
    <w:rsid w:val="00C86906"/>
    <w:rsid w:val="00C86C40"/>
    <w:rsid w:val="00C86D2D"/>
    <w:rsid w:val="00C873C6"/>
    <w:rsid w:val="00C874E3"/>
    <w:rsid w:val="00C87688"/>
    <w:rsid w:val="00C87B38"/>
    <w:rsid w:val="00C87E9C"/>
    <w:rsid w:val="00C900F3"/>
    <w:rsid w:val="00C9020F"/>
    <w:rsid w:val="00C902F1"/>
    <w:rsid w:val="00C9057C"/>
    <w:rsid w:val="00C90D44"/>
    <w:rsid w:val="00C91456"/>
    <w:rsid w:val="00C914D6"/>
    <w:rsid w:val="00C917CB"/>
    <w:rsid w:val="00C918CE"/>
    <w:rsid w:val="00C92141"/>
    <w:rsid w:val="00C92302"/>
    <w:rsid w:val="00C923F4"/>
    <w:rsid w:val="00C92BE0"/>
    <w:rsid w:val="00C93573"/>
    <w:rsid w:val="00C93816"/>
    <w:rsid w:val="00C9386F"/>
    <w:rsid w:val="00C942CA"/>
    <w:rsid w:val="00C94485"/>
    <w:rsid w:val="00C94DFE"/>
    <w:rsid w:val="00C94ED8"/>
    <w:rsid w:val="00C955FB"/>
    <w:rsid w:val="00C95962"/>
    <w:rsid w:val="00C95A22"/>
    <w:rsid w:val="00C95E17"/>
    <w:rsid w:val="00C95E64"/>
    <w:rsid w:val="00C95ECF"/>
    <w:rsid w:val="00C96110"/>
    <w:rsid w:val="00C961F2"/>
    <w:rsid w:val="00C961F5"/>
    <w:rsid w:val="00C96405"/>
    <w:rsid w:val="00C96584"/>
    <w:rsid w:val="00C9658F"/>
    <w:rsid w:val="00C96590"/>
    <w:rsid w:val="00C965DF"/>
    <w:rsid w:val="00C966C6"/>
    <w:rsid w:val="00C96804"/>
    <w:rsid w:val="00C96935"/>
    <w:rsid w:val="00C96AD1"/>
    <w:rsid w:val="00C96D4A"/>
    <w:rsid w:val="00C9723F"/>
    <w:rsid w:val="00C97464"/>
    <w:rsid w:val="00C974F5"/>
    <w:rsid w:val="00C97693"/>
    <w:rsid w:val="00C97B1A"/>
    <w:rsid w:val="00C97C4F"/>
    <w:rsid w:val="00C97C69"/>
    <w:rsid w:val="00CA009F"/>
    <w:rsid w:val="00CA0374"/>
    <w:rsid w:val="00CA0993"/>
    <w:rsid w:val="00CA0DC3"/>
    <w:rsid w:val="00CA112F"/>
    <w:rsid w:val="00CA1818"/>
    <w:rsid w:val="00CA1984"/>
    <w:rsid w:val="00CA1D3C"/>
    <w:rsid w:val="00CA2238"/>
    <w:rsid w:val="00CA238B"/>
    <w:rsid w:val="00CA27FE"/>
    <w:rsid w:val="00CA2882"/>
    <w:rsid w:val="00CA2A7B"/>
    <w:rsid w:val="00CA2CB9"/>
    <w:rsid w:val="00CA2EA8"/>
    <w:rsid w:val="00CA2F3C"/>
    <w:rsid w:val="00CA3020"/>
    <w:rsid w:val="00CA3168"/>
    <w:rsid w:val="00CA348E"/>
    <w:rsid w:val="00CA429D"/>
    <w:rsid w:val="00CA4559"/>
    <w:rsid w:val="00CA483D"/>
    <w:rsid w:val="00CA485A"/>
    <w:rsid w:val="00CA5083"/>
    <w:rsid w:val="00CA508A"/>
    <w:rsid w:val="00CA565A"/>
    <w:rsid w:val="00CA5875"/>
    <w:rsid w:val="00CA5A08"/>
    <w:rsid w:val="00CA5A39"/>
    <w:rsid w:val="00CA61CF"/>
    <w:rsid w:val="00CA6344"/>
    <w:rsid w:val="00CA6A0F"/>
    <w:rsid w:val="00CA6C99"/>
    <w:rsid w:val="00CA6CCB"/>
    <w:rsid w:val="00CA70B4"/>
    <w:rsid w:val="00CA710F"/>
    <w:rsid w:val="00CA76B5"/>
    <w:rsid w:val="00CA779A"/>
    <w:rsid w:val="00CA784B"/>
    <w:rsid w:val="00CA79A5"/>
    <w:rsid w:val="00CA7D8E"/>
    <w:rsid w:val="00CB05A1"/>
    <w:rsid w:val="00CB08A1"/>
    <w:rsid w:val="00CB0A63"/>
    <w:rsid w:val="00CB0B94"/>
    <w:rsid w:val="00CB0D7C"/>
    <w:rsid w:val="00CB0E6B"/>
    <w:rsid w:val="00CB0EFE"/>
    <w:rsid w:val="00CB11A4"/>
    <w:rsid w:val="00CB187E"/>
    <w:rsid w:val="00CB1CA7"/>
    <w:rsid w:val="00CB213C"/>
    <w:rsid w:val="00CB21CD"/>
    <w:rsid w:val="00CB235A"/>
    <w:rsid w:val="00CB286D"/>
    <w:rsid w:val="00CB28B4"/>
    <w:rsid w:val="00CB2E75"/>
    <w:rsid w:val="00CB3116"/>
    <w:rsid w:val="00CB36F4"/>
    <w:rsid w:val="00CB382B"/>
    <w:rsid w:val="00CB391F"/>
    <w:rsid w:val="00CB3A4A"/>
    <w:rsid w:val="00CB3A8D"/>
    <w:rsid w:val="00CB3BBF"/>
    <w:rsid w:val="00CB4137"/>
    <w:rsid w:val="00CB4663"/>
    <w:rsid w:val="00CB46B2"/>
    <w:rsid w:val="00CB47DF"/>
    <w:rsid w:val="00CB4BC4"/>
    <w:rsid w:val="00CB4BCB"/>
    <w:rsid w:val="00CB4CFD"/>
    <w:rsid w:val="00CB5235"/>
    <w:rsid w:val="00CB55CC"/>
    <w:rsid w:val="00CB5634"/>
    <w:rsid w:val="00CB593D"/>
    <w:rsid w:val="00CB5ACB"/>
    <w:rsid w:val="00CB5CF3"/>
    <w:rsid w:val="00CB5D77"/>
    <w:rsid w:val="00CB602C"/>
    <w:rsid w:val="00CB649E"/>
    <w:rsid w:val="00CB6730"/>
    <w:rsid w:val="00CB685C"/>
    <w:rsid w:val="00CB6960"/>
    <w:rsid w:val="00CB6D7B"/>
    <w:rsid w:val="00CB6F4E"/>
    <w:rsid w:val="00CB7242"/>
    <w:rsid w:val="00CB727F"/>
    <w:rsid w:val="00CB78B4"/>
    <w:rsid w:val="00CB7DDA"/>
    <w:rsid w:val="00CB7F44"/>
    <w:rsid w:val="00CB7F98"/>
    <w:rsid w:val="00CBC22A"/>
    <w:rsid w:val="00CC0AD4"/>
    <w:rsid w:val="00CC0C72"/>
    <w:rsid w:val="00CC0E36"/>
    <w:rsid w:val="00CC0E3F"/>
    <w:rsid w:val="00CC1229"/>
    <w:rsid w:val="00CC1349"/>
    <w:rsid w:val="00CC16CB"/>
    <w:rsid w:val="00CC1805"/>
    <w:rsid w:val="00CC1894"/>
    <w:rsid w:val="00CC1BA5"/>
    <w:rsid w:val="00CC1E0F"/>
    <w:rsid w:val="00CC1F8A"/>
    <w:rsid w:val="00CC216A"/>
    <w:rsid w:val="00CC21B3"/>
    <w:rsid w:val="00CC21CC"/>
    <w:rsid w:val="00CC272A"/>
    <w:rsid w:val="00CC27BE"/>
    <w:rsid w:val="00CC2A30"/>
    <w:rsid w:val="00CC2B22"/>
    <w:rsid w:val="00CC2C2A"/>
    <w:rsid w:val="00CC2CED"/>
    <w:rsid w:val="00CC3665"/>
    <w:rsid w:val="00CC376F"/>
    <w:rsid w:val="00CC39B4"/>
    <w:rsid w:val="00CC4126"/>
    <w:rsid w:val="00CC495A"/>
    <w:rsid w:val="00CC5114"/>
    <w:rsid w:val="00CC53D6"/>
    <w:rsid w:val="00CC5586"/>
    <w:rsid w:val="00CC5615"/>
    <w:rsid w:val="00CC5695"/>
    <w:rsid w:val="00CC5845"/>
    <w:rsid w:val="00CC588C"/>
    <w:rsid w:val="00CC600E"/>
    <w:rsid w:val="00CC61B9"/>
    <w:rsid w:val="00CC6233"/>
    <w:rsid w:val="00CC6378"/>
    <w:rsid w:val="00CC652D"/>
    <w:rsid w:val="00CC68E4"/>
    <w:rsid w:val="00CC6A89"/>
    <w:rsid w:val="00CC6D29"/>
    <w:rsid w:val="00CC72EA"/>
    <w:rsid w:val="00CC7740"/>
    <w:rsid w:val="00CC7A46"/>
    <w:rsid w:val="00CC7A6F"/>
    <w:rsid w:val="00CC7B94"/>
    <w:rsid w:val="00CC7FC9"/>
    <w:rsid w:val="00CD0124"/>
    <w:rsid w:val="00CD0410"/>
    <w:rsid w:val="00CD0721"/>
    <w:rsid w:val="00CD076C"/>
    <w:rsid w:val="00CD0F51"/>
    <w:rsid w:val="00CD0F85"/>
    <w:rsid w:val="00CD103A"/>
    <w:rsid w:val="00CD10FD"/>
    <w:rsid w:val="00CD1583"/>
    <w:rsid w:val="00CD17D7"/>
    <w:rsid w:val="00CD1B07"/>
    <w:rsid w:val="00CD1CCE"/>
    <w:rsid w:val="00CD1D4B"/>
    <w:rsid w:val="00CD1D67"/>
    <w:rsid w:val="00CD1DAA"/>
    <w:rsid w:val="00CD20BF"/>
    <w:rsid w:val="00CD233A"/>
    <w:rsid w:val="00CD2982"/>
    <w:rsid w:val="00CD2D84"/>
    <w:rsid w:val="00CD2E55"/>
    <w:rsid w:val="00CD3058"/>
    <w:rsid w:val="00CD3541"/>
    <w:rsid w:val="00CD363D"/>
    <w:rsid w:val="00CD3760"/>
    <w:rsid w:val="00CD3802"/>
    <w:rsid w:val="00CD3881"/>
    <w:rsid w:val="00CD390C"/>
    <w:rsid w:val="00CD3A70"/>
    <w:rsid w:val="00CD3AD4"/>
    <w:rsid w:val="00CD3B7E"/>
    <w:rsid w:val="00CD3BBC"/>
    <w:rsid w:val="00CD3CF1"/>
    <w:rsid w:val="00CD3ED6"/>
    <w:rsid w:val="00CD4442"/>
    <w:rsid w:val="00CD46B5"/>
    <w:rsid w:val="00CD48F0"/>
    <w:rsid w:val="00CD49E5"/>
    <w:rsid w:val="00CD4B64"/>
    <w:rsid w:val="00CD4CA2"/>
    <w:rsid w:val="00CD4E35"/>
    <w:rsid w:val="00CD4F53"/>
    <w:rsid w:val="00CD4FD1"/>
    <w:rsid w:val="00CD63AB"/>
    <w:rsid w:val="00CD6958"/>
    <w:rsid w:val="00CD6987"/>
    <w:rsid w:val="00CD69FA"/>
    <w:rsid w:val="00CD6A43"/>
    <w:rsid w:val="00CD6ACE"/>
    <w:rsid w:val="00CD6B13"/>
    <w:rsid w:val="00CD6B23"/>
    <w:rsid w:val="00CD72C7"/>
    <w:rsid w:val="00CD7416"/>
    <w:rsid w:val="00CD743F"/>
    <w:rsid w:val="00CD7857"/>
    <w:rsid w:val="00CD7A7A"/>
    <w:rsid w:val="00CD7D17"/>
    <w:rsid w:val="00CE0950"/>
    <w:rsid w:val="00CE0A7A"/>
    <w:rsid w:val="00CE1046"/>
    <w:rsid w:val="00CE11F7"/>
    <w:rsid w:val="00CE1577"/>
    <w:rsid w:val="00CE17A1"/>
    <w:rsid w:val="00CE1B72"/>
    <w:rsid w:val="00CE1B85"/>
    <w:rsid w:val="00CE1C98"/>
    <w:rsid w:val="00CE1E65"/>
    <w:rsid w:val="00CE1E66"/>
    <w:rsid w:val="00CE2134"/>
    <w:rsid w:val="00CE21D2"/>
    <w:rsid w:val="00CE237F"/>
    <w:rsid w:val="00CE23A8"/>
    <w:rsid w:val="00CE254E"/>
    <w:rsid w:val="00CE25AE"/>
    <w:rsid w:val="00CE293A"/>
    <w:rsid w:val="00CE2971"/>
    <w:rsid w:val="00CE30DC"/>
    <w:rsid w:val="00CE3483"/>
    <w:rsid w:val="00CE416D"/>
    <w:rsid w:val="00CE4195"/>
    <w:rsid w:val="00CE4218"/>
    <w:rsid w:val="00CE4B39"/>
    <w:rsid w:val="00CE4D97"/>
    <w:rsid w:val="00CE5115"/>
    <w:rsid w:val="00CE5852"/>
    <w:rsid w:val="00CE58F7"/>
    <w:rsid w:val="00CE5B65"/>
    <w:rsid w:val="00CE5C62"/>
    <w:rsid w:val="00CE5CAD"/>
    <w:rsid w:val="00CE6BBF"/>
    <w:rsid w:val="00CE6D44"/>
    <w:rsid w:val="00CE7893"/>
    <w:rsid w:val="00CE7C71"/>
    <w:rsid w:val="00CF0274"/>
    <w:rsid w:val="00CF04EA"/>
    <w:rsid w:val="00CF064B"/>
    <w:rsid w:val="00CF0EDD"/>
    <w:rsid w:val="00CF0F5A"/>
    <w:rsid w:val="00CF129D"/>
    <w:rsid w:val="00CF16B3"/>
    <w:rsid w:val="00CF1A36"/>
    <w:rsid w:val="00CF1A3A"/>
    <w:rsid w:val="00CF1A6B"/>
    <w:rsid w:val="00CF239C"/>
    <w:rsid w:val="00CF25BD"/>
    <w:rsid w:val="00CF25DA"/>
    <w:rsid w:val="00CF2927"/>
    <w:rsid w:val="00CF2CF8"/>
    <w:rsid w:val="00CF2DD8"/>
    <w:rsid w:val="00CF3069"/>
    <w:rsid w:val="00CF32BF"/>
    <w:rsid w:val="00CF3557"/>
    <w:rsid w:val="00CF3899"/>
    <w:rsid w:val="00CF3A09"/>
    <w:rsid w:val="00CF3C50"/>
    <w:rsid w:val="00CF3FE3"/>
    <w:rsid w:val="00CF4200"/>
    <w:rsid w:val="00CF49AF"/>
    <w:rsid w:val="00CF51F0"/>
    <w:rsid w:val="00CF53D8"/>
    <w:rsid w:val="00CF53EC"/>
    <w:rsid w:val="00CF546C"/>
    <w:rsid w:val="00CF549A"/>
    <w:rsid w:val="00CF5616"/>
    <w:rsid w:val="00CF5675"/>
    <w:rsid w:val="00CF5963"/>
    <w:rsid w:val="00CF5993"/>
    <w:rsid w:val="00CF5F4D"/>
    <w:rsid w:val="00CF6166"/>
    <w:rsid w:val="00CF65BC"/>
    <w:rsid w:val="00CF67E2"/>
    <w:rsid w:val="00CF6C5D"/>
    <w:rsid w:val="00CF6D8E"/>
    <w:rsid w:val="00CF720F"/>
    <w:rsid w:val="00CF73A9"/>
    <w:rsid w:val="00CF754B"/>
    <w:rsid w:val="00CF7F91"/>
    <w:rsid w:val="00D00406"/>
    <w:rsid w:val="00D006CC"/>
    <w:rsid w:val="00D0072B"/>
    <w:rsid w:val="00D00B11"/>
    <w:rsid w:val="00D00E33"/>
    <w:rsid w:val="00D010C1"/>
    <w:rsid w:val="00D0121C"/>
    <w:rsid w:val="00D016A4"/>
    <w:rsid w:val="00D01C7E"/>
    <w:rsid w:val="00D01D2B"/>
    <w:rsid w:val="00D01E12"/>
    <w:rsid w:val="00D01E55"/>
    <w:rsid w:val="00D02B0B"/>
    <w:rsid w:val="00D02C1C"/>
    <w:rsid w:val="00D02C53"/>
    <w:rsid w:val="00D02DDF"/>
    <w:rsid w:val="00D02F2B"/>
    <w:rsid w:val="00D0318A"/>
    <w:rsid w:val="00D0387A"/>
    <w:rsid w:val="00D038CB"/>
    <w:rsid w:val="00D03B41"/>
    <w:rsid w:val="00D03CDB"/>
    <w:rsid w:val="00D03CF8"/>
    <w:rsid w:val="00D03CF9"/>
    <w:rsid w:val="00D03EB6"/>
    <w:rsid w:val="00D0403B"/>
    <w:rsid w:val="00D04336"/>
    <w:rsid w:val="00D0442F"/>
    <w:rsid w:val="00D045F6"/>
    <w:rsid w:val="00D0498A"/>
    <w:rsid w:val="00D04E51"/>
    <w:rsid w:val="00D04F9A"/>
    <w:rsid w:val="00D0516B"/>
    <w:rsid w:val="00D0531A"/>
    <w:rsid w:val="00D058F3"/>
    <w:rsid w:val="00D059FD"/>
    <w:rsid w:val="00D05C62"/>
    <w:rsid w:val="00D06038"/>
    <w:rsid w:val="00D06146"/>
    <w:rsid w:val="00D06331"/>
    <w:rsid w:val="00D067C3"/>
    <w:rsid w:val="00D06819"/>
    <w:rsid w:val="00D068BC"/>
    <w:rsid w:val="00D06EAF"/>
    <w:rsid w:val="00D07999"/>
    <w:rsid w:val="00D07E0D"/>
    <w:rsid w:val="00D07FBF"/>
    <w:rsid w:val="00D10154"/>
    <w:rsid w:val="00D10341"/>
    <w:rsid w:val="00D10AAF"/>
    <w:rsid w:val="00D10E34"/>
    <w:rsid w:val="00D110FF"/>
    <w:rsid w:val="00D114B9"/>
    <w:rsid w:val="00D116C0"/>
    <w:rsid w:val="00D1184F"/>
    <w:rsid w:val="00D11899"/>
    <w:rsid w:val="00D118EC"/>
    <w:rsid w:val="00D12170"/>
    <w:rsid w:val="00D12687"/>
    <w:rsid w:val="00D126B6"/>
    <w:rsid w:val="00D12885"/>
    <w:rsid w:val="00D129AB"/>
    <w:rsid w:val="00D12FF3"/>
    <w:rsid w:val="00D13339"/>
    <w:rsid w:val="00D1345B"/>
    <w:rsid w:val="00D13577"/>
    <w:rsid w:val="00D137A4"/>
    <w:rsid w:val="00D13CC6"/>
    <w:rsid w:val="00D14020"/>
    <w:rsid w:val="00D1429E"/>
    <w:rsid w:val="00D1445B"/>
    <w:rsid w:val="00D144D9"/>
    <w:rsid w:val="00D1473A"/>
    <w:rsid w:val="00D149CB"/>
    <w:rsid w:val="00D14A6F"/>
    <w:rsid w:val="00D14B63"/>
    <w:rsid w:val="00D14BDA"/>
    <w:rsid w:val="00D14C03"/>
    <w:rsid w:val="00D151B7"/>
    <w:rsid w:val="00D156F7"/>
    <w:rsid w:val="00D156FA"/>
    <w:rsid w:val="00D15733"/>
    <w:rsid w:val="00D15944"/>
    <w:rsid w:val="00D15BF4"/>
    <w:rsid w:val="00D15D96"/>
    <w:rsid w:val="00D15F24"/>
    <w:rsid w:val="00D16312"/>
    <w:rsid w:val="00D1634B"/>
    <w:rsid w:val="00D168C2"/>
    <w:rsid w:val="00D16FF5"/>
    <w:rsid w:val="00D1747F"/>
    <w:rsid w:val="00D177FF"/>
    <w:rsid w:val="00D17A57"/>
    <w:rsid w:val="00D17B8C"/>
    <w:rsid w:val="00D17C3E"/>
    <w:rsid w:val="00D20000"/>
    <w:rsid w:val="00D202C4"/>
    <w:rsid w:val="00D204AA"/>
    <w:rsid w:val="00D20597"/>
    <w:rsid w:val="00D20994"/>
    <w:rsid w:val="00D209A7"/>
    <w:rsid w:val="00D20A70"/>
    <w:rsid w:val="00D20AA3"/>
    <w:rsid w:val="00D20DD6"/>
    <w:rsid w:val="00D20E21"/>
    <w:rsid w:val="00D21068"/>
    <w:rsid w:val="00D219B5"/>
    <w:rsid w:val="00D21DFC"/>
    <w:rsid w:val="00D22080"/>
    <w:rsid w:val="00D22095"/>
    <w:rsid w:val="00D222D6"/>
    <w:rsid w:val="00D223B3"/>
    <w:rsid w:val="00D225B4"/>
    <w:rsid w:val="00D22BEC"/>
    <w:rsid w:val="00D22EEC"/>
    <w:rsid w:val="00D22EFD"/>
    <w:rsid w:val="00D233A1"/>
    <w:rsid w:val="00D2342D"/>
    <w:rsid w:val="00D23A00"/>
    <w:rsid w:val="00D23FD6"/>
    <w:rsid w:val="00D243B9"/>
    <w:rsid w:val="00D245A7"/>
    <w:rsid w:val="00D24672"/>
    <w:rsid w:val="00D246EB"/>
    <w:rsid w:val="00D25035"/>
    <w:rsid w:val="00D255AD"/>
    <w:rsid w:val="00D2574E"/>
    <w:rsid w:val="00D25ED5"/>
    <w:rsid w:val="00D2604E"/>
    <w:rsid w:val="00D260FF"/>
    <w:rsid w:val="00D2621F"/>
    <w:rsid w:val="00D268E2"/>
    <w:rsid w:val="00D26D2D"/>
    <w:rsid w:val="00D26EF6"/>
    <w:rsid w:val="00D275B3"/>
    <w:rsid w:val="00D2772E"/>
    <w:rsid w:val="00D278E1"/>
    <w:rsid w:val="00D27C20"/>
    <w:rsid w:val="00D27CDB"/>
    <w:rsid w:val="00D27E33"/>
    <w:rsid w:val="00D3050F"/>
    <w:rsid w:val="00D30637"/>
    <w:rsid w:val="00D30859"/>
    <w:rsid w:val="00D30929"/>
    <w:rsid w:val="00D30D95"/>
    <w:rsid w:val="00D30E07"/>
    <w:rsid w:val="00D3110C"/>
    <w:rsid w:val="00D311ED"/>
    <w:rsid w:val="00D31234"/>
    <w:rsid w:val="00D316BF"/>
    <w:rsid w:val="00D31A9A"/>
    <w:rsid w:val="00D31D5D"/>
    <w:rsid w:val="00D3201F"/>
    <w:rsid w:val="00D320C7"/>
    <w:rsid w:val="00D32166"/>
    <w:rsid w:val="00D32272"/>
    <w:rsid w:val="00D32479"/>
    <w:rsid w:val="00D32580"/>
    <w:rsid w:val="00D3285C"/>
    <w:rsid w:val="00D328FB"/>
    <w:rsid w:val="00D33086"/>
    <w:rsid w:val="00D3314D"/>
    <w:rsid w:val="00D333AD"/>
    <w:rsid w:val="00D333F2"/>
    <w:rsid w:val="00D33572"/>
    <w:rsid w:val="00D3367A"/>
    <w:rsid w:val="00D336C9"/>
    <w:rsid w:val="00D3386B"/>
    <w:rsid w:val="00D33D1C"/>
    <w:rsid w:val="00D33FCF"/>
    <w:rsid w:val="00D3412D"/>
    <w:rsid w:val="00D34263"/>
    <w:rsid w:val="00D342A3"/>
    <w:rsid w:val="00D342B8"/>
    <w:rsid w:val="00D34347"/>
    <w:rsid w:val="00D34392"/>
    <w:rsid w:val="00D35090"/>
    <w:rsid w:val="00D3538D"/>
    <w:rsid w:val="00D35417"/>
    <w:rsid w:val="00D35868"/>
    <w:rsid w:val="00D358E3"/>
    <w:rsid w:val="00D35A1D"/>
    <w:rsid w:val="00D35BD5"/>
    <w:rsid w:val="00D35C40"/>
    <w:rsid w:val="00D35EE6"/>
    <w:rsid w:val="00D35F0E"/>
    <w:rsid w:val="00D362FA"/>
    <w:rsid w:val="00D36631"/>
    <w:rsid w:val="00D367ED"/>
    <w:rsid w:val="00D36BB8"/>
    <w:rsid w:val="00D36D5B"/>
    <w:rsid w:val="00D37089"/>
    <w:rsid w:val="00D37261"/>
    <w:rsid w:val="00D375CE"/>
    <w:rsid w:val="00D37893"/>
    <w:rsid w:val="00D37A1A"/>
    <w:rsid w:val="00D37AF2"/>
    <w:rsid w:val="00D37DB9"/>
    <w:rsid w:val="00D403BF"/>
    <w:rsid w:val="00D4065D"/>
    <w:rsid w:val="00D4159C"/>
    <w:rsid w:val="00D41878"/>
    <w:rsid w:val="00D418FB"/>
    <w:rsid w:val="00D41B2D"/>
    <w:rsid w:val="00D4266F"/>
    <w:rsid w:val="00D4277B"/>
    <w:rsid w:val="00D42A9C"/>
    <w:rsid w:val="00D42B97"/>
    <w:rsid w:val="00D42D64"/>
    <w:rsid w:val="00D42D93"/>
    <w:rsid w:val="00D42F3F"/>
    <w:rsid w:val="00D4310E"/>
    <w:rsid w:val="00D4339D"/>
    <w:rsid w:val="00D433B7"/>
    <w:rsid w:val="00D435EB"/>
    <w:rsid w:val="00D437AC"/>
    <w:rsid w:val="00D4396F"/>
    <w:rsid w:val="00D439E3"/>
    <w:rsid w:val="00D43B5E"/>
    <w:rsid w:val="00D43F9D"/>
    <w:rsid w:val="00D44251"/>
    <w:rsid w:val="00D4452C"/>
    <w:rsid w:val="00D449F7"/>
    <w:rsid w:val="00D44F71"/>
    <w:rsid w:val="00D456D3"/>
    <w:rsid w:val="00D45742"/>
    <w:rsid w:val="00D45A67"/>
    <w:rsid w:val="00D45ACC"/>
    <w:rsid w:val="00D45AFE"/>
    <w:rsid w:val="00D45B11"/>
    <w:rsid w:val="00D45BAD"/>
    <w:rsid w:val="00D45BF3"/>
    <w:rsid w:val="00D45DFE"/>
    <w:rsid w:val="00D45F36"/>
    <w:rsid w:val="00D46106"/>
    <w:rsid w:val="00D461CA"/>
    <w:rsid w:val="00D46480"/>
    <w:rsid w:val="00D464A4"/>
    <w:rsid w:val="00D464C9"/>
    <w:rsid w:val="00D46625"/>
    <w:rsid w:val="00D46A02"/>
    <w:rsid w:val="00D46C52"/>
    <w:rsid w:val="00D46DBC"/>
    <w:rsid w:val="00D46DFF"/>
    <w:rsid w:val="00D46EA1"/>
    <w:rsid w:val="00D471F5"/>
    <w:rsid w:val="00D47215"/>
    <w:rsid w:val="00D47227"/>
    <w:rsid w:val="00D4742A"/>
    <w:rsid w:val="00D474F7"/>
    <w:rsid w:val="00D47E0C"/>
    <w:rsid w:val="00D47F66"/>
    <w:rsid w:val="00D50193"/>
    <w:rsid w:val="00D50204"/>
    <w:rsid w:val="00D50951"/>
    <w:rsid w:val="00D50981"/>
    <w:rsid w:val="00D50A87"/>
    <w:rsid w:val="00D50ADA"/>
    <w:rsid w:val="00D50CCD"/>
    <w:rsid w:val="00D50D0F"/>
    <w:rsid w:val="00D50EAB"/>
    <w:rsid w:val="00D50EBF"/>
    <w:rsid w:val="00D50ECE"/>
    <w:rsid w:val="00D50F9A"/>
    <w:rsid w:val="00D51247"/>
    <w:rsid w:val="00D51497"/>
    <w:rsid w:val="00D51C36"/>
    <w:rsid w:val="00D51DAA"/>
    <w:rsid w:val="00D51DB5"/>
    <w:rsid w:val="00D5210D"/>
    <w:rsid w:val="00D528F1"/>
    <w:rsid w:val="00D52C97"/>
    <w:rsid w:val="00D52E59"/>
    <w:rsid w:val="00D53303"/>
    <w:rsid w:val="00D53393"/>
    <w:rsid w:val="00D53666"/>
    <w:rsid w:val="00D536B3"/>
    <w:rsid w:val="00D536CE"/>
    <w:rsid w:val="00D536EC"/>
    <w:rsid w:val="00D5375C"/>
    <w:rsid w:val="00D53844"/>
    <w:rsid w:val="00D53D55"/>
    <w:rsid w:val="00D54B7B"/>
    <w:rsid w:val="00D54CF9"/>
    <w:rsid w:val="00D54FF9"/>
    <w:rsid w:val="00D55059"/>
    <w:rsid w:val="00D554B3"/>
    <w:rsid w:val="00D556F2"/>
    <w:rsid w:val="00D558C2"/>
    <w:rsid w:val="00D55A0A"/>
    <w:rsid w:val="00D55AA4"/>
    <w:rsid w:val="00D55AB5"/>
    <w:rsid w:val="00D55BCF"/>
    <w:rsid w:val="00D55CDA"/>
    <w:rsid w:val="00D55F8A"/>
    <w:rsid w:val="00D56471"/>
    <w:rsid w:val="00D56507"/>
    <w:rsid w:val="00D566C9"/>
    <w:rsid w:val="00D56A20"/>
    <w:rsid w:val="00D56EAC"/>
    <w:rsid w:val="00D5721F"/>
    <w:rsid w:val="00D5729A"/>
    <w:rsid w:val="00D572DC"/>
    <w:rsid w:val="00D57354"/>
    <w:rsid w:val="00D5762E"/>
    <w:rsid w:val="00D576B8"/>
    <w:rsid w:val="00D57811"/>
    <w:rsid w:val="00D57DBC"/>
    <w:rsid w:val="00D6026A"/>
    <w:rsid w:val="00D60800"/>
    <w:rsid w:val="00D6112B"/>
    <w:rsid w:val="00D6118A"/>
    <w:rsid w:val="00D6127E"/>
    <w:rsid w:val="00D61683"/>
    <w:rsid w:val="00D61BC4"/>
    <w:rsid w:val="00D62364"/>
    <w:rsid w:val="00D62572"/>
    <w:rsid w:val="00D625C2"/>
    <w:rsid w:val="00D62DA9"/>
    <w:rsid w:val="00D62DED"/>
    <w:rsid w:val="00D630C9"/>
    <w:rsid w:val="00D63670"/>
    <w:rsid w:val="00D6395C"/>
    <w:rsid w:val="00D63962"/>
    <w:rsid w:val="00D63CC3"/>
    <w:rsid w:val="00D6450D"/>
    <w:rsid w:val="00D6462C"/>
    <w:rsid w:val="00D649B8"/>
    <w:rsid w:val="00D64BF6"/>
    <w:rsid w:val="00D64EBE"/>
    <w:rsid w:val="00D64FC2"/>
    <w:rsid w:val="00D651B7"/>
    <w:rsid w:val="00D65206"/>
    <w:rsid w:val="00D654C8"/>
    <w:rsid w:val="00D65D27"/>
    <w:rsid w:val="00D65F70"/>
    <w:rsid w:val="00D663A8"/>
    <w:rsid w:val="00D663D2"/>
    <w:rsid w:val="00D6646D"/>
    <w:rsid w:val="00D664E0"/>
    <w:rsid w:val="00D665B6"/>
    <w:rsid w:val="00D66802"/>
    <w:rsid w:val="00D668C3"/>
    <w:rsid w:val="00D66B12"/>
    <w:rsid w:val="00D66F0C"/>
    <w:rsid w:val="00D67337"/>
    <w:rsid w:val="00D67535"/>
    <w:rsid w:val="00D6757F"/>
    <w:rsid w:val="00D6767F"/>
    <w:rsid w:val="00D676E9"/>
    <w:rsid w:val="00D677E3"/>
    <w:rsid w:val="00D679D9"/>
    <w:rsid w:val="00D70382"/>
    <w:rsid w:val="00D7044E"/>
    <w:rsid w:val="00D70725"/>
    <w:rsid w:val="00D7073A"/>
    <w:rsid w:val="00D70849"/>
    <w:rsid w:val="00D70F89"/>
    <w:rsid w:val="00D712F5"/>
    <w:rsid w:val="00D71420"/>
    <w:rsid w:val="00D71597"/>
    <w:rsid w:val="00D72148"/>
    <w:rsid w:val="00D7229D"/>
    <w:rsid w:val="00D7233B"/>
    <w:rsid w:val="00D7234F"/>
    <w:rsid w:val="00D72496"/>
    <w:rsid w:val="00D725D8"/>
    <w:rsid w:val="00D728FC"/>
    <w:rsid w:val="00D72AF9"/>
    <w:rsid w:val="00D73233"/>
    <w:rsid w:val="00D73460"/>
    <w:rsid w:val="00D73686"/>
    <w:rsid w:val="00D73707"/>
    <w:rsid w:val="00D73795"/>
    <w:rsid w:val="00D73B1D"/>
    <w:rsid w:val="00D73C82"/>
    <w:rsid w:val="00D740D5"/>
    <w:rsid w:val="00D743B1"/>
    <w:rsid w:val="00D74CFB"/>
    <w:rsid w:val="00D74EEE"/>
    <w:rsid w:val="00D74F95"/>
    <w:rsid w:val="00D751BE"/>
    <w:rsid w:val="00D7581F"/>
    <w:rsid w:val="00D7632D"/>
    <w:rsid w:val="00D763A7"/>
    <w:rsid w:val="00D76579"/>
    <w:rsid w:val="00D76DB2"/>
    <w:rsid w:val="00D773CE"/>
    <w:rsid w:val="00D777C6"/>
    <w:rsid w:val="00D7784D"/>
    <w:rsid w:val="00D778CB"/>
    <w:rsid w:val="00D77CFD"/>
    <w:rsid w:val="00D77DEF"/>
    <w:rsid w:val="00D8048C"/>
    <w:rsid w:val="00D80A9A"/>
    <w:rsid w:val="00D80B44"/>
    <w:rsid w:val="00D80D88"/>
    <w:rsid w:val="00D80E04"/>
    <w:rsid w:val="00D81102"/>
    <w:rsid w:val="00D81471"/>
    <w:rsid w:val="00D816FB"/>
    <w:rsid w:val="00D81874"/>
    <w:rsid w:val="00D81908"/>
    <w:rsid w:val="00D81AF9"/>
    <w:rsid w:val="00D81C35"/>
    <w:rsid w:val="00D81C97"/>
    <w:rsid w:val="00D82038"/>
    <w:rsid w:val="00D821D7"/>
    <w:rsid w:val="00D8230F"/>
    <w:rsid w:val="00D82347"/>
    <w:rsid w:val="00D8242B"/>
    <w:rsid w:val="00D8278E"/>
    <w:rsid w:val="00D82874"/>
    <w:rsid w:val="00D82968"/>
    <w:rsid w:val="00D829B1"/>
    <w:rsid w:val="00D82D03"/>
    <w:rsid w:val="00D82F62"/>
    <w:rsid w:val="00D82F68"/>
    <w:rsid w:val="00D83581"/>
    <w:rsid w:val="00D8372C"/>
    <w:rsid w:val="00D837A2"/>
    <w:rsid w:val="00D83828"/>
    <w:rsid w:val="00D83867"/>
    <w:rsid w:val="00D83AF9"/>
    <w:rsid w:val="00D83BE7"/>
    <w:rsid w:val="00D83C01"/>
    <w:rsid w:val="00D84061"/>
    <w:rsid w:val="00D8409D"/>
    <w:rsid w:val="00D84123"/>
    <w:rsid w:val="00D84248"/>
    <w:rsid w:val="00D847F3"/>
    <w:rsid w:val="00D8485C"/>
    <w:rsid w:val="00D8486D"/>
    <w:rsid w:val="00D85071"/>
    <w:rsid w:val="00D85138"/>
    <w:rsid w:val="00D8545B"/>
    <w:rsid w:val="00D854BE"/>
    <w:rsid w:val="00D859BB"/>
    <w:rsid w:val="00D85AA8"/>
    <w:rsid w:val="00D85BD3"/>
    <w:rsid w:val="00D85F72"/>
    <w:rsid w:val="00D85FA7"/>
    <w:rsid w:val="00D86084"/>
    <w:rsid w:val="00D8610B"/>
    <w:rsid w:val="00D865E3"/>
    <w:rsid w:val="00D86806"/>
    <w:rsid w:val="00D86AAE"/>
    <w:rsid w:val="00D86DA7"/>
    <w:rsid w:val="00D86E76"/>
    <w:rsid w:val="00D86ED6"/>
    <w:rsid w:val="00D8742C"/>
    <w:rsid w:val="00D87627"/>
    <w:rsid w:val="00D87684"/>
    <w:rsid w:val="00D87C90"/>
    <w:rsid w:val="00D87CD0"/>
    <w:rsid w:val="00D87CDD"/>
    <w:rsid w:val="00D87CE4"/>
    <w:rsid w:val="00D87D11"/>
    <w:rsid w:val="00D90119"/>
    <w:rsid w:val="00D903AF"/>
    <w:rsid w:val="00D905C7"/>
    <w:rsid w:val="00D9068B"/>
    <w:rsid w:val="00D908A2"/>
    <w:rsid w:val="00D90A9A"/>
    <w:rsid w:val="00D90BB1"/>
    <w:rsid w:val="00D9147E"/>
    <w:rsid w:val="00D91D0A"/>
    <w:rsid w:val="00D91EA9"/>
    <w:rsid w:val="00D91F11"/>
    <w:rsid w:val="00D921BF"/>
    <w:rsid w:val="00D921E5"/>
    <w:rsid w:val="00D92306"/>
    <w:rsid w:val="00D923F8"/>
    <w:rsid w:val="00D924F1"/>
    <w:rsid w:val="00D92B76"/>
    <w:rsid w:val="00D92D0B"/>
    <w:rsid w:val="00D92E43"/>
    <w:rsid w:val="00D931DE"/>
    <w:rsid w:val="00D93515"/>
    <w:rsid w:val="00D93D45"/>
    <w:rsid w:val="00D94005"/>
    <w:rsid w:val="00D942B6"/>
    <w:rsid w:val="00D943B9"/>
    <w:rsid w:val="00D944A0"/>
    <w:rsid w:val="00D944D5"/>
    <w:rsid w:val="00D94E1D"/>
    <w:rsid w:val="00D95349"/>
    <w:rsid w:val="00D9555F"/>
    <w:rsid w:val="00D95580"/>
    <w:rsid w:val="00D95747"/>
    <w:rsid w:val="00D959AF"/>
    <w:rsid w:val="00D95CCE"/>
    <w:rsid w:val="00D95D15"/>
    <w:rsid w:val="00D95F1C"/>
    <w:rsid w:val="00D960AF"/>
    <w:rsid w:val="00D960C3"/>
    <w:rsid w:val="00D96466"/>
    <w:rsid w:val="00D964FD"/>
    <w:rsid w:val="00D96544"/>
    <w:rsid w:val="00D965C1"/>
    <w:rsid w:val="00D966A7"/>
    <w:rsid w:val="00D968CC"/>
    <w:rsid w:val="00D96962"/>
    <w:rsid w:val="00D96F7E"/>
    <w:rsid w:val="00D97356"/>
    <w:rsid w:val="00D973D9"/>
    <w:rsid w:val="00D975B8"/>
    <w:rsid w:val="00D9777B"/>
    <w:rsid w:val="00D9799F"/>
    <w:rsid w:val="00DA013A"/>
    <w:rsid w:val="00DA0667"/>
    <w:rsid w:val="00DA077C"/>
    <w:rsid w:val="00DA08F8"/>
    <w:rsid w:val="00DA09DB"/>
    <w:rsid w:val="00DA1370"/>
    <w:rsid w:val="00DA1882"/>
    <w:rsid w:val="00DA1A65"/>
    <w:rsid w:val="00DA1A9F"/>
    <w:rsid w:val="00DA1BAD"/>
    <w:rsid w:val="00DA1C20"/>
    <w:rsid w:val="00DA1D43"/>
    <w:rsid w:val="00DA1E73"/>
    <w:rsid w:val="00DA2015"/>
    <w:rsid w:val="00DA255B"/>
    <w:rsid w:val="00DA25A6"/>
    <w:rsid w:val="00DA263B"/>
    <w:rsid w:val="00DA284E"/>
    <w:rsid w:val="00DA2C0E"/>
    <w:rsid w:val="00DA3343"/>
    <w:rsid w:val="00DA36EE"/>
    <w:rsid w:val="00DA372C"/>
    <w:rsid w:val="00DA3F5B"/>
    <w:rsid w:val="00DA4285"/>
    <w:rsid w:val="00DA44FD"/>
    <w:rsid w:val="00DA4695"/>
    <w:rsid w:val="00DA46E9"/>
    <w:rsid w:val="00DA48ED"/>
    <w:rsid w:val="00DA49C5"/>
    <w:rsid w:val="00DA49FA"/>
    <w:rsid w:val="00DA4D5E"/>
    <w:rsid w:val="00DA4E21"/>
    <w:rsid w:val="00DA4E28"/>
    <w:rsid w:val="00DA4E62"/>
    <w:rsid w:val="00DA5118"/>
    <w:rsid w:val="00DA52EE"/>
    <w:rsid w:val="00DA57FF"/>
    <w:rsid w:val="00DA5936"/>
    <w:rsid w:val="00DA598F"/>
    <w:rsid w:val="00DA61AF"/>
    <w:rsid w:val="00DA6640"/>
    <w:rsid w:val="00DA6916"/>
    <w:rsid w:val="00DA6DE5"/>
    <w:rsid w:val="00DA6FB2"/>
    <w:rsid w:val="00DA761C"/>
    <w:rsid w:val="00DA784D"/>
    <w:rsid w:val="00DA78F4"/>
    <w:rsid w:val="00DA7D83"/>
    <w:rsid w:val="00DA7EAA"/>
    <w:rsid w:val="00DB0396"/>
    <w:rsid w:val="00DB0578"/>
    <w:rsid w:val="00DB0741"/>
    <w:rsid w:val="00DB0B40"/>
    <w:rsid w:val="00DB0BBF"/>
    <w:rsid w:val="00DB1961"/>
    <w:rsid w:val="00DB1A70"/>
    <w:rsid w:val="00DB1D6C"/>
    <w:rsid w:val="00DB1FB6"/>
    <w:rsid w:val="00DB228C"/>
    <w:rsid w:val="00DB22E0"/>
    <w:rsid w:val="00DB296F"/>
    <w:rsid w:val="00DB2980"/>
    <w:rsid w:val="00DB2C6F"/>
    <w:rsid w:val="00DB2E15"/>
    <w:rsid w:val="00DB3016"/>
    <w:rsid w:val="00DB359F"/>
    <w:rsid w:val="00DB366A"/>
    <w:rsid w:val="00DB36E8"/>
    <w:rsid w:val="00DB3996"/>
    <w:rsid w:val="00DB3B2D"/>
    <w:rsid w:val="00DB3C3C"/>
    <w:rsid w:val="00DB3C44"/>
    <w:rsid w:val="00DB3D78"/>
    <w:rsid w:val="00DB40DF"/>
    <w:rsid w:val="00DB4191"/>
    <w:rsid w:val="00DB4233"/>
    <w:rsid w:val="00DB4339"/>
    <w:rsid w:val="00DB4344"/>
    <w:rsid w:val="00DB43CE"/>
    <w:rsid w:val="00DB44B4"/>
    <w:rsid w:val="00DB492E"/>
    <w:rsid w:val="00DB4E0E"/>
    <w:rsid w:val="00DB5017"/>
    <w:rsid w:val="00DB524F"/>
    <w:rsid w:val="00DB557A"/>
    <w:rsid w:val="00DB5677"/>
    <w:rsid w:val="00DB5688"/>
    <w:rsid w:val="00DB5A28"/>
    <w:rsid w:val="00DB5D2E"/>
    <w:rsid w:val="00DB5F0F"/>
    <w:rsid w:val="00DB6093"/>
    <w:rsid w:val="00DB6146"/>
    <w:rsid w:val="00DB62C3"/>
    <w:rsid w:val="00DB660F"/>
    <w:rsid w:val="00DB66C9"/>
    <w:rsid w:val="00DB684A"/>
    <w:rsid w:val="00DB6962"/>
    <w:rsid w:val="00DB6F99"/>
    <w:rsid w:val="00DB71E3"/>
    <w:rsid w:val="00DB7430"/>
    <w:rsid w:val="00DB74EA"/>
    <w:rsid w:val="00DB76CE"/>
    <w:rsid w:val="00DB7835"/>
    <w:rsid w:val="00DB7974"/>
    <w:rsid w:val="00DB7A61"/>
    <w:rsid w:val="00DB7B41"/>
    <w:rsid w:val="00DC0051"/>
    <w:rsid w:val="00DC00EA"/>
    <w:rsid w:val="00DC0721"/>
    <w:rsid w:val="00DC09B9"/>
    <w:rsid w:val="00DC0F9C"/>
    <w:rsid w:val="00DC16B0"/>
    <w:rsid w:val="00DC1A15"/>
    <w:rsid w:val="00DC1B68"/>
    <w:rsid w:val="00DC1DA4"/>
    <w:rsid w:val="00DC1DC6"/>
    <w:rsid w:val="00DC1DDF"/>
    <w:rsid w:val="00DC2103"/>
    <w:rsid w:val="00DC243C"/>
    <w:rsid w:val="00DC25FB"/>
    <w:rsid w:val="00DC27AE"/>
    <w:rsid w:val="00DC292D"/>
    <w:rsid w:val="00DC2961"/>
    <w:rsid w:val="00DC2B71"/>
    <w:rsid w:val="00DC2C32"/>
    <w:rsid w:val="00DC322B"/>
    <w:rsid w:val="00DC3613"/>
    <w:rsid w:val="00DC37BC"/>
    <w:rsid w:val="00DC387B"/>
    <w:rsid w:val="00DC39C0"/>
    <w:rsid w:val="00DC3D7C"/>
    <w:rsid w:val="00DC3EBD"/>
    <w:rsid w:val="00DC4141"/>
    <w:rsid w:val="00DC4380"/>
    <w:rsid w:val="00DC46D8"/>
    <w:rsid w:val="00DC48ED"/>
    <w:rsid w:val="00DC49D8"/>
    <w:rsid w:val="00DC4FFC"/>
    <w:rsid w:val="00DC5819"/>
    <w:rsid w:val="00DC59AF"/>
    <w:rsid w:val="00DC59CA"/>
    <w:rsid w:val="00DC5AA7"/>
    <w:rsid w:val="00DC5EC6"/>
    <w:rsid w:val="00DC601F"/>
    <w:rsid w:val="00DC68E4"/>
    <w:rsid w:val="00DC695E"/>
    <w:rsid w:val="00DC6A13"/>
    <w:rsid w:val="00DC7096"/>
    <w:rsid w:val="00DC7162"/>
    <w:rsid w:val="00DC736C"/>
    <w:rsid w:val="00DC7373"/>
    <w:rsid w:val="00DC75AD"/>
    <w:rsid w:val="00DC78AF"/>
    <w:rsid w:val="00DC7920"/>
    <w:rsid w:val="00DC7A49"/>
    <w:rsid w:val="00DC7B47"/>
    <w:rsid w:val="00DC7B57"/>
    <w:rsid w:val="00DC7BFD"/>
    <w:rsid w:val="00DC7C62"/>
    <w:rsid w:val="00DC7FAB"/>
    <w:rsid w:val="00DD00E0"/>
    <w:rsid w:val="00DD016A"/>
    <w:rsid w:val="00DD051D"/>
    <w:rsid w:val="00DD0C1A"/>
    <w:rsid w:val="00DD0F2A"/>
    <w:rsid w:val="00DD10EE"/>
    <w:rsid w:val="00DD1460"/>
    <w:rsid w:val="00DD16D1"/>
    <w:rsid w:val="00DD1899"/>
    <w:rsid w:val="00DD18A4"/>
    <w:rsid w:val="00DD18C7"/>
    <w:rsid w:val="00DD1947"/>
    <w:rsid w:val="00DD19ED"/>
    <w:rsid w:val="00DD2893"/>
    <w:rsid w:val="00DD33B1"/>
    <w:rsid w:val="00DD33EF"/>
    <w:rsid w:val="00DD39AF"/>
    <w:rsid w:val="00DD3B95"/>
    <w:rsid w:val="00DD3CF4"/>
    <w:rsid w:val="00DD3D3E"/>
    <w:rsid w:val="00DD3D99"/>
    <w:rsid w:val="00DD44FD"/>
    <w:rsid w:val="00DD4742"/>
    <w:rsid w:val="00DD4ABF"/>
    <w:rsid w:val="00DD4B72"/>
    <w:rsid w:val="00DD4CCC"/>
    <w:rsid w:val="00DD4CCD"/>
    <w:rsid w:val="00DD4DAC"/>
    <w:rsid w:val="00DD4F87"/>
    <w:rsid w:val="00DD50F4"/>
    <w:rsid w:val="00DD5303"/>
    <w:rsid w:val="00DD5640"/>
    <w:rsid w:val="00DD5A5D"/>
    <w:rsid w:val="00DD5CEB"/>
    <w:rsid w:val="00DD5E68"/>
    <w:rsid w:val="00DD5ECC"/>
    <w:rsid w:val="00DD604A"/>
    <w:rsid w:val="00DD63EF"/>
    <w:rsid w:val="00DD644F"/>
    <w:rsid w:val="00DD668F"/>
    <w:rsid w:val="00DD6829"/>
    <w:rsid w:val="00DD6CAE"/>
    <w:rsid w:val="00DD7091"/>
    <w:rsid w:val="00DD7262"/>
    <w:rsid w:val="00DD75D7"/>
    <w:rsid w:val="00DD7851"/>
    <w:rsid w:val="00DD78DD"/>
    <w:rsid w:val="00DD795A"/>
    <w:rsid w:val="00DD7AA2"/>
    <w:rsid w:val="00DE0164"/>
    <w:rsid w:val="00DE036A"/>
    <w:rsid w:val="00DE116D"/>
    <w:rsid w:val="00DE137F"/>
    <w:rsid w:val="00DE13D0"/>
    <w:rsid w:val="00DE157F"/>
    <w:rsid w:val="00DE1C20"/>
    <w:rsid w:val="00DE1CB9"/>
    <w:rsid w:val="00DE1D4D"/>
    <w:rsid w:val="00DE1D91"/>
    <w:rsid w:val="00DE1FCF"/>
    <w:rsid w:val="00DE21A7"/>
    <w:rsid w:val="00DE239C"/>
    <w:rsid w:val="00DE2796"/>
    <w:rsid w:val="00DE29E6"/>
    <w:rsid w:val="00DE2AF6"/>
    <w:rsid w:val="00DE2DE0"/>
    <w:rsid w:val="00DE2FC3"/>
    <w:rsid w:val="00DE3713"/>
    <w:rsid w:val="00DE3732"/>
    <w:rsid w:val="00DE37C7"/>
    <w:rsid w:val="00DE39C2"/>
    <w:rsid w:val="00DE3AAF"/>
    <w:rsid w:val="00DE42F0"/>
    <w:rsid w:val="00DE4324"/>
    <w:rsid w:val="00DE4697"/>
    <w:rsid w:val="00DE4864"/>
    <w:rsid w:val="00DE49D8"/>
    <w:rsid w:val="00DE4E36"/>
    <w:rsid w:val="00DE5046"/>
    <w:rsid w:val="00DE56FA"/>
    <w:rsid w:val="00DE572C"/>
    <w:rsid w:val="00DE59CC"/>
    <w:rsid w:val="00DE5B63"/>
    <w:rsid w:val="00DE6074"/>
    <w:rsid w:val="00DE6586"/>
    <w:rsid w:val="00DE6635"/>
    <w:rsid w:val="00DE6E17"/>
    <w:rsid w:val="00DE7385"/>
    <w:rsid w:val="00DE74B2"/>
    <w:rsid w:val="00DE7A9B"/>
    <w:rsid w:val="00DE7ABA"/>
    <w:rsid w:val="00DF0167"/>
    <w:rsid w:val="00DF0480"/>
    <w:rsid w:val="00DF078D"/>
    <w:rsid w:val="00DF0837"/>
    <w:rsid w:val="00DF0A2F"/>
    <w:rsid w:val="00DF0C74"/>
    <w:rsid w:val="00DF0C96"/>
    <w:rsid w:val="00DF0D92"/>
    <w:rsid w:val="00DF1029"/>
    <w:rsid w:val="00DF10AA"/>
    <w:rsid w:val="00DF13AA"/>
    <w:rsid w:val="00DF16CB"/>
    <w:rsid w:val="00DF1B6C"/>
    <w:rsid w:val="00DF1BE2"/>
    <w:rsid w:val="00DF2278"/>
    <w:rsid w:val="00DF23CE"/>
    <w:rsid w:val="00DF24B3"/>
    <w:rsid w:val="00DF2540"/>
    <w:rsid w:val="00DF26F4"/>
    <w:rsid w:val="00DF29D9"/>
    <w:rsid w:val="00DF2A0D"/>
    <w:rsid w:val="00DF2AF1"/>
    <w:rsid w:val="00DF2E8F"/>
    <w:rsid w:val="00DF3268"/>
    <w:rsid w:val="00DF3485"/>
    <w:rsid w:val="00DF34DE"/>
    <w:rsid w:val="00DF3567"/>
    <w:rsid w:val="00DF35D3"/>
    <w:rsid w:val="00DF36B6"/>
    <w:rsid w:val="00DF36FF"/>
    <w:rsid w:val="00DF3735"/>
    <w:rsid w:val="00DF3F7F"/>
    <w:rsid w:val="00DF4142"/>
    <w:rsid w:val="00DF42F4"/>
    <w:rsid w:val="00DF4398"/>
    <w:rsid w:val="00DF445D"/>
    <w:rsid w:val="00DF4AC2"/>
    <w:rsid w:val="00DF4C7F"/>
    <w:rsid w:val="00DF5246"/>
    <w:rsid w:val="00DF5264"/>
    <w:rsid w:val="00DF544B"/>
    <w:rsid w:val="00DF584F"/>
    <w:rsid w:val="00DF5A61"/>
    <w:rsid w:val="00DF5A79"/>
    <w:rsid w:val="00DF62C9"/>
    <w:rsid w:val="00DF66C2"/>
    <w:rsid w:val="00DF6E70"/>
    <w:rsid w:val="00DF7431"/>
    <w:rsid w:val="00DF74C1"/>
    <w:rsid w:val="00DF76F1"/>
    <w:rsid w:val="00DF79C9"/>
    <w:rsid w:val="00DF7CC0"/>
    <w:rsid w:val="00E0005C"/>
    <w:rsid w:val="00E00091"/>
    <w:rsid w:val="00E0018F"/>
    <w:rsid w:val="00E001BE"/>
    <w:rsid w:val="00E005A2"/>
    <w:rsid w:val="00E008C0"/>
    <w:rsid w:val="00E00CD9"/>
    <w:rsid w:val="00E01061"/>
    <w:rsid w:val="00E01521"/>
    <w:rsid w:val="00E01F19"/>
    <w:rsid w:val="00E0209E"/>
    <w:rsid w:val="00E0268A"/>
    <w:rsid w:val="00E03177"/>
    <w:rsid w:val="00E031F1"/>
    <w:rsid w:val="00E03459"/>
    <w:rsid w:val="00E03835"/>
    <w:rsid w:val="00E03995"/>
    <w:rsid w:val="00E03C96"/>
    <w:rsid w:val="00E043AF"/>
    <w:rsid w:val="00E04549"/>
    <w:rsid w:val="00E04796"/>
    <w:rsid w:val="00E04B8B"/>
    <w:rsid w:val="00E04DED"/>
    <w:rsid w:val="00E05AAA"/>
    <w:rsid w:val="00E05BD6"/>
    <w:rsid w:val="00E05C63"/>
    <w:rsid w:val="00E05D61"/>
    <w:rsid w:val="00E0618B"/>
    <w:rsid w:val="00E06455"/>
    <w:rsid w:val="00E067A6"/>
    <w:rsid w:val="00E06A00"/>
    <w:rsid w:val="00E06ED0"/>
    <w:rsid w:val="00E06F7B"/>
    <w:rsid w:val="00E0731C"/>
    <w:rsid w:val="00E07AE2"/>
    <w:rsid w:val="00E07D02"/>
    <w:rsid w:val="00E07D3A"/>
    <w:rsid w:val="00E07FC0"/>
    <w:rsid w:val="00E0F51D"/>
    <w:rsid w:val="00E10055"/>
    <w:rsid w:val="00E10455"/>
    <w:rsid w:val="00E108DC"/>
    <w:rsid w:val="00E1092D"/>
    <w:rsid w:val="00E109C9"/>
    <w:rsid w:val="00E10D9A"/>
    <w:rsid w:val="00E10DF7"/>
    <w:rsid w:val="00E111D7"/>
    <w:rsid w:val="00E11243"/>
    <w:rsid w:val="00E11BF9"/>
    <w:rsid w:val="00E12474"/>
    <w:rsid w:val="00E12F96"/>
    <w:rsid w:val="00E12FF8"/>
    <w:rsid w:val="00E1324F"/>
    <w:rsid w:val="00E13781"/>
    <w:rsid w:val="00E13BF0"/>
    <w:rsid w:val="00E1401D"/>
    <w:rsid w:val="00E140E8"/>
    <w:rsid w:val="00E1479B"/>
    <w:rsid w:val="00E148F6"/>
    <w:rsid w:val="00E14B24"/>
    <w:rsid w:val="00E1521C"/>
    <w:rsid w:val="00E15257"/>
    <w:rsid w:val="00E154E0"/>
    <w:rsid w:val="00E155DD"/>
    <w:rsid w:val="00E15710"/>
    <w:rsid w:val="00E15AE1"/>
    <w:rsid w:val="00E16020"/>
    <w:rsid w:val="00E16347"/>
    <w:rsid w:val="00E163BC"/>
    <w:rsid w:val="00E16447"/>
    <w:rsid w:val="00E164AB"/>
    <w:rsid w:val="00E1660D"/>
    <w:rsid w:val="00E16973"/>
    <w:rsid w:val="00E16C67"/>
    <w:rsid w:val="00E16D1C"/>
    <w:rsid w:val="00E16F0E"/>
    <w:rsid w:val="00E1707E"/>
    <w:rsid w:val="00E174A2"/>
    <w:rsid w:val="00E175BA"/>
    <w:rsid w:val="00E17AAE"/>
    <w:rsid w:val="00E17E3D"/>
    <w:rsid w:val="00E17E41"/>
    <w:rsid w:val="00E17FB5"/>
    <w:rsid w:val="00E204F2"/>
    <w:rsid w:val="00E205FE"/>
    <w:rsid w:val="00E20AE5"/>
    <w:rsid w:val="00E20B38"/>
    <w:rsid w:val="00E20C03"/>
    <w:rsid w:val="00E21408"/>
    <w:rsid w:val="00E21700"/>
    <w:rsid w:val="00E21A48"/>
    <w:rsid w:val="00E21EED"/>
    <w:rsid w:val="00E22776"/>
    <w:rsid w:val="00E22890"/>
    <w:rsid w:val="00E22A1B"/>
    <w:rsid w:val="00E22B00"/>
    <w:rsid w:val="00E22F83"/>
    <w:rsid w:val="00E23440"/>
    <w:rsid w:val="00E235F4"/>
    <w:rsid w:val="00E23A7D"/>
    <w:rsid w:val="00E2416C"/>
    <w:rsid w:val="00E241D7"/>
    <w:rsid w:val="00E24303"/>
    <w:rsid w:val="00E24435"/>
    <w:rsid w:val="00E24502"/>
    <w:rsid w:val="00E247C7"/>
    <w:rsid w:val="00E253A0"/>
    <w:rsid w:val="00E25421"/>
    <w:rsid w:val="00E25429"/>
    <w:rsid w:val="00E2545C"/>
    <w:rsid w:val="00E25548"/>
    <w:rsid w:val="00E256F4"/>
    <w:rsid w:val="00E256FC"/>
    <w:rsid w:val="00E257E1"/>
    <w:rsid w:val="00E2588C"/>
    <w:rsid w:val="00E26293"/>
    <w:rsid w:val="00E26295"/>
    <w:rsid w:val="00E26514"/>
    <w:rsid w:val="00E2658B"/>
    <w:rsid w:val="00E26656"/>
    <w:rsid w:val="00E2670E"/>
    <w:rsid w:val="00E26726"/>
    <w:rsid w:val="00E2675B"/>
    <w:rsid w:val="00E26A40"/>
    <w:rsid w:val="00E26C58"/>
    <w:rsid w:val="00E26ED0"/>
    <w:rsid w:val="00E26F86"/>
    <w:rsid w:val="00E27145"/>
    <w:rsid w:val="00E2785B"/>
    <w:rsid w:val="00E27873"/>
    <w:rsid w:val="00E2789F"/>
    <w:rsid w:val="00E27D64"/>
    <w:rsid w:val="00E301ED"/>
    <w:rsid w:val="00E30201"/>
    <w:rsid w:val="00E3046D"/>
    <w:rsid w:val="00E306FB"/>
    <w:rsid w:val="00E307A5"/>
    <w:rsid w:val="00E30B7D"/>
    <w:rsid w:val="00E30D8D"/>
    <w:rsid w:val="00E3177E"/>
    <w:rsid w:val="00E31866"/>
    <w:rsid w:val="00E31AAD"/>
    <w:rsid w:val="00E31C0D"/>
    <w:rsid w:val="00E31F19"/>
    <w:rsid w:val="00E3250E"/>
    <w:rsid w:val="00E3267F"/>
    <w:rsid w:val="00E32DEF"/>
    <w:rsid w:val="00E33119"/>
    <w:rsid w:val="00E331F5"/>
    <w:rsid w:val="00E3322E"/>
    <w:rsid w:val="00E33855"/>
    <w:rsid w:val="00E3485A"/>
    <w:rsid w:val="00E34895"/>
    <w:rsid w:val="00E351BB"/>
    <w:rsid w:val="00E3550A"/>
    <w:rsid w:val="00E35763"/>
    <w:rsid w:val="00E35FB0"/>
    <w:rsid w:val="00E364C8"/>
    <w:rsid w:val="00E36DDE"/>
    <w:rsid w:val="00E37074"/>
    <w:rsid w:val="00E370AB"/>
    <w:rsid w:val="00E371AE"/>
    <w:rsid w:val="00E37526"/>
    <w:rsid w:val="00E40448"/>
    <w:rsid w:val="00E40B8A"/>
    <w:rsid w:val="00E40C43"/>
    <w:rsid w:val="00E40D32"/>
    <w:rsid w:val="00E41186"/>
    <w:rsid w:val="00E411B9"/>
    <w:rsid w:val="00E413D0"/>
    <w:rsid w:val="00E41B24"/>
    <w:rsid w:val="00E41B27"/>
    <w:rsid w:val="00E41C87"/>
    <w:rsid w:val="00E41D8B"/>
    <w:rsid w:val="00E41DF5"/>
    <w:rsid w:val="00E4204E"/>
    <w:rsid w:val="00E42132"/>
    <w:rsid w:val="00E42424"/>
    <w:rsid w:val="00E426B8"/>
    <w:rsid w:val="00E427A9"/>
    <w:rsid w:val="00E42C87"/>
    <w:rsid w:val="00E42DF7"/>
    <w:rsid w:val="00E42F39"/>
    <w:rsid w:val="00E4307D"/>
    <w:rsid w:val="00E43461"/>
    <w:rsid w:val="00E43DE8"/>
    <w:rsid w:val="00E43E07"/>
    <w:rsid w:val="00E43E4B"/>
    <w:rsid w:val="00E441DD"/>
    <w:rsid w:val="00E442FA"/>
    <w:rsid w:val="00E447FA"/>
    <w:rsid w:val="00E44836"/>
    <w:rsid w:val="00E44A6D"/>
    <w:rsid w:val="00E4514E"/>
    <w:rsid w:val="00E45CB9"/>
    <w:rsid w:val="00E45F29"/>
    <w:rsid w:val="00E460B2"/>
    <w:rsid w:val="00E4618D"/>
    <w:rsid w:val="00E461B2"/>
    <w:rsid w:val="00E461C2"/>
    <w:rsid w:val="00E46439"/>
    <w:rsid w:val="00E466CD"/>
    <w:rsid w:val="00E46D02"/>
    <w:rsid w:val="00E475A1"/>
    <w:rsid w:val="00E4783B"/>
    <w:rsid w:val="00E4785A"/>
    <w:rsid w:val="00E479E7"/>
    <w:rsid w:val="00E47A3A"/>
    <w:rsid w:val="00E47A80"/>
    <w:rsid w:val="00E47BC9"/>
    <w:rsid w:val="00E47E67"/>
    <w:rsid w:val="00E50196"/>
    <w:rsid w:val="00E50387"/>
    <w:rsid w:val="00E5044C"/>
    <w:rsid w:val="00E50464"/>
    <w:rsid w:val="00E5049A"/>
    <w:rsid w:val="00E50571"/>
    <w:rsid w:val="00E50674"/>
    <w:rsid w:val="00E50793"/>
    <w:rsid w:val="00E50B4D"/>
    <w:rsid w:val="00E50F86"/>
    <w:rsid w:val="00E512C7"/>
    <w:rsid w:val="00E52399"/>
    <w:rsid w:val="00E52789"/>
    <w:rsid w:val="00E52ED1"/>
    <w:rsid w:val="00E52F62"/>
    <w:rsid w:val="00E53279"/>
    <w:rsid w:val="00E533AD"/>
    <w:rsid w:val="00E53658"/>
    <w:rsid w:val="00E538D1"/>
    <w:rsid w:val="00E53B8D"/>
    <w:rsid w:val="00E53C0A"/>
    <w:rsid w:val="00E5421D"/>
    <w:rsid w:val="00E54481"/>
    <w:rsid w:val="00E5454D"/>
    <w:rsid w:val="00E5475C"/>
    <w:rsid w:val="00E547FB"/>
    <w:rsid w:val="00E550A0"/>
    <w:rsid w:val="00E5527B"/>
    <w:rsid w:val="00E55932"/>
    <w:rsid w:val="00E55B2B"/>
    <w:rsid w:val="00E55CA5"/>
    <w:rsid w:val="00E56106"/>
    <w:rsid w:val="00E561EC"/>
    <w:rsid w:val="00E5629B"/>
    <w:rsid w:val="00E56513"/>
    <w:rsid w:val="00E565E8"/>
    <w:rsid w:val="00E568CB"/>
    <w:rsid w:val="00E56A27"/>
    <w:rsid w:val="00E56CB9"/>
    <w:rsid w:val="00E570CF"/>
    <w:rsid w:val="00E573D9"/>
    <w:rsid w:val="00E577FD"/>
    <w:rsid w:val="00E57876"/>
    <w:rsid w:val="00E57C6B"/>
    <w:rsid w:val="00E6021D"/>
    <w:rsid w:val="00E603C9"/>
    <w:rsid w:val="00E605D9"/>
    <w:rsid w:val="00E6085E"/>
    <w:rsid w:val="00E60A9F"/>
    <w:rsid w:val="00E60F3F"/>
    <w:rsid w:val="00E60FF8"/>
    <w:rsid w:val="00E61109"/>
    <w:rsid w:val="00E6123B"/>
    <w:rsid w:val="00E61322"/>
    <w:rsid w:val="00E61366"/>
    <w:rsid w:val="00E613A2"/>
    <w:rsid w:val="00E613BB"/>
    <w:rsid w:val="00E61808"/>
    <w:rsid w:val="00E61CD4"/>
    <w:rsid w:val="00E61D2D"/>
    <w:rsid w:val="00E61DB6"/>
    <w:rsid w:val="00E61EFD"/>
    <w:rsid w:val="00E62096"/>
    <w:rsid w:val="00E62160"/>
    <w:rsid w:val="00E621EF"/>
    <w:rsid w:val="00E62213"/>
    <w:rsid w:val="00E62656"/>
    <w:rsid w:val="00E62676"/>
    <w:rsid w:val="00E627A9"/>
    <w:rsid w:val="00E6286B"/>
    <w:rsid w:val="00E62964"/>
    <w:rsid w:val="00E629F3"/>
    <w:rsid w:val="00E62E88"/>
    <w:rsid w:val="00E62EE4"/>
    <w:rsid w:val="00E63034"/>
    <w:rsid w:val="00E6378E"/>
    <w:rsid w:val="00E63794"/>
    <w:rsid w:val="00E6398F"/>
    <w:rsid w:val="00E63B74"/>
    <w:rsid w:val="00E640F8"/>
    <w:rsid w:val="00E6488D"/>
    <w:rsid w:val="00E64E31"/>
    <w:rsid w:val="00E64EB3"/>
    <w:rsid w:val="00E65258"/>
    <w:rsid w:val="00E655CC"/>
    <w:rsid w:val="00E6560A"/>
    <w:rsid w:val="00E65F8A"/>
    <w:rsid w:val="00E66064"/>
    <w:rsid w:val="00E66307"/>
    <w:rsid w:val="00E665EF"/>
    <w:rsid w:val="00E666E2"/>
    <w:rsid w:val="00E6672F"/>
    <w:rsid w:val="00E667A8"/>
    <w:rsid w:val="00E6683A"/>
    <w:rsid w:val="00E66951"/>
    <w:rsid w:val="00E6701C"/>
    <w:rsid w:val="00E67150"/>
    <w:rsid w:val="00E67162"/>
    <w:rsid w:val="00E674EB"/>
    <w:rsid w:val="00E675CE"/>
    <w:rsid w:val="00E678EC"/>
    <w:rsid w:val="00E67B90"/>
    <w:rsid w:val="00E67E4D"/>
    <w:rsid w:val="00E67FE8"/>
    <w:rsid w:val="00E6AFD2"/>
    <w:rsid w:val="00E70208"/>
    <w:rsid w:val="00E707D0"/>
    <w:rsid w:val="00E70A42"/>
    <w:rsid w:val="00E70FC9"/>
    <w:rsid w:val="00E7112A"/>
    <w:rsid w:val="00E716DD"/>
    <w:rsid w:val="00E71A4E"/>
    <w:rsid w:val="00E71D09"/>
    <w:rsid w:val="00E7216D"/>
    <w:rsid w:val="00E72A61"/>
    <w:rsid w:val="00E72BF2"/>
    <w:rsid w:val="00E73006"/>
    <w:rsid w:val="00E7338D"/>
    <w:rsid w:val="00E73445"/>
    <w:rsid w:val="00E73546"/>
    <w:rsid w:val="00E73AD3"/>
    <w:rsid w:val="00E74225"/>
    <w:rsid w:val="00E74270"/>
    <w:rsid w:val="00E7443E"/>
    <w:rsid w:val="00E755AF"/>
    <w:rsid w:val="00E755D9"/>
    <w:rsid w:val="00E75664"/>
    <w:rsid w:val="00E75A08"/>
    <w:rsid w:val="00E75BF6"/>
    <w:rsid w:val="00E75E4B"/>
    <w:rsid w:val="00E75F15"/>
    <w:rsid w:val="00E7619C"/>
    <w:rsid w:val="00E76334"/>
    <w:rsid w:val="00E76478"/>
    <w:rsid w:val="00E768B9"/>
    <w:rsid w:val="00E76B39"/>
    <w:rsid w:val="00E76BA1"/>
    <w:rsid w:val="00E77127"/>
    <w:rsid w:val="00E771AC"/>
    <w:rsid w:val="00E7734F"/>
    <w:rsid w:val="00E77386"/>
    <w:rsid w:val="00E7785A"/>
    <w:rsid w:val="00E77895"/>
    <w:rsid w:val="00E779AD"/>
    <w:rsid w:val="00E779DD"/>
    <w:rsid w:val="00E80054"/>
    <w:rsid w:val="00E80122"/>
    <w:rsid w:val="00E8055E"/>
    <w:rsid w:val="00E8097A"/>
    <w:rsid w:val="00E810AD"/>
    <w:rsid w:val="00E81161"/>
    <w:rsid w:val="00E81352"/>
    <w:rsid w:val="00E818CB"/>
    <w:rsid w:val="00E81A51"/>
    <w:rsid w:val="00E81A5E"/>
    <w:rsid w:val="00E8233F"/>
    <w:rsid w:val="00E82550"/>
    <w:rsid w:val="00E825FB"/>
    <w:rsid w:val="00E826D5"/>
    <w:rsid w:val="00E8270B"/>
    <w:rsid w:val="00E827DC"/>
    <w:rsid w:val="00E82EDC"/>
    <w:rsid w:val="00E836A4"/>
    <w:rsid w:val="00E839C4"/>
    <w:rsid w:val="00E83CBF"/>
    <w:rsid w:val="00E83D10"/>
    <w:rsid w:val="00E8449E"/>
    <w:rsid w:val="00E846B4"/>
    <w:rsid w:val="00E84E6C"/>
    <w:rsid w:val="00E84E89"/>
    <w:rsid w:val="00E84FC8"/>
    <w:rsid w:val="00E8603F"/>
    <w:rsid w:val="00E861B0"/>
    <w:rsid w:val="00E86BC3"/>
    <w:rsid w:val="00E86BEA"/>
    <w:rsid w:val="00E86F81"/>
    <w:rsid w:val="00E87008"/>
    <w:rsid w:val="00E8739D"/>
    <w:rsid w:val="00E87418"/>
    <w:rsid w:val="00E8756D"/>
    <w:rsid w:val="00E878A3"/>
    <w:rsid w:val="00E878ED"/>
    <w:rsid w:val="00E87A3C"/>
    <w:rsid w:val="00E9011E"/>
    <w:rsid w:val="00E902D2"/>
    <w:rsid w:val="00E90338"/>
    <w:rsid w:val="00E903B8"/>
    <w:rsid w:val="00E90600"/>
    <w:rsid w:val="00E90715"/>
    <w:rsid w:val="00E907BF"/>
    <w:rsid w:val="00E909CD"/>
    <w:rsid w:val="00E909E7"/>
    <w:rsid w:val="00E90A37"/>
    <w:rsid w:val="00E90B63"/>
    <w:rsid w:val="00E90EC5"/>
    <w:rsid w:val="00E90F80"/>
    <w:rsid w:val="00E912B0"/>
    <w:rsid w:val="00E912B9"/>
    <w:rsid w:val="00E914F5"/>
    <w:rsid w:val="00E9154C"/>
    <w:rsid w:val="00E915EB"/>
    <w:rsid w:val="00E917AB"/>
    <w:rsid w:val="00E91ADB"/>
    <w:rsid w:val="00E91B21"/>
    <w:rsid w:val="00E91EF8"/>
    <w:rsid w:val="00E920B7"/>
    <w:rsid w:val="00E924AE"/>
    <w:rsid w:val="00E92C38"/>
    <w:rsid w:val="00E93204"/>
    <w:rsid w:val="00E9345B"/>
    <w:rsid w:val="00E939EC"/>
    <w:rsid w:val="00E93EC4"/>
    <w:rsid w:val="00E943CC"/>
    <w:rsid w:val="00E94761"/>
    <w:rsid w:val="00E94ABA"/>
    <w:rsid w:val="00E94ABE"/>
    <w:rsid w:val="00E94F3E"/>
    <w:rsid w:val="00E95454"/>
    <w:rsid w:val="00E95642"/>
    <w:rsid w:val="00E95870"/>
    <w:rsid w:val="00E9589E"/>
    <w:rsid w:val="00E96247"/>
    <w:rsid w:val="00E96A5E"/>
    <w:rsid w:val="00E96B30"/>
    <w:rsid w:val="00E96BA1"/>
    <w:rsid w:val="00E96C00"/>
    <w:rsid w:val="00E96CCF"/>
    <w:rsid w:val="00E96D36"/>
    <w:rsid w:val="00E96EDB"/>
    <w:rsid w:val="00E96EDE"/>
    <w:rsid w:val="00E97106"/>
    <w:rsid w:val="00E97824"/>
    <w:rsid w:val="00EA0161"/>
    <w:rsid w:val="00EA01E6"/>
    <w:rsid w:val="00EA0617"/>
    <w:rsid w:val="00EA0A65"/>
    <w:rsid w:val="00EA10C8"/>
    <w:rsid w:val="00EA19D2"/>
    <w:rsid w:val="00EA1AFC"/>
    <w:rsid w:val="00EA1BA1"/>
    <w:rsid w:val="00EA2000"/>
    <w:rsid w:val="00EA21DC"/>
    <w:rsid w:val="00EA2306"/>
    <w:rsid w:val="00EA2392"/>
    <w:rsid w:val="00EA2A86"/>
    <w:rsid w:val="00EA2AB3"/>
    <w:rsid w:val="00EA3105"/>
    <w:rsid w:val="00EA32B4"/>
    <w:rsid w:val="00EA374E"/>
    <w:rsid w:val="00EA39F3"/>
    <w:rsid w:val="00EA3BEF"/>
    <w:rsid w:val="00EA3D39"/>
    <w:rsid w:val="00EA4099"/>
    <w:rsid w:val="00EA40FF"/>
    <w:rsid w:val="00EA417A"/>
    <w:rsid w:val="00EA4302"/>
    <w:rsid w:val="00EA46B2"/>
    <w:rsid w:val="00EA4A49"/>
    <w:rsid w:val="00EA4FE3"/>
    <w:rsid w:val="00EA5565"/>
    <w:rsid w:val="00EA5656"/>
    <w:rsid w:val="00EA577B"/>
    <w:rsid w:val="00EA64A3"/>
    <w:rsid w:val="00EA675E"/>
    <w:rsid w:val="00EA6802"/>
    <w:rsid w:val="00EA69BE"/>
    <w:rsid w:val="00EA6DFA"/>
    <w:rsid w:val="00EA6E36"/>
    <w:rsid w:val="00EA74A6"/>
    <w:rsid w:val="00EA7765"/>
    <w:rsid w:val="00EB0126"/>
    <w:rsid w:val="00EB0778"/>
    <w:rsid w:val="00EB09BD"/>
    <w:rsid w:val="00EB0B1E"/>
    <w:rsid w:val="00EB0B85"/>
    <w:rsid w:val="00EB0D6E"/>
    <w:rsid w:val="00EB0D72"/>
    <w:rsid w:val="00EB0FA7"/>
    <w:rsid w:val="00EB130D"/>
    <w:rsid w:val="00EB1376"/>
    <w:rsid w:val="00EB13BE"/>
    <w:rsid w:val="00EB14BA"/>
    <w:rsid w:val="00EB15C8"/>
    <w:rsid w:val="00EB1836"/>
    <w:rsid w:val="00EB19C1"/>
    <w:rsid w:val="00EB1DA3"/>
    <w:rsid w:val="00EB2127"/>
    <w:rsid w:val="00EB2293"/>
    <w:rsid w:val="00EB22C8"/>
    <w:rsid w:val="00EB260F"/>
    <w:rsid w:val="00EB2655"/>
    <w:rsid w:val="00EB26F5"/>
    <w:rsid w:val="00EB273C"/>
    <w:rsid w:val="00EB281F"/>
    <w:rsid w:val="00EB287D"/>
    <w:rsid w:val="00EB3080"/>
    <w:rsid w:val="00EB32A3"/>
    <w:rsid w:val="00EB331B"/>
    <w:rsid w:val="00EB3330"/>
    <w:rsid w:val="00EB38A0"/>
    <w:rsid w:val="00EB3C04"/>
    <w:rsid w:val="00EB3F8B"/>
    <w:rsid w:val="00EB415B"/>
    <w:rsid w:val="00EB424A"/>
    <w:rsid w:val="00EB4801"/>
    <w:rsid w:val="00EB4ACE"/>
    <w:rsid w:val="00EB51AB"/>
    <w:rsid w:val="00EB528D"/>
    <w:rsid w:val="00EB5349"/>
    <w:rsid w:val="00EB538D"/>
    <w:rsid w:val="00EB5464"/>
    <w:rsid w:val="00EB560F"/>
    <w:rsid w:val="00EB574B"/>
    <w:rsid w:val="00EB5B2E"/>
    <w:rsid w:val="00EB601D"/>
    <w:rsid w:val="00EB67BD"/>
    <w:rsid w:val="00EB6CD3"/>
    <w:rsid w:val="00EB6D08"/>
    <w:rsid w:val="00EB6E8D"/>
    <w:rsid w:val="00EB7301"/>
    <w:rsid w:val="00EB736F"/>
    <w:rsid w:val="00EB74CD"/>
    <w:rsid w:val="00EB7C93"/>
    <w:rsid w:val="00EB7DA2"/>
    <w:rsid w:val="00EB7DD5"/>
    <w:rsid w:val="00EC00C7"/>
    <w:rsid w:val="00EC0110"/>
    <w:rsid w:val="00EC0229"/>
    <w:rsid w:val="00EC023F"/>
    <w:rsid w:val="00EC0475"/>
    <w:rsid w:val="00EC0735"/>
    <w:rsid w:val="00EC09CE"/>
    <w:rsid w:val="00EC0A75"/>
    <w:rsid w:val="00EC0D7B"/>
    <w:rsid w:val="00EC0FC3"/>
    <w:rsid w:val="00EC109C"/>
    <w:rsid w:val="00EC13FB"/>
    <w:rsid w:val="00EC1DFE"/>
    <w:rsid w:val="00EC2020"/>
    <w:rsid w:val="00EC20ED"/>
    <w:rsid w:val="00EC2306"/>
    <w:rsid w:val="00EC2542"/>
    <w:rsid w:val="00EC29C0"/>
    <w:rsid w:val="00EC2AA6"/>
    <w:rsid w:val="00EC2D01"/>
    <w:rsid w:val="00EC2E12"/>
    <w:rsid w:val="00EC3093"/>
    <w:rsid w:val="00EC345E"/>
    <w:rsid w:val="00EC372E"/>
    <w:rsid w:val="00EC38E2"/>
    <w:rsid w:val="00EC3FEB"/>
    <w:rsid w:val="00EC4012"/>
    <w:rsid w:val="00EC4029"/>
    <w:rsid w:val="00EC4365"/>
    <w:rsid w:val="00EC446B"/>
    <w:rsid w:val="00EC4609"/>
    <w:rsid w:val="00EC47FB"/>
    <w:rsid w:val="00EC480D"/>
    <w:rsid w:val="00EC4C45"/>
    <w:rsid w:val="00EC4DCE"/>
    <w:rsid w:val="00EC4FC8"/>
    <w:rsid w:val="00EC5046"/>
    <w:rsid w:val="00EC5352"/>
    <w:rsid w:val="00EC548D"/>
    <w:rsid w:val="00EC5573"/>
    <w:rsid w:val="00EC55C9"/>
    <w:rsid w:val="00EC5BAC"/>
    <w:rsid w:val="00EC5C22"/>
    <w:rsid w:val="00EC5F39"/>
    <w:rsid w:val="00EC6221"/>
    <w:rsid w:val="00EC6553"/>
    <w:rsid w:val="00EC6581"/>
    <w:rsid w:val="00EC6955"/>
    <w:rsid w:val="00EC6EAA"/>
    <w:rsid w:val="00EC7656"/>
    <w:rsid w:val="00EC7936"/>
    <w:rsid w:val="00EC7B3C"/>
    <w:rsid w:val="00EC7E54"/>
    <w:rsid w:val="00EC7F9D"/>
    <w:rsid w:val="00ED07BB"/>
    <w:rsid w:val="00ED0C21"/>
    <w:rsid w:val="00ED0C98"/>
    <w:rsid w:val="00ED0D42"/>
    <w:rsid w:val="00ED17D4"/>
    <w:rsid w:val="00ED1815"/>
    <w:rsid w:val="00ED18B9"/>
    <w:rsid w:val="00ED19A7"/>
    <w:rsid w:val="00ED1DC3"/>
    <w:rsid w:val="00ED1EB8"/>
    <w:rsid w:val="00ED2327"/>
    <w:rsid w:val="00ED25F4"/>
    <w:rsid w:val="00ED26AF"/>
    <w:rsid w:val="00ED2888"/>
    <w:rsid w:val="00ED29AC"/>
    <w:rsid w:val="00ED2A24"/>
    <w:rsid w:val="00ED2E91"/>
    <w:rsid w:val="00ED3122"/>
    <w:rsid w:val="00ED32FF"/>
    <w:rsid w:val="00ED355D"/>
    <w:rsid w:val="00ED3840"/>
    <w:rsid w:val="00ED3854"/>
    <w:rsid w:val="00ED40AB"/>
    <w:rsid w:val="00ED43EB"/>
    <w:rsid w:val="00ED4C45"/>
    <w:rsid w:val="00ED5067"/>
    <w:rsid w:val="00ED50A6"/>
    <w:rsid w:val="00ED50E9"/>
    <w:rsid w:val="00ED52D3"/>
    <w:rsid w:val="00ED54FC"/>
    <w:rsid w:val="00ED5729"/>
    <w:rsid w:val="00ED5765"/>
    <w:rsid w:val="00ED5D87"/>
    <w:rsid w:val="00ED5DDD"/>
    <w:rsid w:val="00ED5E3F"/>
    <w:rsid w:val="00ED5EEE"/>
    <w:rsid w:val="00ED61B3"/>
    <w:rsid w:val="00ED6320"/>
    <w:rsid w:val="00ED6422"/>
    <w:rsid w:val="00ED66A9"/>
    <w:rsid w:val="00ED66B2"/>
    <w:rsid w:val="00ED678B"/>
    <w:rsid w:val="00ED6963"/>
    <w:rsid w:val="00ED6990"/>
    <w:rsid w:val="00ED6A3B"/>
    <w:rsid w:val="00ED6C79"/>
    <w:rsid w:val="00ED6CDF"/>
    <w:rsid w:val="00ED7111"/>
    <w:rsid w:val="00ED73E6"/>
    <w:rsid w:val="00ED7434"/>
    <w:rsid w:val="00ED7731"/>
    <w:rsid w:val="00ED7792"/>
    <w:rsid w:val="00ED7A56"/>
    <w:rsid w:val="00EE0191"/>
    <w:rsid w:val="00EE024D"/>
    <w:rsid w:val="00EE06AA"/>
    <w:rsid w:val="00EE0D39"/>
    <w:rsid w:val="00EE119E"/>
    <w:rsid w:val="00EE120C"/>
    <w:rsid w:val="00EE1608"/>
    <w:rsid w:val="00EE1892"/>
    <w:rsid w:val="00EE18A0"/>
    <w:rsid w:val="00EE1935"/>
    <w:rsid w:val="00EE1B3A"/>
    <w:rsid w:val="00EE1DEF"/>
    <w:rsid w:val="00EE1E9E"/>
    <w:rsid w:val="00EE2043"/>
    <w:rsid w:val="00EE233F"/>
    <w:rsid w:val="00EE2368"/>
    <w:rsid w:val="00EE244A"/>
    <w:rsid w:val="00EE26DE"/>
    <w:rsid w:val="00EE2C03"/>
    <w:rsid w:val="00EE2EA0"/>
    <w:rsid w:val="00EE31D9"/>
    <w:rsid w:val="00EE369A"/>
    <w:rsid w:val="00EE3955"/>
    <w:rsid w:val="00EE410B"/>
    <w:rsid w:val="00EE4644"/>
    <w:rsid w:val="00EE469A"/>
    <w:rsid w:val="00EE48C9"/>
    <w:rsid w:val="00EE48EA"/>
    <w:rsid w:val="00EE4A17"/>
    <w:rsid w:val="00EE4A5F"/>
    <w:rsid w:val="00EE4DFF"/>
    <w:rsid w:val="00EE4F59"/>
    <w:rsid w:val="00EE5219"/>
    <w:rsid w:val="00EE533F"/>
    <w:rsid w:val="00EE54A2"/>
    <w:rsid w:val="00EE5B13"/>
    <w:rsid w:val="00EE5F07"/>
    <w:rsid w:val="00EE61CA"/>
    <w:rsid w:val="00EE630F"/>
    <w:rsid w:val="00EE631B"/>
    <w:rsid w:val="00EE65F8"/>
    <w:rsid w:val="00EE6F68"/>
    <w:rsid w:val="00EE70A0"/>
    <w:rsid w:val="00EE7608"/>
    <w:rsid w:val="00EF0048"/>
    <w:rsid w:val="00EF0474"/>
    <w:rsid w:val="00EF0697"/>
    <w:rsid w:val="00EF07D8"/>
    <w:rsid w:val="00EF0853"/>
    <w:rsid w:val="00EF0CBB"/>
    <w:rsid w:val="00EF0D5A"/>
    <w:rsid w:val="00EF0DF7"/>
    <w:rsid w:val="00EF0E03"/>
    <w:rsid w:val="00EF0F0E"/>
    <w:rsid w:val="00EF1079"/>
    <w:rsid w:val="00EF118B"/>
    <w:rsid w:val="00EF151A"/>
    <w:rsid w:val="00EF16E9"/>
    <w:rsid w:val="00EF1C93"/>
    <w:rsid w:val="00EF1CB7"/>
    <w:rsid w:val="00EF1D3B"/>
    <w:rsid w:val="00EF21F6"/>
    <w:rsid w:val="00EF253F"/>
    <w:rsid w:val="00EF2786"/>
    <w:rsid w:val="00EF278B"/>
    <w:rsid w:val="00EF2A72"/>
    <w:rsid w:val="00EF2BA8"/>
    <w:rsid w:val="00EF3198"/>
    <w:rsid w:val="00EF328F"/>
    <w:rsid w:val="00EF32B0"/>
    <w:rsid w:val="00EF3440"/>
    <w:rsid w:val="00EF3447"/>
    <w:rsid w:val="00EF3506"/>
    <w:rsid w:val="00EF3679"/>
    <w:rsid w:val="00EF3B3D"/>
    <w:rsid w:val="00EF3BE5"/>
    <w:rsid w:val="00EF3DE8"/>
    <w:rsid w:val="00EF3EC3"/>
    <w:rsid w:val="00EF424C"/>
    <w:rsid w:val="00EF4511"/>
    <w:rsid w:val="00EF4B8F"/>
    <w:rsid w:val="00EF4C60"/>
    <w:rsid w:val="00EF4F0E"/>
    <w:rsid w:val="00EF5324"/>
    <w:rsid w:val="00EF55C5"/>
    <w:rsid w:val="00EF561B"/>
    <w:rsid w:val="00EF5A09"/>
    <w:rsid w:val="00EF5B6D"/>
    <w:rsid w:val="00EF5DCA"/>
    <w:rsid w:val="00EF5EFA"/>
    <w:rsid w:val="00EF639B"/>
    <w:rsid w:val="00EF6CBA"/>
    <w:rsid w:val="00EF6FE2"/>
    <w:rsid w:val="00EF744F"/>
    <w:rsid w:val="00EF76CC"/>
    <w:rsid w:val="00EF79CD"/>
    <w:rsid w:val="00EF79D8"/>
    <w:rsid w:val="00EF7BC1"/>
    <w:rsid w:val="00EF7C21"/>
    <w:rsid w:val="00EF7D0A"/>
    <w:rsid w:val="00EF7FFE"/>
    <w:rsid w:val="00F0044A"/>
    <w:rsid w:val="00F0076F"/>
    <w:rsid w:val="00F00E65"/>
    <w:rsid w:val="00F00E97"/>
    <w:rsid w:val="00F00EB5"/>
    <w:rsid w:val="00F00FC9"/>
    <w:rsid w:val="00F011B4"/>
    <w:rsid w:val="00F017DF"/>
    <w:rsid w:val="00F018F3"/>
    <w:rsid w:val="00F0194A"/>
    <w:rsid w:val="00F01984"/>
    <w:rsid w:val="00F01C22"/>
    <w:rsid w:val="00F01D1D"/>
    <w:rsid w:val="00F01E99"/>
    <w:rsid w:val="00F021AE"/>
    <w:rsid w:val="00F021E1"/>
    <w:rsid w:val="00F02264"/>
    <w:rsid w:val="00F023AD"/>
    <w:rsid w:val="00F02400"/>
    <w:rsid w:val="00F0277D"/>
    <w:rsid w:val="00F02B0E"/>
    <w:rsid w:val="00F02C43"/>
    <w:rsid w:val="00F02E1B"/>
    <w:rsid w:val="00F0317D"/>
    <w:rsid w:val="00F0327C"/>
    <w:rsid w:val="00F032AC"/>
    <w:rsid w:val="00F03549"/>
    <w:rsid w:val="00F03974"/>
    <w:rsid w:val="00F03E1D"/>
    <w:rsid w:val="00F047AA"/>
    <w:rsid w:val="00F047F5"/>
    <w:rsid w:val="00F0498C"/>
    <w:rsid w:val="00F04A19"/>
    <w:rsid w:val="00F04C57"/>
    <w:rsid w:val="00F050BB"/>
    <w:rsid w:val="00F0540A"/>
    <w:rsid w:val="00F0540E"/>
    <w:rsid w:val="00F05754"/>
    <w:rsid w:val="00F0583A"/>
    <w:rsid w:val="00F05865"/>
    <w:rsid w:val="00F059D7"/>
    <w:rsid w:val="00F05A70"/>
    <w:rsid w:val="00F05F14"/>
    <w:rsid w:val="00F05F59"/>
    <w:rsid w:val="00F05FC7"/>
    <w:rsid w:val="00F060CA"/>
    <w:rsid w:val="00F0619A"/>
    <w:rsid w:val="00F063A9"/>
    <w:rsid w:val="00F06615"/>
    <w:rsid w:val="00F068C7"/>
    <w:rsid w:val="00F06BAD"/>
    <w:rsid w:val="00F06BC4"/>
    <w:rsid w:val="00F06CE4"/>
    <w:rsid w:val="00F070C0"/>
    <w:rsid w:val="00F07329"/>
    <w:rsid w:val="00F0759E"/>
    <w:rsid w:val="00F075E7"/>
    <w:rsid w:val="00F07EF3"/>
    <w:rsid w:val="00F101C1"/>
    <w:rsid w:val="00F1035B"/>
    <w:rsid w:val="00F1040F"/>
    <w:rsid w:val="00F1065F"/>
    <w:rsid w:val="00F10667"/>
    <w:rsid w:val="00F10792"/>
    <w:rsid w:val="00F10CAC"/>
    <w:rsid w:val="00F10DD8"/>
    <w:rsid w:val="00F10FCC"/>
    <w:rsid w:val="00F1119C"/>
    <w:rsid w:val="00F114E1"/>
    <w:rsid w:val="00F1184F"/>
    <w:rsid w:val="00F11935"/>
    <w:rsid w:val="00F11B77"/>
    <w:rsid w:val="00F11E17"/>
    <w:rsid w:val="00F11FD2"/>
    <w:rsid w:val="00F12375"/>
    <w:rsid w:val="00F123FB"/>
    <w:rsid w:val="00F12444"/>
    <w:rsid w:val="00F127F4"/>
    <w:rsid w:val="00F12890"/>
    <w:rsid w:val="00F1293C"/>
    <w:rsid w:val="00F12A17"/>
    <w:rsid w:val="00F12B83"/>
    <w:rsid w:val="00F12F2F"/>
    <w:rsid w:val="00F131AD"/>
    <w:rsid w:val="00F135F3"/>
    <w:rsid w:val="00F136C8"/>
    <w:rsid w:val="00F13E19"/>
    <w:rsid w:val="00F140FE"/>
    <w:rsid w:val="00F1441D"/>
    <w:rsid w:val="00F144FE"/>
    <w:rsid w:val="00F14595"/>
    <w:rsid w:val="00F14732"/>
    <w:rsid w:val="00F15038"/>
    <w:rsid w:val="00F1536B"/>
    <w:rsid w:val="00F153F7"/>
    <w:rsid w:val="00F164F4"/>
    <w:rsid w:val="00F165C8"/>
    <w:rsid w:val="00F167B1"/>
    <w:rsid w:val="00F168BF"/>
    <w:rsid w:val="00F16AE0"/>
    <w:rsid w:val="00F16C41"/>
    <w:rsid w:val="00F16DAA"/>
    <w:rsid w:val="00F16DEA"/>
    <w:rsid w:val="00F1731B"/>
    <w:rsid w:val="00F17471"/>
    <w:rsid w:val="00F17715"/>
    <w:rsid w:val="00F17B5D"/>
    <w:rsid w:val="00F17C2D"/>
    <w:rsid w:val="00F17C5B"/>
    <w:rsid w:val="00F17D02"/>
    <w:rsid w:val="00F2059E"/>
    <w:rsid w:val="00F207DE"/>
    <w:rsid w:val="00F20800"/>
    <w:rsid w:val="00F20DC7"/>
    <w:rsid w:val="00F20E53"/>
    <w:rsid w:val="00F212AC"/>
    <w:rsid w:val="00F21389"/>
    <w:rsid w:val="00F21850"/>
    <w:rsid w:val="00F21AC8"/>
    <w:rsid w:val="00F21B2B"/>
    <w:rsid w:val="00F21C8D"/>
    <w:rsid w:val="00F21F45"/>
    <w:rsid w:val="00F2244F"/>
    <w:rsid w:val="00F228CB"/>
    <w:rsid w:val="00F22C3A"/>
    <w:rsid w:val="00F22F43"/>
    <w:rsid w:val="00F239FE"/>
    <w:rsid w:val="00F23A94"/>
    <w:rsid w:val="00F23B82"/>
    <w:rsid w:val="00F240E0"/>
    <w:rsid w:val="00F2411F"/>
    <w:rsid w:val="00F24331"/>
    <w:rsid w:val="00F244FA"/>
    <w:rsid w:val="00F247BE"/>
    <w:rsid w:val="00F24B6D"/>
    <w:rsid w:val="00F24C3D"/>
    <w:rsid w:val="00F24CE7"/>
    <w:rsid w:val="00F24EEB"/>
    <w:rsid w:val="00F2521E"/>
    <w:rsid w:val="00F25815"/>
    <w:rsid w:val="00F25934"/>
    <w:rsid w:val="00F25949"/>
    <w:rsid w:val="00F25B47"/>
    <w:rsid w:val="00F25EFE"/>
    <w:rsid w:val="00F25FE6"/>
    <w:rsid w:val="00F261BF"/>
    <w:rsid w:val="00F2647A"/>
    <w:rsid w:val="00F264F2"/>
    <w:rsid w:val="00F26721"/>
    <w:rsid w:val="00F26837"/>
    <w:rsid w:val="00F26C41"/>
    <w:rsid w:val="00F26F95"/>
    <w:rsid w:val="00F27318"/>
    <w:rsid w:val="00F273F0"/>
    <w:rsid w:val="00F275FD"/>
    <w:rsid w:val="00F2769A"/>
    <w:rsid w:val="00F27DC4"/>
    <w:rsid w:val="00F27E93"/>
    <w:rsid w:val="00F3005F"/>
    <w:rsid w:val="00F301FD"/>
    <w:rsid w:val="00F303F4"/>
    <w:rsid w:val="00F30723"/>
    <w:rsid w:val="00F30772"/>
    <w:rsid w:val="00F30A17"/>
    <w:rsid w:val="00F30ACC"/>
    <w:rsid w:val="00F30C86"/>
    <w:rsid w:val="00F31682"/>
    <w:rsid w:val="00F316BC"/>
    <w:rsid w:val="00F31C27"/>
    <w:rsid w:val="00F31D8F"/>
    <w:rsid w:val="00F32441"/>
    <w:rsid w:val="00F326F2"/>
    <w:rsid w:val="00F3276C"/>
    <w:rsid w:val="00F32FC1"/>
    <w:rsid w:val="00F3328E"/>
    <w:rsid w:val="00F335FF"/>
    <w:rsid w:val="00F33659"/>
    <w:rsid w:val="00F33705"/>
    <w:rsid w:val="00F337F6"/>
    <w:rsid w:val="00F33962"/>
    <w:rsid w:val="00F33EE1"/>
    <w:rsid w:val="00F342C7"/>
    <w:rsid w:val="00F3447D"/>
    <w:rsid w:val="00F347FE"/>
    <w:rsid w:val="00F34AB3"/>
    <w:rsid w:val="00F34DC4"/>
    <w:rsid w:val="00F35299"/>
    <w:rsid w:val="00F355A2"/>
    <w:rsid w:val="00F357D0"/>
    <w:rsid w:val="00F358DE"/>
    <w:rsid w:val="00F35CD3"/>
    <w:rsid w:val="00F35E9D"/>
    <w:rsid w:val="00F3603A"/>
    <w:rsid w:val="00F36391"/>
    <w:rsid w:val="00F36516"/>
    <w:rsid w:val="00F367C8"/>
    <w:rsid w:val="00F37082"/>
    <w:rsid w:val="00F373BF"/>
    <w:rsid w:val="00F375FD"/>
    <w:rsid w:val="00F37690"/>
    <w:rsid w:val="00F37770"/>
    <w:rsid w:val="00F379B0"/>
    <w:rsid w:val="00F37AB1"/>
    <w:rsid w:val="00F37B76"/>
    <w:rsid w:val="00F37C85"/>
    <w:rsid w:val="00F37F22"/>
    <w:rsid w:val="00F403D4"/>
    <w:rsid w:val="00F405F1"/>
    <w:rsid w:val="00F40663"/>
    <w:rsid w:val="00F40712"/>
    <w:rsid w:val="00F408BE"/>
    <w:rsid w:val="00F40AC2"/>
    <w:rsid w:val="00F40C97"/>
    <w:rsid w:val="00F40CCA"/>
    <w:rsid w:val="00F40EBD"/>
    <w:rsid w:val="00F40F0D"/>
    <w:rsid w:val="00F4122A"/>
    <w:rsid w:val="00F41699"/>
    <w:rsid w:val="00F418C3"/>
    <w:rsid w:val="00F4201B"/>
    <w:rsid w:val="00F4203E"/>
    <w:rsid w:val="00F42661"/>
    <w:rsid w:val="00F42907"/>
    <w:rsid w:val="00F4296F"/>
    <w:rsid w:val="00F4381B"/>
    <w:rsid w:val="00F4402D"/>
    <w:rsid w:val="00F44184"/>
    <w:rsid w:val="00F44362"/>
    <w:rsid w:val="00F4436D"/>
    <w:rsid w:val="00F443B2"/>
    <w:rsid w:val="00F45080"/>
    <w:rsid w:val="00F45194"/>
    <w:rsid w:val="00F451E7"/>
    <w:rsid w:val="00F4535D"/>
    <w:rsid w:val="00F453A5"/>
    <w:rsid w:val="00F45692"/>
    <w:rsid w:val="00F4598A"/>
    <w:rsid w:val="00F45FEA"/>
    <w:rsid w:val="00F460F6"/>
    <w:rsid w:val="00F46AE0"/>
    <w:rsid w:val="00F46DB0"/>
    <w:rsid w:val="00F46E23"/>
    <w:rsid w:val="00F46FA5"/>
    <w:rsid w:val="00F47133"/>
    <w:rsid w:val="00F47264"/>
    <w:rsid w:val="00F4746C"/>
    <w:rsid w:val="00F474C9"/>
    <w:rsid w:val="00F474F1"/>
    <w:rsid w:val="00F476DC"/>
    <w:rsid w:val="00F478D8"/>
    <w:rsid w:val="00F47AEA"/>
    <w:rsid w:val="00F47CF8"/>
    <w:rsid w:val="00F47DE4"/>
    <w:rsid w:val="00F503F1"/>
    <w:rsid w:val="00F507E2"/>
    <w:rsid w:val="00F50832"/>
    <w:rsid w:val="00F50842"/>
    <w:rsid w:val="00F50D00"/>
    <w:rsid w:val="00F50D27"/>
    <w:rsid w:val="00F50E03"/>
    <w:rsid w:val="00F50FBB"/>
    <w:rsid w:val="00F51032"/>
    <w:rsid w:val="00F51FC3"/>
    <w:rsid w:val="00F51FE4"/>
    <w:rsid w:val="00F521BC"/>
    <w:rsid w:val="00F521E9"/>
    <w:rsid w:val="00F52553"/>
    <w:rsid w:val="00F5259C"/>
    <w:rsid w:val="00F52804"/>
    <w:rsid w:val="00F52C6B"/>
    <w:rsid w:val="00F52D0C"/>
    <w:rsid w:val="00F52F87"/>
    <w:rsid w:val="00F52FAC"/>
    <w:rsid w:val="00F53242"/>
    <w:rsid w:val="00F53349"/>
    <w:rsid w:val="00F534CF"/>
    <w:rsid w:val="00F53508"/>
    <w:rsid w:val="00F5356F"/>
    <w:rsid w:val="00F537A1"/>
    <w:rsid w:val="00F53A6F"/>
    <w:rsid w:val="00F53ADE"/>
    <w:rsid w:val="00F5411F"/>
    <w:rsid w:val="00F5424D"/>
    <w:rsid w:val="00F547A7"/>
    <w:rsid w:val="00F549AC"/>
    <w:rsid w:val="00F54E07"/>
    <w:rsid w:val="00F54EBA"/>
    <w:rsid w:val="00F55275"/>
    <w:rsid w:val="00F554D8"/>
    <w:rsid w:val="00F55528"/>
    <w:rsid w:val="00F556A4"/>
    <w:rsid w:val="00F55BF7"/>
    <w:rsid w:val="00F55EF0"/>
    <w:rsid w:val="00F56350"/>
    <w:rsid w:val="00F5686B"/>
    <w:rsid w:val="00F56A35"/>
    <w:rsid w:val="00F56E9D"/>
    <w:rsid w:val="00F57376"/>
    <w:rsid w:val="00F57522"/>
    <w:rsid w:val="00F5776A"/>
    <w:rsid w:val="00F57C50"/>
    <w:rsid w:val="00F601A1"/>
    <w:rsid w:val="00F60269"/>
    <w:rsid w:val="00F60654"/>
    <w:rsid w:val="00F60982"/>
    <w:rsid w:val="00F60B27"/>
    <w:rsid w:val="00F60B6E"/>
    <w:rsid w:val="00F60B8B"/>
    <w:rsid w:val="00F60FAD"/>
    <w:rsid w:val="00F613A3"/>
    <w:rsid w:val="00F617CF"/>
    <w:rsid w:val="00F618F4"/>
    <w:rsid w:val="00F61E45"/>
    <w:rsid w:val="00F62043"/>
    <w:rsid w:val="00F626E9"/>
    <w:rsid w:val="00F627F4"/>
    <w:rsid w:val="00F62D62"/>
    <w:rsid w:val="00F62DF2"/>
    <w:rsid w:val="00F62F7A"/>
    <w:rsid w:val="00F632D2"/>
    <w:rsid w:val="00F632EE"/>
    <w:rsid w:val="00F6359A"/>
    <w:rsid w:val="00F636CA"/>
    <w:rsid w:val="00F6381E"/>
    <w:rsid w:val="00F63E2A"/>
    <w:rsid w:val="00F63F15"/>
    <w:rsid w:val="00F640AA"/>
    <w:rsid w:val="00F641B5"/>
    <w:rsid w:val="00F641EA"/>
    <w:rsid w:val="00F643B1"/>
    <w:rsid w:val="00F648D3"/>
    <w:rsid w:val="00F64B79"/>
    <w:rsid w:val="00F64D23"/>
    <w:rsid w:val="00F64E8A"/>
    <w:rsid w:val="00F64F56"/>
    <w:rsid w:val="00F64F57"/>
    <w:rsid w:val="00F65212"/>
    <w:rsid w:val="00F6543B"/>
    <w:rsid w:val="00F65685"/>
    <w:rsid w:val="00F656BA"/>
    <w:rsid w:val="00F657AF"/>
    <w:rsid w:val="00F6598B"/>
    <w:rsid w:val="00F65DE1"/>
    <w:rsid w:val="00F660DB"/>
    <w:rsid w:val="00F66101"/>
    <w:rsid w:val="00F66475"/>
    <w:rsid w:val="00F667B2"/>
    <w:rsid w:val="00F6682D"/>
    <w:rsid w:val="00F66957"/>
    <w:rsid w:val="00F66C89"/>
    <w:rsid w:val="00F670B9"/>
    <w:rsid w:val="00F670CA"/>
    <w:rsid w:val="00F67262"/>
    <w:rsid w:val="00F67854"/>
    <w:rsid w:val="00F705DD"/>
    <w:rsid w:val="00F70A44"/>
    <w:rsid w:val="00F70B8C"/>
    <w:rsid w:val="00F70C8C"/>
    <w:rsid w:val="00F70DC9"/>
    <w:rsid w:val="00F70E45"/>
    <w:rsid w:val="00F713CA"/>
    <w:rsid w:val="00F71488"/>
    <w:rsid w:val="00F719C6"/>
    <w:rsid w:val="00F719E9"/>
    <w:rsid w:val="00F7206D"/>
    <w:rsid w:val="00F727EB"/>
    <w:rsid w:val="00F72A22"/>
    <w:rsid w:val="00F72FA8"/>
    <w:rsid w:val="00F73535"/>
    <w:rsid w:val="00F736FC"/>
    <w:rsid w:val="00F73846"/>
    <w:rsid w:val="00F73BEE"/>
    <w:rsid w:val="00F73CB3"/>
    <w:rsid w:val="00F74099"/>
    <w:rsid w:val="00F745B4"/>
    <w:rsid w:val="00F746E8"/>
    <w:rsid w:val="00F74779"/>
    <w:rsid w:val="00F749BD"/>
    <w:rsid w:val="00F74B71"/>
    <w:rsid w:val="00F7517B"/>
    <w:rsid w:val="00F753CC"/>
    <w:rsid w:val="00F7557E"/>
    <w:rsid w:val="00F75A26"/>
    <w:rsid w:val="00F75E98"/>
    <w:rsid w:val="00F76110"/>
    <w:rsid w:val="00F76818"/>
    <w:rsid w:val="00F76D11"/>
    <w:rsid w:val="00F76E21"/>
    <w:rsid w:val="00F76FFD"/>
    <w:rsid w:val="00F7707B"/>
    <w:rsid w:val="00F771A0"/>
    <w:rsid w:val="00F77426"/>
    <w:rsid w:val="00F77E14"/>
    <w:rsid w:val="00F80681"/>
    <w:rsid w:val="00F80CFC"/>
    <w:rsid w:val="00F80E78"/>
    <w:rsid w:val="00F8104D"/>
    <w:rsid w:val="00F8119D"/>
    <w:rsid w:val="00F811B6"/>
    <w:rsid w:val="00F812CA"/>
    <w:rsid w:val="00F8167F"/>
    <w:rsid w:val="00F81800"/>
    <w:rsid w:val="00F8191B"/>
    <w:rsid w:val="00F81A5A"/>
    <w:rsid w:val="00F8213B"/>
    <w:rsid w:val="00F8220F"/>
    <w:rsid w:val="00F8235C"/>
    <w:rsid w:val="00F823B5"/>
    <w:rsid w:val="00F8283C"/>
    <w:rsid w:val="00F82CCF"/>
    <w:rsid w:val="00F82D23"/>
    <w:rsid w:val="00F830FD"/>
    <w:rsid w:val="00F834A3"/>
    <w:rsid w:val="00F83525"/>
    <w:rsid w:val="00F839F3"/>
    <w:rsid w:val="00F83EE7"/>
    <w:rsid w:val="00F84016"/>
    <w:rsid w:val="00F84181"/>
    <w:rsid w:val="00F8476A"/>
    <w:rsid w:val="00F849EA"/>
    <w:rsid w:val="00F84A1C"/>
    <w:rsid w:val="00F84BF5"/>
    <w:rsid w:val="00F84FAD"/>
    <w:rsid w:val="00F85207"/>
    <w:rsid w:val="00F852B5"/>
    <w:rsid w:val="00F854CF"/>
    <w:rsid w:val="00F858ED"/>
    <w:rsid w:val="00F85959"/>
    <w:rsid w:val="00F859BD"/>
    <w:rsid w:val="00F85EFC"/>
    <w:rsid w:val="00F86374"/>
    <w:rsid w:val="00F86608"/>
    <w:rsid w:val="00F867EE"/>
    <w:rsid w:val="00F86921"/>
    <w:rsid w:val="00F86B45"/>
    <w:rsid w:val="00F86B7F"/>
    <w:rsid w:val="00F86F5B"/>
    <w:rsid w:val="00F87000"/>
    <w:rsid w:val="00F8722A"/>
    <w:rsid w:val="00F874E5"/>
    <w:rsid w:val="00F87810"/>
    <w:rsid w:val="00F87FD2"/>
    <w:rsid w:val="00F901EE"/>
    <w:rsid w:val="00F90372"/>
    <w:rsid w:val="00F90619"/>
    <w:rsid w:val="00F90695"/>
    <w:rsid w:val="00F90AB3"/>
    <w:rsid w:val="00F91085"/>
    <w:rsid w:val="00F915DD"/>
    <w:rsid w:val="00F9165D"/>
    <w:rsid w:val="00F916EA"/>
    <w:rsid w:val="00F918E6"/>
    <w:rsid w:val="00F91F7F"/>
    <w:rsid w:val="00F92111"/>
    <w:rsid w:val="00F9219D"/>
    <w:rsid w:val="00F92361"/>
    <w:rsid w:val="00F924EE"/>
    <w:rsid w:val="00F925B2"/>
    <w:rsid w:val="00F92684"/>
    <w:rsid w:val="00F92814"/>
    <w:rsid w:val="00F9288F"/>
    <w:rsid w:val="00F934C7"/>
    <w:rsid w:val="00F935BA"/>
    <w:rsid w:val="00F9385E"/>
    <w:rsid w:val="00F93EA5"/>
    <w:rsid w:val="00F94089"/>
    <w:rsid w:val="00F9431B"/>
    <w:rsid w:val="00F9439B"/>
    <w:rsid w:val="00F94892"/>
    <w:rsid w:val="00F94AC9"/>
    <w:rsid w:val="00F94C78"/>
    <w:rsid w:val="00F94DC2"/>
    <w:rsid w:val="00F94F9D"/>
    <w:rsid w:val="00F9502D"/>
    <w:rsid w:val="00F95530"/>
    <w:rsid w:val="00F958EC"/>
    <w:rsid w:val="00F9597E"/>
    <w:rsid w:val="00F95E72"/>
    <w:rsid w:val="00F95F47"/>
    <w:rsid w:val="00F961F0"/>
    <w:rsid w:val="00F96549"/>
    <w:rsid w:val="00F970EC"/>
    <w:rsid w:val="00F97B2C"/>
    <w:rsid w:val="00F97F67"/>
    <w:rsid w:val="00FA01FC"/>
    <w:rsid w:val="00FA0440"/>
    <w:rsid w:val="00FA0786"/>
    <w:rsid w:val="00FA09DB"/>
    <w:rsid w:val="00FA0C39"/>
    <w:rsid w:val="00FA0C58"/>
    <w:rsid w:val="00FA19D5"/>
    <w:rsid w:val="00FA1B5E"/>
    <w:rsid w:val="00FA1DFF"/>
    <w:rsid w:val="00FA2103"/>
    <w:rsid w:val="00FA2140"/>
    <w:rsid w:val="00FA24D7"/>
    <w:rsid w:val="00FA2503"/>
    <w:rsid w:val="00FA27DD"/>
    <w:rsid w:val="00FA28CF"/>
    <w:rsid w:val="00FA2C22"/>
    <w:rsid w:val="00FA310A"/>
    <w:rsid w:val="00FA322D"/>
    <w:rsid w:val="00FA339A"/>
    <w:rsid w:val="00FA3485"/>
    <w:rsid w:val="00FA36CF"/>
    <w:rsid w:val="00FA38C8"/>
    <w:rsid w:val="00FA3A23"/>
    <w:rsid w:val="00FA445F"/>
    <w:rsid w:val="00FA46D8"/>
    <w:rsid w:val="00FA4A63"/>
    <w:rsid w:val="00FA4BA2"/>
    <w:rsid w:val="00FA5D73"/>
    <w:rsid w:val="00FA6DAF"/>
    <w:rsid w:val="00FA70FC"/>
    <w:rsid w:val="00FA71F6"/>
    <w:rsid w:val="00FA730D"/>
    <w:rsid w:val="00FA7359"/>
    <w:rsid w:val="00FA7887"/>
    <w:rsid w:val="00FA7A2B"/>
    <w:rsid w:val="00FA7B12"/>
    <w:rsid w:val="00FA7B6E"/>
    <w:rsid w:val="00FA7FCC"/>
    <w:rsid w:val="00FB00BC"/>
    <w:rsid w:val="00FB0163"/>
    <w:rsid w:val="00FB01E2"/>
    <w:rsid w:val="00FB087D"/>
    <w:rsid w:val="00FB0BB3"/>
    <w:rsid w:val="00FB0BC2"/>
    <w:rsid w:val="00FB0BC4"/>
    <w:rsid w:val="00FB0D1D"/>
    <w:rsid w:val="00FB123C"/>
    <w:rsid w:val="00FB17A3"/>
    <w:rsid w:val="00FB1B62"/>
    <w:rsid w:val="00FB1D65"/>
    <w:rsid w:val="00FB1DE6"/>
    <w:rsid w:val="00FB21A7"/>
    <w:rsid w:val="00FB23D8"/>
    <w:rsid w:val="00FB261A"/>
    <w:rsid w:val="00FB2770"/>
    <w:rsid w:val="00FB27C5"/>
    <w:rsid w:val="00FB27EE"/>
    <w:rsid w:val="00FB2CB0"/>
    <w:rsid w:val="00FB2DB2"/>
    <w:rsid w:val="00FB2E15"/>
    <w:rsid w:val="00FB32B5"/>
    <w:rsid w:val="00FB35AA"/>
    <w:rsid w:val="00FB3C64"/>
    <w:rsid w:val="00FB4008"/>
    <w:rsid w:val="00FB4024"/>
    <w:rsid w:val="00FB4090"/>
    <w:rsid w:val="00FB415B"/>
    <w:rsid w:val="00FB42A4"/>
    <w:rsid w:val="00FB4360"/>
    <w:rsid w:val="00FB4824"/>
    <w:rsid w:val="00FB48F8"/>
    <w:rsid w:val="00FB4D8E"/>
    <w:rsid w:val="00FB4EA0"/>
    <w:rsid w:val="00FB4F38"/>
    <w:rsid w:val="00FB50B0"/>
    <w:rsid w:val="00FB619D"/>
    <w:rsid w:val="00FB62FE"/>
    <w:rsid w:val="00FB6995"/>
    <w:rsid w:val="00FB6E7C"/>
    <w:rsid w:val="00FB75AB"/>
    <w:rsid w:val="00FB79A9"/>
    <w:rsid w:val="00FB7D60"/>
    <w:rsid w:val="00FB7DA7"/>
    <w:rsid w:val="00FBB218"/>
    <w:rsid w:val="00FC0191"/>
    <w:rsid w:val="00FC0590"/>
    <w:rsid w:val="00FC07D2"/>
    <w:rsid w:val="00FC07E6"/>
    <w:rsid w:val="00FC0E37"/>
    <w:rsid w:val="00FC143B"/>
    <w:rsid w:val="00FC16BF"/>
    <w:rsid w:val="00FC1B2D"/>
    <w:rsid w:val="00FC27E7"/>
    <w:rsid w:val="00FC289A"/>
    <w:rsid w:val="00FC2C47"/>
    <w:rsid w:val="00FC2CF0"/>
    <w:rsid w:val="00FC2EEA"/>
    <w:rsid w:val="00FC2F0F"/>
    <w:rsid w:val="00FC324D"/>
    <w:rsid w:val="00FC32AD"/>
    <w:rsid w:val="00FC3531"/>
    <w:rsid w:val="00FC3746"/>
    <w:rsid w:val="00FC3890"/>
    <w:rsid w:val="00FC39D9"/>
    <w:rsid w:val="00FC4744"/>
    <w:rsid w:val="00FC4793"/>
    <w:rsid w:val="00FC47A3"/>
    <w:rsid w:val="00FC4B87"/>
    <w:rsid w:val="00FC4D14"/>
    <w:rsid w:val="00FC57FE"/>
    <w:rsid w:val="00FC5AD5"/>
    <w:rsid w:val="00FC5E51"/>
    <w:rsid w:val="00FC686A"/>
    <w:rsid w:val="00FC6A3A"/>
    <w:rsid w:val="00FC71C8"/>
    <w:rsid w:val="00FC7221"/>
    <w:rsid w:val="00FC78DA"/>
    <w:rsid w:val="00FC7AAF"/>
    <w:rsid w:val="00FD00CE"/>
    <w:rsid w:val="00FD085E"/>
    <w:rsid w:val="00FD0A8C"/>
    <w:rsid w:val="00FD0D46"/>
    <w:rsid w:val="00FD0F83"/>
    <w:rsid w:val="00FD0FE6"/>
    <w:rsid w:val="00FD1043"/>
    <w:rsid w:val="00FD1371"/>
    <w:rsid w:val="00FD154E"/>
    <w:rsid w:val="00FD164B"/>
    <w:rsid w:val="00FD1951"/>
    <w:rsid w:val="00FD1B6C"/>
    <w:rsid w:val="00FD1D15"/>
    <w:rsid w:val="00FD1E83"/>
    <w:rsid w:val="00FD2029"/>
    <w:rsid w:val="00FD2470"/>
    <w:rsid w:val="00FD2549"/>
    <w:rsid w:val="00FD2689"/>
    <w:rsid w:val="00FD2810"/>
    <w:rsid w:val="00FD293A"/>
    <w:rsid w:val="00FD2953"/>
    <w:rsid w:val="00FD2A14"/>
    <w:rsid w:val="00FD2C9E"/>
    <w:rsid w:val="00FD3436"/>
    <w:rsid w:val="00FD35F8"/>
    <w:rsid w:val="00FD40D0"/>
    <w:rsid w:val="00FD4761"/>
    <w:rsid w:val="00FD4BAF"/>
    <w:rsid w:val="00FD4D59"/>
    <w:rsid w:val="00FD4E4B"/>
    <w:rsid w:val="00FD5220"/>
    <w:rsid w:val="00FD5662"/>
    <w:rsid w:val="00FD595D"/>
    <w:rsid w:val="00FD5A88"/>
    <w:rsid w:val="00FD5B36"/>
    <w:rsid w:val="00FD5D10"/>
    <w:rsid w:val="00FD5D1D"/>
    <w:rsid w:val="00FD6284"/>
    <w:rsid w:val="00FD639E"/>
    <w:rsid w:val="00FD63AE"/>
    <w:rsid w:val="00FD6E7A"/>
    <w:rsid w:val="00FD7218"/>
    <w:rsid w:val="00FD724D"/>
    <w:rsid w:val="00FD7649"/>
    <w:rsid w:val="00FD76C4"/>
    <w:rsid w:val="00FD7A87"/>
    <w:rsid w:val="00FE01FD"/>
    <w:rsid w:val="00FE0616"/>
    <w:rsid w:val="00FE0728"/>
    <w:rsid w:val="00FE080A"/>
    <w:rsid w:val="00FE0835"/>
    <w:rsid w:val="00FE0EE7"/>
    <w:rsid w:val="00FE0F9B"/>
    <w:rsid w:val="00FE1148"/>
    <w:rsid w:val="00FE11FB"/>
    <w:rsid w:val="00FE125E"/>
    <w:rsid w:val="00FE1703"/>
    <w:rsid w:val="00FE17D0"/>
    <w:rsid w:val="00FE2156"/>
    <w:rsid w:val="00FE2222"/>
    <w:rsid w:val="00FE25A2"/>
    <w:rsid w:val="00FE2B42"/>
    <w:rsid w:val="00FE32B6"/>
    <w:rsid w:val="00FE384F"/>
    <w:rsid w:val="00FE3D75"/>
    <w:rsid w:val="00FE440F"/>
    <w:rsid w:val="00FE485D"/>
    <w:rsid w:val="00FE4ABF"/>
    <w:rsid w:val="00FE4E25"/>
    <w:rsid w:val="00FE53FA"/>
    <w:rsid w:val="00FE5443"/>
    <w:rsid w:val="00FE5A60"/>
    <w:rsid w:val="00FE5AEC"/>
    <w:rsid w:val="00FE5EA2"/>
    <w:rsid w:val="00FE6186"/>
    <w:rsid w:val="00FE679F"/>
    <w:rsid w:val="00FE69B4"/>
    <w:rsid w:val="00FE6A47"/>
    <w:rsid w:val="00FE6A49"/>
    <w:rsid w:val="00FE6AD3"/>
    <w:rsid w:val="00FE6B8D"/>
    <w:rsid w:val="00FE6D14"/>
    <w:rsid w:val="00FE6D49"/>
    <w:rsid w:val="00FE6E22"/>
    <w:rsid w:val="00FE6E24"/>
    <w:rsid w:val="00FE6FCF"/>
    <w:rsid w:val="00FE707F"/>
    <w:rsid w:val="00FE727C"/>
    <w:rsid w:val="00FE7E22"/>
    <w:rsid w:val="00FE7EC4"/>
    <w:rsid w:val="00FF07FB"/>
    <w:rsid w:val="00FF0854"/>
    <w:rsid w:val="00FF09DA"/>
    <w:rsid w:val="00FF0E70"/>
    <w:rsid w:val="00FF1243"/>
    <w:rsid w:val="00FF183D"/>
    <w:rsid w:val="00FF1B31"/>
    <w:rsid w:val="00FF1E5C"/>
    <w:rsid w:val="00FF1FCE"/>
    <w:rsid w:val="00FF21DF"/>
    <w:rsid w:val="00FF2476"/>
    <w:rsid w:val="00FF277A"/>
    <w:rsid w:val="00FF286B"/>
    <w:rsid w:val="00FF298F"/>
    <w:rsid w:val="00FF2A4B"/>
    <w:rsid w:val="00FF2EFF"/>
    <w:rsid w:val="00FF2F55"/>
    <w:rsid w:val="00FF3651"/>
    <w:rsid w:val="00FF3A16"/>
    <w:rsid w:val="00FF3CB8"/>
    <w:rsid w:val="00FF3D39"/>
    <w:rsid w:val="00FF3FD7"/>
    <w:rsid w:val="00FF4106"/>
    <w:rsid w:val="00FF4243"/>
    <w:rsid w:val="00FF476E"/>
    <w:rsid w:val="00FF47CA"/>
    <w:rsid w:val="00FF4FA4"/>
    <w:rsid w:val="00FF520E"/>
    <w:rsid w:val="00FF5328"/>
    <w:rsid w:val="00FF53F8"/>
    <w:rsid w:val="00FF563C"/>
    <w:rsid w:val="00FF5771"/>
    <w:rsid w:val="00FF5947"/>
    <w:rsid w:val="00FF5966"/>
    <w:rsid w:val="00FF5A44"/>
    <w:rsid w:val="00FF5BA9"/>
    <w:rsid w:val="00FF629F"/>
    <w:rsid w:val="00FF6559"/>
    <w:rsid w:val="00FF6757"/>
    <w:rsid w:val="00FF6798"/>
    <w:rsid w:val="00FF6851"/>
    <w:rsid w:val="00FF7208"/>
    <w:rsid w:val="00FF73BE"/>
    <w:rsid w:val="00FF7E4F"/>
    <w:rsid w:val="0113E6EC"/>
    <w:rsid w:val="011C5318"/>
    <w:rsid w:val="012B7168"/>
    <w:rsid w:val="012B75F4"/>
    <w:rsid w:val="01341E71"/>
    <w:rsid w:val="013939F1"/>
    <w:rsid w:val="014B1FA5"/>
    <w:rsid w:val="014FC925"/>
    <w:rsid w:val="015CFDBF"/>
    <w:rsid w:val="016B1D11"/>
    <w:rsid w:val="0179F132"/>
    <w:rsid w:val="01835D37"/>
    <w:rsid w:val="01873EAA"/>
    <w:rsid w:val="0194B123"/>
    <w:rsid w:val="0197C3BA"/>
    <w:rsid w:val="01B18397"/>
    <w:rsid w:val="01B8E28A"/>
    <w:rsid w:val="01C8DD62"/>
    <w:rsid w:val="01E6F162"/>
    <w:rsid w:val="020C71F6"/>
    <w:rsid w:val="021598C6"/>
    <w:rsid w:val="021A89A9"/>
    <w:rsid w:val="021E527E"/>
    <w:rsid w:val="021EE6FF"/>
    <w:rsid w:val="02433979"/>
    <w:rsid w:val="024CED6B"/>
    <w:rsid w:val="0250CA44"/>
    <w:rsid w:val="025F21B6"/>
    <w:rsid w:val="026A0826"/>
    <w:rsid w:val="02C3767A"/>
    <w:rsid w:val="02D1FA2C"/>
    <w:rsid w:val="02DEFDD6"/>
    <w:rsid w:val="02E23D35"/>
    <w:rsid w:val="02EDEE45"/>
    <w:rsid w:val="02F0C13D"/>
    <w:rsid w:val="02FD5EF4"/>
    <w:rsid w:val="02FE6522"/>
    <w:rsid w:val="032703C6"/>
    <w:rsid w:val="032BB6A5"/>
    <w:rsid w:val="03365CE5"/>
    <w:rsid w:val="034068E9"/>
    <w:rsid w:val="034B4641"/>
    <w:rsid w:val="03536485"/>
    <w:rsid w:val="03546111"/>
    <w:rsid w:val="0364115E"/>
    <w:rsid w:val="036EC9B2"/>
    <w:rsid w:val="038C0292"/>
    <w:rsid w:val="038DDF67"/>
    <w:rsid w:val="03A31C25"/>
    <w:rsid w:val="03AA1B82"/>
    <w:rsid w:val="03B12469"/>
    <w:rsid w:val="03BBB635"/>
    <w:rsid w:val="03C49DCC"/>
    <w:rsid w:val="03DB2678"/>
    <w:rsid w:val="03DDA620"/>
    <w:rsid w:val="040DA4F0"/>
    <w:rsid w:val="041407E3"/>
    <w:rsid w:val="041C4000"/>
    <w:rsid w:val="041D0A5E"/>
    <w:rsid w:val="041D2B37"/>
    <w:rsid w:val="04217A62"/>
    <w:rsid w:val="04291AB4"/>
    <w:rsid w:val="044728CE"/>
    <w:rsid w:val="04564705"/>
    <w:rsid w:val="046EE97E"/>
    <w:rsid w:val="04896898"/>
    <w:rsid w:val="048B849B"/>
    <w:rsid w:val="04ADE503"/>
    <w:rsid w:val="04AEAE8E"/>
    <w:rsid w:val="04BE5114"/>
    <w:rsid w:val="04CF1052"/>
    <w:rsid w:val="04D425DA"/>
    <w:rsid w:val="04F5D37B"/>
    <w:rsid w:val="04F9A96C"/>
    <w:rsid w:val="04FB4DD0"/>
    <w:rsid w:val="050A1528"/>
    <w:rsid w:val="0535A9D6"/>
    <w:rsid w:val="056F6085"/>
    <w:rsid w:val="059D8FA4"/>
    <w:rsid w:val="05AA7D1B"/>
    <w:rsid w:val="05B20F2A"/>
    <w:rsid w:val="05B2105E"/>
    <w:rsid w:val="05B931BA"/>
    <w:rsid w:val="05C88559"/>
    <w:rsid w:val="05CC03A4"/>
    <w:rsid w:val="05E2BD79"/>
    <w:rsid w:val="06157757"/>
    <w:rsid w:val="061DF1E5"/>
    <w:rsid w:val="0632D935"/>
    <w:rsid w:val="0647D7F2"/>
    <w:rsid w:val="064AE735"/>
    <w:rsid w:val="065BD934"/>
    <w:rsid w:val="065BF812"/>
    <w:rsid w:val="0671DDD0"/>
    <w:rsid w:val="06C2E840"/>
    <w:rsid w:val="06C80635"/>
    <w:rsid w:val="06CA64C5"/>
    <w:rsid w:val="06CCE9DA"/>
    <w:rsid w:val="06EECC48"/>
    <w:rsid w:val="06F541FC"/>
    <w:rsid w:val="070C6265"/>
    <w:rsid w:val="071A9830"/>
    <w:rsid w:val="071FC23C"/>
    <w:rsid w:val="07346262"/>
    <w:rsid w:val="0735B7F5"/>
    <w:rsid w:val="0746E39F"/>
    <w:rsid w:val="07586969"/>
    <w:rsid w:val="0778FDDC"/>
    <w:rsid w:val="079B5D46"/>
    <w:rsid w:val="079E0C1C"/>
    <w:rsid w:val="07A24ED3"/>
    <w:rsid w:val="07CDF107"/>
    <w:rsid w:val="07D347A8"/>
    <w:rsid w:val="07DC462C"/>
    <w:rsid w:val="07EBD723"/>
    <w:rsid w:val="07ED1C48"/>
    <w:rsid w:val="0805E842"/>
    <w:rsid w:val="0835A4B6"/>
    <w:rsid w:val="0839A734"/>
    <w:rsid w:val="083A8B95"/>
    <w:rsid w:val="0870672B"/>
    <w:rsid w:val="0872883A"/>
    <w:rsid w:val="087CA729"/>
    <w:rsid w:val="08874AFE"/>
    <w:rsid w:val="088BD16C"/>
    <w:rsid w:val="08972313"/>
    <w:rsid w:val="08A20D41"/>
    <w:rsid w:val="08A8E5B6"/>
    <w:rsid w:val="08BB91B9"/>
    <w:rsid w:val="08CC500C"/>
    <w:rsid w:val="08CEB805"/>
    <w:rsid w:val="0905818E"/>
    <w:rsid w:val="090C3932"/>
    <w:rsid w:val="09119BDE"/>
    <w:rsid w:val="096DDA5F"/>
    <w:rsid w:val="096E6709"/>
    <w:rsid w:val="09938F92"/>
    <w:rsid w:val="09A0F24B"/>
    <w:rsid w:val="09B0EF89"/>
    <w:rsid w:val="09C02CBF"/>
    <w:rsid w:val="09C1E7E9"/>
    <w:rsid w:val="09C67A2C"/>
    <w:rsid w:val="09D28BC1"/>
    <w:rsid w:val="09DB9BD6"/>
    <w:rsid w:val="09E1CB35"/>
    <w:rsid w:val="09E3A3DB"/>
    <w:rsid w:val="09E485EB"/>
    <w:rsid w:val="09F946F5"/>
    <w:rsid w:val="0A07630B"/>
    <w:rsid w:val="0A09E921"/>
    <w:rsid w:val="0A2401E7"/>
    <w:rsid w:val="0A244696"/>
    <w:rsid w:val="0A2E063A"/>
    <w:rsid w:val="0A318781"/>
    <w:rsid w:val="0A3DC269"/>
    <w:rsid w:val="0A621C79"/>
    <w:rsid w:val="0A682DA4"/>
    <w:rsid w:val="0A6DFF78"/>
    <w:rsid w:val="0A73F27B"/>
    <w:rsid w:val="0A79129E"/>
    <w:rsid w:val="0A86E004"/>
    <w:rsid w:val="0A8CFD10"/>
    <w:rsid w:val="0A9900F9"/>
    <w:rsid w:val="0AB18279"/>
    <w:rsid w:val="0AB6E1A4"/>
    <w:rsid w:val="0ABB4E10"/>
    <w:rsid w:val="0AD421F1"/>
    <w:rsid w:val="0ADC0CD2"/>
    <w:rsid w:val="0B00CD7D"/>
    <w:rsid w:val="0B19A0D9"/>
    <w:rsid w:val="0B1D19D2"/>
    <w:rsid w:val="0B24C819"/>
    <w:rsid w:val="0B406DBD"/>
    <w:rsid w:val="0B436E0C"/>
    <w:rsid w:val="0B45B962"/>
    <w:rsid w:val="0B714689"/>
    <w:rsid w:val="0B89573B"/>
    <w:rsid w:val="0B9D7606"/>
    <w:rsid w:val="0B9ED7CF"/>
    <w:rsid w:val="0BA4A6FB"/>
    <w:rsid w:val="0BAB4115"/>
    <w:rsid w:val="0BBFE6F3"/>
    <w:rsid w:val="0BD4EBD0"/>
    <w:rsid w:val="0BDCA41B"/>
    <w:rsid w:val="0BDE2AD2"/>
    <w:rsid w:val="0BDFF3B2"/>
    <w:rsid w:val="0BF16FF9"/>
    <w:rsid w:val="0C2CEDBB"/>
    <w:rsid w:val="0C366406"/>
    <w:rsid w:val="0C3E4D6F"/>
    <w:rsid w:val="0C41C855"/>
    <w:rsid w:val="0C52E9AF"/>
    <w:rsid w:val="0C7EFE70"/>
    <w:rsid w:val="0C93FF6A"/>
    <w:rsid w:val="0CA066AA"/>
    <w:rsid w:val="0CB4E2D5"/>
    <w:rsid w:val="0CBBC1A3"/>
    <w:rsid w:val="0CC1A27B"/>
    <w:rsid w:val="0CC6C09D"/>
    <w:rsid w:val="0CCC5F97"/>
    <w:rsid w:val="0CCC6C13"/>
    <w:rsid w:val="0D07C28A"/>
    <w:rsid w:val="0D169944"/>
    <w:rsid w:val="0D34E539"/>
    <w:rsid w:val="0D38F37A"/>
    <w:rsid w:val="0D41A1CF"/>
    <w:rsid w:val="0D6B01F5"/>
    <w:rsid w:val="0D6D9BF3"/>
    <w:rsid w:val="0D738972"/>
    <w:rsid w:val="0D73AD58"/>
    <w:rsid w:val="0D7824FC"/>
    <w:rsid w:val="0D8491EF"/>
    <w:rsid w:val="0DA9C4E6"/>
    <w:rsid w:val="0DAF0BAB"/>
    <w:rsid w:val="0DB57EE9"/>
    <w:rsid w:val="0DE56FEA"/>
    <w:rsid w:val="0E336027"/>
    <w:rsid w:val="0E3BFCBE"/>
    <w:rsid w:val="0E41F12C"/>
    <w:rsid w:val="0E432327"/>
    <w:rsid w:val="0E5BD1A5"/>
    <w:rsid w:val="0E653E32"/>
    <w:rsid w:val="0E725DDA"/>
    <w:rsid w:val="0E80CE60"/>
    <w:rsid w:val="0E86F948"/>
    <w:rsid w:val="0E874C04"/>
    <w:rsid w:val="0E8C3397"/>
    <w:rsid w:val="0E945DE3"/>
    <w:rsid w:val="0EA9E836"/>
    <w:rsid w:val="0ECA24A5"/>
    <w:rsid w:val="0ED27465"/>
    <w:rsid w:val="0EDF767E"/>
    <w:rsid w:val="0EEA090E"/>
    <w:rsid w:val="0EFEF67A"/>
    <w:rsid w:val="0F023007"/>
    <w:rsid w:val="0F025AC5"/>
    <w:rsid w:val="0F028DE0"/>
    <w:rsid w:val="0F08F77E"/>
    <w:rsid w:val="0F10B474"/>
    <w:rsid w:val="0F158C10"/>
    <w:rsid w:val="0F205DB2"/>
    <w:rsid w:val="0F37BB08"/>
    <w:rsid w:val="0F3858AC"/>
    <w:rsid w:val="0F4D3A4A"/>
    <w:rsid w:val="0F50DCAE"/>
    <w:rsid w:val="0F5A992C"/>
    <w:rsid w:val="0F6E7E40"/>
    <w:rsid w:val="0FA27E2C"/>
    <w:rsid w:val="0FA4FAA8"/>
    <w:rsid w:val="0FB5CD89"/>
    <w:rsid w:val="0FBEB909"/>
    <w:rsid w:val="0FC4FF7C"/>
    <w:rsid w:val="0FD7530B"/>
    <w:rsid w:val="0FDB2C82"/>
    <w:rsid w:val="0FF07D65"/>
    <w:rsid w:val="0FF4BA47"/>
    <w:rsid w:val="0FFCBB09"/>
    <w:rsid w:val="0FFFB1DD"/>
    <w:rsid w:val="10191DA4"/>
    <w:rsid w:val="102436E5"/>
    <w:rsid w:val="1025C903"/>
    <w:rsid w:val="102EAF9D"/>
    <w:rsid w:val="102F9167"/>
    <w:rsid w:val="103D4BBC"/>
    <w:rsid w:val="1052E2CC"/>
    <w:rsid w:val="108114A7"/>
    <w:rsid w:val="108F9B49"/>
    <w:rsid w:val="1094452B"/>
    <w:rsid w:val="1099AABA"/>
    <w:rsid w:val="10A1A3F4"/>
    <w:rsid w:val="10A96FFD"/>
    <w:rsid w:val="10C3C5D3"/>
    <w:rsid w:val="10CF7D72"/>
    <w:rsid w:val="10D84279"/>
    <w:rsid w:val="10F15B1E"/>
    <w:rsid w:val="111ACD3C"/>
    <w:rsid w:val="11243CB0"/>
    <w:rsid w:val="112B8288"/>
    <w:rsid w:val="11362FA5"/>
    <w:rsid w:val="113DC816"/>
    <w:rsid w:val="11464A81"/>
    <w:rsid w:val="114CCF27"/>
    <w:rsid w:val="1156C3B0"/>
    <w:rsid w:val="115EB75B"/>
    <w:rsid w:val="1163880B"/>
    <w:rsid w:val="11726627"/>
    <w:rsid w:val="117A5E7C"/>
    <w:rsid w:val="1184A7D4"/>
    <w:rsid w:val="1187E257"/>
    <w:rsid w:val="118AD63B"/>
    <w:rsid w:val="11A09426"/>
    <w:rsid w:val="11A69F8C"/>
    <w:rsid w:val="11A708A8"/>
    <w:rsid w:val="11B337B8"/>
    <w:rsid w:val="11B7E463"/>
    <w:rsid w:val="11D026A9"/>
    <w:rsid w:val="11D1D11C"/>
    <w:rsid w:val="11D5C305"/>
    <w:rsid w:val="11D99B44"/>
    <w:rsid w:val="11EA6B7F"/>
    <w:rsid w:val="11ECA016"/>
    <w:rsid w:val="11EEBAEF"/>
    <w:rsid w:val="11EFC956"/>
    <w:rsid w:val="11F5FDF6"/>
    <w:rsid w:val="11F9B622"/>
    <w:rsid w:val="11FDCD05"/>
    <w:rsid w:val="1221F98F"/>
    <w:rsid w:val="1223A749"/>
    <w:rsid w:val="122E51F4"/>
    <w:rsid w:val="1245D36D"/>
    <w:rsid w:val="125A2651"/>
    <w:rsid w:val="12640F79"/>
    <w:rsid w:val="128D0DD9"/>
    <w:rsid w:val="1294347F"/>
    <w:rsid w:val="12A183D2"/>
    <w:rsid w:val="12A89D06"/>
    <w:rsid w:val="12AD2255"/>
    <w:rsid w:val="12CB976C"/>
    <w:rsid w:val="12CDC89D"/>
    <w:rsid w:val="12D3DEC8"/>
    <w:rsid w:val="12E677AC"/>
    <w:rsid w:val="12EAEF40"/>
    <w:rsid w:val="13075F52"/>
    <w:rsid w:val="1325BD12"/>
    <w:rsid w:val="132DE2EE"/>
    <w:rsid w:val="133230EC"/>
    <w:rsid w:val="1332CA88"/>
    <w:rsid w:val="13342974"/>
    <w:rsid w:val="133477BB"/>
    <w:rsid w:val="1342741B"/>
    <w:rsid w:val="1355B035"/>
    <w:rsid w:val="135749C2"/>
    <w:rsid w:val="136755D9"/>
    <w:rsid w:val="136D5829"/>
    <w:rsid w:val="1394CD05"/>
    <w:rsid w:val="139553FA"/>
    <w:rsid w:val="13AF63AB"/>
    <w:rsid w:val="13B038F8"/>
    <w:rsid w:val="13BDA737"/>
    <w:rsid w:val="13D82C93"/>
    <w:rsid w:val="13DD6081"/>
    <w:rsid w:val="13E2D5C9"/>
    <w:rsid w:val="1402E47C"/>
    <w:rsid w:val="141FA190"/>
    <w:rsid w:val="1422BC5D"/>
    <w:rsid w:val="1428912E"/>
    <w:rsid w:val="143667FC"/>
    <w:rsid w:val="1437CA64"/>
    <w:rsid w:val="1457357E"/>
    <w:rsid w:val="1459CAEF"/>
    <w:rsid w:val="146461BB"/>
    <w:rsid w:val="1471FEE1"/>
    <w:rsid w:val="1475C9F9"/>
    <w:rsid w:val="14767FF4"/>
    <w:rsid w:val="148C355F"/>
    <w:rsid w:val="149409D2"/>
    <w:rsid w:val="149DB9B0"/>
    <w:rsid w:val="14A6C388"/>
    <w:rsid w:val="14A71F4E"/>
    <w:rsid w:val="14BC81B8"/>
    <w:rsid w:val="14C1A2C6"/>
    <w:rsid w:val="14D52F0D"/>
    <w:rsid w:val="14D8AD4E"/>
    <w:rsid w:val="14E61C12"/>
    <w:rsid w:val="14F4B149"/>
    <w:rsid w:val="14F6B5D0"/>
    <w:rsid w:val="14FC1F94"/>
    <w:rsid w:val="14FDE41F"/>
    <w:rsid w:val="150B5E24"/>
    <w:rsid w:val="151A2BE6"/>
    <w:rsid w:val="155126F8"/>
    <w:rsid w:val="15613715"/>
    <w:rsid w:val="156ACD8C"/>
    <w:rsid w:val="1575F4B3"/>
    <w:rsid w:val="157C7CC5"/>
    <w:rsid w:val="158910FA"/>
    <w:rsid w:val="158DBDB3"/>
    <w:rsid w:val="15A7FB76"/>
    <w:rsid w:val="15DE186F"/>
    <w:rsid w:val="15FB0C42"/>
    <w:rsid w:val="16033E8A"/>
    <w:rsid w:val="160CF135"/>
    <w:rsid w:val="1614D959"/>
    <w:rsid w:val="16431E6C"/>
    <w:rsid w:val="165BF205"/>
    <w:rsid w:val="166613CF"/>
    <w:rsid w:val="16772E52"/>
    <w:rsid w:val="16817EAB"/>
    <w:rsid w:val="1687B47D"/>
    <w:rsid w:val="16ABBCFD"/>
    <w:rsid w:val="16C89056"/>
    <w:rsid w:val="16C8BB19"/>
    <w:rsid w:val="16DD42E0"/>
    <w:rsid w:val="16E599E2"/>
    <w:rsid w:val="16F0AFE4"/>
    <w:rsid w:val="16F2C4B0"/>
    <w:rsid w:val="16F8CB02"/>
    <w:rsid w:val="16FD8E84"/>
    <w:rsid w:val="171497B6"/>
    <w:rsid w:val="172022D5"/>
    <w:rsid w:val="1734EC6B"/>
    <w:rsid w:val="1749050C"/>
    <w:rsid w:val="17608BF2"/>
    <w:rsid w:val="177FE886"/>
    <w:rsid w:val="17869CFE"/>
    <w:rsid w:val="1790B53D"/>
    <w:rsid w:val="17924A9D"/>
    <w:rsid w:val="17A27392"/>
    <w:rsid w:val="17AF3137"/>
    <w:rsid w:val="17B5F066"/>
    <w:rsid w:val="17C2B275"/>
    <w:rsid w:val="17CB0F1D"/>
    <w:rsid w:val="17D718C7"/>
    <w:rsid w:val="17D88335"/>
    <w:rsid w:val="17EF4151"/>
    <w:rsid w:val="180F6F82"/>
    <w:rsid w:val="182E4457"/>
    <w:rsid w:val="18358FFF"/>
    <w:rsid w:val="18389ECD"/>
    <w:rsid w:val="183F5D75"/>
    <w:rsid w:val="1840E3CD"/>
    <w:rsid w:val="1849D969"/>
    <w:rsid w:val="18590408"/>
    <w:rsid w:val="186144BC"/>
    <w:rsid w:val="18A3E149"/>
    <w:rsid w:val="18BAC844"/>
    <w:rsid w:val="18BB331C"/>
    <w:rsid w:val="18E087FE"/>
    <w:rsid w:val="18F42F6E"/>
    <w:rsid w:val="19023184"/>
    <w:rsid w:val="1920D3D7"/>
    <w:rsid w:val="19471966"/>
    <w:rsid w:val="19706E60"/>
    <w:rsid w:val="197B79AA"/>
    <w:rsid w:val="197E6F25"/>
    <w:rsid w:val="19801301"/>
    <w:rsid w:val="19AD6A1F"/>
    <w:rsid w:val="19B51EA9"/>
    <w:rsid w:val="19BCCE60"/>
    <w:rsid w:val="19DD9313"/>
    <w:rsid w:val="19E4FD0C"/>
    <w:rsid w:val="19E7F2AF"/>
    <w:rsid w:val="19FCBD65"/>
    <w:rsid w:val="1A0D3760"/>
    <w:rsid w:val="1A216BCA"/>
    <w:rsid w:val="1A271C51"/>
    <w:rsid w:val="1A285ED5"/>
    <w:rsid w:val="1A31F57F"/>
    <w:rsid w:val="1A37B222"/>
    <w:rsid w:val="1A37FBAB"/>
    <w:rsid w:val="1A9539C7"/>
    <w:rsid w:val="1A9A7AE7"/>
    <w:rsid w:val="1AD45389"/>
    <w:rsid w:val="1AE513B1"/>
    <w:rsid w:val="1AE5C8F3"/>
    <w:rsid w:val="1B17210E"/>
    <w:rsid w:val="1B360B1C"/>
    <w:rsid w:val="1B3EAB7B"/>
    <w:rsid w:val="1B48F258"/>
    <w:rsid w:val="1B576B59"/>
    <w:rsid w:val="1B672660"/>
    <w:rsid w:val="1B7A8B87"/>
    <w:rsid w:val="1B80C346"/>
    <w:rsid w:val="1BB6370B"/>
    <w:rsid w:val="1BBB210F"/>
    <w:rsid w:val="1BE31BD0"/>
    <w:rsid w:val="1BEDD39D"/>
    <w:rsid w:val="1C09168B"/>
    <w:rsid w:val="1C1844D5"/>
    <w:rsid w:val="1C1E1BBD"/>
    <w:rsid w:val="1C1EDCEF"/>
    <w:rsid w:val="1C31D853"/>
    <w:rsid w:val="1C3620C9"/>
    <w:rsid w:val="1C36C3B6"/>
    <w:rsid w:val="1C3A9838"/>
    <w:rsid w:val="1C42A53D"/>
    <w:rsid w:val="1C46E27B"/>
    <w:rsid w:val="1C4B0175"/>
    <w:rsid w:val="1C52D3C7"/>
    <w:rsid w:val="1C5F19EA"/>
    <w:rsid w:val="1C627D57"/>
    <w:rsid w:val="1C681781"/>
    <w:rsid w:val="1C73C3E8"/>
    <w:rsid w:val="1C88D5E3"/>
    <w:rsid w:val="1C8D96F6"/>
    <w:rsid w:val="1C9BC65C"/>
    <w:rsid w:val="1CBAEB51"/>
    <w:rsid w:val="1CC07CCA"/>
    <w:rsid w:val="1CC14D85"/>
    <w:rsid w:val="1CCAB62E"/>
    <w:rsid w:val="1CD5FF41"/>
    <w:rsid w:val="1CE3E1F5"/>
    <w:rsid w:val="1CEC4EB5"/>
    <w:rsid w:val="1CF3BBFE"/>
    <w:rsid w:val="1CF78887"/>
    <w:rsid w:val="1D00814C"/>
    <w:rsid w:val="1D080E54"/>
    <w:rsid w:val="1D1E85F8"/>
    <w:rsid w:val="1D3A95BE"/>
    <w:rsid w:val="1D4B6B26"/>
    <w:rsid w:val="1D6C929D"/>
    <w:rsid w:val="1D8DC503"/>
    <w:rsid w:val="1DA8728D"/>
    <w:rsid w:val="1DA9B2A7"/>
    <w:rsid w:val="1DAB8BEF"/>
    <w:rsid w:val="1DADF8B2"/>
    <w:rsid w:val="1DAF3356"/>
    <w:rsid w:val="1DBC1220"/>
    <w:rsid w:val="1DCD3AD3"/>
    <w:rsid w:val="1DE472E5"/>
    <w:rsid w:val="1E0FCDDF"/>
    <w:rsid w:val="1E239091"/>
    <w:rsid w:val="1E4AE5DC"/>
    <w:rsid w:val="1E58342E"/>
    <w:rsid w:val="1E8DEA06"/>
    <w:rsid w:val="1E8FC6A3"/>
    <w:rsid w:val="1E953B2B"/>
    <w:rsid w:val="1EF60FED"/>
    <w:rsid w:val="1F10EF2D"/>
    <w:rsid w:val="1F17AE9C"/>
    <w:rsid w:val="1F23CBD4"/>
    <w:rsid w:val="1F373403"/>
    <w:rsid w:val="1F3CF891"/>
    <w:rsid w:val="1F40B9C5"/>
    <w:rsid w:val="1F419380"/>
    <w:rsid w:val="1F5A7BAC"/>
    <w:rsid w:val="1F78EC1C"/>
    <w:rsid w:val="1F7F3529"/>
    <w:rsid w:val="1F9C0E8C"/>
    <w:rsid w:val="1FB89FCD"/>
    <w:rsid w:val="1FC5AB96"/>
    <w:rsid w:val="1FF15D0D"/>
    <w:rsid w:val="20347B5F"/>
    <w:rsid w:val="2040CF2D"/>
    <w:rsid w:val="204100A7"/>
    <w:rsid w:val="205162D2"/>
    <w:rsid w:val="20550867"/>
    <w:rsid w:val="20639349"/>
    <w:rsid w:val="2066AF7C"/>
    <w:rsid w:val="20727CC1"/>
    <w:rsid w:val="2082849D"/>
    <w:rsid w:val="2092AC01"/>
    <w:rsid w:val="209BCFBF"/>
    <w:rsid w:val="209C56BF"/>
    <w:rsid w:val="20BD6924"/>
    <w:rsid w:val="20F17905"/>
    <w:rsid w:val="20F658F6"/>
    <w:rsid w:val="20FE24A7"/>
    <w:rsid w:val="210932A6"/>
    <w:rsid w:val="210F3BAF"/>
    <w:rsid w:val="211F0CA3"/>
    <w:rsid w:val="2134ABA1"/>
    <w:rsid w:val="2136BA96"/>
    <w:rsid w:val="214DE408"/>
    <w:rsid w:val="215279AE"/>
    <w:rsid w:val="2163027A"/>
    <w:rsid w:val="2189E1BF"/>
    <w:rsid w:val="21973105"/>
    <w:rsid w:val="219A057A"/>
    <w:rsid w:val="21A1118C"/>
    <w:rsid w:val="21C472BA"/>
    <w:rsid w:val="21C5D479"/>
    <w:rsid w:val="21D3E5D5"/>
    <w:rsid w:val="21E11FC4"/>
    <w:rsid w:val="2211730E"/>
    <w:rsid w:val="2213AF9E"/>
    <w:rsid w:val="2214E9F6"/>
    <w:rsid w:val="221C8EE9"/>
    <w:rsid w:val="2223C569"/>
    <w:rsid w:val="223D349C"/>
    <w:rsid w:val="223E6504"/>
    <w:rsid w:val="224320BC"/>
    <w:rsid w:val="224F0237"/>
    <w:rsid w:val="225E06D3"/>
    <w:rsid w:val="2266E8AD"/>
    <w:rsid w:val="22682E6F"/>
    <w:rsid w:val="228CDA98"/>
    <w:rsid w:val="2296A4AF"/>
    <w:rsid w:val="22A1B550"/>
    <w:rsid w:val="22A95D51"/>
    <w:rsid w:val="22BBE5B0"/>
    <w:rsid w:val="22C5A6D0"/>
    <w:rsid w:val="22CA0F0B"/>
    <w:rsid w:val="22CF733C"/>
    <w:rsid w:val="22D65DB6"/>
    <w:rsid w:val="22D792F9"/>
    <w:rsid w:val="22E27CC3"/>
    <w:rsid w:val="22E9D20B"/>
    <w:rsid w:val="23034A3A"/>
    <w:rsid w:val="2334A82E"/>
    <w:rsid w:val="234E59F1"/>
    <w:rsid w:val="234F434C"/>
    <w:rsid w:val="2364D244"/>
    <w:rsid w:val="236B7C56"/>
    <w:rsid w:val="2379E8D1"/>
    <w:rsid w:val="2384E2B6"/>
    <w:rsid w:val="23861493"/>
    <w:rsid w:val="23868459"/>
    <w:rsid w:val="23A93862"/>
    <w:rsid w:val="23B0A7E1"/>
    <w:rsid w:val="23C2A375"/>
    <w:rsid w:val="23D53509"/>
    <w:rsid w:val="23DCCCD8"/>
    <w:rsid w:val="23E02654"/>
    <w:rsid w:val="23F95B8B"/>
    <w:rsid w:val="24136DB3"/>
    <w:rsid w:val="241816C7"/>
    <w:rsid w:val="24270C7B"/>
    <w:rsid w:val="242FCF3A"/>
    <w:rsid w:val="2439AFDB"/>
    <w:rsid w:val="24445AC7"/>
    <w:rsid w:val="24495205"/>
    <w:rsid w:val="244C03BF"/>
    <w:rsid w:val="244DAFD7"/>
    <w:rsid w:val="245A2891"/>
    <w:rsid w:val="245F45E5"/>
    <w:rsid w:val="245F92A0"/>
    <w:rsid w:val="24638640"/>
    <w:rsid w:val="246DE558"/>
    <w:rsid w:val="24701555"/>
    <w:rsid w:val="249EEF07"/>
    <w:rsid w:val="24AC609E"/>
    <w:rsid w:val="24AEF631"/>
    <w:rsid w:val="24C80A1F"/>
    <w:rsid w:val="24CC7D11"/>
    <w:rsid w:val="24E72277"/>
    <w:rsid w:val="24E96CC7"/>
    <w:rsid w:val="250DC68A"/>
    <w:rsid w:val="25327072"/>
    <w:rsid w:val="25375659"/>
    <w:rsid w:val="253C3D1A"/>
    <w:rsid w:val="25425C2A"/>
    <w:rsid w:val="2545A8F3"/>
    <w:rsid w:val="254AE65E"/>
    <w:rsid w:val="2552F46A"/>
    <w:rsid w:val="2554C010"/>
    <w:rsid w:val="25635527"/>
    <w:rsid w:val="2569031F"/>
    <w:rsid w:val="25727ADE"/>
    <w:rsid w:val="257F48B4"/>
    <w:rsid w:val="258151EA"/>
    <w:rsid w:val="2586C59B"/>
    <w:rsid w:val="25991CBC"/>
    <w:rsid w:val="259A56F3"/>
    <w:rsid w:val="25A1546C"/>
    <w:rsid w:val="25ABE8DC"/>
    <w:rsid w:val="25C36833"/>
    <w:rsid w:val="25D52A87"/>
    <w:rsid w:val="25DB248F"/>
    <w:rsid w:val="25E23C89"/>
    <w:rsid w:val="25FC726F"/>
    <w:rsid w:val="25FEFBF7"/>
    <w:rsid w:val="263769F2"/>
    <w:rsid w:val="263AE30A"/>
    <w:rsid w:val="26448CF6"/>
    <w:rsid w:val="2658AE07"/>
    <w:rsid w:val="26687E55"/>
    <w:rsid w:val="267F7639"/>
    <w:rsid w:val="267FA3D0"/>
    <w:rsid w:val="26918A96"/>
    <w:rsid w:val="26C238FE"/>
    <w:rsid w:val="26CE0E72"/>
    <w:rsid w:val="26D69142"/>
    <w:rsid w:val="270A5AEE"/>
    <w:rsid w:val="270C656F"/>
    <w:rsid w:val="272179E1"/>
    <w:rsid w:val="272AB5B4"/>
    <w:rsid w:val="272CB412"/>
    <w:rsid w:val="273165FA"/>
    <w:rsid w:val="273DE34B"/>
    <w:rsid w:val="273E0279"/>
    <w:rsid w:val="27625E01"/>
    <w:rsid w:val="2763DCBB"/>
    <w:rsid w:val="2769660A"/>
    <w:rsid w:val="277F7140"/>
    <w:rsid w:val="2785FBBD"/>
    <w:rsid w:val="278EDBBE"/>
    <w:rsid w:val="27A1CD8A"/>
    <w:rsid w:val="27AAB40B"/>
    <w:rsid w:val="27DAD402"/>
    <w:rsid w:val="27DEEBC7"/>
    <w:rsid w:val="27E2493D"/>
    <w:rsid w:val="27F1B208"/>
    <w:rsid w:val="28077FC1"/>
    <w:rsid w:val="283F839C"/>
    <w:rsid w:val="28524908"/>
    <w:rsid w:val="2860B0E6"/>
    <w:rsid w:val="28714D2B"/>
    <w:rsid w:val="287E3411"/>
    <w:rsid w:val="2883DF89"/>
    <w:rsid w:val="28923643"/>
    <w:rsid w:val="289A2C7C"/>
    <w:rsid w:val="28A3DFCC"/>
    <w:rsid w:val="28B8B09A"/>
    <w:rsid w:val="28BA8C2C"/>
    <w:rsid w:val="28C8EE26"/>
    <w:rsid w:val="28CB2028"/>
    <w:rsid w:val="294E9FB4"/>
    <w:rsid w:val="29730777"/>
    <w:rsid w:val="29741784"/>
    <w:rsid w:val="297ADD82"/>
    <w:rsid w:val="29904820"/>
    <w:rsid w:val="29910EEC"/>
    <w:rsid w:val="299E41BA"/>
    <w:rsid w:val="29AE36BA"/>
    <w:rsid w:val="29B6B28B"/>
    <w:rsid w:val="29CE647E"/>
    <w:rsid w:val="29D55B1B"/>
    <w:rsid w:val="29D71B9C"/>
    <w:rsid w:val="29DD034E"/>
    <w:rsid w:val="29DEA24D"/>
    <w:rsid w:val="29E8CBBD"/>
    <w:rsid w:val="29E926BA"/>
    <w:rsid w:val="29FA4346"/>
    <w:rsid w:val="2A1B2668"/>
    <w:rsid w:val="2A2FC1AC"/>
    <w:rsid w:val="2A33626E"/>
    <w:rsid w:val="2A353BEF"/>
    <w:rsid w:val="2A3FCBDF"/>
    <w:rsid w:val="2A4A275D"/>
    <w:rsid w:val="2A4D241F"/>
    <w:rsid w:val="2A5FBE38"/>
    <w:rsid w:val="2A74F270"/>
    <w:rsid w:val="2A880121"/>
    <w:rsid w:val="2AC4B73B"/>
    <w:rsid w:val="2AD67AEA"/>
    <w:rsid w:val="2AE6132B"/>
    <w:rsid w:val="2AF4C26F"/>
    <w:rsid w:val="2B017B5F"/>
    <w:rsid w:val="2B0487C1"/>
    <w:rsid w:val="2B1E751D"/>
    <w:rsid w:val="2B292251"/>
    <w:rsid w:val="2B45AF94"/>
    <w:rsid w:val="2B4ED0D5"/>
    <w:rsid w:val="2B626CE0"/>
    <w:rsid w:val="2B7BCDAE"/>
    <w:rsid w:val="2B9594AF"/>
    <w:rsid w:val="2BAAE362"/>
    <w:rsid w:val="2BB7374A"/>
    <w:rsid w:val="2BBE5B97"/>
    <w:rsid w:val="2BD1C999"/>
    <w:rsid w:val="2BDBF6A2"/>
    <w:rsid w:val="2BDCE970"/>
    <w:rsid w:val="2BEACD55"/>
    <w:rsid w:val="2BEF1016"/>
    <w:rsid w:val="2C1661D0"/>
    <w:rsid w:val="2C31F225"/>
    <w:rsid w:val="2C3B1125"/>
    <w:rsid w:val="2C3E10C0"/>
    <w:rsid w:val="2C5095C1"/>
    <w:rsid w:val="2C5426E3"/>
    <w:rsid w:val="2C5FBD9C"/>
    <w:rsid w:val="2C6557CF"/>
    <w:rsid w:val="2C65B946"/>
    <w:rsid w:val="2C67584F"/>
    <w:rsid w:val="2C7A385A"/>
    <w:rsid w:val="2C8EBBFE"/>
    <w:rsid w:val="2CB97F42"/>
    <w:rsid w:val="2CC1978F"/>
    <w:rsid w:val="2CC907DE"/>
    <w:rsid w:val="2CD1C196"/>
    <w:rsid w:val="2CDBE2D3"/>
    <w:rsid w:val="2D0D97DC"/>
    <w:rsid w:val="2D0DE073"/>
    <w:rsid w:val="2D15DA9A"/>
    <w:rsid w:val="2D18F235"/>
    <w:rsid w:val="2D204E18"/>
    <w:rsid w:val="2D2BF105"/>
    <w:rsid w:val="2D3838F0"/>
    <w:rsid w:val="2D3F2F25"/>
    <w:rsid w:val="2D4C8829"/>
    <w:rsid w:val="2D4FCEC4"/>
    <w:rsid w:val="2D56E0BA"/>
    <w:rsid w:val="2D5C93F6"/>
    <w:rsid w:val="2D6AC68A"/>
    <w:rsid w:val="2D6FF522"/>
    <w:rsid w:val="2D72E574"/>
    <w:rsid w:val="2D7BFD2D"/>
    <w:rsid w:val="2D8A31E2"/>
    <w:rsid w:val="2D90A5C8"/>
    <w:rsid w:val="2D930C45"/>
    <w:rsid w:val="2DA4EC35"/>
    <w:rsid w:val="2DBDC88E"/>
    <w:rsid w:val="2DD67BD8"/>
    <w:rsid w:val="2DDB2174"/>
    <w:rsid w:val="2DDCB963"/>
    <w:rsid w:val="2DE07FE4"/>
    <w:rsid w:val="2DE5D72F"/>
    <w:rsid w:val="2DFAFE1F"/>
    <w:rsid w:val="2E12551F"/>
    <w:rsid w:val="2E1313FF"/>
    <w:rsid w:val="2E22A7F3"/>
    <w:rsid w:val="2E236951"/>
    <w:rsid w:val="2E4E181E"/>
    <w:rsid w:val="2E5476AA"/>
    <w:rsid w:val="2E6E7610"/>
    <w:rsid w:val="2E706F86"/>
    <w:rsid w:val="2E739217"/>
    <w:rsid w:val="2E761C70"/>
    <w:rsid w:val="2E83DD84"/>
    <w:rsid w:val="2E8A3D26"/>
    <w:rsid w:val="2EA213D8"/>
    <w:rsid w:val="2EA315CD"/>
    <w:rsid w:val="2EB42B0C"/>
    <w:rsid w:val="2ECA8FD8"/>
    <w:rsid w:val="2ED7977E"/>
    <w:rsid w:val="2EE552AD"/>
    <w:rsid w:val="2EF5F171"/>
    <w:rsid w:val="2EF9FEC7"/>
    <w:rsid w:val="2F00FB27"/>
    <w:rsid w:val="2F040541"/>
    <w:rsid w:val="2F0BDE6F"/>
    <w:rsid w:val="2F1A04E4"/>
    <w:rsid w:val="2F2662BD"/>
    <w:rsid w:val="2F2E2BF9"/>
    <w:rsid w:val="2F2EE5DF"/>
    <w:rsid w:val="2F31D64C"/>
    <w:rsid w:val="2F3F21BA"/>
    <w:rsid w:val="2F4776C3"/>
    <w:rsid w:val="2F4F5769"/>
    <w:rsid w:val="2F59164D"/>
    <w:rsid w:val="2F6CAEDB"/>
    <w:rsid w:val="2F75C0E8"/>
    <w:rsid w:val="2F82CEEA"/>
    <w:rsid w:val="2F872EEC"/>
    <w:rsid w:val="2F9A12D3"/>
    <w:rsid w:val="2F9C3C97"/>
    <w:rsid w:val="2FB901BF"/>
    <w:rsid w:val="2FE4BB92"/>
    <w:rsid w:val="2FE620F0"/>
    <w:rsid w:val="2FEE7A2D"/>
    <w:rsid w:val="2FFDA151"/>
    <w:rsid w:val="3000EE89"/>
    <w:rsid w:val="3003CE79"/>
    <w:rsid w:val="300F10B8"/>
    <w:rsid w:val="3016A0F1"/>
    <w:rsid w:val="30345D8C"/>
    <w:rsid w:val="304CF502"/>
    <w:rsid w:val="305795B9"/>
    <w:rsid w:val="3059E9E9"/>
    <w:rsid w:val="305C0B9C"/>
    <w:rsid w:val="305CC0F0"/>
    <w:rsid w:val="3060CD4F"/>
    <w:rsid w:val="306255C7"/>
    <w:rsid w:val="3062A351"/>
    <w:rsid w:val="306A1836"/>
    <w:rsid w:val="30800CA5"/>
    <w:rsid w:val="30B31F27"/>
    <w:rsid w:val="30C2DDFD"/>
    <w:rsid w:val="30D3FE92"/>
    <w:rsid w:val="30D4AF3E"/>
    <w:rsid w:val="30D65987"/>
    <w:rsid w:val="30E72AA8"/>
    <w:rsid w:val="30E7C955"/>
    <w:rsid w:val="30F438A3"/>
    <w:rsid w:val="3115598E"/>
    <w:rsid w:val="3118FFDA"/>
    <w:rsid w:val="31220B95"/>
    <w:rsid w:val="312971DF"/>
    <w:rsid w:val="312B64BD"/>
    <w:rsid w:val="312CA5BD"/>
    <w:rsid w:val="31331E81"/>
    <w:rsid w:val="3134AE96"/>
    <w:rsid w:val="313946A2"/>
    <w:rsid w:val="313DEB28"/>
    <w:rsid w:val="3156B31E"/>
    <w:rsid w:val="3160917C"/>
    <w:rsid w:val="31632E92"/>
    <w:rsid w:val="3193EEDF"/>
    <w:rsid w:val="31A0E733"/>
    <w:rsid w:val="31C0F17E"/>
    <w:rsid w:val="31CA0723"/>
    <w:rsid w:val="31D3B2E5"/>
    <w:rsid w:val="31DD3603"/>
    <w:rsid w:val="31DF2CF5"/>
    <w:rsid w:val="31DFD9F1"/>
    <w:rsid w:val="31E123AD"/>
    <w:rsid w:val="31ED71EE"/>
    <w:rsid w:val="31FA778F"/>
    <w:rsid w:val="3205E897"/>
    <w:rsid w:val="32067E24"/>
    <w:rsid w:val="32185A6E"/>
    <w:rsid w:val="322DC95C"/>
    <w:rsid w:val="3249AFE3"/>
    <w:rsid w:val="324F9E4B"/>
    <w:rsid w:val="32578B17"/>
    <w:rsid w:val="3257D981"/>
    <w:rsid w:val="3260EAF5"/>
    <w:rsid w:val="32618F7B"/>
    <w:rsid w:val="326DCA54"/>
    <w:rsid w:val="327AA785"/>
    <w:rsid w:val="328ED9D8"/>
    <w:rsid w:val="3299F75F"/>
    <w:rsid w:val="329D5A21"/>
    <w:rsid w:val="32B7918E"/>
    <w:rsid w:val="32B8457E"/>
    <w:rsid w:val="32B86BB0"/>
    <w:rsid w:val="32B94569"/>
    <w:rsid w:val="32BF11BE"/>
    <w:rsid w:val="32BF6AAA"/>
    <w:rsid w:val="32C18120"/>
    <w:rsid w:val="32C9027D"/>
    <w:rsid w:val="32D2C60F"/>
    <w:rsid w:val="32E30C64"/>
    <w:rsid w:val="32EEA74C"/>
    <w:rsid w:val="3305F8CB"/>
    <w:rsid w:val="330937E8"/>
    <w:rsid w:val="330CA919"/>
    <w:rsid w:val="33186569"/>
    <w:rsid w:val="331EE993"/>
    <w:rsid w:val="3329583C"/>
    <w:rsid w:val="332AE7A7"/>
    <w:rsid w:val="332B1D84"/>
    <w:rsid w:val="332F0119"/>
    <w:rsid w:val="33459C3F"/>
    <w:rsid w:val="334D7C74"/>
    <w:rsid w:val="334DD633"/>
    <w:rsid w:val="335E0388"/>
    <w:rsid w:val="33663CB4"/>
    <w:rsid w:val="3368DE8C"/>
    <w:rsid w:val="33922C62"/>
    <w:rsid w:val="339BCDB6"/>
    <w:rsid w:val="33A79F6C"/>
    <w:rsid w:val="33A940DC"/>
    <w:rsid w:val="33D06030"/>
    <w:rsid w:val="33E77C8B"/>
    <w:rsid w:val="33F21D5D"/>
    <w:rsid w:val="33F24101"/>
    <w:rsid w:val="3406AD71"/>
    <w:rsid w:val="340DD3EA"/>
    <w:rsid w:val="3411C9EC"/>
    <w:rsid w:val="345BDF6E"/>
    <w:rsid w:val="346B7B71"/>
    <w:rsid w:val="346B8741"/>
    <w:rsid w:val="346D43C0"/>
    <w:rsid w:val="346E2DB5"/>
    <w:rsid w:val="347C5C16"/>
    <w:rsid w:val="34886D8A"/>
    <w:rsid w:val="34960901"/>
    <w:rsid w:val="349C17F0"/>
    <w:rsid w:val="349FBE5A"/>
    <w:rsid w:val="34A2EBEF"/>
    <w:rsid w:val="34BF7990"/>
    <w:rsid w:val="34CB7D89"/>
    <w:rsid w:val="34DEA9CD"/>
    <w:rsid w:val="34E5920C"/>
    <w:rsid w:val="34F5C725"/>
    <w:rsid w:val="351B28F0"/>
    <w:rsid w:val="351CBC63"/>
    <w:rsid w:val="35526725"/>
    <w:rsid w:val="35589A26"/>
    <w:rsid w:val="3566F382"/>
    <w:rsid w:val="35703F02"/>
    <w:rsid w:val="357B226D"/>
    <w:rsid w:val="358017DC"/>
    <w:rsid w:val="35870C82"/>
    <w:rsid w:val="358EC776"/>
    <w:rsid w:val="35A32DF7"/>
    <w:rsid w:val="35A9EE98"/>
    <w:rsid w:val="35AC2AAA"/>
    <w:rsid w:val="35D6FB89"/>
    <w:rsid w:val="35DE867D"/>
    <w:rsid w:val="35E09B86"/>
    <w:rsid w:val="36019B12"/>
    <w:rsid w:val="36057874"/>
    <w:rsid w:val="36167063"/>
    <w:rsid w:val="3644EEA0"/>
    <w:rsid w:val="365A2F96"/>
    <w:rsid w:val="36703E4B"/>
    <w:rsid w:val="3682FC0C"/>
    <w:rsid w:val="368B266C"/>
    <w:rsid w:val="36C0F6A0"/>
    <w:rsid w:val="36D4F13C"/>
    <w:rsid w:val="36DD9365"/>
    <w:rsid w:val="36E7A14B"/>
    <w:rsid w:val="36EBF4BB"/>
    <w:rsid w:val="36F00C0C"/>
    <w:rsid w:val="36F612B8"/>
    <w:rsid w:val="36F68BB7"/>
    <w:rsid w:val="3722890E"/>
    <w:rsid w:val="3727244C"/>
    <w:rsid w:val="3743F00D"/>
    <w:rsid w:val="3749D8D4"/>
    <w:rsid w:val="376A14B8"/>
    <w:rsid w:val="376A5591"/>
    <w:rsid w:val="377F75B9"/>
    <w:rsid w:val="378F0679"/>
    <w:rsid w:val="379045D3"/>
    <w:rsid w:val="379E236F"/>
    <w:rsid w:val="37A11987"/>
    <w:rsid w:val="37A7B863"/>
    <w:rsid w:val="37B4DB5D"/>
    <w:rsid w:val="37B8F4BC"/>
    <w:rsid w:val="37F614A2"/>
    <w:rsid w:val="3824225D"/>
    <w:rsid w:val="38273A24"/>
    <w:rsid w:val="382B8D0F"/>
    <w:rsid w:val="3838BC89"/>
    <w:rsid w:val="383E61FC"/>
    <w:rsid w:val="38442BFE"/>
    <w:rsid w:val="3844B251"/>
    <w:rsid w:val="384E7E66"/>
    <w:rsid w:val="3850C46D"/>
    <w:rsid w:val="3859EF3F"/>
    <w:rsid w:val="385F146C"/>
    <w:rsid w:val="38628B00"/>
    <w:rsid w:val="386D04CB"/>
    <w:rsid w:val="387AF61E"/>
    <w:rsid w:val="389C57F5"/>
    <w:rsid w:val="38A3D549"/>
    <w:rsid w:val="38AA2506"/>
    <w:rsid w:val="38AADFB3"/>
    <w:rsid w:val="38AE94C8"/>
    <w:rsid w:val="38AF4ADD"/>
    <w:rsid w:val="38B2152C"/>
    <w:rsid w:val="38C72306"/>
    <w:rsid w:val="38C8793B"/>
    <w:rsid w:val="38CD4468"/>
    <w:rsid w:val="38E1DE44"/>
    <w:rsid w:val="38F002F3"/>
    <w:rsid w:val="38F05512"/>
    <w:rsid w:val="390A48DE"/>
    <w:rsid w:val="3917581D"/>
    <w:rsid w:val="3931E566"/>
    <w:rsid w:val="393E2066"/>
    <w:rsid w:val="393EB503"/>
    <w:rsid w:val="394F87BB"/>
    <w:rsid w:val="39677D74"/>
    <w:rsid w:val="396EB91D"/>
    <w:rsid w:val="3970C214"/>
    <w:rsid w:val="397242A4"/>
    <w:rsid w:val="3976F6AB"/>
    <w:rsid w:val="397DABB9"/>
    <w:rsid w:val="399F5BFC"/>
    <w:rsid w:val="39AEF168"/>
    <w:rsid w:val="39D4530A"/>
    <w:rsid w:val="39D4BF6B"/>
    <w:rsid w:val="39D62B41"/>
    <w:rsid w:val="39DB3E1F"/>
    <w:rsid w:val="39E604AF"/>
    <w:rsid w:val="39EBB802"/>
    <w:rsid w:val="39FB315B"/>
    <w:rsid w:val="39FF6742"/>
    <w:rsid w:val="3A009C2F"/>
    <w:rsid w:val="3A019311"/>
    <w:rsid w:val="3A2878DC"/>
    <w:rsid w:val="3A3D6C2C"/>
    <w:rsid w:val="3A4FED5F"/>
    <w:rsid w:val="3A56EFF2"/>
    <w:rsid w:val="3A70F6E8"/>
    <w:rsid w:val="3A7C9152"/>
    <w:rsid w:val="3A8EE55A"/>
    <w:rsid w:val="3A9FAB72"/>
    <w:rsid w:val="3AA2C86E"/>
    <w:rsid w:val="3ABBA5B2"/>
    <w:rsid w:val="3AC8B053"/>
    <w:rsid w:val="3ACE112B"/>
    <w:rsid w:val="3AD183BA"/>
    <w:rsid w:val="3AE2E384"/>
    <w:rsid w:val="3AEC665B"/>
    <w:rsid w:val="3B0CB264"/>
    <w:rsid w:val="3B1D8CD0"/>
    <w:rsid w:val="3B4B4616"/>
    <w:rsid w:val="3B4F6634"/>
    <w:rsid w:val="3B558279"/>
    <w:rsid w:val="3B5FACA0"/>
    <w:rsid w:val="3B767984"/>
    <w:rsid w:val="3B840419"/>
    <w:rsid w:val="3B93BA13"/>
    <w:rsid w:val="3BB0EE3E"/>
    <w:rsid w:val="3BB965DA"/>
    <w:rsid w:val="3BB9C485"/>
    <w:rsid w:val="3BC3755D"/>
    <w:rsid w:val="3BC6FB4A"/>
    <w:rsid w:val="3BD4B834"/>
    <w:rsid w:val="3BDF5438"/>
    <w:rsid w:val="3C09B800"/>
    <w:rsid w:val="3C100C3C"/>
    <w:rsid w:val="3C216FB4"/>
    <w:rsid w:val="3C315249"/>
    <w:rsid w:val="3C4D69DC"/>
    <w:rsid w:val="3C560761"/>
    <w:rsid w:val="3C5916C0"/>
    <w:rsid w:val="3C5D2B31"/>
    <w:rsid w:val="3C671580"/>
    <w:rsid w:val="3C7C3A16"/>
    <w:rsid w:val="3C844413"/>
    <w:rsid w:val="3CB0614A"/>
    <w:rsid w:val="3CC4696C"/>
    <w:rsid w:val="3CC66DAC"/>
    <w:rsid w:val="3CC6A103"/>
    <w:rsid w:val="3CCAC772"/>
    <w:rsid w:val="3CCC2FAB"/>
    <w:rsid w:val="3CE43772"/>
    <w:rsid w:val="3D11916F"/>
    <w:rsid w:val="3D2B9E44"/>
    <w:rsid w:val="3D335837"/>
    <w:rsid w:val="3D371143"/>
    <w:rsid w:val="3D40D13E"/>
    <w:rsid w:val="3D427EB8"/>
    <w:rsid w:val="3D45908D"/>
    <w:rsid w:val="3D50089A"/>
    <w:rsid w:val="3D51A324"/>
    <w:rsid w:val="3D54372B"/>
    <w:rsid w:val="3D573A92"/>
    <w:rsid w:val="3D672F5E"/>
    <w:rsid w:val="3D6E2057"/>
    <w:rsid w:val="3D75B912"/>
    <w:rsid w:val="3D7BC972"/>
    <w:rsid w:val="3D7BE461"/>
    <w:rsid w:val="3D854341"/>
    <w:rsid w:val="3D998C78"/>
    <w:rsid w:val="3DA40B06"/>
    <w:rsid w:val="3DB1C0F4"/>
    <w:rsid w:val="3DB4462A"/>
    <w:rsid w:val="3DD05EDD"/>
    <w:rsid w:val="3DE2CEEA"/>
    <w:rsid w:val="3DE5DABB"/>
    <w:rsid w:val="3DF5D8E4"/>
    <w:rsid w:val="3E015E81"/>
    <w:rsid w:val="3E037041"/>
    <w:rsid w:val="3E093503"/>
    <w:rsid w:val="3E3D8D94"/>
    <w:rsid w:val="3E56BAF1"/>
    <w:rsid w:val="3E633626"/>
    <w:rsid w:val="3E8EC068"/>
    <w:rsid w:val="3E8F0A92"/>
    <w:rsid w:val="3E9DD1DA"/>
    <w:rsid w:val="3EA34373"/>
    <w:rsid w:val="3EB33120"/>
    <w:rsid w:val="3EB7D6B6"/>
    <w:rsid w:val="3ECD8DA6"/>
    <w:rsid w:val="3EEE1849"/>
    <w:rsid w:val="3EFFD480"/>
    <w:rsid w:val="3F06DF61"/>
    <w:rsid w:val="3F0EB916"/>
    <w:rsid w:val="3F1DE5CA"/>
    <w:rsid w:val="3F239578"/>
    <w:rsid w:val="3F25896B"/>
    <w:rsid w:val="3F375402"/>
    <w:rsid w:val="3F3A1729"/>
    <w:rsid w:val="3F4DD7C2"/>
    <w:rsid w:val="3F736D43"/>
    <w:rsid w:val="3F82E98F"/>
    <w:rsid w:val="3F9304D2"/>
    <w:rsid w:val="3F9AB3C7"/>
    <w:rsid w:val="3FA8A39C"/>
    <w:rsid w:val="3FB9543D"/>
    <w:rsid w:val="3FBEB9CD"/>
    <w:rsid w:val="3FD367EB"/>
    <w:rsid w:val="3FE5BA16"/>
    <w:rsid w:val="3FE8FB72"/>
    <w:rsid w:val="3FF04D91"/>
    <w:rsid w:val="3FF43C93"/>
    <w:rsid w:val="3FF8CA40"/>
    <w:rsid w:val="40096D1B"/>
    <w:rsid w:val="4017FE79"/>
    <w:rsid w:val="4020519C"/>
    <w:rsid w:val="402DA2AA"/>
    <w:rsid w:val="4033D1D9"/>
    <w:rsid w:val="403C0829"/>
    <w:rsid w:val="40445EB3"/>
    <w:rsid w:val="40585BD0"/>
    <w:rsid w:val="40592FFD"/>
    <w:rsid w:val="40793939"/>
    <w:rsid w:val="408F154C"/>
    <w:rsid w:val="40E965D3"/>
    <w:rsid w:val="40F5BC5A"/>
    <w:rsid w:val="40FD2819"/>
    <w:rsid w:val="4104929F"/>
    <w:rsid w:val="4108D2E3"/>
    <w:rsid w:val="410DE136"/>
    <w:rsid w:val="410E9D9F"/>
    <w:rsid w:val="410F62BF"/>
    <w:rsid w:val="41116DAE"/>
    <w:rsid w:val="4111EABA"/>
    <w:rsid w:val="4120C169"/>
    <w:rsid w:val="41263D87"/>
    <w:rsid w:val="413E5A58"/>
    <w:rsid w:val="4150DCDF"/>
    <w:rsid w:val="415D458A"/>
    <w:rsid w:val="41723EB4"/>
    <w:rsid w:val="417C459E"/>
    <w:rsid w:val="419A9D34"/>
    <w:rsid w:val="419D42AD"/>
    <w:rsid w:val="41AAF056"/>
    <w:rsid w:val="41ABB808"/>
    <w:rsid w:val="41B7CDD8"/>
    <w:rsid w:val="41BC3CBB"/>
    <w:rsid w:val="41BEF5AF"/>
    <w:rsid w:val="41C397D1"/>
    <w:rsid w:val="4227F4FB"/>
    <w:rsid w:val="422C4446"/>
    <w:rsid w:val="42504DE7"/>
    <w:rsid w:val="42803AE4"/>
    <w:rsid w:val="428C941E"/>
    <w:rsid w:val="42A278BB"/>
    <w:rsid w:val="42B08335"/>
    <w:rsid w:val="42C31A93"/>
    <w:rsid w:val="42D5C30A"/>
    <w:rsid w:val="42FF3B41"/>
    <w:rsid w:val="4305CBFF"/>
    <w:rsid w:val="4310079B"/>
    <w:rsid w:val="432C2011"/>
    <w:rsid w:val="432CFA45"/>
    <w:rsid w:val="433397E8"/>
    <w:rsid w:val="43597B89"/>
    <w:rsid w:val="438B2338"/>
    <w:rsid w:val="438D6E12"/>
    <w:rsid w:val="43B1C467"/>
    <w:rsid w:val="43C3C55C"/>
    <w:rsid w:val="43C4010F"/>
    <w:rsid w:val="43C9D4DC"/>
    <w:rsid w:val="43E5025B"/>
    <w:rsid w:val="43EB654D"/>
    <w:rsid w:val="43F0F2E4"/>
    <w:rsid w:val="443CD326"/>
    <w:rsid w:val="44563D8A"/>
    <w:rsid w:val="4461EDCF"/>
    <w:rsid w:val="448E9DC4"/>
    <w:rsid w:val="44A6417A"/>
    <w:rsid w:val="44B3DF81"/>
    <w:rsid w:val="44D2B9D8"/>
    <w:rsid w:val="44D59150"/>
    <w:rsid w:val="44E08913"/>
    <w:rsid w:val="44FB6E41"/>
    <w:rsid w:val="4513A3CF"/>
    <w:rsid w:val="45154656"/>
    <w:rsid w:val="451F85C7"/>
    <w:rsid w:val="452F9523"/>
    <w:rsid w:val="4532BD13"/>
    <w:rsid w:val="454258E2"/>
    <w:rsid w:val="4547E6D4"/>
    <w:rsid w:val="454EC609"/>
    <w:rsid w:val="45502869"/>
    <w:rsid w:val="455558BE"/>
    <w:rsid w:val="45748D6E"/>
    <w:rsid w:val="458832DE"/>
    <w:rsid w:val="458A4927"/>
    <w:rsid w:val="458AC5ED"/>
    <w:rsid w:val="458B1EE5"/>
    <w:rsid w:val="458FFDAE"/>
    <w:rsid w:val="45986028"/>
    <w:rsid w:val="45A3E272"/>
    <w:rsid w:val="45A7C4E7"/>
    <w:rsid w:val="45B736B2"/>
    <w:rsid w:val="45C0DE7F"/>
    <w:rsid w:val="45C398A4"/>
    <w:rsid w:val="45D1AB3E"/>
    <w:rsid w:val="45DB1AF3"/>
    <w:rsid w:val="45F40953"/>
    <w:rsid w:val="460792AE"/>
    <w:rsid w:val="46087620"/>
    <w:rsid w:val="4639116A"/>
    <w:rsid w:val="463A5B6F"/>
    <w:rsid w:val="463EA966"/>
    <w:rsid w:val="464A9E4E"/>
    <w:rsid w:val="464CFBC8"/>
    <w:rsid w:val="46521B20"/>
    <w:rsid w:val="465513B3"/>
    <w:rsid w:val="46A6A015"/>
    <w:rsid w:val="46AEF80D"/>
    <w:rsid w:val="46C31772"/>
    <w:rsid w:val="46D3BDBE"/>
    <w:rsid w:val="4718BCDA"/>
    <w:rsid w:val="472B8C2A"/>
    <w:rsid w:val="472C86A1"/>
    <w:rsid w:val="47308FDB"/>
    <w:rsid w:val="473E7D72"/>
    <w:rsid w:val="474BF314"/>
    <w:rsid w:val="4751DAF9"/>
    <w:rsid w:val="475CF645"/>
    <w:rsid w:val="475FF15D"/>
    <w:rsid w:val="4766F2DF"/>
    <w:rsid w:val="476C28EB"/>
    <w:rsid w:val="47B176D5"/>
    <w:rsid w:val="47CD7658"/>
    <w:rsid w:val="47CFD996"/>
    <w:rsid w:val="48003DB3"/>
    <w:rsid w:val="4806BE0F"/>
    <w:rsid w:val="4808C32C"/>
    <w:rsid w:val="48138370"/>
    <w:rsid w:val="4828957E"/>
    <w:rsid w:val="4864677C"/>
    <w:rsid w:val="486C7ABF"/>
    <w:rsid w:val="486EECC0"/>
    <w:rsid w:val="486F2392"/>
    <w:rsid w:val="4878E447"/>
    <w:rsid w:val="487AA254"/>
    <w:rsid w:val="487C7119"/>
    <w:rsid w:val="48801A40"/>
    <w:rsid w:val="48B7D23B"/>
    <w:rsid w:val="48CFFA8A"/>
    <w:rsid w:val="48E84BB8"/>
    <w:rsid w:val="48F5FEC7"/>
    <w:rsid w:val="49027C90"/>
    <w:rsid w:val="490AEE5D"/>
    <w:rsid w:val="4910B38D"/>
    <w:rsid w:val="4911ADEF"/>
    <w:rsid w:val="491BCEC5"/>
    <w:rsid w:val="491FA23E"/>
    <w:rsid w:val="4926852C"/>
    <w:rsid w:val="492D0E24"/>
    <w:rsid w:val="49339FC1"/>
    <w:rsid w:val="493D7413"/>
    <w:rsid w:val="495283F1"/>
    <w:rsid w:val="4965AD03"/>
    <w:rsid w:val="496624F2"/>
    <w:rsid w:val="498C00CF"/>
    <w:rsid w:val="49947458"/>
    <w:rsid w:val="49A6DFE3"/>
    <w:rsid w:val="49ACE930"/>
    <w:rsid w:val="49B7392D"/>
    <w:rsid w:val="49BE6D0E"/>
    <w:rsid w:val="49C118C0"/>
    <w:rsid w:val="49F09567"/>
    <w:rsid w:val="4A0B874F"/>
    <w:rsid w:val="4A1B45BA"/>
    <w:rsid w:val="4A5B7A3E"/>
    <w:rsid w:val="4A628AF7"/>
    <w:rsid w:val="4A639BF4"/>
    <w:rsid w:val="4A77036F"/>
    <w:rsid w:val="4A798A54"/>
    <w:rsid w:val="4A845B6E"/>
    <w:rsid w:val="4A8AD245"/>
    <w:rsid w:val="4A8C0296"/>
    <w:rsid w:val="4A91640E"/>
    <w:rsid w:val="4A9B9EF8"/>
    <w:rsid w:val="4AC0E2FC"/>
    <w:rsid w:val="4AC7C349"/>
    <w:rsid w:val="4AD5AC2D"/>
    <w:rsid w:val="4ADC91CE"/>
    <w:rsid w:val="4ADCD8D7"/>
    <w:rsid w:val="4AE5B1B0"/>
    <w:rsid w:val="4AF06075"/>
    <w:rsid w:val="4AFC31C9"/>
    <w:rsid w:val="4B0AAA9A"/>
    <w:rsid w:val="4B2ED246"/>
    <w:rsid w:val="4B3A1080"/>
    <w:rsid w:val="4B3BB8DE"/>
    <w:rsid w:val="4B3F7405"/>
    <w:rsid w:val="4B4BD8C7"/>
    <w:rsid w:val="4B525587"/>
    <w:rsid w:val="4B63783B"/>
    <w:rsid w:val="4B6ADD3F"/>
    <w:rsid w:val="4B738065"/>
    <w:rsid w:val="4B7736DA"/>
    <w:rsid w:val="4B859013"/>
    <w:rsid w:val="4B85CED5"/>
    <w:rsid w:val="4B8B47C5"/>
    <w:rsid w:val="4B8BD64F"/>
    <w:rsid w:val="4BE66A4F"/>
    <w:rsid w:val="4C1ADA4D"/>
    <w:rsid w:val="4C4053BF"/>
    <w:rsid w:val="4C4A671D"/>
    <w:rsid w:val="4C68DAE9"/>
    <w:rsid w:val="4C856AB3"/>
    <w:rsid w:val="4C947222"/>
    <w:rsid w:val="4CB43BF2"/>
    <w:rsid w:val="4CB7C23F"/>
    <w:rsid w:val="4CB95D80"/>
    <w:rsid w:val="4CCC5718"/>
    <w:rsid w:val="4CCF8E33"/>
    <w:rsid w:val="4CD36DB4"/>
    <w:rsid w:val="4CE27828"/>
    <w:rsid w:val="4CFD38F6"/>
    <w:rsid w:val="4D140036"/>
    <w:rsid w:val="4D15E414"/>
    <w:rsid w:val="4D1EA7A2"/>
    <w:rsid w:val="4D29B630"/>
    <w:rsid w:val="4D33675A"/>
    <w:rsid w:val="4D4EC6FC"/>
    <w:rsid w:val="4D549929"/>
    <w:rsid w:val="4D7517D0"/>
    <w:rsid w:val="4D97A100"/>
    <w:rsid w:val="4DB9B885"/>
    <w:rsid w:val="4DC08502"/>
    <w:rsid w:val="4DE4BEF0"/>
    <w:rsid w:val="4DE72B8A"/>
    <w:rsid w:val="4DEA028C"/>
    <w:rsid w:val="4DF11768"/>
    <w:rsid w:val="4E0093FB"/>
    <w:rsid w:val="4E0529BF"/>
    <w:rsid w:val="4E07AA27"/>
    <w:rsid w:val="4E1A23D4"/>
    <w:rsid w:val="4E2DE971"/>
    <w:rsid w:val="4E2FA291"/>
    <w:rsid w:val="4E35BDAC"/>
    <w:rsid w:val="4E4DCF16"/>
    <w:rsid w:val="4E93A498"/>
    <w:rsid w:val="4E994EEA"/>
    <w:rsid w:val="4EA1F4A9"/>
    <w:rsid w:val="4EA630F8"/>
    <w:rsid w:val="4EA9F2DD"/>
    <w:rsid w:val="4ED2B3EE"/>
    <w:rsid w:val="4ED9FD2D"/>
    <w:rsid w:val="4EDE4E82"/>
    <w:rsid w:val="4EEABDFB"/>
    <w:rsid w:val="4F101F4C"/>
    <w:rsid w:val="4F14C487"/>
    <w:rsid w:val="4F1B9484"/>
    <w:rsid w:val="4F1FA9FE"/>
    <w:rsid w:val="4F3DD595"/>
    <w:rsid w:val="4F3E82C0"/>
    <w:rsid w:val="4F40DB46"/>
    <w:rsid w:val="4F4E22F8"/>
    <w:rsid w:val="4F5DD69E"/>
    <w:rsid w:val="4F6918F2"/>
    <w:rsid w:val="4F87B62B"/>
    <w:rsid w:val="4F8B76F2"/>
    <w:rsid w:val="4F8C4BAE"/>
    <w:rsid w:val="4F9013AD"/>
    <w:rsid w:val="4F920709"/>
    <w:rsid w:val="4F92BE89"/>
    <w:rsid w:val="4F935438"/>
    <w:rsid w:val="4F9C5BC8"/>
    <w:rsid w:val="4FC13EC5"/>
    <w:rsid w:val="4FC6A086"/>
    <w:rsid w:val="4FCF0DF3"/>
    <w:rsid w:val="4FD42D75"/>
    <w:rsid w:val="4FFD050B"/>
    <w:rsid w:val="500692BF"/>
    <w:rsid w:val="502A2041"/>
    <w:rsid w:val="502E8977"/>
    <w:rsid w:val="502FD8D5"/>
    <w:rsid w:val="5048288F"/>
    <w:rsid w:val="505B8947"/>
    <w:rsid w:val="5086BF19"/>
    <w:rsid w:val="509167F1"/>
    <w:rsid w:val="50AB09E8"/>
    <w:rsid w:val="50B80C82"/>
    <w:rsid w:val="50BCDB52"/>
    <w:rsid w:val="50BD86CE"/>
    <w:rsid w:val="50CDB867"/>
    <w:rsid w:val="50D52CBE"/>
    <w:rsid w:val="50D7522C"/>
    <w:rsid w:val="50D996E8"/>
    <w:rsid w:val="50DBFE4B"/>
    <w:rsid w:val="512F01BB"/>
    <w:rsid w:val="514221B4"/>
    <w:rsid w:val="5156DA19"/>
    <w:rsid w:val="515D6D82"/>
    <w:rsid w:val="515FEA2D"/>
    <w:rsid w:val="5161D6C5"/>
    <w:rsid w:val="5163AB91"/>
    <w:rsid w:val="51668D9E"/>
    <w:rsid w:val="5171468B"/>
    <w:rsid w:val="5173B83A"/>
    <w:rsid w:val="5173C5BA"/>
    <w:rsid w:val="517E5659"/>
    <w:rsid w:val="51846394"/>
    <w:rsid w:val="51AFBF2C"/>
    <w:rsid w:val="51B25746"/>
    <w:rsid w:val="51B9983A"/>
    <w:rsid w:val="51BE83D6"/>
    <w:rsid w:val="51C164E0"/>
    <w:rsid w:val="51C7C484"/>
    <w:rsid w:val="51D1EA44"/>
    <w:rsid w:val="51D578CD"/>
    <w:rsid w:val="520A3761"/>
    <w:rsid w:val="52227091"/>
    <w:rsid w:val="5223B95F"/>
    <w:rsid w:val="5237637A"/>
    <w:rsid w:val="5251377C"/>
    <w:rsid w:val="52538667"/>
    <w:rsid w:val="525545B0"/>
    <w:rsid w:val="525AE346"/>
    <w:rsid w:val="526D9394"/>
    <w:rsid w:val="528E2705"/>
    <w:rsid w:val="52A359D4"/>
    <w:rsid w:val="52A51F13"/>
    <w:rsid w:val="52AB6416"/>
    <w:rsid w:val="52D5B665"/>
    <w:rsid w:val="52DDDCBC"/>
    <w:rsid w:val="5301247C"/>
    <w:rsid w:val="530B74B3"/>
    <w:rsid w:val="530E8D04"/>
    <w:rsid w:val="53118284"/>
    <w:rsid w:val="5313492C"/>
    <w:rsid w:val="53199634"/>
    <w:rsid w:val="5329FEA2"/>
    <w:rsid w:val="536E3681"/>
    <w:rsid w:val="537B19BB"/>
    <w:rsid w:val="5382F096"/>
    <w:rsid w:val="53883756"/>
    <w:rsid w:val="538E36D8"/>
    <w:rsid w:val="53937D63"/>
    <w:rsid w:val="53A3D3F5"/>
    <w:rsid w:val="53B58B20"/>
    <w:rsid w:val="53B732F9"/>
    <w:rsid w:val="53C0A4B0"/>
    <w:rsid w:val="53ED2E35"/>
    <w:rsid w:val="53EDAD2C"/>
    <w:rsid w:val="53F7F0F4"/>
    <w:rsid w:val="5436EEAB"/>
    <w:rsid w:val="543DA32A"/>
    <w:rsid w:val="544E8F8E"/>
    <w:rsid w:val="546917A8"/>
    <w:rsid w:val="547032B9"/>
    <w:rsid w:val="5472E763"/>
    <w:rsid w:val="547BD938"/>
    <w:rsid w:val="547E137F"/>
    <w:rsid w:val="549C0103"/>
    <w:rsid w:val="54A20D62"/>
    <w:rsid w:val="54B94CAF"/>
    <w:rsid w:val="54E5C7D1"/>
    <w:rsid w:val="54E79CFA"/>
    <w:rsid w:val="54F65F5A"/>
    <w:rsid w:val="55028E2D"/>
    <w:rsid w:val="551A0CB3"/>
    <w:rsid w:val="5521BDFF"/>
    <w:rsid w:val="5529C10D"/>
    <w:rsid w:val="552F819B"/>
    <w:rsid w:val="55428F94"/>
    <w:rsid w:val="558C70CB"/>
    <w:rsid w:val="55A3E892"/>
    <w:rsid w:val="55A67B59"/>
    <w:rsid w:val="55B8EE44"/>
    <w:rsid w:val="55BB9018"/>
    <w:rsid w:val="55C49F99"/>
    <w:rsid w:val="55D96156"/>
    <w:rsid w:val="55F4FEB8"/>
    <w:rsid w:val="55F8344D"/>
    <w:rsid w:val="55FBAF5C"/>
    <w:rsid w:val="55FDE500"/>
    <w:rsid w:val="5624B0D9"/>
    <w:rsid w:val="562EEFB3"/>
    <w:rsid w:val="563D9D80"/>
    <w:rsid w:val="566461F7"/>
    <w:rsid w:val="5667D1AF"/>
    <w:rsid w:val="56699A8B"/>
    <w:rsid w:val="5671EC41"/>
    <w:rsid w:val="56751F85"/>
    <w:rsid w:val="56771C67"/>
    <w:rsid w:val="567E7564"/>
    <w:rsid w:val="5688E961"/>
    <w:rsid w:val="56902C7E"/>
    <w:rsid w:val="5695D5B9"/>
    <w:rsid w:val="56975A60"/>
    <w:rsid w:val="56A310EF"/>
    <w:rsid w:val="56CC1458"/>
    <w:rsid w:val="56E18A99"/>
    <w:rsid w:val="56E805CC"/>
    <w:rsid w:val="56E92977"/>
    <w:rsid w:val="56F6A33D"/>
    <w:rsid w:val="56F7DB67"/>
    <w:rsid w:val="56FEE0BC"/>
    <w:rsid w:val="56FF196E"/>
    <w:rsid w:val="5709A0DF"/>
    <w:rsid w:val="571CB41B"/>
    <w:rsid w:val="5721AC37"/>
    <w:rsid w:val="572CD70C"/>
    <w:rsid w:val="5731BA54"/>
    <w:rsid w:val="57392E7E"/>
    <w:rsid w:val="574CC57E"/>
    <w:rsid w:val="5761294A"/>
    <w:rsid w:val="57934663"/>
    <w:rsid w:val="57A41670"/>
    <w:rsid w:val="57C8779D"/>
    <w:rsid w:val="57D49B6C"/>
    <w:rsid w:val="57DA9D8E"/>
    <w:rsid w:val="57DC8362"/>
    <w:rsid w:val="57F06146"/>
    <w:rsid w:val="5803979F"/>
    <w:rsid w:val="5803EAA9"/>
    <w:rsid w:val="580E9796"/>
    <w:rsid w:val="5811D1E8"/>
    <w:rsid w:val="5811DA27"/>
    <w:rsid w:val="583B82B8"/>
    <w:rsid w:val="58490E0A"/>
    <w:rsid w:val="58553CBD"/>
    <w:rsid w:val="58575C67"/>
    <w:rsid w:val="5876B5BF"/>
    <w:rsid w:val="58918103"/>
    <w:rsid w:val="589505A4"/>
    <w:rsid w:val="589BBE89"/>
    <w:rsid w:val="58AA02B1"/>
    <w:rsid w:val="58BA9944"/>
    <w:rsid w:val="58F3A04C"/>
    <w:rsid w:val="5909F808"/>
    <w:rsid w:val="590ACB6F"/>
    <w:rsid w:val="5938670D"/>
    <w:rsid w:val="593DE199"/>
    <w:rsid w:val="594B0832"/>
    <w:rsid w:val="594EBC14"/>
    <w:rsid w:val="5951B961"/>
    <w:rsid w:val="5959B0E8"/>
    <w:rsid w:val="5962BE64"/>
    <w:rsid w:val="596EB237"/>
    <w:rsid w:val="5971B4F6"/>
    <w:rsid w:val="597BAD06"/>
    <w:rsid w:val="59AC22FC"/>
    <w:rsid w:val="59BDA6FC"/>
    <w:rsid w:val="59C531AC"/>
    <w:rsid w:val="59CC0EEA"/>
    <w:rsid w:val="59CF8934"/>
    <w:rsid w:val="59D3C84F"/>
    <w:rsid w:val="59DA4FF4"/>
    <w:rsid w:val="59DE7878"/>
    <w:rsid w:val="59EA43B1"/>
    <w:rsid w:val="5A1166D5"/>
    <w:rsid w:val="5A22C87D"/>
    <w:rsid w:val="5A2AA578"/>
    <w:rsid w:val="5A30A098"/>
    <w:rsid w:val="5A340325"/>
    <w:rsid w:val="5A4CB62E"/>
    <w:rsid w:val="5A55AA3C"/>
    <w:rsid w:val="5A586174"/>
    <w:rsid w:val="5A5F4E96"/>
    <w:rsid w:val="5A6B0C37"/>
    <w:rsid w:val="5A6D98A2"/>
    <w:rsid w:val="5A813F68"/>
    <w:rsid w:val="5A8C81A0"/>
    <w:rsid w:val="5AAC9265"/>
    <w:rsid w:val="5AB050D5"/>
    <w:rsid w:val="5AC774D1"/>
    <w:rsid w:val="5AC8A259"/>
    <w:rsid w:val="5AD159FC"/>
    <w:rsid w:val="5AD8DF88"/>
    <w:rsid w:val="5ADBE2DF"/>
    <w:rsid w:val="5AEDA702"/>
    <w:rsid w:val="5AEE60FA"/>
    <w:rsid w:val="5AF2544E"/>
    <w:rsid w:val="5AFC96A0"/>
    <w:rsid w:val="5B0AEB06"/>
    <w:rsid w:val="5B1C6597"/>
    <w:rsid w:val="5B237CDB"/>
    <w:rsid w:val="5B401AF8"/>
    <w:rsid w:val="5B45488D"/>
    <w:rsid w:val="5B52BBFB"/>
    <w:rsid w:val="5B67FCD9"/>
    <w:rsid w:val="5B68724A"/>
    <w:rsid w:val="5B74DAF9"/>
    <w:rsid w:val="5B806F73"/>
    <w:rsid w:val="5B842E3F"/>
    <w:rsid w:val="5B93658E"/>
    <w:rsid w:val="5B9A4451"/>
    <w:rsid w:val="5BA2C09E"/>
    <w:rsid w:val="5BBE43F9"/>
    <w:rsid w:val="5BC37608"/>
    <w:rsid w:val="5BD1F63E"/>
    <w:rsid w:val="5BE3E6C4"/>
    <w:rsid w:val="5BE6C284"/>
    <w:rsid w:val="5BED4213"/>
    <w:rsid w:val="5BFD586D"/>
    <w:rsid w:val="5C029F57"/>
    <w:rsid w:val="5C1F17FE"/>
    <w:rsid w:val="5C22F3CA"/>
    <w:rsid w:val="5C3300B8"/>
    <w:rsid w:val="5C3A75F5"/>
    <w:rsid w:val="5C60B3BF"/>
    <w:rsid w:val="5C89366F"/>
    <w:rsid w:val="5C8C05E0"/>
    <w:rsid w:val="5C95C395"/>
    <w:rsid w:val="5C97640F"/>
    <w:rsid w:val="5CB36A52"/>
    <w:rsid w:val="5CB7782D"/>
    <w:rsid w:val="5CBBB940"/>
    <w:rsid w:val="5CC0FD2D"/>
    <w:rsid w:val="5CC68478"/>
    <w:rsid w:val="5CC7E2A5"/>
    <w:rsid w:val="5CCA6D63"/>
    <w:rsid w:val="5CD0282F"/>
    <w:rsid w:val="5CDDA980"/>
    <w:rsid w:val="5CE8C10A"/>
    <w:rsid w:val="5CF0A7BB"/>
    <w:rsid w:val="5CF7A4CB"/>
    <w:rsid w:val="5CF87CF4"/>
    <w:rsid w:val="5CFA60EB"/>
    <w:rsid w:val="5CFC088D"/>
    <w:rsid w:val="5D019A0C"/>
    <w:rsid w:val="5D056913"/>
    <w:rsid w:val="5D058397"/>
    <w:rsid w:val="5D1B293C"/>
    <w:rsid w:val="5D2354BE"/>
    <w:rsid w:val="5D364507"/>
    <w:rsid w:val="5D53F7EE"/>
    <w:rsid w:val="5D5650BD"/>
    <w:rsid w:val="5D6AB8DB"/>
    <w:rsid w:val="5D74CC8B"/>
    <w:rsid w:val="5D8AFDF0"/>
    <w:rsid w:val="5D92A29F"/>
    <w:rsid w:val="5DF8BE32"/>
    <w:rsid w:val="5DF9529A"/>
    <w:rsid w:val="5E1603A4"/>
    <w:rsid w:val="5E1B90E3"/>
    <w:rsid w:val="5E2616C4"/>
    <w:rsid w:val="5E2BDFDA"/>
    <w:rsid w:val="5E3EC89C"/>
    <w:rsid w:val="5E44E947"/>
    <w:rsid w:val="5E508554"/>
    <w:rsid w:val="5E653C42"/>
    <w:rsid w:val="5E69746D"/>
    <w:rsid w:val="5E7A4176"/>
    <w:rsid w:val="5E90737A"/>
    <w:rsid w:val="5EA5FCF1"/>
    <w:rsid w:val="5EAC8803"/>
    <w:rsid w:val="5ECB6C39"/>
    <w:rsid w:val="5ED32097"/>
    <w:rsid w:val="5EE987AD"/>
    <w:rsid w:val="5EEC4584"/>
    <w:rsid w:val="5EFB1887"/>
    <w:rsid w:val="5F07B0C1"/>
    <w:rsid w:val="5F123761"/>
    <w:rsid w:val="5F1A4218"/>
    <w:rsid w:val="5F3BD2B3"/>
    <w:rsid w:val="5F3C1D17"/>
    <w:rsid w:val="5F4054CC"/>
    <w:rsid w:val="5F421DE0"/>
    <w:rsid w:val="5F4ACA84"/>
    <w:rsid w:val="5F5C988F"/>
    <w:rsid w:val="5F62CDE3"/>
    <w:rsid w:val="5F725498"/>
    <w:rsid w:val="5F81D4E7"/>
    <w:rsid w:val="5F8509DC"/>
    <w:rsid w:val="5FAF0257"/>
    <w:rsid w:val="5FB55EEC"/>
    <w:rsid w:val="5FDF4592"/>
    <w:rsid w:val="5FE53BEF"/>
    <w:rsid w:val="600030CF"/>
    <w:rsid w:val="600BC0DF"/>
    <w:rsid w:val="601AF081"/>
    <w:rsid w:val="601CFCEE"/>
    <w:rsid w:val="60593BBC"/>
    <w:rsid w:val="60644B5C"/>
    <w:rsid w:val="608C701F"/>
    <w:rsid w:val="609C1F0E"/>
    <w:rsid w:val="60A22B4B"/>
    <w:rsid w:val="60BD137F"/>
    <w:rsid w:val="60CF0A26"/>
    <w:rsid w:val="60D88076"/>
    <w:rsid w:val="60D9E0FD"/>
    <w:rsid w:val="60E129CB"/>
    <w:rsid w:val="60F8EE20"/>
    <w:rsid w:val="60FB6395"/>
    <w:rsid w:val="60FF05DE"/>
    <w:rsid w:val="610F2706"/>
    <w:rsid w:val="611139E7"/>
    <w:rsid w:val="6125EB32"/>
    <w:rsid w:val="61358E43"/>
    <w:rsid w:val="61381288"/>
    <w:rsid w:val="615483A2"/>
    <w:rsid w:val="6162DE65"/>
    <w:rsid w:val="617BD740"/>
    <w:rsid w:val="61B6DB49"/>
    <w:rsid w:val="61B7206E"/>
    <w:rsid w:val="61C16433"/>
    <w:rsid w:val="61C4C01A"/>
    <w:rsid w:val="61C7A7B4"/>
    <w:rsid w:val="61CCFAEE"/>
    <w:rsid w:val="61D716BF"/>
    <w:rsid w:val="61DBFF63"/>
    <w:rsid w:val="61F3CC79"/>
    <w:rsid w:val="61F3E2CD"/>
    <w:rsid w:val="62012DE6"/>
    <w:rsid w:val="620F5036"/>
    <w:rsid w:val="62134C57"/>
    <w:rsid w:val="6232E405"/>
    <w:rsid w:val="624E9050"/>
    <w:rsid w:val="6260B05B"/>
    <w:rsid w:val="6268060C"/>
    <w:rsid w:val="6270C075"/>
    <w:rsid w:val="62788E01"/>
    <w:rsid w:val="6278ABB7"/>
    <w:rsid w:val="62807DED"/>
    <w:rsid w:val="6289E7A0"/>
    <w:rsid w:val="6298BBC5"/>
    <w:rsid w:val="62A4918B"/>
    <w:rsid w:val="62BCB9C0"/>
    <w:rsid w:val="62C05F5E"/>
    <w:rsid w:val="62C96B0D"/>
    <w:rsid w:val="62CA5070"/>
    <w:rsid w:val="630A9B96"/>
    <w:rsid w:val="631D1759"/>
    <w:rsid w:val="63445EBA"/>
    <w:rsid w:val="635DDD7D"/>
    <w:rsid w:val="636E7C85"/>
    <w:rsid w:val="6384FDA8"/>
    <w:rsid w:val="638B38C3"/>
    <w:rsid w:val="638DE495"/>
    <w:rsid w:val="638E98BF"/>
    <w:rsid w:val="63AAF0F0"/>
    <w:rsid w:val="63AC4BFA"/>
    <w:rsid w:val="63BBFC26"/>
    <w:rsid w:val="63CAB1CD"/>
    <w:rsid w:val="63E5B043"/>
    <w:rsid w:val="640033DD"/>
    <w:rsid w:val="64061CC5"/>
    <w:rsid w:val="641FEE7F"/>
    <w:rsid w:val="642A7E27"/>
    <w:rsid w:val="6438EB98"/>
    <w:rsid w:val="64425680"/>
    <w:rsid w:val="6448F237"/>
    <w:rsid w:val="645F4A1F"/>
    <w:rsid w:val="6469CA19"/>
    <w:rsid w:val="64871104"/>
    <w:rsid w:val="64877A09"/>
    <w:rsid w:val="648DDFF2"/>
    <w:rsid w:val="6497F5EE"/>
    <w:rsid w:val="64B022A6"/>
    <w:rsid w:val="64BFA19C"/>
    <w:rsid w:val="64FBFF38"/>
    <w:rsid w:val="64FC6032"/>
    <w:rsid w:val="64FCFD5F"/>
    <w:rsid w:val="65095ECD"/>
    <w:rsid w:val="650EB9C3"/>
    <w:rsid w:val="650FC244"/>
    <w:rsid w:val="65158723"/>
    <w:rsid w:val="6518DF12"/>
    <w:rsid w:val="651AE9AA"/>
    <w:rsid w:val="651EECE6"/>
    <w:rsid w:val="65290D79"/>
    <w:rsid w:val="652C2AE9"/>
    <w:rsid w:val="655310C2"/>
    <w:rsid w:val="655EBB1A"/>
    <w:rsid w:val="6560081D"/>
    <w:rsid w:val="65615914"/>
    <w:rsid w:val="656CFB50"/>
    <w:rsid w:val="6591F068"/>
    <w:rsid w:val="65B48F52"/>
    <w:rsid w:val="66076415"/>
    <w:rsid w:val="660C16DA"/>
    <w:rsid w:val="661247DF"/>
    <w:rsid w:val="661BCA4E"/>
    <w:rsid w:val="662CD3BA"/>
    <w:rsid w:val="663D5C0B"/>
    <w:rsid w:val="664199C1"/>
    <w:rsid w:val="66439331"/>
    <w:rsid w:val="66549766"/>
    <w:rsid w:val="665CA8A9"/>
    <w:rsid w:val="6662F820"/>
    <w:rsid w:val="667294D3"/>
    <w:rsid w:val="667324E6"/>
    <w:rsid w:val="6676E7B5"/>
    <w:rsid w:val="66814258"/>
    <w:rsid w:val="668818C7"/>
    <w:rsid w:val="668D6BF9"/>
    <w:rsid w:val="668FA160"/>
    <w:rsid w:val="66B474E6"/>
    <w:rsid w:val="66DD5EBA"/>
    <w:rsid w:val="66E0AF47"/>
    <w:rsid w:val="66E89263"/>
    <w:rsid w:val="66EF7FBB"/>
    <w:rsid w:val="66FAA58C"/>
    <w:rsid w:val="670E05C8"/>
    <w:rsid w:val="67692CEA"/>
    <w:rsid w:val="676CD37F"/>
    <w:rsid w:val="67A4DCF3"/>
    <w:rsid w:val="67BBC5C1"/>
    <w:rsid w:val="67C6870F"/>
    <w:rsid w:val="67D9F8F1"/>
    <w:rsid w:val="67DEF8C3"/>
    <w:rsid w:val="67DF2235"/>
    <w:rsid w:val="67E76A8C"/>
    <w:rsid w:val="67E7E4E3"/>
    <w:rsid w:val="6800A3D6"/>
    <w:rsid w:val="680E63B3"/>
    <w:rsid w:val="680EE228"/>
    <w:rsid w:val="68388E10"/>
    <w:rsid w:val="683B5926"/>
    <w:rsid w:val="68539193"/>
    <w:rsid w:val="6876C544"/>
    <w:rsid w:val="687FCD2F"/>
    <w:rsid w:val="6897F06D"/>
    <w:rsid w:val="68B0AF73"/>
    <w:rsid w:val="68BCF19A"/>
    <w:rsid w:val="68D1EDE8"/>
    <w:rsid w:val="68E4F5CA"/>
    <w:rsid w:val="68E825A7"/>
    <w:rsid w:val="6904AC0C"/>
    <w:rsid w:val="6918A2DD"/>
    <w:rsid w:val="692910B6"/>
    <w:rsid w:val="692BC918"/>
    <w:rsid w:val="692D327B"/>
    <w:rsid w:val="693EDB7C"/>
    <w:rsid w:val="69532E26"/>
    <w:rsid w:val="69654A42"/>
    <w:rsid w:val="699A4488"/>
    <w:rsid w:val="699B93E1"/>
    <w:rsid w:val="69B2EF1C"/>
    <w:rsid w:val="69B58D33"/>
    <w:rsid w:val="69BA5B4A"/>
    <w:rsid w:val="69BDBB42"/>
    <w:rsid w:val="69D777E8"/>
    <w:rsid w:val="69E3F187"/>
    <w:rsid w:val="69EF4384"/>
    <w:rsid w:val="69F3AC34"/>
    <w:rsid w:val="6A0B54F8"/>
    <w:rsid w:val="6A200439"/>
    <w:rsid w:val="6A2E0F1D"/>
    <w:rsid w:val="6A3FBE80"/>
    <w:rsid w:val="6A48B6C8"/>
    <w:rsid w:val="6A622C09"/>
    <w:rsid w:val="6A669BE6"/>
    <w:rsid w:val="6A6F2054"/>
    <w:rsid w:val="6A6F9F42"/>
    <w:rsid w:val="6A80DDAC"/>
    <w:rsid w:val="6A8C901D"/>
    <w:rsid w:val="6A8D40DD"/>
    <w:rsid w:val="6A8DA94A"/>
    <w:rsid w:val="6A8DCCAB"/>
    <w:rsid w:val="6A8F790A"/>
    <w:rsid w:val="6AA44C9C"/>
    <w:rsid w:val="6AA57D5E"/>
    <w:rsid w:val="6ABF34FA"/>
    <w:rsid w:val="6ADB521F"/>
    <w:rsid w:val="6ADE1717"/>
    <w:rsid w:val="6AF0A27F"/>
    <w:rsid w:val="6AFE0EC1"/>
    <w:rsid w:val="6B0C6C0B"/>
    <w:rsid w:val="6B12923E"/>
    <w:rsid w:val="6B174276"/>
    <w:rsid w:val="6B2A8B82"/>
    <w:rsid w:val="6B50C5B5"/>
    <w:rsid w:val="6B5A561D"/>
    <w:rsid w:val="6B68A445"/>
    <w:rsid w:val="6B762D0D"/>
    <w:rsid w:val="6B9D0770"/>
    <w:rsid w:val="6BCA00E3"/>
    <w:rsid w:val="6BD43BD8"/>
    <w:rsid w:val="6BDFF22C"/>
    <w:rsid w:val="6BE13298"/>
    <w:rsid w:val="6BE48729"/>
    <w:rsid w:val="6C2B6755"/>
    <w:rsid w:val="6C392E36"/>
    <w:rsid w:val="6C665E80"/>
    <w:rsid w:val="6C6A1EE9"/>
    <w:rsid w:val="6C74805B"/>
    <w:rsid w:val="6C7ADD08"/>
    <w:rsid w:val="6C951F40"/>
    <w:rsid w:val="6CA1D4A5"/>
    <w:rsid w:val="6CB5C121"/>
    <w:rsid w:val="6CB78795"/>
    <w:rsid w:val="6CCBA1D1"/>
    <w:rsid w:val="6CCE7BAD"/>
    <w:rsid w:val="6CE54A8B"/>
    <w:rsid w:val="6CF50432"/>
    <w:rsid w:val="6CF85AE0"/>
    <w:rsid w:val="6D09FF04"/>
    <w:rsid w:val="6D0F3021"/>
    <w:rsid w:val="6D1D23B7"/>
    <w:rsid w:val="6D307609"/>
    <w:rsid w:val="6D62F559"/>
    <w:rsid w:val="6D6EDFF6"/>
    <w:rsid w:val="6D7756E4"/>
    <w:rsid w:val="6D966BBE"/>
    <w:rsid w:val="6D9819FC"/>
    <w:rsid w:val="6D9E29FE"/>
    <w:rsid w:val="6DA36CFD"/>
    <w:rsid w:val="6DB6AD44"/>
    <w:rsid w:val="6DC91A61"/>
    <w:rsid w:val="6DC9CED5"/>
    <w:rsid w:val="6DD2CBC0"/>
    <w:rsid w:val="6DFE46B0"/>
    <w:rsid w:val="6E05EF4A"/>
    <w:rsid w:val="6E080ECF"/>
    <w:rsid w:val="6E424DBD"/>
    <w:rsid w:val="6E539755"/>
    <w:rsid w:val="6E622D08"/>
    <w:rsid w:val="6E6840DA"/>
    <w:rsid w:val="6EA94426"/>
    <w:rsid w:val="6EAA8B04"/>
    <w:rsid w:val="6EB56D0E"/>
    <w:rsid w:val="6EC3C7B4"/>
    <w:rsid w:val="6F0F3BB2"/>
    <w:rsid w:val="6F13E787"/>
    <w:rsid w:val="6F1F07F2"/>
    <w:rsid w:val="6F201C98"/>
    <w:rsid w:val="6F285804"/>
    <w:rsid w:val="6F3A4B32"/>
    <w:rsid w:val="6F4E9274"/>
    <w:rsid w:val="6F600ABC"/>
    <w:rsid w:val="6F6AED56"/>
    <w:rsid w:val="6F7A2490"/>
    <w:rsid w:val="6FD35786"/>
    <w:rsid w:val="6FDB3985"/>
    <w:rsid w:val="6FE1D3F2"/>
    <w:rsid w:val="6FF7D9EB"/>
    <w:rsid w:val="6FF91C1D"/>
    <w:rsid w:val="7002AAFC"/>
    <w:rsid w:val="700926E4"/>
    <w:rsid w:val="700D1EB2"/>
    <w:rsid w:val="701F5821"/>
    <w:rsid w:val="70265E1B"/>
    <w:rsid w:val="7038D9E4"/>
    <w:rsid w:val="70433C66"/>
    <w:rsid w:val="7045B7FB"/>
    <w:rsid w:val="704F5FC9"/>
    <w:rsid w:val="706AC06B"/>
    <w:rsid w:val="706FC38C"/>
    <w:rsid w:val="7071DB13"/>
    <w:rsid w:val="70772B1E"/>
    <w:rsid w:val="708C9EF1"/>
    <w:rsid w:val="70B0061B"/>
    <w:rsid w:val="70B38C09"/>
    <w:rsid w:val="70BE1409"/>
    <w:rsid w:val="70BF40E0"/>
    <w:rsid w:val="70C1FD1A"/>
    <w:rsid w:val="70CED2AD"/>
    <w:rsid w:val="70D0165B"/>
    <w:rsid w:val="70D6F679"/>
    <w:rsid w:val="70EEDA93"/>
    <w:rsid w:val="70F75B69"/>
    <w:rsid w:val="7106A77C"/>
    <w:rsid w:val="71271051"/>
    <w:rsid w:val="714CC81C"/>
    <w:rsid w:val="71900CF7"/>
    <w:rsid w:val="71942FF4"/>
    <w:rsid w:val="7195CAFF"/>
    <w:rsid w:val="71A0F420"/>
    <w:rsid w:val="71A385E3"/>
    <w:rsid w:val="71BDAB86"/>
    <w:rsid w:val="71C3AE46"/>
    <w:rsid w:val="71C7B8E6"/>
    <w:rsid w:val="71C876EA"/>
    <w:rsid w:val="71D57DFE"/>
    <w:rsid w:val="71DD9D9C"/>
    <w:rsid w:val="71F692CE"/>
    <w:rsid w:val="72224989"/>
    <w:rsid w:val="7225C3DD"/>
    <w:rsid w:val="72469B6F"/>
    <w:rsid w:val="72482721"/>
    <w:rsid w:val="724ED540"/>
    <w:rsid w:val="7268C968"/>
    <w:rsid w:val="72950246"/>
    <w:rsid w:val="72AF3B7D"/>
    <w:rsid w:val="72C1163C"/>
    <w:rsid w:val="72E4D0E3"/>
    <w:rsid w:val="72F52F4B"/>
    <w:rsid w:val="730851C4"/>
    <w:rsid w:val="73091373"/>
    <w:rsid w:val="73233B10"/>
    <w:rsid w:val="732D3817"/>
    <w:rsid w:val="733568C0"/>
    <w:rsid w:val="7335C826"/>
    <w:rsid w:val="734E3B39"/>
    <w:rsid w:val="7362F2CE"/>
    <w:rsid w:val="737B64ED"/>
    <w:rsid w:val="738FD2DA"/>
    <w:rsid w:val="73A22906"/>
    <w:rsid w:val="73A4640F"/>
    <w:rsid w:val="73AE63F5"/>
    <w:rsid w:val="73B3BB5F"/>
    <w:rsid w:val="73BA3604"/>
    <w:rsid w:val="73E4BCE0"/>
    <w:rsid w:val="73F7FBC4"/>
    <w:rsid w:val="73FD0AF2"/>
    <w:rsid w:val="7400C79E"/>
    <w:rsid w:val="7403FDA5"/>
    <w:rsid w:val="7412B4E4"/>
    <w:rsid w:val="74239908"/>
    <w:rsid w:val="742EC749"/>
    <w:rsid w:val="74337EDE"/>
    <w:rsid w:val="7443FFF7"/>
    <w:rsid w:val="7459C829"/>
    <w:rsid w:val="7468A6CE"/>
    <w:rsid w:val="746D31D0"/>
    <w:rsid w:val="746E55B3"/>
    <w:rsid w:val="748FCA28"/>
    <w:rsid w:val="74937758"/>
    <w:rsid w:val="749EA0B6"/>
    <w:rsid w:val="74B5FB0E"/>
    <w:rsid w:val="74D6E29B"/>
    <w:rsid w:val="74E125CE"/>
    <w:rsid w:val="74E92A35"/>
    <w:rsid w:val="74ECB14B"/>
    <w:rsid w:val="7501630E"/>
    <w:rsid w:val="75039579"/>
    <w:rsid w:val="75045DCA"/>
    <w:rsid w:val="75132707"/>
    <w:rsid w:val="753593D9"/>
    <w:rsid w:val="75411CFB"/>
    <w:rsid w:val="7545AE48"/>
    <w:rsid w:val="75899D07"/>
    <w:rsid w:val="758BB227"/>
    <w:rsid w:val="758D5663"/>
    <w:rsid w:val="75BEC685"/>
    <w:rsid w:val="75CA4399"/>
    <w:rsid w:val="75F9DB17"/>
    <w:rsid w:val="760A097E"/>
    <w:rsid w:val="7613864B"/>
    <w:rsid w:val="76220FC7"/>
    <w:rsid w:val="763418ED"/>
    <w:rsid w:val="76562233"/>
    <w:rsid w:val="765E7F7D"/>
    <w:rsid w:val="766349DF"/>
    <w:rsid w:val="767E6231"/>
    <w:rsid w:val="767F1409"/>
    <w:rsid w:val="76996DD1"/>
    <w:rsid w:val="769A0319"/>
    <w:rsid w:val="76B8CD40"/>
    <w:rsid w:val="76BFDA8C"/>
    <w:rsid w:val="76C91D6C"/>
    <w:rsid w:val="76D39E35"/>
    <w:rsid w:val="76DA1335"/>
    <w:rsid w:val="76F1E8A0"/>
    <w:rsid w:val="7708F432"/>
    <w:rsid w:val="770F1FCF"/>
    <w:rsid w:val="771C5505"/>
    <w:rsid w:val="7741C9C2"/>
    <w:rsid w:val="774F4957"/>
    <w:rsid w:val="77557AE7"/>
    <w:rsid w:val="77810DE9"/>
    <w:rsid w:val="77B527F2"/>
    <w:rsid w:val="77B72851"/>
    <w:rsid w:val="77BA0677"/>
    <w:rsid w:val="77C44E46"/>
    <w:rsid w:val="77CE73F9"/>
    <w:rsid w:val="77E8554A"/>
    <w:rsid w:val="77F3D12A"/>
    <w:rsid w:val="7804A826"/>
    <w:rsid w:val="7808A61C"/>
    <w:rsid w:val="7817C199"/>
    <w:rsid w:val="781B5C83"/>
    <w:rsid w:val="7836126E"/>
    <w:rsid w:val="783A2DFE"/>
    <w:rsid w:val="7848E18B"/>
    <w:rsid w:val="787D3BE2"/>
    <w:rsid w:val="787EA6A3"/>
    <w:rsid w:val="788378AC"/>
    <w:rsid w:val="7885D18F"/>
    <w:rsid w:val="78888DB1"/>
    <w:rsid w:val="788D5D2A"/>
    <w:rsid w:val="78A9C1A1"/>
    <w:rsid w:val="78D0117F"/>
    <w:rsid w:val="78DA4A8E"/>
    <w:rsid w:val="78DBC12E"/>
    <w:rsid w:val="78E532E6"/>
    <w:rsid w:val="78EB7EA2"/>
    <w:rsid w:val="78F0EFDF"/>
    <w:rsid w:val="78F16813"/>
    <w:rsid w:val="791B28E2"/>
    <w:rsid w:val="791C613B"/>
    <w:rsid w:val="792A885D"/>
    <w:rsid w:val="792FA858"/>
    <w:rsid w:val="796641E4"/>
    <w:rsid w:val="7975A4C5"/>
    <w:rsid w:val="79A2BC1D"/>
    <w:rsid w:val="79AAFD4C"/>
    <w:rsid w:val="79ACDDDD"/>
    <w:rsid w:val="79B2E35C"/>
    <w:rsid w:val="79B88AC6"/>
    <w:rsid w:val="79C46CFE"/>
    <w:rsid w:val="79EAFA1F"/>
    <w:rsid w:val="79F2440D"/>
    <w:rsid w:val="79FA1E8F"/>
    <w:rsid w:val="7A09F824"/>
    <w:rsid w:val="7A1461F9"/>
    <w:rsid w:val="7A3B3F91"/>
    <w:rsid w:val="7A4886F2"/>
    <w:rsid w:val="7A66ACF6"/>
    <w:rsid w:val="7A69B12A"/>
    <w:rsid w:val="7AA6371F"/>
    <w:rsid w:val="7AB06CE8"/>
    <w:rsid w:val="7ABE559E"/>
    <w:rsid w:val="7AC34B1F"/>
    <w:rsid w:val="7AE532F8"/>
    <w:rsid w:val="7AF0AB86"/>
    <w:rsid w:val="7AFF71ED"/>
    <w:rsid w:val="7B089ADD"/>
    <w:rsid w:val="7B10D818"/>
    <w:rsid w:val="7B1DC475"/>
    <w:rsid w:val="7B20CCFA"/>
    <w:rsid w:val="7B28A933"/>
    <w:rsid w:val="7B2BE97B"/>
    <w:rsid w:val="7B412826"/>
    <w:rsid w:val="7B4F3A69"/>
    <w:rsid w:val="7B53169A"/>
    <w:rsid w:val="7B731748"/>
    <w:rsid w:val="7B7B4242"/>
    <w:rsid w:val="7B8631CE"/>
    <w:rsid w:val="7BA3F161"/>
    <w:rsid w:val="7BADE697"/>
    <w:rsid w:val="7BB22123"/>
    <w:rsid w:val="7BB6CEA2"/>
    <w:rsid w:val="7BC700B4"/>
    <w:rsid w:val="7BCE8D5E"/>
    <w:rsid w:val="7BD35ACC"/>
    <w:rsid w:val="7BDCC266"/>
    <w:rsid w:val="7BE1DC80"/>
    <w:rsid w:val="7BED3496"/>
    <w:rsid w:val="7C2EE753"/>
    <w:rsid w:val="7C59E292"/>
    <w:rsid w:val="7C69A3FC"/>
    <w:rsid w:val="7C7BF2AE"/>
    <w:rsid w:val="7C886B23"/>
    <w:rsid w:val="7C98C729"/>
    <w:rsid w:val="7CA0E1E9"/>
    <w:rsid w:val="7CC2727D"/>
    <w:rsid w:val="7CDD2DEE"/>
    <w:rsid w:val="7CE04E0A"/>
    <w:rsid w:val="7CE26EE0"/>
    <w:rsid w:val="7D045E4B"/>
    <w:rsid w:val="7D13495A"/>
    <w:rsid w:val="7D3676ED"/>
    <w:rsid w:val="7D401577"/>
    <w:rsid w:val="7D4CBABE"/>
    <w:rsid w:val="7D542022"/>
    <w:rsid w:val="7D5F2291"/>
    <w:rsid w:val="7D5F7F64"/>
    <w:rsid w:val="7D6F8BD1"/>
    <w:rsid w:val="7D7473F2"/>
    <w:rsid w:val="7DB7C2B6"/>
    <w:rsid w:val="7DE61AC2"/>
    <w:rsid w:val="7DEEA5D9"/>
    <w:rsid w:val="7E0B7660"/>
    <w:rsid w:val="7E2B26F8"/>
    <w:rsid w:val="7E2D8B36"/>
    <w:rsid w:val="7E5F55A8"/>
    <w:rsid w:val="7E807368"/>
    <w:rsid w:val="7E89BE03"/>
    <w:rsid w:val="7EA5E433"/>
    <w:rsid w:val="7EBCC745"/>
    <w:rsid w:val="7ED83AF6"/>
    <w:rsid w:val="7EE3F003"/>
    <w:rsid w:val="7F17327D"/>
    <w:rsid w:val="7F21F59D"/>
    <w:rsid w:val="7F273E59"/>
    <w:rsid w:val="7F37EA6A"/>
    <w:rsid w:val="7F3B0045"/>
    <w:rsid w:val="7F4F34A2"/>
    <w:rsid w:val="7F61D3DB"/>
    <w:rsid w:val="7F71C64D"/>
    <w:rsid w:val="7F7F0B04"/>
    <w:rsid w:val="7F929A27"/>
    <w:rsid w:val="7F988E78"/>
    <w:rsid w:val="7FA6AA74"/>
    <w:rsid w:val="7FAD7531"/>
    <w:rsid w:val="7FFB78F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line;v-text-anchor:middle" fillcolor="none [3215]" strokecolor="none [2415]">
      <v:fill color="none [3215]"/>
      <v:stroke color="none [2415]" weight="5pt"/>
      <v:textbox inset=",2.5mm,,2.5mm"/>
    </o:shapedefaults>
    <o:shapelayout v:ext="edit">
      <o:idmap v:ext="edit" data="2"/>
    </o:shapelayout>
  </w:shapeDefaults>
  <w:decimalSymbol w:val="."/>
  <w:listSeparator w:val=","/>
  <w14:docId w14:val="519E4DD2"/>
  <w14:defaultImageDpi w14:val="32767"/>
  <w15:docId w15:val="{591214A1-AC80-4B0E-BFBE-3EBE8D553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0"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39"/>
    <w:lsdException w:name="toc 6" w:semiHidden="1" w:uiPriority="39" w:unhideWhenUsed="1"/>
    <w:lsdException w:name="toc 7" w:semiHidden="1" w:uiPriority="39"/>
    <w:lsdException w:name="toc 8" w:semiHidden="1" w:uiPriority="39"/>
    <w:lsdException w:name="toc 9" w:semiHidden="1" w:uiPriority="39"/>
    <w:lsdException w:name="Normal Indent" w:semiHidden="1" w:uiPriority="29"/>
    <w:lsdException w:name="footnote text" w:semiHidden="1" w:uiPriority="9" w:unhideWhenUsed="1" w:qFormat="1"/>
    <w:lsdException w:name="annotation text" w:semiHidden="1" w:uiPriority="29"/>
    <w:lsdException w:name="header" w:semiHidden="1" w:uiPriority="29" w:unhideWhenUsed="1"/>
    <w:lsdException w:name="footer" w:semiHidden="1" w:uiPriority="99" w:unhideWhenUsed="1" w:qFormat="1"/>
    <w:lsdException w:name="index heading" w:semiHidden="1" w:uiPriority="29"/>
    <w:lsdException w:name="caption" w:semiHidden="1" w:uiPriority="19"/>
    <w:lsdException w:name="table of figures" w:semiHidden="1" w:uiPriority="99" w:unhideWhenUsed="1"/>
    <w:lsdException w:name="envelope address" w:semiHidden="1" w:uiPriority="50"/>
    <w:lsdException w:name="envelope return" w:semiHidden="1" w:uiPriority="50"/>
    <w:lsdException w:name="footnote reference" w:semiHidden="1" w:uiPriority="0" w:unhideWhenUsed="1"/>
    <w:lsdException w:name="annotation reference" w:semiHidden="1" w:uiPriority="29"/>
    <w:lsdException w:name="line number" w:semiHidden="1" w:uiPriority="29"/>
    <w:lsdException w:name="page number" w:semiHidden="1" w:uiPriority="49"/>
    <w:lsdException w:name="endnote reference" w:semiHidden="1" w:uiPriority="50"/>
    <w:lsdException w:name="endnote text" w:semiHidden="1" w:uiPriority="50"/>
    <w:lsdException w:name="table of authorities" w:semiHidden="1" w:unhideWhenUsed="1"/>
    <w:lsdException w:name="macro" w:semiHidden="1" w:uiPriority="29"/>
    <w:lsdException w:name="toa heading" w:semiHidden="1" w:uiPriority="20"/>
    <w:lsdException w:name="List" w:semiHidden="1" w:uiPriority="4" w:unhideWhenUsed="1" w:qFormat="1"/>
    <w:lsdException w:name="List Bullet" w:semiHidden="1" w:uiPriority="3" w:unhideWhenUsed="1" w:qFormat="1"/>
    <w:lsdException w:name="List Number" w:uiPriority="3" w:qFormat="1"/>
    <w:lsdException w:name="List 2" w:semiHidden="1" w:uiPriority="4" w:unhideWhenUsed="1"/>
    <w:lsdException w:name="List 3" w:semiHidden="1" w:uiPriority="4" w:unhideWhenUsed="1"/>
    <w:lsdException w:name="List 4" w:semiHidden="1" w:uiPriority="3"/>
    <w:lsdException w:name="List 5" w:semiHidden="1" w:uiPriority="3"/>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0"/>
    <w:lsdException w:name="Closing" w:semiHidden="1" w:uiPriority="29"/>
    <w:lsdException w:name="Signature" w:semiHidden="1" w:uiPriority="49"/>
    <w:lsdException w:name="Default Paragraph Font" w:semiHidden="1" w:uiPriority="0" w:unhideWhenUsed="1"/>
    <w:lsdException w:name="Body Text" w:semiHidden="1" w:uiPriority="0" w:qFormat="1"/>
    <w:lsdException w:name="Body Text Indent" w:semiHidden="1" w:uiPriority="29"/>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lsdException w:name="Salutation" w:semiHidden="1" w:uiPriority="49"/>
    <w:lsdException w:name="Date" w:uiPriority="0"/>
    <w:lsdException w:name="Body Text First Indent" w:semiHidden="1" w:uiPriority="29"/>
    <w:lsdException w:name="Body Text First Indent 2" w:semiHidden="1" w:uiPriority="29"/>
    <w:lsdException w:name="Note Heading" w:semiHidden="1" w:uiPriority="29"/>
    <w:lsdException w:name="Body Text 2" w:semiHidden="1" w:uiPriority="29"/>
    <w:lsdException w:name="Body Text 3" w:semiHidden="1" w:uiPriority="29"/>
    <w:lsdException w:name="Body Text Indent 2" w:semiHidden="1" w:uiPriority="29"/>
    <w:lsdException w:name="Body Text Indent 3" w:semiHidden="1" w:uiPriority="29"/>
    <w:lsdException w:name="Block Text" w:semiHidden="1" w:uiPriority="29"/>
    <w:lsdException w:name="Hyperlink" w:semiHidden="1" w:uiPriority="99" w:unhideWhenUsed="1"/>
    <w:lsdException w:name="FollowedHyperlink" w:semiHidden="1" w:uiPriority="50"/>
    <w:lsdException w:name="Strong" w:semiHidden="1" w:uiPriority="22" w:qFormat="1"/>
    <w:lsdException w:name="Emphasis" w:semiHidden="1" w:uiPriority="20" w:qFormat="1"/>
    <w:lsdException w:name="Document Map" w:semiHidden="1" w:uiPriority="50"/>
    <w:lsdException w:name="Plain Text" w:semiHidden="1" w:uiPriority="49"/>
    <w:lsdException w:name="E-mail Signature" w:semiHidden="1" w:uiPriority="50"/>
    <w:lsdException w:name="HTML Top of Form" w:semiHidden="1" w:uiPriority="0" w:unhideWhenUsed="1"/>
    <w:lsdException w:name="HTML Bottom of Form" w:semiHidden="1" w:uiPriority="0" w:unhideWhenUsed="1"/>
    <w:lsdException w:name="Normal (Web)" w:semiHidden="1" w:uiPriority="99"/>
    <w:lsdException w:name="HTML Acronym" w:semiHidden="1" w:uiPriority="29"/>
    <w:lsdException w:name="HTML Address" w:semiHidden="1" w:uiPriority="29"/>
    <w:lsdException w:name="HTML Cite" w:semiHidden="1" w:uiPriority="29"/>
    <w:lsdException w:name="HTML Code" w:semiHidden="1" w:uiPriority="29"/>
    <w:lsdException w:name="HTML Definition" w:semiHidden="1" w:uiPriority="29"/>
    <w:lsdException w:name="HTML Keyboard" w:semiHidden="1" w:uiPriority="29"/>
    <w:lsdException w:name="HTML Preformatted" w:semiHidden="1" w:uiPriority="29"/>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iPriority="29"/>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99"/>
    <w:lsdException w:name="No Spacing" w:uiPriority="3"/>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1" w:qFormat="1"/>
    <w:lsdException w:name="Quote" w:semiHidden="1" w:uiPriority="29"/>
    <w:lsdException w:name="Intense Quote" w:semiHidden="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iPriority="4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qFormat/>
    <w:rsid w:val="00285F48"/>
    <w:pPr>
      <w:spacing w:before="100" w:after="100"/>
    </w:pPr>
    <w:rPr>
      <w:rFonts w:asciiTheme="minorHAnsi" w:eastAsiaTheme="majorEastAsia" w:hAnsiTheme="minorHAnsi" w:cs="Calibri"/>
      <w:color w:val="000000" w:themeColor="text1"/>
      <w:lang w:val="en-GB"/>
    </w:rPr>
  </w:style>
  <w:style w:type="paragraph" w:styleId="Heading1">
    <w:name w:val="heading 1"/>
    <w:basedOn w:val="Normal"/>
    <w:next w:val="Normal"/>
    <w:link w:val="Heading1Char"/>
    <w:autoRedefine/>
    <w:uiPriority w:val="1"/>
    <w:qFormat/>
    <w:rsid w:val="00AE0D3F"/>
    <w:pPr>
      <w:keepNext/>
      <w:pBdr>
        <w:bottom w:val="single" w:sz="4" w:space="1" w:color="1D336D" w:themeColor="background2"/>
      </w:pBdr>
      <w:spacing w:before="160" w:line="240" w:lineRule="atLeast"/>
      <w:outlineLvl w:val="0"/>
    </w:pPr>
    <w:rPr>
      <w:caps/>
      <w:color w:val="1D336D" w:themeColor="background2"/>
      <w:sz w:val="30"/>
      <w:szCs w:val="32"/>
    </w:rPr>
  </w:style>
  <w:style w:type="paragraph" w:styleId="Heading2">
    <w:name w:val="heading 2"/>
    <w:basedOn w:val="Heading1"/>
    <w:next w:val="Normal"/>
    <w:link w:val="Heading2Char"/>
    <w:autoRedefine/>
    <w:uiPriority w:val="1"/>
    <w:qFormat/>
    <w:rsid w:val="00490A26"/>
    <w:pPr>
      <w:pBdr>
        <w:bottom w:val="none" w:sz="0" w:space="0" w:color="auto"/>
      </w:pBdr>
      <w:spacing w:before="120"/>
      <w:ind w:left="720" w:hanging="720"/>
      <w:outlineLvl w:val="1"/>
    </w:pPr>
    <w:rPr>
      <w:b/>
      <w:color w:val="646465" w:themeColor="accent2" w:themeShade="80"/>
      <w:sz w:val="26"/>
      <w:szCs w:val="26"/>
      <w:lang w:val="en-AU"/>
    </w:rPr>
  </w:style>
  <w:style w:type="paragraph" w:styleId="Heading3">
    <w:name w:val="heading 3"/>
    <w:basedOn w:val="Heading1"/>
    <w:next w:val="Normal"/>
    <w:link w:val="Heading3Char"/>
    <w:autoRedefine/>
    <w:uiPriority w:val="1"/>
    <w:qFormat/>
    <w:rsid w:val="00C13F9E"/>
    <w:pPr>
      <w:numPr>
        <w:ilvl w:val="2"/>
      </w:numPr>
      <w:pBdr>
        <w:bottom w:val="none" w:sz="0" w:space="0" w:color="auto"/>
      </w:pBdr>
      <w:spacing w:before="120" w:line="240" w:lineRule="auto"/>
      <w:outlineLvl w:val="2"/>
    </w:pPr>
    <w:rPr>
      <w:b/>
      <w:caps w:val="0"/>
      <w:color w:val="auto"/>
      <w:sz w:val="24"/>
      <w:szCs w:val="26"/>
      <w:lang w:val="en-AU"/>
    </w:rPr>
  </w:style>
  <w:style w:type="paragraph" w:styleId="Heading4">
    <w:name w:val="heading 4"/>
    <w:basedOn w:val="Heading5"/>
    <w:next w:val="Normal"/>
    <w:link w:val="Heading4Char"/>
    <w:autoRedefine/>
    <w:uiPriority w:val="1"/>
    <w:qFormat/>
    <w:rsid w:val="00C13F9E"/>
    <w:pPr>
      <w:spacing w:before="120" w:after="120"/>
      <w:ind w:left="284"/>
      <w:outlineLvl w:val="3"/>
    </w:pPr>
    <w:rPr>
      <w:rFonts w:eastAsia="Century Gothic"/>
      <w:b/>
      <w:color w:val="000000" w:themeColor="text1"/>
      <w:lang w:val="en-AU"/>
    </w:rPr>
  </w:style>
  <w:style w:type="paragraph" w:styleId="Heading5">
    <w:name w:val="heading 5"/>
    <w:basedOn w:val="Normal"/>
    <w:next w:val="Normal"/>
    <w:link w:val="Heading5Char"/>
    <w:uiPriority w:val="1"/>
    <w:semiHidden/>
    <w:qFormat/>
    <w:rsid w:val="2AD67AEA"/>
    <w:pPr>
      <w:keepNext/>
      <w:keepLines/>
      <w:spacing w:before="40" w:after="0"/>
      <w:outlineLvl w:val="4"/>
    </w:pPr>
    <w:rPr>
      <w:rFonts w:asciiTheme="majorHAnsi" w:hAnsiTheme="majorHAnsi" w:cstheme="majorBidi"/>
      <w:color w:val="585858" w:themeColor="text2"/>
    </w:rPr>
  </w:style>
  <w:style w:type="paragraph" w:styleId="Heading6">
    <w:name w:val="heading 6"/>
    <w:basedOn w:val="Normal"/>
    <w:next w:val="Normal"/>
    <w:link w:val="Heading6Char"/>
    <w:uiPriority w:val="1"/>
    <w:semiHidden/>
    <w:qFormat/>
    <w:rsid w:val="2AD67AEA"/>
    <w:pPr>
      <w:keepNext/>
      <w:keepLines/>
      <w:spacing w:before="40" w:after="0"/>
      <w:outlineLvl w:val="5"/>
    </w:pPr>
    <w:rPr>
      <w:rFonts w:asciiTheme="majorHAnsi" w:hAnsiTheme="majorHAnsi" w:cstheme="majorBidi"/>
      <w:color w:val="1D336D" w:themeColor="background2"/>
    </w:rPr>
  </w:style>
  <w:style w:type="paragraph" w:styleId="Heading7">
    <w:name w:val="heading 7"/>
    <w:basedOn w:val="Normal"/>
    <w:next w:val="Normal"/>
    <w:link w:val="Heading7Char"/>
    <w:uiPriority w:val="1"/>
    <w:semiHidden/>
    <w:qFormat/>
    <w:rsid w:val="2AD67AEA"/>
    <w:pPr>
      <w:keepNext/>
      <w:keepLines/>
      <w:spacing w:before="40" w:after="0"/>
      <w:outlineLvl w:val="6"/>
    </w:pPr>
    <w:rPr>
      <w:rFonts w:asciiTheme="majorHAnsi" w:hAnsiTheme="majorHAnsi" w:cstheme="majorBidi"/>
      <w:i/>
      <w:iCs/>
      <w:color w:val="585858" w:themeColor="text2"/>
    </w:rPr>
  </w:style>
  <w:style w:type="paragraph" w:styleId="Heading8">
    <w:name w:val="heading 8"/>
    <w:basedOn w:val="Normal"/>
    <w:next w:val="Normal"/>
    <w:link w:val="Heading8Char"/>
    <w:uiPriority w:val="1"/>
    <w:semiHidden/>
    <w:qFormat/>
    <w:rsid w:val="2AD67AEA"/>
    <w:pPr>
      <w:keepNext/>
      <w:keepLines/>
      <w:spacing w:before="240"/>
      <w:outlineLvl w:val="7"/>
    </w:pPr>
    <w:rPr>
      <w:rFonts w:asciiTheme="majorHAnsi" w:hAnsiTheme="majorHAnsi" w:cstheme="majorBidi"/>
      <w:i/>
      <w:iCs/>
      <w:color w:val="1D336D" w:themeColor="background2"/>
    </w:rPr>
  </w:style>
  <w:style w:type="paragraph" w:styleId="Heading9">
    <w:name w:val="heading 9"/>
    <w:basedOn w:val="Normal"/>
    <w:next w:val="Normal"/>
    <w:link w:val="Heading9Char"/>
    <w:uiPriority w:val="1"/>
    <w:semiHidden/>
    <w:qFormat/>
    <w:rsid w:val="2AD67AEA"/>
    <w:pPr>
      <w:keepNext/>
      <w:keepLines/>
      <w:spacing w:before="240"/>
      <w:outlineLvl w:val="8"/>
    </w:pPr>
    <w:rPr>
      <w:rFonts w:asciiTheme="majorHAnsi"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DPS Table Grid,Plain Table,GRM Table"/>
    <w:basedOn w:val="TableNormal"/>
    <w:uiPriority w:val="59"/>
    <w:rsid w:val="00827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29"/>
    <w:semiHidden/>
    <w:rsid w:val="2AD67AEA"/>
    <w:pPr>
      <w:spacing w:after="0"/>
    </w:pPr>
    <w:rPr>
      <w:color w:val="FFFFFF" w:themeColor="background1"/>
    </w:rPr>
  </w:style>
  <w:style w:type="character" w:customStyle="1" w:styleId="HeaderChar">
    <w:name w:val="Header Char"/>
    <w:basedOn w:val="DefaultParagraphFont"/>
    <w:link w:val="Header"/>
    <w:uiPriority w:val="29"/>
    <w:semiHidden/>
    <w:rsid w:val="00310B3A"/>
    <w:rPr>
      <w:rFonts w:asciiTheme="minorHAnsi" w:eastAsiaTheme="majorEastAsia" w:hAnsiTheme="minorHAnsi" w:cs="Calibri"/>
      <w:color w:val="FFFFFF"/>
      <w:szCs w:val="24"/>
    </w:rPr>
  </w:style>
  <w:style w:type="paragraph" w:styleId="Footer">
    <w:name w:val="footer"/>
    <w:basedOn w:val="Normal"/>
    <w:link w:val="FooterChar"/>
    <w:uiPriority w:val="99"/>
    <w:qFormat/>
    <w:rsid w:val="2AD67AEA"/>
    <w:pPr>
      <w:spacing w:after="0"/>
    </w:pPr>
    <w:rPr>
      <w:color w:val="1D336D" w:themeColor="background2"/>
      <w:sz w:val="18"/>
      <w:szCs w:val="18"/>
    </w:rPr>
  </w:style>
  <w:style w:type="character" w:customStyle="1" w:styleId="FooterChar">
    <w:name w:val="Footer Char"/>
    <w:basedOn w:val="DefaultParagraphFont"/>
    <w:link w:val="Footer"/>
    <w:uiPriority w:val="99"/>
    <w:rsid w:val="00145656"/>
    <w:rPr>
      <w:rFonts w:asciiTheme="minorHAnsi" w:eastAsiaTheme="majorEastAsia" w:hAnsiTheme="minorHAnsi" w:cs="Calibri"/>
      <w:color w:val="1D336D" w:themeColor="background2"/>
      <w:sz w:val="18"/>
      <w:szCs w:val="24"/>
    </w:rPr>
  </w:style>
  <w:style w:type="paragraph" w:styleId="BalloonText">
    <w:name w:val="Balloon Text"/>
    <w:basedOn w:val="Normal"/>
    <w:link w:val="BalloonTextChar"/>
    <w:uiPriority w:val="29"/>
    <w:semiHidden/>
    <w:rsid w:val="2AD67AEA"/>
    <w:pPr>
      <w:spacing w:after="0"/>
    </w:pPr>
    <w:rPr>
      <w:rFonts w:ascii="Tahoma" w:hAnsi="Tahoma" w:cs="Tahoma"/>
      <w:sz w:val="16"/>
      <w:szCs w:val="16"/>
    </w:rPr>
  </w:style>
  <w:style w:type="character" w:customStyle="1" w:styleId="BalloonTextChar">
    <w:name w:val="Balloon Text Char"/>
    <w:basedOn w:val="DefaultParagraphFont"/>
    <w:link w:val="BalloonText"/>
    <w:uiPriority w:val="29"/>
    <w:semiHidden/>
    <w:rsid w:val="00E4514E"/>
    <w:rPr>
      <w:rFonts w:ascii="Tahoma" w:hAnsi="Tahoma" w:cs="Tahoma"/>
      <w:sz w:val="16"/>
      <w:szCs w:val="16"/>
    </w:rPr>
  </w:style>
  <w:style w:type="paragraph" w:customStyle="1" w:styleId="Detail">
    <w:name w:val="Detail"/>
    <w:basedOn w:val="Normal"/>
    <w:uiPriority w:val="50"/>
    <w:semiHidden/>
    <w:rsid w:val="2AD67AEA"/>
  </w:style>
  <w:style w:type="paragraph" w:styleId="ListNumber">
    <w:name w:val="List Number"/>
    <w:basedOn w:val="Normal"/>
    <w:link w:val="ListNumberChar"/>
    <w:uiPriority w:val="3"/>
    <w:qFormat/>
    <w:rsid w:val="2AD67AEA"/>
    <w:pPr>
      <w:tabs>
        <w:tab w:val="num" w:pos="284"/>
      </w:tabs>
      <w:ind w:left="284" w:hanging="284"/>
    </w:pPr>
    <w:rPr>
      <w:rFonts w:eastAsia="Century Gothic" w:cstheme="minorBidi"/>
      <w:lang w:eastAsia="en-US"/>
    </w:rPr>
  </w:style>
  <w:style w:type="paragraph" w:styleId="ListBullet">
    <w:name w:val="List Bullet"/>
    <w:basedOn w:val="Normal"/>
    <w:uiPriority w:val="3"/>
    <w:qFormat/>
    <w:rsid w:val="2AD67AEA"/>
    <w:pPr>
      <w:tabs>
        <w:tab w:val="num" w:pos="284"/>
      </w:tabs>
      <w:ind w:left="284" w:hanging="284"/>
    </w:pPr>
    <w:rPr>
      <w:rFonts w:eastAsia="Century Gothic" w:cstheme="minorBidi"/>
      <w:lang w:eastAsia="en-US"/>
    </w:rPr>
  </w:style>
  <w:style w:type="paragraph" w:styleId="Date">
    <w:name w:val="Date"/>
    <w:basedOn w:val="Normal"/>
    <w:next w:val="Normal"/>
    <w:link w:val="DateChar"/>
    <w:uiPriority w:val="49"/>
    <w:semiHidden/>
    <w:rsid w:val="2AD67AEA"/>
    <w:pPr>
      <w:spacing w:after="0"/>
    </w:pPr>
    <w:rPr>
      <w:rFonts w:ascii="Corpid C1 SCd Regular" w:hAnsi="Corpid C1 SCd Regular"/>
      <w:color w:val="FFFFFF" w:themeColor="background1"/>
    </w:rPr>
  </w:style>
  <w:style w:type="character" w:customStyle="1" w:styleId="DateChar">
    <w:name w:val="Date Char"/>
    <w:basedOn w:val="DefaultParagraphFont"/>
    <w:link w:val="Date"/>
    <w:uiPriority w:val="49"/>
    <w:semiHidden/>
    <w:rsid w:val="00310B3A"/>
    <w:rPr>
      <w:rFonts w:ascii="Corpid C1 SCd Regular" w:eastAsiaTheme="majorEastAsia" w:hAnsi="Corpid C1 SCd Regular" w:cs="Calibri"/>
      <w:color w:val="FFFFFF"/>
      <w:szCs w:val="24"/>
    </w:rPr>
  </w:style>
  <w:style w:type="character" w:styleId="PlaceholderText">
    <w:name w:val="Placeholder Text"/>
    <w:basedOn w:val="DefaultParagraphFont"/>
    <w:uiPriority w:val="99"/>
    <w:semiHidden/>
    <w:rsid w:val="00415976"/>
    <w:rPr>
      <w:vanish w:val="0"/>
      <w:color w:val="FF0000"/>
    </w:rPr>
  </w:style>
  <w:style w:type="numbering" w:customStyle="1" w:styleId="AlphaList">
    <w:name w:val="_Alpha List"/>
    <w:uiPriority w:val="99"/>
    <w:rsid w:val="00581230"/>
    <w:pPr>
      <w:numPr>
        <w:numId w:val="4"/>
      </w:numPr>
    </w:pPr>
  </w:style>
  <w:style w:type="character" w:customStyle="1" w:styleId="Heading5Char">
    <w:name w:val="Heading 5 Char"/>
    <w:basedOn w:val="DefaultParagraphFont"/>
    <w:link w:val="Heading5"/>
    <w:uiPriority w:val="1"/>
    <w:semiHidden/>
    <w:rsid w:val="000E3939"/>
    <w:rPr>
      <w:rFonts w:asciiTheme="majorHAnsi" w:eastAsiaTheme="majorEastAsia" w:hAnsiTheme="majorHAnsi" w:cstheme="majorBidi"/>
      <w:color w:val="585858" w:themeColor="text2"/>
      <w:szCs w:val="24"/>
    </w:rPr>
  </w:style>
  <w:style w:type="paragraph" w:customStyle="1" w:styleId="TableHeading">
    <w:name w:val="Table Heading"/>
    <w:basedOn w:val="Normal"/>
    <w:link w:val="TableHeadingChar"/>
    <w:uiPriority w:val="9"/>
    <w:qFormat/>
    <w:rsid w:val="2AD67AEA"/>
    <w:pPr>
      <w:numPr>
        <w:numId w:val="9"/>
      </w:numPr>
      <w:spacing w:before="20" w:after="20"/>
    </w:pPr>
    <w:rPr>
      <w:rFonts w:eastAsia="Century Gothic"/>
      <w:b/>
      <w:bCs/>
      <w:color w:val="FFFFFF" w:themeColor="background1"/>
      <w:lang w:eastAsia="en-US"/>
    </w:rPr>
  </w:style>
  <w:style w:type="paragraph" w:styleId="Title">
    <w:name w:val="Title"/>
    <w:basedOn w:val="Normal"/>
    <w:next w:val="Subtitle"/>
    <w:link w:val="TitleChar"/>
    <w:uiPriority w:val="49"/>
    <w:semiHidden/>
    <w:rsid w:val="2AD67AEA"/>
    <w:pPr>
      <w:pageBreakBefore/>
      <w:spacing w:before="240"/>
      <w:outlineLvl w:val="0"/>
    </w:pPr>
    <w:rPr>
      <w:rFonts w:asciiTheme="majorHAnsi" w:hAnsiTheme="majorHAnsi"/>
      <w:b/>
      <w:bCs/>
      <w:color w:val="585858" w:themeColor="text2"/>
      <w:sz w:val="40"/>
      <w:szCs w:val="40"/>
    </w:rPr>
  </w:style>
  <w:style w:type="character" w:customStyle="1" w:styleId="TitleChar">
    <w:name w:val="Title Char"/>
    <w:basedOn w:val="DefaultParagraphFont"/>
    <w:link w:val="Title"/>
    <w:uiPriority w:val="49"/>
    <w:semiHidden/>
    <w:rsid w:val="00310B3A"/>
    <w:rPr>
      <w:rFonts w:asciiTheme="majorHAnsi" w:eastAsiaTheme="majorEastAsia" w:hAnsiTheme="majorHAnsi" w:cs="Calibri"/>
      <w:b/>
      <w:bCs/>
      <w:iCs/>
      <w:color w:val="585858" w:themeColor="text2"/>
      <w:sz w:val="40"/>
      <w:szCs w:val="28"/>
    </w:rPr>
  </w:style>
  <w:style w:type="table" w:customStyle="1" w:styleId="ListTable3-Accent11">
    <w:name w:val="List Table 3 - Accent 11"/>
    <w:basedOn w:val="TableNormal"/>
    <w:uiPriority w:val="98"/>
    <w:semiHidden/>
    <w:rsid w:val="007E01F1"/>
    <w:rPr>
      <w:rFonts w:asciiTheme="minorHAnsi" w:eastAsia="Century Gothic" w:hAnsiTheme="minorHAnsi" w:cstheme="minorBidi"/>
      <w:lang w:eastAsia="en-US"/>
    </w:rPr>
    <w:tblPr>
      <w:tblStyleRowBandSize w:val="1"/>
      <w:tblStyleColBandSize w:val="1"/>
      <w:tblInd w:w="57" w:type="dxa"/>
      <w:tblBorders>
        <w:top w:val="single" w:sz="4" w:space="0" w:color="63D0DF" w:themeColor="accent1"/>
        <w:left w:val="single" w:sz="4" w:space="0" w:color="63D0DF" w:themeColor="accent1"/>
        <w:bottom w:val="single" w:sz="4" w:space="0" w:color="63D0DF" w:themeColor="accent1"/>
        <w:right w:val="single" w:sz="4" w:space="0" w:color="63D0DF" w:themeColor="accent1"/>
      </w:tblBorders>
      <w:tblCellMar>
        <w:top w:w="57" w:type="dxa"/>
        <w:left w:w="57" w:type="dxa"/>
        <w:bottom w:w="57" w:type="dxa"/>
        <w:right w:w="57" w:type="dxa"/>
      </w:tblCellMar>
    </w:tblPr>
    <w:tblStylePr w:type="firstRow">
      <w:rPr>
        <w:b/>
        <w:bCs/>
        <w:color w:val="FFFFFF" w:themeColor="background1"/>
      </w:rPr>
      <w:tblPr/>
      <w:tcPr>
        <w:shd w:val="clear" w:color="auto" w:fill="63D0DF" w:themeFill="accent1"/>
      </w:tcPr>
    </w:tblStylePr>
    <w:tblStylePr w:type="lastRow">
      <w:rPr>
        <w:b/>
        <w:bCs/>
      </w:rPr>
      <w:tblPr/>
      <w:tcPr>
        <w:tcBorders>
          <w:top w:val="double" w:sz="4" w:space="0" w:color="63D0D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1"/>
          <w:right w:val="single" w:sz="4" w:space="0" w:color="63D0DF" w:themeColor="accent1"/>
        </w:tcBorders>
      </w:tcPr>
    </w:tblStylePr>
    <w:tblStylePr w:type="band1Horz">
      <w:tblPr/>
      <w:tcPr>
        <w:tcBorders>
          <w:top w:val="single" w:sz="4" w:space="0" w:color="63D0DF" w:themeColor="accent1"/>
          <w:bottom w:val="single" w:sz="4" w:space="0" w:color="63D0D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1"/>
          <w:left w:val="nil"/>
        </w:tcBorders>
      </w:tcPr>
    </w:tblStylePr>
    <w:tblStylePr w:type="swCell">
      <w:tblPr/>
      <w:tcPr>
        <w:tcBorders>
          <w:top w:val="double" w:sz="4" w:space="0" w:color="63D0DF" w:themeColor="accent1"/>
          <w:right w:val="nil"/>
        </w:tcBorders>
      </w:tcPr>
    </w:tblStylePr>
  </w:style>
  <w:style w:type="numbering" w:customStyle="1" w:styleId="Bullets">
    <w:name w:val="_Bullets"/>
    <w:uiPriority w:val="99"/>
    <w:rsid w:val="00847E29"/>
    <w:pPr>
      <w:numPr>
        <w:numId w:val="5"/>
      </w:numPr>
    </w:pPr>
  </w:style>
  <w:style w:type="numbering" w:customStyle="1" w:styleId="NumberedList">
    <w:name w:val="_Numbered List"/>
    <w:uiPriority w:val="99"/>
    <w:rsid w:val="0091567C"/>
    <w:pPr>
      <w:numPr>
        <w:numId w:val="6"/>
      </w:numPr>
    </w:pPr>
  </w:style>
  <w:style w:type="paragraph" w:styleId="List">
    <w:name w:val="List"/>
    <w:basedOn w:val="Normal"/>
    <w:uiPriority w:val="3"/>
    <w:qFormat/>
    <w:rsid w:val="2AD67AEA"/>
    <w:pPr>
      <w:ind w:left="284" w:hanging="284"/>
    </w:pPr>
    <w:rPr>
      <w:rFonts w:eastAsia="Century Gothic" w:cstheme="minorBidi"/>
      <w:lang w:eastAsia="en-US"/>
    </w:rPr>
  </w:style>
  <w:style w:type="paragraph" w:styleId="List2">
    <w:name w:val="List 2"/>
    <w:basedOn w:val="Normal"/>
    <w:uiPriority w:val="3"/>
    <w:unhideWhenUsed/>
    <w:rsid w:val="2AD67AEA"/>
    <w:pPr>
      <w:ind w:left="568" w:hanging="284"/>
    </w:pPr>
    <w:rPr>
      <w:rFonts w:eastAsia="Century Gothic" w:cstheme="minorBidi"/>
      <w:lang w:eastAsia="en-US"/>
    </w:rPr>
  </w:style>
  <w:style w:type="paragraph" w:styleId="List3">
    <w:name w:val="List 3"/>
    <w:basedOn w:val="Normal"/>
    <w:uiPriority w:val="3"/>
    <w:unhideWhenUsed/>
    <w:rsid w:val="2AD67AEA"/>
    <w:pPr>
      <w:spacing w:after="233"/>
      <w:ind w:left="852" w:hanging="284"/>
    </w:pPr>
    <w:rPr>
      <w:rFonts w:eastAsia="Century Gothic" w:cstheme="minorBidi"/>
      <w:lang w:eastAsia="en-US"/>
    </w:rPr>
  </w:style>
  <w:style w:type="paragraph" w:styleId="ListNumber2">
    <w:name w:val="List Number 2"/>
    <w:basedOn w:val="Normal"/>
    <w:uiPriority w:val="3"/>
    <w:rsid w:val="2AD67AEA"/>
    <w:pPr>
      <w:tabs>
        <w:tab w:val="num" w:pos="567"/>
      </w:tabs>
      <w:ind w:left="568" w:hanging="284"/>
    </w:pPr>
    <w:rPr>
      <w:rFonts w:eastAsia="Century Gothic" w:cstheme="minorBidi"/>
      <w:lang w:eastAsia="en-US"/>
    </w:rPr>
  </w:style>
  <w:style w:type="paragraph" w:styleId="ListNumber3">
    <w:name w:val="List Number 3"/>
    <w:basedOn w:val="Normal"/>
    <w:uiPriority w:val="3"/>
    <w:rsid w:val="2AD67AEA"/>
    <w:pPr>
      <w:tabs>
        <w:tab w:val="num" w:pos="851"/>
      </w:tabs>
      <w:ind w:left="852" w:hanging="284"/>
    </w:pPr>
    <w:rPr>
      <w:rFonts w:eastAsia="Century Gothic" w:cstheme="minorBidi"/>
      <w:lang w:eastAsia="en-US"/>
    </w:rPr>
  </w:style>
  <w:style w:type="paragraph" w:styleId="ListNumber4">
    <w:name w:val="List Number 4"/>
    <w:basedOn w:val="Normal"/>
    <w:uiPriority w:val="50"/>
    <w:semiHidden/>
    <w:rsid w:val="2AD67AEA"/>
    <w:pPr>
      <w:contextualSpacing/>
    </w:pPr>
    <w:rPr>
      <w:rFonts w:eastAsia="Century Gothic" w:cstheme="minorBidi"/>
      <w:lang w:eastAsia="en-US"/>
    </w:rPr>
  </w:style>
  <w:style w:type="paragraph" w:styleId="ListNumber5">
    <w:name w:val="List Number 5"/>
    <w:basedOn w:val="Normal"/>
    <w:uiPriority w:val="50"/>
    <w:semiHidden/>
    <w:rsid w:val="2AD67AEA"/>
    <w:pPr>
      <w:contextualSpacing/>
    </w:pPr>
    <w:rPr>
      <w:rFonts w:eastAsia="Century Gothic" w:cstheme="minorBidi"/>
      <w:lang w:eastAsia="en-US"/>
    </w:rPr>
  </w:style>
  <w:style w:type="table" w:customStyle="1" w:styleId="GridTable1Light1">
    <w:name w:val="Grid Table 1 Light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57" w:type="dxa"/>
        <w:left w:w="57" w:type="dxa"/>
        <w:bottom w:w="57" w:type="dxa"/>
        <w:right w:w="57"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0ECF2" w:themeColor="accent1" w:themeTint="66"/>
        <w:left w:val="single" w:sz="4" w:space="0" w:color="C0ECF2" w:themeColor="accent1" w:themeTint="66"/>
        <w:bottom w:val="single" w:sz="4" w:space="0" w:color="C0ECF2" w:themeColor="accent1" w:themeTint="66"/>
        <w:right w:val="single" w:sz="4" w:space="0" w:color="C0ECF2" w:themeColor="accent1" w:themeTint="66"/>
        <w:insideH w:val="single" w:sz="4" w:space="0" w:color="C0ECF2" w:themeColor="accent1" w:themeTint="66"/>
        <w:insideV w:val="single" w:sz="4" w:space="0" w:color="C0ECF2" w:themeColor="accent1" w:themeTint="66"/>
      </w:tblBorders>
      <w:tblCellMar>
        <w:top w:w="57" w:type="dxa"/>
        <w:left w:w="57" w:type="dxa"/>
        <w:bottom w:w="57" w:type="dxa"/>
        <w:right w:w="57" w:type="dxa"/>
      </w:tblCellMar>
    </w:tblPr>
    <w:tblStylePr w:type="firstRow">
      <w:rPr>
        <w:b/>
        <w:bCs/>
      </w:rPr>
      <w:tblPr/>
      <w:tcPr>
        <w:tcBorders>
          <w:bottom w:val="single" w:sz="12" w:space="0" w:color="A1E2EB" w:themeColor="accent1" w:themeTint="99"/>
        </w:tcBorders>
      </w:tcPr>
    </w:tblStylePr>
    <w:tblStylePr w:type="lastRow">
      <w:rPr>
        <w:b/>
        <w:bCs/>
      </w:rPr>
      <w:tblPr/>
      <w:tcPr>
        <w:tcBorders>
          <w:top w:val="double" w:sz="2" w:space="0" w:color="A1E2E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E9E9E9" w:themeColor="accent2" w:themeTint="66"/>
        <w:left w:val="single" w:sz="4" w:space="0" w:color="E9E9E9" w:themeColor="accent2" w:themeTint="66"/>
        <w:bottom w:val="single" w:sz="4" w:space="0" w:color="E9E9E9" w:themeColor="accent2" w:themeTint="66"/>
        <w:right w:val="single" w:sz="4" w:space="0" w:color="E9E9E9" w:themeColor="accent2" w:themeTint="66"/>
        <w:insideH w:val="single" w:sz="4" w:space="0" w:color="E9E9E9" w:themeColor="accent2" w:themeTint="66"/>
        <w:insideV w:val="single" w:sz="4" w:space="0" w:color="E9E9E9" w:themeColor="accent2" w:themeTint="66"/>
      </w:tblBorders>
      <w:tblCellMar>
        <w:top w:w="57" w:type="dxa"/>
        <w:left w:w="57" w:type="dxa"/>
        <w:bottom w:w="57" w:type="dxa"/>
        <w:right w:w="57" w:type="dxa"/>
      </w:tblCellMar>
    </w:tblPr>
    <w:tblStylePr w:type="firstRow">
      <w:rPr>
        <w:b/>
        <w:bCs/>
      </w:rPr>
      <w:tblPr/>
      <w:tcPr>
        <w:tcBorders>
          <w:bottom w:val="single" w:sz="12" w:space="0" w:color="DEDEDF" w:themeColor="accent2" w:themeTint="99"/>
        </w:tcBorders>
      </w:tcPr>
    </w:tblStylePr>
    <w:tblStylePr w:type="lastRow">
      <w:rPr>
        <w:b/>
        <w:bCs/>
      </w:rPr>
      <w:tblPr/>
      <w:tcPr>
        <w:tcBorders>
          <w:top w:val="double" w:sz="2" w:space="0" w:color="DEDED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0ECF2" w:themeColor="accent3" w:themeTint="66"/>
        <w:left w:val="single" w:sz="4" w:space="0" w:color="C0ECF2" w:themeColor="accent3" w:themeTint="66"/>
        <w:bottom w:val="single" w:sz="4" w:space="0" w:color="C0ECF2" w:themeColor="accent3" w:themeTint="66"/>
        <w:right w:val="single" w:sz="4" w:space="0" w:color="C0ECF2" w:themeColor="accent3" w:themeTint="66"/>
        <w:insideH w:val="single" w:sz="4" w:space="0" w:color="C0ECF2" w:themeColor="accent3" w:themeTint="66"/>
        <w:insideV w:val="single" w:sz="4" w:space="0" w:color="C0ECF2" w:themeColor="accent3" w:themeTint="66"/>
      </w:tblBorders>
      <w:tblCellMar>
        <w:top w:w="57" w:type="dxa"/>
        <w:left w:w="57" w:type="dxa"/>
        <w:bottom w:w="57" w:type="dxa"/>
        <w:right w:w="57" w:type="dxa"/>
      </w:tblCellMar>
    </w:tblPr>
    <w:tblStylePr w:type="firstRow">
      <w:rPr>
        <w:b/>
        <w:bCs/>
      </w:rPr>
      <w:tblPr/>
      <w:tcPr>
        <w:tcBorders>
          <w:bottom w:val="single" w:sz="12" w:space="0" w:color="A1E2EB" w:themeColor="accent3" w:themeTint="99"/>
        </w:tcBorders>
      </w:tcPr>
    </w:tblStylePr>
    <w:tblStylePr w:type="lastRow">
      <w:rPr>
        <w:b/>
        <w:bCs/>
      </w:rPr>
      <w:tblPr/>
      <w:tcPr>
        <w:tcBorders>
          <w:top w:val="double" w:sz="2" w:space="0" w:color="A1E2E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9D9D9" w:themeColor="accent4" w:themeTint="66"/>
        <w:left w:val="single" w:sz="4" w:space="0" w:color="D9D9D9" w:themeColor="accent4" w:themeTint="66"/>
        <w:bottom w:val="single" w:sz="4" w:space="0" w:color="D9D9D9" w:themeColor="accent4" w:themeTint="66"/>
        <w:right w:val="single" w:sz="4" w:space="0" w:color="D9D9D9" w:themeColor="accent4" w:themeTint="66"/>
        <w:insideH w:val="single" w:sz="4" w:space="0" w:color="D9D9D9" w:themeColor="accent4" w:themeTint="66"/>
        <w:insideV w:val="single" w:sz="4" w:space="0" w:color="D9D9D9" w:themeColor="accent4" w:themeTint="66"/>
      </w:tblBorders>
      <w:tblCellMar>
        <w:top w:w="57" w:type="dxa"/>
        <w:left w:w="57" w:type="dxa"/>
        <w:bottom w:w="57" w:type="dxa"/>
        <w:right w:w="57" w:type="dxa"/>
      </w:tblCellMar>
    </w:tblPr>
    <w:tblStylePr w:type="firstRow">
      <w:rPr>
        <w:b/>
        <w:bCs/>
      </w:rPr>
      <w:tblPr/>
      <w:tcPr>
        <w:tcBorders>
          <w:bottom w:val="single" w:sz="12" w:space="0" w:color="C6C6C6" w:themeColor="accent4" w:themeTint="99"/>
        </w:tcBorders>
      </w:tcPr>
    </w:tblStylePr>
    <w:tblStylePr w:type="lastRow">
      <w:rPr>
        <w:b/>
        <w:bCs/>
      </w:rPr>
      <w:tblPr/>
      <w:tcPr>
        <w:tcBorders>
          <w:top w:val="double" w:sz="2" w:space="0" w:color="C6C6C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0ECF2" w:themeColor="accent5" w:themeTint="66"/>
        <w:left w:val="single" w:sz="4" w:space="0" w:color="C0ECF2" w:themeColor="accent5" w:themeTint="66"/>
        <w:bottom w:val="single" w:sz="4" w:space="0" w:color="C0ECF2" w:themeColor="accent5" w:themeTint="66"/>
        <w:right w:val="single" w:sz="4" w:space="0" w:color="C0ECF2" w:themeColor="accent5" w:themeTint="66"/>
        <w:insideH w:val="single" w:sz="4" w:space="0" w:color="C0ECF2" w:themeColor="accent5" w:themeTint="66"/>
        <w:insideV w:val="single" w:sz="4" w:space="0" w:color="C0ECF2" w:themeColor="accent5" w:themeTint="66"/>
      </w:tblBorders>
      <w:tblCellMar>
        <w:top w:w="57" w:type="dxa"/>
        <w:left w:w="57" w:type="dxa"/>
        <w:bottom w:w="57" w:type="dxa"/>
        <w:right w:w="57" w:type="dxa"/>
      </w:tblCellMar>
    </w:tblPr>
    <w:tblStylePr w:type="firstRow">
      <w:rPr>
        <w:b/>
        <w:bCs/>
      </w:rPr>
      <w:tblPr/>
      <w:tcPr>
        <w:tcBorders>
          <w:bottom w:val="single" w:sz="12" w:space="0" w:color="A1E2EB" w:themeColor="accent5" w:themeTint="99"/>
        </w:tcBorders>
      </w:tcPr>
    </w:tblStylePr>
    <w:tblStylePr w:type="lastRow">
      <w:rPr>
        <w:b/>
        <w:bCs/>
      </w:rPr>
      <w:tblPr/>
      <w:tcPr>
        <w:tcBorders>
          <w:top w:val="double" w:sz="2" w:space="0" w:color="A1E2E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9D9D9" w:themeColor="accent6" w:themeTint="66"/>
        <w:left w:val="single" w:sz="4" w:space="0" w:color="D9D9D9" w:themeColor="accent6" w:themeTint="66"/>
        <w:bottom w:val="single" w:sz="4" w:space="0" w:color="D9D9D9" w:themeColor="accent6" w:themeTint="66"/>
        <w:right w:val="single" w:sz="4" w:space="0" w:color="D9D9D9" w:themeColor="accent6" w:themeTint="66"/>
        <w:insideH w:val="single" w:sz="4" w:space="0" w:color="D9D9D9" w:themeColor="accent6" w:themeTint="66"/>
        <w:insideV w:val="single" w:sz="4" w:space="0" w:color="D9D9D9" w:themeColor="accent6" w:themeTint="66"/>
      </w:tblBorders>
      <w:tblCellMar>
        <w:top w:w="57" w:type="dxa"/>
        <w:left w:w="57" w:type="dxa"/>
        <w:bottom w:w="57" w:type="dxa"/>
        <w:right w:w="57" w:type="dxa"/>
      </w:tblCellMar>
    </w:tblPr>
    <w:tblStylePr w:type="firstRow">
      <w:rPr>
        <w:b/>
        <w:bCs/>
      </w:rPr>
      <w:tblPr/>
      <w:tcPr>
        <w:tcBorders>
          <w:bottom w:val="single" w:sz="12" w:space="0" w:color="C6C6C6" w:themeColor="accent6" w:themeTint="99"/>
        </w:tcBorders>
      </w:tcPr>
    </w:tblStylePr>
    <w:tblStylePr w:type="lastRow">
      <w:rPr>
        <w:b/>
        <w:bCs/>
      </w:rPr>
      <w:tblPr/>
      <w:tcPr>
        <w:tcBorders>
          <w:top w:val="double" w:sz="2" w:space="0" w:color="C6C6C6"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57" w:type="dxa"/>
        <w:left w:w="57" w:type="dxa"/>
        <w:bottom w:w="57" w:type="dxa"/>
        <w:right w:w="57"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A1E2EB" w:themeColor="accent1" w:themeTint="99"/>
        <w:bottom w:val="single" w:sz="2" w:space="0" w:color="A1E2EB" w:themeColor="accent1" w:themeTint="99"/>
        <w:insideH w:val="single" w:sz="2" w:space="0" w:color="A1E2EB" w:themeColor="accent1" w:themeTint="99"/>
        <w:insideV w:val="single" w:sz="2" w:space="0" w:color="A1E2EB" w:themeColor="accent1"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1" w:themeTint="99"/>
          <w:insideH w:val="nil"/>
          <w:insideV w:val="nil"/>
        </w:tcBorders>
        <w:shd w:val="clear" w:color="auto" w:fill="FFFFFF" w:themeFill="background1"/>
      </w:tcPr>
    </w:tblStylePr>
    <w:tblStylePr w:type="lastRow">
      <w:rPr>
        <w:b/>
        <w:bCs/>
      </w:rPr>
      <w:tblPr/>
      <w:tcPr>
        <w:tcBorders>
          <w:top w:val="double" w:sz="2" w:space="0" w:color="A1E2E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customStyle="1" w:styleId="GridTable2-Accent21">
    <w:name w:val="Grid Table 2 - Accent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DEDEDF" w:themeColor="accent2" w:themeTint="99"/>
        <w:bottom w:val="single" w:sz="2" w:space="0" w:color="DEDEDF" w:themeColor="accent2" w:themeTint="99"/>
        <w:insideH w:val="single" w:sz="2" w:space="0" w:color="DEDEDF" w:themeColor="accent2" w:themeTint="99"/>
        <w:insideV w:val="single" w:sz="2" w:space="0" w:color="DEDEDF" w:themeColor="accent2" w:themeTint="99"/>
      </w:tblBorders>
      <w:tblCellMar>
        <w:top w:w="57" w:type="dxa"/>
        <w:left w:w="57" w:type="dxa"/>
        <w:bottom w:w="57" w:type="dxa"/>
        <w:right w:w="57" w:type="dxa"/>
      </w:tblCellMar>
    </w:tblPr>
    <w:tblStylePr w:type="firstRow">
      <w:rPr>
        <w:b/>
        <w:bCs/>
      </w:rPr>
      <w:tblPr/>
      <w:tcPr>
        <w:tcBorders>
          <w:top w:val="nil"/>
          <w:bottom w:val="single" w:sz="12" w:space="0" w:color="DEDEDF" w:themeColor="accent2" w:themeTint="99"/>
          <w:insideH w:val="nil"/>
          <w:insideV w:val="nil"/>
        </w:tcBorders>
        <w:shd w:val="clear" w:color="auto" w:fill="FFFFFF" w:themeFill="background1"/>
      </w:tcPr>
    </w:tblStylePr>
    <w:tblStylePr w:type="lastRow">
      <w:rPr>
        <w:b/>
        <w:bCs/>
      </w:rPr>
      <w:tblPr/>
      <w:tcPr>
        <w:tcBorders>
          <w:top w:val="double" w:sz="2" w:space="0" w:color="DEDE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customStyle="1" w:styleId="GridTable2-Accent31">
    <w:name w:val="Grid Table 2 - Accent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A1E2EB" w:themeColor="accent3" w:themeTint="99"/>
        <w:bottom w:val="single" w:sz="2" w:space="0" w:color="A1E2EB" w:themeColor="accent3" w:themeTint="99"/>
        <w:insideH w:val="single" w:sz="2" w:space="0" w:color="A1E2EB" w:themeColor="accent3" w:themeTint="99"/>
        <w:insideV w:val="single" w:sz="2" w:space="0" w:color="A1E2EB" w:themeColor="accent3"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3" w:themeTint="99"/>
          <w:insideH w:val="nil"/>
          <w:insideV w:val="nil"/>
        </w:tcBorders>
        <w:shd w:val="clear" w:color="auto" w:fill="FFFFFF" w:themeFill="background1"/>
      </w:tcPr>
    </w:tblStylePr>
    <w:tblStylePr w:type="lastRow">
      <w:rPr>
        <w:b/>
        <w:bCs/>
      </w:rPr>
      <w:tblPr/>
      <w:tcPr>
        <w:tcBorders>
          <w:top w:val="double" w:sz="2" w:space="0" w:color="A1E2E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customStyle="1" w:styleId="GridTable2-Accent41">
    <w:name w:val="Grid Table 2 - Accent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C6C6C6" w:themeColor="accent4" w:themeTint="99"/>
        <w:bottom w:val="single" w:sz="2" w:space="0" w:color="C6C6C6" w:themeColor="accent4" w:themeTint="99"/>
        <w:insideH w:val="single" w:sz="2" w:space="0" w:color="C6C6C6" w:themeColor="accent4" w:themeTint="99"/>
        <w:insideV w:val="single" w:sz="2" w:space="0" w:color="C6C6C6" w:themeColor="accent4" w:themeTint="99"/>
      </w:tblBorders>
      <w:tblCellMar>
        <w:top w:w="57" w:type="dxa"/>
        <w:left w:w="57" w:type="dxa"/>
        <w:bottom w:w="57" w:type="dxa"/>
        <w:right w:w="57" w:type="dxa"/>
      </w:tblCellMar>
    </w:tblPr>
    <w:tblStylePr w:type="firstRow">
      <w:rPr>
        <w:b/>
        <w:bCs/>
      </w:rPr>
      <w:tblPr/>
      <w:tcPr>
        <w:tcBorders>
          <w:top w:val="nil"/>
          <w:bottom w:val="single" w:sz="12" w:space="0" w:color="C6C6C6" w:themeColor="accent4" w:themeTint="99"/>
          <w:insideH w:val="nil"/>
          <w:insideV w:val="nil"/>
        </w:tcBorders>
        <w:shd w:val="clear" w:color="auto" w:fill="FFFFFF" w:themeFill="background1"/>
      </w:tcPr>
    </w:tblStylePr>
    <w:tblStylePr w:type="lastRow">
      <w:rPr>
        <w:b/>
        <w:bCs/>
      </w:rPr>
      <w:tblPr/>
      <w:tcPr>
        <w:tcBorders>
          <w:top w:val="double" w:sz="2" w:space="0" w:color="C6C6C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customStyle="1" w:styleId="GridTable2-Accent51">
    <w:name w:val="Grid Table 2 - Accent 5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A1E2EB" w:themeColor="accent5" w:themeTint="99"/>
        <w:bottom w:val="single" w:sz="2" w:space="0" w:color="A1E2EB" w:themeColor="accent5" w:themeTint="99"/>
        <w:insideH w:val="single" w:sz="2" w:space="0" w:color="A1E2EB" w:themeColor="accent5" w:themeTint="99"/>
        <w:insideV w:val="single" w:sz="2" w:space="0" w:color="A1E2EB" w:themeColor="accent5"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5" w:themeTint="99"/>
          <w:insideH w:val="nil"/>
          <w:insideV w:val="nil"/>
        </w:tcBorders>
        <w:shd w:val="clear" w:color="auto" w:fill="FFFFFF" w:themeFill="background1"/>
      </w:tcPr>
    </w:tblStylePr>
    <w:tblStylePr w:type="lastRow">
      <w:rPr>
        <w:b/>
        <w:bCs/>
      </w:rPr>
      <w:tblPr/>
      <w:tcPr>
        <w:tcBorders>
          <w:top w:val="double" w:sz="2" w:space="0" w:color="A1E2E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customStyle="1" w:styleId="GridTable2-Accent61">
    <w:name w:val="Grid Table 2 - Accent 6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C6C6C6" w:themeColor="accent6" w:themeTint="99"/>
        <w:bottom w:val="single" w:sz="2" w:space="0" w:color="C6C6C6" w:themeColor="accent6" w:themeTint="99"/>
        <w:insideH w:val="single" w:sz="2" w:space="0" w:color="C6C6C6" w:themeColor="accent6" w:themeTint="99"/>
        <w:insideV w:val="single" w:sz="2" w:space="0" w:color="C6C6C6" w:themeColor="accent6" w:themeTint="99"/>
      </w:tblBorders>
      <w:tblCellMar>
        <w:top w:w="57" w:type="dxa"/>
        <w:left w:w="57" w:type="dxa"/>
        <w:bottom w:w="57" w:type="dxa"/>
        <w:right w:w="57" w:type="dxa"/>
      </w:tblCellMar>
    </w:tblPr>
    <w:tblStylePr w:type="firstRow">
      <w:rPr>
        <w:b/>
        <w:bCs/>
      </w:rPr>
      <w:tblPr/>
      <w:tcPr>
        <w:tcBorders>
          <w:top w:val="nil"/>
          <w:bottom w:val="single" w:sz="12" w:space="0" w:color="C6C6C6" w:themeColor="accent6" w:themeTint="99"/>
          <w:insideH w:val="nil"/>
          <w:insideV w:val="nil"/>
        </w:tcBorders>
        <w:shd w:val="clear" w:color="auto" w:fill="FFFFFF" w:themeFill="background1"/>
      </w:tcPr>
    </w:tblStylePr>
    <w:tblStylePr w:type="lastRow">
      <w:rPr>
        <w:b/>
        <w:bCs/>
      </w:rPr>
      <w:tblPr/>
      <w:tcPr>
        <w:tcBorders>
          <w:top w:val="double" w:sz="2" w:space="0" w:color="C6C6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customStyle="1" w:styleId="GridTable31">
    <w:name w:val="Grid Table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bottom w:val="single" w:sz="4" w:space="0" w:color="A1E2EB" w:themeColor="accent1" w:themeTint="99"/>
        </w:tcBorders>
      </w:tcPr>
    </w:tblStylePr>
    <w:tblStylePr w:type="nwCell">
      <w:tblPr/>
      <w:tcPr>
        <w:tcBorders>
          <w:bottom w:val="single" w:sz="4" w:space="0" w:color="A1E2EB" w:themeColor="accent1" w:themeTint="99"/>
        </w:tcBorders>
      </w:tcPr>
    </w:tblStylePr>
    <w:tblStylePr w:type="seCell">
      <w:tblPr/>
      <w:tcPr>
        <w:tcBorders>
          <w:top w:val="single" w:sz="4" w:space="0" w:color="A1E2EB" w:themeColor="accent1" w:themeTint="99"/>
        </w:tcBorders>
      </w:tcPr>
    </w:tblStylePr>
    <w:tblStylePr w:type="swCell">
      <w:tblPr/>
      <w:tcPr>
        <w:tcBorders>
          <w:top w:val="single" w:sz="4" w:space="0" w:color="A1E2EB" w:themeColor="accent1" w:themeTint="99"/>
        </w:tcBorders>
      </w:tcPr>
    </w:tblStylePr>
  </w:style>
  <w:style w:type="table" w:customStyle="1" w:styleId="GridTable3-Accent21">
    <w:name w:val="Grid Table 3 - Accent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bottom w:val="single" w:sz="4" w:space="0" w:color="DEDEDF" w:themeColor="accent2" w:themeTint="99"/>
        </w:tcBorders>
      </w:tcPr>
    </w:tblStylePr>
    <w:tblStylePr w:type="nwCell">
      <w:tblPr/>
      <w:tcPr>
        <w:tcBorders>
          <w:bottom w:val="single" w:sz="4" w:space="0" w:color="DEDEDF" w:themeColor="accent2" w:themeTint="99"/>
        </w:tcBorders>
      </w:tcPr>
    </w:tblStylePr>
    <w:tblStylePr w:type="seCell">
      <w:tblPr/>
      <w:tcPr>
        <w:tcBorders>
          <w:top w:val="single" w:sz="4" w:space="0" w:color="DEDEDF" w:themeColor="accent2" w:themeTint="99"/>
        </w:tcBorders>
      </w:tcPr>
    </w:tblStylePr>
    <w:tblStylePr w:type="swCell">
      <w:tblPr/>
      <w:tcPr>
        <w:tcBorders>
          <w:top w:val="single" w:sz="4" w:space="0" w:color="DEDEDF" w:themeColor="accent2" w:themeTint="99"/>
        </w:tcBorders>
      </w:tcPr>
    </w:tblStylePr>
  </w:style>
  <w:style w:type="table" w:customStyle="1" w:styleId="GridTable3-Accent31">
    <w:name w:val="Grid Table 3 - Accent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bottom w:val="single" w:sz="4" w:space="0" w:color="A1E2EB" w:themeColor="accent3" w:themeTint="99"/>
        </w:tcBorders>
      </w:tcPr>
    </w:tblStylePr>
    <w:tblStylePr w:type="nwCell">
      <w:tblPr/>
      <w:tcPr>
        <w:tcBorders>
          <w:bottom w:val="single" w:sz="4" w:space="0" w:color="A1E2EB" w:themeColor="accent3" w:themeTint="99"/>
        </w:tcBorders>
      </w:tcPr>
    </w:tblStylePr>
    <w:tblStylePr w:type="seCell">
      <w:tblPr/>
      <w:tcPr>
        <w:tcBorders>
          <w:top w:val="single" w:sz="4" w:space="0" w:color="A1E2EB" w:themeColor="accent3" w:themeTint="99"/>
        </w:tcBorders>
      </w:tcPr>
    </w:tblStylePr>
    <w:tblStylePr w:type="swCell">
      <w:tblPr/>
      <w:tcPr>
        <w:tcBorders>
          <w:top w:val="single" w:sz="4" w:space="0" w:color="A1E2EB" w:themeColor="accent3" w:themeTint="99"/>
        </w:tcBorders>
      </w:tcPr>
    </w:tblStylePr>
  </w:style>
  <w:style w:type="table" w:customStyle="1" w:styleId="GridTable3-Accent41">
    <w:name w:val="Grid Table 3 - Accent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bottom w:val="single" w:sz="4" w:space="0" w:color="C6C6C6" w:themeColor="accent4" w:themeTint="99"/>
        </w:tcBorders>
      </w:tcPr>
    </w:tblStylePr>
    <w:tblStylePr w:type="nwCell">
      <w:tblPr/>
      <w:tcPr>
        <w:tcBorders>
          <w:bottom w:val="single" w:sz="4" w:space="0" w:color="C6C6C6" w:themeColor="accent4" w:themeTint="99"/>
        </w:tcBorders>
      </w:tcPr>
    </w:tblStylePr>
    <w:tblStylePr w:type="seCell">
      <w:tblPr/>
      <w:tcPr>
        <w:tcBorders>
          <w:top w:val="single" w:sz="4" w:space="0" w:color="C6C6C6" w:themeColor="accent4" w:themeTint="99"/>
        </w:tcBorders>
      </w:tcPr>
    </w:tblStylePr>
    <w:tblStylePr w:type="swCell">
      <w:tblPr/>
      <w:tcPr>
        <w:tcBorders>
          <w:top w:val="single" w:sz="4" w:space="0" w:color="C6C6C6" w:themeColor="accent4" w:themeTint="99"/>
        </w:tcBorders>
      </w:tcPr>
    </w:tblStylePr>
  </w:style>
  <w:style w:type="table" w:customStyle="1" w:styleId="GridTable3-Accent51">
    <w:name w:val="Grid Table 3 - Accent 5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bottom w:val="single" w:sz="4" w:space="0" w:color="A1E2EB" w:themeColor="accent5" w:themeTint="99"/>
        </w:tcBorders>
      </w:tcPr>
    </w:tblStylePr>
    <w:tblStylePr w:type="nwCell">
      <w:tblPr/>
      <w:tcPr>
        <w:tcBorders>
          <w:bottom w:val="single" w:sz="4" w:space="0" w:color="A1E2EB" w:themeColor="accent5" w:themeTint="99"/>
        </w:tcBorders>
      </w:tcPr>
    </w:tblStylePr>
    <w:tblStylePr w:type="seCell">
      <w:tblPr/>
      <w:tcPr>
        <w:tcBorders>
          <w:top w:val="single" w:sz="4" w:space="0" w:color="A1E2EB" w:themeColor="accent5" w:themeTint="99"/>
        </w:tcBorders>
      </w:tcPr>
    </w:tblStylePr>
    <w:tblStylePr w:type="swCell">
      <w:tblPr/>
      <w:tcPr>
        <w:tcBorders>
          <w:top w:val="single" w:sz="4" w:space="0" w:color="A1E2EB" w:themeColor="accent5" w:themeTint="99"/>
        </w:tcBorders>
      </w:tcPr>
    </w:tblStylePr>
  </w:style>
  <w:style w:type="table" w:customStyle="1" w:styleId="GridTable3-Accent61">
    <w:name w:val="Grid Table 3 - Accent 6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bottom w:val="single" w:sz="4" w:space="0" w:color="C6C6C6" w:themeColor="accent6" w:themeTint="99"/>
        </w:tcBorders>
      </w:tcPr>
    </w:tblStylePr>
    <w:tblStylePr w:type="nwCell">
      <w:tblPr/>
      <w:tcPr>
        <w:tcBorders>
          <w:bottom w:val="single" w:sz="4" w:space="0" w:color="C6C6C6" w:themeColor="accent6" w:themeTint="99"/>
        </w:tcBorders>
      </w:tcPr>
    </w:tblStylePr>
    <w:tblStylePr w:type="seCell">
      <w:tblPr/>
      <w:tcPr>
        <w:tcBorders>
          <w:top w:val="single" w:sz="4" w:space="0" w:color="C6C6C6" w:themeColor="accent6" w:themeTint="99"/>
        </w:tcBorders>
      </w:tcPr>
    </w:tblStylePr>
    <w:tblStylePr w:type="swCell">
      <w:tblPr/>
      <w:tcPr>
        <w:tcBorders>
          <w:top w:val="single" w:sz="4" w:space="0" w:color="C6C6C6" w:themeColor="accent6" w:themeTint="99"/>
        </w:tcBorders>
      </w:tcPr>
    </w:tblStylePr>
  </w:style>
  <w:style w:type="table" w:customStyle="1" w:styleId="GridTable41">
    <w:name w:val="Grid Table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1"/>
          <w:left w:val="single" w:sz="4" w:space="0" w:color="63D0DF" w:themeColor="accent1"/>
          <w:bottom w:val="single" w:sz="4" w:space="0" w:color="63D0DF" w:themeColor="accent1"/>
          <w:right w:val="single" w:sz="4" w:space="0" w:color="63D0DF" w:themeColor="accent1"/>
          <w:insideH w:val="nil"/>
          <w:insideV w:val="nil"/>
        </w:tcBorders>
        <w:shd w:val="clear" w:color="auto" w:fill="63D0DF" w:themeFill="accent1"/>
      </w:tcPr>
    </w:tblStylePr>
    <w:tblStylePr w:type="lastRow">
      <w:rPr>
        <w:b/>
        <w:bCs/>
      </w:rPr>
      <w:tblPr/>
      <w:tcPr>
        <w:tcBorders>
          <w:top w:val="double" w:sz="4" w:space="0" w:color="63D0DF" w:themeColor="accent1"/>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customStyle="1" w:styleId="GridTable4-Accent21">
    <w:name w:val="Grid Table 4 - Accent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C9C9CA" w:themeColor="accent2"/>
          <w:left w:val="single" w:sz="4" w:space="0" w:color="C9C9CA" w:themeColor="accent2"/>
          <w:bottom w:val="single" w:sz="4" w:space="0" w:color="C9C9CA" w:themeColor="accent2"/>
          <w:right w:val="single" w:sz="4" w:space="0" w:color="C9C9CA" w:themeColor="accent2"/>
          <w:insideH w:val="nil"/>
          <w:insideV w:val="nil"/>
        </w:tcBorders>
        <w:shd w:val="clear" w:color="auto" w:fill="C9C9CA" w:themeFill="accent2"/>
      </w:tcPr>
    </w:tblStylePr>
    <w:tblStylePr w:type="lastRow">
      <w:rPr>
        <w:b/>
        <w:bCs/>
      </w:rPr>
      <w:tblPr/>
      <w:tcPr>
        <w:tcBorders>
          <w:top w:val="double" w:sz="4" w:space="0" w:color="C9C9CA" w:themeColor="accent2"/>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customStyle="1" w:styleId="GridTable4-Accent31">
    <w:name w:val="Grid Table 4 - Accent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3"/>
          <w:left w:val="single" w:sz="4" w:space="0" w:color="63D0DF" w:themeColor="accent3"/>
          <w:bottom w:val="single" w:sz="4" w:space="0" w:color="63D0DF" w:themeColor="accent3"/>
          <w:right w:val="single" w:sz="4" w:space="0" w:color="63D0DF" w:themeColor="accent3"/>
          <w:insideH w:val="nil"/>
          <w:insideV w:val="nil"/>
        </w:tcBorders>
        <w:shd w:val="clear" w:color="auto" w:fill="63D0DF" w:themeFill="accent3"/>
      </w:tcPr>
    </w:tblStylePr>
    <w:tblStylePr w:type="lastRow">
      <w:rPr>
        <w:b/>
        <w:bCs/>
      </w:rPr>
      <w:tblPr/>
      <w:tcPr>
        <w:tcBorders>
          <w:top w:val="double" w:sz="4" w:space="0" w:color="63D0DF" w:themeColor="accent3"/>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customStyle="1" w:styleId="GridTable4-Accent41">
    <w:name w:val="Grid Table 4 - Accent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4"/>
          <w:left w:val="single" w:sz="4" w:space="0" w:color="A1A1A1" w:themeColor="accent4"/>
          <w:bottom w:val="single" w:sz="4" w:space="0" w:color="A1A1A1" w:themeColor="accent4"/>
          <w:right w:val="single" w:sz="4" w:space="0" w:color="A1A1A1" w:themeColor="accent4"/>
          <w:insideH w:val="nil"/>
          <w:insideV w:val="nil"/>
        </w:tcBorders>
        <w:shd w:val="clear" w:color="auto" w:fill="A1A1A1" w:themeFill="accent4"/>
      </w:tcPr>
    </w:tblStylePr>
    <w:tblStylePr w:type="lastRow">
      <w:rPr>
        <w:b/>
        <w:bCs/>
      </w:rPr>
      <w:tblPr/>
      <w:tcPr>
        <w:tcBorders>
          <w:top w:val="double" w:sz="4" w:space="0" w:color="A1A1A1" w:themeColor="accent4"/>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customStyle="1" w:styleId="GridTable4-Accent51">
    <w:name w:val="Grid Table 4 - Accent 5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5"/>
          <w:left w:val="single" w:sz="4" w:space="0" w:color="63D0DF" w:themeColor="accent5"/>
          <w:bottom w:val="single" w:sz="4" w:space="0" w:color="63D0DF" w:themeColor="accent5"/>
          <w:right w:val="single" w:sz="4" w:space="0" w:color="63D0DF" w:themeColor="accent5"/>
          <w:insideH w:val="nil"/>
          <w:insideV w:val="nil"/>
        </w:tcBorders>
        <w:shd w:val="clear" w:color="auto" w:fill="63D0DF" w:themeFill="accent5"/>
      </w:tcPr>
    </w:tblStylePr>
    <w:tblStylePr w:type="lastRow">
      <w:rPr>
        <w:b/>
        <w:bCs/>
      </w:rPr>
      <w:tblPr/>
      <w:tcPr>
        <w:tcBorders>
          <w:top w:val="double" w:sz="4" w:space="0" w:color="63D0DF" w:themeColor="accent5"/>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customStyle="1" w:styleId="GridTable4-Accent61">
    <w:name w:val="Grid Table 4 - Accent 6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6"/>
          <w:left w:val="single" w:sz="4" w:space="0" w:color="A1A1A1" w:themeColor="accent6"/>
          <w:bottom w:val="single" w:sz="4" w:space="0" w:color="A1A1A1" w:themeColor="accent6"/>
          <w:right w:val="single" w:sz="4" w:space="0" w:color="A1A1A1" w:themeColor="accent6"/>
          <w:insideH w:val="nil"/>
          <w:insideV w:val="nil"/>
        </w:tcBorders>
        <w:shd w:val="clear" w:color="auto" w:fill="A1A1A1" w:themeFill="accent6"/>
      </w:tcPr>
    </w:tblStylePr>
    <w:tblStylePr w:type="lastRow">
      <w:rPr>
        <w:b/>
        <w:bCs/>
      </w:rPr>
      <w:tblPr/>
      <w:tcPr>
        <w:tcBorders>
          <w:top w:val="double" w:sz="4" w:space="0" w:color="A1A1A1" w:themeColor="accent6"/>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customStyle="1" w:styleId="GridTable5Dark1">
    <w:name w:val="Grid Table 5 Dark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1"/>
      </w:tcPr>
    </w:tblStylePr>
    <w:tblStylePr w:type="band1Vert">
      <w:tblPr/>
      <w:tcPr>
        <w:shd w:val="clear" w:color="auto" w:fill="C0ECF2" w:themeFill="accent1" w:themeFillTint="66"/>
      </w:tcPr>
    </w:tblStylePr>
    <w:tblStylePr w:type="band1Horz">
      <w:tblPr/>
      <w:tcPr>
        <w:shd w:val="clear" w:color="auto" w:fill="C0ECF2" w:themeFill="accent1" w:themeFillTint="66"/>
      </w:tcPr>
    </w:tblStylePr>
  </w:style>
  <w:style w:type="table" w:customStyle="1" w:styleId="GridTable5Dark-Accent21">
    <w:name w:val="Grid Table 5 Dark - Accent 21"/>
    <w:basedOn w:val="TableNormal"/>
    <w:uiPriority w:val="50"/>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F4F4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9C9C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9C9C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9C9C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9C9CA" w:themeFill="accent2"/>
      </w:tcPr>
    </w:tblStylePr>
    <w:tblStylePr w:type="band1Vert">
      <w:tblPr/>
      <w:tcPr>
        <w:shd w:val="clear" w:color="auto" w:fill="E9E9E9" w:themeFill="accent2" w:themeFillTint="66"/>
      </w:tcPr>
    </w:tblStylePr>
    <w:tblStylePr w:type="band1Horz">
      <w:tblPr/>
      <w:tcPr>
        <w:shd w:val="clear" w:color="auto" w:fill="E9E9E9" w:themeFill="accent2" w:themeFillTint="66"/>
      </w:tcPr>
    </w:tblStylePr>
  </w:style>
  <w:style w:type="table" w:customStyle="1" w:styleId="GridTable5Dark-Accent31">
    <w:name w:val="Grid Table 5 Dark - Accent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3"/>
      </w:tcPr>
    </w:tblStylePr>
    <w:tblStylePr w:type="band1Vert">
      <w:tblPr/>
      <w:tcPr>
        <w:shd w:val="clear" w:color="auto" w:fill="C0ECF2" w:themeFill="accent3" w:themeFillTint="66"/>
      </w:tcPr>
    </w:tblStylePr>
    <w:tblStylePr w:type="band1Horz">
      <w:tblPr/>
      <w:tcPr>
        <w:shd w:val="clear" w:color="auto" w:fill="C0ECF2" w:themeFill="accent3" w:themeFillTint="66"/>
      </w:tcPr>
    </w:tblStylePr>
  </w:style>
  <w:style w:type="table" w:customStyle="1" w:styleId="GridTable5Dark-Accent41">
    <w:name w:val="Grid Table 5 Dark - Accent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ECEC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1A1A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1A1A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1A1A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1A1A1" w:themeFill="accent4"/>
      </w:tcPr>
    </w:tblStylePr>
    <w:tblStylePr w:type="band1Vert">
      <w:tblPr/>
      <w:tcPr>
        <w:shd w:val="clear" w:color="auto" w:fill="D9D9D9" w:themeFill="accent4" w:themeFillTint="66"/>
      </w:tcPr>
    </w:tblStylePr>
    <w:tblStylePr w:type="band1Horz">
      <w:tblPr/>
      <w:tcPr>
        <w:shd w:val="clear" w:color="auto" w:fill="D9D9D9" w:themeFill="accent4" w:themeFillTint="66"/>
      </w:tcPr>
    </w:tblStylePr>
  </w:style>
  <w:style w:type="table" w:customStyle="1" w:styleId="GridTable5Dark-Accent51">
    <w:name w:val="Grid Table 5 Dark - Accent 5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5"/>
      </w:tcPr>
    </w:tblStylePr>
    <w:tblStylePr w:type="band1Vert">
      <w:tblPr/>
      <w:tcPr>
        <w:shd w:val="clear" w:color="auto" w:fill="C0ECF2" w:themeFill="accent5" w:themeFillTint="66"/>
      </w:tcPr>
    </w:tblStylePr>
    <w:tblStylePr w:type="band1Horz">
      <w:tblPr/>
      <w:tcPr>
        <w:shd w:val="clear" w:color="auto" w:fill="C0ECF2" w:themeFill="accent5" w:themeFillTint="66"/>
      </w:tcPr>
    </w:tblStylePr>
  </w:style>
  <w:style w:type="table" w:customStyle="1" w:styleId="GridTable5Dark-Accent61">
    <w:name w:val="Grid Table 5 Dark - Accent 6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ECEC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1A1A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1A1A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1A1A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1A1A1" w:themeFill="accent6"/>
      </w:tcPr>
    </w:tblStylePr>
    <w:tblStylePr w:type="band1Vert">
      <w:tblPr/>
      <w:tcPr>
        <w:shd w:val="clear" w:color="auto" w:fill="D9D9D9" w:themeFill="accent6" w:themeFillTint="66"/>
      </w:tcPr>
    </w:tblStylePr>
    <w:tblStylePr w:type="band1Horz">
      <w:tblPr/>
      <w:tcPr>
        <w:shd w:val="clear" w:color="auto" w:fill="D9D9D9" w:themeFill="accent6" w:themeFillTint="66"/>
      </w:tcPr>
    </w:tblStylePr>
  </w:style>
  <w:style w:type="table" w:customStyle="1" w:styleId="GridTable6Colorful1">
    <w:name w:val="Grid Table 6 Colorful1"/>
    <w:basedOn w:val="TableNormal"/>
    <w:uiPriority w:val="98"/>
    <w:semiHidden/>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57"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98"/>
    <w:semiHidden/>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57" w:type="dxa"/>
      </w:tblCellMar>
    </w:tblPr>
    <w:tblStylePr w:type="firstRow">
      <w:rPr>
        <w:b/>
        <w:bCs/>
      </w:rPr>
      <w:tblPr/>
      <w:tcPr>
        <w:tcBorders>
          <w:bottom w:val="single" w:sz="12" w:space="0" w:color="A1E2EB" w:themeColor="accent1" w:themeTint="99"/>
        </w:tcBorders>
      </w:tcPr>
    </w:tblStylePr>
    <w:tblStylePr w:type="lastRow">
      <w:rPr>
        <w:b/>
        <w:bCs/>
      </w:rPr>
      <w:tblPr/>
      <w:tcPr>
        <w:tcBorders>
          <w:top w:val="doub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customStyle="1" w:styleId="GridTable6Colorful-Accent21">
    <w:name w:val="Grid Table 6 Colorful - Accent 21"/>
    <w:basedOn w:val="TableNormal"/>
    <w:uiPriority w:val="98"/>
    <w:semiHidden/>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57" w:type="dxa"/>
      </w:tblCellMar>
    </w:tblPr>
    <w:tblStylePr w:type="firstRow">
      <w:rPr>
        <w:b/>
        <w:bCs/>
      </w:rPr>
      <w:tblPr/>
      <w:tcPr>
        <w:tcBorders>
          <w:bottom w:val="single" w:sz="12" w:space="0" w:color="DEDEDF" w:themeColor="accent2" w:themeTint="99"/>
        </w:tcBorders>
      </w:tcPr>
    </w:tblStylePr>
    <w:tblStylePr w:type="lastRow">
      <w:rPr>
        <w:b/>
        <w:bCs/>
      </w:rPr>
      <w:tblPr/>
      <w:tcPr>
        <w:tcBorders>
          <w:top w:val="doub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customStyle="1" w:styleId="GridTable6Colorful-Accent31">
    <w:name w:val="Grid Table 6 Colorful - Accent 31"/>
    <w:basedOn w:val="TableNormal"/>
    <w:uiPriority w:val="98"/>
    <w:semiHidden/>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57" w:type="dxa"/>
      </w:tblCellMar>
    </w:tblPr>
    <w:tblStylePr w:type="firstRow">
      <w:rPr>
        <w:b/>
        <w:bCs/>
      </w:rPr>
      <w:tblPr/>
      <w:tcPr>
        <w:tcBorders>
          <w:bottom w:val="single" w:sz="12" w:space="0" w:color="A1E2EB" w:themeColor="accent3" w:themeTint="99"/>
        </w:tcBorders>
      </w:tcPr>
    </w:tblStylePr>
    <w:tblStylePr w:type="lastRow">
      <w:rPr>
        <w:b/>
        <w:bCs/>
      </w:rPr>
      <w:tblPr/>
      <w:tcPr>
        <w:tcBorders>
          <w:top w:val="doub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customStyle="1" w:styleId="GridTable6Colorful-Accent41">
    <w:name w:val="Grid Table 6 Colorful - Accent 41"/>
    <w:basedOn w:val="TableNormal"/>
    <w:uiPriority w:val="98"/>
    <w:semiHidden/>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57" w:type="dxa"/>
      </w:tblCellMar>
    </w:tblPr>
    <w:tblStylePr w:type="firstRow">
      <w:rPr>
        <w:b/>
        <w:bCs/>
      </w:rPr>
      <w:tblPr/>
      <w:tcPr>
        <w:tcBorders>
          <w:bottom w:val="single" w:sz="12" w:space="0" w:color="C6C6C6" w:themeColor="accent4" w:themeTint="99"/>
        </w:tcBorders>
      </w:tcPr>
    </w:tblStylePr>
    <w:tblStylePr w:type="lastRow">
      <w:rPr>
        <w:b/>
        <w:bCs/>
      </w:rPr>
      <w:tblPr/>
      <w:tcPr>
        <w:tcBorders>
          <w:top w:val="doub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customStyle="1" w:styleId="GridTable6Colorful-Accent51">
    <w:name w:val="Grid Table 6 Colorful - Accent 51"/>
    <w:basedOn w:val="TableNormal"/>
    <w:uiPriority w:val="98"/>
    <w:semiHidden/>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57" w:type="dxa"/>
      </w:tblCellMar>
    </w:tblPr>
    <w:tblStylePr w:type="firstRow">
      <w:rPr>
        <w:b/>
        <w:bCs/>
      </w:rPr>
      <w:tblPr/>
      <w:tcPr>
        <w:tcBorders>
          <w:bottom w:val="single" w:sz="12" w:space="0" w:color="A1E2EB" w:themeColor="accent5" w:themeTint="99"/>
        </w:tcBorders>
      </w:tcPr>
    </w:tblStylePr>
    <w:tblStylePr w:type="lastRow">
      <w:rPr>
        <w:b/>
        <w:bCs/>
      </w:rPr>
      <w:tblPr/>
      <w:tcPr>
        <w:tcBorders>
          <w:top w:val="doub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customStyle="1" w:styleId="GridTable6Colorful-Accent61">
    <w:name w:val="Grid Table 6 Colorful - Accent 61"/>
    <w:basedOn w:val="TableNormal"/>
    <w:uiPriority w:val="98"/>
    <w:semiHidden/>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57" w:type="dxa"/>
      </w:tblCellMar>
    </w:tblPr>
    <w:tblStylePr w:type="firstRow">
      <w:rPr>
        <w:b/>
        <w:bCs/>
      </w:rPr>
      <w:tblPr/>
      <w:tcPr>
        <w:tcBorders>
          <w:bottom w:val="single" w:sz="12" w:space="0" w:color="C6C6C6" w:themeColor="accent6" w:themeTint="99"/>
        </w:tcBorders>
      </w:tcPr>
    </w:tblStylePr>
    <w:tblStylePr w:type="lastRow">
      <w:rPr>
        <w:b/>
        <w:bCs/>
      </w:rPr>
      <w:tblPr/>
      <w:tcPr>
        <w:tcBorders>
          <w:top w:val="doub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customStyle="1" w:styleId="GridTable7Colorful1">
    <w:name w:val="Grid Table 7 Colorful1"/>
    <w:basedOn w:val="TableNormal"/>
    <w:uiPriority w:val="98"/>
    <w:semiHidden/>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98"/>
    <w:semiHidden/>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bottom w:val="single" w:sz="4" w:space="0" w:color="A1E2EB" w:themeColor="accent1" w:themeTint="99"/>
        </w:tcBorders>
      </w:tcPr>
    </w:tblStylePr>
    <w:tblStylePr w:type="nwCell">
      <w:tblPr/>
      <w:tcPr>
        <w:tcBorders>
          <w:bottom w:val="single" w:sz="4" w:space="0" w:color="A1E2EB" w:themeColor="accent1" w:themeTint="99"/>
        </w:tcBorders>
      </w:tcPr>
    </w:tblStylePr>
    <w:tblStylePr w:type="seCell">
      <w:tblPr/>
      <w:tcPr>
        <w:tcBorders>
          <w:top w:val="single" w:sz="4" w:space="0" w:color="A1E2EB" w:themeColor="accent1" w:themeTint="99"/>
        </w:tcBorders>
      </w:tcPr>
    </w:tblStylePr>
    <w:tblStylePr w:type="swCell">
      <w:tblPr/>
      <w:tcPr>
        <w:tcBorders>
          <w:top w:val="single" w:sz="4" w:space="0" w:color="A1E2EB" w:themeColor="accent1" w:themeTint="99"/>
        </w:tcBorders>
      </w:tcPr>
    </w:tblStylePr>
  </w:style>
  <w:style w:type="table" w:customStyle="1" w:styleId="GridTable7Colorful-Accent21">
    <w:name w:val="Grid Table 7 Colorful - Accent 21"/>
    <w:basedOn w:val="TableNormal"/>
    <w:uiPriority w:val="98"/>
    <w:semiHidden/>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bottom w:val="single" w:sz="4" w:space="0" w:color="DEDEDF" w:themeColor="accent2" w:themeTint="99"/>
        </w:tcBorders>
      </w:tcPr>
    </w:tblStylePr>
    <w:tblStylePr w:type="nwCell">
      <w:tblPr/>
      <w:tcPr>
        <w:tcBorders>
          <w:bottom w:val="single" w:sz="4" w:space="0" w:color="DEDEDF" w:themeColor="accent2" w:themeTint="99"/>
        </w:tcBorders>
      </w:tcPr>
    </w:tblStylePr>
    <w:tblStylePr w:type="seCell">
      <w:tblPr/>
      <w:tcPr>
        <w:tcBorders>
          <w:top w:val="single" w:sz="4" w:space="0" w:color="DEDEDF" w:themeColor="accent2" w:themeTint="99"/>
        </w:tcBorders>
      </w:tcPr>
    </w:tblStylePr>
    <w:tblStylePr w:type="swCell">
      <w:tblPr/>
      <w:tcPr>
        <w:tcBorders>
          <w:top w:val="single" w:sz="4" w:space="0" w:color="DEDEDF" w:themeColor="accent2" w:themeTint="99"/>
        </w:tcBorders>
      </w:tcPr>
    </w:tblStylePr>
  </w:style>
  <w:style w:type="table" w:customStyle="1" w:styleId="GridTable7Colorful-Accent31">
    <w:name w:val="Grid Table 7 Colorful - Accent 31"/>
    <w:basedOn w:val="TableNormal"/>
    <w:uiPriority w:val="98"/>
    <w:semiHidden/>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bottom w:val="single" w:sz="4" w:space="0" w:color="A1E2EB" w:themeColor="accent3" w:themeTint="99"/>
        </w:tcBorders>
      </w:tcPr>
    </w:tblStylePr>
    <w:tblStylePr w:type="nwCell">
      <w:tblPr/>
      <w:tcPr>
        <w:tcBorders>
          <w:bottom w:val="single" w:sz="4" w:space="0" w:color="A1E2EB" w:themeColor="accent3" w:themeTint="99"/>
        </w:tcBorders>
      </w:tcPr>
    </w:tblStylePr>
    <w:tblStylePr w:type="seCell">
      <w:tblPr/>
      <w:tcPr>
        <w:tcBorders>
          <w:top w:val="single" w:sz="4" w:space="0" w:color="A1E2EB" w:themeColor="accent3" w:themeTint="99"/>
        </w:tcBorders>
      </w:tcPr>
    </w:tblStylePr>
    <w:tblStylePr w:type="swCell">
      <w:tblPr/>
      <w:tcPr>
        <w:tcBorders>
          <w:top w:val="single" w:sz="4" w:space="0" w:color="A1E2EB" w:themeColor="accent3" w:themeTint="99"/>
        </w:tcBorders>
      </w:tcPr>
    </w:tblStylePr>
  </w:style>
  <w:style w:type="table" w:customStyle="1" w:styleId="GridTable7Colorful-Accent41">
    <w:name w:val="Grid Table 7 Colorful - Accent 41"/>
    <w:basedOn w:val="TableNormal"/>
    <w:uiPriority w:val="98"/>
    <w:semiHidden/>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bottom w:val="single" w:sz="4" w:space="0" w:color="C6C6C6" w:themeColor="accent4" w:themeTint="99"/>
        </w:tcBorders>
      </w:tcPr>
    </w:tblStylePr>
    <w:tblStylePr w:type="nwCell">
      <w:tblPr/>
      <w:tcPr>
        <w:tcBorders>
          <w:bottom w:val="single" w:sz="4" w:space="0" w:color="C6C6C6" w:themeColor="accent4" w:themeTint="99"/>
        </w:tcBorders>
      </w:tcPr>
    </w:tblStylePr>
    <w:tblStylePr w:type="seCell">
      <w:tblPr/>
      <w:tcPr>
        <w:tcBorders>
          <w:top w:val="single" w:sz="4" w:space="0" w:color="C6C6C6" w:themeColor="accent4" w:themeTint="99"/>
        </w:tcBorders>
      </w:tcPr>
    </w:tblStylePr>
    <w:tblStylePr w:type="swCell">
      <w:tblPr/>
      <w:tcPr>
        <w:tcBorders>
          <w:top w:val="single" w:sz="4" w:space="0" w:color="C6C6C6" w:themeColor="accent4" w:themeTint="99"/>
        </w:tcBorders>
      </w:tcPr>
    </w:tblStylePr>
  </w:style>
  <w:style w:type="table" w:customStyle="1" w:styleId="GridTable7Colorful-Accent51">
    <w:name w:val="Grid Table 7 Colorful - Accent 51"/>
    <w:basedOn w:val="TableNormal"/>
    <w:uiPriority w:val="98"/>
    <w:semiHidden/>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bottom w:val="single" w:sz="4" w:space="0" w:color="A1E2EB" w:themeColor="accent5" w:themeTint="99"/>
        </w:tcBorders>
      </w:tcPr>
    </w:tblStylePr>
    <w:tblStylePr w:type="nwCell">
      <w:tblPr/>
      <w:tcPr>
        <w:tcBorders>
          <w:bottom w:val="single" w:sz="4" w:space="0" w:color="A1E2EB" w:themeColor="accent5" w:themeTint="99"/>
        </w:tcBorders>
      </w:tcPr>
    </w:tblStylePr>
    <w:tblStylePr w:type="seCell">
      <w:tblPr/>
      <w:tcPr>
        <w:tcBorders>
          <w:top w:val="single" w:sz="4" w:space="0" w:color="A1E2EB" w:themeColor="accent5" w:themeTint="99"/>
        </w:tcBorders>
      </w:tcPr>
    </w:tblStylePr>
    <w:tblStylePr w:type="swCell">
      <w:tblPr/>
      <w:tcPr>
        <w:tcBorders>
          <w:top w:val="single" w:sz="4" w:space="0" w:color="A1E2EB" w:themeColor="accent5" w:themeTint="99"/>
        </w:tcBorders>
      </w:tcPr>
    </w:tblStylePr>
  </w:style>
  <w:style w:type="table" w:customStyle="1" w:styleId="GridTable7Colorful-Accent61">
    <w:name w:val="Grid Table 7 Colorful - Accent 61"/>
    <w:basedOn w:val="TableNormal"/>
    <w:uiPriority w:val="98"/>
    <w:semiHidden/>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bottom w:val="single" w:sz="4" w:space="0" w:color="C6C6C6" w:themeColor="accent6" w:themeTint="99"/>
        </w:tcBorders>
      </w:tcPr>
    </w:tblStylePr>
    <w:tblStylePr w:type="nwCell">
      <w:tblPr/>
      <w:tcPr>
        <w:tcBorders>
          <w:bottom w:val="single" w:sz="4" w:space="0" w:color="C6C6C6" w:themeColor="accent6" w:themeTint="99"/>
        </w:tcBorders>
      </w:tcPr>
    </w:tblStylePr>
    <w:tblStylePr w:type="seCell">
      <w:tblPr/>
      <w:tcPr>
        <w:tcBorders>
          <w:top w:val="single" w:sz="4" w:space="0" w:color="C6C6C6" w:themeColor="accent6" w:themeTint="99"/>
        </w:tcBorders>
      </w:tcPr>
    </w:tblStylePr>
    <w:tblStylePr w:type="swCell">
      <w:tblPr/>
      <w:tcPr>
        <w:tcBorders>
          <w:top w:val="single" w:sz="4" w:space="0" w:color="C6C6C6" w:themeColor="accent6" w:themeTint="99"/>
        </w:tcBorders>
      </w:tcPr>
    </w:tblStylePr>
  </w:style>
  <w:style w:type="table" w:customStyle="1" w:styleId="ListTable1Light1">
    <w:name w:val="List Table 1 Light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1" w:themeTint="99"/>
        </w:tcBorders>
      </w:tcPr>
    </w:tblStylePr>
    <w:tblStylePr w:type="lastRow">
      <w:rPr>
        <w:b/>
        <w:bCs/>
      </w:rPr>
      <w:tblPr/>
      <w:tcPr>
        <w:tcBorders>
          <w:top w:val="sing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customStyle="1" w:styleId="ListTable1Light-Accent21">
    <w:name w:val="List Table 1 Light - Accent 2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DEDEDF" w:themeColor="accent2" w:themeTint="99"/>
        </w:tcBorders>
      </w:tcPr>
    </w:tblStylePr>
    <w:tblStylePr w:type="lastRow">
      <w:rPr>
        <w:b/>
        <w:bCs/>
      </w:rPr>
      <w:tblPr/>
      <w:tcPr>
        <w:tcBorders>
          <w:top w:val="sing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customStyle="1" w:styleId="ListTable1Light-Accent31">
    <w:name w:val="List Table 1 Light - Accent 3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3" w:themeTint="99"/>
        </w:tcBorders>
      </w:tcPr>
    </w:tblStylePr>
    <w:tblStylePr w:type="lastRow">
      <w:rPr>
        <w:b/>
        <w:bCs/>
      </w:rPr>
      <w:tblPr/>
      <w:tcPr>
        <w:tcBorders>
          <w:top w:val="sing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customStyle="1" w:styleId="ListTable1Light-Accent41">
    <w:name w:val="List Table 1 Light - Accent 4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C6C6C6" w:themeColor="accent4" w:themeTint="99"/>
        </w:tcBorders>
      </w:tcPr>
    </w:tblStylePr>
    <w:tblStylePr w:type="lastRow">
      <w:rPr>
        <w:b/>
        <w:bCs/>
      </w:rPr>
      <w:tblPr/>
      <w:tcPr>
        <w:tcBorders>
          <w:top w:val="sing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customStyle="1" w:styleId="ListTable1Light-Accent51">
    <w:name w:val="List Table 1 Light - Accent 5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5" w:themeTint="99"/>
        </w:tcBorders>
      </w:tcPr>
    </w:tblStylePr>
    <w:tblStylePr w:type="lastRow">
      <w:rPr>
        <w:b/>
        <w:bCs/>
      </w:rPr>
      <w:tblPr/>
      <w:tcPr>
        <w:tcBorders>
          <w:top w:val="sing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customStyle="1" w:styleId="ListTable1Light-Accent61">
    <w:name w:val="List Table 1 Light - Accent 6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C6C6C6" w:themeColor="accent6" w:themeTint="99"/>
        </w:tcBorders>
      </w:tcPr>
    </w:tblStylePr>
    <w:tblStylePr w:type="lastRow">
      <w:rPr>
        <w:b/>
        <w:bCs/>
      </w:rPr>
      <w:tblPr/>
      <w:tcPr>
        <w:tcBorders>
          <w:top w:val="sing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customStyle="1" w:styleId="ListTable21">
    <w:name w:val="List Table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bottom w:val="single" w:sz="4" w:space="0" w:color="A1E2EB" w:themeColor="accent1" w:themeTint="99"/>
        <w:insideH w:val="single" w:sz="4" w:space="0" w:color="A1E2EB" w:themeColor="accen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customStyle="1" w:styleId="ListTable2-Accent21">
    <w:name w:val="List Table 2 - Accent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bottom w:val="single" w:sz="4" w:space="0" w:color="DEDEDF" w:themeColor="accent2" w:themeTint="99"/>
        <w:insideH w:val="single" w:sz="4" w:space="0" w:color="DEDEDF" w:themeColor="accent2"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customStyle="1" w:styleId="ListTable2-Accent31">
    <w:name w:val="List Table 2 - Accent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bottom w:val="single" w:sz="4" w:space="0" w:color="A1E2EB" w:themeColor="accent3" w:themeTint="99"/>
        <w:insideH w:val="single" w:sz="4" w:space="0" w:color="A1E2EB" w:themeColor="accent3"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customStyle="1" w:styleId="ListTable2-Accent41">
    <w:name w:val="List Table 2 - Accent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bottom w:val="single" w:sz="4" w:space="0" w:color="C6C6C6" w:themeColor="accent4" w:themeTint="99"/>
        <w:insideH w:val="single" w:sz="4" w:space="0" w:color="C6C6C6" w:themeColor="accent4"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customStyle="1" w:styleId="ListTable2-Accent51">
    <w:name w:val="List Table 2 - Accent 5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bottom w:val="single" w:sz="4" w:space="0" w:color="A1E2EB" w:themeColor="accent5" w:themeTint="99"/>
        <w:insideH w:val="single" w:sz="4" w:space="0" w:color="A1E2EB" w:themeColor="accent5"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customStyle="1" w:styleId="ListTable2-Accent61">
    <w:name w:val="List Table 2 - Accent 6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bottom w:val="single" w:sz="4" w:space="0" w:color="C6C6C6" w:themeColor="accent6" w:themeTint="99"/>
        <w:insideH w:val="single" w:sz="4" w:space="0" w:color="C6C6C6" w:themeColor="accent6"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customStyle="1" w:styleId="ListTable31">
    <w:name w:val="List Table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57" w:type="dxa"/>
        <w:left w:w="57" w:type="dxa"/>
        <w:bottom w:w="57" w:type="dxa"/>
        <w:right w:w="57"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21">
    <w:name w:val="List Table 3 - Accent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9C9CA" w:themeColor="accent2"/>
        <w:left w:val="single" w:sz="4" w:space="0" w:color="C9C9CA" w:themeColor="accent2"/>
        <w:bottom w:val="single" w:sz="4" w:space="0" w:color="C9C9CA" w:themeColor="accent2"/>
        <w:right w:val="single" w:sz="4" w:space="0" w:color="C9C9CA" w:themeColor="accent2"/>
      </w:tblBorders>
      <w:tblCellMar>
        <w:top w:w="57" w:type="dxa"/>
        <w:left w:w="57" w:type="dxa"/>
        <w:bottom w:w="57" w:type="dxa"/>
        <w:right w:w="57" w:type="dxa"/>
      </w:tblCellMar>
    </w:tblPr>
    <w:tblStylePr w:type="firstRow">
      <w:rPr>
        <w:b/>
        <w:bCs/>
        <w:color w:val="FFFFFF" w:themeColor="background1"/>
      </w:rPr>
      <w:tblPr/>
      <w:tcPr>
        <w:shd w:val="clear" w:color="auto" w:fill="C9C9CA" w:themeFill="accent2"/>
      </w:tcPr>
    </w:tblStylePr>
    <w:tblStylePr w:type="lastRow">
      <w:rPr>
        <w:b/>
        <w:bCs/>
      </w:rPr>
      <w:tblPr/>
      <w:tcPr>
        <w:tcBorders>
          <w:top w:val="double" w:sz="4" w:space="0" w:color="C9C9C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9C9CA" w:themeColor="accent2"/>
          <w:right w:val="single" w:sz="4" w:space="0" w:color="C9C9CA" w:themeColor="accent2"/>
        </w:tcBorders>
      </w:tcPr>
    </w:tblStylePr>
    <w:tblStylePr w:type="band1Horz">
      <w:tblPr/>
      <w:tcPr>
        <w:tcBorders>
          <w:top w:val="single" w:sz="4" w:space="0" w:color="C9C9CA" w:themeColor="accent2"/>
          <w:bottom w:val="single" w:sz="4" w:space="0" w:color="C9C9C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9C9CA" w:themeColor="accent2"/>
          <w:left w:val="nil"/>
        </w:tcBorders>
      </w:tcPr>
    </w:tblStylePr>
    <w:tblStylePr w:type="swCell">
      <w:tblPr/>
      <w:tcPr>
        <w:tcBorders>
          <w:top w:val="double" w:sz="4" w:space="0" w:color="C9C9CA" w:themeColor="accent2"/>
          <w:right w:val="nil"/>
        </w:tcBorders>
      </w:tcPr>
    </w:tblStylePr>
  </w:style>
  <w:style w:type="table" w:customStyle="1" w:styleId="ListTable3-Accent31">
    <w:name w:val="List Table 3 - Accent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3D0DF" w:themeColor="accent3"/>
        <w:left w:val="single" w:sz="4" w:space="0" w:color="63D0DF" w:themeColor="accent3"/>
        <w:bottom w:val="single" w:sz="4" w:space="0" w:color="63D0DF" w:themeColor="accent3"/>
        <w:right w:val="single" w:sz="4" w:space="0" w:color="63D0DF" w:themeColor="accent3"/>
      </w:tblBorders>
      <w:tblCellMar>
        <w:top w:w="57" w:type="dxa"/>
        <w:left w:w="57" w:type="dxa"/>
        <w:bottom w:w="57" w:type="dxa"/>
        <w:right w:w="57" w:type="dxa"/>
      </w:tblCellMar>
    </w:tblPr>
    <w:tblStylePr w:type="firstRow">
      <w:rPr>
        <w:b/>
        <w:bCs/>
        <w:color w:val="FFFFFF" w:themeColor="background1"/>
      </w:rPr>
      <w:tblPr/>
      <w:tcPr>
        <w:shd w:val="clear" w:color="auto" w:fill="63D0DF" w:themeFill="accent3"/>
      </w:tcPr>
    </w:tblStylePr>
    <w:tblStylePr w:type="lastRow">
      <w:rPr>
        <w:b/>
        <w:bCs/>
      </w:rPr>
      <w:tblPr/>
      <w:tcPr>
        <w:tcBorders>
          <w:top w:val="double" w:sz="4" w:space="0" w:color="63D0D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3"/>
          <w:right w:val="single" w:sz="4" w:space="0" w:color="63D0DF" w:themeColor="accent3"/>
        </w:tcBorders>
      </w:tcPr>
    </w:tblStylePr>
    <w:tblStylePr w:type="band1Horz">
      <w:tblPr/>
      <w:tcPr>
        <w:tcBorders>
          <w:top w:val="single" w:sz="4" w:space="0" w:color="63D0DF" w:themeColor="accent3"/>
          <w:bottom w:val="single" w:sz="4" w:space="0" w:color="63D0D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3"/>
          <w:left w:val="nil"/>
        </w:tcBorders>
      </w:tcPr>
    </w:tblStylePr>
    <w:tblStylePr w:type="swCell">
      <w:tblPr/>
      <w:tcPr>
        <w:tcBorders>
          <w:top w:val="double" w:sz="4" w:space="0" w:color="63D0DF" w:themeColor="accent3"/>
          <w:right w:val="nil"/>
        </w:tcBorders>
      </w:tcPr>
    </w:tblStylePr>
  </w:style>
  <w:style w:type="table" w:customStyle="1" w:styleId="ListTable3-Accent41">
    <w:name w:val="List Table 3 - Accent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A1A1" w:themeColor="accent4"/>
        <w:left w:val="single" w:sz="4" w:space="0" w:color="A1A1A1" w:themeColor="accent4"/>
        <w:bottom w:val="single" w:sz="4" w:space="0" w:color="A1A1A1" w:themeColor="accent4"/>
        <w:right w:val="single" w:sz="4" w:space="0" w:color="A1A1A1" w:themeColor="accent4"/>
      </w:tblBorders>
      <w:tblCellMar>
        <w:top w:w="57" w:type="dxa"/>
        <w:left w:w="57" w:type="dxa"/>
        <w:bottom w:w="57" w:type="dxa"/>
        <w:right w:w="57" w:type="dxa"/>
      </w:tblCellMar>
    </w:tblPr>
    <w:tblStylePr w:type="firstRow">
      <w:rPr>
        <w:b/>
        <w:bCs/>
        <w:color w:val="FFFFFF" w:themeColor="background1"/>
      </w:rPr>
      <w:tblPr/>
      <w:tcPr>
        <w:shd w:val="clear" w:color="auto" w:fill="A1A1A1" w:themeFill="accent4"/>
      </w:tcPr>
    </w:tblStylePr>
    <w:tblStylePr w:type="lastRow">
      <w:rPr>
        <w:b/>
        <w:bCs/>
      </w:rPr>
      <w:tblPr/>
      <w:tcPr>
        <w:tcBorders>
          <w:top w:val="double" w:sz="4" w:space="0" w:color="A1A1A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A1A1" w:themeColor="accent4"/>
          <w:right w:val="single" w:sz="4" w:space="0" w:color="A1A1A1" w:themeColor="accent4"/>
        </w:tcBorders>
      </w:tcPr>
    </w:tblStylePr>
    <w:tblStylePr w:type="band1Horz">
      <w:tblPr/>
      <w:tcPr>
        <w:tcBorders>
          <w:top w:val="single" w:sz="4" w:space="0" w:color="A1A1A1" w:themeColor="accent4"/>
          <w:bottom w:val="single" w:sz="4" w:space="0" w:color="A1A1A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A1A1" w:themeColor="accent4"/>
          <w:left w:val="nil"/>
        </w:tcBorders>
      </w:tcPr>
    </w:tblStylePr>
    <w:tblStylePr w:type="swCell">
      <w:tblPr/>
      <w:tcPr>
        <w:tcBorders>
          <w:top w:val="double" w:sz="4" w:space="0" w:color="A1A1A1" w:themeColor="accent4"/>
          <w:right w:val="nil"/>
        </w:tcBorders>
      </w:tcPr>
    </w:tblStylePr>
  </w:style>
  <w:style w:type="table" w:customStyle="1" w:styleId="ListTable3-Accent51">
    <w:name w:val="List Table 3 - Accent 5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3D0DF" w:themeColor="accent5"/>
        <w:left w:val="single" w:sz="4" w:space="0" w:color="63D0DF" w:themeColor="accent5"/>
        <w:bottom w:val="single" w:sz="4" w:space="0" w:color="63D0DF" w:themeColor="accent5"/>
        <w:right w:val="single" w:sz="4" w:space="0" w:color="63D0DF" w:themeColor="accent5"/>
      </w:tblBorders>
      <w:tblCellMar>
        <w:top w:w="57" w:type="dxa"/>
        <w:left w:w="57" w:type="dxa"/>
        <w:bottom w:w="57" w:type="dxa"/>
        <w:right w:w="57" w:type="dxa"/>
      </w:tblCellMar>
    </w:tblPr>
    <w:tblStylePr w:type="firstRow">
      <w:rPr>
        <w:b/>
        <w:bCs/>
        <w:color w:val="FFFFFF" w:themeColor="background1"/>
      </w:rPr>
      <w:tblPr/>
      <w:tcPr>
        <w:shd w:val="clear" w:color="auto" w:fill="63D0DF" w:themeFill="accent5"/>
      </w:tcPr>
    </w:tblStylePr>
    <w:tblStylePr w:type="lastRow">
      <w:rPr>
        <w:b/>
        <w:bCs/>
      </w:rPr>
      <w:tblPr/>
      <w:tcPr>
        <w:tcBorders>
          <w:top w:val="double" w:sz="4" w:space="0" w:color="63D0D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5"/>
          <w:right w:val="single" w:sz="4" w:space="0" w:color="63D0DF" w:themeColor="accent5"/>
        </w:tcBorders>
      </w:tcPr>
    </w:tblStylePr>
    <w:tblStylePr w:type="band1Horz">
      <w:tblPr/>
      <w:tcPr>
        <w:tcBorders>
          <w:top w:val="single" w:sz="4" w:space="0" w:color="63D0DF" w:themeColor="accent5"/>
          <w:bottom w:val="single" w:sz="4" w:space="0" w:color="63D0D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5"/>
          <w:left w:val="nil"/>
        </w:tcBorders>
      </w:tcPr>
    </w:tblStylePr>
    <w:tblStylePr w:type="swCell">
      <w:tblPr/>
      <w:tcPr>
        <w:tcBorders>
          <w:top w:val="double" w:sz="4" w:space="0" w:color="63D0DF" w:themeColor="accent5"/>
          <w:right w:val="nil"/>
        </w:tcBorders>
      </w:tcPr>
    </w:tblStylePr>
  </w:style>
  <w:style w:type="table" w:customStyle="1" w:styleId="ListTable3-Accent61">
    <w:name w:val="List Table 3 - Accent 6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A1A1" w:themeColor="accent6"/>
        <w:left w:val="single" w:sz="4" w:space="0" w:color="A1A1A1" w:themeColor="accent6"/>
        <w:bottom w:val="single" w:sz="4" w:space="0" w:color="A1A1A1" w:themeColor="accent6"/>
        <w:right w:val="single" w:sz="4" w:space="0" w:color="A1A1A1" w:themeColor="accent6"/>
      </w:tblBorders>
      <w:tblCellMar>
        <w:top w:w="57" w:type="dxa"/>
        <w:left w:w="57" w:type="dxa"/>
        <w:bottom w:w="57" w:type="dxa"/>
        <w:right w:w="57" w:type="dxa"/>
      </w:tblCellMar>
    </w:tblPr>
    <w:tblStylePr w:type="firstRow">
      <w:rPr>
        <w:b/>
        <w:bCs/>
        <w:color w:val="FFFFFF" w:themeColor="background1"/>
      </w:rPr>
      <w:tblPr/>
      <w:tcPr>
        <w:shd w:val="clear" w:color="auto" w:fill="A1A1A1" w:themeFill="accent6"/>
      </w:tcPr>
    </w:tblStylePr>
    <w:tblStylePr w:type="lastRow">
      <w:rPr>
        <w:b/>
        <w:bCs/>
      </w:rPr>
      <w:tblPr/>
      <w:tcPr>
        <w:tcBorders>
          <w:top w:val="double" w:sz="4" w:space="0" w:color="A1A1A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A1A1" w:themeColor="accent6"/>
          <w:right w:val="single" w:sz="4" w:space="0" w:color="A1A1A1" w:themeColor="accent6"/>
        </w:tcBorders>
      </w:tcPr>
    </w:tblStylePr>
    <w:tblStylePr w:type="band1Horz">
      <w:tblPr/>
      <w:tcPr>
        <w:tcBorders>
          <w:top w:val="single" w:sz="4" w:space="0" w:color="A1A1A1" w:themeColor="accent6"/>
          <w:bottom w:val="single" w:sz="4" w:space="0" w:color="A1A1A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A1A1" w:themeColor="accent6"/>
          <w:left w:val="nil"/>
        </w:tcBorders>
      </w:tcPr>
    </w:tblStylePr>
    <w:tblStylePr w:type="swCell">
      <w:tblPr/>
      <w:tcPr>
        <w:tcBorders>
          <w:top w:val="double" w:sz="4" w:space="0" w:color="A1A1A1" w:themeColor="accent6"/>
          <w:right w:val="nil"/>
        </w:tcBorders>
      </w:tcPr>
    </w:tblStylePr>
  </w:style>
  <w:style w:type="table" w:customStyle="1" w:styleId="ListTable41">
    <w:name w:val="List Table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1"/>
          <w:left w:val="single" w:sz="4" w:space="0" w:color="63D0DF" w:themeColor="accent1"/>
          <w:bottom w:val="single" w:sz="4" w:space="0" w:color="63D0DF" w:themeColor="accent1"/>
          <w:right w:val="single" w:sz="4" w:space="0" w:color="63D0DF" w:themeColor="accent1"/>
          <w:insideH w:val="nil"/>
        </w:tcBorders>
        <w:shd w:val="clear" w:color="auto" w:fill="63D0DF" w:themeFill="accent1"/>
      </w:tcPr>
    </w:tblStylePr>
    <w:tblStylePr w:type="lastRow">
      <w:rPr>
        <w:b/>
        <w:bCs/>
      </w:rPr>
      <w:tblPr/>
      <w:tcPr>
        <w:tcBorders>
          <w:top w:val="doub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customStyle="1" w:styleId="ListTable4-Accent21">
    <w:name w:val="List Table 4 - Accent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C9C9CA" w:themeColor="accent2"/>
          <w:left w:val="single" w:sz="4" w:space="0" w:color="C9C9CA" w:themeColor="accent2"/>
          <w:bottom w:val="single" w:sz="4" w:space="0" w:color="C9C9CA" w:themeColor="accent2"/>
          <w:right w:val="single" w:sz="4" w:space="0" w:color="C9C9CA" w:themeColor="accent2"/>
          <w:insideH w:val="nil"/>
        </w:tcBorders>
        <w:shd w:val="clear" w:color="auto" w:fill="C9C9CA" w:themeFill="accent2"/>
      </w:tcPr>
    </w:tblStylePr>
    <w:tblStylePr w:type="lastRow">
      <w:rPr>
        <w:b/>
        <w:bCs/>
      </w:rPr>
      <w:tblPr/>
      <w:tcPr>
        <w:tcBorders>
          <w:top w:val="doub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customStyle="1" w:styleId="ListTable4-Accent31">
    <w:name w:val="List Table 4 - Accent 3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3"/>
          <w:left w:val="single" w:sz="4" w:space="0" w:color="63D0DF" w:themeColor="accent3"/>
          <w:bottom w:val="single" w:sz="4" w:space="0" w:color="63D0DF" w:themeColor="accent3"/>
          <w:right w:val="single" w:sz="4" w:space="0" w:color="63D0DF" w:themeColor="accent3"/>
          <w:insideH w:val="nil"/>
        </w:tcBorders>
        <w:shd w:val="clear" w:color="auto" w:fill="63D0DF" w:themeFill="accent3"/>
      </w:tcPr>
    </w:tblStylePr>
    <w:tblStylePr w:type="lastRow">
      <w:rPr>
        <w:b/>
        <w:bCs/>
      </w:rPr>
      <w:tblPr/>
      <w:tcPr>
        <w:tcBorders>
          <w:top w:val="doub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customStyle="1" w:styleId="ListTable4-Accent41">
    <w:name w:val="List Table 4 - Accent 4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4"/>
          <w:left w:val="single" w:sz="4" w:space="0" w:color="A1A1A1" w:themeColor="accent4"/>
          <w:bottom w:val="single" w:sz="4" w:space="0" w:color="A1A1A1" w:themeColor="accent4"/>
          <w:right w:val="single" w:sz="4" w:space="0" w:color="A1A1A1" w:themeColor="accent4"/>
          <w:insideH w:val="nil"/>
        </w:tcBorders>
        <w:shd w:val="clear" w:color="auto" w:fill="A1A1A1" w:themeFill="accent4"/>
      </w:tcPr>
    </w:tblStylePr>
    <w:tblStylePr w:type="lastRow">
      <w:rPr>
        <w:b/>
        <w:bCs/>
      </w:rPr>
      <w:tblPr/>
      <w:tcPr>
        <w:tcBorders>
          <w:top w:val="doub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customStyle="1" w:styleId="ListTable4-Accent51">
    <w:name w:val="List Table 4 - Accent 5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5"/>
          <w:left w:val="single" w:sz="4" w:space="0" w:color="63D0DF" w:themeColor="accent5"/>
          <w:bottom w:val="single" w:sz="4" w:space="0" w:color="63D0DF" w:themeColor="accent5"/>
          <w:right w:val="single" w:sz="4" w:space="0" w:color="63D0DF" w:themeColor="accent5"/>
          <w:insideH w:val="nil"/>
        </w:tcBorders>
        <w:shd w:val="clear" w:color="auto" w:fill="63D0DF" w:themeFill="accent5"/>
      </w:tcPr>
    </w:tblStylePr>
    <w:tblStylePr w:type="lastRow">
      <w:rPr>
        <w:b/>
        <w:bCs/>
      </w:rPr>
      <w:tblPr/>
      <w:tcPr>
        <w:tcBorders>
          <w:top w:val="doub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customStyle="1" w:styleId="ListTable4-Accent61">
    <w:name w:val="List Table 4 - Accent 6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6"/>
          <w:left w:val="single" w:sz="4" w:space="0" w:color="A1A1A1" w:themeColor="accent6"/>
          <w:bottom w:val="single" w:sz="4" w:space="0" w:color="A1A1A1" w:themeColor="accent6"/>
          <w:right w:val="single" w:sz="4" w:space="0" w:color="A1A1A1" w:themeColor="accent6"/>
          <w:insideH w:val="nil"/>
        </w:tcBorders>
        <w:shd w:val="clear" w:color="auto" w:fill="A1A1A1" w:themeFill="accent6"/>
      </w:tcPr>
    </w:tblStylePr>
    <w:tblStylePr w:type="lastRow">
      <w:rPr>
        <w:b/>
        <w:bCs/>
      </w:rPr>
      <w:tblPr/>
      <w:tcPr>
        <w:tcBorders>
          <w:top w:val="doub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customStyle="1" w:styleId="ListTable5Dark1">
    <w:name w:val="List Table 5 Dark1"/>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left w:w="85" w:type="dxa"/>
        <w:bottom w:w="85" w:type="dxa"/>
        <w:right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1"/>
        <w:left w:val="single" w:sz="24" w:space="0" w:color="63D0DF" w:themeColor="accent1"/>
        <w:bottom w:val="single" w:sz="24" w:space="0" w:color="63D0DF" w:themeColor="accent1"/>
        <w:right w:val="single" w:sz="24" w:space="0" w:color="63D0DF" w:themeColor="accent1"/>
      </w:tblBorders>
      <w:tblCellMar>
        <w:top w:w="85" w:type="dxa"/>
        <w:left w:w="85" w:type="dxa"/>
        <w:bottom w:w="85" w:type="dxa"/>
        <w:right w:w="85" w:type="dxa"/>
      </w:tblCellMar>
    </w:tblPr>
    <w:tcPr>
      <w:shd w:val="clear" w:color="auto" w:fill="63D0D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C9C9CA" w:themeColor="accent2"/>
        <w:left w:val="single" w:sz="24" w:space="0" w:color="C9C9CA" w:themeColor="accent2"/>
        <w:bottom w:val="single" w:sz="24" w:space="0" w:color="C9C9CA" w:themeColor="accent2"/>
        <w:right w:val="single" w:sz="24" w:space="0" w:color="C9C9CA" w:themeColor="accent2"/>
      </w:tblBorders>
      <w:tblCellMar>
        <w:top w:w="85" w:type="dxa"/>
        <w:left w:w="85" w:type="dxa"/>
        <w:bottom w:w="85" w:type="dxa"/>
        <w:right w:w="85" w:type="dxa"/>
      </w:tblCellMar>
    </w:tblPr>
    <w:tcPr>
      <w:shd w:val="clear" w:color="auto" w:fill="C9C9C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3"/>
        <w:left w:val="single" w:sz="24" w:space="0" w:color="63D0DF" w:themeColor="accent3"/>
        <w:bottom w:val="single" w:sz="24" w:space="0" w:color="63D0DF" w:themeColor="accent3"/>
        <w:right w:val="single" w:sz="24" w:space="0" w:color="63D0DF" w:themeColor="accent3"/>
      </w:tblBorders>
      <w:tblCellMar>
        <w:top w:w="85" w:type="dxa"/>
        <w:left w:w="85" w:type="dxa"/>
        <w:bottom w:w="85" w:type="dxa"/>
        <w:right w:w="85" w:type="dxa"/>
      </w:tblCellMar>
    </w:tblPr>
    <w:tcPr>
      <w:shd w:val="clear" w:color="auto" w:fill="63D0D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A1A1A1" w:themeColor="accent4"/>
        <w:left w:val="single" w:sz="24" w:space="0" w:color="A1A1A1" w:themeColor="accent4"/>
        <w:bottom w:val="single" w:sz="24" w:space="0" w:color="A1A1A1" w:themeColor="accent4"/>
        <w:right w:val="single" w:sz="24" w:space="0" w:color="A1A1A1" w:themeColor="accent4"/>
      </w:tblBorders>
      <w:tblCellMar>
        <w:top w:w="85" w:type="dxa"/>
        <w:left w:w="85" w:type="dxa"/>
        <w:bottom w:w="85" w:type="dxa"/>
        <w:right w:w="85" w:type="dxa"/>
      </w:tblCellMar>
    </w:tblPr>
    <w:tcPr>
      <w:shd w:val="clear" w:color="auto" w:fill="A1A1A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5"/>
        <w:left w:val="single" w:sz="24" w:space="0" w:color="63D0DF" w:themeColor="accent5"/>
        <w:bottom w:val="single" w:sz="24" w:space="0" w:color="63D0DF" w:themeColor="accent5"/>
        <w:right w:val="single" w:sz="24" w:space="0" w:color="63D0DF" w:themeColor="accent5"/>
      </w:tblBorders>
      <w:tblCellMar>
        <w:top w:w="85" w:type="dxa"/>
        <w:left w:w="85" w:type="dxa"/>
        <w:bottom w:w="85" w:type="dxa"/>
        <w:right w:w="85" w:type="dxa"/>
      </w:tblCellMar>
    </w:tblPr>
    <w:tcPr>
      <w:shd w:val="clear" w:color="auto" w:fill="63D0D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A1A1A1" w:themeColor="accent6"/>
        <w:left w:val="single" w:sz="24" w:space="0" w:color="A1A1A1" w:themeColor="accent6"/>
        <w:bottom w:val="single" w:sz="24" w:space="0" w:color="A1A1A1" w:themeColor="accent6"/>
        <w:right w:val="single" w:sz="24" w:space="0" w:color="A1A1A1" w:themeColor="accent6"/>
      </w:tblBorders>
      <w:tblCellMar>
        <w:top w:w="85" w:type="dxa"/>
        <w:left w:w="85" w:type="dxa"/>
        <w:bottom w:w="85" w:type="dxa"/>
        <w:right w:w="85" w:type="dxa"/>
      </w:tblCellMar>
    </w:tblPr>
    <w:tcPr>
      <w:shd w:val="clear" w:color="auto" w:fill="A1A1A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98"/>
    <w:semiHidden/>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000000" w:themeColor="text1"/>
        <w:bottom w:val="single" w:sz="4" w:space="0" w:color="000000" w:themeColor="text1"/>
      </w:tblBorders>
      <w:tblCellMar>
        <w:top w:w="57" w:type="dxa"/>
        <w:left w:w="57" w:type="dxa"/>
        <w:bottom w:w="57" w:type="dxa"/>
        <w:right w:w="57"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98"/>
    <w:semiHidden/>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63D0DF" w:themeColor="accent1"/>
        <w:bottom w:val="single" w:sz="4" w:space="0" w:color="63D0DF" w:themeColor="accent1"/>
      </w:tblBorders>
      <w:tblCellMar>
        <w:top w:w="57" w:type="dxa"/>
        <w:left w:w="57" w:type="dxa"/>
        <w:bottom w:w="57" w:type="dxa"/>
        <w:right w:w="57" w:type="dxa"/>
      </w:tblCellMar>
    </w:tblPr>
    <w:tblStylePr w:type="firstRow">
      <w:rPr>
        <w:b/>
        <w:bCs/>
      </w:rPr>
      <w:tblPr/>
      <w:tcPr>
        <w:tcBorders>
          <w:bottom w:val="single" w:sz="4" w:space="0" w:color="63D0DF" w:themeColor="accent1"/>
        </w:tcBorders>
      </w:tcPr>
    </w:tblStylePr>
    <w:tblStylePr w:type="lastRow">
      <w:rPr>
        <w:b/>
        <w:bCs/>
      </w:rPr>
      <w:tblPr/>
      <w:tcPr>
        <w:tcBorders>
          <w:top w:val="double" w:sz="4" w:space="0" w:color="63D0DF" w:themeColor="accent1"/>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customStyle="1" w:styleId="ListTable6Colorful-Accent21">
    <w:name w:val="List Table 6 Colorful - Accent 21"/>
    <w:basedOn w:val="TableNormal"/>
    <w:uiPriority w:val="98"/>
    <w:semiHidden/>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C9C9CA" w:themeColor="accent2"/>
        <w:bottom w:val="single" w:sz="4" w:space="0" w:color="C9C9CA" w:themeColor="accent2"/>
      </w:tblBorders>
      <w:tblCellMar>
        <w:top w:w="57" w:type="dxa"/>
        <w:left w:w="57" w:type="dxa"/>
        <w:bottom w:w="57" w:type="dxa"/>
        <w:right w:w="57" w:type="dxa"/>
      </w:tblCellMar>
    </w:tblPr>
    <w:tblStylePr w:type="firstRow">
      <w:rPr>
        <w:b/>
        <w:bCs/>
      </w:rPr>
      <w:tblPr/>
      <w:tcPr>
        <w:tcBorders>
          <w:bottom w:val="single" w:sz="4" w:space="0" w:color="C9C9CA" w:themeColor="accent2"/>
        </w:tcBorders>
      </w:tcPr>
    </w:tblStylePr>
    <w:tblStylePr w:type="lastRow">
      <w:rPr>
        <w:b/>
        <w:bCs/>
      </w:rPr>
      <w:tblPr/>
      <w:tcPr>
        <w:tcBorders>
          <w:top w:val="double" w:sz="4" w:space="0" w:color="C9C9CA" w:themeColor="accent2"/>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customStyle="1" w:styleId="ListTable6Colorful-Accent31">
    <w:name w:val="List Table 6 Colorful - Accent 31"/>
    <w:basedOn w:val="TableNormal"/>
    <w:uiPriority w:val="98"/>
    <w:semiHidden/>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63D0DF" w:themeColor="accent3"/>
        <w:bottom w:val="single" w:sz="4" w:space="0" w:color="63D0DF" w:themeColor="accent3"/>
      </w:tblBorders>
      <w:tblCellMar>
        <w:top w:w="57" w:type="dxa"/>
        <w:left w:w="57" w:type="dxa"/>
        <w:bottom w:w="57" w:type="dxa"/>
        <w:right w:w="57" w:type="dxa"/>
      </w:tblCellMar>
    </w:tblPr>
    <w:tblStylePr w:type="firstRow">
      <w:rPr>
        <w:b/>
        <w:bCs/>
      </w:rPr>
      <w:tblPr/>
      <w:tcPr>
        <w:tcBorders>
          <w:bottom w:val="single" w:sz="4" w:space="0" w:color="63D0DF" w:themeColor="accent3"/>
        </w:tcBorders>
      </w:tcPr>
    </w:tblStylePr>
    <w:tblStylePr w:type="lastRow">
      <w:rPr>
        <w:b/>
        <w:bCs/>
      </w:rPr>
      <w:tblPr/>
      <w:tcPr>
        <w:tcBorders>
          <w:top w:val="double" w:sz="4" w:space="0" w:color="63D0DF" w:themeColor="accent3"/>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customStyle="1" w:styleId="ListTable6Colorful-Accent41">
    <w:name w:val="List Table 6 Colorful - Accent 41"/>
    <w:basedOn w:val="TableNormal"/>
    <w:uiPriority w:val="98"/>
    <w:semiHidden/>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A1A1A1" w:themeColor="accent4"/>
        <w:bottom w:val="single" w:sz="4" w:space="0" w:color="A1A1A1" w:themeColor="accent4"/>
      </w:tblBorders>
      <w:tblCellMar>
        <w:top w:w="57" w:type="dxa"/>
        <w:left w:w="57" w:type="dxa"/>
        <w:bottom w:w="57" w:type="dxa"/>
        <w:right w:w="57" w:type="dxa"/>
      </w:tblCellMar>
    </w:tblPr>
    <w:tblStylePr w:type="firstRow">
      <w:rPr>
        <w:b/>
        <w:bCs/>
      </w:rPr>
      <w:tblPr/>
      <w:tcPr>
        <w:tcBorders>
          <w:bottom w:val="single" w:sz="4" w:space="0" w:color="A1A1A1" w:themeColor="accent4"/>
        </w:tcBorders>
      </w:tcPr>
    </w:tblStylePr>
    <w:tblStylePr w:type="lastRow">
      <w:rPr>
        <w:b/>
        <w:bCs/>
      </w:rPr>
      <w:tblPr/>
      <w:tcPr>
        <w:tcBorders>
          <w:top w:val="double" w:sz="4" w:space="0" w:color="A1A1A1" w:themeColor="accent4"/>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customStyle="1" w:styleId="ListTable6Colorful-Accent51">
    <w:name w:val="List Table 6 Colorful - Accent 51"/>
    <w:basedOn w:val="TableNormal"/>
    <w:uiPriority w:val="98"/>
    <w:semiHidden/>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63D0DF" w:themeColor="accent5"/>
        <w:bottom w:val="single" w:sz="4" w:space="0" w:color="63D0DF" w:themeColor="accent5"/>
      </w:tblBorders>
      <w:tblCellMar>
        <w:top w:w="57" w:type="dxa"/>
        <w:left w:w="57" w:type="dxa"/>
        <w:bottom w:w="57" w:type="dxa"/>
        <w:right w:w="57" w:type="dxa"/>
      </w:tblCellMar>
    </w:tblPr>
    <w:tblStylePr w:type="firstRow">
      <w:rPr>
        <w:b/>
        <w:bCs/>
      </w:rPr>
      <w:tblPr/>
      <w:tcPr>
        <w:tcBorders>
          <w:bottom w:val="single" w:sz="4" w:space="0" w:color="63D0DF" w:themeColor="accent5"/>
        </w:tcBorders>
      </w:tcPr>
    </w:tblStylePr>
    <w:tblStylePr w:type="lastRow">
      <w:rPr>
        <w:b/>
        <w:bCs/>
      </w:rPr>
      <w:tblPr/>
      <w:tcPr>
        <w:tcBorders>
          <w:top w:val="double" w:sz="4" w:space="0" w:color="63D0DF" w:themeColor="accent5"/>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customStyle="1" w:styleId="ListTable6Colorful-Accent61">
    <w:name w:val="List Table 6 Colorful - Accent 61"/>
    <w:basedOn w:val="TableNormal"/>
    <w:uiPriority w:val="98"/>
    <w:semiHidden/>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A1A1A1" w:themeColor="accent6"/>
        <w:bottom w:val="single" w:sz="4" w:space="0" w:color="A1A1A1" w:themeColor="accent6"/>
      </w:tblBorders>
      <w:tblCellMar>
        <w:top w:w="57" w:type="dxa"/>
        <w:left w:w="57" w:type="dxa"/>
        <w:bottom w:w="57" w:type="dxa"/>
        <w:right w:w="57" w:type="dxa"/>
      </w:tblCellMar>
    </w:tblPr>
    <w:tblStylePr w:type="firstRow">
      <w:rPr>
        <w:b/>
        <w:bCs/>
      </w:rPr>
      <w:tblPr/>
      <w:tcPr>
        <w:tcBorders>
          <w:bottom w:val="single" w:sz="4" w:space="0" w:color="A1A1A1" w:themeColor="accent6"/>
        </w:tcBorders>
      </w:tcPr>
    </w:tblStylePr>
    <w:tblStylePr w:type="lastRow">
      <w:rPr>
        <w:b/>
        <w:bCs/>
      </w:rPr>
      <w:tblPr/>
      <w:tcPr>
        <w:tcBorders>
          <w:top w:val="double" w:sz="4" w:space="0" w:color="A1A1A1" w:themeColor="accent6"/>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customStyle="1" w:styleId="ListTable7Colorful1">
    <w:name w:val="List Table 7 Colorful1"/>
    <w:basedOn w:val="TableNormal"/>
    <w:uiPriority w:val="98"/>
    <w:semiHidden/>
    <w:rsid w:val="00573428"/>
    <w:rPr>
      <w:rFonts w:asciiTheme="minorHAnsi" w:eastAsia="Century Gothic" w:hAnsiTheme="minorHAnsi" w:cstheme="minorBidi"/>
      <w:color w:val="000000" w:themeColor="text1"/>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98"/>
    <w:semiHidden/>
    <w:rsid w:val="00573428"/>
    <w:rPr>
      <w:rFonts w:asciiTheme="minorHAnsi" w:eastAsia="Century Gothic" w:hAnsiTheme="minorHAnsi" w:cstheme="minorBidi"/>
      <w:color w:val="29B4C7" w:themeColor="accent1"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1"/>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98"/>
    <w:semiHidden/>
    <w:rsid w:val="00573428"/>
    <w:rPr>
      <w:rFonts w:asciiTheme="minorHAnsi" w:eastAsia="Century Gothic" w:hAnsiTheme="minorHAnsi" w:cstheme="minorBidi"/>
      <w:color w:val="959597" w:themeColor="accent2"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C9C9C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9C9C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9C9C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9C9CA" w:themeColor="accent2"/>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98"/>
    <w:semiHidden/>
    <w:rsid w:val="00573428"/>
    <w:rPr>
      <w:rFonts w:asciiTheme="minorHAnsi" w:eastAsia="Century Gothic" w:hAnsiTheme="minorHAnsi" w:cstheme="minorBidi"/>
      <w:color w:val="29B4C7" w:themeColor="accent3"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3"/>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98"/>
    <w:semiHidden/>
    <w:rsid w:val="00573428"/>
    <w:rPr>
      <w:rFonts w:asciiTheme="minorHAnsi" w:eastAsia="Century Gothic" w:hAnsiTheme="minorHAnsi" w:cstheme="minorBidi"/>
      <w:color w:val="787878" w:themeColor="accent4"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A1A1A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1A1A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1A1A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1A1A1" w:themeColor="accent4"/>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98"/>
    <w:semiHidden/>
    <w:rsid w:val="00573428"/>
    <w:rPr>
      <w:rFonts w:asciiTheme="minorHAnsi" w:eastAsia="Century Gothic" w:hAnsiTheme="minorHAnsi" w:cstheme="minorBidi"/>
      <w:color w:val="29B4C7" w:themeColor="accent5"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5"/>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CellMar>
        <w:top w:w="57" w:type="dxa"/>
        <w:left w:w="57" w:type="dxa"/>
        <w:bottom w:w="57" w:type="dxa"/>
        <w:right w:w="5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113"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Bullet2">
    <w:name w:val="List Bullet 2"/>
    <w:basedOn w:val="Normal"/>
    <w:uiPriority w:val="3"/>
    <w:rsid w:val="2AD67AEA"/>
    <w:pPr>
      <w:tabs>
        <w:tab w:val="num" w:pos="567"/>
      </w:tabs>
      <w:ind w:left="568" w:hanging="284"/>
    </w:pPr>
    <w:rPr>
      <w:rFonts w:eastAsia="Century Gothic" w:cstheme="minorBidi"/>
      <w:lang w:eastAsia="en-US"/>
    </w:rPr>
  </w:style>
  <w:style w:type="paragraph" w:styleId="ListBullet3">
    <w:name w:val="List Bullet 3"/>
    <w:basedOn w:val="Normal"/>
    <w:uiPriority w:val="3"/>
    <w:rsid w:val="2AD67AEA"/>
    <w:pPr>
      <w:tabs>
        <w:tab w:val="num" w:pos="851"/>
      </w:tabs>
      <w:ind w:left="852" w:hanging="284"/>
    </w:pPr>
    <w:rPr>
      <w:rFonts w:eastAsia="Century Gothic" w:cstheme="minorBidi"/>
      <w:lang w:eastAsia="en-US"/>
    </w:rPr>
  </w:style>
  <w:style w:type="paragraph" w:styleId="ListBullet4">
    <w:name w:val="List Bullet 4"/>
    <w:basedOn w:val="Normal"/>
    <w:uiPriority w:val="3"/>
    <w:semiHidden/>
    <w:unhideWhenUsed/>
    <w:rsid w:val="2AD67AEA"/>
    <w:pPr>
      <w:tabs>
        <w:tab w:val="num" w:pos="284"/>
      </w:tabs>
      <w:ind w:left="1136" w:hanging="284"/>
      <w:contextualSpacing/>
    </w:pPr>
    <w:rPr>
      <w:rFonts w:eastAsia="Century Gothic" w:cstheme="minorBidi"/>
      <w:lang w:eastAsia="en-US"/>
    </w:rPr>
  </w:style>
  <w:style w:type="paragraph" w:styleId="ListBullet5">
    <w:name w:val="List Bullet 5"/>
    <w:basedOn w:val="Normal"/>
    <w:uiPriority w:val="3"/>
    <w:semiHidden/>
    <w:unhideWhenUsed/>
    <w:rsid w:val="2AD67AEA"/>
    <w:pPr>
      <w:tabs>
        <w:tab w:val="num" w:pos="851"/>
      </w:tabs>
      <w:ind w:left="851" w:hanging="284"/>
      <w:contextualSpacing/>
    </w:pPr>
    <w:rPr>
      <w:rFonts w:eastAsia="Century Gothic" w:cstheme="minorBidi"/>
      <w:lang w:eastAsia="en-US"/>
    </w:rPr>
  </w:style>
  <w:style w:type="character" w:customStyle="1" w:styleId="Heading1Char">
    <w:name w:val="Heading 1 Char"/>
    <w:basedOn w:val="DefaultParagraphFont"/>
    <w:link w:val="Heading1"/>
    <w:uiPriority w:val="1"/>
    <w:rsid w:val="00AE0D3F"/>
    <w:rPr>
      <w:rFonts w:asciiTheme="minorHAnsi" w:eastAsiaTheme="majorEastAsia" w:hAnsiTheme="minorHAnsi" w:cs="Calibri"/>
      <w:caps/>
      <w:color w:val="1D336D" w:themeColor="background2"/>
      <w:sz w:val="30"/>
      <w:szCs w:val="32"/>
      <w:lang w:val="en-GB"/>
    </w:rPr>
  </w:style>
  <w:style w:type="paragraph" w:customStyle="1" w:styleId="TableText">
    <w:name w:val="Table Text"/>
    <w:basedOn w:val="Normal"/>
    <w:uiPriority w:val="9"/>
    <w:qFormat/>
    <w:rsid w:val="2AD67AEA"/>
    <w:pPr>
      <w:spacing w:before="40" w:after="40"/>
    </w:pPr>
    <w:rPr>
      <w:rFonts w:eastAsia="Century Gothic"/>
      <w:lang w:eastAsia="en-US"/>
    </w:rPr>
  </w:style>
  <w:style w:type="character" w:styleId="Hyperlink">
    <w:name w:val="Hyperlink"/>
    <w:basedOn w:val="DefaultParagraphFont"/>
    <w:uiPriority w:val="99"/>
    <w:unhideWhenUsed/>
    <w:rsid w:val="00950440"/>
    <w:rPr>
      <w:color w:val="1D336D" w:themeColor="background2"/>
      <w:u w:val="single"/>
    </w:rPr>
  </w:style>
  <w:style w:type="character" w:customStyle="1" w:styleId="UnresolvedMention1">
    <w:name w:val="Unresolved Mention1"/>
    <w:basedOn w:val="DefaultParagraphFont"/>
    <w:uiPriority w:val="99"/>
    <w:semiHidden/>
    <w:unhideWhenUsed/>
    <w:rsid w:val="009442D8"/>
    <w:rPr>
      <w:color w:val="605E5C"/>
      <w:shd w:val="clear" w:color="auto" w:fill="E1DFDD"/>
    </w:rPr>
  </w:style>
  <w:style w:type="paragraph" w:styleId="TOC2">
    <w:name w:val="toc 2"/>
    <w:basedOn w:val="TOC1"/>
    <w:next w:val="Normal"/>
    <w:uiPriority w:val="39"/>
    <w:rsid w:val="00145656"/>
    <w:pPr>
      <w:spacing w:before="40"/>
      <w:ind w:left="170" w:firstLine="0"/>
    </w:pPr>
    <w:rPr>
      <w:b w:val="0"/>
      <w:caps w:val="0"/>
      <w:color w:val="000000" w:themeColor="text1"/>
    </w:rPr>
  </w:style>
  <w:style w:type="paragraph" w:styleId="TOC1">
    <w:name w:val="toc 1"/>
    <w:basedOn w:val="Normal"/>
    <w:next w:val="Normal"/>
    <w:uiPriority w:val="39"/>
    <w:rsid w:val="2AD67AEA"/>
    <w:pPr>
      <w:tabs>
        <w:tab w:val="left" w:pos="567"/>
        <w:tab w:val="right" w:leader="dot" w:pos="9638"/>
      </w:tabs>
      <w:spacing w:before="240" w:after="40"/>
      <w:ind w:left="567" w:hanging="567"/>
    </w:pPr>
    <w:rPr>
      <w:b/>
      <w:bCs/>
      <w:caps/>
      <w:color w:val="2294CD"/>
    </w:rPr>
  </w:style>
  <w:style w:type="paragraph" w:styleId="NoSpacing">
    <w:name w:val="No Spacing"/>
    <w:uiPriority w:val="50"/>
    <w:semiHidden/>
    <w:rsid w:val="00F87FD2"/>
    <w:rPr>
      <w:rFonts w:asciiTheme="minorHAnsi" w:hAnsiTheme="minorHAnsi" w:cs="Calibri"/>
      <w:sz w:val="18"/>
      <w:szCs w:val="24"/>
    </w:rPr>
  </w:style>
  <w:style w:type="numbering" w:customStyle="1" w:styleId="Headings">
    <w:name w:val="Headings"/>
    <w:uiPriority w:val="99"/>
    <w:rsid w:val="00D4310E"/>
    <w:pPr>
      <w:numPr>
        <w:numId w:val="7"/>
      </w:numPr>
    </w:pPr>
  </w:style>
  <w:style w:type="character" w:customStyle="1" w:styleId="Heading6Char">
    <w:name w:val="Heading 6 Char"/>
    <w:basedOn w:val="DefaultParagraphFont"/>
    <w:link w:val="Heading6"/>
    <w:uiPriority w:val="1"/>
    <w:semiHidden/>
    <w:rsid w:val="000E3939"/>
    <w:rPr>
      <w:rFonts w:asciiTheme="majorHAnsi" w:eastAsiaTheme="majorEastAsia" w:hAnsiTheme="majorHAnsi" w:cstheme="majorBidi"/>
      <w:color w:val="1D336D" w:themeColor="background2"/>
      <w:szCs w:val="24"/>
    </w:rPr>
  </w:style>
  <w:style w:type="character" w:customStyle="1" w:styleId="Heading7Char">
    <w:name w:val="Heading 7 Char"/>
    <w:basedOn w:val="DefaultParagraphFont"/>
    <w:link w:val="Heading7"/>
    <w:uiPriority w:val="1"/>
    <w:semiHidden/>
    <w:rsid w:val="000E3939"/>
    <w:rPr>
      <w:rFonts w:asciiTheme="majorHAnsi" w:eastAsiaTheme="majorEastAsia" w:hAnsiTheme="majorHAnsi" w:cstheme="majorBidi"/>
      <w:i/>
      <w:iCs/>
      <w:color w:val="585858" w:themeColor="text2"/>
      <w:szCs w:val="24"/>
    </w:rPr>
  </w:style>
  <w:style w:type="paragraph" w:styleId="TOC3">
    <w:name w:val="toc 3"/>
    <w:basedOn w:val="Normal"/>
    <w:next w:val="Normal"/>
    <w:uiPriority w:val="39"/>
    <w:rsid w:val="2AD67AEA"/>
    <w:pPr>
      <w:tabs>
        <w:tab w:val="left" w:pos="454"/>
        <w:tab w:val="right" w:leader="dot" w:pos="9638"/>
      </w:tabs>
      <w:ind w:left="340"/>
      <w:contextualSpacing/>
    </w:pPr>
    <w:rPr>
      <w:sz w:val="18"/>
      <w:szCs w:val="18"/>
    </w:rPr>
  </w:style>
  <w:style w:type="paragraph" w:customStyle="1" w:styleId="NormalBold">
    <w:name w:val="Normal Bold"/>
    <w:basedOn w:val="Normal"/>
    <w:link w:val="NormalBoldChar"/>
    <w:uiPriority w:val="50"/>
    <w:semiHidden/>
    <w:qFormat/>
    <w:rsid w:val="2AD67AEA"/>
    <w:rPr>
      <w:b/>
      <w:bCs/>
    </w:rPr>
  </w:style>
  <w:style w:type="paragraph" w:customStyle="1" w:styleId="TableTextItalic">
    <w:name w:val="Table Text Italic"/>
    <w:basedOn w:val="TableText"/>
    <w:uiPriority w:val="9"/>
    <w:qFormat/>
    <w:rsid w:val="00A45B75"/>
    <w:rPr>
      <w:i/>
      <w:iCs/>
    </w:rPr>
  </w:style>
  <w:style w:type="character" w:customStyle="1" w:styleId="NormalBoldChar">
    <w:name w:val="Normal Bold Char"/>
    <w:basedOn w:val="DefaultParagraphFont"/>
    <w:link w:val="NormalBold"/>
    <w:uiPriority w:val="50"/>
    <w:semiHidden/>
    <w:rsid w:val="00310B3A"/>
    <w:rPr>
      <w:rFonts w:asciiTheme="minorHAnsi" w:eastAsiaTheme="majorEastAsia" w:hAnsiTheme="minorHAnsi" w:cs="Calibri"/>
      <w:b/>
      <w:color w:val="000000" w:themeColor="text1"/>
      <w:szCs w:val="24"/>
    </w:rPr>
  </w:style>
  <w:style w:type="character" w:customStyle="1" w:styleId="Heading4Char">
    <w:name w:val="Heading 4 Char"/>
    <w:basedOn w:val="DefaultParagraphFont"/>
    <w:link w:val="Heading4"/>
    <w:uiPriority w:val="1"/>
    <w:rsid w:val="00C13F9E"/>
    <w:rPr>
      <w:rFonts w:asciiTheme="majorHAnsi" w:eastAsia="Century Gothic" w:hAnsiTheme="majorHAnsi" w:cstheme="majorBidi"/>
      <w:b/>
      <w:color w:val="000000" w:themeColor="text1"/>
    </w:rPr>
  </w:style>
  <w:style w:type="paragraph" w:styleId="TOC4">
    <w:name w:val="toc 4"/>
    <w:basedOn w:val="Normal"/>
    <w:next w:val="Normal"/>
    <w:uiPriority w:val="39"/>
    <w:semiHidden/>
    <w:rsid w:val="2AD67AEA"/>
    <w:pPr>
      <w:tabs>
        <w:tab w:val="right" w:leader="dot" w:pos="9638"/>
      </w:tabs>
      <w:spacing w:before="20" w:after="20"/>
      <w:ind w:left="1134" w:hanging="567"/>
      <w:contextualSpacing/>
    </w:pPr>
  </w:style>
  <w:style w:type="paragraph" w:styleId="Subtitle">
    <w:name w:val="Subtitle"/>
    <w:basedOn w:val="Normal"/>
    <w:next w:val="Normal"/>
    <w:link w:val="SubtitleChar"/>
    <w:uiPriority w:val="49"/>
    <w:semiHidden/>
    <w:rsid w:val="2AD67AEA"/>
    <w:pPr>
      <w:spacing w:after="640"/>
    </w:pPr>
    <w:rPr>
      <w:rFonts w:eastAsiaTheme="minorEastAsia" w:cstheme="minorBidi"/>
      <w:b/>
      <w:bCs/>
      <w:color w:val="1D336D" w:themeColor="background2"/>
      <w:sz w:val="32"/>
      <w:szCs w:val="32"/>
    </w:rPr>
  </w:style>
  <w:style w:type="character" w:customStyle="1" w:styleId="SubtitleChar">
    <w:name w:val="Subtitle Char"/>
    <w:basedOn w:val="DefaultParagraphFont"/>
    <w:link w:val="Subtitle"/>
    <w:uiPriority w:val="49"/>
    <w:semiHidden/>
    <w:rsid w:val="00310B3A"/>
    <w:rPr>
      <w:rFonts w:asciiTheme="minorHAnsi" w:eastAsiaTheme="minorEastAsia" w:hAnsiTheme="minorHAnsi" w:cstheme="minorBidi"/>
      <w:b/>
      <w:color w:val="1D336D" w:themeColor="background2"/>
      <w:sz w:val="32"/>
      <w:szCs w:val="22"/>
    </w:rPr>
  </w:style>
  <w:style w:type="table" w:customStyle="1" w:styleId="DefaultTable">
    <w:name w:val="_Default Table"/>
    <w:basedOn w:val="TableNormal"/>
    <w:uiPriority w:val="99"/>
    <w:rsid w:val="00635C95"/>
    <w:rPr>
      <w:rFonts w:asciiTheme="minorHAnsi" w:hAnsiTheme="minorHAnsi"/>
      <w:color w:val="000000" w:themeColor="text1"/>
    </w:rPr>
    <w:tblPr>
      <w:tblStyleRowBandSize w:val="1"/>
      <w:tblStyleColBandSize w:val="1"/>
      <w:tblBorders>
        <w:top w:val="single" w:sz="4" w:space="0" w:color="1D336D" w:themeColor="background2"/>
        <w:left w:val="single" w:sz="4" w:space="0" w:color="1D336D" w:themeColor="background2"/>
        <w:bottom w:val="single" w:sz="4" w:space="0" w:color="1D336D" w:themeColor="background2"/>
        <w:right w:val="single" w:sz="4" w:space="0" w:color="1D336D" w:themeColor="background2"/>
        <w:insideH w:val="single" w:sz="4" w:space="0" w:color="1D336D" w:themeColor="background2"/>
        <w:insideV w:val="single" w:sz="4" w:space="0" w:color="1D336D" w:themeColor="background2"/>
      </w:tblBorders>
      <w:tblCellMar>
        <w:top w:w="113" w:type="dxa"/>
        <w:left w:w="113" w:type="dxa"/>
        <w:bottom w:w="113" w:type="dxa"/>
        <w:right w:w="113" w:type="dxa"/>
      </w:tblCellMar>
    </w:tblPr>
    <w:tcPr>
      <w:shd w:val="clear" w:color="auto" w:fill="auto"/>
    </w:tcPr>
    <w:tblStylePr w:type="firstRow">
      <w:rPr>
        <w:b w:val="0"/>
        <w:color w:val="1D336D" w:themeColor="background2"/>
      </w:rPr>
      <w:tblPr/>
      <w:tcPr>
        <w:tcBorders>
          <w:top w:val="single" w:sz="4" w:space="0" w:color="1D336D" w:themeColor="background2"/>
          <w:left w:val="single" w:sz="4" w:space="0" w:color="1D336D" w:themeColor="background2"/>
          <w:bottom w:val="single" w:sz="4" w:space="0" w:color="1D336D" w:themeColor="background2"/>
          <w:right w:val="single" w:sz="4" w:space="0" w:color="1D336D" w:themeColor="background2"/>
          <w:insideH w:val="single" w:sz="4" w:space="0" w:color="1D336D" w:themeColor="background2"/>
          <w:insideV w:val="single" w:sz="4" w:space="0" w:color="1D336D" w:themeColor="background2"/>
        </w:tcBorders>
        <w:shd w:val="clear" w:color="auto" w:fill="1D336D" w:themeFill="background2"/>
      </w:tcPr>
    </w:tblStylePr>
    <w:tblStylePr w:type="lastRow">
      <w:tblPr/>
      <w:tcPr>
        <w:tcBorders>
          <w:top w:val="single" w:sz="12" w:space="0" w:color="1D336D" w:themeColor="background2"/>
          <w:left w:val="nil"/>
          <w:bottom w:val="single" w:sz="12" w:space="0" w:color="1D336D" w:themeColor="background2"/>
          <w:right w:val="nil"/>
          <w:insideH w:val="nil"/>
          <w:insideV w:val="nil"/>
          <w:tl2br w:val="nil"/>
          <w:tr2bl w:val="nil"/>
        </w:tcBorders>
        <w:shd w:val="clear" w:color="auto" w:fill="FFFFFF" w:themeFill="background1"/>
      </w:tcPr>
    </w:tblStylePr>
    <w:tblStylePr w:type="firstCol">
      <w:rPr>
        <w:color w:val="FFFFFF" w:themeColor="background1"/>
      </w:rPr>
      <w:tblPr/>
      <w:tcPr>
        <w:shd w:val="clear" w:color="auto" w:fill="C4CFEF" w:themeFill="background2" w:themeFillTint="33"/>
      </w:tcPr>
    </w:tblStylePr>
    <w:tblStylePr w:type="lastCol">
      <w:rPr>
        <w:color w:val="FFFFFF" w:themeColor="background1"/>
      </w:rPr>
      <w:tblPr/>
      <w:tcPr>
        <w:tcBorders>
          <w:top w:val="nil"/>
          <w:left w:val="nil"/>
          <w:bottom w:val="nil"/>
          <w:right w:val="nil"/>
          <w:insideH w:val="nil"/>
          <w:insideV w:val="nil"/>
          <w:tl2br w:val="nil"/>
          <w:tr2bl w:val="nil"/>
        </w:tcBorders>
        <w:shd w:val="clear" w:color="auto" w:fill="1D336D" w:themeFill="background2"/>
      </w:tcPr>
    </w:tblStylePr>
    <w:tblStylePr w:type="band2Vert">
      <w:tblPr/>
      <w:tcPr>
        <w:shd w:val="clear" w:color="auto" w:fill="DEE4F6"/>
      </w:tcPr>
    </w:tblStylePr>
    <w:tblStylePr w:type="band2Horz">
      <w:tblPr/>
      <w:tcPr>
        <w:shd w:val="clear" w:color="auto" w:fill="DEE4F6"/>
      </w:tcPr>
    </w:tblStylePr>
  </w:style>
  <w:style w:type="paragraph" w:customStyle="1" w:styleId="CoverTitle">
    <w:name w:val="Cover Title"/>
    <w:uiPriority w:val="19"/>
    <w:semiHidden/>
    <w:qFormat/>
    <w:rsid w:val="0081223D"/>
    <w:rPr>
      <w:rFonts w:asciiTheme="minorHAnsi" w:eastAsiaTheme="majorEastAsia" w:hAnsiTheme="minorHAnsi" w:cs="Calibri"/>
      <w:bCs/>
      <w:iCs/>
      <w:color w:val="1D336D" w:themeColor="background2"/>
      <w:sz w:val="72"/>
      <w:szCs w:val="28"/>
    </w:rPr>
  </w:style>
  <w:style w:type="table" w:customStyle="1" w:styleId="PlainGridBlack">
    <w:name w:val="_Plain Grid Black"/>
    <w:basedOn w:val="TableNormal"/>
    <w:uiPriority w:val="99"/>
    <w:rsid w:val="001F6DC1"/>
    <w:rPr>
      <w:rFonts w:asciiTheme="minorHAnsi" w:hAnsiTheme="minorHAnsi"/>
      <w:color w:val="63D0DF" w:themeColor="accen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styleId="ColorfulGrid">
    <w:name w:val="Colorful Grid"/>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1" w:themeFillTint="33"/>
    </w:tcPr>
    <w:tblStylePr w:type="firstRow">
      <w:rPr>
        <w:b/>
        <w:bCs/>
      </w:rPr>
      <w:tblPr/>
      <w:tcPr>
        <w:shd w:val="clear" w:color="auto" w:fill="C0ECF2" w:themeFill="accent1" w:themeFillTint="66"/>
      </w:tcPr>
    </w:tblStylePr>
    <w:tblStylePr w:type="lastRow">
      <w:rPr>
        <w:b/>
        <w:bCs/>
        <w:color w:val="000000" w:themeColor="text1"/>
      </w:rPr>
      <w:tblPr/>
      <w:tcPr>
        <w:shd w:val="clear" w:color="auto" w:fill="C0ECF2" w:themeFill="accent1" w:themeFillTint="66"/>
      </w:tcPr>
    </w:tblStylePr>
    <w:tblStylePr w:type="firstCol">
      <w:rPr>
        <w:color w:val="FFFFFF" w:themeColor="background1"/>
      </w:rPr>
      <w:tblPr/>
      <w:tcPr>
        <w:shd w:val="clear" w:color="auto" w:fill="29B4C7" w:themeFill="accent1" w:themeFillShade="BF"/>
      </w:tcPr>
    </w:tblStylePr>
    <w:tblStylePr w:type="lastCol">
      <w:rPr>
        <w:color w:val="FFFFFF" w:themeColor="background1"/>
      </w:rPr>
      <w:tblPr/>
      <w:tcPr>
        <w:shd w:val="clear" w:color="auto" w:fill="29B4C7" w:themeFill="accent1" w:themeFillShade="BF"/>
      </w:tcPr>
    </w:tblStylePr>
    <w:tblStylePr w:type="band1Vert">
      <w:tblPr/>
      <w:tcPr>
        <w:shd w:val="clear" w:color="auto" w:fill="B1E7EF" w:themeFill="accent1" w:themeFillTint="7F"/>
      </w:tcPr>
    </w:tblStylePr>
    <w:tblStylePr w:type="band1Horz">
      <w:tblPr/>
      <w:tcPr>
        <w:shd w:val="clear" w:color="auto" w:fill="B1E7EF" w:themeFill="accent1" w:themeFillTint="7F"/>
      </w:tcPr>
    </w:tblStylePr>
  </w:style>
  <w:style w:type="table" w:styleId="ColorfulGrid-Accent2">
    <w:name w:val="Colorful Grid Accent 2"/>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F4F4F4" w:themeFill="accent2" w:themeFillTint="33"/>
    </w:tcPr>
    <w:tblStylePr w:type="firstRow">
      <w:rPr>
        <w:b/>
        <w:bCs/>
      </w:rPr>
      <w:tblPr/>
      <w:tcPr>
        <w:shd w:val="clear" w:color="auto" w:fill="E9E9E9" w:themeFill="accent2" w:themeFillTint="66"/>
      </w:tcPr>
    </w:tblStylePr>
    <w:tblStylePr w:type="lastRow">
      <w:rPr>
        <w:b/>
        <w:bCs/>
        <w:color w:val="000000" w:themeColor="text1"/>
      </w:rPr>
      <w:tblPr/>
      <w:tcPr>
        <w:shd w:val="clear" w:color="auto" w:fill="E9E9E9" w:themeFill="accent2" w:themeFillTint="66"/>
      </w:tcPr>
    </w:tblStylePr>
    <w:tblStylePr w:type="firstCol">
      <w:rPr>
        <w:color w:val="FFFFFF" w:themeColor="background1"/>
      </w:rPr>
      <w:tblPr/>
      <w:tcPr>
        <w:shd w:val="clear" w:color="auto" w:fill="959597" w:themeFill="accent2" w:themeFillShade="BF"/>
      </w:tcPr>
    </w:tblStylePr>
    <w:tblStylePr w:type="lastCol">
      <w:rPr>
        <w:color w:val="FFFFFF" w:themeColor="background1"/>
      </w:rPr>
      <w:tblPr/>
      <w:tcPr>
        <w:shd w:val="clear" w:color="auto" w:fill="959597" w:themeFill="accent2" w:themeFillShade="BF"/>
      </w:tcPr>
    </w:tblStylePr>
    <w:tblStylePr w:type="band1Vert">
      <w:tblPr/>
      <w:tcPr>
        <w:shd w:val="clear" w:color="auto" w:fill="E4E4E4" w:themeFill="accent2" w:themeFillTint="7F"/>
      </w:tcPr>
    </w:tblStylePr>
    <w:tblStylePr w:type="band1Horz">
      <w:tblPr/>
      <w:tcPr>
        <w:shd w:val="clear" w:color="auto" w:fill="E4E4E4" w:themeFill="accent2" w:themeFillTint="7F"/>
      </w:tcPr>
    </w:tblStylePr>
  </w:style>
  <w:style w:type="table" w:styleId="ColorfulGrid-Accent3">
    <w:name w:val="Colorful Grid Accent 3"/>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3" w:themeFillTint="33"/>
    </w:tcPr>
    <w:tblStylePr w:type="firstRow">
      <w:rPr>
        <w:b/>
        <w:bCs/>
      </w:rPr>
      <w:tblPr/>
      <w:tcPr>
        <w:shd w:val="clear" w:color="auto" w:fill="C0ECF2" w:themeFill="accent3" w:themeFillTint="66"/>
      </w:tcPr>
    </w:tblStylePr>
    <w:tblStylePr w:type="lastRow">
      <w:rPr>
        <w:b/>
        <w:bCs/>
        <w:color w:val="000000" w:themeColor="text1"/>
      </w:rPr>
      <w:tblPr/>
      <w:tcPr>
        <w:shd w:val="clear" w:color="auto" w:fill="C0ECF2" w:themeFill="accent3" w:themeFillTint="66"/>
      </w:tcPr>
    </w:tblStylePr>
    <w:tblStylePr w:type="firstCol">
      <w:rPr>
        <w:color w:val="FFFFFF" w:themeColor="background1"/>
      </w:rPr>
      <w:tblPr/>
      <w:tcPr>
        <w:shd w:val="clear" w:color="auto" w:fill="29B4C7" w:themeFill="accent3" w:themeFillShade="BF"/>
      </w:tcPr>
    </w:tblStylePr>
    <w:tblStylePr w:type="lastCol">
      <w:rPr>
        <w:color w:val="FFFFFF" w:themeColor="background1"/>
      </w:rPr>
      <w:tblPr/>
      <w:tcPr>
        <w:shd w:val="clear" w:color="auto" w:fill="29B4C7" w:themeFill="accent3" w:themeFillShade="BF"/>
      </w:tcPr>
    </w:tblStylePr>
    <w:tblStylePr w:type="band1Vert">
      <w:tblPr/>
      <w:tcPr>
        <w:shd w:val="clear" w:color="auto" w:fill="B1E7EF" w:themeFill="accent3" w:themeFillTint="7F"/>
      </w:tcPr>
    </w:tblStylePr>
    <w:tblStylePr w:type="band1Horz">
      <w:tblPr/>
      <w:tcPr>
        <w:shd w:val="clear" w:color="auto" w:fill="B1E7EF" w:themeFill="accent3" w:themeFillTint="7F"/>
      </w:tcPr>
    </w:tblStylePr>
  </w:style>
  <w:style w:type="table" w:styleId="ColorfulGrid-Accent4">
    <w:name w:val="Colorful Grid Accent 4"/>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ECECEC" w:themeFill="accent4" w:themeFillTint="33"/>
    </w:tcPr>
    <w:tblStylePr w:type="firstRow">
      <w:rPr>
        <w:b/>
        <w:bCs/>
      </w:rPr>
      <w:tblPr/>
      <w:tcPr>
        <w:shd w:val="clear" w:color="auto" w:fill="D9D9D9" w:themeFill="accent4" w:themeFillTint="66"/>
      </w:tcPr>
    </w:tblStylePr>
    <w:tblStylePr w:type="lastRow">
      <w:rPr>
        <w:b/>
        <w:bCs/>
        <w:color w:val="000000" w:themeColor="text1"/>
      </w:rPr>
      <w:tblPr/>
      <w:tcPr>
        <w:shd w:val="clear" w:color="auto" w:fill="D9D9D9" w:themeFill="accent4" w:themeFillTint="66"/>
      </w:tcPr>
    </w:tblStylePr>
    <w:tblStylePr w:type="firstCol">
      <w:rPr>
        <w:color w:val="FFFFFF" w:themeColor="background1"/>
      </w:rPr>
      <w:tblPr/>
      <w:tcPr>
        <w:shd w:val="clear" w:color="auto" w:fill="787878" w:themeFill="accent4" w:themeFillShade="BF"/>
      </w:tcPr>
    </w:tblStylePr>
    <w:tblStylePr w:type="lastCol">
      <w:rPr>
        <w:color w:val="FFFFFF" w:themeColor="background1"/>
      </w:rPr>
      <w:tblPr/>
      <w:tcPr>
        <w:shd w:val="clear" w:color="auto" w:fill="787878" w:themeFill="accent4" w:themeFillShade="BF"/>
      </w:tcPr>
    </w:tblStylePr>
    <w:tblStylePr w:type="band1Vert">
      <w:tblPr/>
      <w:tcPr>
        <w:shd w:val="clear" w:color="auto" w:fill="D0D0D0" w:themeFill="accent4" w:themeFillTint="7F"/>
      </w:tcPr>
    </w:tblStylePr>
    <w:tblStylePr w:type="band1Horz">
      <w:tblPr/>
      <w:tcPr>
        <w:shd w:val="clear" w:color="auto" w:fill="D0D0D0" w:themeFill="accent4" w:themeFillTint="7F"/>
      </w:tcPr>
    </w:tblStylePr>
  </w:style>
  <w:style w:type="table" w:styleId="ColorfulGrid-Accent5">
    <w:name w:val="Colorful Grid Accent 5"/>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5" w:themeFillTint="33"/>
    </w:tcPr>
    <w:tblStylePr w:type="firstRow">
      <w:rPr>
        <w:b/>
        <w:bCs/>
      </w:rPr>
      <w:tblPr/>
      <w:tcPr>
        <w:shd w:val="clear" w:color="auto" w:fill="C0ECF2" w:themeFill="accent5" w:themeFillTint="66"/>
      </w:tcPr>
    </w:tblStylePr>
    <w:tblStylePr w:type="lastRow">
      <w:rPr>
        <w:b/>
        <w:bCs/>
        <w:color w:val="000000" w:themeColor="text1"/>
      </w:rPr>
      <w:tblPr/>
      <w:tcPr>
        <w:shd w:val="clear" w:color="auto" w:fill="C0ECF2" w:themeFill="accent5" w:themeFillTint="66"/>
      </w:tcPr>
    </w:tblStylePr>
    <w:tblStylePr w:type="firstCol">
      <w:rPr>
        <w:color w:val="FFFFFF" w:themeColor="background1"/>
      </w:rPr>
      <w:tblPr/>
      <w:tcPr>
        <w:shd w:val="clear" w:color="auto" w:fill="29B4C7" w:themeFill="accent5" w:themeFillShade="BF"/>
      </w:tcPr>
    </w:tblStylePr>
    <w:tblStylePr w:type="lastCol">
      <w:rPr>
        <w:color w:val="FFFFFF" w:themeColor="background1"/>
      </w:rPr>
      <w:tblPr/>
      <w:tcPr>
        <w:shd w:val="clear" w:color="auto" w:fill="29B4C7" w:themeFill="accent5" w:themeFillShade="BF"/>
      </w:tcPr>
    </w:tblStylePr>
    <w:tblStylePr w:type="band1Vert">
      <w:tblPr/>
      <w:tcPr>
        <w:shd w:val="clear" w:color="auto" w:fill="B1E7EF" w:themeFill="accent5" w:themeFillTint="7F"/>
      </w:tcPr>
    </w:tblStylePr>
    <w:tblStylePr w:type="band1Horz">
      <w:tblPr/>
      <w:tcPr>
        <w:shd w:val="clear" w:color="auto" w:fill="B1E7EF" w:themeFill="accent5" w:themeFillTint="7F"/>
      </w:tcPr>
    </w:tblStylePr>
  </w:style>
  <w:style w:type="table" w:styleId="ColorfulGrid-Accent6">
    <w:name w:val="Colorful Grid Accent 6"/>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ECECEC" w:themeFill="accent6" w:themeFillTint="33"/>
    </w:tcPr>
    <w:tblStylePr w:type="firstRow">
      <w:rPr>
        <w:b/>
        <w:bCs/>
      </w:rPr>
      <w:tblPr/>
      <w:tcPr>
        <w:shd w:val="clear" w:color="auto" w:fill="D9D9D9" w:themeFill="accent6" w:themeFillTint="66"/>
      </w:tcPr>
    </w:tblStylePr>
    <w:tblStylePr w:type="lastRow">
      <w:rPr>
        <w:b/>
        <w:bCs/>
        <w:color w:val="000000" w:themeColor="text1"/>
      </w:rPr>
      <w:tblPr/>
      <w:tcPr>
        <w:shd w:val="clear" w:color="auto" w:fill="D9D9D9" w:themeFill="accent6" w:themeFillTint="66"/>
      </w:tcPr>
    </w:tblStylePr>
    <w:tblStylePr w:type="firstCol">
      <w:rPr>
        <w:color w:val="FFFFFF" w:themeColor="background1"/>
      </w:rPr>
      <w:tblPr/>
      <w:tcPr>
        <w:shd w:val="clear" w:color="auto" w:fill="787878" w:themeFill="accent6" w:themeFillShade="BF"/>
      </w:tcPr>
    </w:tblStylePr>
    <w:tblStylePr w:type="lastCol">
      <w:rPr>
        <w:color w:val="FFFFFF" w:themeColor="background1"/>
      </w:rPr>
      <w:tblPr/>
      <w:tcPr>
        <w:shd w:val="clear" w:color="auto" w:fill="787878" w:themeFill="accent6" w:themeFillShade="BF"/>
      </w:tcPr>
    </w:tblStylePr>
    <w:tblStylePr w:type="band1Vert">
      <w:tblPr/>
      <w:tcPr>
        <w:shd w:val="clear" w:color="auto" w:fill="D0D0D0" w:themeFill="accent6" w:themeFillTint="7F"/>
      </w:tcPr>
    </w:tblStylePr>
    <w:tblStylePr w:type="band1Horz">
      <w:tblPr/>
      <w:tcPr>
        <w:shd w:val="clear" w:color="auto" w:fill="D0D0D0" w:themeFill="accent6" w:themeFillTint="7F"/>
      </w:tcPr>
    </w:tblStylePr>
  </w:style>
  <w:style w:type="table" w:styleId="ColorfulList">
    <w:name w:val="Colorful List"/>
    <w:basedOn w:val="TableNormal"/>
    <w:uiPriority w:val="98"/>
    <w:semiHidden/>
    <w:unhideWhenUsed/>
    <w:rsid w:val="001F6DC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semiHidden/>
    <w:unhideWhenUsed/>
    <w:rsid w:val="001F6DC1"/>
    <w:rPr>
      <w:color w:val="000000" w:themeColor="text1"/>
    </w:rPr>
    <w:tblPr>
      <w:tblStyleRowBandSize w:val="1"/>
      <w:tblStyleColBandSize w:val="1"/>
    </w:tblPr>
    <w:tcPr>
      <w:shd w:val="clear" w:color="auto" w:fill="EFFAFB" w:themeFill="accent1"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1" w:themeFillTint="3F"/>
      </w:tcPr>
    </w:tblStylePr>
    <w:tblStylePr w:type="band1Horz">
      <w:tblPr/>
      <w:tcPr>
        <w:shd w:val="clear" w:color="auto" w:fill="DFF5F8" w:themeFill="accent1" w:themeFillTint="33"/>
      </w:tcPr>
    </w:tblStylePr>
  </w:style>
  <w:style w:type="table" w:styleId="ColorfulList-Accent2">
    <w:name w:val="Colorful List Accent 2"/>
    <w:basedOn w:val="TableNormal"/>
    <w:uiPriority w:val="98"/>
    <w:semiHidden/>
    <w:unhideWhenUsed/>
    <w:rsid w:val="001F6DC1"/>
    <w:rPr>
      <w:color w:val="000000" w:themeColor="text1"/>
    </w:rPr>
    <w:tblPr>
      <w:tblStyleRowBandSize w:val="1"/>
      <w:tblStyleColBandSize w:val="1"/>
    </w:tblPr>
    <w:tcPr>
      <w:shd w:val="clear" w:color="auto" w:fill="F9F9F9" w:themeFill="accent2"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2" w:themeFillTint="3F"/>
      </w:tcPr>
    </w:tblStylePr>
    <w:tblStylePr w:type="band1Horz">
      <w:tblPr/>
      <w:tcPr>
        <w:shd w:val="clear" w:color="auto" w:fill="F4F4F4" w:themeFill="accent2" w:themeFillTint="33"/>
      </w:tcPr>
    </w:tblStylePr>
  </w:style>
  <w:style w:type="table" w:styleId="ColorfulList-Accent3">
    <w:name w:val="Colorful List Accent 3"/>
    <w:basedOn w:val="TableNormal"/>
    <w:uiPriority w:val="98"/>
    <w:semiHidden/>
    <w:unhideWhenUsed/>
    <w:rsid w:val="001F6DC1"/>
    <w:rPr>
      <w:color w:val="000000" w:themeColor="text1"/>
    </w:rPr>
    <w:tblPr>
      <w:tblStyleRowBandSize w:val="1"/>
      <w:tblStyleColBandSize w:val="1"/>
    </w:tblPr>
    <w:tcPr>
      <w:shd w:val="clear" w:color="auto" w:fill="EFFAFB" w:themeFill="accent3" w:themeFillTint="19"/>
    </w:tcPr>
    <w:tblStylePr w:type="firstRow">
      <w:rPr>
        <w:b/>
        <w:bCs/>
        <w:color w:val="FFFFFF" w:themeColor="background1"/>
      </w:rPr>
      <w:tblPr/>
      <w:tcPr>
        <w:tcBorders>
          <w:bottom w:val="single" w:sz="12" w:space="0" w:color="FFFFFF" w:themeColor="background1"/>
        </w:tcBorders>
        <w:shd w:val="clear" w:color="auto" w:fill="808080" w:themeFill="accent4" w:themeFillShade="CC"/>
      </w:tcPr>
    </w:tblStylePr>
    <w:tblStylePr w:type="lastRow">
      <w:rPr>
        <w:b/>
        <w:bCs/>
        <w:color w:val="80808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3" w:themeFillTint="3F"/>
      </w:tcPr>
    </w:tblStylePr>
    <w:tblStylePr w:type="band1Horz">
      <w:tblPr/>
      <w:tcPr>
        <w:shd w:val="clear" w:color="auto" w:fill="DFF5F8" w:themeFill="accent3" w:themeFillTint="33"/>
      </w:tcPr>
    </w:tblStylePr>
  </w:style>
  <w:style w:type="table" w:styleId="ColorfulList-Accent4">
    <w:name w:val="Colorful List Accent 4"/>
    <w:basedOn w:val="TableNormal"/>
    <w:uiPriority w:val="98"/>
    <w:semiHidden/>
    <w:unhideWhenUsed/>
    <w:rsid w:val="001F6DC1"/>
    <w:rPr>
      <w:color w:val="000000" w:themeColor="text1"/>
    </w:rPr>
    <w:tblPr>
      <w:tblStyleRowBandSize w:val="1"/>
      <w:tblStyleColBandSize w:val="1"/>
    </w:tblPr>
    <w:tcPr>
      <w:shd w:val="clear" w:color="auto" w:fill="F5F5F5" w:themeFill="accent4" w:themeFillTint="19"/>
    </w:tcPr>
    <w:tblStylePr w:type="firstRow">
      <w:rPr>
        <w:b/>
        <w:bCs/>
        <w:color w:val="FFFFFF" w:themeColor="background1"/>
      </w:rPr>
      <w:tblPr/>
      <w:tcPr>
        <w:tcBorders>
          <w:bottom w:val="single" w:sz="12" w:space="0" w:color="FFFFFF" w:themeColor="background1"/>
        </w:tcBorders>
        <w:shd w:val="clear" w:color="auto" w:fill="2DBFD4" w:themeFill="accent3" w:themeFillShade="CC"/>
      </w:tcPr>
    </w:tblStylePr>
    <w:tblStylePr w:type="lastRow">
      <w:rPr>
        <w:b/>
        <w:bCs/>
        <w:color w:val="2DBFD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7E7" w:themeFill="accent4" w:themeFillTint="3F"/>
      </w:tcPr>
    </w:tblStylePr>
    <w:tblStylePr w:type="band1Horz">
      <w:tblPr/>
      <w:tcPr>
        <w:shd w:val="clear" w:color="auto" w:fill="ECECEC" w:themeFill="accent4" w:themeFillTint="33"/>
      </w:tcPr>
    </w:tblStylePr>
  </w:style>
  <w:style w:type="table" w:styleId="ColorfulList-Accent5">
    <w:name w:val="Colorful List Accent 5"/>
    <w:basedOn w:val="TableNormal"/>
    <w:uiPriority w:val="98"/>
    <w:semiHidden/>
    <w:unhideWhenUsed/>
    <w:rsid w:val="001F6DC1"/>
    <w:rPr>
      <w:color w:val="000000" w:themeColor="text1"/>
    </w:rPr>
    <w:tblPr>
      <w:tblStyleRowBandSize w:val="1"/>
      <w:tblStyleColBandSize w:val="1"/>
    </w:tblPr>
    <w:tcPr>
      <w:shd w:val="clear" w:color="auto" w:fill="EFFAFB" w:themeFill="accent5" w:themeFillTint="19"/>
    </w:tcPr>
    <w:tblStylePr w:type="firstRow">
      <w:rPr>
        <w:b/>
        <w:bCs/>
        <w:color w:val="FFFFFF" w:themeColor="background1"/>
      </w:rPr>
      <w:tblPr/>
      <w:tcPr>
        <w:tcBorders>
          <w:bottom w:val="single" w:sz="12" w:space="0" w:color="FFFFFF" w:themeColor="background1"/>
        </w:tcBorders>
        <w:shd w:val="clear" w:color="auto" w:fill="808080" w:themeFill="accent6" w:themeFillShade="CC"/>
      </w:tcPr>
    </w:tblStylePr>
    <w:tblStylePr w:type="lastRow">
      <w:rPr>
        <w:b/>
        <w:bCs/>
        <w:color w:val="80808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5" w:themeFillTint="3F"/>
      </w:tcPr>
    </w:tblStylePr>
    <w:tblStylePr w:type="band1Horz">
      <w:tblPr/>
      <w:tcPr>
        <w:shd w:val="clear" w:color="auto" w:fill="DFF5F8" w:themeFill="accent5" w:themeFillTint="33"/>
      </w:tcPr>
    </w:tblStylePr>
  </w:style>
  <w:style w:type="table" w:styleId="ColorfulList-Accent6">
    <w:name w:val="Colorful List Accent 6"/>
    <w:basedOn w:val="TableNormal"/>
    <w:uiPriority w:val="98"/>
    <w:semiHidden/>
    <w:unhideWhenUsed/>
    <w:rsid w:val="001F6DC1"/>
    <w:rPr>
      <w:color w:val="000000"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2DBFD4" w:themeFill="accent5" w:themeFillShade="CC"/>
      </w:tcPr>
    </w:tblStylePr>
    <w:tblStylePr w:type="lastRow">
      <w:rPr>
        <w:b/>
        <w:bCs/>
        <w:color w:val="2DBFD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7E7" w:themeFill="accent6" w:themeFillTint="3F"/>
      </w:tcPr>
    </w:tblStylePr>
    <w:tblStylePr w:type="band1Horz">
      <w:tblPr/>
      <w:tcPr>
        <w:shd w:val="clear" w:color="auto" w:fill="ECECEC" w:themeFill="accent6" w:themeFillTint="33"/>
      </w:tcPr>
    </w:tblStylePr>
  </w:style>
  <w:style w:type="table" w:styleId="ColorfulShading">
    <w:name w:val="Colorful Shading"/>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63D0DF" w:themeColor="accent1"/>
        <w:bottom w:val="single" w:sz="4" w:space="0" w:color="63D0DF" w:themeColor="accent1"/>
        <w:right w:val="single" w:sz="4" w:space="0" w:color="63D0DF" w:themeColor="accent1"/>
        <w:insideH w:val="single" w:sz="4" w:space="0" w:color="FFFFFF" w:themeColor="background1"/>
        <w:insideV w:val="single" w:sz="4" w:space="0" w:color="FFFFFF" w:themeColor="background1"/>
      </w:tblBorders>
    </w:tblPr>
    <w:tcPr>
      <w:shd w:val="clear" w:color="auto" w:fill="EFFAFB" w:themeFill="accent1"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1" w:themeFillShade="99"/>
      </w:tcPr>
    </w:tblStylePr>
    <w:tblStylePr w:type="firstCol">
      <w:rPr>
        <w:color w:val="FFFFFF" w:themeColor="background1"/>
      </w:rPr>
      <w:tblPr/>
      <w:tcPr>
        <w:tcBorders>
          <w:top w:val="nil"/>
          <w:left w:val="nil"/>
          <w:bottom w:val="nil"/>
          <w:right w:val="nil"/>
          <w:insideH w:val="single" w:sz="4" w:space="0" w:color="2190A0" w:themeColor="accent1" w:themeShade="99"/>
          <w:insideV w:val="nil"/>
        </w:tcBorders>
        <w:shd w:val="clear" w:color="auto" w:fill="2190A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1" w:themeFillShade="99"/>
      </w:tcPr>
    </w:tblStylePr>
    <w:tblStylePr w:type="band1Vert">
      <w:tblPr/>
      <w:tcPr>
        <w:shd w:val="clear" w:color="auto" w:fill="C0ECF2" w:themeFill="accent1" w:themeFillTint="66"/>
      </w:tcPr>
    </w:tblStylePr>
    <w:tblStylePr w:type="band1Horz">
      <w:tblPr/>
      <w:tcPr>
        <w:shd w:val="clear" w:color="auto" w:fill="B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C9C9CA" w:themeColor="accent2"/>
        <w:bottom w:val="single" w:sz="4" w:space="0" w:color="C9C9CA" w:themeColor="accent2"/>
        <w:right w:val="single" w:sz="4" w:space="0" w:color="C9C9CA" w:themeColor="accent2"/>
        <w:insideH w:val="single" w:sz="4" w:space="0" w:color="FFFFFF" w:themeColor="background1"/>
        <w:insideV w:val="single" w:sz="4" w:space="0" w:color="FFFFFF" w:themeColor="background1"/>
      </w:tblBorders>
    </w:tblPr>
    <w:tcPr>
      <w:shd w:val="clear" w:color="auto" w:fill="F9F9F9" w:themeFill="accent2"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7779" w:themeFill="accent2" w:themeFillShade="99"/>
      </w:tcPr>
    </w:tblStylePr>
    <w:tblStylePr w:type="firstCol">
      <w:rPr>
        <w:color w:val="FFFFFF" w:themeColor="background1"/>
      </w:rPr>
      <w:tblPr/>
      <w:tcPr>
        <w:tcBorders>
          <w:top w:val="nil"/>
          <w:left w:val="nil"/>
          <w:bottom w:val="nil"/>
          <w:right w:val="nil"/>
          <w:insideH w:val="single" w:sz="4" w:space="0" w:color="777779" w:themeColor="accent2" w:themeShade="99"/>
          <w:insideV w:val="nil"/>
        </w:tcBorders>
        <w:shd w:val="clear" w:color="auto" w:fill="777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7779" w:themeFill="accent2" w:themeFillShade="99"/>
      </w:tcPr>
    </w:tblStylePr>
    <w:tblStylePr w:type="band1Vert">
      <w:tblPr/>
      <w:tcPr>
        <w:shd w:val="clear" w:color="auto" w:fill="E9E9E9" w:themeFill="accent2" w:themeFillTint="66"/>
      </w:tcPr>
    </w:tblStylePr>
    <w:tblStylePr w:type="band1Horz">
      <w:tblPr/>
      <w:tcPr>
        <w:shd w:val="clear" w:color="auto" w:fill="E4E4E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semiHidden/>
    <w:unhideWhenUsed/>
    <w:rsid w:val="001F6DC1"/>
    <w:rPr>
      <w:color w:val="000000" w:themeColor="text1"/>
    </w:rPr>
    <w:tblPr>
      <w:tblStyleRowBandSize w:val="1"/>
      <w:tblStyleColBandSize w:val="1"/>
      <w:tblBorders>
        <w:top w:val="single" w:sz="24" w:space="0" w:color="A1A1A1" w:themeColor="accent4"/>
        <w:left w:val="single" w:sz="4" w:space="0" w:color="63D0DF" w:themeColor="accent3"/>
        <w:bottom w:val="single" w:sz="4" w:space="0" w:color="63D0DF" w:themeColor="accent3"/>
        <w:right w:val="single" w:sz="4" w:space="0" w:color="63D0DF" w:themeColor="accent3"/>
        <w:insideH w:val="single" w:sz="4" w:space="0" w:color="FFFFFF" w:themeColor="background1"/>
        <w:insideV w:val="single" w:sz="4" w:space="0" w:color="FFFFFF" w:themeColor="background1"/>
      </w:tblBorders>
    </w:tblPr>
    <w:tcPr>
      <w:shd w:val="clear" w:color="auto" w:fill="EFFAFB" w:themeFill="accent3" w:themeFillTint="19"/>
    </w:tcPr>
    <w:tblStylePr w:type="firstRow">
      <w:rPr>
        <w:b/>
        <w:bCs/>
      </w:rPr>
      <w:tblPr/>
      <w:tcPr>
        <w:tcBorders>
          <w:top w:val="nil"/>
          <w:left w:val="nil"/>
          <w:bottom w:val="single" w:sz="24" w:space="0" w:color="A1A1A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3" w:themeFillShade="99"/>
      </w:tcPr>
    </w:tblStylePr>
    <w:tblStylePr w:type="firstCol">
      <w:rPr>
        <w:color w:val="FFFFFF" w:themeColor="background1"/>
      </w:rPr>
      <w:tblPr/>
      <w:tcPr>
        <w:tcBorders>
          <w:top w:val="nil"/>
          <w:left w:val="nil"/>
          <w:bottom w:val="nil"/>
          <w:right w:val="nil"/>
          <w:insideH w:val="single" w:sz="4" w:space="0" w:color="2190A0" w:themeColor="accent3" w:themeShade="99"/>
          <w:insideV w:val="nil"/>
        </w:tcBorders>
        <w:shd w:val="clear" w:color="auto" w:fill="2190A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3" w:themeFillShade="99"/>
      </w:tcPr>
    </w:tblStylePr>
    <w:tblStylePr w:type="band1Vert">
      <w:tblPr/>
      <w:tcPr>
        <w:shd w:val="clear" w:color="auto" w:fill="C0ECF2" w:themeFill="accent3" w:themeFillTint="66"/>
      </w:tcPr>
    </w:tblStylePr>
    <w:tblStylePr w:type="band1Horz">
      <w:tblPr/>
      <w:tcPr>
        <w:shd w:val="clear" w:color="auto" w:fill="B1E7EF" w:themeFill="accent3" w:themeFillTint="7F"/>
      </w:tcPr>
    </w:tblStylePr>
  </w:style>
  <w:style w:type="table" w:styleId="ColorfulShading-Accent4">
    <w:name w:val="Colorful Shading Accent 4"/>
    <w:basedOn w:val="TableNormal"/>
    <w:uiPriority w:val="98"/>
    <w:semiHidden/>
    <w:unhideWhenUsed/>
    <w:rsid w:val="001F6DC1"/>
    <w:rPr>
      <w:color w:val="000000" w:themeColor="text1"/>
    </w:rPr>
    <w:tblPr>
      <w:tblStyleRowBandSize w:val="1"/>
      <w:tblStyleColBandSize w:val="1"/>
      <w:tblBorders>
        <w:top w:val="single" w:sz="24" w:space="0" w:color="63D0DF" w:themeColor="accent3"/>
        <w:left w:val="single" w:sz="4" w:space="0" w:color="A1A1A1" w:themeColor="accent4"/>
        <w:bottom w:val="single" w:sz="4" w:space="0" w:color="A1A1A1" w:themeColor="accent4"/>
        <w:right w:val="single" w:sz="4" w:space="0" w:color="A1A1A1" w:themeColor="accent4"/>
        <w:insideH w:val="single" w:sz="4" w:space="0" w:color="FFFFFF" w:themeColor="background1"/>
        <w:insideV w:val="single" w:sz="4" w:space="0" w:color="FFFFFF" w:themeColor="background1"/>
      </w:tblBorders>
    </w:tblPr>
    <w:tcPr>
      <w:shd w:val="clear" w:color="auto" w:fill="F5F5F5" w:themeFill="accent4" w:themeFillTint="19"/>
    </w:tcPr>
    <w:tblStylePr w:type="firstRow">
      <w:rPr>
        <w:b/>
        <w:bCs/>
      </w:rPr>
      <w:tblPr/>
      <w:tcPr>
        <w:tcBorders>
          <w:top w:val="nil"/>
          <w:left w:val="nil"/>
          <w:bottom w:val="single" w:sz="24" w:space="0" w:color="63D0D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060" w:themeFill="accent4" w:themeFillShade="99"/>
      </w:tcPr>
    </w:tblStylePr>
    <w:tblStylePr w:type="firstCol">
      <w:rPr>
        <w:color w:val="FFFFFF" w:themeColor="background1"/>
      </w:rPr>
      <w:tblPr/>
      <w:tcPr>
        <w:tcBorders>
          <w:top w:val="nil"/>
          <w:left w:val="nil"/>
          <w:bottom w:val="nil"/>
          <w:right w:val="nil"/>
          <w:insideH w:val="single" w:sz="4" w:space="0" w:color="606060" w:themeColor="accent4" w:themeShade="99"/>
          <w:insideV w:val="nil"/>
        </w:tcBorders>
        <w:shd w:val="clear" w:color="auto" w:fill="60606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06060" w:themeFill="accent4" w:themeFillShade="99"/>
      </w:tcPr>
    </w:tblStylePr>
    <w:tblStylePr w:type="band1Vert">
      <w:tblPr/>
      <w:tcPr>
        <w:shd w:val="clear" w:color="auto" w:fill="D9D9D9" w:themeFill="accent4" w:themeFillTint="66"/>
      </w:tcPr>
    </w:tblStylePr>
    <w:tblStylePr w:type="band1Horz">
      <w:tblPr/>
      <w:tcPr>
        <w:shd w:val="clear" w:color="auto" w:fill="D0D0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semiHidden/>
    <w:unhideWhenUsed/>
    <w:rsid w:val="001F6DC1"/>
    <w:rPr>
      <w:color w:val="000000" w:themeColor="text1"/>
    </w:rPr>
    <w:tblPr>
      <w:tblStyleRowBandSize w:val="1"/>
      <w:tblStyleColBandSize w:val="1"/>
      <w:tblBorders>
        <w:top w:val="single" w:sz="24" w:space="0" w:color="A1A1A1" w:themeColor="accent6"/>
        <w:left w:val="single" w:sz="4" w:space="0" w:color="63D0DF" w:themeColor="accent5"/>
        <w:bottom w:val="single" w:sz="4" w:space="0" w:color="63D0DF" w:themeColor="accent5"/>
        <w:right w:val="single" w:sz="4" w:space="0" w:color="63D0DF" w:themeColor="accent5"/>
        <w:insideH w:val="single" w:sz="4" w:space="0" w:color="FFFFFF" w:themeColor="background1"/>
        <w:insideV w:val="single" w:sz="4" w:space="0" w:color="FFFFFF" w:themeColor="background1"/>
      </w:tblBorders>
    </w:tblPr>
    <w:tcPr>
      <w:shd w:val="clear" w:color="auto" w:fill="EFFAFB" w:themeFill="accent5" w:themeFillTint="19"/>
    </w:tcPr>
    <w:tblStylePr w:type="firstRow">
      <w:rPr>
        <w:b/>
        <w:bCs/>
      </w:rPr>
      <w:tblPr/>
      <w:tcPr>
        <w:tcBorders>
          <w:top w:val="nil"/>
          <w:left w:val="nil"/>
          <w:bottom w:val="single" w:sz="24" w:space="0" w:color="A1A1A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5" w:themeFillShade="99"/>
      </w:tcPr>
    </w:tblStylePr>
    <w:tblStylePr w:type="firstCol">
      <w:rPr>
        <w:color w:val="FFFFFF" w:themeColor="background1"/>
      </w:rPr>
      <w:tblPr/>
      <w:tcPr>
        <w:tcBorders>
          <w:top w:val="nil"/>
          <w:left w:val="nil"/>
          <w:bottom w:val="nil"/>
          <w:right w:val="nil"/>
          <w:insideH w:val="single" w:sz="4" w:space="0" w:color="2190A0" w:themeColor="accent5" w:themeShade="99"/>
          <w:insideV w:val="nil"/>
        </w:tcBorders>
        <w:shd w:val="clear" w:color="auto" w:fill="2190A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5" w:themeFillShade="99"/>
      </w:tcPr>
    </w:tblStylePr>
    <w:tblStylePr w:type="band1Vert">
      <w:tblPr/>
      <w:tcPr>
        <w:shd w:val="clear" w:color="auto" w:fill="C0ECF2" w:themeFill="accent5" w:themeFillTint="66"/>
      </w:tcPr>
    </w:tblStylePr>
    <w:tblStylePr w:type="band1Horz">
      <w:tblPr/>
      <w:tcPr>
        <w:shd w:val="clear" w:color="auto" w:fill="B1E7E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semiHidden/>
    <w:unhideWhenUsed/>
    <w:rsid w:val="001F6DC1"/>
    <w:rPr>
      <w:color w:val="000000" w:themeColor="text1"/>
    </w:rPr>
    <w:tblPr>
      <w:tblStyleRowBandSize w:val="1"/>
      <w:tblStyleColBandSize w:val="1"/>
      <w:tblBorders>
        <w:top w:val="single" w:sz="24" w:space="0" w:color="63D0DF" w:themeColor="accent5"/>
        <w:left w:val="single" w:sz="4" w:space="0" w:color="A1A1A1" w:themeColor="accent6"/>
        <w:bottom w:val="single" w:sz="4" w:space="0" w:color="A1A1A1" w:themeColor="accent6"/>
        <w:right w:val="single" w:sz="4" w:space="0" w:color="A1A1A1"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63D0D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060" w:themeFill="accent6" w:themeFillShade="99"/>
      </w:tcPr>
    </w:tblStylePr>
    <w:tblStylePr w:type="firstCol">
      <w:rPr>
        <w:color w:val="FFFFFF" w:themeColor="background1"/>
      </w:rPr>
      <w:tblPr/>
      <w:tcPr>
        <w:tcBorders>
          <w:top w:val="nil"/>
          <w:left w:val="nil"/>
          <w:bottom w:val="nil"/>
          <w:right w:val="nil"/>
          <w:insideH w:val="single" w:sz="4" w:space="0" w:color="606060" w:themeColor="accent6" w:themeShade="99"/>
          <w:insideV w:val="nil"/>
        </w:tcBorders>
        <w:shd w:val="clear" w:color="auto" w:fill="60606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6060" w:themeFill="accent6" w:themeFillShade="99"/>
      </w:tcPr>
    </w:tblStylePr>
    <w:tblStylePr w:type="band1Vert">
      <w:tblPr/>
      <w:tcPr>
        <w:shd w:val="clear" w:color="auto" w:fill="D9D9D9" w:themeFill="accent6" w:themeFillTint="66"/>
      </w:tcPr>
    </w:tblStylePr>
    <w:tblStylePr w:type="band1Horz">
      <w:tblPr/>
      <w:tcPr>
        <w:shd w:val="clear" w:color="auto" w:fill="D0D0D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8"/>
    <w:semiHidden/>
    <w:unhideWhenUsed/>
    <w:rsid w:val="001F6DC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semiHidden/>
    <w:unhideWhenUsed/>
    <w:rsid w:val="001F6DC1"/>
    <w:rPr>
      <w:color w:val="FFFFFF" w:themeColor="background1"/>
    </w:rPr>
    <w:tblPr>
      <w:tblStyleRowBandSize w:val="1"/>
      <w:tblStyleColBandSize w:val="1"/>
    </w:tblPr>
    <w:tcPr>
      <w:shd w:val="clear" w:color="auto" w:fill="63D0D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1" w:themeFillShade="BF"/>
      </w:tcPr>
    </w:tblStylePr>
    <w:tblStylePr w:type="band1Vert">
      <w:tblPr/>
      <w:tcPr>
        <w:tcBorders>
          <w:top w:val="nil"/>
          <w:left w:val="nil"/>
          <w:bottom w:val="nil"/>
          <w:right w:val="nil"/>
          <w:insideH w:val="nil"/>
          <w:insideV w:val="nil"/>
        </w:tcBorders>
        <w:shd w:val="clear" w:color="auto" w:fill="29B4C7" w:themeFill="accent1" w:themeFillShade="BF"/>
      </w:tcPr>
    </w:tblStylePr>
    <w:tblStylePr w:type="band1Horz">
      <w:tblPr/>
      <w:tcPr>
        <w:tcBorders>
          <w:top w:val="nil"/>
          <w:left w:val="nil"/>
          <w:bottom w:val="nil"/>
          <w:right w:val="nil"/>
          <w:insideH w:val="nil"/>
          <w:insideV w:val="nil"/>
        </w:tcBorders>
        <w:shd w:val="clear" w:color="auto" w:fill="29B4C7" w:themeFill="accent1" w:themeFillShade="BF"/>
      </w:tcPr>
    </w:tblStylePr>
  </w:style>
  <w:style w:type="table" w:styleId="DarkList-Accent2">
    <w:name w:val="Dark List Accent 2"/>
    <w:basedOn w:val="TableNormal"/>
    <w:uiPriority w:val="98"/>
    <w:semiHidden/>
    <w:unhideWhenUsed/>
    <w:rsid w:val="001F6DC1"/>
    <w:rPr>
      <w:color w:val="FFFFFF" w:themeColor="background1"/>
    </w:rPr>
    <w:tblPr>
      <w:tblStyleRowBandSize w:val="1"/>
      <w:tblStyleColBandSize w:val="1"/>
    </w:tblPr>
    <w:tcPr>
      <w:shd w:val="clear" w:color="auto" w:fill="C9C9C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3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5959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59597" w:themeFill="accent2" w:themeFillShade="BF"/>
      </w:tcPr>
    </w:tblStylePr>
    <w:tblStylePr w:type="band1Vert">
      <w:tblPr/>
      <w:tcPr>
        <w:tcBorders>
          <w:top w:val="nil"/>
          <w:left w:val="nil"/>
          <w:bottom w:val="nil"/>
          <w:right w:val="nil"/>
          <w:insideH w:val="nil"/>
          <w:insideV w:val="nil"/>
        </w:tcBorders>
        <w:shd w:val="clear" w:color="auto" w:fill="959597" w:themeFill="accent2" w:themeFillShade="BF"/>
      </w:tcPr>
    </w:tblStylePr>
    <w:tblStylePr w:type="band1Horz">
      <w:tblPr/>
      <w:tcPr>
        <w:tcBorders>
          <w:top w:val="nil"/>
          <w:left w:val="nil"/>
          <w:bottom w:val="nil"/>
          <w:right w:val="nil"/>
          <w:insideH w:val="nil"/>
          <w:insideV w:val="nil"/>
        </w:tcBorders>
        <w:shd w:val="clear" w:color="auto" w:fill="959597" w:themeFill="accent2" w:themeFillShade="BF"/>
      </w:tcPr>
    </w:tblStylePr>
  </w:style>
  <w:style w:type="table" w:styleId="DarkList-Accent3">
    <w:name w:val="Dark List Accent 3"/>
    <w:basedOn w:val="TableNormal"/>
    <w:uiPriority w:val="98"/>
    <w:semiHidden/>
    <w:unhideWhenUsed/>
    <w:rsid w:val="001F6DC1"/>
    <w:rPr>
      <w:color w:val="FFFFFF" w:themeColor="background1"/>
    </w:rPr>
    <w:tblPr>
      <w:tblStyleRowBandSize w:val="1"/>
      <w:tblStyleColBandSize w:val="1"/>
    </w:tblPr>
    <w:tcPr>
      <w:shd w:val="clear" w:color="auto" w:fill="63D0D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3" w:themeFillShade="BF"/>
      </w:tcPr>
    </w:tblStylePr>
    <w:tblStylePr w:type="band1Vert">
      <w:tblPr/>
      <w:tcPr>
        <w:tcBorders>
          <w:top w:val="nil"/>
          <w:left w:val="nil"/>
          <w:bottom w:val="nil"/>
          <w:right w:val="nil"/>
          <w:insideH w:val="nil"/>
          <w:insideV w:val="nil"/>
        </w:tcBorders>
        <w:shd w:val="clear" w:color="auto" w:fill="29B4C7" w:themeFill="accent3" w:themeFillShade="BF"/>
      </w:tcPr>
    </w:tblStylePr>
    <w:tblStylePr w:type="band1Horz">
      <w:tblPr/>
      <w:tcPr>
        <w:tcBorders>
          <w:top w:val="nil"/>
          <w:left w:val="nil"/>
          <w:bottom w:val="nil"/>
          <w:right w:val="nil"/>
          <w:insideH w:val="nil"/>
          <w:insideV w:val="nil"/>
        </w:tcBorders>
        <w:shd w:val="clear" w:color="auto" w:fill="29B4C7" w:themeFill="accent3" w:themeFillShade="BF"/>
      </w:tcPr>
    </w:tblStylePr>
  </w:style>
  <w:style w:type="table" w:styleId="DarkList-Accent4">
    <w:name w:val="Dark List Accent 4"/>
    <w:basedOn w:val="TableNormal"/>
    <w:uiPriority w:val="98"/>
    <w:semiHidden/>
    <w:unhideWhenUsed/>
    <w:rsid w:val="001F6DC1"/>
    <w:rPr>
      <w:color w:val="FFFFFF" w:themeColor="background1"/>
    </w:rPr>
    <w:tblPr>
      <w:tblStyleRowBandSize w:val="1"/>
      <w:tblStyleColBandSize w:val="1"/>
    </w:tblPr>
    <w:tcPr>
      <w:shd w:val="clear" w:color="auto" w:fill="A1A1A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05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8787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87878" w:themeFill="accent4" w:themeFillShade="BF"/>
      </w:tcPr>
    </w:tblStylePr>
    <w:tblStylePr w:type="band1Vert">
      <w:tblPr/>
      <w:tcPr>
        <w:tcBorders>
          <w:top w:val="nil"/>
          <w:left w:val="nil"/>
          <w:bottom w:val="nil"/>
          <w:right w:val="nil"/>
          <w:insideH w:val="nil"/>
          <w:insideV w:val="nil"/>
        </w:tcBorders>
        <w:shd w:val="clear" w:color="auto" w:fill="787878" w:themeFill="accent4" w:themeFillShade="BF"/>
      </w:tcPr>
    </w:tblStylePr>
    <w:tblStylePr w:type="band1Horz">
      <w:tblPr/>
      <w:tcPr>
        <w:tcBorders>
          <w:top w:val="nil"/>
          <w:left w:val="nil"/>
          <w:bottom w:val="nil"/>
          <w:right w:val="nil"/>
          <w:insideH w:val="nil"/>
          <w:insideV w:val="nil"/>
        </w:tcBorders>
        <w:shd w:val="clear" w:color="auto" w:fill="787878" w:themeFill="accent4" w:themeFillShade="BF"/>
      </w:tcPr>
    </w:tblStylePr>
  </w:style>
  <w:style w:type="table" w:styleId="DarkList-Accent5">
    <w:name w:val="Dark List Accent 5"/>
    <w:basedOn w:val="TableNormal"/>
    <w:uiPriority w:val="98"/>
    <w:semiHidden/>
    <w:unhideWhenUsed/>
    <w:rsid w:val="001F6DC1"/>
    <w:rPr>
      <w:color w:val="FFFFFF" w:themeColor="background1"/>
    </w:rPr>
    <w:tblPr>
      <w:tblStyleRowBandSize w:val="1"/>
      <w:tblStyleColBandSize w:val="1"/>
    </w:tblPr>
    <w:tcPr>
      <w:shd w:val="clear" w:color="auto" w:fill="63D0D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5" w:themeFillShade="BF"/>
      </w:tcPr>
    </w:tblStylePr>
    <w:tblStylePr w:type="band1Vert">
      <w:tblPr/>
      <w:tcPr>
        <w:tcBorders>
          <w:top w:val="nil"/>
          <w:left w:val="nil"/>
          <w:bottom w:val="nil"/>
          <w:right w:val="nil"/>
          <w:insideH w:val="nil"/>
          <w:insideV w:val="nil"/>
        </w:tcBorders>
        <w:shd w:val="clear" w:color="auto" w:fill="29B4C7" w:themeFill="accent5" w:themeFillShade="BF"/>
      </w:tcPr>
    </w:tblStylePr>
    <w:tblStylePr w:type="band1Horz">
      <w:tblPr/>
      <w:tcPr>
        <w:tcBorders>
          <w:top w:val="nil"/>
          <w:left w:val="nil"/>
          <w:bottom w:val="nil"/>
          <w:right w:val="nil"/>
          <w:insideH w:val="nil"/>
          <w:insideV w:val="nil"/>
        </w:tcBorders>
        <w:shd w:val="clear" w:color="auto" w:fill="29B4C7" w:themeFill="accent5" w:themeFillShade="BF"/>
      </w:tcPr>
    </w:tblStylePr>
  </w:style>
  <w:style w:type="table" w:styleId="DarkList-Accent6">
    <w:name w:val="Dark List Accent 6"/>
    <w:basedOn w:val="TableNormal"/>
    <w:uiPriority w:val="98"/>
    <w:semiHidden/>
    <w:unhideWhenUsed/>
    <w:rsid w:val="001F6DC1"/>
    <w:rPr>
      <w:color w:val="FFFFFF" w:themeColor="background1"/>
    </w:rPr>
    <w:tblPr>
      <w:tblStyleRowBandSize w:val="1"/>
      <w:tblStyleColBandSize w:val="1"/>
    </w:tblPr>
    <w:tcPr>
      <w:shd w:val="clear" w:color="auto" w:fill="A1A1A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0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87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878" w:themeFill="accent6" w:themeFillShade="BF"/>
      </w:tcPr>
    </w:tblStylePr>
    <w:tblStylePr w:type="band1Vert">
      <w:tblPr/>
      <w:tcPr>
        <w:tcBorders>
          <w:top w:val="nil"/>
          <w:left w:val="nil"/>
          <w:bottom w:val="nil"/>
          <w:right w:val="nil"/>
          <w:insideH w:val="nil"/>
          <w:insideV w:val="nil"/>
        </w:tcBorders>
        <w:shd w:val="clear" w:color="auto" w:fill="787878" w:themeFill="accent6" w:themeFillShade="BF"/>
      </w:tcPr>
    </w:tblStylePr>
    <w:tblStylePr w:type="band1Horz">
      <w:tblPr/>
      <w:tcPr>
        <w:tcBorders>
          <w:top w:val="nil"/>
          <w:left w:val="nil"/>
          <w:bottom w:val="nil"/>
          <w:right w:val="nil"/>
          <w:insideH w:val="nil"/>
          <w:insideV w:val="nil"/>
        </w:tcBorders>
        <w:shd w:val="clear" w:color="auto" w:fill="787878" w:themeFill="accent6" w:themeFillShade="BF"/>
      </w:tcPr>
    </w:tblStylePr>
  </w:style>
  <w:style w:type="table" w:styleId="LightGrid">
    <w:name w:val="Light Grid"/>
    <w:basedOn w:val="TableNormal"/>
    <w:uiPriority w:val="98"/>
    <w:semiHidden/>
    <w:unhideWhenUsed/>
    <w:rsid w:val="001F6DC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semiHidden/>
    <w:unhideWhenUsed/>
    <w:rsid w:val="001F6DC1"/>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insideH w:val="single" w:sz="8" w:space="0" w:color="63D0DF" w:themeColor="accent1"/>
        <w:insideV w:val="single" w:sz="8" w:space="0" w:color="63D0D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1"/>
          <w:left w:val="single" w:sz="8" w:space="0" w:color="63D0DF" w:themeColor="accent1"/>
          <w:bottom w:val="single" w:sz="18" w:space="0" w:color="63D0DF" w:themeColor="accent1"/>
          <w:right w:val="single" w:sz="8" w:space="0" w:color="63D0DF" w:themeColor="accent1"/>
          <w:insideH w:val="nil"/>
          <w:insideV w:val="single" w:sz="8" w:space="0" w:color="63D0D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1"/>
          <w:left w:val="single" w:sz="8" w:space="0" w:color="63D0DF" w:themeColor="accent1"/>
          <w:bottom w:val="single" w:sz="8" w:space="0" w:color="63D0DF" w:themeColor="accent1"/>
          <w:right w:val="single" w:sz="8" w:space="0" w:color="63D0DF" w:themeColor="accent1"/>
          <w:insideH w:val="nil"/>
          <w:insideV w:val="single" w:sz="8" w:space="0" w:color="63D0D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tblStylePr w:type="band1Vert">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shd w:val="clear" w:color="auto" w:fill="D8F3F7" w:themeFill="accent1" w:themeFillTint="3F"/>
      </w:tcPr>
    </w:tblStylePr>
    <w:tblStylePr w:type="band1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insideV w:val="single" w:sz="8" w:space="0" w:color="63D0DF" w:themeColor="accent1"/>
        </w:tcBorders>
        <w:shd w:val="clear" w:color="auto" w:fill="D8F3F7" w:themeFill="accent1" w:themeFillTint="3F"/>
      </w:tcPr>
    </w:tblStylePr>
    <w:tblStylePr w:type="band2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insideV w:val="single" w:sz="8" w:space="0" w:color="63D0DF" w:themeColor="accent1"/>
        </w:tcBorders>
      </w:tcPr>
    </w:tblStylePr>
  </w:style>
  <w:style w:type="table" w:styleId="LightGrid-Accent2">
    <w:name w:val="Light Grid Accent 2"/>
    <w:basedOn w:val="TableNormal"/>
    <w:uiPriority w:val="98"/>
    <w:semiHidden/>
    <w:unhideWhenUsed/>
    <w:rsid w:val="001F6DC1"/>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insideH w:val="single" w:sz="8" w:space="0" w:color="C9C9CA" w:themeColor="accent2"/>
        <w:insideV w:val="single" w:sz="8" w:space="0" w:color="C9C9C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C9CA" w:themeColor="accent2"/>
          <w:left w:val="single" w:sz="8" w:space="0" w:color="C9C9CA" w:themeColor="accent2"/>
          <w:bottom w:val="single" w:sz="18" w:space="0" w:color="C9C9CA" w:themeColor="accent2"/>
          <w:right w:val="single" w:sz="8" w:space="0" w:color="C9C9CA" w:themeColor="accent2"/>
          <w:insideH w:val="nil"/>
          <w:insideV w:val="single" w:sz="8" w:space="0" w:color="C9C9C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C9CA" w:themeColor="accent2"/>
          <w:left w:val="single" w:sz="8" w:space="0" w:color="C9C9CA" w:themeColor="accent2"/>
          <w:bottom w:val="single" w:sz="8" w:space="0" w:color="C9C9CA" w:themeColor="accent2"/>
          <w:right w:val="single" w:sz="8" w:space="0" w:color="C9C9CA" w:themeColor="accent2"/>
          <w:insideH w:val="nil"/>
          <w:insideV w:val="single" w:sz="8" w:space="0" w:color="C9C9C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tblStylePr w:type="band1Vert">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shd w:val="clear" w:color="auto" w:fill="F1F1F1" w:themeFill="accent2" w:themeFillTint="3F"/>
      </w:tcPr>
    </w:tblStylePr>
    <w:tblStylePr w:type="band1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insideV w:val="single" w:sz="8" w:space="0" w:color="C9C9CA" w:themeColor="accent2"/>
        </w:tcBorders>
        <w:shd w:val="clear" w:color="auto" w:fill="F1F1F1" w:themeFill="accent2" w:themeFillTint="3F"/>
      </w:tcPr>
    </w:tblStylePr>
    <w:tblStylePr w:type="band2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insideV w:val="single" w:sz="8" w:space="0" w:color="C9C9CA" w:themeColor="accent2"/>
        </w:tcBorders>
      </w:tcPr>
    </w:tblStylePr>
  </w:style>
  <w:style w:type="table" w:styleId="LightGrid-Accent3">
    <w:name w:val="Light Grid Accent 3"/>
    <w:basedOn w:val="TableNormal"/>
    <w:uiPriority w:val="98"/>
    <w:semiHidden/>
    <w:unhideWhenUsed/>
    <w:rsid w:val="001F6DC1"/>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insideH w:val="single" w:sz="8" w:space="0" w:color="63D0DF" w:themeColor="accent3"/>
        <w:insideV w:val="single" w:sz="8" w:space="0" w:color="63D0D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3"/>
          <w:left w:val="single" w:sz="8" w:space="0" w:color="63D0DF" w:themeColor="accent3"/>
          <w:bottom w:val="single" w:sz="18" w:space="0" w:color="63D0DF" w:themeColor="accent3"/>
          <w:right w:val="single" w:sz="8" w:space="0" w:color="63D0DF" w:themeColor="accent3"/>
          <w:insideH w:val="nil"/>
          <w:insideV w:val="single" w:sz="8" w:space="0" w:color="63D0D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3"/>
          <w:left w:val="single" w:sz="8" w:space="0" w:color="63D0DF" w:themeColor="accent3"/>
          <w:bottom w:val="single" w:sz="8" w:space="0" w:color="63D0DF" w:themeColor="accent3"/>
          <w:right w:val="single" w:sz="8" w:space="0" w:color="63D0DF" w:themeColor="accent3"/>
          <w:insideH w:val="nil"/>
          <w:insideV w:val="single" w:sz="8" w:space="0" w:color="63D0D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tblStylePr w:type="band1Vert">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shd w:val="clear" w:color="auto" w:fill="D8F3F7" w:themeFill="accent3" w:themeFillTint="3F"/>
      </w:tcPr>
    </w:tblStylePr>
    <w:tblStylePr w:type="band1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insideV w:val="single" w:sz="8" w:space="0" w:color="63D0DF" w:themeColor="accent3"/>
        </w:tcBorders>
        <w:shd w:val="clear" w:color="auto" w:fill="D8F3F7" w:themeFill="accent3" w:themeFillTint="3F"/>
      </w:tcPr>
    </w:tblStylePr>
    <w:tblStylePr w:type="band2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insideV w:val="single" w:sz="8" w:space="0" w:color="63D0DF" w:themeColor="accent3"/>
        </w:tcBorders>
      </w:tcPr>
    </w:tblStylePr>
  </w:style>
  <w:style w:type="table" w:styleId="LightGrid-Accent4">
    <w:name w:val="Light Grid Accent 4"/>
    <w:basedOn w:val="TableNormal"/>
    <w:uiPriority w:val="98"/>
    <w:semiHidden/>
    <w:unhideWhenUsed/>
    <w:rsid w:val="001F6DC1"/>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insideH w:val="single" w:sz="8" w:space="0" w:color="A1A1A1" w:themeColor="accent4"/>
        <w:insideV w:val="single" w:sz="8" w:space="0" w:color="A1A1A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A1A1" w:themeColor="accent4"/>
          <w:left w:val="single" w:sz="8" w:space="0" w:color="A1A1A1" w:themeColor="accent4"/>
          <w:bottom w:val="single" w:sz="18" w:space="0" w:color="A1A1A1" w:themeColor="accent4"/>
          <w:right w:val="single" w:sz="8" w:space="0" w:color="A1A1A1" w:themeColor="accent4"/>
          <w:insideH w:val="nil"/>
          <w:insideV w:val="single" w:sz="8" w:space="0" w:color="A1A1A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A1A1" w:themeColor="accent4"/>
          <w:left w:val="single" w:sz="8" w:space="0" w:color="A1A1A1" w:themeColor="accent4"/>
          <w:bottom w:val="single" w:sz="8" w:space="0" w:color="A1A1A1" w:themeColor="accent4"/>
          <w:right w:val="single" w:sz="8" w:space="0" w:color="A1A1A1" w:themeColor="accent4"/>
          <w:insideH w:val="nil"/>
          <w:insideV w:val="single" w:sz="8" w:space="0" w:color="A1A1A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tblStylePr w:type="band1Vert">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shd w:val="clear" w:color="auto" w:fill="E7E7E7" w:themeFill="accent4" w:themeFillTint="3F"/>
      </w:tcPr>
    </w:tblStylePr>
    <w:tblStylePr w:type="band1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insideV w:val="single" w:sz="8" w:space="0" w:color="A1A1A1" w:themeColor="accent4"/>
        </w:tcBorders>
        <w:shd w:val="clear" w:color="auto" w:fill="E7E7E7" w:themeFill="accent4" w:themeFillTint="3F"/>
      </w:tcPr>
    </w:tblStylePr>
    <w:tblStylePr w:type="band2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insideV w:val="single" w:sz="8" w:space="0" w:color="A1A1A1" w:themeColor="accent4"/>
        </w:tcBorders>
      </w:tcPr>
    </w:tblStylePr>
  </w:style>
  <w:style w:type="table" w:styleId="LightGrid-Accent5">
    <w:name w:val="Light Grid Accent 5"/>
    <w:basedOn w:val="TableNormal"/>
    <w:uiPriority w:val="98"/>
    <w:semiHidden/>
    <w:unhideWhenUsed/>
    <w:rsid w:val="001F6DC1"/>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insideH w:val="single" w:sz="8" w:space="0" w:color="63D0DF" w:themeColor="accent5"/>
        <w:insideV w:val="single" w:sz="8" w:space="0" w:color="63D0D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5"/>
          <w:left w:val="single" w:sz="8" w:space="0" w:color="63D0DF" w:themeColor="accent5"/>
          <w:bottom w:val="single" w:sz="18" w:space="0" w:color="63D0DF" w:themeColor="accent5"/>
          <w:right w:val="single" w:sz="8" w:space="0" w:color="63D0DF" w:themeColor="accent5"/>
          <w:insideH w:val="nil"/>
          <w:insideV w:val="single" w:sz="8" w:space="0" w:color="63D0D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5"/>
          <w:left w:val="single" w:sz="8" w:space="0" w:color="63D0DF" w:themeColor="accent5"/>
          <w:bottom w:val="single" w:sz="8" w:space="0" w:color="63D0DF" w:themeColor="accent5"/>
          <w:right w:val="single" w:sz="8" w:space="0" w:color="63D0DF" w:themeColor="accent5"/>
          <w:insideH w:val="nil"/>
          <w:insideV w:val="single" w:sz="8" w:space="0" w:color="63D0D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tblStylePr w:type="band1Vert">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shd w:val="clear" w:color="auto" w:fill="D8F3F7" w:themeFill="accent5" w:themeFillTint="3F"/>
      </w:tcPr>
    </w:tblStylePr>
    <w:tblStylePr w:type="band1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insideV w:val="single" w:sz="8" w:space="0" w:color="63D0DF" w:themeColor="accent5"/>
        </w:tcBorders>
        <w:shd w:val="clear" w:color="auto" w:fill="D8F3F7" w:themeFill="accent5" w:themeFillTint="3F"/>
      </w:tcPr>
    </w:tblStylePr>
    <w:tblStylePr w:type="band2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insideV w:val="single" w:sz="8" w:space="0" w:color="63D0DF" w:themeColor="accent5"/>
        </w:tcBorders>
      </w:tcPr>
    </w:tblStylePr>
  </w:style>
  <w:style w:type="table" w:styleId="LightGrid-Accent6">
    <w:name w:val="Light Grid Accent 6"/>
    <w:basedOn w:val="TableNormal"/>
    <w:uiPriority w:val="98"/>
    <w:semiHidden/>
    <w:unhideWhenUsed/>
    <w:rsid w:val="001F6DC1"/>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insideH w:val="single" w:sz="8" w:space="0" w:color="A1A1A1" w:themeColor="accent6"/>
        <w:insideV w:val="single" w:sz="8" w:space="0" w:color="A1A1A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A1A1" w:themeColor="accent6"/>
          <w:left w:val="single" w:sz="8" w:space="0" w:color="A1A1A1" w:themeColor="accent6"/>
          <w:bottom w:val="single" w:sz="18" w:space="0" w:color="A1A1A1" w:themeColor="accent6"/>
          <w:right w:val="single" w:sz="8" w:space="0" w:color="A1A1A1" w:themeColor="accent6"/>
          <w:insideH w:val="nil"/>
          <w:insideV w:val="single" w:sz="8" w:space="0" w:color="A1A1A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A1A1" w:themeColor="accent6"/>
          <w:left w:val="single" w:sz="8" w:space="0" w:color="A1A1A1" w:themeColor="accent6"/>
          <w:bottom w:val="single" w:sz="8" w:space="0" w:color="A1A1A1" w:themeColor="accent6"/>
          <w:right w:val="single" w:sz="8" w:space="0" w:color="A1A1A1" w:themeColor="accent6"/>
          <w:insideH w:val="nil"/>
          <w:insideV w:val="single" w:sz="8" w:space="0" w:color="A1A1A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tblStylePr w:type="band1Vert">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shd w:val="clear" w:color="auto" w:fill="E7E7E7" w:themeFill="accent6" w:themeFillTint="3F"/>
      </w:tcPr>
    </w:tblStylePr>
    <w:tblStylePr w:type="band1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insideV w:val="single" w:sz="8" w:space="0" w:color="A1A1A1" w:themeColor="accent6"/>
        </w:tcBorders>
        <w:shd w:val="clear" w:color="auto" w:fill="E7E7E7" w:themeFill="accent6" w:themeFillTint="3F"/>
      </w:tcPr>
    </w:tblStylePr>
    <w:tblStylePr w:type="band2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insideV w:val="single" w:sz="8" w:space="0" w:color="A1A1A1" w:themeColor="accent6"/>
        </w:tcBorders>
      </w:tcPr>
    </w:tblStylePr>
  </w:style>
  <w:style w:type="table" w:styleId="LightList">
    <w:name w:val="Light List"/>
    <w:basedOn w:val="TableNormal"/>
    <w:uiPriority w:val="98"/>
    <w:semiHidden/>
    <w:unhideWhenUsed/>
    <w:rsid w:val="001F6DC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semiHidden/>
    <w:unhideWhenUsed/>
    <w:rsid w:val="001F6DC1"/>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tblBorders>
    </w:tblPr>
    <w:tblStylePr w:type="firstRow">
      <w:pPr>
        <w:spacing w:before="0" w:after="0" w:line="240" w:lineRule="auto"/>
      </w:pPr>
      <w:rPr>
        <w:b/>
        <w:bCs/>
        <w:color w:val="FFFFFF" w:themeColor="background1"/>
      </w:rPr>
      <w:tblPr/>
      <w:tcPr>
        <w:shd w:val="clear" w:color="auto" w:fill="63D0DF" w:themeFill="accent1"/>
      </w:tcPr>
    </w:tblStylePr>
    <w:tblStylePr w:type="lastRow">
      <w:pPr>
        <w:spacing w:before="0" w:after="0" w:line="240" w:lineRule="auto"/>
      </w:pPr>
      <w:rPr>
        <w:b/>
        <w:bCs/>
      </w:rPr>
      <w:tblPr/>
      <w:tcPr>
        <w:tcBorders>
          <w:top w:val="double" w:sz="6" w:space="0" w:color="63D0DF" w:themeColor="accent1"/>
          <w:left w:val="single" w:sz="8" w:space="0" w:color="63D0DF" w:themeColor="accent1"/>
          <w:bottom w:val="single" w:sz="8" w:space="0" w:color="63D0DF" w:themeColor="accent1"/>
          <w:right w:val="single" w:sz="8" w:space="0" w:color="63D0DF" w:themeColor="accent1"/>
        </w:tcBorders>
      </w:tcPr>
    </w:tblStylePr>
    <w:tblStylePr w:type="firstCol">
      <w:rPr>
        <w:b/>
        <w:bCs/>
      </w:rPr>
    </w:tblStylePr>
    <w:tblStylePr w:type="lastCol">
      <w:rPr>
        <w:b/>
        <w:bCs/>
      </w:rPr>
    </w:tblStylePr>
    <w:tblStylePr w:type="band1Vert">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tblStylePr w:type="band1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style>
  <w:style w:type="table" w:styleId="LightList-Accent2">
    <w:name w:val="Light List Accent 2"/>
    <w:basedOn w:val="TableNormal"/>
    <w:uiPriority w:val="98"/>
    <w:semiHidden/>
    <w:unhideWhenUsed/>
    <w:rsid w:val="001F6DC1"/>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tblBorders>
    </w:tblPr>
    <w:tblStylePr w:type="firstRow">
      <w:pPr>
        <w:spacing w:before="0" w:after="0" w:line="240" w:lineRule="auto"/>
      </w:pPr>
      <w:rPr>
        <w:b/>
        <w:bCs/>
        <w:color w:val="FFFFFF" w:themeColor="background1"/>
      </w:rPr>
      <w:tblPr/>
      <w:tcPr>
        <w:shd w:val="clear" w:color="auto" w:fill="C9C9CA" w:themeFill="accent2"/>
      </w:tcPr>
    </w:tblStylePr>
    <w:tblStylePr w:type="lastRow">
      <w:pPr>
        <w:spacing w:before="0" w:after="0" w:line="240" w:lineRule="auto"/>
      </w:pPr>
      <w:rPr>
        <w:b/>
        <w:bCs/>
      </w:rPr>
      <w:tblPr/>
      <w:tcPr>
        <w:tcBorders>
          <w:top w:val="double" w:sz="6" w:space="0" w:color="C9C9CA" w:themeColor="accent2"/>
          <w:left w:val="single" w:sz="8" w:space="0" w:color="C9C9CA" w:themeColor="accent2"/>
          <w:bottom w:val="single" w:sz="8" w:space="0" w:color="C9C9CA" w:themeColor="accent2"/>
          <w:right w:val="single" w:sz="8" w:space="0" w:color="C9C9CA" w:themeColor="accent2"/>
        </w:tcBorders>
      </w:tcPr>
    </w:tblStylePr>
    <w:tblStylePr w:type="firstCol">
      <w:rPr>
        <w:b/>
        <w:bCs/>
      </w:rPr>
    </w:tblStylePr>
    <w:tblStylePr w:type="lastCol">
      <w:rPr>
        <w:b/>
        <w:bCs/>
      </w:rPr>
    </w:tblStylePr>
    <w:tblStylePr w:type="band1Vert">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tblStylePr w:type="band1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style>
  <w:style w:type="table" w:styleId="LightList-Accent3">
    <w:name w:val="Light List Accent 3"/>
    <w:basedOn w:val="TableNormal"/>
    <w:uiPriority w:val="98"/>
    <w:semiHidden/>
    <w:unhideWhenUsed/>
    <w:rsid w:val="001F6DC1"/>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tblBorders>
    </w:tblPr>
    <w:tblStylePr w:type="firstRow">
      <w:pPr>
        <w:spacing w:before="0" w:after="0" w:line="240" w:lineRule="auto"/>
      </w:pPr>
      <w:rPr>
        <w:b/>
        <w:bCs/>
        <w:color w:val="FFFFFF" w:themeColor="background1"/>
      </w:rPr>
      <w:tblPr/>
      <w:tcPr>
        <w:shd w:val="clear" w:color="auto" w:fill="63D0DF" w:themeFill="accent3"/>
      </w:tcPr>
    </w:tblStylePr>
    <w:tblStylePr w:type="lastRow">
      <w:pPr>
        <w:spacing w:before="0" w:after="0" w:line="240" w:lineRule="auto"/>
      </w:pPr>
      <w:rPr>
        <w:b/>
        <w:bCs/>
      </w:rPr>
      <w:tblPr/>
      <w:tcPr>
        <w:tcBorders>
          <w:top w:val="double" w:sz="6" w:space="0" w:color="63D0DF" w:themeColor="accent3"/>
          <w:left w:val="single" w:sz="8" w:space="0" w:color="63D0DF" w:themeColor="accent3"/>
          <w:bottom w:val="single" w:sz="8" w:space="0" w:color="63D0DF" w:themeColor="accent3"/>
          <w:right w:val="single" w:sz="8" w:space="0" w:color="63D0DF" w:themeColor="accent3"/>
        </w:tcBorders>
      </w:tcPr>
    </w:tblStylePr>
    <w:tblStylePr w:type="firstCol">
      <w:rPr>
        <w:b/>
        <w:bCs/>
      </w:rPr>
    </w:tblStylePr>
    <w:tblStylePr w:type="lastCol">
      <w:rPr>
        <w:b/>
        <w:bCs/>
      </w:rPr>
    </w:tblStylePr>
    <w:tblStylePr w:type="band1Vert">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tblStylePr w:type="band1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style>
  <w:style w:type="table" w:styleId="LightList-Accent4">
    <w:name w:val="Light List Accent 4"/>
    <w:basedOn w:val="TableNormal"/>
    <w:uiPriority w:val="98"/>
    <w:semiHidden/>
    <w:unhideWhenUsed/>
    <w:rsid w:val="001F6DC1"/>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tblBorders>
    </w:tblPr>
    <w:tblStylePr w:type="firstRow">
      <w:pPr>
        <w:spacing w:before="0" w:after="0" w:line="240" w:lineRule="auto"/>
      </w:pPr>
      <w:rPr>
        <w:b/>
        <w:bCs/>
        <w:color w:val="FFFFFF" w:themeColor="background1"/>
      </w:rPr>
      <w:tblPr/>
      <w:tcPr>
        <w:shd w:val="clear" w:color="auto" w:fill="A1A1A1" w:themeFill="accent4"/>
      </w:tcPr>
    </w:tblStylePr>
    <w:tblStylePr w:type="lastRow">
      <w:pPr>
        <w:spacing w:before="0" w:after="0" w:line="240" w:lineRule="auto"/>
      </w:pPr>
      <w:rPr>
        <w:b/>
        <w:bCs/>
      </w:rPr>
      <w:tblPr/>
      <w:tcPr>
        <w:tcBorders>
          <w:top w:val="double" w:sz="6" w:space="0" w:color="A1A1A1" w:themeColor="accent4"/>
          <w:left w:val="single" w:sz="8" w:space="0" w:color="A1A1A1" w:themeColor="accent4"/>
          <w:bottom w:val="single" w:sz="8" w:space="0" w:color="A1A1A1" w:themeColor="accent4"/>
          <w:right w:val="single" w:sz="8" w:space="0" w:color="A1A1A1" w:themeColor="accent4"/>
        </w:tcBorders>
      </w:tcPr>
    </w:tblStylePr>
    <w:tblStylePr w:type="firstCol">
      <w:rPr>
        <w:b/>
        <w:bCs/>
      </w:rPr>
    </w:tblStylePr>
    <w:tblStylePr w:type="lastCol">
      <w:rPr>
        <w:b/>
        <w:bCs/>
      </w:rPr>
    </w:tblStylePr>
    <w:tblStylePr w:type="band1Vert">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tblStylePr w:type="band1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style>
  <w:style w:type="table" w:styleId="LightList-Accent5">
    <w:name w:val="Light List Accent 5"/>
    <w:basedOn w:val="TableNormal"/>
    <w:uiPriority w:val="98"/>
    <w:semiHidden/>
    <w:unhideWhenUsed/>
    <w:rsid w:val="001F6DC1"/>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tblBorders>
    </w:tblPr>
    <w:tblStylePr w:type="firstRow">
      <w:pPr>
        <w:spacing w:before="0" w:after="0" w:line="240" w:lineRule="auto"/>
      </w:pPr>
      <w:rPr>
        <w:b/>
        <w:bCs/>
        <w:color w:val="FFFFFF" w:themeColor="background1"/>
      </w:rPr>
      <w:tblPr/>
      <w:tcPr>
        <w:shd w:val="clear" w:color="auto" w:fill="63D0DF" w:themeFill="accent5"/>
      </w:tcPr>
    </w:tblStylePr>
    <w:tblStylePr w:type="lastRow">
      <w:pPr>
        <w:spacing w:before="0" w:after="0" w:line="240" w:lineRule="auto"/>
      </w:pPr>
      <w:rPr>
        <w:b/>
        <w:bCs/>
      </w:rPr>
      <w:tblPr/>
      <w:tcPr>
        <w:tcBorders>
          <w:top w:val="double" w:sz="6" w:space="0" w:color="63D0DF" w:themeColor="accent5"/>
          <w:left w:val="single" w:sz="8" w:space="0" w:color="63D0DF" w:themeColor="accent5"/>
          <w:bottom w:val="single" w:sz="8" w:space="0" w:color="63D0DF" w:themeColor="accent5"/>
          <w:right w:val="single" w:sz="8" w:space="0" w:color="63D0DF" w:themeColor="accent5"/>
        </w:tcBorders>
      </w:tcPr>
    </w:tblStylePr>
    <w:tblStylePr w:type="firstCol">
      <w:rPr>
        <w:b/>
        <w:bCs/>
      </w:rPr>
    </w:tblStylePr>
    <w:tblStylePr w:type="lastCol">
      <w:rPr>
        <w:b/>
        <w:bCs/>
      </w:rPr>
    </w:tblStylePr>
    <w:tblStylePr w:type="band1Vert">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tblStylePr w:type="band1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style>
  <w:style w:type="table" w:styleId="LightList-Accent6">
    <w:name w:val="Light List Accent 6"/>
    <w:basedOn w:val="TableNormal"/>
    <w:uiPriority w:val="98"/>
    <w:semiHidden/>
    <w:unhideWhenUsed/>
    <w:rsid w:val="001F6DC1"/>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tblBorders>
    </w:tblPr>
    <w:tblStylePr w:type="firstRow">
      <w:pPr>
        <w:spacing w:before="0" w:after="0" w:line="240" w:lineRule="auto"/>
      </w:pPr>
      <w:rPr>
        <w:b/>
        <w:bCs/>
        <w:color w:val="FFFFFF" w:themeColor="background1"/>
      </w:rPr>
      <w:tblPr/>
      <w:tcPr>
        <w:shd w:val="clear" w:color="auto" w:fill="A1A1A1" w:themeFill="accent6"/>
      </w:tcPr>
    </w:tblStylePr>
    <w:tblStylePr w:type="lastRow">
      <w:pPr>
        <w:spacing w:before="0" w:after="0" w:line="240" w:lineRule="auto"/>
      </w:pPr>
      <w:rPr>
        <w:b/>
        <w:bCs/>
      </w:rPr>
      <w:tblPr/>
      <w:tcPr>
        <w:tcBorders>
          <w:top w:val="double" w:sz="6" w:space="0" w:color="A1A1A1" w:themeColor="accent6"/>
          <w:left w:val="single" w:sz="8" w:space="0" w:color="A1A1A1" w:themeColor="accent6"/>
          <w:bottom w:val="single" w:sz="8" w:space="0" w:color="A1A1A1" w:themeColor="accent6"/>
          <w:right w:val="single" w:sz="8" w:space="0" w:color="A1A1A1" w:themeColor="accent6"/>
        </w:tcBorders>
      </w:tcPr>
    </w:tblStylePr>
    <w:tblStylePr w:type="firstCol">
      <w:rPr>
        <w:b/>
        <w:bCs/>
      </w:rPr>
    </w:tblStylePr>
    <w:tblStylePr w:type="lastCol">
      <w:rPr>
        <w:b/>
        <w:bCs/>
      </w:rPr>
    </w:tblStylePr>
    <w:tblStylePr w:type="band1Vert">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tblStylePr w:type="band1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style>
  <w:style w:type="table" w:styleId="LightShading">
    <w:name w:val="Light Shading"/>
    <w:basedOn w:val="TableNormal"/>
    <w:uiPriority w:val="98"/>
    <w:semiHidden/>
    <w:unhideWhenUsed/>
    <w:rsid w:val="001F6DC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semiHidden/>
    <w:unhideWhenUsed/>
    <w:rsid w:val="001F6DC1"/>
    <w:rPr>
      <w:color w:val="29B4C7" w:themeColor="accent1" w:themeShade="BF"/>
    </w:rPr>
    <w:tblPr>
      <w:tblStyleRowBandSize w:val="1"/>
      <w:tblStyleColBandSize w:val="1"/>
      <w:tblBorders>
        <w:top w:val="single" w:sz="8" w:space="0" w:color="63D0DF" w:themeColor="accent1"/>
        <w:bottom w:val="single" w:sz="8" w:space="0" w:color="63D0DF" w:themeColor="accent1"/>
      </w:tblBorders>
    </w:tblPr>
    <w:tblStylePr w:type="firstRow">
      <w:pPr>
        <w:spacing w:before="0" w:after="0" w:line="240" w:lineRule="auto"/>
      </w:pPr>
      <w:rPr>
        <w:b/>
        <w:bCs/>
      </w:rPr>
      <w:tblPr/>
      <w:tcPr>
        <w:tcBorders>
          <w:top w:val="single" w:sz="8" w:space="0" w:color="63D0DF" w:themeColor="accent1"/>
          <w:left w:val="nil"/>
          <w:bottom w:val="single" w:sz="8" w:space="0" w:color="63D0DF" w:themeColor="accent1"/>
          <w:right w:val="nil"/>
          <w:insideH w:val="nil"/>
          <w:insideV w:val="nil"/>
        </w:tcBorders>
      </w:tcPr>
    </w:tblStylePr>
    <w:tblStylePr w:type="lastRow">
      <w:pPr>
        <w:spacing w:before="0" w:after="0" w:line="240" w:lineRule="auto"/>
      </w:pPr>
      <w:rPr>
        <w:b/>
        <w:bCs/>
      </w:rPr>
      <w:tblPr/>
      <w:tcPr>
        <w:tcBorders>
          <w:top w:val="single" w:sz="8" w:space="0" w:color="63D0DF" w:themeColor="accent1"/>
          <w:left w:val="nil"/>
          <w:bottom w:val="single" w:sz="8" w:space="0" w:color="63D0D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1" w:themeFillTint="3F"/>
      </w:tcPr>
    </w:tblStylePr>
    <w:tblStylePr w:type="band1Horz">
      <w:tblPr/>
      <w:tcPr>
        <w:tcBorders>
          <w:left w:val="nil"/>
          <w:right w:val="nil"/>
          <w:insideH w:val="nil"/>
          <w:insideV w:val="nil"/>
        </w:tcBorders>
        <w:shd w:val="clear" w:color="auto" w:fill="D8F3F7" w:themeFill="accent1" w:themeFillTint="3F"/>
      </w:tcPr>
    </w:tblStylePr>
  </w:style>
  <w:style w:type="table" w:styleId="LightShading-Accent2">
    <w:name w:val="Light Shading Accent 2"/>
    <w:basedOn w:val="TableNormal"/>
    <w:uiPriority w:val="98"/>
    <w:semiHidden/>
    <w:unhideWhenUsed/>
    <w:rsid w:val="001F6DC1"/>
    <w:rPr>
      <w:color w:val="959597" w:themeColor="accent2" w:themeShade="BF"/>
    </w:rPr>
    <w:tblPr>
      <w:tblStyleRowBandSize w:val="1"/>
      <w:tblStyleColBandSize w:val="1"/>
      <w:tblBorders>
        <w:top w:val="single" w:sz="8" w:space="0" w:color="C9C9CA" w:themeColor="accent2"/>
        <w:bottom w:val="single" w:sz="8" w:space="0" w:color="C9C9CA" w:themeColor="accent2"/>
      </w:tblBorders>
    </w:tblPr>
    <w:tblStylePr w:type="firstRow">
      <w:pPr>
        <w:spacing w:before="0" w:after="0" w:line="240" w:lineRule="auto"/>
      </w:pPr>
      <w:rPr>
        <w:b/>
        <w:bCs/>
      </w:rPr>
      <w:tblPr/>
      <w:tcPr>
        <w:tcBorders>
          <w:top w:val="single" w:sz="8" w:space="0" w:color="C9C9CA" w:themeColor="accent2"/>
          <w:left w:val="nil"/>
          <w:bottom w:val="single" w:sz="8" w:space="0" w:color="C9C9CA" w:themeColor="accent2"/>
          <w:right w:val="nil"/>
          <w:insideH w:val="nil"/>
          <w:insideV w:val="nil"/>
        </w:tcBorders>
      </w:tcPr>
    </w:tblStylePr>
    <w:tblStylePr w:type="lastRow">
      <w:pPr>
        <w:spacing w:before="0" w:after="0" w:line="240" w:lineRule="auto"/>
      </w:pPr>
      <w:rPr>
        <w:b/>
        <w:bCs/>
      </w:rPr>
      <w:tblPr/>
      <w:tcPr>
        <w:tcBorders>
          <w:top w:val="single" w:sz="8" w:space="0" w:color="C9C9CA" w:themeColor="accent2"/>
          <w:left w:val="nil"/>
          <w:bottom w:val="single" w:sz="8" w:space="0" w:color="C9C9C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2" w:themeFillTint="3F"/>
      </w:tcPr>
    </w:tblStylePr>
    <w:tblStylePr w:type="band1Horz">
      <w:tblPr/>
      <w:tcPr>
        <w:tcBorders>
          <w:left w:val="nil"/>
          <w:right w:val="nil"/>
          <w:insideH w:val="nil"/>
          <w:insideV w:val="nil"/>
        </w:tcBorders>
        <w:shd w:val="clear" w:color="auto" w:fill="F1F1F1" w:themeFill="accent2" w:themeFillTint="3F"/>
      </w:tcPr>
    </w:tblStylePr>
  </w:style>
  <w:style w:type="table" w:styleId="LightShading-Accent3">
    <w:name w:val="Light Shading Accent 3"/>
    <w:basedOn w:val="TableNormal"/>
    <w:uiPriority w:val="98"/>
    <w:semiHidden/>
    <w:unhideWhenUsed/>
    <w:rsid w:val="001F6DC1"/>
    <w:rPr>
      <w:color w:val="29B4C7" w:themeColor="accent3" w:themeShade="BF"/>
    </w:rPr>
    <w:tblPr>
      <w:tblStyleRowBandSize w:val="1"/>
      <w:tblStyleColBandSize w:val="1"/>
      <w:tblBorders>
        <w:top w:val="single" w:sz="8" w:space="0" w:color="63D0DF" w:themeColor="accent3"/>
        <w:bottom w:val="single" w:sz="8" w:space="0" w:color="63D0DF" w:themeColor="accent3"/>
      </w:tblBorders>
    </w:tblPr>
    <w:tblStylePr w:type="firstRow">
      <w:pPr>
        <w:spacing w:before="0" w:after="0" w:line="240" w:lineRule="auto"/>
      </w:pPr>
      <w:rPr>
        <w:b/>
        <w:bCs/>
      </w:rPr>
      <w:tblPr/>
      <w:tcPr>
        <w:tcBorders>
          <w:top w:val="single" w:sz="8" w:space="0" w:color="63D0DF" w:themeColor="accent3"/>
          <w:left w:val="nil"/>
          <w:bottom w:val="single" w:sz="8" w:space="0" w:color="63D0DF" w:themeColor="accent3"/>
          <w:right w:val="nil"/>
          <w:insideH w:val="nil"/>
          <w:insideV w:val="nil"/>
        </w:tcBorders>
      </w:tcPr>
    </w:tblStylePr>
    <w:tblStylePr w:type="lastRow">
      <w:pPr>
        <w:spacing w:before="0" w:after="0" w:line="240" w:lineRule="auto"/>
      </w:pPr>
      <w:rPr>
        <w:b/>
        <w:bCs/>
      </w:rPr>
      <w:tblPr/>
      <w:tcPr>
        <w:tcBorders>
          <w:top w:val="single" w:sz="8" w:space="0" w:color="63D0DF" w:themeColor="accent3"/>
          <w:left w:val="nil"/>
          <w:bottom w:val="single" w:sz="8" w:space="0" w:color="63D0D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3" w:themeFillTint="3F"/>
      </w:tcPr>
    </w:tblStylePr>
    <w:tblStylePr w:type="band1Horz">
      <w:tblPr/>
      <w:tcPr>
        <w:tcBorders>
          <w:left w:val="nil"/>
          <w:right w:val="nil"/>
          <w:insideH w:val="nil"/>
          <w:insideV w:val="nil"/>
        </w:tcBorders>
        <w:shd w:val="clear" w:color="auto" w:fill="D8F3F7" w:themeFill="accent3" w:themeFillTint="3F"/>
      </w:tcPr>
    </w:tblStylePr>
  </w:style>
  <w:style w:type="table" w:styleId="LightShading-Accent4">
    <w:name w:val="Light Shading Accent 4"/>
    <w:basedOn w:val="TableNormal"/>
    <w:uiPriority w:val="98"/>
    <w:semiHidden/>
    <w:unhideWhenUsed/>
    <w:rsid w:val="001F6DC1"/>
    <w:rPr>
      <w:color w:val="787878" w:themeColor="accent4" w:themeShade="BF"/>
    </w:rPr>
    <w:tblPr>
      <w:tblStyleRowBandSize w:val="1"/>
      <w:tblStyleColBandSize w:val="1"/>
      <w:tblBorders>
        <w:top w:val="single" w:sz="8" w:space="0" w:color="A1A1A1" w:themeColor="accent4"/>
        <w:bottom w:val="single" w:sz="8" w:space="0" w:color="A1A1A1" w:themeColor="accent4"/>
      </w:tblBorders>
    </w:tblPr>
    <w:tblStylePr w:type="firstRow">
      <w:pPr>
        <w:spacing w:before="0" w:after="0" w:line="240" w:lineRule="auto"/>
      </w:pPr>
      <w:rPr>
        <w:b/>
        <w:bCs/>
      </w:rPr>
      <w:tblPr/>
      <w:tcPr>
        <w:tcBorders>
          <w:top w:val="single" w:sz="8" w:space="0" w:color="A1A1A1" w:themeColor="accent4"/>
          <w:left w:val="nil"/>
          <w:bottom w:val="single" w:sz="8" w:space="0" w:color="A1A1A1" w:themeColor="accent4"/>
          <w:right w:val="nil"/>
          <w:insideH w:val="nil"/>
          <w:insideV w:val="nil"/>
        </w:tcBorders>
      </w:tcPr>
    </w:tblStylePr>
    <w:tblStylePr w:type="lastRow">
      <w:pPr>
        <w:spacing w:before="0" w:after="0" w:line="240" w:lineRule="auto"/>
      </w:pPr>
      <w:rPr>
        <w:b/>
        <w:bCs/>
      </w:rPr>
      <w:tblPr/>
      <w:tcPr>
        <w:tcBorders>
          <w:top w:val="single" w:sz="8" w:space="0" w:color="A1A1A1" w:themeColor="accent4"/>
          <w:left w:val="nil"/>
          <w:bottom w:val="single" w:sz="8" w:space="0" w:color="A1A1A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7E7" w:themeFill="accent4" w:themeFillTint="3F"/>
      </w:tcPr>
    </w:tblStylePr>
    <w:tblStylePr w:type="band1Horz">
      <w:tblPr/>
      <w:tcPr>
        <w:tcBorders>
          <w:left w:val="nil"/>
          <w:right w:val="nil"/>
          <w:insideH w:val="nil"/>
          <w:insideV w:val="nil"/>
        </w:tcBorders>
        <w:shd w:val="clear" w:color="auto" w:fill="E7E7E7" w:themeFill="accent4" w:themeFillTint="3F"/>
      </w:tcPr>
    </w:tblStylePr>
  </w:style>
  <w:style w:type="table" w:styleId="LightShading-Accent5">
    <w:name w:val="Light Shading Accent 5"/>
    <w:basedOn w:val="TableNormal"/>
    <w:uiPriority w:val="98"/>
    <w:semiHidden/>
    <w:unhideWhenUsed/>
    <w:rsid w:val="001F6DC1"/>
    <w:rPr>
      <w:color w:val="29B4C7" w:themeColor="accent5" w:themeShade="BF"/>
    </w:rPr>
    <w:tblPr>
      <w:tblStyleRowBandSize w:val="1"/>
      <w:tblStyleColBandSize w:val="1"/>
      <w:tblBorders>
        <w:top w:val="single" w:sz="8" w:space="0" w:color="63D0DF" w:themeColor="accent5"/>
        <w:bottom w:val="single" w:sz="8" w:space="0" w:color="63D0DF" w:themeColor="accent5"/>
      </w:tblBorders>
    </w:tblPr>
    <w:tblStylePr w:type="firstRow">
      <w:pPr>
        <w:spacing w:before="0" w:after="0" w:line="240" w:lineRule="auto"/>
      </w:pPr>
      <w:rPr>
        <w:b/>
        <w:bCs/>
      </w:rPr>
      <w:tblPr/>
      <w:tcPr>
        <w:tcBorders>
          <w:top w:val="single" w:sz="8" w:space="0" w:color="63D0DF" w:themeColor="accent5"/>
          <w:left w:val="nil"/>
          <w:bottom w:val="single" w:sz="8" w:space="0" w:color="63D0DF" w:themeColor="accent5"/>
          <w:right w:val="nil"/>
          <w:insideH w:val="nil"/>
          <w:insideV w:val="nil"/>
        </w:tcBorders>
      </w:tcPr>
    </w:tblStylePr>
    <w:tblStylePr w:type="lastRow">
      <w:pPr>
        <w:spacing w:before="0" w:after="0" w:line="240" w:lineRule="auto"/>
      </w:pPr>
      <w:rPr>
        <w:b/>
        <w:bCs/>
      </w:rPr>
      <w:tblPr/>
      <w:tcPr>
        <w:tcBorders>
          <w:top w:val="single" w:sz="8" w:space="0" w:color="63D0DF" w:themeColor="accent5"/>
          <w:left w:val="nil"/>
          <w:bottom w:val="single" w:sz="8" w:space="0" w:color="63D0D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5" w:themeFillTint="3F"/>
      </w:tcPr>
    </w:tblStylePr>
    <w:tblStylePr w:type="band1Horz">
      <w:tblPr/>
      <w:tcPr>
        <w:tcBorders>
          <w:left w:val="nil"/>
          <w:right w:val="nil"/>
          <w:insideH w:val="nil"/>
          <w:insideV w:val="nil"/>
        </w:tcBorders>
        <w:shd w:val="clear" w:color="auto" w:fill="D8F3F7" w:themeFill="accent5" w:themeFillTint="3F"/>
      </w:tcPr>
    </w:tblStylePr>
  </w:style>
  <w:style w:type="table" w:styleId="LightShading-Accent6">
    <w:name w:val="Light Shading Accent 6"/>
    <w:basedOn w:val="TableNormal"/>
    <w:uiPriority w:val="98"/>
    <w:semiHidden/>
    <w:unhideWhenUsed/>
    <w:rsid w:val="001F6DC1"/>
    <w:rPr>
      <w:color w:val="787878" w:themeColor="accent6" w:themeShade="BF"/>
    </w:rPr>
    <w:tblPr>
      <w:tblStyleRowBandSize w:val="1"/>
      <w:tblStyleColBandSize w:val="1"/>
      <w:tblBorders>
        <w:top w:val="single" w:sz="8" w:space="0" w:color="A1A1A1" w:themeColor="accent6"/>
        <w:bottom w:val="single" w:sz="8" w:space="0" w:color="A1A1A1" w:themeColor="accent6"/>
      </w:tblBorders>
    </w:tblPr>
    <w:tblStylePr w:type="firstRow">
      <w:pPr>
        <w:spacing w:before="0" w:after="0" w:line="240" w:lineRule="auto"/>
      </w:pPr>
      <w:rPr>
        <w:b/>
        <w:bCs/>
      </w:rPr>
      <w:tblPr/>
      <w:tcPr>
        <w:tcBorders>
          <w:top w:val="single" w:sz="8" w:space="0" w:color="A1A1A1" w:themeColor="accent6"/>
          <w:left w:val="nil"/>
          <w:bottom w:val="single" w:sz="8" w:space="0" w:color="A1A1A1" w:themeColor="accent6"/>
          <w:right w:val="nil"/>
          <w:insideH w:val="nil"/>
          <w:insideV w:val="nil"/>
        </w:tcBorders>
      </w:tcPr>
    </w:tblStylePr>
    <w:tblStylePr w:type="lastRow">
      <w:pPr>
        <w:spacing w:before="0" w:after="0" w:line="240" w:lineRule="auto"/>
      </w:pPr>
      <w:rPr>
        <w:b/>
        <w:bCs/>
      </w:rPr>
      <w:tblPr/>
      <w:tcPr>
        <w:tcBorders>
          <w:top w:val="single" w:sz="8" w:space="0" w:color="A1A1A1" w:themeColor="accent6"/>
          <w:left w:val="nil"/>
          <w:bottom w:val="single" w:sz="8" w:space="0" w:color="A1A1A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7E7" w:themeFill="accent6" w:themeFillTint="3F"/>
      </w:tcPr>
    </w:tblStylePr>
    <w:tblStylePr w:type="band1Horz">
      <w:tblPr/>
      <w:tcPr>
        <w:tcBorders>
          <w:left w:val="nil"/>
          <w:right w:val="nil"/>
          <w:insideH w:val="nil"/>
          <w:insideV w:val="nil"/>
        </w:tcBorders>
        <w:shd w:val="clear" w:color="auto" w:fill="E7E7E7" w:themeFill="accent6" w:themeFillTint="3F"/>
      </w:tcPr>
    </w:tblStylePr>
  </w:style>
  <w:style w:type="table" w:customStyle="1" w:styleId="ListTable7Colorful-Accent61">
    <w:name w:val="List Table 7 Colorful - Accent 61"/>
    <w:basedOn w:val="TableNormal"/>
    <w:uiPriority w:val="98"/>
    <w:semiHidden/>
    <w:rsid w:val="001F6DC1"/>
    <w:rPr>
      <w:color w:val="78787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1A1A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1A1A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1A1A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1A1A1" w:themeColor="accent6"/>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98"/>
    <w:semiHidden/>
    <w:unhideWhenUsed/>
    <w:rsid w:val="001F6DC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semiHidden/>
    <w:unhideWhenUsed/>
    <w:rsid w:val="001F6DC1"/>
    <w:tblPr>
      <w:tblStyleRowBandSize w:val="1"/>
      <w:tblStyleColBandSize w:val="1"/>
      <w:tbl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single" w:sz="8" w:space="0" w:color="8ADBE7" w:themeColor="accent1" w:themeTint="BF"/>
        <w:insideV w:val="single" w:sz="8" w:space="0" w:color="8ADBE7" w:themeColor="accent1" w:themeTint="BF"/>
      </w:tblBorders>
    </w:tblPr>
    <w:tcPr>
      <w:shd w:val="clear" w:color="auto" w:fill="D8F3F7" w:themeFill="accent1" w:themeFillTint="3F"/>
    </w:tcPr>
    <w:tblStylePr w:type="firstRow">
      <w:rPr>
        <w:b/>
        <w:bCs/>
      </w:rPr>
    </w:tblStylePr>
    <w:tblStylePr w:type="lastRow">
      <w:rPr>
        <w:b/>
        <w:bCs/>
      </w:rPr>
      <w:tblPr/>
      <w:tcPr>
        <w:tcBorders>
          <w:top w:val="single" w:sz="18" w:space="0" w:color="8ADBE7" w:themeColor="accent1" w:themeTint="BF"/>
        </w:tcBorders>
      </w:tcPr>
    </w:tblStylePr>
    <w:tblStylePr w:type="firstCol">
      <w:rPr>
        <w:b/>
        <w:bCs/>
      </w:rPr>
    </w:tblStylePr>
    <w:tblStylePr w:type="lastCol">
      <w:rPr>
        <w:b/>
        <w:bCs/>
      </w:rPr>
    </w:tblStylePr>
    <w:tblStylePr w:type="band1Vert">
      <w:tblPr/>
      <w:tcPr>
        <w:shd w:val="clear" w:color="auto" w:fill="B1E7EF" w:themeFill="accent1" w:themeFillTint="7F"/>
      </w:tcPr>
    </w:tblStylePr>
    <w:tblStylePr w:type="band1Horz">
      <w:tblPr/>
      <w:tcPr>
        <w:shd w:val="clear" w:color="auto" w:fill="B1E7EF" w:themeFill="accent1" w:themeFillTint="7F"/>
      </w:tcPr>
    </w:tblStylePr>
  </w:style>
  <w:style w:type="table" w:styleId="MediumGrid1-Accent2">
    <w:name w:val="Medium Grid 1 Accent 2"/>
    <w:basedOn w:val="TableNormal"/>
    <w:uiPriority w:val="98"/>
    <w:semiHidden/>
    <w:unhideWhenUsed/>
    <w:rsid w:val="001F6DC1"/>
    <w:tblPr>
      <w:tblStyleRowBandSize w:val="1"/>
      <w:tblStyleColBandSize w:val="1"/>
      <w:tbl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single" w:sz="8" w:space="0" w:color="D6D6D7" w:themeColor="accent2" w:themeTint="BF"/>
        <w:insideV w:val="single" w:sz="8" w:space="0" w:color="D6D6D7" w:themeColor="accent2" w:themeTint="BF"/>
      </w:tblBorders>
    </w:tblPr>
    <w:tcPr>
      <w:shd w:val="clear" w:color="auto" w:fill="F1F1F1" w:themeFill="accent2" w:themeFillTint="3F"/>
    </w:tcPr>
    <w:tblStylePr w:type="firstRow">
      <w:rPr>
        <w:b/>
        <w:bCs/>
      </w:rPr>
    </w:tblStylePr>
    <w:tblStylePr w:type="lastRow">
      <w:rPr>
        <w:b/>
        <w:bCs/>
      </w:rPr>
      <w:tblPr/>
      <w:tcPr>
        <w:tcBorders>
          <w:top w:val="single" w:sz="18" w:space="0" w:color="D6D6D7" w:themeColor="accent2" w:themeTint="BF"/>
        </w:tcBorders>
      </w:tcPr>
    </w:tblStylePr>
    <w:tblStylePr w:type="firstCol">
      <w:rPr>
        <w:b/>
        <w:bCs/>
      </w:rPr>
    </w:tblStylePr>
    <w:tblStylePr w:type="lastCol">
      <w:rPr>
        <w:b/>
        <w:bCs/>
      </w:rPr>
    </w:tblStylePr>
    <w:tblStylePr w:type="band1Vert">
      <w:tblPr/>
      <w:tcPr>
        <w:shd w:val="clear" w:color="auto" w:fill="E4E4E4" w:themeFill="accent2" w:themeFillTint="7F"/>
      </w:tcPr>
    </w:tblStylePr>
    <w:tblStylePr w:type="band1Horz">
      <w:tblPr/>
      <w:tcPr>
        <w:shd w:val="clear" w:color="auto" w:fill="E4E4E4" w:themeFill="accent2" w:themeFillTint="7F"/>
      </w:tcPr>
    </w:tblStylePr>
  </w:style>
  <w:style w:type="table" w:styleId="MediumGrid1-Accent3">
    <w:name w:val="Medium Grid 1 Accent 3"/>
    <w:basedOn w:val="TableNormal"/>
    <w:uiPriority w:val="98"/>
    <w:semiHidden/>
    <w:unhideWhenUsed/>
    <w:rsid w:val="001F6DC1"/>
    <w:tblPr>
      <w:tblStyleRowBandSize w:val="1"/>
      <w:tblStyleColBandSize w:val="1"/>
      <w:tbl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single" w:sz="8" w:space="0" w:color="8ADBE7" w:themeColor="accent3" w:themeTint="BF"/>
        <w:insideV w:val="single" w:sz="8" w:space="0" w:color="8ADBE7" w:themeColor="accent3" w:themeTint="BF"/>
      </w:tblBorders>
    </w:tblPr>
    <w:tcPr>
      <w:shd w:val="clear" w:color="auto" w:fill="D8F3F7" w:themeFill="accent3" w:themeFillTint="3F"/>
    </w:tcPr>
    <w:tblStylePr w:type="firstRow">
      <w:rPr>
        <w:b/>
        <w:bCs/>
      </w:rPr>
    </w:tblStylePr>
    <w:tblStylePr w:type="lastRow">
      <w:rPr>
        <w:b/>
        <w:bCs/>
      </w:rPr>
      <w:tblPr/>
      <w:tcPr>
        <w:tcBorders>
          <w:top w:val="single" w:sz="18" w:space="0" w:color="8ADBE7" w:themeColor="accent3" w:themeTint="BF"/>
        </w:tcBorders>
      </w:tcPr>
    </w:tblStylePr>
    <w:tblStylePr w:type="firstCol">
      <w:rPr>
        <w:b/>
        <w:bCs/>
      </w:rPr>
    </w:tblStylePr>
    <w:tblStylePr w:type="lastCol">
      <w:rPr>
        <w:b/>
        <w:bCs/>
      </w:rPr>
    </w:tblStylePr>
    <w:tblStylePr w:type="band1Vert">
      <w:tblPr/>
      <w:tcPr>
        <w:shd w:val="clear" w:color="auto" w:fill="B1E7EF" w:themeFill="accent3" w:themeFillTint="7F"/>
      </w:tcPr>
    </w:tblStylePr>
    <w:tblStylePr w:type="band1Horz">
      <w:tblPr/>
      <w:tcPr>
        <w:shd w:val="clear" w:color="auto" w:fill="B1E7EF" w:themeFill="accent3" w:themeFillTint="7F"/>
      </w:tcPr>
    </w:tblStylePr>
  </w:style>
  <w:style w:type="table" w:styleId="MediumGrid1-Accent4">
    <w:name w:val="Medium Grid 1 Accent 4"/>
    <w:basedOn w:val="TableNormal"/>
    <w:uiPriority w:val="98"/>
    <w:semiHidden/>
    <w:unhideWhenUsed/>
    <w:rsid w:val="001F6DC1"/>
    <w:tblPr>
      <w:tblStyleRowBandSize w:val="1"/>
      <w:tblStyleColBandSize w:val="1"/>
      <w:tbl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single" w:sz="8" w:space="0" w:color="B8B8B8" w:themeColor="accent4" w:themeTint="BF"/>
        <w:insideV w:val="single" w:sz="8" w:space="0" w:color="B8B8B8" w:themeColor="accent4" w:themeTint="BF"/>
      </w:tblBorders>
    </w:tblPr>
    <w:tcPr>
      <w:shd w:val="clear" w:color="auto" w:fill="E7E7E7" w:themeFill="accent4" w:themeFillTint="3F"/>
    </w:tcPr>
    <w:tblStylePr w:type="firstRow">
      <w:rPr>
        <w:b/>
        <w:bCs/>
      </w:rPr>
    </w:tblStylePr>
    <w:tblStylePr w:type="lastRow">
      <w:rPr>
        <w:b/>
        <w:bCs/>
      </w:rPr>
      <w:tblPr/>
      <w:tcPr>
        <w:tcBorders>
          <w:top w:val="single" w:sz="18" w:space="0" w:color="B8B8B8" w:themeColor="accent4" w:themeTint="BF"/>
        </w:tcBorders>
      </w:tcPr>
    </w:tblStylePr>
    <w:tblStylePr w:type="firstCol">
      <w:rPr>
        <w:b/>
        <w:bCs/>
      </w:rPr>
    </w:tblStylePr>
    <w:tblStylePr w:type="lastCol">
      <w:rPr>
        <w:b/>
        <w:bCs/>
      </w:rPr>
    </w:tblStylePr>
    <w:tblStylePr w:type="band1Vert">
      <w:tblPr/>
      <w:tcPr>
        <w:shd w:val="clear" w:color="auto" w:fill="D0D0D0" w:themeFill="accent4" w:themeFillTint="7F"/>
      </w:tcPr>
    </w:tblStylePr>
    <w:tblStylePr w:type="band1Horz">
      <w:tblPr/>
      <w:tcPr>
        <w:shd w:val="clear" w:color="auto" w:fill="D0D0D0" w:themeFill="accent4" w:themeFillTint="7F"/>
      </w:tcPr>
    </w:tblStylePr>
  </w:style>
  <w:style w:type="table" w:styleId="MediumGrid1-Accent5">
    <w:name w:val="Medium Grid 1 Accent 5"/>
    <w:basedOn w:val="TableNormal"/>
    <w:uiPriority w:val="98"/>
    <w:semiHidden/>
    <w:unhideWhenUsed/>
    <w:rsid w:val="001F6DC1"/>
    <w:tblPr>
      <w:tblStyleRowBandSize w:val="1"/>
      <w:tblStyleColBandSize w:val="1"/>
      <w:tbl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single" w:sz="8" w:space="0" w:color="8ADBE7" w:themeColor="accent5" w:themeTint="BF"/>
        <w:insideV w:val="single" w:sz="8" w:space="0" w:color="8ADBE7" w:themeColor="accent5" w:themeTint="BF"/>
      </w:tblBorders>
    </w:tblPr>
    <w:tcPr>
      <w:shd w:val="clear" w:color="auto" w:fill="D8F3F7" w:themeFill="accent5" w:themeFillTint="3F"/>
    </w:tcPr>
    <w:tblStylePr w:type="firstRow">
      <w:rPr>
        <w:b/>
        <w:bCs/>
      </w:rPr>
    </w:tblStylePr>
    <w:tblStylePr w:type="lastRow">
      <w:rPr>
        <w:b/>
        <w:bCs/>
      </w:rPr>
      <w:tblPr/>
      <w:tcPr>
        <w:tcBorders>
          <w:top w:val="single" w:sz="18" w:space="0" w:color="8ADBE7" w:themeColor="accent5" w:themeTint="BF"/>
        </w:tcBorders>
      </w:tcPr>
    </w:tblStylePr>
    <w:tblStylePr w:type="firstCol">
      <w:rPr>
        <w:b/>
        <w:bCs/>
      </w:rPr>
    </w:tblStylePr>
    <w:tblStylePr w:type="lastCol">
      <w:rPr>
        <w:b/>
        <w:bCs/>
      </w:rPr>
    </w:tblStylePr>
    <w:tblStylePr w:type="band1Vert">
      <w:tblPr/>
      <w:tcPr>
        <w:shd w:val="clear" w:color="auto" w:fill="B1E7EF" w:themeFill="accent5" w:themeFillTint="7F"/>
      </w:tcPr>
    </w:tblStylePr>
    <w:tblStylePr w:type="band1Horz">
      <w:tblPr/>
      <w:tcPr>
        <w:shd w:val="clear" w:color="auto" w:fill="B1E7EF" w:themeFill="accent5" w:themeFillTint="7F"/>
      </w:tcPr>
    </w:tblStylePr>
  </w:style>
  <w:style w:type="table" w:styleId="MediumGrid1-Accent6">
    <w:name w:val="Medium Grid 1 Accent 6"/>
    <w:basedOn w:val="TableNormal"/>
    <w:uiPriority w:val="98"/>
    <w:semiHidden/>
    <w:unhideWhenUsed/>
    <w:rsid w:val="001F6DC1"/>
    <w:tblPr>
      <w:tblStyleRowBandSize w:val="1"/>
      <w:tblStyleColBandSize w:val="1"/>
      <w:tbl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single" w:sz="8" w:space="0" w:color="B8B8B8" w:themeColor="accent6" w:themeTint="BF"/>
        <w:insideV w:val="single" w:sz="8" w:space="0" w:color="B8B8B8" w:themeColor="accent6" w:themeTint="BF"/>
      </w:tblBorders>
    </w:tblPr>
    <w:tcPr>
      <w:shd w:val="clear" w:color="auto" w:fill="E7E7E7" w:themeFill="accent6" w:themeFillTint="3F"/>
    </w:tcPr>
    <w:tblStylePr w:type="firstRow">
      <w:rPr>
        <w:b/>
        <w:bCs/>
      </w:rPr>
    </w:tblStylePr>
    <w:tblStylePr w:type="lastRow">
      <w:rPr>
        <w:b/>
        <w:bCs/>
      </w:rPr>
      <w:tblPr/>
      <w:tcPr>
        <w:tcBorders>
          <w:top w:val="single" w:sz="18" w:space="0" w:color="B8B8B8" w:themeColor="accent6" w:themeTint="BF"/>
        </w:tcBorders>
      </w:tcPr>
    </w:tblStylePr>
    <w:tblStylePr w:type="firstCol">
      <w:rPr>
        <w:b/>
        <w:bCs/>
      </w:rPr>
    </w:tblStylePr>
    <w:tblStylePr w:type="lastCol">
      <w:rPr>
        <w:b/>
        <w:bCs/>
      </w:rPr>
    </w:tblStylePr>
    <w:tblStylePr w:type="band1Vert">
      <w:tblPr/>
      <w:tcPr>
        <w:shd w:val="clear" w:color="auto" w:fill="D0D0D0" w:themeFill="accent6" w:themeFillTint="7F"/>
      </w:tcPr>
    </w:tblStylePr>
    <w:tblStylePr w:type="band1Horz">
      <w:tblPr/>
      <w:tcPr>
        <w:shd w:val="clear" w:color="auto" w:fill="D0D0D0" w:themeFill="accent6" w:themeFillTint="7F"/>
      </w:tcPr>
    </w:tblStylePr>
  </w:style>
  <w:style w:type="table" w:styleId="MediumGrid2">
    <w:name w:val="Medium Grid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insideH w:val="single" w:sz="8" w:space="0" w:color="63D0DF" w:themeColor="accent1"/>
        <w:insideV w:val="single" w:sz="8" w:space="0" w:color="63D0DF" w:themeColor="accent1"/>
      </w:tblBorders>
    </w:tblPr>
    <w:tcPr>
      <w:shd w:val="clear" w:color="auto" w:fill="D8F3F7" w:themeFill="accent1" w:themeFillTint="3F"/>
    </w:tcPr>
    <w:tblStylePr w:type="firstRow">
      <w:rPr>
        <w:b/>
        <w:bCs/>
        <w:color w:val="000000" w:themeColor="text1"/>
      </w:rPr>
      <w:tblPr/>
      <w:tcPr>
        <w:shd w:val="clear" w:color="auto" w:fill="EFFA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1" w:themeFillTint="33"/>
      </w:tcPr>
    </w:tblStylePr>
    <w:tblStylePr w:type="band1Vert">
      <w:tblPr/>
      <w:tcPr>
        <w:shd w:val="clear" w:color="auto" w:fill="B1E7EF" w:themeFill="accent1" w:themeFillTint="7F"/>
      </w:tcPr>
    </w:tblStylePr>
    <w:tblStylePr w:type="band1Horz">
      <w:tblPr/>
      <w:tcPr>
        <w:tcBorders>
          <w:insideH w:val="single" w:sz="6" w:space="0" w:color="63D0DF" w:themeColor="accent1"/>
          <w:insideV w:val="single" w:sz="6" w:space="0" w:color="63D0DF" w:themeColor="accent1"/>
        </w:tcBorders>
        <w:shd w:val="clear" w:color="auto" w:fill="B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insideH w:val="single" w:sz="8" w:space="0" w:color="C9C9CA" w:themeColor="accent2"/>
        <w:insideV w:val="single" w:sz="8" w:space="0" w:color="C9C9CA" w:themeColor="accent2"/>
      </w:tblBorders>
    </w:tblPr>
    <w:tcPr>
      <w:shd w:val="clear" w:color="auto" w:fill="F1F1F1" w:themeFill="accent2" w:themeFillTint="3F"/>
    </w:tcPr>
    <w:tblStylePr w:type="firstRow">
      <w:rPr>
        <w:b/>
        <w:bCs/>
        <w:color w:val="000000" w:themeColor="text1"/>
      </w:rPr>
      <w:tblPr/>
      <w:tcPr>
        <w:shd w:val="clear" w:color="auto" w:fill="F9F9F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4F4" w:themeFill="accent2" w:themeFillTint="33"/>
      </w:tcPr>
    </w:tblStylePr>
    <w:tblStylePr w:type="band1Vert">
      <w:tblPr/>
      <w:tcPr>
        <w:shd w:val="clear" w:color="auto" w:fill="E4E4E4" w:themeFill="accent2" w:themeFillTint="7F"/>
      </w:tcPr>
    </w:tblStylePr>
    <w:tblStylePr w:type="band1Horz">
      <w:tblPr/>
      <w:tcPr>
        <w:tcBorders>
          <w:insideH w:val="single" w:sz="6" w:space="0" w:color="C9C9CA" w:themeColor="accent2"/>
          <w:insideV w:val="single" w:sz="6" w:space="0" w:color="C9C9CA" w:themeColor="accent2"/>
        </w:tcBorders>
        <w:shd w:val="clear" w:color="auto" w:fill="E4E4E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insideH w:val="single" w:sz="8" w:space="0" w:color="63D0DF" w:themeColor="accent3"/>
        <w:insideV w:val="single" w:sz="8" w:space="0" w:color="63D0DF" w:themeColor="accent3"/>
      </w:tblBorders>
    </w:tblPr>
    <w:tcPr>
      <w:shd w:val="clear" w:color="auto" w:fill="D8F3F7" w:themeFill="accent3" w:themeFillTint="3F"/>
    </w:tcPr>
    <w:tblStylePr w:type="firstRow">
      <w:rPr>
        <w:b/>
        <w:bCs/>
        <w:color w:val="000000" w:themeColor="text1"/>
      </w:rPr>
      <w:tblPr/>
      <w:tcPr>
        <w:shd w:val="clear" w:color="auto" w:fill="EFFA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3" w:themeFillTint="33"/>
      </w:tcPr>
    </w:tblStylePr>
    <w:tblStylePr w:type="band1Vert">
      <w:tblPr/>
      <w:tcPr>
        <w:shd w:val="clear" w:color="auto" w:fill="B1E7EF" w:themeFill="accent3" w:themeFillTint="7F"/>
      </w:tcPr>
    </w:tblStylePr>
    <w:tblStylePr w:type="band1Horz">
      <w:tblPr/>
      <w:tcPr>
        <w:tcBorders>
          <w:insideH w:val="single" w:sz="6" w:space="0" w:color="63D0DF" w:themeColor="accent3"/>
          <w:insideV w:val="single" w:sz="6" w:space="0" w:color="63D0DF" w:themeColor="accent3"/>
        </w:tcBorders>
        <w:shd w:val="clear" w:color="auto" w:fill="B1E7E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insideH w:val="single" w:sz="8" w:space="0" w:color="A1A1A1" w:themeColor="accent4"/>
        <w:insideV w:val="single" w:sz="8" w:space="0" w:color="A1A1A1" w:themeColor="accent4"/>
      </w:tblBorders>
    </w:tblPr>
    <w:tcPr>
      <w:shd w:val="clear" w:color="auto" w:fill="E7E7E7" w:themeFill="accent4" w:themeFillTint="3F"/>
    </w:tcPr>
    <w:tblStylePr w:type="firstRow">
      <w:rPr>
        <w:b/>
        <w:bCs/>
        <w:color w:val="000000" w:themeColor="text1"/>
      </w:rPr>
      <w:tblPr/>
      <w:tcPr>
        <w:shd w:val="clear" w:color="auto" w:fill="F5F5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C" w:themeFill="accent4" w:themeFillTint="33"/>
      </w:tcPr>
    </w:tblStylePr>
    <w:tblStylePr w:type="band1Vert">
      <w:tblPr/>
      <w:tcPr>
        <w:shd w:val="clear" w:color="auto" w:fill="D0D0D0" w:themeFill="accent4" w:themeFillTint="7F"/>
      </w:tcPr>
    </w:tblStylePr>
    <w:tblStylePr w:type="band1Horz">
      <w:tblPr/>
      <w:tcPr>
        <w:tcBorders>
          <w:insideH w:val="single" w:sz="6" w:space="0" w:color="A1A1A1" w:themeColor="accent4"/>
          <w:insideV w:val="single" w:sz="6" w:space="0" w:color="A1A1A1" w:themeColor="accent4"/>
        </w:tcBorders>
        <w:shd w:val="clear" w:color="auto" w:fill="D0D0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insideH w:val="single" w:sz="8" w:space="0" w:color="63D0DF" w:themeColor="accent5"/>
        <w:insideV w:val="single" w:sz="8" w:space="0" w:color="63D0DF" w:themeColor="accent5"/>
      </w:tblBorders>
    </w:tblPr>
    <w:tcPr>
      <w:shd w:val="clear" w:color="auto" w:fill="D8F3F7" w:themeFill="accent5" w:themeFillTint="3F"/>
    </w:tcPr>
    <w:tblStylePr w:type="firstRow">
      <w:rPr>
        <w:b/>
        <w:bCs/>
        <w:color w:val="000000" w:themeColor="text1"/>
      </w:rPr>
      <w:tblPr/>
      <w:tcPr>
        <w:shd w:val="clear" w:color="auto" w:fill="EFFA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5" w:themeFillTint="33"/>
      </w:tcPr>
    </w:tblStylePr>
    <w:tblStylePr w:type="band1Vert">
      <w:tblPr/>
      <w:tcPr>
        <w:shd w:val="clear" w:color="auto" w:fill="B1E7EF" w:themeFill="accent5" w:themeFillTint="7F"/>
      </w:tcPr>
    </w:tblStylePr>
    <w:tblStylePr w:type="band1Horz">
      <w:tblPr/>
      <w:tcPr>
        <w:tcBorders>
          <w:insideH w:val="single" w:sz="6" w:space="0" w:color="63D0DF" w:themeColor="accent5"/>
          <w:insideV w:val="single" w:sz="6" w:space="0" w:color="63D0DF" w:themeColor="accent5"/>
        </w:tcBorders>
        <w:shd w:val="clear" w:color="auto" w:fill="B1E7E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insideH w:val="single" w:sz="8" w:space="0" w:color="A1A1A1" w:themeColor="accent6"/>
        <w:insideV w:val="single" w:sz="8" w:space="0" w:color="A1A1A1" w:themeColor="accent6"/>
      </w:tblBorders>
    </w:tblPr>
    <w:tcPr>
      <w:shd w:val="clear" w:color="auto" w:fill="E7E7E7" w:themeFill="accent6" w:themeFillTint="3F"/>
    </w:tcPr>
    <w:tblStylePr w:type="firstRow">
      <w:rPr>
        <w:b/>
        <w:bCs/>
        <w:color w:val="000000" w:themeColor="text1"/>
      </w:rPr>
      <w:tblPr/>
      <w:tcPr>
        <w:shd w:val="clear" w:color="auto" w:fill="F5F5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C" w:themeFill="accent6" w:themeFillTint="33"/>
      </w:tcPr>
    </w:tblStylePr>
    <w:tblStylePr w:type="band1Vert">
      <w:tblPr/>
      <w:tcPr>
        <w:shd w:val="clear" w:color="auto" w:fill="D0D0D0" w:themeFill="accent6" w:themeFillTint="7F"/>
      </w:tcPr>
    </w:tblStylePr>
    <w:tblStylePr w:type="band1Horz">
      <w:tblPr/>
      <w:tcPr>
        <w:tcBorders>
          <w:insideH w:val="single" w:sz="6" w:space="0" w:color="A1A1A1" w:themeColor="accent6"/>
          <w:insideV w:val="single" w:sz="6" w:space="0" w:color="A1A1A1" w:themeColor="accent6"/>
        </w:tcBorders>
        <w:shd w:val="clear" w:color="auto" w:fill="D0D0D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1" w:themeFillTint="7F"/>
      </w:tcPr>
    </w:tblStylePr>
  </w:style>
  <w:style w:type="table" w:styleId="MediumGrid3-Accent2">
    <w:name w:val="Medium Grid 3 Accent 2"/>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C9C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C9C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C9C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C9C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E4E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E4E4" w:themeFill="accent2" w:themeFillTint="7F"/>
      </w:tcPr>
    </w:tblStylePr>
  </w:style>
  <w:style w:type="table" w:styleId="MediumGrid3-Accent3">
    <w:name w:val="Medium Grid 3 Accent 3"/>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3" w:themeFillTint="7F"/>
      </w:tcPr>
    </w:tblStylePr>
  </w:style>
  <w:style w:type="table" w:styleId="MediumGrid3-Accent4">
    <w:name w:val="Medium Grid 3 Accent 4"/>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7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A1A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A1A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A1A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A1A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D0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D0D0" w:themeFill="accent4" w:themeFillTint="7F"/>
      </w:tcPr>
    </w:tblStylePr>
  </w:style>
  <w:style w:type="table" w:styleId="MediumGrid3-Accent5">
    <w:name w:val="Medium Grid 3 Accent 5"/>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5" w:themeFillTint="7F"/>
      </w:tcPr>
    </w:tblStylePr>
  </w:style>
  <w:style w:type="table" w:styleId="MediumGrid3-Accent6">
    <w:name w:val="Medium Grid 3 Accent 6"/>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7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A1A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A1A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A1A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A1A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D0D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D0D0" w:themeFill="accent6" w:themeFillTint="7F"/>
      </w:tcPr>
    </w:tblStylePr>
  </w:style>
  <w:style w:type="table" w:styleId="MediumList1">
    <w:name w:val="Medium List 1"/>
    <w:basedOn w:val="TableNormal"/>
    <w:uiPriority w:val="98"/>
    <w:semiHidden/>
    <w:unhideWhenUsed/>
    <w:rsid w:val="001F6DC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8585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semiHidden/>
    <w:unhideWhenUsed/>
    <w:rsid w:val="001F6DC1"/>
    <w:rPr>
      <w:color w:val="000000" w:themeColor="text1"/>
    </w:rPr>
    <w:tblPr>
      <w:tblStyleRowBandSize w:val="1"/>
      <w:tblStyleColBandSize w:val="1"/>
      <w:tblBorders>
        <w:top w:val="single" w:sz="8" w:space="0" w:color="63D0DF" w:themeColor="accent1"/>
        <w:bottom w:val="single" w:sz="8" w:space="0" w:color="63D0DF" w:themeColor="accent1"/>
      </w:tblBorders>
    </w:tblPr>
    <w:tblStylePr w:type="firstRow">
      <w:rPr>
        <w:rFonts w:asciiTheme="majorHAnsi" w:eastAsiaTheme="majorEastAsia" w:hAnsiTheme="majorHAnsi" w:cstheme="majorBidi"/>
      </w:rPr>
      <w:tblPr/>
      <w:tcPr>
        <w:tcBorders>
          <w:top w:val="nil"/>
          <w:bottom w:val="single" w:sz="8" w:space="0" w:color="63D0DF" w:themeColor="accent1"/>
        </w:tcBorders>
      </w:tcPr>
    </w:tblStylePr>
    <w:tblStylePr w:type="lastRow">
      <w:rPr>
        <w:b/>
        <w:bCs/>
        <w:color w:val="585858" w:themeColor="text2"/>
      </w:rPr>
      <w:tblPr/>
      <w:tcPr>
        <w:tcBorders>
          <w:top w:val="single" w:sz="8" w:space="0" w:color="63D0DF" w:themeColor="accent1"/>
          <w:bottom w:val="single" w:sz="8" w:space="0" w:color="63D0DF" w:themeColor="accent1"/>
        </w:tcBorders>
      </w:tcPr>
    </w:tblStylePr>
    <w:tblStylePr w:type="firstCol">
      <w:rPr>
        <w:b/>
        <w:bCs/>
      </w:rPr>
    </w:tblStylePr>
    <w:tblStylePr w:type="lastCol">
      <w:rPr>
        <w:b/>
        <w:bCs/>
      </w:rPr>
      <w:tblPr/>
      <w:tcPr>
        <w:tcBorders>
          <w:top w:val="single" w:sz="8" w:space="0" w:color="63D0DF" w:themeColor="accent1"/>
          <w:bottom w:val="single" w:sz="8" w:space="0" w:color="63D0DF" w:themeColor="accent1"/>
        </w:tcBorders>
      </w:tcPr>
    </w:tblStylePr>
    <w:tblStylePr w:type="band1Vert">
      <w:tblPr/>
      <w:tcPr>
        <w:shd w:val="clear" w:color="auto" w:fill="D8F3F7" w:themeFill="accent1" w:themeFillTint="3F"/>
      </w:tcPr>
    </w:tblStylePr>
    <w:tblStylePr w:type="band1Horz">
      <w:tblPr/>
      <w:tcPr>
        <w:shd w:val="clear" w:color="auto" w:fill="D8F3F7" w:themeFill="accent1" w:themeFillTint="3F"/>
      </w:tcPr>
    </w:tblStylePr>
  </w:style>
  <w:style w:type="table" w:styleId="MediumList1-Accent2">
    <w:name w:val="Medium List 1 Accent 2"/>
    <w:basedOn w:val="TableNormal"/>
    <w:uiPriority w:val="98"/>
    <w:semiHidden/>
    <w:unhideWhenUsed/>
    <w:rsid w:val="001F6DC1"/>
    <w:rPr>
      <w:color w:val="000000" w:themeColor="text1"/>
    </w:rPr>
    <w:tblPr>
      <w:tblStyleRowBandSize w:val="1"/>
      <w:tblStyleColBandSize w:val="1"/>
      <w:tblBorders>
        <w:top w:val="single" w:sz="8" w:space="0" w:color="C9C9CA" w:themeColor="accent2"/>
        <w:bottom w:val="single" w:sz="8" w:space="0" w:color="C9C9CA" w:themeColor="accent2"/>
      </w:tblBorders>
    </w:tblPr>
    <w:tblStylePr w:type="firstRow">
      <w:rPr>
        <w:rFonts w:asciiTheme="majorHAnsi" w:eastAsiaTheme="majorEastAsia" w:hAnsiTheme="majorHAnsi" w:cstheme="majorBidi"/>
      </w:rPr>
      <w:tblPr/>
      <w:tcPr>
        <w:tcBorders>
          <w:top w:val="nil"/>
          <w:bottom w:val="single" w:sz="8" w:space="0" w:color="C9C9CA" w:themeColor="accent2"/>
        </w:tcBorders>
      </w:tcPr>
    </w:tblStylePr>
    <w:tblStylePr w:type="lastRow">
      <w:rPr>
        <w:b/>
        <w:bCs/>
        <w:color w:val="585858" w:themeColor="text2"/>
      </w:rPr>
      <w:tblPr/>
      <w:tcPr>
        <w:tcBorders>
          <w:top w:val="single" w:sz="8" w:space="0" w:color="C9C9CA" w:themeColor="accent2"/>
          <w:bottom w:val="single" w:sz="8" w:space="0" w:color="C9C9CA" w:themeColor="accent2"/>
        </w:tcBorders>
      </w:tcPr>
    </w:tblStylePr>
    <w:tblStylePr w:type="firstCol">
      <w:rPr>
        <w:b/>
        <w:bCs/>
      </w:rPr>
    </w:tblStylePr>
    <w:tblStylePr w:type="lastCol">
      <w:rPr>
        <w:b/>
        <w:bCs/>
      </w:rPr>
      <w:tblPr/>
      <w:tcPr>
        <w:tcBorders>
          <w:top w:val="single" w:sz="8" w:space="0" w:color="C9C9CA" w:themeColor="accent2"/>
          <w:bottom w:val="single" w:sz="8" w:space="0" w:color="C9C9CA" w:themeColor="accent2"/>
        </w:tcBorders>
      </w:tcPr>
    </w:tblStylePr>
    <w:tblStylePr w:type="band1Vert">
      <w:tblPr/>
      <w:tcPr>
        <w:shd w:val="clear" w:color="auto" w:fill="F1F1F1" w:themeFill="accent2" w:themeFillTint="3F"/>
      </w:tcPr>
    </w:tblStylePr>
    <w:tblStylePr w:type="band1Horz">
      <w:tblPr/>
      <w:tcPr>
        <w:shd w:val="clear" w:color="auto" w:fill="F1F1F1" w:themeFill="accent2" w:themeFillTint="3F"/>
      </w:tcPr>
    </w:tblStylePr>
  </w:style>
  <w:style w:type="table" w:styleId="MediumList1-Accent3">
    <w:name w:val="Medium List 1 Accent 3"/>
    <w:basedOn w:val="TableNormal"/>
    <w:uiPriority w:val="98"/>
    <w:semiHidden/>
    <w:unhideWhenUsed/>
    <w:rsid w:val="001F6DC1"/>
    <w:rPr>
      <w:color w:val="000000" w:themeColor="text1"/>
    </w:rPr>
    <w:tblPr>
      <w:tblStyleRowBandSize w:val="1"/>
      <w:tblStyleColBandSize w:val="1"/>
      <w:tblBorders>
        <w:top w:val="single" w:sz="8" w:space="0" w:color="63D0DF" w:themeColor="accent3"/>
        <w:bottom w:val="single" w:sz="8" w:space="0" w:color="63D0DF" w:themeColor="accent3"/>
      </w:tblBorders>
    </w:tblPr>
    <w:tblStylePr w:type="firstRow">
      <w:rPr>
        <w:rFonts w:asciiTheme="majorHAnsi" w:eastAsiaTheme="majorEastAsia" w:hAnsiTheme="majorHAnsi" w:cstheme="majorBidi"/>
      </w:rPr>
      <w:tblPr/>
      <w:tcPr>
        <w:tcBorders>
          <w:top w:val="nil"/>
          <w:bottom w:val="single" w:sz="8" w:space="0" w:color="63D0DF" w:themeColor="accent3"/>
        </w:tcBorders>
      </w:tcPr>
    </w:tblStylePr>
    <w:tblStylePr w:type="lastRow">
      <w:rPr>
        <w:b/>
        <w:bCs/>
        <w:color w:val="585858" w:themeColor="text2"/>
      </w:rPr>
      <w:tblPr/>
      <w:tcPr>
        <w:tcBorders>
          <w:top w:val="single" w:sz="8" w:space="0" w:color="63D0DF" w:themeColor="accent3"/>
          <w:bottom w:val="single" w:sz="8" w:space="0" w:color="63D0DF" w:themeColor="accent3"/>
        </w:tcBorders>
      </w:tcPr>
    </w:tblStylePr>
    <w:tblStylePr w:type="firstCol">
      <w:rPr>
        <w:b/>
        <w:bCs/>
      </w:rPr>
    </w:tblStylePr>
    <w:tblStylePr w:type="lastCol">
      <w:rPr>
        <w:b/>
        <w:bCs/>
      </w:rPr>
      <w:tblPr/>
      <w:tcPr>
        <w:tcBorders>
          <w:top w:val="single" w:sz="8" w:space="0" w:color="63D0DF" w:themeColor="accent3"/>
          <w:bottom w:val="single" w:sz="8" w:space="0" w:color="63D0DF" w:themeColor="accent3"/>
        </w:tcBorders>
      </w:tcPr>
    </w:tblStylePr>
    <w:tblStylePr w:type="band1Vert">
      <w:tblPr/>
      <w:tcPr>
        <w:shd w:val="clear" w:color="auto" w:fill="D8F3F7" w:themeFill="accent3" w:themeFillTint="3F"/>
      </w:tcPr>
    </w:tblStylePr>
    <w:tblStylePr w:type="band1Horz">
      <w:tblPr/>
      <w:tcPr>
        <w:shd w:val="clear" w:color="auto" w:fill="D8F3F7" w:themeFill="accent3" w:themeFillTint="3F"/>
      </w:tcPr>
    </w:tblStylePr>
  </w:style>
  <w:style w:type="table" w:styleId="MediumList1-Accent4">
    <w:name w:val="Medium List 1 Accent 4"/>
    <w:basedOn w:val="TableNormal"/>
    <w:uiPriority w:val="98"/>
    <w:semiHidden/>
    <w:unhideWhenUsed/>
    <w:rsid w:val="001F6DC1"/>
    <w:rPr>
      <w:color w:val="000000" w:themeColor="text1"/>
    </w:rPr>
    <w:tblPr>
      <w:tblStyleRowBandSize w:val="1"/>
      <w:tblStyleColBandSize w:val="1"/>
      <w:tblBorders>
        <w:top w:val="single" w:sz="8" w:space="0" w:color="A1A1A1" w:themeColor="accent4"/>
        <w:bottom w:val="single" w:sz="8" w:space="0" w:color="A1A1A1" w:themeColor="accent4"/>
      </w:tblBorders>
    </w:tblPr>
    <w:tblStylePr w:type="firstRow">
      <w:rPr>
        <w:rFonts w:asciiTheme="majorHAnsi" w:eastAsiaTheme="majorEastAsia" w:hAnsiTheme="majorHAnsi" w:cstheme="majorBidi"/>
      </w:rPr>
      <w:tblPr/>
      <w:tcPr>
        <w:tcBorders>
          <w:top w:val="nil"/>
          <w:bottom w:val="single" w:sz="8" w:space="0" w:color="A1A1A1" w:themeColor="accent4"/>
        </w:tcBorders>
      </w:tcPr>
    </w:tblStylePr>
    <w:tblStylePr w:type="lastRow">
      <w:rPr>
        <w:b/>
        <w:bCs/>
        <w:color w:val="585858" w:themeColor="text2"/>
      </w:rPr>
      <w:tblPr/>
      <w:tcPr>
        <w:tcBorders>
          <w:top w:val="single" w:sz="8" w:space="0" w:color="A1A1A1" w:themeColor="accent4"/>
          <w:bottom w:val="single" w:sz="8" w:space="0" w:color="A1A1A1" w:themeColor="accent4"/>
        </w:tcBorders>
      </w:tcPr>
    </w:tblStylePr>
    <w:tblStylePr w:type="firstCol">
      <w:rPr>
        <w:b/>
        <w:bCs/>
      </w:rPr>
    </w:tblStylePr>
    <w:tblStylePr w:type="lastCol">
      <w:rPr>
        <w:b/>
        <w:bCs/>
      </w:rPr>
      <w:tblPr/>
      <w:tcPr>
        <w:tcBorders>
          <w:top w:val="single" w:sz="8" w:space="0" w:color="A1A1A1" w:themeColor="accent4"/>
          <w:bottom w:val="single" w:sz="8" w:space="0" w:color="A1A1A1" w:themeColor="accent4"/>
        </w:tcBorders>
      </w:tcPr>
    </w:tblStylePr>
    <w:tblStylePr w:type="band1Vert">
      <w:tblPr/>
      <w:tcPr>
        <w:shd w:val="clear" w:color="auto" w:fill="E7E7E7" w:themeFill="accent4" w:themeFillTint="3F"/>
      </w:tcPr>
    </w:tblStylePr>
    <w:tblStylePr w:type="band1Horz">
      <w:tblPr/>
      <w:tcPr>
        <w:shd w:val="clear" w:color="auto" w:fill="E7E7E7" w:themeFill="accent4" w:themeFillTint="3F"/>
      </w:tcPr>
    </w:tblStylePr>
  </w:style>
  <w:style w:type="table" w:styleId="MediumList1-Accent5">
    <w:name w:val="Medium List 1 Accent 5"/>
    <w:basedOn w:val="TableNormal"/>
    <w:uiPriority w:val="98"/>
    <w:semiHidden/>
    <w:unhideWhenUsed/>
    <w:rsid w:val="001F6DC1"/>
    <w:rPr>
      <w:color w:val="000000" w:themeColor="text1"/>
    </w:rPr>
    <w:tblPr>
      <w:tblStyleRowBandSize w:val="1"/>
      <w:tblStyleColBandSize w:val="1"/>
      <w:tblBorders>
        <w:top w:val="single" w:sz="8" w:space="0" w:color="63D0DF" w:themeColor="accent5"/>
        <w:bottom w:val="single" w:sz="8" w:space="0" w:color="63D0DF" w:themeColor="accent5"/>
      </w:tblBorders>
    </w:tblPr>
    <w:tblStylePr w:type="firstRow">
      <w:rPr>
        <w:rFonts w:asciiTheme="majorHAnsi" w:eastAsiaTheme="majorEastAsia" w:hAnsiTheme="majorHAnsi" w:cstheme="majorBidi"/>
      </w:rPr>
      <w:tblPr/>
      <w:tcPr>
        <w:tcBorders>
          <w:top w:val="nil"/>
          <w:bottom w:val="single" w:sz="8" w:space="0" w:color="63D0DF" w:themeColor="accent5"/>
        </w:tcBorders>
      </w:tcPr>
    </w:tblStylePr>
    <w:tblStylePr w:type="lastRow">
      <w:rPr>
        <w:b/>
        <w:bCs/>
        <w:color w:val="585858" w:themeColor="text2"/>
      </w:rPr>
      <w:tblPr/>
      <w:tcPr>
        <w:tcBorders>
          <w:top w:val="single" w:sz="8" w:space="0" w:color="63D0DF" w:themeColor="accent5"/>
          <w:bottom w:val="single" w:sz="8" w:space="0" w:color="63D0DF" w:themeColor="accent5"/>
        </w:tcBorders>
      </w:tcPr>
    </w:tblStylePr>
    <w:tblStylePr w:type="firstCol">
      <w:rPr>
        <w:b/>
        <w:bCs/>
      </w:rPr>
    </w:tblStylePr>
    <w:tblStylePr w:type="lastCol">
      <w:rPr>
        <w:b/>
        <w:bCs/>
      </w:rPr>
      <w:tblPr/>
      <w:tcPr>
        <w:tcBorders>
          <w:top w:val="single" w:sz="8" w:space="0" w:color="63D0DF" w:themeColor="accent5"/>
          <w:bottom w:val="single" w:sz="8" w:space="0" w:color="63D0DF" w:themeColor="accent5"/>
        </w:tcBorders>
      </w:tcPr>
    </w:tblStylePr>
    <w:tblStylePr w:type="band1Vert">
      <w:tblPr/>
      <w:tcPr>
        <w:shd w:val="clear" w:color="auto" w:fill="D8F3F7" w:themeFill="accent5" w:themeFillTint="3F"/>
      </w:tcPr>
    </w:tblStylePr>
    <w:tblStylePr w:type="band1Horz">
      <w:tblPr/>
      <w:tcPr>
        <w:shd w:val="clear" w:color="auto" w:fill="D8F3F7" w:themeFill="accent5" w:themeFillTint="3F"/>
      </w:tcPr>
    </w:tblStylePr>
  </w:style>
  <w:style w:type="table" w:styleId="MediumList1-Accent6">
    <w:name w:val="Medium List 1 Accent 6"/>
    <w:basedOn w:val="TableNormal"/>
    <w:uiPriority w:val="98"/>
    <w:semiHidden/>
    <w:unhideWhenUsed/>
    <w:rsid w:val="001F6DC1"/>
    <w:rPr>
      <w:color w:val="000000" w:themeColor="text1"/>
    </w:rPr>
    <w:tblPr>
      <w:tblStyleRowBandSize w:val="1"/>
      <w:tblStyleColBandSize w:val="1"/>
      <w:tblBorders>
        <w:top w:val="single" w:sz="8" w:space="0" w:color="A1A1A1" w:themeColor="accent6"/>
        <w:bottom w:val="single" w:sz="8" w:space="0" w:color="A1A1A1" w:themeColor="accent6"/>
      </w:tblBorders>
    </w:tblPr>
    <w:tblStylePr w:type="firstRow">
      <w:rPr>
        <w:rFonts w:asciiTheme="majorHAnsi" w:eastAsiaTheme="majorEastAsia" w:hAnsiTheme="majorHAnsi" w:cstheme="majorBidi"/>
      </w:rPr>
      <w:tblPr/>
      <w:tcPr>
        <w:tcBorders>
          <w:top w:val="nil"/>
          <w:bottom w:val="single" w:sz="8" w:space="0" w:color="A1A1A1" w:themeColor="accent6"/>
        </w:tcBorders>
      </w:tcPr>
    </w:tblStylePr>
    <w:tblStylePr w:type="lastRow">
      <w:rPr>
        <w:b/>
        <w:bCs/>
        <w:color w:val="585858" w:themeColor="text2"/>
      </w:rPr>
      <w:tblPr/>
      <w:tcPr>
        <w:tcBorders>
          <w:top w:val="single" w:sz="8" w:space="0" w:color="A1A1A1" w:themeColor="accent6"/>
          <w:bottom w:val="single" w:sz="8" w:space="0" w:color="A1A1A1" w:themeColor="accent6"/>
        </w:tcBorders>
      </w:tcPr>
    </w:tblStylePr>
    <w:tblStylePr w:type="firstCol">
      <w:rPr>
        <w:b/>
        <w:bCs/>
      </w:rPr>
    </w:tblStylePr>
    <w:tblStylePr w:type="lastCol">
      <w:rPr>
        <w:b/>
        <w:bCs/>
      </w:rPr>
      <w:tblPr/>
      <w:tcPr>
        <w:tcBorders>
          <w:top w:val="single" w:sz="8" w:space="0" w:color="A1A1A1" w:themeColor="accent6"/>
          <w:bottom w:val="single" w:sz="8" w:space="0" w:color="A1A1A1" w:themeColor="accent6"/>
        </w:tcBorders>
      </w:tcPr>
    </w:tblStylePr>
    <w:tblStylePr w:type="band1Vert">
      <w:tblPr/>
      <w:tcPr>
        <w:shd w:val="clear" w:color="auto" w:fill="E7E7E7" w:themeFill="accent6" w:themeFillTint="3F"/>
      </w:tcPr>
    </w:tblStylePr>
    <w:tblStylePr w:type="band1Horz">
      <w:tblPr/>
      <w:tcPr>
        <w:shd w:val="clear" w:color="auto" w:fill="E7E7E7" w:themeFill="accent6" w:themeFillTint="3F"/>
      </w:tcPr>
    </w:tblStylePr>
  </w:style>
  <w:style w:type="table" w:styleId="MediumList2">
    <w:name w:val="Medium Lis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tblBorders>
    </w:tblPr>
    <w:tblStylePr w:type="firstRow">
      <w:rPr>
        <w:sz w:val="24"/>
        <w:szCs w:val="24"/>
      </w:rPr>
      <w:tblPr/>
      <w:tcPr>
        <w:tcBorders>
          <w:top w:val="nil"/>
          <w:left w:val="nil"/>
          <w:bottom w:val="single" w:sz="24" w:space="0" w:color="63D0D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1"/>
          <w:insideH w:val="nil"/>
          <w:insideV w:val="nil"/>
        </w:tcBorders>
        <w:shd w:val="clear" w:color="auto" w:fill="FFFFFF" w:themeFill="background1"/>
      </w:tcPr>
    </w:tblStylePr>
    <w:tblStylePr w:type="lastCol">
      <w:tblPr/>
      <w:tcPr>
        <w:tcBorders>
          <w:top w:val="nil"/>
          <w:left w:val="single" w:sz="8" w:space="0" w:color="63D0D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1" w:themeFillTint="3F"/>
      </w:tcPr>
    </w:tblStylePr>
    <w:tblStylePr w:type="band1Horz">
      <w:tblPr/>
      <w:tcPr>
        <w:tcBorders>
          <w:top w:val="nil"/>
          <w:bottom w:val="nil"/>
          <w:insideH w:val="nil"/>
          <w:insideV w:val="nil"/>
        </w:tcBorders>
        <w:shd w:val="clear" w:color="auto" w:fill="D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tblBorders>
    </w:tblPr>
    <w:tblStylePr w:type="firstRow">
      <w:rPr>
        <w:sz w:val="24"/>
        <w:szCs w:val="24"/>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C9CA" w:themeColor="accent2"/>
          <w:insideH w:val="nil"/>
          <w:insideV w:val="nil"/>
        </w:tcBorders>
        <w:shd w:val="clear" w:color="auto" w:fill="FFFFFF" w:themeFill="background1"/>
      </w:tcPr>
    </w:tblStylePr>
    <w:tblStylePr w:type="lastCol">
      <w:tblPr/>
      <w:tcPr>
        <w:tcBorders>
          <w:top w:val="nil"/>
          <w:left w:val="single" w:sz="8" w:space="0" w:color="C9C9C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2" w:themeFillTint="3F"/>
      </w:tcPr>
    </w:tblStylePr>
    <w:tblStylePr w:type="band1Horz">
      <w:tblPr/>
      <w:tcPr>
        <w:tcBorders>
          <w:top w:val="nil"/>
          <w:bottom w:val="nil"/>
          <w:insideH w:val="nil"/>
          <w:insideV w:val="nil"/>
        </w:tcBorders>
        <w:shd w:val="clear" w:color="auto" w:fill="F1F1F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tblBorders>
    </w:tblPr>
    <w:tblStylePr w:type="firstRow">
      <w:rPr>
        <w:sz w:val="24"/>
        <w:szCs w:val="24"/>
      </w:rPr>
      <w:tblPr/>
      <w:tcPr>
        <w:tcBorders>
          <w:top w:val="nil"/>
          <w:left w:val="nil"/>
          <w:bottom w:val="single" w:sz="24" w:space="0" w:color="63D0D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3"/>
          <w:insideH w:val="nil"/>
          <w:insideV w:val="nil"/>
        </w:tcBorders>
        <w:shd w:val="clear" w:color="auto" w:fill="FFFFFF" w:themeFill="background1"/>
      </w:tcPr>
    </w:tblStylePr>
    <w:tblStylePr w:type="lastCol">
      <w:tblPr/>
      <w:tcPr>
        <w:tcBorders>
          <w:top w:val="nil"/>
          <w:left w:val="single" w:sz="8" w:space="0" w:color="63D0D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3" w:themeFillTint="3F"/>
      </w:tcPr>
    </w:tblStylePr>
    <w:tblStylePr w:type="band1Horz">
      <w:tblPr/>
      <w:tcPr>
        <w:tcBorders>
          <w:top w:val="nil"/>
          <w:bottom w:val="nil"/>
          <w:insideH w:val="nil"/>
          <w:insideV w:val="nil"/>
        </w:tcBorders>
        <w:shd w:val="clear" w:color="auto" w:fill="D8F3F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tblBorders>
    </w:tblPr>
    <w:tblStylePr w:type="firstRow">
      <w:rPr>
        <w:sz w:val="24"/>
        <w:szCs w:val="24"/>
      </w:rPr>
      <w:tblPr/>
      <w:tcPr>
        <w:tcBorders>
          <w:top w:val="nil"/>
          <w:left w:val="nil"/>
          <w:bottom w:val="single" w:sz="24" w:space="0" w:color="A1A1A1"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A1A1" w:themeColor="accent4"/>
          <w:insideH w:val="nil"/>
          <w:insideV w:val="nil"/>
        </w:tcBorders>
        <w:shd w:val="clear" w:color="auto" w:fill="FFFFFF" w:themeFill="background1"/>
      </w:tcPr>
    </w:tblStylePr>
    <w:tblStylePr w:type="lastCol">
      <w:tblPr/>
      <w:tcPr>
        <w:tcBorders>
          <w:top w:val="nil"/>
          <w:left w:val="single" w:sz="8" w:space="0" w:color="A1A1A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7E7" w:themeFill="accent4" w:themeFillTint="3F"/>
      </w:tcPr>
    </w:tblStylePr>
    <w:tblStylePr w:type="band1Horz">
      <w:tblPr/>
      <w:tcPr>
        <w:tcBorders>
          <w:top w:val="nil"/>
          <w:bottom w:val="nil"/>
          <w:insideH w:val="nil"/>
          <w:insideV w:val="nil"/>
        </w:tcBorders>
        <w:shd w:val="clear" w:color="auto" w:fill="E7E7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tblBorders>
    </w:tblPr>
    <w:tblStylePr w:type="firstRow">
      <w:rPr>
        <w:sz w:val="24"/>
        <w:szCs w:val="24"/>
      </w:rPr>
      <w:tblPr/>
      <w:tcPr>
        <w:tcBorders>
          <w:top w:val="nil"/>
          <w:left w:val="nil"/>
          <w:bottom w:val="single" w:sz="24" w:space="0" w:color="63D0D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5"/>
          <w:insideH w:val="nil"/>
          <w:insideV w:val="nil"/>
        </w:tcBorders>
        <w:shd w:val="clear" w:color="auto" w:fill="FFFFFF" w:themeFill="background1"/>
      </w:tcPr>
    </w:tblStylePr>
    <w:tblStylePr w:type="lastCol">
      <w:tblPr/>
      <w:tcPr>
        <w:tcBorders>
          <w:top w:val="nil"/>
          <w:left w:val="single" w:sz="8" w:space="0" w:color="63D0D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5" w:themeFillTint="3F"/>
      </w:tcPr>
    </w:tblStylePr>
    <w:tblStylePr w:type="band1Horz">
      <w:tblPr/>
      <w:tcPr>
        <w:tcBorders>
          <w:top w:val="nil"/>
          <w:bottom w:val="nil"/>
          <w:insideH w:val="nil"/>
          <w:insideV w:val="nil"/>
        </w:tcBorders>
        <w:shd w:val="clear" w:color="auto" w:fill="D8F3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tblBorders>
    </w:tblPr>
    <w:tblStylePr w:type="firstRow">
      <w:rPr>
        <w:sz w:val="24"/>
        <w:szCs w:val="24"/>
      </w:rPr>
      <w:tblPr/>
      <w:tcPr>
        <w:tcBorders>
          <w:top w:val="nil"/>
          <w:left w:val="nil"/>
          <w:bottom w:val="single" w:sz="24" w:space="0" w:color="A1A1A1"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A1A1" w:themeColor="accent6"/>
          <w:insideH w:val="nil"/>
          <w:insideV w:val="nil"/>
        </w:tcBorders>
        <w:shd w:val="clear" w:color="auto" w:fill="FFFFFF" w:themeFill="background1"/>
      </w:tcPr>
    </w:tblStylePr>
    <w:tblStylePr w:type="lastCol">
      <w:tblPr/>
      <w:tcPr>
        <w:tcBorders>
          <w:top w:val="nil"/>
          <w:left w:val="single" w:sz="8" w:space="0" w:color="A1A1A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7E7" w:themeFill="accent6" w:themeFillTint="3F"/>
      </w:tcPr>
    </w:tblStylePr>
    <w:tblStylePr w:type="band1Horz">
      <w:tblPr/>
      <w:tcPr>
        <w:tcBorders>
          <w:top w:val="nil"/>
          <w:bottom w:val="nil"/>
          <w:insideH w:val="nil"/>
          <w:insideV w:val="nil"/>
        </w:tcBorders>
        <w:shd w:val="clear" w:color="auto" w:fill="E7E7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semiHidden/>
    <w:unhideWhenUsed/>
    <w:rsid w:val="001F6DC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semiHidden/>
    <w:unhideWhenUsed/>
    <w:rsid w:val="001F6DC1"/>
    <w:tblPr>
      <w:tblStyleRowBandSize w:val="1"/>
      <w:tblStyleColBandSize w:val="1"/>
      <w:tbl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single" w:sz="8" w:space="0" w:color="8ADBE7" w:themeColor="accent1" w:themeTint="BF"/>
      </w:tblBorders>
    </w:tblPr>
    <w:tblStylePr w:type="firstRow">
      <w:pPr>
        <w:spacing w:before="0" w:after="0" w:line="240" w:lineRule="auto"/>
      </w:pPr>
      <w:rPr>
        <w:b/>
        <w:bCs/>
        <w:color w:val="FFFFFF" w:themeColor="background1"/>
      </w:rPr>
      <w:tblPr/>
      <w:tcPr>
        <w:tc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nil"/>
          <w:insideV w:val="nil"/>
        </w:tcBorders>
        <w:shd w:val="clear" w:color="auto" w:fill="63D0DF" w:themeFill="accent1"/>
      </w:tcPr>
    </w:tblStylePr>
    <w:tblStylePr w:type="lastRow">
      <w:pPr>
        <w:spacing w:before="0" w:after="0" w:line="240" w:lineRule="auto"/>
      </w:pPr>
      <w:rPr>
        <w:b/>
        <w:bCs/>
      </w:rPr>
      <w:tblPr/>
      <w:tcPr>
        <w:tcBorders>
          <w:top w:val="double" w:sz="6"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1" w:themeFillTint="3F"/>
      </w:tcPr>
    </w:tblStylePr>
    <w:tblStylePr w:type="band1Horz">
      <w:tblPr/>
      <w:tcPr>
        <w:tcBorders>
          <w:insideH w:val="nil"/>
          <w:insideV w:val="nil"/>
        </w:tcBorders>
        <w:shd w:val="clear" w:color="auto" w:fill="D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semiHidden/>
    <w:unhideWhenUsed/>
    <w:rsid w:val="001F6DC1"/>
    <w:tblPr>
      <w:tblStyleRowBandSize w:val="1"/>
      <w:tblStyleColBandSize w:val="1"/>
      <w:tbl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single" w:sz="8" w:space="0" w:color="D6D6D7" w:themeColor="accent2" w:themeTint="BF"/>
      </w:tblBorders>
    </w:tblPr>
    <w:tblStylePr w:type="firstRow">
      <w:pPr>
        <w:spacing w:before="0" w:after="0" w:line="240" w:lineRule="auto"/>
      </w:pPr>
      <w:rPr>
        <w:b/>
        <w:bCs/>
        <w:color w:val="FFFFFF" w:themeColor="background1"/>
      </w:rPr>
      <w:tblPr/>
      <w:tcPr>
        <w:tc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nil"/>
          <w:insideV w:val="nil"/>
        </w:tcBorders>
        <w:shd w:val="clear" w:color="auto" w:fill="C9C9CA" w:themeFill="accent2"/>
      </w:tcPr>
    </w:tblStylePr>
    <w:tblStylePr w:type="lastRow">
      <w:pPr>
        <w:spacing w:before="0" w:after="0" w:line="240" w:lineRule="auto"/>
      </w:pPr>
      <w:rPr>
        <w:b/>
        <w:bCs/>
      </w:rPr>
      <w:tblPr/>
      <w:tcPr>
        <w:tcBorders>
          <w:top w:val="double" w:sz="6"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2" w:themeFillTint="3F"/>
      </w:tcPr>
    </w:tblStylePr>
    <w:tblStylePr w:type="band1Horz">
      <w:tblPr/>
      <w:tcPr>
        <w:tcBorders>
          <w:insideH w:val="nil"/>
          <w:insideV w:val="nil"/>
        </w:tcBorders>
        <w:shd w:val="clear" w:color="auto" w:fill="F1F1F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semiHidden/>
    <w:unhideWhenUsed/>
    <w:rsid w:val="001F6DC1"/>
    <w:tblPr>
      <w:tblStyleRowBandSize w:val="1"/>
      <w:tblStyleColBandSize w:val="1"/>
      <w:tbl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single" w:sz="8" w:space="0" w:color="8ADBE7" w:themeColor="accent3" w:themeTint="BF"/>
      </w:tblBorders>
    </w:tblPr>
    <w:tblStylePr w:type="firstRow">
      <w:pPr>
        <w:spacing w:before="0" w:after="0" w:line="240" w:lineRule="auto"/>
      </w:pPr>
      <w:rPr>
        <w:b/>
        <w:bCs/>
        <w:color w:val="FFFFFF" w:themeColor="background1"/>
      </w:rPr>
      <w:tblPr/>
      <w:tcPr>
        <w:tc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nil"/>
          <w:insideV w:val="nil"/>
        </w:tcBorders>
        <w:shd w:val="clear" w:color="auto" w:fill="63D0DF" w:themeFill="accent3"/>
      </w:tcPr>
    </w:tblStylePr>
    <w:tblStylePr w:type="lastRow">
      <w:pPr>
        <w:spacing w:before="0" w:after="0" w:line="240" w:lineRule="auto"/>
      </w:pPr>
      <w:rPr>
        <w:b/>
        <w:bCs/>
      </w:rPr>
      <w:tblPr/>
      <w:tcPr>
        <w:tcBorders>
          <w:top w:val="double" w:sz="6"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3" w:themeFillTint="3F"/>
      </w:tcPr>
    </w:tblStylePr>
    <w:tblStylePr w:type="band1Horz">
      <w:tblPr/>
      <w:tcPr>
        <w:tcBorders>
          <w:insideH w:val="nil"/>
          <w:insideV w:val="nil"/>
        </w:tcBorders>
        <w:shd w:val="clear" w:color="auto" w:fill="D8F3F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semiHidden/>
    <w:unhideWhenUsed/>
    <w:rsid w:val="001F6DC1"/>
    <w:tblPr>
      <w:tblStyleRowBandSize w:val="1"/>
      <w:tblStyleColBandSize w:val="1"/>
      <w:tbl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single" w:sz="8" w:space="0" w:color="B8B8B8" w:themeColor="accent4" w:themeTint="BF"/>
      </w:tblBorders>
    </w:tblPr>
    <w:tblStylePr w:type="firstRow">
      <w:pPr>
        <w:spacing w:before="0" w:after="0" w:line="240" w:lineRule="auto"/>
      </w:pPr>
      <w:rPr>
        <w:b/>
        <w:bCs/>
        <w:color w:val="FFFFFF" w:themeColor="background1"/>
      </w:rPr>
      <w:tblPr/>
      <w:tcPr>
        <w:tc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nil"/>
          <w:insideV w:val="nil"/>
        </w:tcBorders>
        <w:shd w:val="clear" w:color="auto" w:fill="A1A1A1" w:themeFill="accent4"/>
      </w:tcPr>
    </w:tblStylePr>
    <w:tblStylePr w:type="lastRow">
      <w:pPr>
        <w:spacing w:before="0" w:after="0" w:line="240" w:lineRule="auto"/>
      </w:pPr>
      <w:rPr>
        <w:b/>
        <w:bCs/>
      </w:rPr>
      <w:tblPr/>
      <w:tcPr>
        <w:tcBorders>
          <w:top w:val="double" w:sz="6"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7E7" w:themeFill="accent4" w:themeFillTint="3F"/>
      </w:tcPr>
    </w:tblStylePr>
    <w:tblStylePr w:type="band1Horz">
      <w:tblPr/>
      <w:tcPr>
        <w:tcBorders>
          <w:insideH w:val="nil"/>
          <w:insideV w:val="nil"/>
        </w:tcBorders>
        <w:shd w:val="clear" w:color="auto" w:fill="E7E7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semiHidden/>
    <w:unhideWhenUsed/>
    <w:rsid w:val="001F6DC1"/>
    <w:tblPr>
      <w:tblStyleRowBandSize w:val="1"/>
      <w:tblStyleColBandSize w:val="1"/>
      <w:tbl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single" w:sz="8" w:space="0" w:color="8ADBE7" w:themeColor="accent5" w:themeTint="BF"/>
      </w:tblBorders>
    </w:tblPr>
    <w:tblStylePr w:type="firstRow">
      <w:pPr>
        <w:spacing w:before="0" w:after="0" w:line="240" w:lineRule="auto"/>
      </w:pPr>
      <w:rPr>
        <w:b/>
        <w:bCs/>
        <w:color w:val="FFFFFF" w:themeColor="background1"/>
      </w:rPr>
      <w:tblPr/>
      <w:tcPr>
        <w:tc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nil"/>
          <w:insideV w:val="nil"/>
        </w:tcBorders>
        <w:shd w:val="clear" w:color="auto" w:fill="63D0DF" w:themeFill="accent5"/>
      </w:tcPr>
    </w:tblStylePr>
    <w:tblStylePr w:type="lastRow">
      <w:pPr>
        <w:spacing w:before="0" w:after="0" w:line="240" w:lineRule="auto"/>
      </w:pPr>
      <w:rPr>
        <w:b/>
        <w:bCs/>
      </w:rPr>
      <w:tblPr/>
      <w:tcPr>
        <w:tcBorders>
          <w:top w:val="double" w:sz="6"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5" w:themeFillTint="3F"/>
      </w:tcPr>
    </w:tblStylePr>
    <w:tblStylePr w:type="band1Horz">
      <w:tblPr/>
      <w:tcPr>
        <w:tcBorders>
          <w:insideH w:val="nil"/>
          <w:insideV w:val="nil"/>
        </w:tcBorders>
        <w:shd w:val="clear" w:color="auto" w:fill="D8F3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semiHidden/>
    <w:unhideWhenUsed/>
    <w:rsid w:val="001F6DC1"/>
    <w:tblPr>
      <w:tblStyleRowBandSize w:val="1"/>
      <w:tblStyleColBandSize w:val="1"/>
      <w:tbl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single" w:sz="8" w:space="0" w:color="B8B8B8" w:themeColor="accent6" w:themeTint="BF"/>
      </w:tblBorders>
    </w:tblPr>
    <w:tblStylePr w:type="firstRow">
      <w:pPr>
        <w:spacing w:before="0" w:after="0" w:line="240" w:lineRule="auto"/>
      </w:pPr>
      <w:rPr>
        <w:b/>
        <w:bCs/>
        <w:color w:val="FFFFFF" w:themeColor="background1"/>
      </w:rPr>
      <w:tblPr/>
      <w:tcPr>
        <w:tc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nil"/>
          <w:insideV w:val="nil"/>
        </w:tcBorders>
        <w:shd w:val="clear" w:color="auto" w:fill="A1A1A1" w:themeFill="accent6"/>
      </w:tcPr>
    </w:tblStylePr>
    <w:tblStylePr w:type="lastRow">
      <w:pPr>
        <w:spacing w:before="0" w:after="0" w:line="240" w:lineRule="auto"/>
      </w:pPr>
      <w:rPr>
        <w:b/>
        <w:bCs/>
      </w:rPr>
      <w:tblPr/>
      <w:tcPr>
        <w:tcBorders>
          <w:top w:val="double" w:sz="6"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E7E7" w:themeFill="accent6" w:themeFillTint="3F"/>
      </w:tcPr>
    </w:tblStylePr>
    <w:tblStylePr w:type="band1Horz">
      <w:tblPr/>
      <w:tcPr>
        <w:tcBorders>
          <w:insideH w:val="nil"/>
          <w:insideV w:val="nil"/>
        </w:tcBorders>
        <w:shd w:val="clear" w:color="auto" w:fill="E7E7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1"/>
      </w:tcPr>
    </w:tblStylePr>
    <w:tblStylePr w:type="lastCol">
      <w:rPr>
        <w:b/>
        <w:bCs/>
        <w:color w:val="FFFFFF" w:themeColor="background1"/>
      </w:rPr>
      <w:tblPr/>
      <w:tcPr>
        <w:tcBorders>
          <w:left w:val="nil"/>
          <w:right w:val="nil"/>
          <w:insideH w:val="nil"/>
          <w:insideV w:val="nil"/>
        </w:tcBorders>
        <w:shd w:val="clear" w:color="auto" w:fill="63D0D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C9C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9C9CA" w:themeFill="accent2"/>
      </w:tcPr>
    </w:tblStylePr>
    <w:tblStylePr w:type="lastCol">
      <w:rPr>
        <w:b/>
        <w:bCs/>
        <w:color w:val="FFFFFF" w:themeColor="background1"/>
      </w:rPr>
      <w:tblPr/>
      <w:tcPr>
        <w:tcBorders>
          <w:left w:val="nil"/>
          <w:right w:val="nil"/>
          <w:insideH w:val="nil"/>
          <w:insideV w:val="nil"/>
        </w:tcBorders>
        <w:shd w:val="clear" w:color="auto" w:fill="C9C9C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3"/>
      </w:tcPr>
    </w:tblStylePr>
    <w:tblStylePr w:type="lastCol">
      <w:rPr>
        <w:b/>
        <w:bCs/>
        <w:color w:val="FFFFFF" w:themeColor="background1"/>
      </w:rPr>
      <w:tblPr/>
      <w:tcPr>
        <w:tcBorders>
          <w:left w:val="nil"/>
          <w:right w:val="nil"/>
          <w:insideH w:val="nil"/>
          <w:insideV w:val="nil"/>
        </w:tcBorders>
        <w:shd w:val="clear" w:color="auto" w:fill="63D0D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A1A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1A1A1" w:themeFill="accent4"/>
      </w:tcPr>
    </w:tblStylePr>
    <w:tblStylePr w:type="lastCol">
      <w:rPr>
        <w:b/>
        <w:bCs/>
        <w:color w:val="FFFFFF" w:themeColor="background1"/>
      </w:rPr>
      <w:tblPr/>
      <w:tcPr>
        <w:tcBorders>
          <w:left w:val="nil"/>
          <w:right w:val="nil"/>
          <w:insideH w:val="nil"/>
          <w:insideV w:val="nil"/>
        </w:tcBorders>
        <w:shd w:val="clear" w:color="auto" w:fill="A1A1A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5"/>
      </w:tcPr>
    </w:tblStylePr>
    <w:tblStylePr w:type="lastCol">
      <w:rPr>
        <w:b/>
        <w:bCs/>
        <w:color w:val="FFFFFF" w:themeColor="background1"/>
      </w:rPr>
      <w:tblPr/>
      <w:tcPr>
        <w:tcBorders>
          <w:left w:val="nil"/>
          <w:right w:val="nil"/>
          <w:insideH w:val="nil"/>
          <w:insideV w:val="nil"/>
        </w:tcBorders>
        <w:shd w:val="clear" w:color="auto" w:fill="63D0D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A1A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1A1A1" w:themeFill="accent6"/>
      </w:tcPr>
    </w:tblStylePr>
    <w:tblStylePr w:type="lastCol">
      <w:rPr>
        <w:b/>
        <w:bCs/>
        <w:color w:val="FFFFFF" w:themeColor="background1"/>
      </w:rPr>
      <w:tblPr/>
      <w:tcPr>
        <w:tcBorders>
          <w:left w:val="nil"/>
          <w:right w:val="nil"/>
          <w:insideH w:val="nil"/>
          <w:insideV w:val="nil"/>
        </w:tcBorders>
        <w:shd w:val="clear" w:color="auto" w:fill="A1A1A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able3Deffects1">
    <w:name w:val="Table 3D effects 1"/>
    <w:basedOn w:val="TableNormal"/>
    <w:uiPriority w:val="98"/>
    <w:semiHidden/>
    <w:unhideWhenUsed/>
    <w:rsid w:val="001F6DC1"/>
    <w:pPr>
      <w:spacing w:after="227" w:line="2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semiHidden/>
    <w:unhideWhenUsed/>
    <w:rsid w:val="001F6DC1"/>
    <w:pPr>
      <w:spacing w:after="227" w:line="2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semiHidden/>
    <w:unhideWhenUsed/>
    <w:rsid w:val="001F6DC1"/>
    <w:pPr>
      <w:spacing w:after="227" w:line="2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semiHidden/>
    <w:unhideWhenUsed/>
    <w:rsid w:val="001F6DC1"/>
    <w:pPr>
      <w:spacing w:after="227" w:line="2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semiHidden/>
    <w:unhideWhenUsed/>
    <w:rsid w:val="001F6DC1"/>
    <w:pPr>
      <w:spacing w:after="227" w:line="2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semiHidden/>
    <w:unhideWhenUsed/>
    <w:rsid w:val="001F6DC1"/>
    <w:pPr>
      <w:spacing w:after="227" w:line="2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semiHidden/>
    <w:unhideWhenUsed/>
    <w:rsid w:val="001F6DC1"/>
    <w:pPr>
      <w:spacing w:after="227" w:line="2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semiHidden/>
    <w:unhideWhenUsed/>
    <w:rsid w:val="001F6DC1"/>
    <w:pPr>
      <w:spacing w:after="227" w:line="2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semiHidden/>
    <w:unhideWhenUsed/>
    <w:rsid w:val="001F6DC1"/>
    <w:pPr>
      <w:spacing w:after="227" w:line="2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semiHidden/>
    <w:unhideWhenUsed/>
    <w:rsid w:val="001F6DC1"/>
    <w:pPr>
      <w:spacing w:after="227" w:line="2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semiHidden/>
    <w:unhideWhenUsed/>
    <w:rsid w:val="001F6DC1"/>
    <w:pPr>
      <w:spacing w:after="227" w:line="2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semiHidden/>
    <w:unhideWhenUsed/>
    <w:rsid w:val="001F6DC1"/>
    <w:pPr>
      <w:spacing w:after="227" w:line="2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semiHidden/>
    <w:unhideWhenUsed/>
    <w:rsid w:val="001F6DC1"/>
    <w:pPr>
      <w:spacing w:after="227" w:line="2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semiHidden/>
    <w:unhideWhenUsed/>
    <w:rsid w:val="001F6DC1"/>
    <w:pPr>
      <w:spacing w:after="227" w:line="2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semiHidden/>
    <w:unhideWhenUsed/>
    <w:rsid w:val="001F6DC1"/>
    <w:pPr>
      <w:spacing w:after="227" w:line="2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semiHidden/>
    <w:unhideWhenUsed/>
    <w:rsid w:val="001F6DC1"/>
    <w:pPr>
      <w:spacing w:after="227" w:line="2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semiHidden/>
    <w:unhideWhenUsed/>
    <w:rsid w:val="001F6DC1"/>
    <w:pPr>
      <w:spacing w:after="227" w:line="2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semiHidden/>
    <w:unhideWhenUsed/>
    <w:rsid w:val="001F6DC1"/>
    <w:pPr>
      <w:spacing w:after="227" w:line="2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semiHidden/>
    <w:unhideWhenUsed/>
    <w:rsid w:val="001F6DC1"/>
    <w:pPr>
      <w:spacing w:after="227" w:line="2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semiHidden/>
    <w:unhideWhenUsed/>
    <w:rsid w:val="001F6DC1"/>
    <w:pPr>
      <w:spacing w:after="227" w:line="2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semiHidden/>
    <w:unhideWhenUsed/>
    <w:rsid w:val="001F6DC1"/>
    <w:pPr>
      <w:spacing w:after="227" w:line="2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semiHidden/>
    <w:unhideWhenUsed/>
    <w:rsid w:val="001F6DC1"/>
    <w:pPr>
      <w:spacing w:after="227" w:line="2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98"/>
    <w:semiHidden/>
    <w:rsid w:val="001F6D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8"/>
    <w:semiHidden/>
    <w:unhideWhenUsed/>
    <w:rsid w:val="001F6DC1"/>
    <w:pPr>
      <w:spacing w:after="227" w:line="2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semiHidden/>
    <w:unhideWhenUsed/>
    <w:rsid w:val="001F6DC1"/>
    <w:pPr>
      <w:spacing w:after="227" w:line="2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semiHidden/>
    <w:unhideWhenUsed/>
    <w:rsid w:val="001F6DC1"/>
    <w:pPr>
      <w:spacing w:after="227" w:line="2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semiHidden/>
    <w:unhideWhenUsed/>
    <w:rsid w:val="001F6DC1"/>
    <w:pPr>
      <w:spacing w:after="227" w:line="2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semiHidden/>
    <w:unhideWhenUsed/>
    <w:rsid w:val="001F6DC1"/>
    <w:pPr>
      <w:spacing w:after="227" w:line="2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semiHidden/>
    <w:unhideWhenUsed/>
    <w:rsid w:val="001F6DC1"/>
    <w:pPr>
      <w:spacing w:after="227" w:line="2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semiHidden/>
    <w:unhideWhenUsed/>
    <w:rsid w:val="001F6DC1"/>
    <w:pPr>
      <w:spacing w:after="227" w:line="2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semiHidden/>
    <w:unhideWhenUsed/>
    <w:rsid w:val="001F6DC1"/>
    <w:pPr>
      <w:spacing w:after="227" w:line="2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semiHidden/>
    <w:unhideWhenUsed/>
    <w:rsid w:val="001F6DC1"/>
    <w:pPr>
      <w:spacing w:after="227" w:line="2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semiHidden/>
    <w:unhideWhenUsed/>
    <w:rsid w:val="001F6DC1"/>
    <w:pPr>
      <w:spacing w:after="227" w:line="2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semiHidden/>
    <w:unhideWhenUsed/>
    <w:rsid w:val="001F6DC1"/>
    <w:pPr>
      <w:spacing w:after="227" w:line="2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8"/>
    <w:semiHidden/>
    <w:unhideWhenUsed/>
    <w:rsid w:val="001F6DC1"/>
    <w:pPr>
      <w:spacing w:after="227" w:line="2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8"/>
    <w:semiHidden/>
    <w:unhideWhenUsed/>
    <w:rsid w:val="001F6DC1"/>
    <w:pPr>
      <w:spacing w:after="227" w:line="2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8"/>
    <w:semiHidden/>
    <w:unhideWhenUsed/>
    <w:rsid w:val="001F6DC1"/>
    <w:pPr>
      <w:spacing w:after="227" w:line="2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Title"/>
    <w:next w:val="Normal"/>
    <w:uiPriority w:val="39"/>
    <w:qFormat/>
    <w:rsid w:val="00145656"/>
    <w:pPr>
      <w:spacing w:before="0" w:after="720"/>
      <w:outlineLvl w:val="9"/>
    </w:pPr>
    <w:rPr>
      <w:b w:val="0"/>
      <w:caps/>
      <w:color w:val="1D336D" w:themeColor="background2"/>
    </w:rPr>
  </w:style>
  <w:style w:type="character" w:customStyle="1" w:styleId="Heading8Char">
    <w:name w:val="Heading 8 Char"/>
    <w:basedOn w:val="DefaultParagraphFont"/>
    <w:link w:val="Heading8"/>
    <w:uiPriority w:val="1"/>
    <w:semiHidden/>
    <w:rsid w:val="000E3939"/>
    <w:rPr>
      <w:rFonts w:asciiTheme="majorHAnsi" w:eastAsiaTheme="majorEastAsia" w:hAnsiTheme="majorHAnsi" w:cstheme="majorBidi"/>
      <w:i/>
      <w:color w:val="1D336D" w:themeColor="background2"/>
      <w:szCs w:val="21"/>
    </w:rPr>
  </w:style>
  <w:style w:type="character" w:customStyle="1" w:styleId="Heading9Char">
    <w:name w:val="Heading 9 Char"/>
    <w:basedOn w:val="DefaultParagraphFont"/>
    <w:link w:val="Heading9"/>
    <w:uiPriority w:val="1"/>
    <w:semiHidden/>
    <w:rsid w:val="000E3939"/>
    <w:rPr>
      <w:rFonts w:asciiTheme="majorHAnsi" w:eastAsiaTheme="majorEastAsia" w:hAnsiTheme="majorHAnsi" w:cstheme="majorBidi"/>
      <w:i/>
      <w:iCs/>
      <w:color w:val="000000"/>
      <w:szCs w:val="21"/>
    </w:rPr>
  </w:style>
  <w:style w:type="paragraph" w:customStyle="1" w:styleId="HeaderText">
    <w:name w:val="Header Text"/>
    <w:basedOn w:val="Normal"/>
    <w:uiPriority w:val="12"/>
    <w:semiHidden/>
    <w:rsid w:val="2AD67AEA"/>
    <w:pPr>
      <w:spacing w:line="204" w:lineRule="auto"/>
    </w:pPr>
    <w:rPr>
      <w:rFonts w:asciiTheme="majorHAnsi" w:hAnsiTheme="majorHAnsi"/>
      <w:b/>
      <w:bCs/>
      <w:color w:val="585858" w:themeColor="text2"/>
      <w:sz w:val="40"/>
      <w:szCs w:val="40"/>
    </w:rPr>
  </w:style>
  <w:style w:type="paragraph" w:customStyle="1" w:styleId="IntroCopy">
    <w:name w:val="Intro Copy"/>
    <w:basedOn w:val="Normal"/>
    <w:uiPriority w:val="2"/>
    <w:qFormat/>
    <w:rsid w:val="2AD67AEA"/>
    <w:pPr>
      <w:spacing w:before="240" w:after="240"/>
    </w:pPr>
    <w:rPr>
      <w:i/>
      <w:iCs/>
      <w:color w:val="2294CD"/>
      <w:sz w:val="24"/>
      <w:szCs w:val="24"/>
    </w:rPr>
  </w:style>
  <w:style w:type="paragraph" w:customStyle="1" w:styleId="SourceNotes">
    <w:name w:val="Source Notes"/>
    <w:basedOn w:val="Normal"/>
    <w:uiPriority w:val="12"/>
    <w:qFormat/>
    <w:rsid w:val="2AD67AEA"/>
    <w:pPr>
      <w:spacing w:before="40"/>
    </w:pPr>
    <w:rPr>
      <w:color w:val="507CB9"/>
      <w:sz w:val="18"/>
      <w:szCs w:val="18"/>
    </w:rPr>
  </w:style>
  <w:style w:type="paragraph" w:styleId="FootnoteText">
    <w:name w:val="footnote text"/>
    <w:basedOn w:val="Normal"/>
    <w:link w:val="FootnoteTextChar"/>
    <w:autoRedefine/>
    <w:uiPriority w:val="9"/>
    <w:qFormat/>
    <w:rsid w:val="00B57CCE"/>
    <w:pPr>
      <w:spacing w:before="20" w:after="20"/>
    </w:pPr>
    <w:rPr>
      <w:sz w:val="14"/>
      <w:szCs w:val="14"/>
    </w:rPr>
  </w:style>
  <w:style w:type="table" w:customStyle="1" w:styleId="TableGrid20">
    <w:name w:val="Table Grid2"/>
    <w:basedOn w:val="TableNormal"/>
    <w:next w:val="TableGrid"/>
    <w:uiPriority w:val="39"/>
    <w:rsid w:val="0012294A"/>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lain">
    <w:name w:val="_Table Plain"/>
    <w:basedOn w:val="TableNormal"/>
    <w:uiPriority w:val="99"/>
    <w:rsid w:val="00AF488E"/>
    <w:rPr>
      <w:rFonts w:asciiTheme="minorHAnsi" w:hAnsiTheme="minorHAnsi"/>
    </w:rPr>
    <w:tblPr>
      <w:tblStyleRowBandSize w:val="1"/>
      <w:tblBorders>
        <w:top w:val="single" w:sz="4" w:space="0" w:color="2294CD"/>
        <w:bottom w:val="single" w:sz="4" w:space="0" w:color="2294CD"/>
        <w:insideH w:val="single" w:sz="4" w:space="0" w:color="2294CD"/>
      </w:tblBorders>
      <w:tblCellMar>
        <w:top w:w="85" w:type="dxa"/>
        <w:left w:w="85" w:type="dxa"/>
        <w:bottom w:w="85" w:type="dxa"/>
        <w:right w:w="85" w:type="dxa"/>
      </w:tblCellMar>
    </w:tblPr>
    <w:tblStylePr w:type="firstRow">
      <w:rPr>
        <w:rFonts w:asciiTheme="majorHAnsi" w:hAnsiTheme="majorHAnsi"/>
        <w:b w:val="0"/>
        <w:color w:val="1D336D" w:themeColor="background2"/>
      </w:rPr>
      <w:tblPr/>
      <w:tcPr>
        <w:tcBorders>
          <w:top w:val="nil"/>
          <w:bottom w:val="single" w:sz="12" w:space="0" w:color="2294CD"/>
        </w:tcBorders>
      </w:tcPr>
    </w:tblStylePr>
    <w:tblStylePr w:type="firstCol">
      <w:tblPr/>
      <w:tcPr>
        <w:shd w:val="clear" w:color="auto" w:fill="F2F2F2" w:themeFill="background1" w:themeFillShade="F2"/>
      </w:tcPr>
    </w:tblStylePr>
    <w:tblStylePr w:type="lastCol">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umberedHeading1">
    <w:name w:val="Numbered Heading 1"/>
    <w:basedOn w:val="Heading1"/>
    <w:next w:val="Normal"/>
    <w:link w:val="NumberedHeading1Char"/>
    <w:uiPriority w:val="1"/>
    <w:rsid w:val="008A735F"/>
    <w:pPr>
      <w:tabs>
        <w:tab w:val="num" w:pos="567"/>
      </w:tabs>
      <w:ind w:left="567" w:hanging="567"/>
    </w:pPr>
  </w:style>
  <w:style w:type="paragraph" w:customStyle="1" w:styleId="NumberedHeading2">
    <w:name w:val="Numbered Heading 2"/>
    <w:basedOn w:val="Heading2"/>
    <w:link w:val="NumberedHeading2Char"/>
    <w:uiPriority w:val="1"/>
    <w:rsid w:val="008A735F"/>
    <w:pPr>
      <w:tabs>
        <w:tab w:val="num" w:pos="567"/>
      </w:tabs>
      <w:ind w:left="567" w:hanging="567"/>
    </w:pPr>
  </w:style>
  <w:style w:type="character" w:customStyle="1" w:styleId="NumberedHeading1Char">
    <w:name w:val="Numbered Heading 1 Char"/>
    <w:basedOn w:val="Heading1Char"/>
    <w:link w:val="NumberedHeading1"/>
    <w:uiPriority w:val="1"/>
    <w:rsid w:val="008D395E"/>
    <w:rPr>
      <w:rFonts w:asciiTheme="minorHAnsi" w:eastAsiaTheme="majorEastAsia" w:hAnsiTheme="minorHAnsi" w:cs="Calibri"/>
      <w:bCs/>
      <w:iCs/>
      <w:caps/>
      <w:color w:val="1D336D" w:themeColor="background2"/>
      <w:sz w:val="32"/>
      <w:szCs w:val="32"/>
      <w:lang w:val="en-GB"/>
    </w:rPr>
  </w:style>
  <w:style w:type="paragraph" w:customStyle="1" w:styleId="NumberedHeading3">
    <w:name w:val="Numbered Heading 3"/>
    <w:basedOn w:val="Heading3"/>
    <w:next w:val="NormalIndented3"/>
    <w:link w:val="NumberedHeading3Char"/>
    <w:uiPriority w:val="1"/>
    <w:rsid w:val="008A735F"/>
    <w:pPr>
      <w:numPr>
        <w:ilvl w:val="0"/>
      </w:numPr>
      <w:tabs>
        <w:tab w:val="num" w:pos="851"/>
        <w:tab w:val="num" w:pos="1072"/>
      </w:tabs>
      <w:ind w:left="851" w:hanging="851"/>
    </w:pPr>
  </w:style>
  <w:style w:type="numbering" w:customStyle="1" w:styleId="MasterHeadings">
    <w:name w:val="_MasterHeadings"/>
    <w:uiPriority w:val="99"/>
    <w:rsid w:val="008A735F"/>
    <w:pPr>
      <w:numPr>
        <w:numId w:val="8"/>
      </w:numPr>
    </w:pPr>
  </w:style>
  <w:style w:type="character" w:customStyle="1" w:styleId="Heading3Char">
    <w:name w:val="Heading 3 Char"/>
    <w:basedOn w:val="Heading1Char"/>
    <w:link w:val="Heading3"/>
    <w:uiPriority w:val="1"/>
    <w:rsid w:val="00C13F9E"/>
    <w:rPr>
      <w:rFonts w:asciiTheme="minorHAnsi" w:eastAsiaTheme="majorEastAsia" w:hAnsiTheme="minorHAnsi" w:cs="Calibri"/>
      <w:b/>
      <w:caps w:val="0"/>
      <w:color w:val="1D336D" w:themeColor="background2"/>
      <w:sz w:val="24"/>
      <w:szCs w:val="26"/>
      <w:lang w:val="en-GB"/>
    </w:rPr>
  </w:style>
  <w:style w:type="character" w:customStyle="1" w:styleId="NumberedHeading3Char">
    <w:name w:val="Numbered Heading 3 Char"/>
    <w:basedOn w:val="Heading3Char"/>
    <w:link w:val="NumberedHeading3"/>
    <w:uiPriority w:val="1"/>
    <w:rsid w:val="00CE5852"/>
    <w:rPr>
      <w:rFonts w:asciiTheme="minorHAnsi" w:eastAsiaTheme="majorEastAsia" w:hAnsiTheme="minorHAnsi" w:cs="Calibri"/>
      <w:b/>
      <w:bCs w:val="0"/>
      <w:iCs/>
      <w:caps w:val="0"/>
      <w:color w:val="507CB9"/>
      <w:sz w:val="24"/>
      <w:szCs w:val="26"/>
      <w:lang w:val="en-GB"/>
    </w:rPr>
  </w:style>
  <w:style w:type="character" w:customStyle="1" w:styleId="Heading2Char">
    <w:name w:val="Heading 2 Char"/>
    <w:basedOn w:val="Heading1Char"/>
    <w:link w:val="Heading2"/>
    <w:uiPriority w:val="1"/>
    <w:rsid w:val="00490A26"/>
    <w:rPr>
      <w:rFonts w:asciiTheme="minorHAnsi" w:eastAsiaTheme="majorEastAsia" w:hAnsiTheme="minorHAnsi" w:cs="Calibri"/>
      <w:b/>
      <w:caps/>
      <w:color w:val="646465" w:themeColor="accent2" w:themeShade="80"/>
      <w:sz w:val="26"/>
      <w:szCs w:val="26"/>
      <w:lang w:val="en-GB"/>
    </w:rPr>
  </w:style>
  <w:style w:type="character" w:customStyle="1" w:styleId="NumberedHeading2Char">
    <w:name w:val="Numbered Heading 2 Char"/>
    <w:basedOn w:val="Heading2Char"/>
    <w:link w:val="NumberedHeading2"/>
    <w:uiPriority w:val="1"/>
    <w:rsid w:val="009761FA"/>
    <w:rPr>
      <w:rFonts w:asciiTheme="minorHAnsi" w:eastAsiaTheme="majorEastAsia" w:hAnsiTheme="minorHAnsi" w:cs="Calibri"/>
      <w:b/>
      <w:bCs/>
      <w:iCs/>
      <w:caps/>
      <w:color w:val="C9C9CA" w:themeColor="accent2"/>
      <w:sz w:val="28"/>
      <w:szCs w:val="26"/>
      <w:lang w:val="en-GB"/>
    </w:rPr>
  </w:style>
  <w:style w:type="table" w:customStyle="1" w:styleId="TableGrid30">
    <w:name w:val="Table Grid3"/>
    <w:basedOn w:val="TableNormal"/>
    <w:next w:val="TableGrid"/>
    <w:uiPriority w:val="39"/>
    <w:rsid w:val="0012294A"/>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ed1">
    <w:name w:val="Normal Indented 1"/>
    <w:basedOn w:val="Normal"/>
    <w:uiPriority w:val="2"/>
    <w:rsid w:val="2AD67AEA"/>
    <w:pPr>
      <w:ind w:left="284"/>
    </w:pPr>
  </w:style>
  <w:style w:type="paragraph" w:customStyle="1" w:styleId="NormalIndented2">
    <w:name w:val="Normal Indented 2"/>
    <w:basedOn w:val="NormalIndented1"/>
    <w:uiPriority w:val="2"/>
    <w:rsid w:val="00301A3A"/>
    <w:pPr>
      <w:ind w:left="567"/>
    </w:pPr>
  </w:style>
  <w:style w:type="paragraph" w:customStyle="1" w:styleId="NormalIndented3">
    <w:name w:val="Normal Indented 3"/>
    <w:basedOn w:val="Normal"/>
    <w:uiPriority w:val="2"/>
    <w:rsid w:val="2AD67AEA"/>
    <w:pPr>
      <w:ind w:left="851"/>
    </w:pPr>
  </w:style>
  <w:style w:type="paragraph" w:customStyle="1" w:styleId="Date-FooterLink">
    <w:name w:val="Date - Footer Link"/>
    <w:basedOn w:val="Normal"/>
    <w:uiPriority w:val="1"/>
    <w:semiHidden/>
    <w:qFormat/>
    <w:rsid w:val="2AD67AEA"/>
    <w:rPr>
      <w:rFonts w:asciiTheme="majorHAnsi" w:hAnsiTheme="majorHAnsi"/>
      <w:b/>
      <w:bCs/>
      <w:color w:val="585858" w:themeColor="text2"/>
      <w:sz w:val="24"/>
      <w:szCs w:val="24"/>
    </w:rPr>
  </w:style>
  <w:style w:type="paragraph" w:customStyle="1" w:styleId="TableHeadingBlue">
    <w:name w:val="Table Heading Blue"/>
    <w:basedOn w:val="TableHeading"/>
    <w:next w:val="TableText"/>
    <w:link w:val="TableHeadingBlueChar"/>
    <w:uiPriority w:val="9"/>
    <w:qFormat/>
    <w:rsid w:val="003423F2"/>
    <w:rPr>
      <w:color w:val="1D336D" w:themeColor="background2"/>
    </w:rPr>
  </w:style>
  <w:style w:type="character" w:customStyle="1" w:styleId="TableHeadingChar">
    <w:name w:val="Table Heading Char"/>
    <w:basedOn w:val="DefaultParagraphFont"/>
    <w:link w:val="TableHeading"/>
    <w:uiPriority w:val="9"/>
    <w:rsid w:val="00885AF8"/>
    <w:rPr>
      <w:rFonts w:asciiTheme="minorHAnsi" w:eastAsia="Century Gothic" w:hAnsiTheme="minorHAnsi" w:cs="Calibri"/>
      <w:b/>
      <w:bCs/>
      <w:color w:val="FFFFFF" w:themeColor="background1"/>
      <w:lang w:val="en-GB" w:eastAsia="en-US"/>
    </w:rPr>
  </w:style>
  <w:style w:type="character" w:customStyle="1" w:styleId="TableHeadingBlueChar">
    <w:name w:val="Table Heading Blue Char"/>
    <w:basedOn w:val="TableHeadingChar"/>
    <w:link w:val="TableHeadingBlue"/>
    <w:uiPriority w:val="9"/>
    <w:rsid w:val="003423F2"/>
    <w:rPr>
      <w:rFonts w:asciiTheme="minorHAnsi" w:eastAsia="Century Gothic" w:hAnsiTheme="minorHAnsi" w:cs="Calibri"/>
      <w:b/>
      <w:bCs/>
      <w:color w:val="1D336D" w:themeColor="background2"/>
      <w:lang w:val="en-GB" w:eastAsia="en-US"/>
    </w:rPr>
  </w:style>
  <w:style w:type="paragraph" w:customStyle="1" w:styleId="Heading1NOTOC">
    <w:name w:val="Heading 1 NO TOC"/>
    <w:basedOn w:val="Heading1"/>
    <w:uiPriority w:val="1"/>
    <w:qFormat/>
    <w:rsid w:val="0004770B"/>
    <w:pPr>
      <w:outlineLvl w:val="9"/>
    </w:pPr>
  </w:style>
  <w:style w:type="paragraph" w:customStyle="1" w:styleId="IntroCopySolid">
    <w:name w:val="Intro Copy Solid"/>
    <w:basedOn w:val="IntroCopy"/>
    <w:uiPriority w:val="2"/>
    <w:qFormat/>
    <w:rsid w:val="006E5C00"/>
    <w:pPr>
      <w:pBdr>
        <w:top w:val="single" w:sz="8" w:space="8" w:color="2294CD"/>
        <w:left w:val="single" w:sz="8" w:space="8" w:color="2294CD"/>
        <w:bottom w:val="single" w:sz="8" w:space="8" w:color="2294CD"/>
        <w:right w:val="single" w:sz="8" w:space="8" w:color="2294CD"/>
      </w:pBdr>
      <w:shd w:val="clear" w:color="auto" w:fill="2294CD"/>
      <w:spacing w:line="276" w:lineRule="auto"/>
      <w:ind w:left="159" w:right="159"/>
      <w:contextualSpacing/>
    </w:pPr>
    <w:rPr>
      <w:color w:val="FFFFFF" w:themeColor="background1"/>
    </w:rPr>
  </w:style>
  <w:style w:type="table" w:customStyle="1" w:styleId="TableGrid10">
    <w:name w:val="Table Grid1"/>
    <w:basedOn w:val="TableNormal"/>
    <w:next w:val="TableGrid"/>
    <w:uiPriority w:val="59"/>
    <w:semiHidden/>
    <w:rsid w:val="000819E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pterHeading">
    <w:name w:val="Chapter Heading"/>
    <w:next w:val="Normal"/>
    <w:qFormat/>
    <w:rsid w:val="007A2690"/>
    <w:pPr>
      <w:pageBreakBefore/>
      <w:pBdr>
        <w:top w:val="single" w:sz="2" w:space="6" w:color="2294CD"/>
        <w:left w:val="single" w:sz="2" w:space="6" w:color="2294CD"/>
        <w:bottom w:val="single" w:sz="2" w:space="6" w:color="2294CD"/>
        <w:right w:val="single" w:sz="2" w:space="6" w:color="2294CD"/>
      </w:pBdr>
      <w:shd w:val="clear" w:color="auto" w:fill="2294CD"/>
      <w:spacing w:after="240"/>
    </w:pPr>
    <w:rPr>
      <w:rFonts w:asciiTheme="minorHAnsi" w:eastAsiaTheme="majorEastAsia" w:hAnsiTheme="minorHAnsi" w:cs="Calibri"/>
      <w:bCs/>
      <w:iCs/>
      <w:caps/>
      <w:color w:val="FFFFFF" w:themeColor="background1"/>
      <w:sz w:val="44"/>
      <w:szCs w:val="28"/>
    </w:rPr>
  </w:style>
  <w:style w:type="paragraph" w:styleId="TOC5">
    <w:name w:val="toc 5"/>
    <w:basedOn w:val="Normal"/>
    <w:next w:val="Normal"/>
    <w:uiPriority w:val="39"/>
    <w:semiHidden/>
    <w:rsid w:val="2AD67AEA"/>
    <w:pPr>
      <w:tabs>
        <w:tab w:val="left" w:pos="1134"/>
        <w:tab w:val="right" w:leader="dot" w:pos="9628"/>
      </w:tabs>
      <w:ind w:left="1701" w:hanging="567"/>
      <w:contextualSpacing/>
    </w:pPr>
    <w:rPr>
      <w:i/>
      <w:iCs/>
    </w:rPr>
  </w:style>
  <w:style w:type="paragraph" w:styleId="TOC6">
    <w:name w:val="toc 6"/>
    <w:basedOn w:val="Normal"/>
    <w:next w:val="Normal"/>
    <w:uiPriority w:val="39"/>
    <w:semiHidden/>
    <w:rsid w:val="2AD67AEA"/>
    <w:pPr>
      <w:tabs>
        <w:tab w:val="left" w:pos="1760"/>
        <w:tab w:val="right" w:leader="dot" w:pos="9628"/>
      </w:tabs>
      <w:ind w:left="1000"/>
    </w:pPr>
    <w:rPr>
      <w:noProof/>
    </w:rPr>
  </w:style>
  <w:style w:type="paragraph" w:styleId="Caption">
    <w:name w:val="caption"/>
    <w:basedOn w:val="Normal"/>
    <w:next w:val="Normal"/>
    <w:uiPriority w:val="8"/>
    <w:rsid w:val="2AD67AEA"/>
    <w:pPr>
      <w:spacing w:before="240"/>
    </w:pPr>
    <w:rPr>
      <w:b/>
      <w:bCs/>
      <w:color w:val="507CB9"/>
      <w:sz w:val="22"/>
      <w:szCs w:val="22"/>
    </w:rPr>
  </w:style>
  <w:style w:type="character" w:customStyle="1" w:styleId="FootnoteTextChar">
    <w:name w:val="Footnote Text Char"/>
    <w:basedOn w:val="DefaultParagraphFont"/>
    <w:link w:val="FootnoteText"/>
    <w:uiPriority w:val="9"/>
    <w:rsid w:val="00B57CCE"/>
    <w:rPr>
      <w:rFonts w:asciiTheme="minorHAnsi" w:eastAsiaTheme="majorEastAsia" w:hAnsiTheme="minorHAnsi" w:cs="Calibri"/>
      <w:color w:val="000000" w:themeColor="text1"/>
      <w:sz w:val="14"/>
      <w:szCs w:val="14"/>
      <w:lang w:val="en-GB"/>
    </w:rPr>
  </w:style>
  <w:style w:type="character" w:styleId="FootnoteReference">
    <w:name w:val="footnote reference"/>
    <w:basedOn w:val="DefaultParagraphFont"/>
    <w:rsid w:val="003337B3"/>
    <w:rPr>
      <w:vertAlign w:val="superscript"/>
    </w:rPr>
  </w:style>
  <w:style w:type="paragraph" w:customStyle="1" w:styleId="CVBody">
    <w:name w:val="CV Body"/>
    <w:basedOn w:val="Normal"/>
    <w:uiPriority w:val="13"/>
    <w:semiHidden/>
    <w:qFormat/>
    <w:rsid w:val="2AD67AEA"/>
    <w:pPr>
      <w:spacing w:after="60"/>
    </w:pPr>
    <w:rPr>
      <w:rFonts w:eastAsia="Arial" w:cs="Times New Roman"/>
      <w:color w:val="auto"/>
      <w:sz w:val="18"/>
      <w:szCs w:val="18"/>
      <w:lang w:eastAsia="en-US"/>
    </w:rPr>
  </w:style>
  <w:style w:type="paragraph" w:customStyle="1" w:styleId="CoverSubtitle">
    <w:name w:val="Cover Subtitle"/>
    <w:basedOn w:val="CoverTitle"/>
    <w:uiPriority w:val="19"/>
    <w:semiHidden/>
    <w:qFormat/>
    <w:rsid w:val="0081223D"/>
    <w:pPr>
      <w:spacing w:before="240"/>
    </w:pPr>
    <w:rPr>
      <w:b/>
      <w:caps/>
      <w:sz w:val="48"/>
    </w:rPr>
  </w:style>
  <w:style w:type="character" w:customStyle="1" w:styleId="ListNumberChar">
    <w:name w:val="List Number Char"/>
    <w:basedOn w:val="DefaultParagraphFont"/>
    <w:link w:val="ListNumber"/>
    <w:uiPriority w:val="3"/>
    <w:rsid w:val="00596177"/>
    <w:rPr>
      <w:rFonts w:asciiTheme="minorHAnsi" w:eastAsia="Century Gothic" w:hAnsiTheme="minorHAnsi" w:cstheme="minorBidi"/>
      <w:color w:val="000000" w:themeColor="text1"/>
      <w:lang w:eastAsia="en-US"/>
    </w:rPr>
  </w:style>
  <w:style w:type="paragraph" w:customStyle="1" w:styleId="CVLabel">
    <w:name w:val="CV Label"/>
    <w:basedOn w:val="Normal"/>
    <w:uiPriority w:val="13"/>
    <w:semiHidden/>
    <w:qFormat/>
    <w:rsid w:val="2AD67AEA"/>
    <w:pPr>
      <w:spacing w:after="0"/>
      <w:ind w:left="-6" w:right="-45"/>
    </w:pPr>
    <w:rPr>
      <w:rFonts w:eastAsia="Arial" w:cs="Times New Roman"/>
      <w:b/>
      <w:bCs/>
      <w:color w:val="2294CD"/>
      <w:sz w:val="19"/>
      <w:szCs w:val="19"/>
      <w:lang w:eastAsia="en-US"/>
    </w:rPr>
  </w:style>
  <w:style w:type="paragraph" w:customStyle="1" w:styleId="CVHeading">
    <w:name w:val="CV Heading"/>
    <w:basedOn w:val="Normal"/>
    <w:uiPriority w:val="13"/>
    <w:semiHidden/>
    <w:qFormat/>
    <w:rsid w:val="2AD67AEA"/>
    <w:pPr>
      <w:spacing w:after="60"/>
    </w:pPr>
    <w:rPr>
      <w:rFonts w:eastAsia="Arial" w:cs="Times New Roman"/>
      <w:b/>
      <w:bCs/>
      <w:color w:val="1D336D" w:themeColor="background2"/>
      <w:sz w:val="28"/>
      <w:szCs w:val="28"/>
      <w:lang w:eastAsia="en-US"/>
    </w:rPr>
  </w:style>
  <w:style w:type="paragraph" w:customStyle="1" w:styleId="TableBullets">
    <w:name w:val="Table Bullets"/>
    <w:basedOn w:val="TableText"/>
    <w:uiPriority w:val="10"/>
    <w:qFormat/>
    <w:rsid w:val="009E7E5E"/>
    <w:pPr>
      <w:numPr>
        <w:numId w:val="10"/>
      </w:numPr>
      <w:spacing w:before="0" w:after="80"/>
    </w:pPr>
  </w:style>
  <w:style w:type="paragraph" w:customStyle="1" w:styleId="Heading2NOTOC">
    <w:name w:val="Heading 2 NO TOC"/>
    <w:basedOn w:val="Heading2"/>
    <w:uiPriority w:val="1"/>
    <w:qFormat/>
    <w:rsid w:val="004A4416"/>
    <w:pPr>
      <w:outlineLvl w:val="9"/>
    </w:pPr>
  </w:style>
  <w:style w:type="paragraph" w:styleId="TableofFigures">
    <w:name w:val="table of figures"/>
    <w:basedOn w:val="Normal"/>
    <w:next w:val="Normal"/>
    <w:uiPriority w:val="99"/>
    <w:unhideWhenUsed/>
    <w:rsid w:val="2AD67AEA"/>
    <w:pPr>
      <w:spacing w:after="0"/>
    </w:pPr>
  </w:style>
  <w:style w:type="paragraph" w:styleId="ListParagraph">
    <w:name w:val="List Paragraph"/>
    <w:aliases w:val="List Paragraph1,List Paragraph11,L,Recommendation,CV text,Colorful List - Accent 11,COOP,Primary Bullet List,Paragraph,P3Numbered List,CRP Numbered List,List Paragraph (numbered (a)),F5 List Paragraph,Dot pt,List Paragraph111,DWA List 1"/>
    <w:basedOn w:val="Normal"/>
    <w:link w:val="ListParagraphChar"/>
    <w:uiPriority w:val="1"/>
    <w:qFormat/>
    <w:rsid w:val="2AD67AEA"/>
    <w:pPr>
      <w:ind w:left="720"/>
      <w:contextualSpacing/>
    </w:pPr>
  </w:style>
  <w:style w:type="paragraph" w:customStyle="1" w:styleId="CoverDetail">
    <w:name w:val="Cover Detail"/>
    <w:basedOn w:val="CoverSubtitle"/>
    <w:uiPriority w:val="19"/>
    <w:semiHidden/>
    <w:qFormat/>
    <w:rsid w:val="0081223D"/>
    <w:pPr>
      <w:contextualSpacing/>
    </w:pPr>
    <w:rPr>
      <w:color w:val="B1B2B6"/>
      <w:sz w:val="24"/>
    </w:rPr>
  </w:style>
  <w:style w:type="paragraph" w:customStyle="1" w:styleId="CoverInsideDetail">
    <w:name w:val="Cover Inside Detail"/>
    <w:basedOn w:val="CoverDetail"/>
    <w:uiPriority w:val="19"/>
    <w:semiHidden/>
    <w:qFormat/>
    <w:rsid w:val="002C5C7C"/>
    <w:pPr>
      <w:spacing w:before="360"/>
    </w:pPr>
    <w:rPr>
      <w:color w:val="FFFFFF" w:themeColor="background1"/>
      <w:sz w:val="28"/>
    </w:rPr>
  </w:style>
  <w:style w:type="paragraph" w:customStyle="1" w:styleId="CoverDetailWhite">
    <w:name w:val="Cover Detail White"/>
    <w:basedOn w:val="CoverDetail"/>
    <w:uiPriority w:val="19"/>
    <w:semiHidden/>
    <w:qFormat/>
    <w:rsid w:val="00145656"/>
    <w:pPr>
      <w:spacing w:before="120" w:line="280" w:lineRule="atLeast"/>
    </w:pPr>
    <w:rPr>
      <w:b w:val="0"/>
      <w:caps w:val="0"/>
      <w:color w:val="FFFFFF" w:themeColor="background1"/>
    </w:rPr>
  </w:style>
  <w:style w:type="paragraph" w:customStyle="1" w:styleId="CVMainHeading">
    <w:name w:val="CV Main Heading"/>
    <w:basedOn w:val="CVHeading"/>
    <w:uiPriority w:val="13"/>
    <w:semiHidden/>
    <w:qFormat/>
    <w:rsid w:val="00D70725"/>
    <w:rPr>
      <w:sz w:val="20"/>
    </w:rPr>
  </w:style>
  <w:style w:type="paragraph" w:customStyle="1" w:styleId="TableBullet">
    <w:name w:val="Table Bullet"/>
    <w:basedOn w:val="TableText"/>
    <w:uiPriority w:val="10"/>
    <w:qFormat/>
    <w:rsid w:val="00802A4E"/>
    <w:pPr>
      <w:spacing w:before="0" w:after="0"/>
      <w:ind w:left="170" w:hanging="170"/>
    </w:pPr>
    <w:rPr>
      <w:sz w:val="18"/>
    </w:rPr>
  </w:style>
  <w:style w:type="paragraph" w:customStyle="1" w:styleId="InfoBoxDarkText">
    <w:name w:val="Info Box Dark Text"/>
    <w:basedOn w:val="IntroCopy"/>
    <w:uiPriority w:val="2"/>
    <w:qFormat/>
    <w:rsid w:val="00985D63"/>
    <w:pPr>
      <w:spacing w:before="60" w:after="60" w:line="276" w:lineRule="auto"/>
      <w:ind w:left="113" w:right="113"/>
    </w:pPr>
    <w:rPr>
      <w:i w:val="0"/>
      <w:color w:val="1D336D" w:themeColor="background2"/>
      <w:sz w:val="20"/>
    </w:rPr>
  </w:style>
  <w:style w:type="paragraph" w:customStyle="1" w:styleId="InfoBoxLightText">
    <w:name w:val="Info Box Light Text"/>
    <w:basedOn w:val="InfoBoxDarkText"/>
    <w:uiPriority w:val="2"/>
    <w:qFormat/>
    <w:rsid w:val="009473BB"/>
    <w:rPr>
      <w:color w:val="FFFFFF" w:themeColor="background1"/>
    </w:rPr>
  </w:style>
  <w:style w:type="paragraph" w:customStyle="1" w:styleId="NumberedHeadingChapter">
    <w:name w:val="Numbered Heading Chapter"/>
    <w:basedOn w:val="NumberedHeading1"/>
    <w:link w:val="NumberedHeadingChapterChar"/>
    <w:uiPriority w:val="2"/>
    <w:qFormat/>
    <w:rsid w:val="00726D77"/>
    <w:pPr>
      <w:pBdr>
        <w:top w:val="single" w:sz="2" w:space="6" w:color="2294CD"/>
        <w:left w:val="single" w:sz="2" w:space="6" w:color="2294CD"/>
        <w:bottom w:val="single" w:sz="2" w:space="6" w:color="2294CD"/>
        <w:right w:val="single" w:sz="2" w:space="6" w:color="2294CD"/>
      </w:pBdr>
      <w:shd w:val="clear" w:color="auto" w:fill="2294CD"/>
      <w:spacing w:after="240"/>
    </w:pPr>
    <w:rPr>
      <w:b/>
      <w:color w:val="FFFFFF" w:themeColor="background1"/>
      <w:sz w:val="44"/>
    </w:rPr>
  </w:style>
  <w:style w:type="paragraph" w:customStyle="1" w:styleId="SourceNotesV2">
    <w:name w:val="Source Notes V2"/>
    <w:basedOn w:val="SourceNotes"/>
    <w:uiPriority w:val="2"/>
    <w:qFormat/>
    <w:rsid w:val="009473BB"/>
    <w:pPr>
      <w:spacing w:after="0" w:line="200" w:lineRule="atLeast"/>
      <w:jc w:val="right"/>
    </w:pPr>
    <w:rPr>
      <w:color w:val="A1D5EF"/>
      <w:sz w:val="16"/>
    </w:rPr>
  </w:style>
  <w:style w:type="character" w:customStyle="1" w:styleId="NumberedHeadingChapterChar">
    <w:name w:val="Numbered Heading Chapter Char"/>
    <w:basedOn w:val="NumberedHeading1Char"/>
    <w:link w:val="NumberedHeadingChapter"/>
    <w:uiPriority w:val="2"/>
    <w:rsid w:val="00726D77"/>
    <w:rPr>
      <w:rFonts w:asciiTheme="minorHAnsi" w:eastAsiaTheme="majorEastAsia" w:hAnsiTheme="minorHAnsi" w:cs="Calibri"/>
      <w:b/>
      <w:bCs/>
      <w:iCs/>
      <w:caps/>
      <w:color w:val="FFFFFF" w:themeColor="background1"/>
      <w:sz w:val="44"/>
      <w:szCs w:val="32"/>
      <w:shd w:val="clear" w:color="auto" w:fill="2294CD"/>
      <w:lang w:val="en-GB"/>
    </w:rPr>
  </w:style>
  <w:style w:type="paragraph" w:customStyle="1" w:styleId="Heading3NOTOC">
    <w:name w:val="Heading 3 NO TOC"/>
    <w:basedOn w:val="Heading3"/>
    <w:uiPriority w:val="2"/>
    <w:qFormat/>
    <w:rsid w:val="003A5075"/>
    <w:pPr>
      <w:outlineLvl w:val="9"/>
    </w:pPr>
  </w:style>
  <w:style w:type="paragraph" w:customStyle="1" w:styleId="CVHeadingSmall">
    <w:name w:val="CV Heading Small"/>
    <w:basedOn w:val="CVHeading"/>
    <w:uiPriority w:val="2"/>
    <w:semiHidden/>
    <w:qFormat/>
    <w:rsid w:val="0052426B"/>
    <w:rPr>
      <w:sz w:val="20"/>
    </w:rPr>
  </w:style>
  <w:style w:type="paragraph" w:styleId="Revision">
    <w:name w:val="Revision"/>
    <w:hidden/>
    <w:uiPriority w:val="99"/>
    <w:semiHidden/>
    <w:rsid w:val="00B64BF9"/>
    <w:rPr>
      <w:rFonts w:asciiTheme="minorHAnsi" w:eastAsiaTheme="majorEastAsia" w:hAnsiTheme="minorHAnsi" w:cs="Calibri"/>
      <w:color w:val="000000" w:themeColor="text1"/>
      <w:szCs w:val="24"/>
    </w:rPr>
  </w:style>
  <w:style w:type="character" w:styleId="CommentReference">
    <w:name w:val="annotation reference"/>
    <w:basedOn w:val="DefaultParagraphFont"/>
    <w:uiPriority w:val="29"/>
    <w:semiHidden/>
    <w:rsid w:val="00B64BF9"/>
    <w:rPr>
      <w:sz w:val="16"/>
      <w:szCs w:val="16"/>
    </w:rPr>
  </w:style>
  <w:style w:type="paragraph" w:styleId="CommentText">
    <w:name w:val="annotation text"/>
    <w:basedOn w:val="Normal"/>
    <w:link w:val="CommentTextChar"/>
    <w:uiPriority w:val="29"/>
    <w:rsid w:val="2AD67AEA"/>
  </w:style>
  <w:style w:type="character" w:customStyle="1" w:styleId="CommentTextChar">
    <w:name w:val="Comment Text Char"/>
    <w:basedOn w:val="DefaultParagraphFont"/>
    <w:link w:val="CommentText"/>
    <w:uiPriority w:val="29"/>
    <w:rsid w:val="00B64BF9"/>
    <w:rPr>
      <w:rFonts w:asciiTheme="minorHAnsi" w:eastAsiaTheme="majorEastAsia" w:hAnsiTheme="minorHAnsi" w:cs="Calibri"/>
      <w:color w:val="000000" w:themeColor="text1"/>
    </w:rPr>
  </w:style>
  <w:style w:type="paragraph" w:styleId="CommentSubject">
    <w:name w:val="annotation subject"/>
    <w:basedOn w:val="CommentText"/>
    <w:next w:val="CommentText"/>
    <w:link w:val="CommentSubjectChar"/>
    <w:uiPriority w:val="29"/>
    <w:semiHidden/>
    <w:rsid w:val="00B64BF9"/>
    <w:rPr>
      <w:b/>
      <w:bCs/>
    </w:rPr>
  </w:style>
  <w:style w:type="character" w:customStyle="1" w:styleId="CommentSubjectChar">
    <w:name w:val="Comment Subject Char"/>
    <w:basedOn w:val="CommentTextChar"/>
    <w:link w:val="CommentSubject"/>
    <w:uiPriority w:val="29"/>
    <w:semiHidden/>
    <w:rsid w:val="00B64BF9"/>
    <w:rPr>
      <w:rFonts w:asciiTheme="minorHAnsi" w:eastAsiaTheme="majorEastAsia" w:hAnsiTheme="minorHAnsi" w:cs="Calibri"/>
      <w:b/>
      <w:bCs/>
      <w:color w:val="000000" w:themeColor="text1"/>
    </w:rPr>
  </w:style>
  <w:style w:type="paragraph" w:customStyle="1" w:styleId="paragraph">
    <w:name w:val="paragraph"/>
    <w:basedOn w:val="Normal"/>
    <w:rsid w:val="2AD67AEA"/>
    <w:pPr>
      <w:spacing w:beforeAutospacing="1" w:afterAutospacing="1"/>
    </w:pPr>
    <w:rPr>
      <w:color w:val="auto"/>
      <w:sz w:val="24"/>
      <w:szCs w:val="24"/>
    </w:rPr>
  </w:style>
  <w:style w:type="character" w:customStyle="1" w:styleId="normaltextrun">
    <w:name w:val="normaltextrun"/>
    <w:basedOn w:val="DefaultParagraphFont"/>
    <w:rsid w:val="00FA2140"/>
  </w:style>
  <w:style w:type="character" w:customStyle="1" w:styleId="eop">
    <w:name w:val="eop"/>
    <w:basedOn w:val="DefaultParagraphFont"/>
    <w:rsid w:val="00FA2140"/>
  </w:style>
  <w:style w:type="character" w:customStyle="1" w:styleId="superscript">
    <w:name w:val="superscript"/>
    <w:basedOn w:val="DefaultParagraphFont"/>
    <w:rsid w:val="00FA2140"/>
  </w:style>
  <w:style w:type="character" w:customStyle="1" w:styleId="ListParagraphChar">
    <w:name w:val="List Paragraph Char"/>
    <w:aliases w:val="List Paragraph1 Char,List Paragraph11 Char,L Char,Recommendation Char,CV text Char,Colorful List - Accent 11 Char,COOP Char,Primary Bullet List Char,Paragraph Char,P3Numbered List Char,CRP Numbered List Char,F5 List Paragraph Char"/>
    <w:link w:val="ListParagraph"/>
    <w:uiPriority w:val="34"/>
    <w:qFormat/>
    <w:locked/>
    <w:rsid w:val="000F7495"/>
    <w:rPr>
      <w:rFonts w:asciiTheme="minorHAnsi" w:eastAsiaTheme="majorEastAsia" w:hAnsiTheme="minorHAnsi" w:cs="Calibri"/>
      <w:color w:val="000000" w:themeColor="text1"/>
      <w:szCs w:val="24"/>
    </w:rPr>
  </w:style>
  <w:style w:type="character" w:styleId="UnresolvedMention">
    <w:name w:val="Unresolved Mention"/>
    <w:basedOn w:val="DefaultParagraphFont"/>
    <w:uiPriority w:val="99"/>
    <w:semiHidden/>
    <w:unhideWhenUsed/>
    <w:rsid w:val="00AF03A3"/>
    <w:rPr>
      <w:color w:val="605E5C"/>
      <w:shd w:val="clear" w:color="auto" w:fill="E1DFDD"/>
    </w:rPr>
  </w:style>
  <w:style w:type="paragraph" w:customStyle="1" w:styleId="BulletedList1-P4SP">
    <w:name w:val="Bulleted List 1 - P4SP"/>
    <w:basedOn w:val="Normal"/>
    <w:uiPriority w:val="1"/>
    <w:qFormat/>
    <w:rsid w:val="2AD67AEA"/>
    <w:pPr>
      <w:numPr>
        <w:numId w:val="11"/>
      </w:numPr>
      <w:spacing w:after="170" w:line="288" w:lineRule="auto"/>
    </w:pPr>
    <w:rPr>
      <w:rFonts w:ascii="Helvetica" w:eastAsiaTheme="minorEastAsia" w:hAnsi="Helvetica" w:cstheme="minorBidi"/>
      <w:color w:val="auto"/>
      <w:sz w:val="22"/>
      <w:szCs w:val="22"/>
      <w:lang w:eastAsia="en-US"/>
    </w:rPr>
  </w:style>
  <w:style w:type="paragraph" w:customStyle="1" w:styleId="BulletedList2-P4SP">
    <w:name w:val="Bulleted List 2 - P4SP"/>
    <w:basedOn w:val="Normal"/>
    <w:uiPriority w:val="1"/>
    <w:qFormat/>
    <w:rsid w:val="2AD67AEA"/>
    <w:pPr>
      <w:numPr>
        <w:ilvl w:val="1"/>
        <w:numId w:val="11"/>
      </w:numPr>
      <w:spacing w:after="170" w:line="288" w:lineRule="auto"/>
    </w:pPr>
    <w:rPr>
      <w:rFonts w:ascii="Helvetica" w:eastAsiaTheme="minorEastAsia" w:hAnsi="Helvetica" w:cstheme="minorBidi"/>
      <w:color w:val="auto"/>
      <w:sz w:val="22"/>
      <w:szCs w:val="22"/>
      <w:lang w:eastAsia="en-US"/>
    </w:rPr>
  </w:style>
  <w:style w:type="paragraph" w:customStyle="1" w:styleId="BulletedList3-P4SP">
    <w:name w:val="Bulleted List 3 - P4SP"/>
    <w:basedOn w:val="Normal"/>
    <w:uiPriority w:val="1"/>
    <w:qFormat/>
    <w:rsid w:val="2AD67AEA"/>
    <w:pPr>
      <w:numPr>
        <w:ilvl w:val="2"/>
        <w:numId w:val="11"/>
      </w:numPr>
      <w:spacing w:after="170" w:line="288" w:lineRule="auto"/>
    </w:pPr>
    <w:rPr>
      <w:rFonts w:ascii="Helvetica" w:eastAsiaTheme="minorEastAsia" w:hAnsi="Helvetica" w:cstheme="minorBidi"/>
      <w:color w:val="auto"/>
      <w:sz w:val="22"/>
      <w:szCs w:val="22"/>
      <w:lang w:eastAsia="en-US"/>
    </w:rPr>
  </w:style>
  <w:style w:type="paragraph" w:styleId="Quote">
    <w:name w:val="Quote"/>
    <w:basedOn w:val="Normal"/>
    <w:next w:val="Normal"/>
    <w:uiPriority w:val="29"/>
    <w:qFormat/>
    <w:rsid w:val="2AD67AEA"/>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2AD67AEA"/>
    <w:pPr>
      <w:pBdr>
        <w:top w:val="single" w:sz="4" w:space="10" w:color="63D0DF" w:themeColor="accent1"/>
        <w:bottom w:val="single" w:sz="4" w:space="10" w:color="63D0DF" w:themeColor="accent1"/>
      </w:pBdr>
      <w:spacing w:before="360" w:after="360"/>
      <w:ind w:left="864" w:right="864"/>
      <w:jc w:val="center"/>
    </w:pPr>
    <w:rPr>
      <w:i/>
      <w:iCs/>
      <w:color w:val="63D0DF" w:themeColor="accent5"/>
    </w:rPr>
  </w:style>
  <w:style w:type="paragraph" w:styleId="TOC7">
    <w:name w:val="toc 7"/>
    <w:basedOn w:val="Normal"/>
    <w:next w:val="Normal"/>
    <w:uiPriority w:val="39"/>
    <w:unhideWhenUsed/>
    <w:rsid w:val="2AD67AEA"/>
    <w:pPr>
      <w:ind w:left="1320"/>
    </w:pPr>
  </w:style>
  <w:style w:type="paragraph" w:styleId="TOC8">
    <w:name w:val="toc 8"/>
    <w:basedOn w:val="Normal"/>
    <w:next w:val="Normal"/>
    <w:uiPriority w:val="39"/>
    <w:unhideWhenUsed/>
    <w:rsid w:val="2AD67AEA"/>
    <w:pPr>
      <w:ind w:left="1540"/>
    </w:pPr>
  </w:style>
  <w:style w:type="paragraph" w:styleId="TOC9">
    <w:name w:val="toc 9"/>
    <w:basedOn w:val="Normal"/>
    <w:next w:val="Normal"/>
    <w:uiPriority w:val="39"/>
    <w:unhideWhenUsed/>
    <w:rsid w:val="2AD67AEA"/>
    <w:pPr>
      <w:ind w:left="1760"/>
    </w:pPr>
  </w:style>
  <w:style w:type="paragraph" w:styleId="EndnoteText">
    <w:name w:val="endnote text"/>
    <w:basedOn w:val="Normal"/>
    <w:uiPriority w:val="99"/>
    <w:semiHidden/>
    <w:unhideWhenUsed/>
    <w:rsid w:val="2AD67AEA"/>
    <w:pPr>
      <w:spacing w:after="0"/>
    </w:pPr>
  </w:style>
  <w:style w:type="character" w:styleId="Mention">
    <w:name w:val="Mention"/>
    <w:basedOn w:val="DefaultParagraphFont"/>
    <w:uiPriority w:val="99"/>
    <w:unhideWhenUsed/>
    <w:rsid w:val="007E3D7F"/>
    <w:rPr>
      <w:color w:val="2B579A"/>
      <w:shd w:val="clear" w:color="auto" w:fill="E1DFDD"/>
    </w:rPr>
  </w:style>
  <w:style w:type="paragraph" w:customStyle="1" w:styleId="Bullet1">
    <w:name w:val="Bullet 1"/>
    <w:basedOn w:val="ListParagraph"/>
    <w:qFormat/>
    <w:rsid w:val="00420E47"/>
    <w:pPr>
      <w:spacing w:after="0"/>
      <w:ind w:left="0"/>
    </w:pPr>
    <w:rPr>
      <w:rFonts w:eastAsia="Times New Roman" w:cs="Times New Roman"/>
      <w:color w:val="auto"/>
      <w:sz w:val="24"/>
      <w:szCs w:val="24"/>
      <w:lang w:val="en-AU" w:eastAsia="en-US"/>
    </w:rPr>
  </w:style>
  <w:style w:type="paragraph" w:styleId="NormalWeb">
    <w:name w:val="Normal (Web)"/>
    <w:basedOn w:val="Normal"/>
    <w:uiPriority w:val="99"/>
    <w:unhideWhenUsed/>
    <w:rsid w:val="009B07D1"/>
    <w:pPr>
      <w:spacing w:beforeAutospacing="1" w:afterAutospacing="1"/>
    </w:pPr>
    <w:rPr>
      <w:rFonts w:ascii="Times New Roman" w:eastAsia="Times New Roman" w:hAnsi="Times New Roman" w:cs="Times New Roman"/>
      <w:color w:val="auto"/>
      <w:sz w:val="24"/>
      <w:szCs w:val="24"/>
      <w:lang w:eastAsia="en-GB"/>
    </w:rPr>
  </w:style>
  <w:style w:type="paragraph" w:customStyle="1" w:styleId="CCSNormalText">
    <w:name w:val="CCS Normal Text"/>
    <w:basedOn w:val="Normal"/>
    <w:link w:val="CCSNormalTextChar"/>
    <w:qFormat/>
    <w:rsid w:val="004A6D4A"/>
    <w:pPr>
      <w:spacing w:before="60"/>
    </w:pPr>
    <w:rPr>
      <w:rFonts w:ascii="Arial" w:eastAsiaTheme="minorHAnsi" w:hAnsi="Arial" w:cs="Arial"/>
      <w:color w:val="auto"/>
      <w:sz w:val="22"/>
      <w:szCs w:val="22"/>
      <w:lang w:val="en-AU" w:eastAsia="zh-CN" w:bidi="th-TH"/>
    </w:rPr>
  </w:style>
  <w:style w:type="character" w:customStyle="1" w:styleId="CCSNormalTextChar">
    <w:name w:val="CCS Normal Text Char"/>
    <w:basedOn w:val="DefaultParagraphFont"/>
    <w:link w:val="CCSNormalText"/>
    <w:locked/>
    <w:rsid w:val="004A6D4A"/>
    <w:rPr>
      <w:rFonts w:ascii="Arial" w:eastAsiaTheme="minorHAnsi" w:hAnsi="Arial" w:cs="Arial"/>
      <w:sz w:val="22"/>
      <w:szCs w:val="22"/>
      <w:lang w:eastAsia="zh-CN" w:bidi="th-TH"/>
    </w:rPr>
  </w:style>
  <w:style w:type="table" w:styleId="TableGridLight">
    <w:name w:val="Grid Table Light"/>
    <w:basedOn w:val="TableNormal"/>
    <w:uiPriority w:val="40"/>
    <w:rsid w:val="005374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42721A"/>
    <w:tblPr>
      <w:tblStyleRowBandSize w:val="1"/>
      <w:tblStyleColBandSize w:val="1"/>
      <w:tblBorders>
        <w:top w:val="single" w:sz="4" w:space="0" w:color="C0ECF2" w:themeColor="accent1" w:themeTint="66"/>
        <w:left w:val="single" w:sz="4" w:space="0" w:color="C0ECF2" w:themeColor="accent1" w:themeTint="66"/>
        <w:bottom w:val="single" w:sz="4" w:space="0" w:color="C0ECF2" w:themeColor="accent1" w:themeTint="66"/>
        <w:right w:val="single" w:sz="4" w:space="0" w:color="C0ECF2" w:themeColor="accent1" w:themeTint="66"/>
        <w:insideH w:val="single" w:sz="4" w:space="0" w:color="C0ECF2" w:themeColor="accent1" w:themeTint="66"/>
        <w:insideV w:val="single" w:sz="4" w:space="0" w:color="C0ECF2" w:themeColor="accent1" w:themeTint="66"/>
      </w:tblBorders>
    </w:tblPr>
    <w:tblStylePr w:type="firstRow">
      <w:rPr>
        <w:b/>
        <w:bCs/>
      </w:rPr>
      <w:tblPr/>
      <w:tcPr>
        <w:tcBorders>
          <w:bottom w:val="single" w:sz="12" w:space="0" w:color="A1E2EB" w:themeColor="accent1" w:themeTint="99"/>
        </w:tcBorders>
      </w:tcPr>
    </w:tblStylePr>
    <w:tblStylePr w:type="lastRow">
      <w:rPr>
        <w:b/>
        <w:bCs/>
      </w:rPr>
      <w:tblPr/>
      <w:tcPr>
        <w:tcBorders>
          <w:top w:val="double" w:sz="2" w:space="0" w:color="A1E2EB" w:themeColor="accent1" w:themeTint="99"/>
        </w:tcBorders>
      </w:tcPr>
    </w:tblStylePr>
    <w:tblStylePr w:type="firstCol">
      <w:rPr>
        <w:b/>
        <w:bCs/>
      </w:rPr>
    </w:tblStylePr>
    <w:tblStylePr w:type="lastCol">
      <w:rPr>
        <w:b/>
        <w:bCs/>
      </w:rPr>
    </w:tblStylePr>
  </w:style>
  <w:style w:type="character" w:styleId="Strong">
    <w:name w:val="Strong"/>
    <w:basedOn w:val="Heading5Char"/>
    <w:uiPriority w:val="22"/>
    <w:qFormat/>
    <w:rsid w:val="00490A26"/>
    <w:rPr>
      <w:rFonts w:asciiTheme="minorHAnsi" w:eastAsiaTheme="majorEastAsia" w:hAnsiTheme="minorHAnsi" w:cstheme="majorBidi"/>
      <w:b/>
      <w:bCs/>
      <w:color w:val="000000" w:themeColor="text1"/>
      <w:sz w:val="20"/>
      <w:szCs w:val="24"/>
    </w:rPr>
  </w:style>
  <w:style w:type="character" w:styleId="Emphasis">
    <w:name w:val="Emphasis"/>
    <w:basedOn w:val="DefaultParagraphFont"/>
    <w:uiPriority w:val="20"/>
    <w:qFormat/>
    <w:rsid w:val="00CC495A"/>
    <w:rPr>
      <w:i/>
      <w:iCs/>
    </w:rPr>
  </w:style>
  <w:style w:type="character" w:customStyle="1" w:styleId="cf01">
    <w:name w:val="cf01"/>
    <w:basedOn w:val="DefaultParagraphFont"/>
    <w:rsid w:val="004E7C55"/>
    <w:rPr>
      <w:rFonts w:ascii="Segoe UI" w:hAnsi="Segoe UI" w:cs="Segoe UI" w:hint="default"/>
      <w:sz w:val="18"/>
      <w:szCs w:val="18"/>
    </w:rPr>
  </w:style>
  <w:style w:type="paragraph" w:styleId="BodyText">
    <w:name w:val="Body Text"/>
    <w:basedOn w:val="Normal"/>
    <w:link w:val="BodyTextChar"/>
    <w:qFormat/>
    <w:rsid w:val="00B57CCE"/>
    <w:pPr>
      <w:spacing w:before="180" w:after="180" w:line="252" w:lineRule="auto"/>
    </w:pPr>
    <w:rPr>
      <w:rFonts w:ascii="Arial" w:eastAsia="Arial" w:hAnsi="Arial" w:cstheme="minorBidi"/>
      <w:color w:val="auto"/>
      <w:szCs w:val="24"/>
      <w:lang w:val="en-US" w:eastAsia="en-US"/>
    </w:rPr>
  </w:style>
  <w:style w:type="character" w:customStyle="1" w:styleId="BodyTextChar">
    <w:name w:val="Body Text Char"/>
    <w:basedOn w:val="DefaultParagraphFont"/>
    <w:link w:val="BodyText"/>
    <w:rsid w:val="00B57CCE"/>
    <w:rPr>
      <w:rFonts w:ascii="Arial" w:eastAsia="Arial" w:hAnsi="Arial" w:cstheme="minorBidi"/>
      <w:szCs w:val="24"/>
      <w:lang w:val="en-US" w:eastAsia="en-US"/>
    </w:rPr>
  </w:style>
  <w:style w:type="paragraph" w:customStyle="1" w:styleId="FirstParagraph">
    <w:name w:val="First Paragraph"/>
    <w:basedOn w:val="BodyText"/>
    <w:next w:val="BodyText"/>
    <w:qFormat/>
    <w:rsid w:val="00B57CCE"/>
  </w:style>
  <w:style w:type="paragraph" w:customStyle="1" w:styleId="Compact">
    <w:name w:val="Compact"/>
    <w:basedOn w:val="BodyText"/>
    <w:qFormat/>
    <w:rsid w:val="00D456D3"/>
    <w:pPr>
      <w:spacing w:before="36" w:after="36"/>
    </w:pPr>
  </w:style>
  <w:style w:type="table" w:customStyle="1" w:styleId="Table">
    <w:name w:val="Table"/>
    <w:semiHidden/>
    <w:unhideWhenUsed/>
    <w:qFormat/>
    <w:rsid w:val="00D456D3"/>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ImageCaption">
    <w:name w:val="Image Caption"/>
    <w:basedOn w:val="Caption"/>
    <w:rsid w:val="002A637C"/>
    <w:pPr>
      <w:spacing w:before="0" w:line="252" w:lineRule="auto"/>
    </w:pPr>
    <w:rPr>
      <w:rFonts w:ascii="Arial" w:eastAsia="Arial" w:hAnsi="Arial" w:cstheme="minorBidi"/>
      <w:b w:val="0"/>
      <w:bCs w:val="0"/>
      <w:i/>
      <w:color w:val="auto"/>
      <w:sz w:val="20"/>
      <w:szCs w:val="24"/>
      <w:lang w:val="en-US" w:eastAsia="en-US"/>
    </w:rPr>
  </w:style>
  <w:style w:type="paragraph" w:customStyle="1" w:styleId="CaptionedFigure">
    <w:name w:val="Captioned Figure"/>
    <w:basedOn w:val="Normal"/>
    <w:rsid w:val="002A637C"/>
    <w:pPr>
      <w:keepNext/>
      <w:spacing w:before="0" w:line="252" w:lineRule="auto"/>
    </w:pPr>
    <w:rPr>
      <w:rFonts w:ascii="Arial" w:eastAsia="Arial" w:hAnsi="Arial" w:cstheme="minorBidi"/>
      <w:color w:val="auto"/>
      <w:szCs w:val="24"/>
      <w:lang w:val="en-US" w:eastAsia="en-US"/>
    </w:rPr>
  </w:style>
  <w:style w:type="paragraph" w:customStyle="1" w:styleId="pf0">
    <w:name w:val="pf0"/>
    <w:basedOn w:val="Normal"/>
    <w:rsid w:val="00093B6D"/>
    <w:pPr>
      <w:spacing w:beforeAutospacing="1" w:afterAutospacing="1"/>
    </w:pPr>
    <w:rPr>
      <w:rFonts w:ascii="Times New Roman" w:eastAsia="Times New Roman" w:hAnsi="Times New Roman" w:cs="Times New Roman"/>
      <w:color w:val="auto"/>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4322">
      <w:bodyDiv w:val="1"/>
      <w:marLeft w:val="0"/>
      <w:marRight w:val="0"/>
      <w:marTop w:val="0"/>
      <w:marBottom w:val="0"/>
      <w:divBdr>
        <w:top w:val="none" w:sz="0" w:space="0" w:color="auto"/>
        <w:left w:val="none" w:sz="0" w:space="0" w:color="auto"/>
        <w:bottom w:val="none" w:sz="0" w:space="0" w:color="auto"/>
        <w:right w:val="none" w:sz="0" w:space="0" w:color="auto"/>
      </w:divBdr>
    </w:div>
    <w:div w:id="224800652">
      <w:bodyDiv w:val="1"/>
      <w:marLeft w:val="0"/>
      <w:marRight w:val="0"/>
      <w:marTop w:val="0"/>
      <w:marBottom w:val="0"/>
      <w:divBdr>
        <w:top w:val="none" w:sz="0" w:space="0" w:color="auto"/>
        <w:left w:val="none" w:sz="0" w:space="0" w:color="auto"/>
        <w:bottom w:val="none" w:sz="0" w:space="0" w:color="auto"/>
        <w:right w:val="none" w:sz="0" w:space="0" w:color="auto"/>
      </w:divBdr>
    </w:div>
    <w:div w:id="245502897">
      <w:bodyDiv w:val="1"/>
      <w:marLeft w:val="0"/>
      <w:marRight w:val="0"/>
      <w:marTop w:val="0"/>
      <w:marBottom w:val="0"/>
      <w:divBdr>
        <w:top w:val="none" w:sz="0" w:space="0" w:color="auto"/>
        <w:left w:val="none" w:sz="0" w:space="0" w:color="auto"/>
        <w:bottom w:val="none" w:sz="0" w:space="0" w:color="auto"/>
        <w:right w:val="none" w:sz="0" w:space="0" w:color="auto"/>
      </w:divBdr>
      <w:divsChild>
        <w:div w:id="455949006">
          <w:marLeft w:val="0"/>
          <w:marRight w:val="0"/>
          <w:marTop w:val="0"/>
          <w:marBottom w:val="0"/>
          <w:divBdr>
            <w:top w:val="none" w:sz="0" w:space="0" w:color="auto"/>
            <w:left w:val="none" w:sz="0" w:space="0" w:color="auto"/>
            <w:bottom w:val="single" w:sz="6" w:space="0" w:color="FAEBCC"/>
            <w:right w:val="none" w:sz="0" w:space="0" w:color="auto"/>
          </w:divBdr>
        </w:div>
        <w:div w:id="532572585">
          <w:marLeft w:val="0"/>
          <w:marRight w:val="0"/>
          <w:marTop w:val="0"/>
          <w:marBottom w:val="0"/>
          <w:divBdr>
            <w:top w:val="none" w:sz="0" w:space="0" w:color="auto"/>
            <w:left w:val="none" w:sz="0" w:space="0" w:color="auto"/>
            <w:bottom w:val="none" w:sz="0" w:space="0" w:color="auto"/>
            <w:right w:val="none" w:sz="0" w:space="0" w:color="auto"/>
          </w:divBdr>
          <w:divsChild>
            <w:div w:id="7757912">
              <w:marLeft w:val="0"/>
              <w:marRight w:val="0"/>
              <w:marTop w:val="0"/>
              <w:marBottom w:val="0"/>
              <w:divBdr>
                <w:top w:val="none" w:sz="0" w:space="0" w:color="auto"/>
                <w:left w:val="none" w:sz="0" w:space="0" w:color="auto"/>
                <w:bottom w:val="none" w:sz="0" w:space="0" w:color="auto"/>
                <w:right w:val="none" w:sz="0" w:space="0" w:color="auto"/>
              </w:divBdr>
            </w:div>
            <w:div w:id="79915833">
              <w:marLeft w:val="0"/>
              <w:marRight w:val="0"/>
              <w:marTop w:val="0"/>
              <w:marBottom w:val="0"/>
              <w:divBdr>
                <w:top w:val="none" w:sz="0" w:space="0" w:color="auto"/>
                <w:left w:val="none" w:sz="0" w:space="0" w:color="auto"/>
                <w:bottom w:val="none" w:sz="0" w:space="0" w:color="auto"/>
                <w:right w:val="none" w:sz="0" w:space="0" w:color="auto"/>
              </w:divBdr>
            </w:div>
            <w:div w:id="107051097">
              <w:marLeft w:val="0"/>
              <w:marRight w:val="0"/>
              <w:marTop w:val="0"/>
              <w:marBottom w:val="0"/>
              <w:divBdr>
                <w:top w:val="none" w:sz="0" w:space="0" w:color="auto"/>
                <w:left w:val="none" w:sz="0" w:space="0" w:color="auto"/>
                <w:bottom w:val="none" w:sz="0" w:space="0" w:color="auto"/>
                <w:right w:val="none" w:sz="0" w:space="0" w:color="auto"/>
              </w:divBdr>
              <w:divsChild>
                <w:div w:id="960309121">
                  <w:marLeft w:val="0"/>
                  <w:marRight w:val="0"/>
                  <w:marTop w:val="450"/>
                  <w:marBottom w:val="450"/>
                  <w:divBdr>
                    <w:top w:val="none" w:sz="0" w:space="0" w:color="auto"/>
                    <w:left w:val="none" w:sz="0" w:space="0" w:color="auto"/>
                    <w:bottom w:val="none" w:sz="0" w:space="0" w:color="auto"/>
                    <w:right w:val="none" w:sz="0" w:space="0" w:color="auto"/>
                  </w:divBdr>
                  <w:divsChild>
                    <w:div w:id="15584755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274823">
              <w:marLeft w:val="0"/>
              <w:marRight w:val="0"/>
              <w:marTop w:val="0"/>
              <w:marBottom w:val="0"/>
              <w:divBdr>
                <w:top w:val="none" w:sz="0" w:space="0" w:color="auto"/>
                <w:left w:val="none" w:sz="0" w:space="0" w:color="auto"/>
                <w:bottom w:val="none" w:sz="0" w:space="0" w:color="auto"/>
                <w:right w:val="none" w:sz="0" w:space="0" w:color="auto"/>
              </w:divBdr>
            </w:div>
            <w:div w:id="131142289">
              <w:marLeft w:val="0"/>
              <w:marRight w:val="0"/>
              <w:marTop w:val="0"/>
              <w:marBottom w:val="0"/>
              <w:divBdr>
                <w:top w:val="none" w:sz="0" w:space="0" w:color="auto"/>
                <w:left w:val="none" w:sz="0" w:space="0" w:color="auto"/>
                <w:bottom w:val="none" w:sz="0" w:space="0" w:color="auto"/>
                <w:right w:val="none" w:sz="0" w:space="0" w:color="auto"/>
              </w:divBdr>
            </w:div>
            <w:div w:id="189689556">
              <w:marLeft w:val="0"/>
              <w:marRight w:val="0"/>
              <w:marTop w:val="0"/>
              <w:marBottom w:val="0"/>
              <w:divBdr>
                <w:top w:val="none" w:sz="0" w:space="0" w:color="auto"/>
                <w:left w:val="none" w:sz="0" w:space="0" w:color="auto"/>
                <w:bottom w:val="none" w:sz="0" w:space="0" w:color="auto"/>
                <w:right w:val="none" w:sz="0" w:space="0" w:color="auto"/>
              </w:divBdr>
            </w:div>
            <w:div w:id="193471517">
              <w:marLeft w:val="0"/>
              <w:marRight w:val="0"/>
              <w:marTop w:val="0"/>
              <w:marBottom w:val="0"/>
              <w:divBdr>
                <w:top w:val="none" w:sz="0" w:space="0" w:color="auto"/>
                <w:left w:val="none" w:sz="0" w:space="0" w:color="auto"/>
                <w:bottom w:val="none" w:sz="0" w:space="0" w:color="auto"/>
                <w:right w:val="none" w:sz="0" w:space="0" w:color="auto"/>
              </w:divBdr>
            </w:div>
            <w:div w:id="207038052">
              <w:marLeft w:val="0"/>
              <w:marRight w:val="0"/>
              <w:marTop w:val="0"/>
              <w:marBottom w:val="0"/>
              <w:divBdr>
                <w:top w:val="none" w:sz="0" w:space="0" w:color="auto"/>
                <w:left w:val="none" w:sz="0" w:space="0" w:color="auto"/>
                <w:bottom w:val="none" w:sz="0" w:space="0" w:color="auto"/>
                <w:right w:val="none" w:sz="0" w:space="0" w:color="auto"/>
              </w:divBdr>
            </w:div>
            <w:div w:id="233050142">
              <w:marLeft w:val="0"/>
              <w:marRight w:val="0"/>
              <w:marTop w:val="0"/>
              <w:marBottom w:val="0"/>
              <w:divBdr>
                <w:top w:val="none" w:sz="0" w:space="0" w:color="auto"/>
                <w:left w:val="none" w:sz="0" w:space="0" w:color="auto"/>
                <w:bottom w:val="none" w:sz="0" w:space="0" w:color="auto"/>
                <w:right w:val="none" w:sz="0" w:space="0" w:color="auto"/>
              </w:divBdr>
            </w:div>
            <w:div w:id="239604580">
              <w:marLeft w:val="0"/>
              <w:marRight w:val="0"/>
              <w:marTop w:val="0"/>
              <w:marBottom w:val="0"/>
              <w:divBdr>
                <w:top w:val="none" w:sz="0" w:space="0" w:color="auto"/>
                <w:left w:val="none" w:sz="0" w:space="0" w:color="auto"/>
                <w:bottom w:val="none" w:sz="0" w:space="0" w:color="auto"/>
                <w:right w:val="none" w:sz="0" w:space="0" w:color="auto"/>
              </w:divBdr>
            </w:div>
            <w:div w:id="246692595">
              <w:marLeft w:val="0"/>
              <w:marRight w:val="0"/>
              <w:marTop w:val="0"/>
              <w:marBottom w:val="0"/>
              <w:divBdr>
                <w:top w:val="none" w:sz="0" w:space="0" w:color="auto"/>
                <w:left w:val="none" w:sz="0" w:space="0" w:color="auto"/>
                <w:bottom w:val="none" w:sz="0" w:space="0" w:color="auto"/>
                <w:right w:val="none" w:sz="0" w:space="0" w:color="auto"/>
              </w:divBdr>
            </w:div>
            <w:div w:id="278953715">
              <w:marLeft w:val="0"/>
              <w:marRight w:val="0"/>
              <w:marTop w:val="0"/>
              <w:marBottom w:val="0"/>
              <w:divBdr>
                <w:top w:val="none" w:sz="0" w:space="0" w:color="auto"/>
                <w:left w:val="none" w:sz="0" w:space="0" w:color="auto"/>
                <w:bottom w:val="none" w:sz="0" w:space="0" w:color="auto"/>
                <w:right w:val="none" w:sz="0" w:space="0" w:color="auto"/>
              </w:divBdr>
            </w:div>
            <w:div w:id="389353652">
              <w:marLeft w:val="0"/>
              <w:marRight w:val="0"/>
              <w:marTop w:val="0"/>
              <w:marBottom w:val="0"/>
              <w:divBdr>
                <w:top w:val="none" w:sz="0" w:space="0" w:color="auto"/>
                <w:left w:val="none" w:sz="0" w:space="0" w:color="auto"/>
                <w:bottom w:val="none" w:sz="0" w:space="0" w:color="auto"/>
                <w:right w:val="none" w:sz="0" w:space="0" w:color="auto"/>
              </w:divBdr>
            </w:div>
            <w:div w:id="400249082">
              <w:marLeft w:val="0"/>
              <w:marRight w:val="0"/>
              <w:marTop w:val="0"/>
              <w:marBottom w:val="0"/>
              <w:divBdr>
                <w:top w:val="none" w:sz="0" w:space="0" w:color="auto"/>
                <w:left w:val="none" w:sz="0" w:space="0" w:color="auto"/>
                <w:bottom w:val="none" w:sz="0" w:space="0" w:color="auto"/>
                <w:right w:val="none" w:sz="0" w:space="0" w:color="auto"/>
              </w:divBdr>
            </w:div>
            <w:div w:id="402533665">
              <w:marLeft w:val="0"/>
              <w:marRight w:val="0"/>
              <w:marTop w:val="0"/>
              <w:marBottom w:val="0"/>
              <w:divBdr>
                <w:top w:val="none" w:sz="0" w:space="0" w:color="auto"/>
                <w:left w:val="none" w:sz="0" w:space="0" w:color="auto"/>
                <w:bottom w:val="none" w:sz="0" w:space="0" w:color="auto"/>
                <w:right w:val="none" w:sz="0" w:space="0" w:color="auto"/>
              </w:divBdr>
            </w:div>
            <w:div w:id="477377729">
              <w:marLeft w:val="0"/>
              <w:marRight w:val="0"/>
              <w:marTop w:val="0"/>
              <w:marBottom w:val="0"/>
              <w:divBdr>
                <w:top w:val="none" w:sz="0" w:space="0" w:color="auto"/>
                <w:left w:val="none" w:sz="0" w:space="0" w:color="auto"/>
                <w:bottom w:val="none" w:sz="0" w:space="0" w:color="auto"/>
                <w:right w:val="none" w:sz="0" w:space="0" w:color="auto"/>
              </w:divBdr>
            </w:div>
            <w:div w:id="510487093">
              <w:marLeft w:val="0"/>
              <w:marRight w:val="0"/>
              <w:marTop w:val="0"/>
              <w:marBottom w:val="0"/>
              <w:divBdr>
                <w:top w:val="none" w:sz="0" w:space="0" w:color="auto"/>
                <w:left w:val="none" w:sz="0" w:space="0" w:color="auto"/>
                <w:bottom w:val="none" w:sz="0" w:space="0" w:color="auto"/>
                <w:right w:val="none" w:sz="0" w:space="0" w:color="auto"/>
              </w:divBdr>
              <w:divsChild>
                <w:div w:id="311952145">
                  <w:marLeft w:val="0"/>
                  <w:marRight w:val="0"/>
                  <w:marTop w:val="0"/>
                  <w:marBottom w:val="0"/>
                  <w:divBdr>
                    <w:top w:val="none" w:sz="0" w:space="0" w:color="auto"/>
                    <w:left w:val="none" w:sz="0" w:space="0" w:color="auto"/>
                    <w:bottom w:val="none" w:sz="0" w:space="0" w:color="auto"/>
                    <w:right w:val="none" w:sz="0" w:space="0" w:color="auto"/>
                  </w:divBdr>
                </w:div>
              </w:divsChild>
            </w:div>
            <w:div w:id="534001558">
              <w:marLeft w:val="0"/>
              <w:marRight w:val="0"/>
              <w:marTop w:val="0"/>
              <w:marBottom w:val="0"/>
              <w:divBdr>
                <w:top w:val="none" w:sz="0" w:space="0" w:color="auto"/>
                <w:left w:val="none" w:sz="0" w:space="0" w:color="auto"/>
                <w:bottom w:val="none" w:sz="0" w:space="0" w:color="auto"/>
                <w:right w:val="none" w:sz="0" w:space="0" w:color="auto"/>
              </w:divBdr>
            </w:div>
            <w:div w:id="534462422">
              <w:marLeft w:val="0"/>
              <w:marRight w:val="0"/>
              <w:marTop w:val="0"/>
              <w:marBottom w:val="0"/>
              <w:divBdr>
                <w:top w:val="none" w:sz="0" w:space="0" w:color="auto"/>
                <w:left w:val="none" w:sz="0" w:space="0" w:color="auto"/>
                <w:bottom w:val="none" w:sz="0" w:space="0" w:color="auto"/>
                <w:right w:val="none" w:sz="0" w:space="0" w:color="auto"/>
              </w:divBdr>
            </w:div>
            <w:div w:id="584802179">
              <w:marLeft w:val="0"/>
              <w:marRight w:val="0"/>
              <w:marTop w:val="0"/>
              <w:marBottom w:val="0"/>
              <w:divBdr>
                <w:top w:val="none" w:sz="0" w:space="0" w:color="auto"/>
                <w:left w:val="none" w:sz="0" w:space="0" w:color="auto"/>
                <w:bottom w:val="none" w:sz="0" w:space="0" w:color="auto"/>
                <w:right w:val="none" w:sz="0" w:space="0" w:color="auto"/>
              </w:divBdr>
            </w:div>
            <w:div w:id="594173161">
              <w:marLeft w:val="0"/>
              <w:marRight w:val="0"/>
              <w:marTop w:val="0"/>
              <w:marBottom w:val="0"/>
              <w:divBdr>
                <w:top w:val="none" w:sz="0" w:space="0" w:color="auto"/>
                <w:left w:val="none" w:sz="0" w:space="0" w:color="auto"/>
                <w:bottom w:val="none" w:sz="0" w:space="0" w:color="auto"/>
                <w:right w:val="none" w:sz="0" w:space="0" w:color="auto"/>
              </w:divBdr>
            </w:div>
            <w:div w:id="600841308">
              <w:marLeft w:val="0"/>
              <w:marRight w:val="0"/>
              <w:marTop w:val="0"/>
              <w:marBottom w:val="0"/>
              <w:divBdr>
                <w:top w:val="none" w:sz="0" w:space="0" w:color="auto"/>
                <w:left w:val="none" w:sz="0" w:space="0" w:color="auto"/>
                <w:bottom w:val="none" w:sz="0" w:space="0" w:color="auto"/>
                <w:right w:val="none" w:sz="0" w:space="0" w:color="auto"/>
              </w:divBdr>
            </w:div>
            <w:div w:id="610861692">
              <w:marLeft w:val="0"/>
              <w:marRight w:val="0"/>
              <w:marTop w:val="0"/>
              <w:marBottom w:val="0"/>
              <w:divBdr>
                <w:top w:val="none" w:sz="0" w:space="0" w:color="auto"/>
                <w:left w:val="none" w:sz="0" w:space="0" w:color="auto"/>
                <w:bottom w:val="none" w:sz="0" w:space="0" w:color="auto"/>
                <w:right w:val="none" w:sz="0" w:space="0" w:color="auto"/>
              </w:divBdr>
            </w:div>
            <w:div w:id="639305352">
              <w:marLeft w:val="0"/>
              <w:marRight w:val="0"/>
              <w:marTop w:val="0"/>
              <w:marBottom w:val="0"/>
              <w:divBdr>
                <w:top w:val="none" w:sz="0" w:space="0" w:color="auto"/>
                <w:left w:val="none" w:sz="0" w:space="0" w:color="auto"/>
                <w:bottom w:val="none" w:sz="0" w:space="0" w:color="auto"/>
                <w:right w:val="none" w:sz="0" w:space="0" w:color="auto"/>
              </w:divBdr>
            </w:div>
            <w:div w:id="654913807">
              <w:marLeft w:val="0"/>
              <w:marRight w:val="0"/>
              <w:marTop w:val="0"/>
              <w:marBottom w:val="0"/>
              <w:divBdr>
                <w:top w:val="none" w:sz="0" w:space="0" w:color="auto"/>
                <w:left w:val="none" w:sz="0" w:space="0" w:color="auto"/>
                <w:bottom w:val="none" w:sz="0" w:space="0" w:color="auto"/>
                <w:right w:val="none" w:sz="0" w:space="0" w:color="auto"/>
              </w:divBdr>
            </w:div>
            <w:div w:id="697241921">
              <w:marLeft w:val="0"/>
              <w:marRight w:val="0"/>
              <w:marTop w:val="0"/>
              <w:marBottom w:val="0"/>
              <w:divBdr>
                <w:top w:val="none" w:sz="0" w:space="0" w:color="auto"/>
                <w:left w:val="none" w:sz="0" w:space="0" w:color="auto"/>
                <w:bottom w:val="none" w:sz="0" w:space="0" w:color="auto"/>
                <w:right w:val="none" w:sz="0" w:space="0" w:color="auto"/>
              </w:divBdr>
            </w:div>
            <w:div w:id="758065105">
              <w:marLeft w:val="0"/>
              <w:marRight w:val="0"/>
              <w:marTop w:val="0"/>
              <w:marBottom w:val="0"/>
              <w:divBdr>
                <w:top w:val="none" w:sz="0" w:space="0" w:color="auto"/>
                <w:left w:val="none" w:sz="0" w:space="0" w:color="auto"/>
                <w:bottom w:val="none" w:sz="0" w:space="0" w:color="auto"/>
                <w:right w:val="none" w:sz="0" w:space="0" w:color="auto"/>
              </w:divBdr>
            </w:div>
            <w:div w:id="771169135">
              <w:marLeft w:val="0"/>
              <w:marRight w:val="0"/>
              <w:marTop w:val="0"/>
              <w:marBottom w:val="0"/>
              <w:divBdr>
                <w:top w:val="none" w:sz="0" w:space="0" w:color="auto"/>
                <w:left w:val="none" w:sz="0" w:space="0" w:color="auto"/>
                <w:bottom w:val="none" w:sz="0" w:space="0" w:color="auto"/>
                <w:right w:val="none" w:sz="0" w:space="0" w:color="auto"/>
              </w:divBdr>
            </w:div>
            <w:div w:id="887180464">
              <w:marLeft w:val="0"/>
              <w:marRight w:val="0"/>
              <w:marTop w:val="0"/>
              <w:marBottom w:val="0"/>
              <w:divBdr>
                <w:top w:val="none" w:sz="0" w:space="0" w:color="auto"/>
                <w:left w:val="none" w:sz="0" w:space="0" w:color="auto"/>
                <w:bottom w:val="none" w:sz="0" w:space="0" w:color="auto"/>
                <w:right w:val="none" w:sz="0" w:space="0" w:color="auto"/>
              </w:divBdr>
            </w:div>
            <w:div w:id="939143022">
              <w:marLeft w:val="0"/>
              <w:marRight w:val="0"/>
              <w:marTop w:val="0"/>
              <w:marBottom w:val="0"/>
              <w:divBdr>
                <w:top w:val="none" w:sz="0" w:space="0" w:color="auto"/>
                <w:left w:val="none" w:sz="0" w:space="0" w:color="auto"/>
                <w:bottom w:val="none" w:sz="0" w:space="0" w:color="auto"/>
                <w:right w:val="none" w:sz="0" w:space="0" w:color="auto"/>
              </w:divBdr>
            </w:div>
            <w:div w:id="969359508">
              <w:marLeft w:val="0"/>
              <w:marRight w:val="0"/>
              <w:marTop w:val="0"/>
              <w:marBottom w:val="0"/>
              <w:divBdr>
                <w:top w:val="none" w:sz="0" w:space="0" w:color="auto"/>
                <w:left w:val="none" w:sz="0" w:space="0" w:color="auto"/>
                <w:bottom w:val="none" w:sz="0" w:space="0" w:color="auto"/>
                <w:right w:val="none" w:sz="0" w:space="0" w:color="auto"/>
              </w:divBdr>
              <w:divsChild>
                <w:div w:id="1111515451">
                  <w:marLeft w:val="0"/>
                  <w:marRight w:val="0"/>
                  <w:marTop w:val="15"/>
                  <w:marBottom w:val="0"/>
                  <w:divBdr>
                    <w:top w:val="none" w:sz="0" w:space="0" w:color="auto"/>
                    <w:left w:val="none" w:sz="0" w:space="0" w:color="auto"/>
                    <w:bottom w:val="none" w:sz="0" w:space="0" w:color="auto"/>
                    <w:right w:val="none" w:sz="0" w:space="0" w:color="auto"/>
                  </w:divBdr>
                </w:div>
              </w:divsChild>
            </w:div>
            <w:div w:id="999503192">
              <w:marLeft w:val="0"/>
              <w:marRight w:val="0"/>
              <w:marTop w:val="0"/>
              <w:marBottom w:val="0"/>
              <w:divBdr>
                <w:top w:val="none" w:sz="0" w:space="0" w:color="auto"/>
                <w:left w:val="none" w:sz="0" w:space="0" w:color="auto"/>
                <w:bottom w:val="none" w:sz="0" w:space="0" w:color="auto"/>
                <w:right w:val="none" w:sz="0" w:space="0" w:color="auto"/>
              </w:divBdr>
            </w:div>
            <w:div w:id="1017731624">
              <w:marLeft w:val="0"/>
              <w:marRight w:val="0"/>
              <w:marTop w:val="0"/>
              <w:marBottom w:val="0"/>
              <w:divBdr>
                <w:top w:val="none" w:sz="0" w:space="0" w:color="auto"/>
                <w:left w:val="none" w:sz="0" w:space="0" w:color="auto"/>
                <w:bottom w:val="none" w:sz="0" w:space="0" w:color="auto"/>
                <w:right w:val="none" w:sz="0" w:space="0" w:color="auto"/>
              </w:divBdr>
            </w:div>
            <w:div w:id="1037849106">
              <w:marLeft w:val="0"/>
              <w:marRight w:val="0"/>
              <w:marTop w:val="0"/>
              <w:marBottom w:val="0"/>
              <w:divBdr>
                <w:top w:val="none" w:sz="0" w:space="0" w:color="auto"/>
                <w:left w:val="none" w:sz="0" w:space="0" w:color="auto"/>
                <w:bottom w:val="none" w:sz="0" w:space="0" w:color="auto"/>
                <w:right w:val="none" w:sz="0" w:space="0" w:color="auto"/>
              </w:divBdr>
            </w:div>
            <w:div w:id="1049645961">
              <w:marLeft w:val="0"/>
              <w:marRight w:val="0"/>
              <w:marTop w:val="0"/>
              <w:marBottom w:val="0"/>
              <w:divBdr>
                <w:top w:val="none" w:sz="0" w:space="0" w:color="auto"/>
                <w:left w:val="none" w:sz="0" w:space="0" w:color="auto"/>
                <w:bottom w:val="none" w:sz="0" w:space="0" w:color="auto"/>
                <w:right w:val="none" w:sz="0" w:space="0" w:color="auto"/>
              </w:divBdr>
            </w:div>
            <w:div w:id="1095856445">
              <w:marLeft w:val="0"/>
              <w:marRight w:val="0"/>
              <w:marTop w:val="0"/>
              <w:marBottom w:val="0"/>
              <w:divBdr>
                <w:top w:val="none" w:sz="0" w:space="0" w:color="auto"/>
                <w:left w:val="none" w:sz="0" w:space="0" w:color="auto"/>
                <w:bottom w:val="none" w:sz="0" w:space="0" w:color="auto"/>
                <w:right w:val="none" w:sz="0" w:space="0" w:color="auto"/>
              </w:divBdr>
            </w:div>
            <w:div w:id="1125779982">
              <w:marLeft w:val="0"/>
              <w:marRight w:val="0"/>
              <w:marTop w:val="0"/>
              <w:marBottom w:val="0"/>
              <w:divBdr>
                <w:top w:val="none" w:sz="0" w:space="0" w:color="auto"/>
                <w:left w:val="none" w:sz="0" w:space="0" w:color="auto"/>
                <w:bottom w:val="none" w:sz="0" w:space="0" w:color="auto"/>
                <w:right w:val="none" w:sz="0" w:space="0" w:color="auto"/>
              </w:divBdr>
            </w:div>
            <w:div w:id="1150292011">
              <w:marLeft w:val="0"/>
              <w:marRight w:val="0"/>
              <w:marTop w:val="0"/>
              <w:marBottom w:val="0"/>
              <w:divBdr>
                <w:top w:val="none" w:sz="0" w:space="0" w:color="auto"/>
                <w:left w:val="none" w:sz="0" w:space="0" w:color="auto"/>
                <w:bottom w:val="none" w:sz="0" w:space="0" w:color="auto"/>
                <w:right w:val="none" w:sz="0" w:space="0" w:color="auto"/>
              </w:divBdr>
            </w:div>
            <w:div w:id="1189290841">
              <w:marLeft w:val="0"/>
              <w:marRight w:val="0"/>
              <w:marTop w:val="0"/>
              <w:marBottom w:val="0"/>
              <w:divBdr>
                <w:top w:val="none" w:sz="0" w:space="0" w:color="auto"/>
                <w:left w:val="none" w:sz="0" w:space="0" w:color="auto"/>
                <w:bottom w:val="none" w:sz="0" w:space="0" w:color="auto"/>
                <w:right w:val="none" w:sz="0" w:space="0" w:color="auto"/>
              </w:divBdr>
            </w:div>
            <w:div w:id="1247880105">
              <w:marLeft w:val="0"/>
              <w:marRight w:val="0"/>
              <w:marTop w:val="0"/>
              <w:marBottom w:val="0"/>
              <w:divBdr>
                <w:top w:val="none" w:sz="0" w:space="0" w:color="auto"/>
                <w:left w:val="none" w:sz="0" w:space="0" w:color="auto"/>
                <w:bottom w:val="none" w:sz="0" w:space="0" w:color="auto"/>
                <w:right w:val="none" w:sz="0" w:space="0" w:color="auto"/>
              </w:divBdr>
            </w:div>
            <w:div w:id="1263226325">
              <w:marLeft w:val="0"/>
              <w:marRight w:val="0"/>
              <w:marTop w:val="0"/>
              <w:marBottom w:val="0"/>
              <w:divBdr>
                <w:top w:val="none" w:sz="0" w:space="0" w:color="auto"/>
                <w:left w:val="none" w:sz="0" w:space="0" w:color="auto"/>
                <w:bottom w:val="none" w:sz="0" w:space="0" w:color="auto"/>
                <w:right w:val="none" w:sz="0" w:space="0" w:color="auto"/>
              </w:divBdr>
            </w:div>
            <w:div w:id="1298341283">
              <w:marLeft w:val="0"/>
              <w:marRight w:val="0"/>
              <w:marTop w:val="0"/>
              <w:marBottom w:val="0"/>
              <w:divBdr>
                <w:top w:val="none" w:sz="0" w:space="0" w:color="auto"/>
                <w:left w:val="none" w:sz="0" w:space="0" w:color="auto"/>
                <w:bottom w:val="none" w:sz="0" w:space="0" w:color="auto"/>
                <w:right w:val="none" w:sz="0" w:space="0" w:color="auto"/>
              </w:divBdr>
            </w:div>
            <w:div w:id="1315138863">
              <w:marLeft w:val="0"/>
              <w:marRight w:val="0"/>
              <w:marTop w:val="0"/>
              <w:marBottom w:val="0"/>
              <w:divBdr>
                <w:top w:val="none" w:sz="0" w:space="0" w:color="auto"/>
                <w:left w:val="none" w:sz="0" w:space="0" w:color="auto"/>
                <w:bottom w:val="none" w:sz="0" w:space="0" w:color="auto"/>
                <w:right w:val="none" w:sz="0" w:space="0" w:color="auto"/>
              </w:divBdr>
            </w:div>
            <w:div w:id="1390957606">
              <w:marLeft w:val="0"/>
              <w:marRight w:val="0"/>
              <w:marTop w:val="0"/>
              <w:marBottom w:val="0"/>
              <w:divBdr>
                <w:top w:val="none" w:sz="0" w:space="0" w:color="auto"/>
                <w:left w:val="none" w:sz="0" w:space="0" w:color="auto"/>
                <w:bottom w:val="none" w:sz="0" w:space="0" w:color="auto"/>
                <w:right w:val="none" w:sz="0" w:space="0" w:color="auto"/>
              </w:divBdr>
            </w:div>
            <w:div w:id="1424690594">
              <w:marLeft w:val="0"/>
              <w:marRight w:val="0"/>
              <w:marTop w:val="0"/>
              <w:marBottom w:val="0"/>
              <w:divBdr>
                <w:top w:val="none" w:sz="0" w:space="0" w:color="auto"/>
                <w:left w:val="none" w:sz="0" w:space="0" w:color="auto"/>
                <w:bottom w:val="none" w:sz="0" w:space="0" w:color="auto"/>
                <w:right w:val="none" w:sz="0" w:space="0" w:color="auto"/>
              </w:divBdr>
            </w:div>
            <w:div w:id="1430350007">
              <w:marLeft w:val="0"/>
              <w:marRight w:val="0"/>
              <w:marTop w:val="0"/>
              <w:marBottom w:val="0"/>
              <w:divBdr>
                <w:top w:val="none" w:sz="0" w:space="0" w:color="auto"/>
                <w:left w:val="none" w:sz="0" w:space="0" w:color="auto"/>
                <w:bottom w:val="none" w:sz="0" w:space="0" w:color="auto"/>
                <w:right w:val="none" w:sz="0" w:space="0" w:color="auto"/>
              </w:divBdr>
            </w:div>
            <w:div w:id="1430389933">
              <w:marLeft w:val="0"/>
              <w:marRight w:val="0"/>
              <w:marTop w:val="0"/>
              <w:marBottom w:val="0"/>
              <w:divBdr>
                <w:top w:val="none" w:sz="0" w:space="0" w:color="auto"/>
                <w:left w:val="none" w:sz="0" w:space="0" w:color="auto"/>
                <w:bottom w:val="none" w:sz="0" w:space="0" w:color="auto"/>
                <w:right w:val="none" w:sz="0" w:space="0" w:color="auto"/>
              </w:divBdr>
            </w:div>
            <w:div w:id="1450736145">
              <w:marLeft w:val="0"/>
              <w:marRight w:val="0"/>
              <w:marTop w:val="0"/>
              <w:marBottom w:val="0"/>
              <w:divBdr>
                <w:top w:val="none" w:sz="0" w:space="0" w:color="auto"/>
                <w:left w:val="none" w:sz="0" w:space="0" w:color="auto"/>
                <w:bottom w:val="none" w:sz="0" w:space="0" w:color="auto"/>
                <w:right w:val="none" w:sz="0" w:space="0" w:color="auto"/>
              </w:divBdr>
            </w:div>
            <w:div w:id="1507666976">
              <w:marLeft w:val="0"/>
              <w:marRight w:val="0"/>
              <w:marTop w:val="0"/>
              <w:marBottom w:val="0"/>
              <w:divBdr>
                <w:top w:val="none" w:sz="0" w:space="0" w:color="auto"/>
                <w:left w:val="none" w:sz="0" w:space="0" w:color="auto"/>
                <w:bottom w:val="none" w:sz="0" w:space="0" w:color="auto"/>
                <w:right w:val="none" w:sz="0" w:space="0" w:color="auto"/>
              </w:divBdr>
            </w:div>
            <w:div w:id="1544635504">
              <w:marLeft w:val="0"/>
              <w:marRight w:val="0"/>
              <w:marTop w:val="0"/>
              <w:marBottom w:val="0"/>
              <w:divBdr>
                <w:top w:val="none" w:sz="0" w:space="0" w:color="auto"/>
                <w:left w:val="none" w:sz="0" w:space="0" w:color="auto"/>
                <w:bottom w:val="none" w:sz="0" w:space="0" w:color="auto"/>
                <w:right w:val="none" w:sz="0" w:space="0" w:color="auto"/>
              </w:divBdr>
            </w:div>
            <w:div w:id="1576160341">
              <w:marLeft w:val="0"/>
              <w:marRight w:val="0"/>
              <w:marTop w:val="0"/>
              <w:marBottom w:val="0"/>
              <w:divBdr>
                <w:top w:val="none" w:sz="0" w:space="0" w:color="auto"/>
                <w:left w:val="none" w:sz="0" w:space="0" w:color="auto"/>
                <w:bottom w:val="none" w:sz="0" w:space="0" w:color="auto"/>
                <w:right w:val="none" w:sz="0" w:space="0" w:color="auto"/>
              </w:divBdr>
            </w:div>
            <w:div w:id="1606108856">
              <w:marLeft w:val="0"/>
              <w:marRight w:val="0"/>
              <w:marTop w:val="0"/>
              <w:marBottom w:val="0"/>
              <w:divBdr>
                <w:top w:val="none" w:sz="0" w:space="0" w:color="auto"/>
                <w:left w:val="none" w:sz="0" w:space="0" w:color="auto"/>
                <w:bottom w:val="none" w:sz="0" w:space="0" w:color="auto"/>
                <w:right w:val="none" w:sz="0" w:space="0" w:color="auto"/>
              </w:divBdr>
            </w:div>
            <w:div w:id="1610775927">
              <w:marLeft w:val="0"/>
              <w:marRight w:val="0"/>
              <w:marTop w:val="0"/>
              <w:marBottom w:val="0"/>
              <w:divBdr>
                <w:top w:val="none" w:sz="0" w:space="0" w:color="auto"/>
                <w:left w:val="none" w:sz="0" w:space="0" w:color="auto"/>
                <w:bottom w:val="none" w:sz="0" w:space="0" w:color="auto"/>
                <w:right w:val="none" w:sz="0" w:space="0" w:color="auto"/>
              </w:divBdr>
            </w:div>
            <w:div w:id="1698849770">
              <w:marLeft w:val="0"/>
              <w:marRight w:val="0"/>
              <w:marTop w:val="0"/>
              <w:marBottom w:val="0"/>
              <w:divBdr>
                <w:top w:val="none" w:sz="0" w:space="0" w:color="auto"/>
                <w:left w:val="none" w:sz="0" w:space="0" w:color="auto"/>
                <w:bottom w:val="none" w:sz="0" w:space="0" w:color="auto"/>
                <w:right w:val="none" w:sz="0" w:space="0" w:color="auto"/>
              </w:divBdr>
            </w:div>
            <w:div w:id="1787459435">
              <w:marLeft w:val="0"/>
              <w:marRight w:val="0"/>
              <w:marTop w:val="0"/>
              <w:marBottom w:val="0"/>
              <w:divBdr>
                <w:top w:val="none" w:sz="0" w:space="0" w:color="auto"/>
                <w:left w:val="none" w:sz="0" w:space="0" w:color="auto"/>
                <w:bottom w:val="none" w:sz="0" w:space="0" w:color="auto"/>
                <w:right w:val="none" w:sz="0" w:space="0" w:color="auto"/>
              </w:divBdr>
            </w:div>
            <w:div w:id="1796749542">
              <w:marLeft w:val="0"/>
              <w:marRight w:val="0"/>
              <w:marTop w:val="0"/>
              <w:marBottom w:val="0"/>
              <w:divBdr>
                <w:top w:val="none" w:sz="0" w:space="0" w:color="auto"/>
                <w:left w:val="none" w:sz="0" w:space="0" w:color="auto"/>
                <w:bottom w:val="none" w:sz="0" w:space="0" w:color="auto"/>
                <w:right w:val="none" w:sz="0" w:space="0" w:color="auto"/>
              </w:divBdr>
            </w:div>
            <w:div w:id="1814714446">
              <w:marLeft w:val="0"/>
              <w:marRight w:val="0"/>
              <w:marTop w:val="0"/>
              <w:marBottom w:val="0"/>
              <w:divBdr>
                <w:top w:val="none" w:sz="0" w:space="0" w:color="auto"/>
                <w:left w:val="none" w:sz="0" w:space="0" w:color="auto"/>
                <w:bottom w:val="none" w:sz="0" w:space="0" w:color="auto"/>
                <w:right w:val="none" w:sz="0" w:space="0" w:color="auto"/>
              </w:divBdr>
            </w:div>
            <w:div w:id="1845969110">
              <w:marLeft w:val="0"/>
              <w:marRight w:val="0"/>
              <w:marTop w:val="0"/>
              <w:marBottom w:val="0"/>
              <w:divBdr>
                <w:top w:val="none" w:sz="0" w:space="0" w:color="auto"/>
                <w:left w:val="none" w:sz="0" w:space="0" w:color="auto"/>
                <w:bottom w:val="none" w:sz="0" w:space="0" w:color="auto"/>
                <w:right w:val="none" w:sz="0" w:space="0" w:color="auto"/>
              </w:divBdr>
            </w:div>
            <w:div w:id="1874806435">
              <w:marLeft w:val="0"/>
              <w:marRight w:val="0"/>
              <w:marTop w:val="0"/>
              <w:marBottom w:val="0"/>
              <w:divBdr>
                <w:top w:val="none" w:sz="0" w:space="0" w:color="auto"/>
                <w:left w:val="none" w:sz="0" w:space="0" w:color="auto"/>
                <w:bottom w:val="none" w:sz="0" w:space="0" w:color="auto"/>
                <w:right w:val="none" w:sz="0" w:space="0" w:color="auto"/>
              </w:divBdr>
            </w:div>
            <w:div w:id="1948809993">
              <w:marLeft w:val="0"/>
              <w:marRight w:val="0"/>
              <w:marTop w:val="0"/>
              <w:marBottom w:val="0"/>
              <w:divBdr>
                <w:top w:val="none" w:sz="0" w:space="0" w:color="auto"/>
                <w:left w:val="none" w:sz="0" w:space="0" w:color="auto"/>
                <w:bottom w:val="none" w:sz="0" w:space="0" w:color="auto"/>
                <w:right w:val="none" w:sz="0" w:space="0" w:color="auto"/>
              </w:divBdr>
            </w:div>
            <w:div w:id="1964798698">
              <w:marLeft w:val="0"/>
              <w:marRight w:val="0"/>
              <w:marTop w:val="0"/>
              <w:marBottom w:val="0"/>
              <w:divBdr>
                <w:top w:val="none" w:sz="0" w:space="0" w:color="auto"/>
                <w:left w:val="none" w:sz="0" w:space="0" w:color="auto"/>
                <w:bottom w:val="none" w:sz="0" w:space="0" w:color="auto"/>
                <w:right w:val="none" w:sz="0" w:space="0" w:color="auto"/>
              </w:divBdr>
            </w:div>
            <w:div w:id="2047944968">
              <w:marLeft w:val="0"/>
              <w:marRight w:val="0"/>
              <w:marTop w:val="0"/>
              <w:marBottom w:val="0"/>
              <w:divBdr>
                <w:top w:val="none" w:sz="0" w:space="0" w:color="auto"/>
                <w:left w:val="none" w:sz="0" w:space="0" w:color="auto"/>
                <w:bottom w:val="none" w:sz="0" w:space="0" w:color="auto"/>
                <w:right w:val="none" w:sz="0" w:space="0" w:color="auto"/>
              </w:divBdr>
            </w:div>
            <w:div w:id="2128349195">
              <w:marLeft w:val="0"/>
              <w:marRight w:val="0"/>
              <w:marTop w:val="0"/>
              <w:marBottom w:val="0"/>
              <w:divBdr>
                <w:top w:val="none" w:sz="0" w:space="0" w:color="auto"/>
                <w:left w:val="none" w:sz="0" w:space="0" w:color="auto"/>
                <w:bottom w:val="none" w:sz="0" w:space="0" w:color="auto"/>
                <w:right w:val="none" w:sz="0" w:space="0" w:color="auto"/>
              </w:divBdr>
            </w:div>
            <w:div w:id="2143186261">
              <w:marLeft w:val="0"/>
              <w:marRight w:val="0"/>
              <w:marTop w:val="0"/>
              <w:marBottom w:val="0"/>
              <w:divBdr>
                <w:top w:val="none" w:sz="0" w:space="0" w:color="auto"/>
                <w:left w:val="none" w:sz="0" w:space="0" w:color="auto"/>
                <w:bottom w:val="none" w:sz="0" w:space="0" w:color="auto"/>
                <w:right w:val="none" w:sz="0" w:space="0" w:color="auto"/>
              </w:divBdr>
            </w:div>
          </w:divsChild>
        </w:div>
        <w:div w:id="1934044841">
          <w:marLeft w:val="0"/>
          <w:marRight w:val="0"/>
          <w:marTop w:val="450"/>
          <w:marBottom w:val="0"/>
          <w:divBdr>
            <w:top w:val="none" w:sz="0" w:space="0" w:color="auto"/>
            <w:left w:val="none" w:sz="0" w:space="0" w:color="auto"/>
            <w:bottom w:val="none" w:sz="0" w:space="0" w:color="auto"/>
            <w:right w:val="none" w:sz="0" w:space="0" w:color="auto"/>
          </w:divBdr>
        </w:div>
      </w:divsChild>
    </w:div>
    <w:div w:id="302933578">
      <w:bodyDiv w:val="1"/>
      <w:marLeft w:val="0"/>
      <w:marRight w:val="0"/>
      <w:marTop w:val="0"/>
      <w:marBottom w:val="0"/>
      <w:divBdr>
        <w:top w:val="none" w:sz="0" w:space="0" w:color="auto"/>
        <w:left w:val="none" w:sz="0" w:space="0" w:color="auto"/>
        <w:bottom w:val="none" w:sz="0" w:space="0" w:color="auto"/>
        <w:right w:val="none" w:sz="0" w:space="0" w:color="auto"/>
      </w:divBdr>
    </w:div>
    <w:div w:id="367295721">
      <w:bodyDiv w:val="1"/>
      <w:marLeft w:val="0"/>
      <w:marRight w:val="0"/>
      <w:marTop w:val="0"/>
      <w:marBottom w:val="0"/>
      <w:divBdr>
        <w:top w:val="none" w:sz="0" w:space="0" w:color="auto"/>
        <w:left w:val="none" w:sz="0" w:space="0" w:color="auto"/>
        <w:bottom w:val="none" w:sz="0" w:space="0" w:color="auto"/>
        <w:right w:val="none" w:sz="0" w:space="0" w:color="auto"/>
      </w:divBdr>
    </w:div>
    <w:div w:id="368841205">
      <w:bodyDiv w:val="1"/>
      <w:marLeft w:val="0"/>
      <w:marRight w:val="0"/>
      <w:marTop w:val="0"/>
      <w:marBottom w:val="0"/>
      <w:divBdr>
        <w:top w:val="none" w:sz="0" w:space="0" w:color="auto"/>
        <w:left w:val="none" w:sz="0" w:space="0" w:color="auto"/>
        <w:bottom w:val="none" w:sz="0" w:space="0" w:color="auto"/>
        <w:right w:val="none" w:sz="0" w:space="0" w:color="auto"/>
      </w:divBdr>
    </w:div>
    <w:div w:id="442195311">
      <w:bodyDiv w:val="1"/>
      <w:marLeft w:val="0"/>
      <w:marRight w:val="0"/>
      <w:marTop w:val="0"/>
      <w:marBottom w:val="0"/>
      <w:divBdr>
        <w:top w:val="none" w:sz="0" w:space="0" w:color="auto"/>
        <w:left w:val="none" w:sz="0" w:space="0" w:color="auto"/>
        <w:bottom w:val="none" w:sz="0" w:space="0" w:color="auto"/>
        <w:right w:val="none" w:sz="0" w:space="0" w:color="auto"/>
      </w:divBdr>
    </w:div>
    <w:div w:id="551621643">
      <w:bodyDiv w:val="1"/>
      <w:marLeft w:val="0"/>
      <w:marRight w:val="0"/>
      <w:marTop w:val="0"/>
      <w:marBottom w:val="0"/>
      <w:divBdr>
        <w:top w:val="none" w:sz="0" w:space="0" w:color="auto"/>
        <w:left w:val="none" w:sz="0" w:space="0" w:color="auto"/>
        <w:bottom w:val="none" w:sz="0" w:space="0" w:color="auto"/>
        <w:right w:val="none" w:sz="0" w:space="0" w:color="auto"/>
      </w:divBdr>
      <w:divsChild>
        <w:div w:id="85616104">
          <w:marLeft w:val="0"/>
          <w:marRight w:val="0"/>
          <w:marTop w:val="0"/>
          <w:marBottom w:val="0"/>
          <w:divBdr>
            <w:top w:val="none" w:sz="0" w:space="0" w:color="auto"/>
            <w:left w:val="none" w:sz="0" w:space="0" w:color="auto"/>
            <w:bottom w:val="none" w:sz="0" w:space="0" w:color="auto"/>
            <w:right w:val="none" w:sz="0" w:space="0" w:color="auto"/>
          </w:divBdr>
        </w:div>
        <w:div w:id="1526558905">
          <w:marLeft w:val="0"/>
          <w:marRight w:val="0"/>
          <w:marTop w:val="0"/>
          <w:marBottom w:val="0"/>
          <w:divBdr>
            <w:top w:val="none" w:sz="0" w:space="0" w:color="auto"/>
            <w:left w:val="none" w:sz="0" w:space="0" w:color="auto"/>
            <w:bottom w:val="none" w:sz="0" w:space="0" w:color="auto"/>
            <w:right w:val="none" w:sz="0" w:space="0" w:color="auto"/>
          </w:divBdr>
        </w:div>
        <w:div w:id="1887182561">
          <w:marLeft w:val="0"/>
          <w:marRight w:val="0"/>
          <w:marTop w:val="0"/>
          <w:marBottom w:val="0"/>
          <w:divBdr>
            <w:top w:val="none" w:sz="0" w:space="0" w:color="auto"/>
            <w:left w:val="none" w:sz="0" w:space="0" w:color="auto"/>
            <w:bottom w:val="none" w:sz="0" w:space="0" w:color="auto"/>
            <w:right w:val="none" w:sz="0" w:space="0" w:color="auto"/>
          </w:divBdr>
          <w:divsChild>
            <w:div w:id="2114931036">
              <w:marLeft w:val="0"/>
              <w:marRight w:val="0"/>
              <w:marTop w:val="30"/>
              <w:marBottom w:val="30"/>
              <w:divBdr>
                <w:top w:val="none" w:sz="0" w:space="0" w:color="auto"/>
                <w:left w:val="none" w:sz="0" w:space="0" w:color="auto"/>
                <w:bottom w:val="none" w:sz="0" w:space="0" w:color="auto"/>
                <w:right w:val="none" w:sz="0" w:space="0" w:color="auto"/>
              </w:divBdr>
              <w:divsChild>
                <w:div w:id="2124109">
                  <w:marLeft w:val="0"/>
                  <w:marRight w:val="0"/>
                  <w:marTop w:val="0"/>
                  <w:marBottom w:val="0"/>
                  <w:divBdr>
                    <w:top w:val="none" w:sz="0" w:space="0" w:color="auto"/>
                    <w:left w:val="none" w:sz="0" w:space="0" w:color="auto"/>
                    <w:bottom w:val="none" w:sz="0" w:space="0" w:color="auto"/>
                    <w:right w:val="none" w:sz="0" w:space="0" w:color="auto"/>
                  </w:divBdr>
                  <w:divsChild>
                    <w:div w:id="2140176176">
                      <w:marLeft w:val="0"/>
                      <w:marRight w:val="0"/>
                      <w:marTop w:val="0"/>
                      <w:marBottom w:val="0"/>
                      <w:divBdr>
                        <w:top w:val="none" w:sz="0" w:space="0" w:color="auto"/>
                        <w:left w:val="none" w:sz="0" w:space="0" w:color="auto"/>
                        <w:bottom w:val="none" w:sz="0" w:space="0" w:color="auto"/>
                        <w:right w:val="none" w:sz="0" w:space="0" w:color="auto"/>
                      </w:divBdr>
                    </w:div>
                  </w:divsChild>
                </w:div>
                <w:div w:id="2245721">
                  <w:marLeft w:val="0"/>
                  <w:marRight w:val="0"/>
                  <w:marTop w:val="0"/>
                  <w:marBottom w:val="0"/>
                  <w:divBdr>
                    <w:top w:val="none" w:sz="0" w:space="0" w:color="auto"/>
                    <w:left w:val="none" w:sz="0" w:space="0" w:color="auto"/>
                    <w:bottom w:val="none" w:sz="0" w:space="0" w:color="auto"/>
                    <w:right w:val="none" w:sz="0" w:space="0" w:color="auto"/>
                  </w:divBdr>
                  <w:divsChild>
                    <w:div w:id="1569026383">
                      <w:marLeft w:val="0"/>
                      <w:marRight w:val="0"/>
                      <w:marTop w:val="0"/>
                      <w:marBottom w:val="0"/>
                      <w:divBdr>
                        <w:top w:val="none" w:sz="0" w:space="0" w:color="auto"/>
                        <w:left w:val="none" w:sz="0" w:space="0" w:color="auto"/>
                        <w:bottom w:val="none" w:sz="0" w:space="0" w:color="auto"/>
                        <w:right w:val="none" w:sz="0" w:space="0" w:color="auto"/>
                      </w:divBdr>
                    </w:div>
                  </w:divsChild>
                </w:div>
                <w:div w:id="3747275">
                  <w:marLeft w:val="0"/>
                  <w:marRight w:val="0"/>
                  <w:marTop w:val="0"/>
                  <w:marBottom w:val="0"/>
                  <w:divBdr>
                    <w:top w:val="none" w:sz="0" w:space="0" w:color="auto"/>
                    <w:left w:val="none" w:sz="0" w:space="0" w:color="auto"/>
                    <w:bottom w:val="none" w:sz="0" w:space="0" w:color="auto"/>
                    <w:right w:val="none" w:sz="0" w:space="0" w:color="auto"/>
                  </w:divBdr>
                  <w:divsChild>
                    <w:div w:id="243027279">
                      <w:marLeft w:val="0"/>
                      <w:marRight w:val="0"/>
                      <w:marTop w:val="0"/>
                      <w:marBottom w:val="0"/>
                      <w:divBdr>
                        <w:top w:val="none" w:sz="0" w:space="0" w:color="auto"/>
                        <w:left w:val="none" w:sz="0" w:space="0" w:color="auto"/>
                        <w:bottom w:val="none" w:sz="0" w:space="0" w:color="auto"/>
                        <w:right w:val="none" w:sz="0" w:space="0" w:color="auto"/>
                      </w:divBdr>
                    </w:div>
                  </w:divsChild>
                </w:div>
                <w:div w:id="10690747">
                  <w:marLeft w:val="0"/>
                  <w:marRight w:val="0"/>
                  <w:marTop w:val="0"/>
                  <w:marBottom w:val="0"/>
                  <w:divBdr>
                    <w:top w:val="none" w:sz="0" w:space="0" w:color="auto"/>
                    <w:left w:val="none" w:sz="0" w:space="0" w:color="auto"/>
                    <w:bottom w:val="none" w:sz="0" w:space="0" w:color="auto"/>
                    <w:right w:val="none" w:sz="0" w:space="0" w:color="auto"/>
                  </w:divBdr>
                  <w:divsChild>
                    <w:div w:id="1064067592">
                      <w:marLeft w:val="0"/>
                      <w:marRight w:val="0"/>
                      <w:marTop w:val="0"/>
                      <w:marBottom w:val="0"/>
                      <w:divBdr>
                        <w:top w:val="none" w:sz="0" w:space="0" w:color="auto"/>
                        <w:left w:val="none" w:sz="0" w:space="0" w:color="auto"/>
                        <w:bottom w:val="none" w:sz="0" w:space="0" w:color="auto"/>
                        <w:right w:val="none" w:sz="0" w:space="0" w:color="auto"/>
                      </w:divBdr>
                    </w:div>
                  </w:divsChild>
                </w:div>
                <w:div w:id="12584052">
                  <w:marLeft w:val="0"/>
                  <w:marRight w:val="0"/>
                  <w:marTop w:val="0"/>
                  <w:marBottom w:val="0"/>
                  <w:divBdr>
                    <w:top w:val="none" w:sz="0" w:space="0" w:color="auto"/>
                    <w:left w:val="none" w:sz="0" w:space="0" w:color="auto"/>
                    <w:bottom w:val="none" w:sz="0" w:space="0" w:color="auto"/>
                    <w:right w:val="none" w:sz="0" w:space="0" w:color="auto"/>
                  </w:divBdr>
                  <w:divsChild>
                    <w:div w:id="718169142">
                      <w:marLeft w:val="0"/>
                      <w:marRight w:val="0"/>
                      <w:marTop w:val="0"/>
                      <w:marBottom w:val="0"/>
                      <w:divBdr>
                        <w:top w:val="none" w:sz="0" w:space="0" w:color="auto"/>
                        <w:left w:val="none" w:sz="0" w:space="0" w:color="auto"/>
                        <w:bottom w:val="none" w:sz="0" w:space="0" w:color="auto"/>
                        <w:right w:val="none" w:sz="0" w:space="0" w:color="auto"/>
                      </w:divBdr>
                    </w:div>
                  </w:divsChild>
                </w:div>
                <w:div w:id="33771630">
                  <w:marLeft w:val="0"/>
                  <w:marRight w:val="0"/>
                  <w:marTop w:val="0"/>
                  <w:marBottom w:val="0"/>
                  <w:divBdr>
                    <w:top w:val="none" w:sz="0" w:space="0" w:color="auto"/>
                    <w:left w:val="none" w:sz="0" w:space="0" w:color="auto"/>
                    <w:bottom w:val="none" w:sz="0" w:space="0" w:color="auto"/>
                    <w:right w:val="none" w:sz="0" w:space="0" w:color="auto"/>
                  </w:divBdr>
                  <w:divsChild>
                    <w:div w:id="2067988957">
                      <w:marLeft w:val="0"/>
                      <w:marRight w:val="0"/>
                      <w:marTop w:val="0"/>
                      <w:marBottom w:val="0"/>
                      <w:divBdr>
                        <w:top w:val="none" w:sz="0" w:space="0" w:color="auto"/>
                        <w:left w:val="none" w:sz="0" w:space="0" w:color="auto"/>
                        <w:bottom w:val="none" w:sz="0" w:space="0" w:color="auto"/>
                        <w:right w:val="none" w:sz="0" w:space="0" w:color="auto"/>
                      </w:divBdr>
                    </w:div>
                  </w:divsChild>
                </w:div>
                <w:div w:id="46758838">
                  <w:marLeft w:val="0"/>
                  <w:marRight w:val="0"/>
                  <w:marTop w:val="0"/>
                  <w:marBottom w:val="0"/>
                  <w:divBdr>
                    <w:top w:val="none" w:sz="0" w:space="0" w:color="auto"/>
                    <w:left w:val="none" w:sz="0" w:space="0" w:color="auto"/>
                    <w:bottom w:val="none" w:sz="0" w:space="0" w:color="auto"/>
                    <w:right w:val="none" w:sz="0" w:space="0" w:color="auto"/>
                  </w:divBdr>
                  <w:divsChild>
                    <w:div w:id="279266262">
                      <w:marLeft w:val="0"/>
                      <w:marRight w:val="0"/>
                      <w:marTop w:val="0"/>
                      <w:marBottom w:val="0"/>
                      <w:divBdr>
                        <w:top w:val="none" w:sz="0" w:space="0" w:color="auto"/>
                        <w:left w:val="none" w:sz="0" w:space="0" w:color="auto"/>
                        <w:bottom w:val="none" w:sz="0" w:space="0" w:color="auto"/>
                        <w:right w:val="none" w:sz="0" w:space="0" w:color="auto"/>
                      </w:divBdr>
                    </w:div>
                  </w:divsChild>
                </w:div>
                <w:div w:id="60258890">
                  <w:marLeft w:val="0"/>
                  <w:marRight w:val="0"/>
                  <w:marTop w:val="0"/>
                  <w:marBottom w:val="0"/>
                  <w:divBdr>
                    <w:top w:val="none" w:sz="0" w:space="0" w:color="auto"/>
                    <w:left w:val="none" w:sz="0" w:space="0" w:color="auto"/>
                    <w:bottom w:val="none" w:sz="0" w:space="0" w:color="auto"/>
                    <w:right w:val="none" w:sz="0" w:space="0" w:color="auto"/>
                  </w:divBdr>
                  <w:divsChild>
                    <w:div w:id="1457681002">
                      <w:marLeft w:val="0"/>
                      <w:marRight w:val="0"/>
                      <w:marTop w:val="0"/>
                      <w:marBottom w:val="0"/>
                      <w:divBdr>
                        <w:top w:val="none" w:sz="0" w:space="0" w:color="auto"/>
                        <w:left w:val="none" w:sz="0" w:space="0" w:color="auto"/>
                        <w:bottom w:val="none" w:sz="0" w:space="0" w:color="auto"/>
                        <w:right w:val="none" w:sz="0" w:space="0" w:color="auto"/>
                      </w:divBdr>
                    </w:div>
                  </w:divsChild>
                </w:div>
                <w:div w:id="60442921">
                  <w:marLeft w:val="0"/>
                  <w:marRight w:val="0"/>
                  <w:marTop w:val="0"/>
                  <w:marBottom w:val="0"/>
                  <w:divBdr>
                    <w:top w:val="none" w:sz="0" w:space="0" w:color="auto"/>
                    <w:left w:val="none" w:sz="0" w:space="0" w:color="auto"/>
                    <w:bottom w:val="none" w:sz="0" w:space="0" w:color="auto"/>
                    <w:right w:val="none" w:sz="0" w:space="0" w:color="auto"/>
                  </w:divBdr>
                  <w:divsChild>
                    <w:div w:id="1318725131">
                      <w:marLeft w:val="0"/>
                      <w:marRight w:val="0"/>
                      <w:marTop w:val="0"/>
                      <w:marBottom w:val="0"/>
                      <w:divBdr>
                        <w:top w:val="none" w:sz="0" w:space="0" w:color="auto"/>
                        <w:left w:val="none" w:sz="0" w:space="0" w:color="auto"/>
                        <w:bottom w:val="none" w:sz="0" w:space="0" w:color="auto"/>
                        <w:right w:val="none" w:sz="0" w:space="0" w:color="auto"/>
                      </w:divBdr>
                    </w:div>
                  </w:divsChild>
                </w:div>
                <w:div w:id="62526947">
                  <w:marLeft w:val="0"/>
                  <w:marRight w:val="0"/>
                  <w:marTop w:val="0"/>
                  <w:marBottom w:val="0"/>
                  <w:divBdr>
                    <w:top w:val="none" w:sz="0" w:space="0" w:color="auto"/>
                    <w:left w:val="none" w:sz="0" w:space="0" w:color="auto"/>
                    <w:bottom w:val="none" w:sz="0" w:space="0" w:color="auto"/>
                    <w:right w:val="none" w:sz="0" w:space="0" w:color="auto"/>
                  </w:divBdr>
                  <w:divsChild>
                    <w:div w:id="1182403762">
                      <w:marLeft w:val="0"/>
                      <w:marRight w:val="0"/>
                      <w:marTop w:val="0"/>
                      <w:marBottom w:val="0"/>
                      <w:divBdr>
                        <w:top w:val="none" w:sz="0" w:space="0" w:color="auto"/>
                        <w:left w:val="none" w:sz="0" w:space="0" w:color="auto"/>
                        <w:bottom w:val="none" w:sz="0" w:space="0" w:color="auto"/>
                        <w:right w:val="none" w:sz="0" w:space="0" w:color="auto"/>
                      </w:divBdr>
                    </w:div>
                  </w:divsChild>
                </w:div>
                <w:div w:id="88163690">
                  <w:marLeft w:val="0"/>
                  <w:marRight w:val="0"/>
                  <w:marTop w:val="0"/>
                  <w:marBottom w:val="0"/>
                  <w:divBdr>
                    <w:top w:val="none" w:sz="0" w:space="0" w:color="auto"/>
                    <w:left w:val="none" w:sz="0" w:space="0" w:color="auto"/>
                    <w:bottom w:val="none" w:sz="0" w:space="0" w:color="auto"/>
                    <w:right w:val="none" w:sz="0" w:space="0" w:color="auto"/>
                  </w:divBdr>
                  <w:divsChild>
                    <w:div w:id="673076033">
                      <w:marLeft w:val="0"/>
                      <w:marRight w:val="0"/>
                      <w:marTop w:val="0"/>
                      <w:marBottom w:val="0"/>
                      <w:divBdr>
                        <w:top w:val="none" w:sz="0" w:space="0" w:color="auto"/>
                        <w:left w:val="none" w:sz="0" w:space="0" w:color="auto"/>
                        <w:bottom w:val="none" w:sz="0" w:space="0" w:color="auto"/>
                        <w:right w:val="none" w:sz="0" w:space="0" w:color="auto"/>
                      </w:divBdr>
                    </w:div>
                  </w:divsChild>
                </w:div>
                <w:div w:id="150954400">
                  <w:marLeft w:val="0"/>
                  <w:marRight w:val="0"/>
                  <w:marTop w:val="0"/>
                  <w:marBottom w:val="0"/>
                  <w:divBdr>
                    <w:top w:val="none" w:sz="0" w:space="0" w:color="auto"/>
                    <w:left w:val="none" w:sz="0" w:space="0" w:color="auto"/>
                    <w:bottom w:val="none" w:sz="0" w:space="0" w:color="auto"/>
                    <w:right w:val="none" w:sz="0" w:space="0" w:color="auto"/>
                  </w:divBdr>
                  <w:divsChild>
                    <w:div w:id="1793209331">
                      <w:marLeft w:val="0"/>
                      <w:marRight w:val="0"/>
                      <w:marTop w:val="0"/>
                      <w:marBottom w:val="0"/>
                      <w:divBdr>
                        <w:top w:val="none" w:sz="0" w:space="0" w:color="auto"/>
                        <w:left w:val="none" w:sz="0" w:space="0" w:color="auto"/>
                        <w:bottom w:val="none" w:sz="0" w:space="0" w:color="auto"/>
                        <w:right w:val="none" w:sz="0" w:space="0" w:color="auto"/>
                      </w:divBdr>
                    </w:div>
                  </w:divsChild>
                </w:div>
                <w:div w:id="185296487">
                  <w:marLeft w:val="0"/>
                  <w:marRight w:val="0"/>
                  <w:marTop w:val="0"/>
                  <w:marBottom w:val="0"/>
                  <w:divBdr>
                    <w:top w:val="none" w:sz="0" w:space="0" w:color="auto"/>
                    <w:left w:val="none" w:sz="0" w:space="0" w:color="auto"/>
                    <w:bottom w:val="none" w:sz="0" w:space="0" w:color="auto"/>
                    <w:right w:val="none" w:sz="0" w:space="0" w:color="auto"/>
                  </w:divBdr>
                  <w:divsChild>
                    <w:div w:id="851728417">
                      <w:marLeft w:val="0"/>
                      <w:marRight w:val="0"/>
                      <w:marTop w:val="0"/>
                      <w:marBottom w:val="0"/>
                      <w:divBdr>
                        <w:top w:val="none" w:sz="0" w:space="0" w:color="auto"/>
                        <w:left w:val="none" w:sz="0" w:space="0" w:color="auto"/>
                        <w:bottom w:val="none" w:sz="0" w:space="0" w:color="auto"/>
                        <w:right w:val="none" w:sz="0" w:space="0" w:color="auto"/>
                      </w:divBdr>
                    </w:div>
                  </w:divsChild>
                </w:div>
                <w:div w:id="188490052">
                  <w:marLeft w:val="0"/>
                  <w:marRight w:val="0"/>
                  <w:marTop w:val="0"/>
                  <w:marBottom w:val="0"/>
                  <w:divBdr>
                    <w:top w:val="none" w:sz="0" w:space="0" w:color="auto"/>
                    <w:left w:val="none" w:sz="0" w:space="0" w:color="auto"/>
                    <w:bottom w:val="none" w:sz="0" w:space="0" w:color="auto"/>
                    <w:right w:val="none" w:sz="0" w:space="0" w:color="auto"/>
                  </w:divBdr>
                  <w:divsChild>
                    <w:div w:id="2032753968">
                      <w:marLeft w:val="0"/>
                      <w:marRight w:val="0"/>
                      <w:marTop w:val="0"/>
                      <w:marBottom w:val="0"/>
                      <w:divBdr>
                        <w:top w:val="none" w:sz="0" w:space="0" w:color="auto"/>
                        <w:left w:val="none" w:sz="0" w:space="0" w:color="auto"/>
                        <w:bottom w:val="none" w:sz="0" w:space="0" w:color="auto"/>
                        <w:right w:val="none" w:sz="0" w:space="0" w:color="auto"/>
                      </w:divBdr>
                    </w:div>
                  </w:divsChild>
                </w:div>
                <w:div w:id="199241651">
                  <w:marLeft w:val="0"/>
                  <w:marRight w:val="0"/>
                  <w:marTop w:val="0"/>
                  <w:marBottom w:val="0"/>
                  <w:divBdr>
                    <w:top w:val="none" w:sz="0" w:space="0" w:color="auto"/>
                    <w:left w:val="none" w:sz="0" w:space="0" w:color="auto"/>
                    <w:bottom w:val="none" w:sz="0" w:space="0" w:color="auto"/>
                    <w:right w:val="none" w:sz="0" w:space="0" w:color="auto"/>
                  </w:divBdr>
                  <w:divsChild>
                    <w:div w:id="948463290">
                      <w:marLeft w:val="0"/>
                      <w:marRight w:val="0"/>
                      <w:marTop w:val="0"/>
                      <w:marBottom w:val="0"/>
                      <w:divBdr>
                        <w:top w:val="none" w:sz="0" w:space="0" w:color="auto"/>
                        <w:left w:val="none" w:sz="0" w:space="0" w:color="auto"/>
                        <w:bottom w:val="none" w:sz="0" w:space="0" w:color="auto"/>
                        <w:right w:val="none" w:sz="0" w:space="0" w:color="auto"/>
                      </w:divBdr>
                    </w:div>
                  </w:divsChild>
                </w:div>
                <w:div w:id="217059635">
                  <w:marLeft w:val="0"/>
                  <w:marRight w:val="0"/>
                  <w:marTop w:val="0"/>
                  <w:marBottom w:val="0"/>
                  <w:divBdr>
                    <w:top w:val="none" w:sz="0" w:space="0" w:color="auto"/>
                    <w:left w:val="none" w:sz="0" w:space="0" w:color="auto"/>
                    <w:bottom w:val="none" w:sz="0" w:space="0" w:color="auto"/>
                    <w:right w:val="none" w:sz="0" w:space="0" w:color="auto"/>
                  </w:divBdr>
                  <w:divsChild>
                    <w:div w:id="2125491094">
                      <w:marLeft w:val="0"/>
                      <w:marRight w:val="0"/>
                      <w:marTop w:val="0"/>
                      <w:marBottom w:val="0"/>
                      <w:divBdr>
                        <w:top w:val="none" w:sz="0" w:space="0" w:color="auto"/>
                        <w:left w:val="none" w:sz="0" w:space="0" w:color="auto"/>
                        <w:bottom w:val="none" w:sz="0" w:space="0" w:color="auto"/>
                        <w:right w:val="none" w:sz="0" w:space="0" w:color="auto"/>
                      </w:divBdr>
                    </w:div>
                  </w:divsChild>
                </w:div>
                <w:div w:id="218713750">
                  <w:marLeft w:val="0"/>
                  <w:marRight w:val="0"/>
                  <w:marTop w:val="0"/>
                  <w:marBottom w:val="0"/>
                  <w:divBdr>
                    <w:top w:val="none" w:sz="0" w:space="0" w:color="auto"/>
                    <w:left w:val="none" w:sz="0" w:space="0" w:color="auto"/>
                    <w:bottom w:val="none" w:sz="0" w:space="0" w:color="auto"/>
                    <w:right w:val="none" w:sz="0" w:space="0" w:color="auto"/>
                  </w:divBdr>
                  <w:divsChild>
                    <w:div w:id="684406748">
                      <w:marLeft w:val="0"/>
                      <w:marRight w:val="0"/>
                      <w:marTop w:val="0"/>
                      <w:marBottom w:val="0"/>
                      <w:divBdr>
                        <w:top w:val="none" w:sz="0" w:space="0" w:color="auto"/>
                        <w:left w:val="none" w:sz="0" w:space="0" w:color="auto"/>
                        <w:bottom w:val="none" w:sz="0" w:space="0" w:color="auto"/>
                        <w:right w:val="none" w:sz="0" w:space="0" w:color="auto"/>
                      </w:divBdr>
                    </w:div>
                  </w:divsChild>
                </w:div>
                <w:div w:id="226959589">
                  <w:marLeft w:val="0"/>
                  <w:marRight w:val="0"/>
                  <w:marTop w:val="0"/>
                  <w:marBottom w:val="0"/>
                  <w:divBdr>
                    <w:top w:val="none" w:sz="0" w:space="0" w:color="auto"/>
                    <w:left w:val="none" w:sz="0" w:space="0" w:color="auto"/>
                    <w:bottom w:val="none" w:sz="0" w:space="0" w:color="auto"/>
                    <w:right w:val="none" w:sz="0" w:space="0" w:color="auto"/>
                  </w:divBdr>
                  <w:divsChild>
                    <w:div w:id="2111775873">
                      <w:marLeft w:val="0"/>
                      <w:marRight w:val="0"/>
                      <w:marTop w:val="0"/>
                      <w:marBottom w:val="0"/>
                      <w:divBdr>
                        <w:top w:val="none" w:sz="0" w:space="0" w:color="auto"/>
                        <w:left w:val="none" w:sz="0" w:space="0" w:color="auto"/>
                        <w:bottom w:val="none" w:sz="0" w:space="0" w:color="auto"/>
                        <w:right w:val="none" w:sz="0" w:space="0" w:color="auto"/>
                      </w:divBdr>
                    </w:div>
                  </w:divsChild>
                </w:div>
                <w:div w:id="252203207">
                  <w:marLeft w:val="0"/>
                  <w:marRight w:val="0"/>
                  <w:marTop w:val="0"/>
                  <w:marBottom w:val="0"/>
                  <w:divBdr>
                    <w:top w:val="none" w:sz="0" w:space="0" w:color="auto"/>
                    <w:left w:val="none" w:sz="0" w:space="0" w:color="auto"/>
                    <w:bottom w:val="none" w:sz="0" w:space="0" w:color="auto"/>
                    <w:right w:val="none" w:sz="0" w:space="0" w:color="auto"/>
                  </w:divBdr>
                  <w:divsChild>
                    <w:div w:id="2001884710">
                      <w:marLeft w:val="0"/>
                      <w:marRight w:val="0"/>
                      <w:marTop w:val="0"/>
                      <w:marBottom w:val="0"/>
                      <w:divBdr>
                        <w:top w:val="none" w:sz="0" w:space="0" w:color="auto"/>
                        <w:left w:val="none" w:sz="0" w:space="0" w:color="auto"/>
                        <w:bottom w:val="none" w:sz="0" w:space="0" w:color="auto"/>
                        <w:right w:val="none" w:sz="0" w:space="0" w:color="auto"/>
                      </w:divBdr>
                    </w:div>
                  </w:divsChild>
                </w:div>
                <w:div w:id="258147968">
                  <w:marLeft w:val="0"/>
                  <w:marRight w:val="0"/>
                  <w:marTop w:val="0"/>
                  <w:marBottom w:val="0"/>
                  <w:divBdr>
                    <w:top w:val="none" w:sz="0" w:space="0" w:color="auto"/>
                    <w:left w:val="none" w:sz="0" w:space="0" w:color="auto"/>
                    <w:bottom w:val="none" w:sz="0" w:space="0" w:color="auto"/>
                    <w:right w:val="none" w:sz="0" w:space="0" w:color="auto"/>
                  </w:divBdr>
                  <w:divsChild>
                    <w:div w:id="1320769809">
                      <w:marLeft w:val="0"/>
                      <w:marRight w:val="0"/>
                      <w:marTop w:val="0"/>
                      <w:marBottom w:val="0"/>
                      <w:divBdr>
                        <w:top w:val="none" w:sz="0" w:space="0" w:color="auto"/>
                        <w:left w:val="none" w:sz="0" w:space="0" w:color="auto"/>
                        <w:bottom w:val="none" w:sz="0" w:space="0" w:color="auto"/>
                        <w:right w:val="none" w:sz="0" w:space="0" w:color="auto"/>
                      </w:divBdr>
                    </w:div>
                  </w:divsChild>
                </w:div>
                <w:div w:id="266159271">
                  <w:marLeft w:val="0"/>
                  <w:marRight w:val="0"/>
                  <w:marTop w:val="0"/>
                  <w:marBottom w:val="0"/>
                  <w:divBdr>
                    <w:top w:val="none" w:sz="0" w:space="0" w:color="auto"/>
                    <w:left w:val="none" w:sz="0" w:space="0" w:color="auto"/>
                    <w:bottom w:val="none" w:sz="0" w:space="0" w:color="auto"/>
                    <w:right w:val="none" w:sz="0" w:space="0" w:color="auto"/>
                  </w:divBdr>
                  <w:divsChild>
                    <w:div w:id="1854958310">
                      <w:marLeft w:val="0"/>
                      <w:marRight w:val="0"/>
                      <w:marTop w:val="0"/>
                      <w:marBottom w:val="0"/>
                      <w:divBdr>
                        <w:top w:val="none" w:sz="0" w:space="0" w:color="auto"/>
                        <w:left w:val="none" w:sz="0" w:space="0" w:color="auto"/>
                        <w:bottom w:val="none" w:sz="0" w:space="0" w:color="auto"/>
                        <w:right w:val="none" w:sz="0" w:space="0" w:color="auto"/>
                      </w:divBdr>
                    </w:div>
                  </w:divsChild>
                </w:div>
                <w:div w:id="275450648">
                  <w:marLeft w:val="0"/>
                  <w:marRight w:val="0"/>
                  <w:marTop w:val="0"/>
                  <w:marBottom w:val="0"/>
                  <w:divBdr>
                    <w:top w:val="none" w:sz="0" w:space="0" w:color="auto"/>
                    <w:left w:val="none" w:sz="0" w:space="0" w:color="auto"/>
                    <w:bottom w:val="none" w:sz="0" w:space="0" w:color="auto"/>
                    <w:right w:val="none" w:sz="0" w:space="0" w:color="auto"/>
                  </w:divBdr>
                  <w:divsChild>
                    <w:div w:id="396518030">
                      <w:marLeft w:val="0"/>
                      <w:marRight w:val="0"/>
                      <w:marTop w:val="0"/>
                      <w:marBottom w:val="0"/>
                      <w:divBdr>
                        <w:top w:val="none" w:sz="0" w:space="0" w:color="auto"/>
                        <w:left w:val="none" w:sz="0" w:space="0" w:color="auto"/>
                        <w:bottom w:val="none" w:sz="0" w:space="0" w:color="auto"/>
                        <w:right w:val="none" w:sz="0" w:space="0" w:color="auto"/>
                      </w:divBdr>
                    </w:div>
                  </w:divsChild>
                </w:div>
                <w:div w:id="277689031">
                  <w:marLeft w:val="0"/>
                  <w:marRight w:val="0"/>
                  <w:marTop w:val="0"/>
                  <w:marBottom w:val="0"/>
                  <w:divBdr>
                    <w:top w:val="none" w:sz="0" w:space="0" w:color="auto"/>
                    <w:left w:val="none" w:sz="0" w:space="0" w:color="auto"/>
                    <w:bottom w:val="none" w:sz="0" w:space="0" w:color="auto"/>
                    <w:right w:val="none" w:sz="0" w:space="0" w:color="auto"/>
                  </w:divBdr>
                  <w:divsChild>
                    <w:div w:id="391083630">
                      <w:marLeft w:val="0"/>
                      <w:marRight w:val="0"/>
                      <w:marTop w:val="0"/>
                      <w:marBottom w:val="0"/>
                      <w:divBdr>
                        <w:top w:val="none" w:sz="0" w:space="0" w:color="auto"/>
                        <w:left w:val="none" w:sz="0" w:space="0" w:color="auto"/>
                        <w:bottom w:val="none" w:sz="0" w:space="0" w:color="auto"/>
                        <w:right w:val="none" w:sz="0" w:space="0" w:color="auto"/>
                      </w:divBdr>
                    </w:div>
                  </w:divsChild>
                </w:div>
                <w:div w:id="277760374">
                  <w:marLeft w:val="0"/>
                  <w:marRight w:val="0"/>
                  <w:marTop w:val="0"/>
                  <w:marBottom w:val="0"/>
                  <w:divBdr>
                    <w:top w:val="none" w:sz="0" w:space="0" w:color="auto"/>
                    <w:left w:val="none" w:sz="0" w:space="0" w:color="auto"/>
                    <w:bottom w:val="none" w:sz="0" w:space="0" w:color="auto"/>
                    <w:right w:val="none" w:sz="0" w:space="0" w:color="auto"/>
                  </w:divBdr>
                  <w:divsChild>
                    <w:div w:id="1429887403">
                      <w:marLeft w:val="0"/>
                      <w:marRight w:val="0"/>
                      <w:marTop w:val="0"/>
                      <w:marBottom w:val="0"/>
                      <w:divBdr>
                        <w:top w:val="none" w:sz="0" w:space="0" w:color="auto"/>
                        <w:left w:val="none" w:sz="0" w:space="0" w:color="auto"/>
                        <w:bottom w:val="none" w:sz="0" w:space="0" w:color="auto"/>
                        <w:right w:val="none" w:sz="0" w:space="0" w:color="auto"/>
                      </w:divBdr>
                    </w:div>
                  </w:divsChild>
                </w:div>
                <w:div w:id="291255331">
                  <w:marLeft w:val="0"/>
                  <w:marRight w:val="0"/>
                  <w:marTop w:val="0"/>
                  <w:marBottom w:val="0"/>
                  <w:divBdr>
                    <w:top w:val="none" w:sz="0" w:space="0" w:color="auto"/>
                    <w:left w:val="none" w:sz="0" w:space="0" w:color="auto"/>
                    <w:bottom w:val="none" w:sz="0" w:space="0" w:color="auto"/>
                    <w:right w:val="none" w:sz="0" w:space="0" w:color="auto"/>
                  </w:divBdr>
                  <w:divsChild>
                    <w:div w:id="505287648">
                      <w:marLeft w:val="0"/>
                      <w:marRight w:val="0"/>
                      <w:marTop w:val="0"/>
                      <w:marBottom w:val="0"/>
                      <w:divBdr>
                        <w:top w:val="none" w:sz="0" w:space="0" w:color="auto"/>
                        <w:left w:val="none" w:sz="0" w:space="0" w:color="auto"/>
                        <w:bottom w:val="none" w:sz="0" w:space="0" w:color="auto"/>
                        <w:right w:val="none" w:sz="0" w:space="0" w:color="auto"/>
                      </w:divBdr>
                    </w:div>
                  </w:divsChild>
                </w:div>
                <w:div w:id="297540862">
                  <w:marLeft w:val="0"/>
                  <w:marRight w:val="0"/>
                  <w:marTop w:val="0"/>
                  <w:marBottom w:val="0"/>
                  <w:divBdr>
                    <w:top w:val="none" w:sz="0" w:space="0" w:color="auto"/>
                    <w:left w:val="none" w:sz="0" w:space="0" w:color="auto"/>
                    <w:bottom w:val="none" w:sz="0" w:space="0" w:color="auto"/>
                    <w:right w:val="none" w:sz="0" w:space="0" w:color="auto"/>
                  </w:divBdr>
                  <w:divsChild>
                    <w:div w:id="1621454359">
                      <w:marLeft w:val="0"/>
                      <w:marRight w:val="0"/>
                      <w:marTop w:val="0"/>
                      <w:marBottom w:val="0"/>
                      <w:divBdr>
                        <w:top w:val="none" w:sz="0" w:space="0" w:color="auto"/>
                        <w:left w:val="none" w:sz="0" w:space="0" w:color="auto"/>
                        <w:bottom w:val="none" w:sz="0" w:space="0" w:color="auto"/>
                        <w:right w:val="none" w:sz="0" w:space="0" w:color="auto"/>
                      </w:divBdr>
                    </w:div>
                  </w:divsChild>
                </w:div>
                <w:div w:id="299002432">
                  <w:marLeft w:val="0"/>
                  <w:marRight w:val="0"/>
                  <w:marTop w:val="0"/>
                  <w:marBottom w:val="0"/>
                  <w:divBdr>
                    <w:top w:val="none" w:sz="0" w:space="0" w:color="auto"/>
                    <w:left w:val="none" w:sz="0" w:space="0" w:color="auto"/>
                    <w:bottom w:val="none" w:sz="0" w:space="0" w:color="auto"/>
                    <w:right w:val="none" w:sz="0" w:space="0" w:color="auto"/>
                  </w:divBdr>
                  <w:divsChild>
                    <w:div w:id="533269245">
                      <w:marLeft w:val="0"/>
                      <w:marRight w:val="0"/>
                      <w:marTop w:val="0"/>
                      <w:marBottom w:val="0"/>
                      <w:divBdr>
                        <w:top w:val="none" w:sz="0" w:space="0" w:color="auto"/>
                        <w:left w:val="none" w:sz="0" w:space="0" w:color="auto"/>
                        <w:bottom w:val="none" w:sz="0" w:space="0" w:color="auto"/>
                        <w:right w:val="none" w:sz="0" w:space="0" w:color="auto"/>
                      </w:divBdr>
                    </w:div>
                  </w:divsChild>
                </w:div>
                <w:div w:id="301346934">
                  <w:marLeft w:val="0"/>
                  <w:marRight w:val="0"/>
                  <w:marTop w:val="0"/>
                  <w:marBottom w:val="0"/>
                  <w:divBdr>
                    <w:top w:val="none" w:sz="0" w:space="0" w:color="auto"/>
                    <w:left w:val="none" w:sz="0" w:space="0" w:color="auto"/>
                    <w:bottom w:val="none" w:sz="0" w:space="0" w:color="auto"/>
                    <w:right w:val="none" w:sz="0" w:space="0" w:color="auto"/>
                  </w:divBdr>
                  <w:divsChild>
                    <w:div w:id="922953768">
                      <w:marLeft w:val="0"/>
                      <w:marRight w:val="0"/>
                      <w:marTop w:val="0"/>
                      <w:marBottom w:val="0"/>
                      <w:divBdr>
                        <w:top w:val="none" w:sz="0" w:space="0" w:color="auto"/>
                        <w:left w:val="none" w:sz="0" w:space="0" w:color="auto"/>
                        <w:bottom w:val="none" w:sz="0" w:space="0" w:color="auto"/>
                        <w:right w:val="none" w:sz="0" w:space="0" w:color="auto"/>
                      </w:divBdr>
                    </w:div>
                  </w:divsChild>
                </w:div>
                <w:div w:id="348483320">
                  <w:marLeft w:val="0"/>
                  <w:marRight w:val="0"/>
                  <w:marTop w:val="0"/>
                  <w:marBottom w:val="0"/>
                  <w:divBdr>
                    <w:top w:val="none" w:sz="0" w:space="0" w:color="auto"/>
                    <w:left w:val="none" w:sz="0" w:space="0" w:color="auto"/>
                    <w:bottom w:val="none" w:sz="0" w:space="0" w:color="auto"/>
                    <w:right w:val="none" w:sz="0" w:space="0" w:color="auto"/>
                  </w:divBdr>
                  <w:divsChild>
                    <w:div w:id="2103060653">
                      <w:marLeft w:val="0"/>
                      <w:marRight w:val="0"/>
                      <w:marTop w:val="0"/>
                      <w:marBottom w:val="0"/>
                      <w:divBdr>
                        <w:top w:val="none" w:sz="0" w:space="0" w:color="auto"/>
                        <w:left w:val="none" w:sz="0" w:space="0" w:color="auto"/>
                        <w:bottom w:val="none" w:sz="0" w:space="0" w:color="auto"/>
                        <w:right w:val="none" w:sz="0" w:space="0" w:color="auto"/>
                      </w:divBdr>
                    </w:div>
                  </w:divsChild>
                </w:div>
                <w:div w:id="363410832">
                  <w:marLeft w:val="0"/>
                  <w:marRight w:val="0"/>
                  <w:marTop w:val="0"/>
                  <w:marBottom w:val="0"/>
                  <w:divBdr>
                    <w:top w:val="none" w:sz="0" w:space="0" w:color="auto"/>
                    <w:left w:val="none" w:sz="0" w:space="0" w:color="auto"/>
                    <w:bottom w:val="none" w:sz="0" w:space="0" w:color="auto"/>
                    <w:right w:val="none" w:sz="0" w:space="0" w:color="auto"/>
                  </w:divBdr>
                  <w:divsChild>
                    <w:div w:id="1686790295">
                      <w:marLeft w:val="0"/>
                      <w:marRight w:val="0"/>
                      <w:marTop w:val="0"/>
                      <w:marBottom w:val="0"/>
                      <w:divBdr>
                        <w:top w:val="none" w:sz="0" w:space="0" w:color="auto"/>
                        <w:left w:val="none" w:sz="0" w:space="0" w:color="auto"/>
                        <w:bottom w:val="none" w:sz="0" w:space="0" w:color="auto"/>
                        <w:right w:val="none" w:sz="0" w:space="0" w:color="auto"/>
                      </w:divBdr>
                    </w:div>
                  </w:divsChild>
                </w:div>
                <w:div w:id="369190654">
                  <w:marLeft w:val="0"/>
                  <w:marRight w:val="0"/>
                  <w:marTop w:val="0"/>
                  <w:marBottom w:val="0"/>
                  <w:divBdr>
                    <w:top w:val="none" w:sz="0" w:space="0" w:color="auto"/>
                    <w:left w:val="none" w:sz="0" w:space="0" w:color="auto"/>
                    <w:bottom w:val="none" w:sz="0" w:space="0" w:color="auto"/>
                    <w:right w:val="none" w:sz="0" w:space="0" w:color="auto"/>
                  </w:divBdr>
                  <w:divsChild>
                    <w:div w:id="1116872436">
                      <w:marLeft w:val="0"/>
                      <w:marRight w:val="0"/>
                      <w:marTop w:val="0"/>
                      <w:marBottom w:val="0"/>
                      <w:divBdr>
                        <w:top w:val="none" w:sz="0" w:space="0" w:color="auto"/>
                        <w:left w:val="none" w:sz="0" w:space="0" w:color="auto"/>
                        <w:bottom w:val="none" w:sz="0" w:space="0" w:color="auto"/>
                        <w:right w:val="none" w:sz="0" w:space="0" w:color="auto"/>
                      </w:divBdr>
                    </w:div>
                  </w:divsChild>
                </w:div>
                <w:div w:id="393436663">
                  <w:marLeft w:val="0"/>
                  <w:marRight w:val="0"/>
                  <w:marTop w:val="0"/>
                  <w:marBottom w:val="0"/>
                  <w:divBdr>
                    <w:top w:val="none" w:sz="0" w:space="0" w:color="auto"/>
                    <w:left w:val="none" w:sz="0" w:space="0" w:color="auto"/>
                    <w:bottom w:val="none" w:sz="0" w:space="0" w:color="auto"/>
                    <w:right w:val="none" w:sz="0" w:space="0" w:color="auto"/>
                  </w:divBdr>
                  <w:divsChild>
                    <w:div w:id="1878661626">
                      <w:marLeft w:val="0"/>
                      <w:marRight w:val="0"/>
                      <w:marTop w:val="0"/>
                      <w:marBottom w:val="0"/>
                      <w:divBdr>
                        <w:top w:val="none" w:sz="0" w:space="0" w:color="auto"/>
                        <w:left w:val="none" w:sz="0" w:space="0" w:color="auto"/>
                        <w:bottom w:val="none" w:sz="0" w:space="0" w:color="auto"/>
                        <w:right w:val="none" w:sz="0" w:space="0" w:color="auto"/>
                      </w:divBdr>
                    </w:div>
                  </w:divsChild>
                </w:div>
                <w:div w:id="436021060">
                  <w:marLeft w:val="0"/>
                  <w:marRight w:val="0"/>
                  <w:marTop w:val="0"/>
                  <w:marBottom w:val="0"/>
                  <w:divBdr>
                    <w:top w:val="none" w:sz="0" w:space="0" w:color="auto"/>
                    <w:left w:val="none" w:sz="0" w:space="0" w:color="auto"/>
                    <w:bottom w:val="none" w:sz="0" w:space="0" w:color="auto"/>
                    <w:right w:val="none" w:sz="0" w:space="0" w:color="auto"/>
                  </w:divBdr>
                  <w:divsChild>
                    <w:div w:id="712121356">
                      <w:marLeft w:val="0"/>
                      <w:marRight w:val="0"/>
                      <w:marTop w:val="0"/>
                      <w:marBottom w:val="0"/>
                      <w:divBdr>
                        <w:top w:val="none" w:sz="0" w:space="0" w:color="auto"/>
                        <w:left w:val="none" w:sz="0" w:space="0" w:color="auto"/>
                        <w:bottom w:val="none" w:sz="0" w:space="0" w:color="auto"/>
                        <w:right w:val="none" w:sz="0" w:space="0" w:color="auto"/>
                      </w:divBdr>
                    </w:div>
                  </w:divsChild>
                </w:div>
                <w:div w:id="467745614">
                  <w:marLeft w:val="0"/>
                  <w:marRight w:val="0"/>
                  <w:marTop w:val="0"/>
                  <w:marBottom w:val="0"/>
                  <w:divBdr>
                    <w:top w:val="none" w:sz="0" w:space="0" w:color="auto"/>
                    <w:left w:val="none" w:sz="0" w:space="0" w:color="auto"/>
                    <w:bottom w:val="none" w:sz="0" w:space="0" w:color="auto"/>
                    <w:right w:val="none" w:sz="0" w:space="0" w:color="auto"/>
                  </w:divBdr>
                  <w:divsChild>
                    <w:div w:id="1713269444">
                      <w:marLeft w:val="0"/>
                      <w:marRight w:val="0"/>
                      <w:marTop w:val="0"/>
                      <w:marBottom w:val="0"/>
                      <w:divBdr>
                        <w:top w:val="none" w:sz="0" w:space="0" w:color="auto"/>
                        <w:left w:val="none" w:sz="0" w:space="0" w:color="auto"/>
                        <w:bottom w:val="none" w:sz="0" w:space="0" w:color="auto"/>
                        <w:right w:val="none" w:sz="0" w:space="0" w:color="auto"/>
                      </w:divBdr>
                    </w:div>
                  </w:divsChild>
                </w:div>
                <w:div w:id="485169042">
                  <w:marLeft w:val="0"/>
                  <w:marRight w:val="0"/>
                  <w:marTop w:val="0"/>
                  <w:marBottom w:val="0"/>
                  <w:divBdr>
                    <w:top w:val="none" w:sz="0" w:space="0" w:color="auto"/>
                    <w:left w:val="none" w:sz="0" w:space="0" w:color="auto"/>
                    <w:bottom w:val="none" w:sz="0" w:space="0" w:color="auto"/>
                    <w:right w:val="none" w:sz="0" w:space="0" w:color="auto"/>
                  </w:divBdr>
                  <w:divsChild>
                    <w:div w:id="1981956748">
                      <w:marLeft w:val="0"/>
                      <w:marRight w:val="0"/>
                      <w:marTop w:val="0"/>
                      <w:marBottom w:val="0"/>
                      <w:divBdr>
                        <w:top w:val="none" w:sz="0" w:space="0" w:color="auto"/>
                        <w:left w:val="none" w:sz="0" w:space="0" w:color="auto"/>
                        <w:bottom w:val="none" w:sz="0" w:space="0" w:color="auto"/>
                        <w:right w:val="none" w:sz="0" w:space="0" w:color="auto"/>
                      </w:divBdr>
                    </w:div>
                  </w:divsChild>
                </w:div>
                <w:div w:id="491723109">
                  <w:marLeft w:val="0"/>
                  <w:marRight w:val="0"/>
                  <w:marTop w:val="0"/>
                  <w:marBottom w:val="0"/>
                  <w:divBdr>
                    <w:top w:val="none" w:sz="0" w:space="0" w:color="auto"/>
                    <w:left w:val="none" w:sz="0" w:space="0" w:color="auto"/>
                    <w:bottom w:val="none" w:sz="0" w:space="0" w:color="auto"/>
                    <w:right w:val="none" w:sz="0" w:space="0" w:color="auto"/>
                  </w:divBdr>
                  <w:divsChild>
                    <w:div w:id="413672291">
                      <w:marLeft w:val="0"/>
                      <w:marRight w:val="0"/>
                      <w:marTop w:val="0"/>
                      <w:marBottom w:val="0"/>
                      <w:divBdr>
                        <w:top w:val="none" w:sz="0" w:space="0" w:color="auto"/>
                        <w:left w:val="none" w:sz="0" w:space="0" w:color="auto"/>
                        <w:bottom w:val="none" w:sz="0" w:space="0" w:color="auto"/>
                        <w:right w:val="none" w:sz="0" w:space="0" w:color="auto"/>
                      </w:divBdr>
                    </w:div>
                  </w:divsChild>
                </w:div>
                <w:div w:id="512496091">
                  <w:marLeft w:val="0"/>
                  <w:marRight w:val="0"/>
                  <w:marTop w:val="0"/>
                  <w:marBottom w:val="0"/>
                  <w:divBdr>
                    <w:top w:val="none" w:sz="0" w:space="0" w:color="auto"/>
                    <w:left w:val="none" w:sz="0" w:space="0" w:color="auto"/>
                    <w:bottom w:val="none" w:sz="0" w:space="0" w:color="auto"/>
                    <w:right w:val="none" w:sz="0" w:space="0" w:color="auto"/>
                  </w:divBdr>
                  <w:divsChild>
                    <w:div w:id="21825691">
                      <w:marLeft w:val="0"/>
                      <w:marRight w:val="0"/>
                      <w:marTop w:val="0"/>
                      <w:marBottom w:val="0"/>
                      <w:divBdr>
                        <w:top w:val="none" w:sz="0" w:space="0" w:color="auto"/>
                        <w:left w:val="none" w:sz="0" w:space="0" w:color="auto"/>
                        <w:bottom w:val="none" w:sz="0" w:space="0" w:color="auto"/>
                        <w:right w:val="none" w:sz="0" w:space="0" w:color="auto"/>
                      </w:divBdr>
                    </w:div>
                  </w:divsChild>
                </w:div>
                <w:div w:id="521893196">
                  <w:marLeft w:val="0"/>
                  <w:marRight w:val="0"/>
                  <w:marTop w:val="0"/>
                  <w:marBottom w:val="0"/>
                  <w:divBdr>
                    <w:top w:val="none" w:sz="0" w:space="0" w:color="auto"/>
                    <w:left w:val="none" w:sz="0" w:space="0" w:color="auto"/>
                    <w:bottom w:val="none" w:sz="0" w:space="0" w:color="auto"/>
                    <w:right w:val="none" w:sz="0" w:space="0" w:color="auto"/>
                  </w:divBdr>
                  <w:divsChild>
                    <w:div w:id="39062463">
                      <w:marLeft w:val="0"/>
                      <w:marRight w:val="0"/>
                      <w:marTop w:val="0"/>
                      <w:marBottom w:val="0"/>
                      <w:divBdr>
                        <w:top w:val="none" w:sz="0" w:space="0" w:color="auto"/>
                        <w:left w:val="none" w:sz="0" w:space="0" w:color="auto"/>
                        <w:bottom w:val="none" w:sz="0" w:space="0" w:color="auto"/>
                        <w:right w:val="none" w:sz="0" w:space="0" w:color="auto"/>
                      </w:divBdr>
                    </w:div>
                  </w:divsChild>
                </w:div>
                <w:div w:id="524489888">
                  <w:marLeft w:val="0"/>
                  <w:marRight w:val="0"/>
                  <w:marTop w:val="0"/>
                  <w:marBottom w:val="0"/>
                  <w:divBdr>
                    <w:top w:val="none" w:sz="0" w:space="0" w:color="auto"/>
                    <w:left w:val="none" w:sz="0" w:space="0" w:color="auto"/>
                    <w:bottom w:val="none" w:sz="0" w:space="0" w:color="auto"/>
                    <w:right w:val="none" w:sz="0" w:space="0" w:color="auto"/>
                  </w:divBdr>
                  <w:divsChild>
                    <w:div w:id="925072020">
                      <w:marLeft w:val="0"/>
                      <w:marRight w:val="0"/>
                      <w:marTop w:val="0"/>
                      <w:marBottom w:val="0"/>
                      <w:divBdr>
                        <w:top w:val="none" w:sz="0" w:space="0" w:color="auto"/>
                        <w:left w:val="none" w:sz="0" w:space="0" w:color="auto"/>
                        <w:bottom w:val="none" w:sz="0" w:space="0" w:color="auto"/>
                        <w:right w:val="none" w:sz="0" w:space="0" w:color="auto"/>
                      </w:divBdr>
                    </w:div>
                  </w:divsChild>
                </w:div>
                <w:div w:id="555506931">
                  <w:marLeft w:val="0"/>
                  <w:marRight w:val="0"/>
                  <w:marTop w:val="0"/>
                  <w:marBottom w:val="0"/>
                  <w:divBdr>
                    <w:top w:val="none" w:sz="0" w:space="0" w:color="auto"/>
                    <w:left w:val="none" w:sz="0" w:space="0" w:color="auto"/>
                    <w:bottom w:val="none" w:sz="0" w:space="0" w:color="auto"/>
                    <w:right w:val="none" w:sz="0" w:space="0" w:color="auto"/>
                  </w:divBdr>
                  <w:divsChild>
                    <w:div w:id="226308320">
                      <w:marLeft w:val="0"/>
                      <w:marRight w:val="0"/>
                      <w:marTop w:val="0"/>
                      <w:marBottom w:val="0"/>
                      <w:divBdr>
                        <w:top w:val="none" w:sz="0" w:space="0" w:color="auto"/>
                        <w:left w:val="none" w:sz="0" w:space="0" w:color="auto"/>
                        <w:bottom w:val="none" w:sz="0" w:space="0" w:color="auto"/>
                        <w:right w:val="none" w:sz="0" w:space="0" w:color="auto"/>
                      </w:divBdr>
                    </w:div>
                  </w:divsChild>
                </w:div>
                <w:div w:id="569383767">
                  <w:marLeft w:val="0"/>
                  <w:marRight w:val="0"/>
                  <w:marTop w:val="0"/>
                  <w:marBottom w:val="0"/>
                  <w:divBdr>
                    <w:top w:val="none" w:sz="0" w:space="0" w:color="auto"/>
                    <w:left w:val="none" w:sz="0" w:space="0" w:color="auto"/>
                    <w:bottom w:val="none" w:sz="0" w:space="0" w:color="auto"/>
                    <w:right w:val="none" w:sz="0" w:space="0" w:color="auto"/>
                  </w:divBdr>
                  <w:divsChild>
                    <w:div w:id="298413378">
                      <w:marLeft w:val="0"/>
                      <w:marRight w:val="0"/>
                      <w:marTop w:val="0"/>
                      <w:marBottom w:val="0"/>
                      <w:divBdr>
                        <w:top w:val="none" w:sz="0" w:space="0" w:color="auto"/>
                        <w:left w:val="none" w:sz="0" w:space="0" w:color="auto"/>
                        <w:bottom w:val="none" w:sz="0" w:space="0" w:color="auto"/>
                        <w:right w:val="none" w:sz="0" w:space="0" w:color="auto"/>
                      </w:divBdr>
                    </w:div>
                  </w:divsChild>
                </w:div>
                <w:div w:id="618605471">
                  <w:marLeft w:val="0"/>
                  <w:marRight w:val="0"/>
                  <w:marTop w:val="0"/>
                  <w:marBottom w:val="0"/>
                  <w:divBdr>
                    <w:top w:val="none" w:sz="0" w:space="0" w:color="auto"/>
                    <w:left w:val="none" w:sz="0" w:space="0" w:color="auto"/>
                    <w:bottom w:val="none" w:sz="0" w:space="0" w:color="auto"/>
                    <w:right w:val="none" w:sz="0" w:space="0" w:color="auto"/>
                  </w:divBdr>
                  <w:divsChild>
                    <w:div w:id="934946216">
                      <w:marLeft w:val="0"/>
                      <w:marRight w:val="0"/>
                      <w:marTop w:val="0"/>
                      <w:marBottom w:val="0"/>
                      <w:divBdr>
                        <w:top w:val="none" w:sz="0" w:space="0" w:color="auto"/>
                        <w:left w:val="none" w:sz="0" w:space="0" w:color="auto"/>
                        <w:bottom w:val="none" w:sz="0" w:space="0" w:color="auto"/>
                        <w:right w:val="none" w:sz="0" w:space="0" w:color="auto"/>
                      </w:divBdr>
                    </w:div>
                  </w:divsChild>
                </w:div>
                <w:div w:id="633288915">
                  <w:marLeft w:val="0"/>
                  <w:marRight w:val="0"/>
                  <w:marTop w:val="0"/>
                  <w:marBottom w:val="0"/>
                  <w:divBdr>
                    <w:top w:val="none" w:sz="0" w:space="0" w:color="auto"/>
                    <w:left w:val="none" w:sz="0" w:space="0" w:color="auto"/>
                    <w:bottom w:val="none" w:sz="0" w:space="0" w:color="auto"/>
                    <w:right w:val="none" w:sz="0" w:space="0" w:color="auto"/>
                  </w:divBdr>
                  <w:divsChild>
                    <w:div w:id="935867703">
                      <w:marLeft w:val="0"/>
                      <w:marRight w:val="0"/>
                      <w:marTop w:val="0"/>
                      <w:marBottom w:val="0"/>
                      <w:divBdr>
                        <w:top w:val="none" w:sz="0" w:space="0" w:color="auto"/>
                        <w:left w:val="none" w:sz="0" w:space="0" w:color="auto"/>
                        <w:bottom w:val="none" w:sz="0" w:space="0" w:color="auto"/>
                        <w:right w:val="none" w:sz="0" w:space="0" w:color="auto"/>
                      </w:divBdr>
                    </w:div>
                  </w:divsChild>
                </w:div>
                <w:div w:id="638264494">
                  <w:marLeft w:val="0"/>
                  <w:marRight w:val="0"/>
                  <w:marTop w:val="0"/>
                  <w:marBottom w:val="0"/>
                  <w:divBdr>
                    <w:top w:val="none" w:sz="0" w:space="0" w:color="auto"/>
                    <w:left w:val="none" w:sz="0" w:space="0" w:color="auto"/>
                    <w:bottom w:val="none" w:sz="0" w:space="0" w:color="auto"/>
                    <w:right w:val="none" w:sz="0" w:space="0" w:color="auto"/>
                  </w:divBdr>
                  <w:divsChild>
                    <w:div w:id="1275744529">
                      <w:marLeft w:val="0"/>
                      <w:marRight w:val="0"/>
                      <w:marTop w:val="0"/>
                      <w:marBottom w:val="0"/>
                      <w:divBdr>
                        <w:top w:val="none" w:sz="0" w:space="0" w:color="auto"/>
                        <w:left w:val="none" w:sz="0" w:space="0" w:color="auto"/>
                        <w:bottom w:val="none" w:sz="0" w:space="0" w:color="auto"/>
                        <w:right w:val="none" w:sz="0" w:space="0" w:color="auto"/>
                      </w:divBdr>
                    </w:div>
                  </w:divsChild>
                </w:div>
                <w:div w:id="662439396">
                  <w:marLeft w:val="0"/>
                  <w:marRight w:val="0"/>
                  <w:marTop w:val="0"/>
                  <w:marBottom w:val="0"/>
                  <w:divBdr>
                    <w:top w:val="none" w:sz="0" w:space="0" w:color="auto"/>
                    <w:left w:val="none" w:sz="0" w:space="0" w:color="auto"/>
                    <w:bottom w:val="none" w:sz="0" w:space="0" w:color="auto"/>
                    <w:right w:val="none" w:sz="0" w:space="0" w:color="auto"/>
                  </w:divBdr>
                  <w:divsChild>
                    <w:div w:id="297417429">
                      <w:marLeft w:val="0"/>
                      <w:marRight w:val="0"/>
                      <w:marTop w:val="0"/>
                      <w:marBottom w:val="0"/>
                      <w:divBdr>
                        <w:top w:val="none" w:sz="0" w:space="0" w:color="auto"/>
                        <w:left w:val="none" w:sz="0" w:space="0" w:color="auto"/>
                        <w:bottom w:val="none" w:sz="0" w:space="0" w:color="auto"/>
                        <w:right w:val="none" w:sz="0" w:space="0" w:color="auto"/>
                      </w:divBdr>
                    </w:div>
                  </w:divsChild>
                </w:div>
                <w:div w:id="674108906">
                  <w:marLeft w:val="0"/>
                  <w:marRight w:val="0"/>
                  <w:marTop w:val="0"/>
                  <w:marBottom w:val="0"/>
                  <w:divBdr>
                    <w:top w:val="none" w:sz="0" w:space="0" w:color="auto"/>
                    <w:left w:val="none" w:sz="0" w:space="0" w:color="auto"/>
                    <w:bottom w:val="none" w:sz="0" w:space="0" w:color="auto"/>
                    <w:right w:val="none" w:sz="0" w:space="0" w:color="auto"/>
                  </w:divBdr>
                  <w:divsChild>
                    <w:div w:id="1638486586">
                      <w:marLeft w:val="0"/>
                      <w:marRight w:val="0"/>
                      <w:marTop w:val="0"/>
                      <w:marBottom w:val="0"/>
                      <w:divBdr>
                        <w:top w:val="none" w:sz="0" w:space="0" w:color="auto"/>
                        <w:left w:val="none" w:sz="0" w:space="0" w:color="auto"/>
                        <w:bottom w:val="none" w:sz="0" w:space="0" w:color="auto"/>
                        <w:right w:val="none" w:sz="0" w:space="0" w:color="auto"/>
                      </w:divBdr>
                    </w:div>
                  </w:divsChild>
                </w:div>
                <w:div w:id="696852818">
                  <w:marLeft w:val="0"/>
                  <w:marRight w:val="0"/>
                  <w:marTop w:val="0"/>
                  <w:marBottom w:val="0"/>
                  <w:divBdr>
                    <w:top w:val="none" w:sz="0" w:space="0" w:color="auto"/>
                    <w:left w:val="none" w:sz="0" w:space="0" w:color="auto"/>
                    <w:bottom w:val="none" w:sz="0" w:space="0" w:color="auto"/>
                    <w:right w:val="none" w:sz="0" w:space="0" w:color="auto"/>
                  </w:divBdr>
                  <w:divsChild>
                    <w:div w:id="1496455014">
                      <w:marLeft w:val="0"/>
                      <w:marRight w:val="0"/>
                      <w:marTop w:val="0"/>
                      <w:marBottom w:val="0"/>
                      <w:divBdr>
                        <w:top w:val="none" w:sz="0" w:space="0" w:color="auto"/>
                        <w:left w:val="none" w:sz="0" w:space="0" w:color="auto"/>
                        <w:bottom w:val="none" w:sz="0" w:space="0" w:color="auto"/>
                        <w:right w:val="none" w:sz="0" w:space="0" w:color="auto"/>
                      </w:divBdr>
                    </w:div>
                  </w:divsChild>
                </w:div>
                <w:div w:id="753167211">
                  <w:marLeft w:val="0"/>
                  <w:marRight w:val="0"/>
                  <w:marTop w:val="0"/>
                  <w:marBottom w:val="0"/>
                  <w:divBdr>
                    <w:top w:val="none" w:sz="0" w:space="0" w:color="auto"/>
                    <w:left w:val="none" w:sz="0" w:space="0" w:color="auto"/>
                    <w:bottom w:val="none" w:sz="0" w:space="0" w:color="auto"/>
                    <w:right w:val="none" w:sz="0" w:space="0" w:color="auto"/>
                  </w:divBdr>
                  <w:divsChild>
                    <w:div w:id="1497840512">
                      <w:marLeft w:val="0"/>
                      <w:marRight w:val="0"/>
                      <w:marTop w:val="0"/>
                      <w:marBottom w:val="0"/>
                      <w:divBdr>
                        <w:top w:val="none" w:sz="0" w:space="0" w:color="auto"/>
                        <w:left w:val="none" w:sz="0" w:space="0" w:color="auto"/>
                        <w:bottom w:val="none" w:sz="0" w:space="0" w:color="auto"/>
                        <w:right w:val="none" w:sz="0" w:space="0" w:color="auto"/>
                      </w:divBdr>
                    </w:div>
                  </w:divsChild>
                </w:div>
                <w:div w:id="769198990">
                  <w:marLeft w:val="0"/>
                  <w:marRight w:val="0"/>
                  <w:marTop w:val="0"/>
                  <w:marBottom w:val="0"/>
                  <w:divBdr>
                    <w:top w:val="none" w:sz="0" w:space="0" w:color="auto"/>
                    <w:left w:val="none" w:sz="0" w:space="0" w:color="auto"/>
                    <w:bottom w:val="none" w:sz="0" w:space="0" w:color="auto"/>
                    <w:right w:val="none" w:sz="0" w:space="0" w:color="auto"/>
                  </w:divBdr>
                  <w:divsChild>
                    <w:div w:id="1116145195">
                      <w:marLeft w:val="0"/>
                      <w:marRight w:val="0"/>
                      <w:marTop w:val="0"/>
                      <w:marBottom w:val="0"/>
                      <w:divBdr>
                        <w:top w:val="none" w:sz="0" w:space="0" w:color="auto"/>
                        <w:left w:val="none" w:sz="0" w:space="0" w:color="auto"/>
                        <w:bottom w:val="none" w:sz="0" w:space="0" w:color="auto"/>
                        <w:right w:val="none" w:sz="0" w:space="0" w:color="auto"/>
                      </w:divBdr>
                    </w:div>
                  </w:divsChild>
                </w:div>
                <w:div w:id="778912123">
                  <w:marLeft w:val="0"/>
                  <w:marRight w:val="0"/>
                  <w:marTop w:val="0"/>
                  <w:marBottom w:val="0"/>
                  <w:divBdr>
                    <w:top w:val="none" w:sz="0" w:space="0" w:color="auto"/>
                    <w:left w:val="none" w:sz="0" w:space="0" w:color="auto"/>
                    <w:bottom w:val="none" w:sz="0" w:space="0" w:color="auto"/>
                    <w:right w:val="none" w:sz="0" w:space="0" w:color="auto"/>
                  </w:divBdr>
                  <w:divsChild>
                    <w:div w:id="918517222">
                      <w:marLeft w:val="0"/>
                      <w:marRight w:val="0"/>
                      <w:marTop w:val="0"/>
                      <w:marBottom w:val="0"/>
                      <w:divBdr>
                        <w:top w:val="none" w:sz="0" w:space="0" w:color="auto"/>
                        <w:left w:val="none" w:sz="0" w:space="0" w:color="auto"/>
                        <w:bottom w:val="none" w:sz="0" w:space="0" w:color="auto"/>
                        <w:right w:val="none" w:sz="0" w:space="0" w:color="auto"/>
                      </w:divBdr>
                    </w:div>
                  </w:divsChild>
                </w:div>
                <w:div w:id="807354556">
                  <w:marLeft w:val="0"/>
                  <w:marRight w:val="0"/>
                  <w:marTop w:val="0"/>
                  <w:marBottom w:val="0"/>
                  <w:divBdr>
                    <w:top w:val="none" w:sz="0" w:space="0" w:color="auto"/>
                    <w:left w:val="none" w:sz="0" w:space="0" w:color="auto"/>
                    <w:bottom w:val="none" w:sz="0" w:space="0" w:color="auto"/>
                    <w:right w:val="none" w:sz="0" w:space="0" w:color="auto"/>
                  </w:divBdr>
                  <w:divsChild>
                    <w:div w:id="799878508">
                      <w:marLeft w:val="0"/>
                      <w:marRight w:val="0"/>
                      <w:marTop w:val="0"/>
                      <w:marBottom w:val="0"/>
                      <w:divBdr>
                        <w:top w:val="none" w:sz="0" w:space="0" w:color="auto"/>
                        <w:left w:val="none" w:sz="0" w:space="0" w:color="auto"/>
                        <w:bottom w:val="none" w:sz="0" w:space="0" w:color="auto"/>
                        <w:right w:val="none" w:sz="0" w:space="0" w:color="auto"/>
                      </w:divBdr>
                    </w:div>
                  </w:divsChild>
                </w:div>
                <w:div w:id="820775447">
                  <w:marLeft w:val="0"/>
                  <w:marRight w:val="0"/>
                  <w:marTop w:val="0"/>
                  <w:marBottom w:val="0"/>
                  <w:divBdr>
                    <w:top w:val="none" w:sz="0" w:space="0" w:color="auto"/>
                    <w:left w:val="none" w:sz="0" w:space="0" w:color="auto"/>
                    <w:bottom w:val="none" w:sz="0" w:space="0" w:color="auto"/>
                    <w:right w:val="none" w:sz="0" w:space="0" w:color="auto"/>
                  </w:divBdr>
                  <w:divsChild>
                    <w:div w:id="946041535">
                      <w:marLeft w:val="0"/>
                      <w:marRight w:val="0"/>
                      <w:marTop w:val="0"/>
                      <w:marBottom w:val="0"/>
                      <w:divBdr>
                        <w:top w:val="none" w:sz="0" w:space="0" w:color="auto"/>
                        <w:left w:val="none" w:sz="0" w:space="0" w:color="auto"/>
                        <w:bottom w:val="none" w:sz="0" w:space="0" w:color="auto"/>
                        <w:right w:val="none" w:sz="0" w:space="0" w:color="auto"/>
                      </w:divBdr>
                    </w:div>
                  </w:divsChild>
                </w:div>
                <w:div w:id="828519989">
                  <w:marLeft w:val="0"/>
                  <w:marRight w:val="0"/>
                  <w:marTop w:val="0"/>
                  <w:marBottom w:val="0"/>
                  <w:divBdr>
                    <w:top w:val="none" w:sz="0" w:space="0" w:color="auto"/>
                    <w:left w:val="none" w:sz="0" w:space="0" w:color="auto"/>
                    <w:bottom w:val="none" w:sz="0" w:space="0" w:color="auto"/>
                    <w:right w:val="none" w:sz="0" w:space="0" w:color="auto"/>
                  </w:divBdr>
                  <w:divsChild>
                    <w:div w:id="2026318445">
                      <w:marLeft w:val="0"/>
                      <w:marRight w:val="0"/>
                      <w:marTop w:val="0"/>
                      <w:marBottom w:val="0"/>
                      <w:divBdr>
                        <w:top w:val="none" w:sz="0" w:space="0" w:color="auto"/>
                        <w:left w:val="none" w:sz="0" w:space="0" w:color="auto"/>
                        <w:bottom w:val="none" w:sz="0" w:space="0" w:color="auto"/>
                        <w:right w:val="none" w:sz="0" w:space="0" w:color="auto"/>
                      </w:divBdr>
                    </w:div>
                  </w:divsChild>
                </w:div>
                <w:div w:id="846753980">
                  <w:marLeft w:val="0"/>
                  <w:marRight w:val="0"/>
                  <w:marTop w:val="0"/>
                  <w:marBottom w:val="0"/>
                  <w:divBdr>
                    <w:top w:val="none" w:sz="0" w:space="0" w:color="auto"/>
                    <w:left w:val="none" w:sz="0" w:space="0" w:color="auto"/>
                    <w:bottom w:val="none" w:sz="0" w:space="0" w:color="auto"/>
                    <w:right w:val="none" w:sz="0" w:space="0" w:color="auto"/>
                  </w:divBdr>
                  <w:divsChild>
                    <w:div w:id="702633848">
                      <w:marLeft w:val="0"/>
                      <w:marRight w:val="0"/>
                      <w:marTop w:val="0"/>
                      <w:marBottom w:val="0"/>
                      <w:divBdr>
                        <w:top w:val="none" w:sz="0" w:space="0" w:color="auto"/>
                        <w:left w:val="none" w:sz="0" w:space="0" w:color="auto"/>
                        <w:bottom w:val="none" w:sz="0" w:space="0" w:color="auto"/>
                        <w:right w:val="none" w:sz="0" w:space="0" w:color="auto"/>
                      </w:divBdr>
                    </w:div>
                  </w:divsChild>
                </w:div>
                <w:div w:id="923344246">
                  <w:marLeft w:val="0"/>
                  <w:marRight w:val="0"/>
                  <w:marTop w:val="0"/>
                  <w:marBottom w:val="0"/>
                  <w:divBdr>
                    <w:top w:val="none" w:sz="0" w:space="0" w:color="auto"/>
                    <w:left w:val="none" w:sz="0" w:space="0" w:color="auto"/>
                    <w:bottom w:val="none" w:sz="0" w:space="0" w:color="auto"/>
                    <w:right w:val="none" w:sz="0" w:space="0" w:color="auto"/>
                  </w:divBdr>
                  <w:divsChild>
                    <w:div w:id="896428935">
                      <w:marLeft w:val="0"/>
                      <w:marRight w:val="0"/>
                      <w:marTop w:val="0"/>
                      <w:marBottom w:val="0"/>
                      <w:divBdr>
                        <w:top w:val="none" w:sz="0" w:space="0" w:color="auto"/>
                        <w:left w:val="none" w:sz="0" w:space="0" w:color="auto"/>
                        <w:bottom w:val="none" w:sz="0" w:space="0" w:color="auto"/>
                        <w:right w:val="none" w:sz="0" w:space="0" w:color="auto"/>
                      </w:divBdr>
                    </w:div>
                  </w:divsChild>
                </w:div>
                <w:div w:id="1004360957">
                  <w:marLeft w:val="0"/>
                  <w:marRight w:val="0"/>
                  <w:marTop w:val="0"/>
                  <w:marBottom w:val="0"/>
                  <w:divBdr>
                    <w:top w:val="none" w:sz="0" w:space="0" w:color="auto"/>
                    <w:left w:val="none" w:sz="0" w:space="0" w:color="auto"/>
                    <w:bottom w:val="none" w:sz="0" w:space="0" w:color="auto"/>
                    <w:right w:val="none" w:sz="0" w:space="0" w:color="auto"/>
                  </w:divBdr>
                  <w:divsChild>
                    <w:div w:id="310404505">
                      <w:marLeft w:val="0"/>
                      <w:marRight w:val="0"/>
                      <w:marTop w:val="0"/>
                      <w:marBottom w:val="0"/>
                      <w:divBdr>
                        <w:top w:val="none" w:sz="0" w:space="0" w:color="auto"/>
                        <w:left w:val="none" w:sz="0" w:space="0" w:color="auto"/>
                        <w:bottom w:val="none" w:sz="0" w:space="0" w:color="auto"/>
                        <w:right w:val="none" w:sz="0" w:space="0" w:color="auto"/>
                      </w:divBdr>
                    </w:div>
                  </w:divsChild>
                </w:div>
                <w:div w:id="1020548109">
                  <w:marLeft w:val="0"/>
                  <w:marRight w:val="0"/>
                  <w:marTop w:val="0"/>
                  <w:marBottom w:val="0"/>
                  <w:divBdr>
                    <w:top w:val="none" w:sz="0" w:space="0" w:color="auto"/>
                    <w:left w:val="none" w:sz="0" w:space="0" w:color="auto"/>
                    <w:bottom w:val="none" w:sz="0" w:space="0" w:color="auto"/>
                    <w:right w:val="none" w:sz="0" w:space="0" w:color="auto"/>
                  </w:divBdr>
                  <w:divsChild>
                    <w:div w:id="694573424">
                      <w:marLeft w:val="0"/>
                      <w:marRight w:val="0"/>
                      <w:marTop w:val="0"/>
                      <w:marBottom w:val="0"/>
                      <w:divBdr>
                        <w:top w:val="none" w:sz="0" w:space="0" w:color="auto"/>
                        <w:left w:val="none" w:sz="0" w:space="0" w:color="auto"/>
                        <w:bottom w:val="none" w:sz="0" w:space="0" w:color="auto"/>
                        <w:right w:val="none" w:sz="0" w:space="0" w:color="auto"/>
                      </w:divBdr>
                    </w:div>
                  </w:divsChild>
                </w:div>
                <w:div w:id="1029642015">
                  <w:marLeft w:val="0"/>
                  <w:marRight w:val="0"/>
                  <w:marTop w:val="0"/>
                  <w:marBottom w:val="0"/>
                  <w:divBdr>
                    <w:top w:val="none" w:sz="0" w:space="0" w:color="auto"/>
                    <w:left w:val="none" w:sz="0" w:space="0" w:color="auto"/>
                    <w:bottom w:val="none" w:sz="0" w:space="0" w:color="auto"/>
                    <w:right w:val="none" w:sz="0" w:space="0" w:color="auto"/>
                  </w:divBdr>
                  <w:divsChild>
                    <w:div w:id="1205217501">
                      <w:marLeft w:val="0"/>
                      <w:marRight w:val="0"/>
                      <w:marTop w:val="0"/>
                      <w:marBottom w:val="0"/>
                      <w:divBdr>
                        <w:top w:val="none" w:sz="0" w:space="0" w:color="auto"/>
                        <w:left w:val="none" w:sz="0" w:space="0" w:color="auto"/>
                        <w:bottom w:val="none" w:sz="0" w:space="0" w:color="auto"/>
                        <w:right w:val="none" w:sz="0" w:space="0" w:color="auto"/>
                      </w:divBdr>
                    </w:div>
                  </w:divsChild>
                </w:div>
                <w:div w:id="1043284115">
                  <w:marLeft w:val="0"/>
                  <w:marRight w:val="0"/>
                  <w:marTop w:val="0"/>
                  <w:marBottom w:val="0"/>
                  <w:divBdr>
                    <w:top w:val="none" w:sz="0" w:space="0" w:color="auto"/>
                    <w:left w:val="none" w:sz="0" w:space="0" w:color="auto"/>
                    <w:bottom w:val="none" w:sz="0" w:space="0" w:color="auto"/>
                    <w:right w:val="none" w:sz="0" w:space="0" w:color="auto"/>
                  </w:divBdr>
                  <w:divsChild>
                    <w:div w:id="1095789941">
                      <w:marLeft w:val="0"/>
                      <w:marRight w:val="0"/>
                      <w:marTop w:val="0"/>
                      <w:marBottom w:val="0"/>
                      <w:divBdr>
                        <w:top w:val="none" w:sz="0" w:space="0" w:color="auto"/>
                        <w:left w:val="none" w:sz="0" w:space="0" w:color="auto"/>
                        <w:bottom w:val="none" w:sz="0" w:space="0" w:color="auto"/>
                        <w:right w:val="none" w:sz="0" w:space="0" w:color="auto"/>
                      </w:divBdr>
                    </w:div>
                  </w:divsChild>
                </w:div>
                <w:div w:id="1068334762">
                  <w:marLeft w:val="0"/>
                  <w:marRight w:val="0"/>
                  <w:marTop w:val="0"/>
                  <w:marBottom w:val="0"/>
                  <w:divBdr>
                    <w:top w:val="none" w:sz="0" w:space="0" w:color="auto"/>
                    <w:left w:val="none" w:sz="0" w:space="0" w:color="auto"/>
                    <w:bottom w:val="none" w:sz="0" w:space="0" w:color="auto"/>
                    <w:right w:val="none" w:sz="0" w:space="0" w:color="auto"/>
                  </w:divBdr>
                  <w:divsChild>
                    <w:div w:id="2025788049">
                      <w:marLeft w:val="0"/>
                      <w:marRight w:val="0"/>
                      <w:marTop w:val="0"/>
                      <w:marBottom w:val="0"/>
                      <w:divBdr>
                        <w:top w:val="none" w:sz="0" w:space="0" w:color="auto"/>
                        <w:left w:val="none" w:sz="0" w:space="0" w:color="auto"/>
                        <w:bottom w:val="none" w:sz="0" w:space="0" w:color="auto"/>
                        <w:right w:val="none" w:sz="0" w:space="0" w:color="auto"/>
                      </w:divBdr>
                    </w:div>
                  </w:divsChild>
                </w:div>
                <w:div w:id="1108892358">
                  <w:marLeft w:val="0"/>
                  <w:marRight w:val="0"/>
                  <w:marTop w:val="0"/>
                  <w:marBottom w:val="0"/>
                  <w:divBdr>
                    <w:top w:val="none" w:sz="0" w:space="0" w:color="auto"/>
                    <w:left w:val="none" w:sz="0" w:space="0" w:color="auto"/>
                    <w:bottom w:val="none" w:sz="0" w:space="0" w:color="auto"/>
                    <w:right w:val="none" w:sz="0" w:space="0" w:color="auto"/>
                  </w:divBdr>
                  <w:divsChild>
                    <w:div w:id="1733503801">
                      <w:marLeft w:val="0"/>
                      <w:marRight w:val="0"/>
                      <w:marTop w:val="0"/>
                      <w:marBottom w:val="0"/>
                      <w:divBdr>
                        <w:top w:val="none" w:sz="0" w:space="0" w:color="auto"/>
                        <w:left w:val="none" w:sz="0" w:space="0" w:color="auto"/>
                        <w:bottom w:val="none" w:sz="0" w:space="0" w:color="auto"/>
                        <w:right w:val="none" w:sz="0" w:space="0" w:color="auto"/>
                      </w:divBdr>
                    </w:div>
                  </w:divsChild>
                </w:div>
                <w:div w:id="1121143795">
                  <w:marLeft w:val="0"/>
                  <w:marRight w:val="0"/>
                  <w:marTop w:val="0"/>
                  <w:marBottom w:val="0"/>
                  <w:divBdr>
                    <w:top w:val="none" w:sz="0" w:space="0" w:color="auto"/>
                    <w:left w:val="none" w:sz="0" w:space="0" w:color="auto"/>
                    <w:bottom w:val="none" w:sz="0" w:space="0" w:color="auto"/>
                    <w:right w:val="none" w:sz="0" w:space="0" w:color="auto"/>
                  </w:divBdr>
                  <w:divsChild>
                    <w:div w:id="968048423">
                      <w:marLeft w:val="0"/>
                      <w:marRight w:val="0"/>
                      <w:marTop w:val="0"/>
                      <w:marBottom w:val="0"/>
                      <w:divBdr>
                        <w:top w:val="none" w:sz="0" w:space="0" w:color="auto"/>
                        <w:left w:val="none" w:sz="0" w:space="0" w:color="auto"/>
                        <w:bottom w:val="none" w:sz="0" w:space="0" w:color="auto"/>
                        <w:right w:val="none" w:sz="0" w:space="0" w:color="auto"/>
                      </w:divBdr>
                    </w:div>
                  </w:divsChild>
                </w:div>
                <w:div w:id="1129086566">
                  <w:marLeft w:val="0"/>
                  <w:marRight w:val="0"/>
                  <w:marTop w:val="0"/>
                  <w:marBottom w:val="0"/>
                  <w:divBdr>
                    <w:top w:val="none" w:sz="0" w:space="0" w:color="auto"/>
                    <w:left w:val="none" w:sz="0" w:space="0" w:color="auto"/>
                    <w:bottom w:val="none" w:sz="0" w:space="0" w:color="auto"/>
                    <w:right w:val="none" w:sz="0" w:space="0" w:color="auto"/>
                  </w:divBdr>
                  <w:divsChild>
                    <w:div w:id="751506755">
                      <w:marLeft w:val="0"/>
                      <w:marRight w:val="0"/>
                      <w:marTop w:val="0"/>
                      <w:marBottom w:val="0"/>
                      <w:divBdr>
                        <w:top w:val="none" w:sz="0" w:space="0" w:color="auto"/>
                        <w:left w:val="none" w:sz="0" w:space="0" w:color="auto"/>
                        <w:bottom w:val="none" w:sz="0" w:space="0" w:color="auto"/>
                        <w:right w:val="none" w:sz="0" w:space="0" w:color="auto"/>
                      </w:divBdr>
                    </w:div>
                  </w:divsChild>
                </w:div>
                <w:div w:id="1147013140">
                  <w:marLeft w:val="0"/>
                  <w:marRight w:val="0"/>
                  <w:marTop w:val="0"/>
                  <w:marBottom w:val="0"/>
                  <w:divBdr>
                    <w:top w:val="none" w:sz="0" w:space="0" w:color="auto"/>
                    <w:left w:val="none" w:sz="0" w:space="0" w:color="auto"/>
                    <w:bottom w:val="none" w:sz="0" w:space="0" w:color="auto"/>
                    <w:right w:val="none" w:sz="0" w:space="0" w:color="auto"/>
                  </w:divBdr>
                  <w:divsChild>
                    <w:div w:id="428503083">
                      <w:marLeft w:val="0"/>
                      <w:marRight w:val="0"/>
                      <w:marTop w:val="0"/>
                      <w:marBottom w:val="0"/>
                      <w:divBdr>
                        <w:top w:val="none" w:sz="0" w:space="0" w:color="auto"/>
                        <w:left w:val="none" w:sz="0" w:space="0" w:color="auto"/>
                        <w:bottom w:val="none" w:sz="0" w:space="0" w:color="auto"/>
                        <w:right w:val="none" w:sz="0" w:space="0" w:color="auto"/>
                      </w:divBdr>
                    </w:div>
                  </w:divsChild>
                </w:div>
                <w:div w:id="1182284847">
                  <w:marLeft w:val="0"/>
                  <w:marRight w:val="0"/>
                  <w:marTop w:val="0"/>
                  <w:marBottom w:val="0"/>
                  <w:divBdr>
                    <w:top w:val="none" w:sz="0" w:space="0" w:color="auto"/>
                    <w:left w:val="none" w:sz="0" w:space="0" w:color="auto"/>
                    <w:bottom w:val="none" w:sz="0" w:space="0" w:color="auto"/>
                    <w:right w:val="none" w:sz="0" w:space="0" w:color="auto"/>
                  </w:divBdr>
                  <w:divsChild>
                    <w:div w:id="1198352667">
                      <w:marLeft w:val="0"/>
                      <w:marRight w:val="0"/>
                      <w:marTop w:val="0"/>
                      <w:marBottom w:val="0"/>
                      <w:divBdr>
                        <w:top w:val="none" w:sz="0" w:space="0" w:color="auto"/>
                        <w:left w:val="none" w:sz="0" w:space="0" w:color="auto"/>
                        <w:bottom w:val="none" w:sz="0" w:space="0" w:color="auto"/>
                        <w:right w:val="none" w:sz="0" w:space="0" w:color="auto"/>
                      </w:divBdr>
                    </w:div>
                  </w:divsChild>
                </w:div>
                <w:div w:id="1189952352">
                  <w:marLeft w:val="0"/>
                  <w:marRight w:val="0"/>
                  <w:marTop w:val="0"/>
                  <w:marBottom w:val="0"/>
                  <w:divBdr>
                    <w:top w:val="none" w:sz="0" w:space="0" w:color="auto"/>
                    <w:left w:val="none" w:sz="0" w:space="0" w:color="auto"/>
                    <w:bottom w:val="none" w:sz="0" w:space="0" w:color="auto"/>
                    <w:right w:val="none" w:sz="0" w:space="0" w:color="auto"/>
                  </w:divBdr>
                  <w:divsChild>
                    <w:div w:id="1470855128">
                      <w:marLeft w:val="0"/>
                      <w:marRight w:val="0"/>
                      <w:marTop w:val="0"/>
                      <w:marBottom w:val="0"/>
                      <w:divBdr>
                        <w:top w:val="none" w:sz="0" w:space="0" w:color="auto"/>
                        <w:left w:val="none" w:sz="0" w:space="0" w:color="auto"/>
                        <w:bottom w:val="none" w:sz="0" w:space="0" w:color="auto"/>
                        <w:right w:val="none" w:sz="0" w:space="0" w:color="auto"/>
                      </w:divBdr>
                    </w:div>
                  </w:divsChild>
                </w:div>
                <w:div w:id="1202134289">
                  <w:marLeft w:val="0"/>
                  <w:marRight w:val="0"/>
                  <w:marTop w:val="0"/>
                  <w:marBottom w:val="0"/>
                  <w:divBdr>
                    <w:top w:val="none" w:sz="0" w:space="0" w:color="auto"/>
                    <w:left w:val="none" w:sz="0" w:space="0" w:color="auto"/>
                    <w:bottom w:val="none" w:sz="0" w:space="0" w:color="auto"/>
                    <w:right w:val="none" w:sz="0" w:space="0" w:color="auto"/>
                  </w:divBdr>
                  <w:divsChild>
                    <w:div w:id="870336872">
                      <w:marLeft w:val="0"/>
                      <w:marRight w:val="0"/>
                      <w:marTop w:val="0"/>
                      <w:marBottom w:val="0"/>
                      <w:divBdr>
                        <w:top w:val="none" w:sz="0" w:space="0" w:color="auto"/>
                        <w:left w:val="none" w:sz="0" w:space="0" w:color="auto"/>
                        <w:bottom w:val="none" w:sz="0" w:space="0" w:color="auto"/>
                        <w:right w:val="none" w:sz="0" w:space="0" w:color="auto"/>
                      </w:divBdr>
                    </w:div>
                  </w:divsChild>
                </w:div>
                <w:div w:id="1203132918">
                  <w:marLeft w:val="0"/>
                  <w:marRight w:val="0"/>
                  <w:marTop w:val="0"/>
                  <w:marBottom w:val="0"/>
                  <w:divBdr>
                    <w:top w:val="none" w:sz="0" w:space="0" w:color="auto"/>
                    <w:left w:val="none" w:sz="0" w:space="0" w:color="auto"/>
                    <w:bottom w:val="none" w:sz="0" w:space="0" w:color="auto"/>
                    <w:right w:val="none" w:sz="0" w:space="0" w:color="auto"/>
                  </w:divBdr>
                  <w:divsChild>
                    <w:div w:id="1678581380">
                      <w:marLeft w:val="0"/>
                      <w:marRight w:val="0"/>
                      <w:marTop w:val="0"/>
                      <w:marBottom w:val="0"/>
                      <w:divBdr>
                        <w:top w:val="none" w:sz="0" w:space="0" w:color="auto"/>
                        <w:left w:val="none" w:sz="0" w:space="0" w:color="auto"/>
                        <w:bottom w:val="none" w:sz="0" w:space="0" w:color="auto"/>
                        <w:right w:val="none" w:sz="0" w:space="0" w:color="auto"/>
                      </w:divBdr>
                    </w:div>
                  </w:divsChild>
                </w:div>
                <w:div w:id="1216769604">
                  <w:marLeft w:val="0"/>
                  <w:marRight w:val="0"/>
                  <w:marTop w:val="0"/>
                  <w:marBottom w:val="0"/>
                  <w:divBdr>
                    <w:top w:val="none" w:sz="0" w:space="0" w:color="auto"/>
                    <w:left w:val="none" w:sz="0" w:space="0" w:color="auto"/>
                    <w:bottom w:val="none" w:sz="0" w:space="0" w:color="auto"/>
                    <w:right w:val="none" w:sz="0" w:space="0" w:color="auto"/>
                  </w:divBdr>
                  <w:divsChild>
                    <w:div w:id="1866627983">
                      <w:marLeft w:val="0"/>
                      <w:marRight w:val="0"/>
                      <w:marTop w:val="0"/>
                      <w:marBottom w:val="0"/>
                      <w:divBdr>
                        <w:top w:val="none" w:sz="0" w:space="0" w:color="auto"/>
                        <w:left w:val="none" w:sz="0" w:space="0" w:color="auto"/>
                        <w:bottom w:val="none" w:sz="0" w:space="0" w:color="auto"/>
                        <w:right w:val="none" w:sz="0" w:space="0" w:color="auto"/>
                      </w:divBdr>
                    </w:div>
                  </w:divsChild>
                </w:div>
                <w:div w:id="1232085047">
                  <w:marLeft w:val="0"/>
                  <w:marRight w:val="0"/>
                  <w:marTop w:val="0"/>
                  <w:marBottom w:val="0"/>
                  <w:divBdr>
                    <w:top w:val="none" w:sz="0" w:space="0" w:color="auto"/>
                    <w:left w:val="none" w:sz="0" w:space="0" w:color="auto"/>
                    <w:bottom w:val="none" w:sz="0" w:space="0" w:color="auto"/>
                    <w:right w:val="none" w:sz="0" w:space="0" w:color="auto"/>
                  </w:divBdr>
                  <w:divsChild>
                    <w:div w:id="2119592642">
                      <w:marLeft w:val="0"/>
                      <w:marRight w:val="0"/>
                      <w:marTop w:val="0"/>
                      <w:marBottom w:val="0"/>
                      <w:divBdr>
                        <w:top w:val="none" w:sz="0" w:space="0" w:color="auto"/>
                        <w:left w:val="none" w:sz="0" w:space="0" w:color="auto"/>
                        <w:bottom w:val="none" w:sz="0" w:space="0" w:color="auto"/>
                        <w:right w:val="none" w:sz="0" w:space="0" w:color="auto"/>
                      </w:divBdr>
                    </w:div>
                  </w:divsChild>
                </w:div>
                <w:div w:id="1264267686">
                  <w:marLeft w:val="0"/>
                  <w:marRight w:val="0"/>
                  <w:marTop w:val="0"/>
                  <w:marBottom w:val="0"/>
                  <w:divBdr>
                    <w:top w:val="none" w:sz="0" w:space="0" w:color="auto"/>
                    <w:left w:val="none" w:sz="0" w:space="0" w:color="auto"/>
                    <w:bottom w:val="none" w:sz="0" w:space="0" w:color="auto"/>
                    <w:right w:val="none" w:sz="0" w:space="0" w:color="auto"/>
                  </w:divBdr>
                  <w:divsChild>
                    <w:div w:id="1222867878">
                      <w:marLeft w:val="0"/>
                      <w:marRight w:val="0"/>
                      <w:marTop w:val="0"/>
                      <w:marBottom w:val="0"/>
                      <w:divBdr>
                        <w:top w:val="none" w:sz="0" w:space="0" w:color="auto"/>
                        <w:left w:val="none" w:sz="0" w:space="0" w:color="auto"/>
                        <w:bottom w:val="none" w:sz="0" w:space="0" w:color="auto"/>
                        <w:right w:val="none" w:sz="0" w:space="0" w:color="auto"/>
                      </w:divBdr>
                    </w:div>
                  </w:divsChild>
                </w:div>
                <w:div w:id="1277370127">
                  <w:marLeft w:val="0"/>
                  <w:marRight w:val="0"/>
                  <w:marTop w:val="0"/>
                  <w:marBottom w:val="0"/>
                  <w:divBdr>
                    <w:top w:val="none" w:sz="0" w:space="0" w:color="auto"/>
                    <w:left w:val="none" w:sz="0" w:space="0" w:color="auto"/>
                    <w:bottom w:val="none" w:sz="0" w:space="0" w:color="auto"/>
                    <w:right w:val="none" w:sz="0" w:space="0" w:color="auto"/>
                  </w:divBdr>
                  <w:divsChild>
                    <w:div w:id="105348760">
                      <w:marLeft w:val="0"/>
                      <w:marRight w:val="0"/>
                      <w:marTop w:val="0"/>
                      <w:marBottom w:val="0"/>
                      <w:divBdr>
                        <w:top w:val="none" w:sz="0" w:space="0" w:color="auto"/>
                        <w:left w:val="none" w:sz="0" w:space="0" w:color="auto"/>
                        <w:bottom w:val="none" w:sz="0" w:space="0" w:color="auto"/>
                        <w:right w:val="none" w:sz="0" w:space="0" w:color="auto"/>
                      </w:divBdr>
                    </w:div>
                  </w:divsChild>
                </w:div>
                <w:div w:id="1279066755">
                  <w:marLeft w:val="0"/>
                  <w:marRight w:val="0"/>
                  <w:marTop w:val="0"/>
                  <w:marBottom w:val="0"/>
                  <w:divBdr>
                    <w:top w:val="none" w:sz="0" w:space="0" w:color="auto"/>
                    <w:left w:val="none" w:sz="0" w:space="0" w:color="auto"/>
                    <w:bottom w:val="none" w:sz="0" w:space="0" w:color="auto"/>
                    <w:right w:val="none" w:sz="0" w:space="0" w:color="auto"/>
                  </w:divBdr>
                  <w:divsChild>
                    <w:div w:id="2140486552">
                      <w:marLeft w:val="0"/>
                      <w:marRight w:val="0"/>
                      <w:marTop w:val="0"/>
                      <w:marBottom w:val="0"/>
                      <w:divBdr>
                        <w:top w:val="none" w:sz="0" w:space="0" w:color="auto"/>
                        <w:left w:val="none" w:sz="0" w:space="0" w:color="auto"/>
                        <w:bottom w:val="none" w:sz="0" w:space="0" w:color="auto"/>
                        <w:right w:val="none" w:sz="0" w:space="0" w:color="auto"/>
                      </w:divBdr>
                    </w:div>
                  </w:divsChild>
                </w:div>
                <w:div w:id="1288318912">
                  <w:marLeft w:val="0"/>
                  <w:marRight w:val="0"/>
                  <w:marTop w:val="0"/>
                  <w:marBottom w:val="0"/>
                  <w:divBdr>
                    <w:top w:val="none" w:sz="0" w:space="0" w:color="auto"/>
                    <w:left w:val="none" w:sz="0" w:space="0" w:color="auto"/>
                    <w:bottom w:val="none" w:sz="0" w:space="0" w:color="auto"/>
                    <w:right w:val="none" w:sz="0" w:space="0" w:color="auto"/>
                  </w:divBdr>
                  <w:divsChild>
                    <w:div w:id="142090317">
                      <w:marLeft w:val="0"/>
                      <w:marRight w:val="0"/>
                      <w:marTop w:val="0"/>
                      <w:marBottom w:val="0"/>
                      <w:divBdr>
                        <w:top w:val="none" w:sz="0" w:space="0" w:color="auto"/>
                        <w:left w:val="none" w:sz="0" w:space="0" w:color="auto"/>
                        <w:bottom w:val="none" w:sz="0" w:space="0" w:color="auto"/>
                        <w:right w:val="none" w:sz="0" w:space="0" w:color="auto"/>
                      </w:divBdr>
                    </w:div>
                  </w:divsChild>
                </w:div>
                <w:div w:id="1291353829">
                  <w:marLeft w:val="0"/>
                  <w:marRight w:val="0"/>
                  <w:marTop w:val="0"/>
                  <w:marBottom w:val="0"/>
                  <w:divBdr>
                    <w:top w:val="none" w:sz="0" w:space="0" w:color="auto"/>
                    <w:left w:val="none" w:sz="0" w:space="0" w:color="auto"/>
                    <w:bottom w:val="none" w:sz="0" w:space="0" w:color="auto"/>
                    <w:right w:val="none" w:sz="0" w:space="0" w:color="auto"/>
                  </w:divBdr>
                  <w:divsChild>
                    <w:div w:id="714700030">
                      <w:marLeft w:val="0"/>
                      <w:marRight w:val="0"/>
                      <w:marTop w:val="0"/>
                      <w:marBottom w:val="0"/>
                      <w:divBdr>
                        <w:top w:val="none" w:sz="0" w:space="0" w:color="auto"/>
                        <w:left w:val="none" w:sz="0" w:space="0" w:color="auto"/>
                        <w:bottom w:val="none" w:sz="0" w:space="0" w:color="auto"/>
                        <w:right w:val="none" w:sz="0" w:space="0" w:color="auto"/>
                      </w:divBdr>
                    </w:div>
                  </w:divsChild>
                </w:div>
                <w:div w:id="1337659861">
                  <w:marLeft w:val="0"/>
                  <w:marRight w:val="0"/>
                  <w:marTop w:val="0"/>
                  <w:marBottom w:val="0"/>
                  <w:divBdr>
                    <w:top w:val="none" w:sz="0" w:space="0" w:color="auto"/>
                    <w:left w:val="none" w:sz="0" w:space="0" w:color="auto"/>
                    <w:bottom w:val="none" w:sz="0" w:space="0" w:color="auto"/>
                    <w:right w:val="none" w:sz="0" w:space="0" w:color="auto"/>
                  </w:divBdr>
                  <w:divsChild>
                    <w:div w:id="1288661595">
                      <w:marLeft w:val="0"/>
                      <w:marRight w:val="0"/>
                      <w:marTop w:val="0"/>
                      <w:marBottom w:val="0"/>
                      <w:divBdr>
                        <w:top w:val="none" w:sz="0" w:space="0" w:color="auto"/>
                        <w:left w:val="none" w:sz="0" w:space="0" w:color="auto"/>
                        <w:bottom w:val="none" w:sz="0" w:space="0" w:color="auto"/>
                        <w:right w:val="none" w:sz="0" w:space="0" w:color="auto"/>
                      </w:divBdr>
                    </w:div>
                  </w:divsChild>
                </w:div>
                <w:div w:id="1339193269">
                  <w:marLeft w:val="0"/>
                  <w:marRight w:val="0"/>
                  <w:marTop w:val="0"/>
                  <w:marBottom w:val="0"/>
                  <w:divBdr>
                    <w:top w:val="none" w:sz="0" w:space="0" w:color="auto"/>
                    <w:left w:val="none" w:sz="0" w:space="0" w:color="auto"/>
                    <w:bottom w:val="none" w:sz="0" w:space="0" w:color="auto"/>
                    <w:right w:val="none" w:sz="0" w:space="0" w:color="auto"/>
                  </w:divBdr>
                  <w:divsChild>
                    <w:div w:id="1766686257">
                      <w:marLeft w:val="0"/>
                      <w:marRight w:val="0"/>
                      <w:marTop w:val="0"/>
                      <w:marBottom w:val="0"/>
                      <w:divBdr>
                        <w:top w:val="none" w:sz="0" w:space="0" w:color="auto"/>
                        <w:left w:val="none" w:sz="0" w:space="0" w:color="auto"/>
                        <w:bottom w:val="none" w:sz="0" w:space="0" w:color="auto"/>
                        <w:right w:val="none" w:sz="0" w:space="0" w:color="auto"/>
                      </w:divBdr>
                    </w:div>
                  </w:divsChild>
                </w:div>
                <w:div w:id="1364135948">
                  <w:marLeft w:val="0"/>
                  <w:marRight w:val="0"/>
                  <w:marTop w:val="0"/>
                  <w:marBottom w:val="0"/>
                  <w:divBdr>
                    <w:top w:val="none" w:sz="0" w:space="0" w:color="auto"/>
                    <w:left w:val="none" w:sz="0" w:space="0" w:color="auto"/>
                    <w:bottom w:val="none" w:sz="0" w:space="0" w:color="auto"/>
                    <w:right w:val="none" w:sz="0" w:space="0" w:color="auto"/>
                  </w:divBdr>
                  <w:divsChild>
                    <w:div w:id="1416200026">
                      <w:marLeft w:val="0"/>
                      <w:marRight w:val="0"/>
                      <w:marTop w:val="0"/>
                      <w:marBottom w:val="0"/>
                      <w:divBdr>
                        <w:top w:val="none" w:sz="0" w:space="0" w:color="auto"/>
                        <w:left w:val="none" w:sz="0" w:space="0" w:color="auto"/>
                        <w:bottom w:val="none" w:sz="0" w:space="0" w:color="auto"/>
                        <w:right w:val="none" w:sz="0" w:space="0" w:color="auto"/>
                      </w:divBdr>
                    </w:div>
                  </w:divsChild>
                </w:div>
                <w:div w:id="1366759112">
                  <w:marLeft w:val="0"/>
                  <w:marRight w:val="0"/>
                  <w:marTop w:val="0"/>
                  <w:marBottom w:val="0"/>
                  <w:divBdr>
                    <w:top w:val="none" w:sz="0" w:space="0" w:color="auto"/>
                    <w:left w:val="none" w:sz="0" w:space="0" w:color="auto"/>
                    <w:bottom w:val="none" w:sz="0" w:space="0" w:color="auto"/>
                    <w:right w:val="none" w:sz="0" w:space="0" w:color="auto"/>
                  </w:divBdr>
                  <w:divsChild>
                    <w:div w:id="1628200175">
                      <w:marLeft w:val="0"/>
                      <w:marRight w:val="0"/>
                      <w:marTop w:val="0"/>
                      <w:marBottom w:val="0"/>
                      <w:divBdr>
                        <w:top w:val="none" w:sz="0" w:space="0" w:color="auto"/>
                        <w:left w:val="none" w:sz="0" w:space="0" w:color="auto"/>
                        <w:bottom w:val="none" w:sz="0" w:space="0" w:color="auto"/>
                        <w:right w:val="none" w:sz="0" w:space="0" w:color="auto"/>
                      </w:divBdr>
                    </w:div>
                  </w:divsChild>
                </w:div>
                <w:div w:id="1371028684">
                  <w:marLeft w:val="0"/>
                  <w:marRight w:val="0"/>
                  <w:marTop w:val="0"/>
                  <w:marBottom w:val="0"/>
                  <w:divBdr>
                    <w:top w:val="none" w:sz="0" w:space="0" w:color="auto"/>
                    <w:left w:val="none" w:sz="0" w:space="0" w:color="auto"/>
                    <w:bottom w:val="none" w:sz="0" w:space="0" w:color="auto"/>
                    <w:right w:val="none" w:sz="0" w:space="0" w:color="auto"/>
                  </w:divBdr>
                  <w:divsChild>
                    <w:div w:id="246227559">
                      <w:marLeft w:val="0"/>
                      <w:marRight w:val="0"/>
                      <w:marTop w:val="0"/>
                      <w:marBottom w:val="0"/>
                      <w:divBdr>
                        <w:top w:val="none" w:sz="0" w:space="0" w:color="auto"/>
                        <w:left w:val="none" w:sz="0" w:space="0" w:color="auto"/>
                        <w:bottom w:val="none" w:sz="0" w:space="0" w:color="auto"/>
                        <w:right w:val="none" w:sz="0" w:space="0" w:color="auto"/>
                      </w:divBdr>
                    </w:div>
                  </w:divsChild>
                </w:div>
                <w:div w:id="1380931693">
                  <w:marLeft w:val="0"/>
                  <w:marRight w:val="0"/>
                  <w:marTop w:val="0"/>
                  <w:marBottom w:val="0"/>
                  <w:divBdr>
                    <w:top w:val="none" w:sz="0" w:space="0" w:color="auto"/>
                    <w:left w:val="none" w:sz="0" w:space="0" w:color="auto"/>
                    <w:bottom w:val="none" w:sz="0" w:space="0" w:color="auto"/>
                    <w:right w:val="none" w:sz="0" w:space="0" w:color="auto"/>
                  </w:divBdr>
                  <w:divsChild>
                    <w:div w:id="1052730347">
                      <w:marLeft w:val="0"/>
                      <w:marRight w:val="0"/>
                      <w:marTop w:val="0"/>
                      <w:marBottom w:val="0"/>
                      <w:divBdr>
                        <w:top w:val="none" w:sz="0" w:space="0" w:color="auto"/>
                        <w:left w:val="none" w:sz="0" w:space="0" w:color="auto"/>
                        <w:bottom w:val="none" w:sz="0" w:space="0" w:color="auto"/>
                        <w:right w:val="none" w:sz="0" w:space="0" w:color="auto"/>
                      </w:divBdr>
                    </w:div>
                  </w:divsChild>
                </w:div>
                <w:div w:id="1389455731">
                  <w:marLeft w:val="0"/>
                  <w:marRight w:val="0"/>
                  <w:marTop w:val="0"/>
                  <w:marBottom w:val="0"/>
                  <w:divBdr>
                    <w:top w:val="none" w:sz="0" w:space="0" w:color="auto"/>
                    <w:left w:val="none" w:sz="0" w:space="0" w:color="auto"/>
                    <w:bottom w:val="none" w:sz="0" w:space="0" w:color="auto"/>
                    <w:right w:val="none" w:sz="0" w:space="0" w:color="auto"/>
                  </w:divBdr>
                  <w:divsChild>
                    <w:div w:id="1448156628">
                      <w:marLeft w:val="0"/>
                      <w:marRight w:val="0"/>
                      <w:marTop w:val="0"/>
                      <w:marBottom w:val="0"/>
                      <w:divBdr>
                        <w:top w:val="none" w:sz="0" w:space="0" w:color="auto"/>
                        <w:left w:val="none" w:sz="0" w:space="0" w:color="auto"/>
                        <w:bottom w:val="none" w:sz="0" w:space="0" w:color="auto"/>
                        <w:right w:val="none" w:sz="0" w:space="0" w:color="auto"/>
                      </w:divBdr>
                    </w:div>
                  </w:divsChild>
                </w:div>
                <w:div w:id="1425418273">
                  <w:marLeft w:val="0"/>
                  <w:marRight w:val="0"/>
                  <w:marTop w:val="0"/>
                  <w:marBottom w:val="0"/>
                  <w:divBdr>
                    <w:top w:val="none" w:sz="0" w:space="0" w:color="auto"/>
                    <w:left w:val="none" w:sz="0" w:space="0" w:color="auto"/>
                    <w:bottom w:val="none" w:sz="0" w:space="0" w:color="auto"/>
                    <w:right w:val="none" w:sz="0" w:space="0" w:color="auto"/>
                  </w:divBdr>
                  <w:divsChild>
                    <w:div w:id="1862695199">
                      <w:marLeft w:val="0"/>
                      <w:marRight w:val="0"/>
                      <w:marTop w:val="0"/>
                      <w:marBottom w:val="0"/>
                      <w:divBdr>
                        <w:top w:val="none" w:sz="0" w:space="0" w:color="auto"/>
                        <w:left w:val="none" w:sz="0" w:space="0" w:color="auto"/>
                        <w:bottom w:val="none" w:sz="0" w:space="0" w:color="auto"/>
                        <w:right w:val="none" w:sz="0" w:space="0" w:color="auto"/>
                      </w:divBdr>
                    </w:div>
                  </w:divsChild>
                </w:div>
                <w:div w:id="1434934377">
                  <w:marLeft w:val="0"/>
                  <w:marRight w:val="0"/>
                  <w:marTop w:val="0"/>
                  <w:marBottom w:val="0"/>
                  <w:divBdr>
                    <w:top w:val="none" w:sz="0" w:space="0" w:color="auto"/>
                    <w:left w:val="none" w:sz="0" w:space="0" w:color="auto"/>
                    <w:bottom w:val="none" w:sz="0" w:space="0" w:color="auto"/>
                    <w:right w:val="none" w:sz="0" w:space="0" w:color="auto"/>
                  </w:divBdr>
                  <w:divsChild>
                    <w:div w:id="431361661">
                      <w:marLeft w:val="0"/>
                      <w:marRight w:val="0"/>
                      <w:marTop w:val="0"/>
                      <w:marBottom w:val="0"/>
                      <w:divBdr>
                        <w:top w:val="none" w:sz="0" w:space="0" w:color="auto"/>
                        <w:left w:val="none" w:sz="0" w:space="0" w:color="auto"/>
                        <w:bottom w:val="none" w:sz="0" w:space="0" w:color="auto"/>
                        <w:right w:val="none" w:sz="0" w:space="0" w:color="auto"/>
                      </w:divBdr>
                    </w:div>
                  </w:divsChild>
                </w:div>
                <w:div w:id="1448084208">
                  <w:marLeft w:val="0"/>
                  <w:marRight w:val="0"/>
                  <w:marTop w:val="0"/>
                  <w:marBottom w:val="0"/>
                  <w:divBdr>
                    <w:top w:val="none" w:sz="0" w:space="0" w:color="auto"/>
                    <w:left w:val="none" w:sz="0" w:space="0" w:color="auto"/>
                    <w:bottom w:val="none" w:sz="0" w:space="0" w:color="auto"/>
                    <w:right w:val="none" w:sz="0" w:space="0" w:color="auto"/>
                  </w:divBdr>
                  <w:divsChild>
                    <w:div w:id="1598365977">
                      <w:marLeft w:val="0"/>
                      <w:marRight w:val="0"/>
                      <w:marTop w:val="0"/>
                      <w:marBottom w:val="0"/>
                      <w:divBdr>
                        <w:top w:val="none" w:sz="0" w:space="0" w:color="auto"/>
                        <w:left w:val="none" w:sz="0" w:space="0" w:color="auto"/>
                        <w:bottom w:val="none" w:sz="0" w:space="0" w:color="auto"/>
                        <w:right w:val="none" w:sz="0" w:space="0" w:color="auto"/>
                      </w:divBdr>
                    </w:div>
                  </w:divsChild>
                </w:div>
                <w:div w:id="1457094530">
                  <w:marLeft w:val="0"/>
                  <w:marRight w:val="0"/>
                  <w:marTop w:val="0"/>
                  <w:marBottom w:val="0"/>
                  <w:divBdr>
                    <w:top w:val="none" w:sz="0" w:space="0" w:color="auto"/>
                    <w:left w:val="none" w:sz="0" w:space="0" w:color="auto"/>
                    <w:bottom w:val="none" w:sz="0" w:space="0" w:color="auto"/>
                    <w:right w:val="none" w:sz="0" w:space="0" w:color="auto"/>
                  </w:divBdr>
                  <w:divsChild>
                    <w:div w:id="1136144563">
                      <w:marLeft w:val="0"/>
                      <w:marRight w:val="0"/>
                      <w:marTop w:val="0"/>
                      <w:marBottom w:val="0"/>
                      <w:divBdr>
                        <w:top w:val="none" w:sz="0" w:space="0" w:color="auto"/>
                        <w:left w:val="none" w:sz="0" w:space="0" w:color="auto"/>
                        <w:bottom w:val="none" w:sz="0" w:space="0" w:color="auto"/>
                        <w:right w:val="none" w:sz="0" w:space="0" w:color="auto"/>
                      </w:divBdr>
                    </w:div>
                  </w:divsChild>
                </w:div>
                <w:div w:id="1463768572">
                  <w:marLeft w:val="0"/>
                  <w:marRight w:val="0"/>
                  <w:marTop w:val="0"/>
                  <w:marBottom w:val="0"/>
                  <w:divBdr>
                    <w:top w:val="none" w:sz="0" w:space="0" w:color="auto"/>
                    <w:left w:val="none" w:sz="0" w:space="0" w:color="auto"/>
                    <w:bottom w:val="none" w:sz="0" w:space="0" w:color="auto"/>
                    <w:right w:val="none" w:sz="0" w:space="0" w:color="auto"/>
                  </w:divBdr>
                  <w:divsChild>
                    <w:div w:id="118574391">
                      <w:marLeft w:val="0"/>
                      <w:marRight w:val="0"/>
                      <w:marTop w:val="0"/>
                      <w:marBottom w:val="0"/>
                      <w:divBdr>
                        <w:top w:val="none" w:sz="0" w:space="0" w:color="auto"/>
                        <w:left w:val="none" w:sz="0" w:space="0" w:color="auto"/>
                        <w:bottom w:val="none" w:sz="0" w:space="0" w:color="auto"/>
                        <w:right w:val="none" w:sz="0" w:space="0" w:color="auto"/>
                      </w:divBdr>
                    </w:div>
                  </w:divsChild>
                </w:div>
                <w:div w:id="1466704105">
                  <w:marLeft w:val="0"/>
                  <w:marRight w:val="0"/>
                  <w:marTop w:val="0"/>
                  <w:marBottom w:val="0"/>
                  <w:divBdr>
                    <w:top w:val="none" w:sz="0" w:space="0" w:color="auto"/>
                    <w:left w:val="none" w:sz="0" w:space="0" w:color="auto"/>
                    <w:bottom w:val="none" w:sz="0" w:space="0" w:color="auto"/>
                    <w:right w:val="none" w:sz="0" w:space="0" w:color="auto"/>
                  </w:divBdr>
                  <w:divsChild>
                    <w:div w:id="1019162449">
                      <w:marLeft w:val="0"/>
                      <w:marRight w:val="0"/>
                      <w:marTop w:val="0"/>
                      <w:marBottom w:val="0"/>
                      <w:divBdr>
                        <w:top w:val="none" w:sz="0" w:space="0" w:color="auto"/>
                        <w:left w:val="none" w:sz="0" w:space="0" w:color="auto"/>
                        <w:bottom w:val="none" w:sz="0" w:space="0" w:color="auto"/>
                        <w:right w:val="none" w:sz="0" w:space="0" w:color="auto"/>
                      </w:divBdr>
                    </w:div>
                  </w:divsChild>
                </w:div>
                <w:div w:id="1492985996">
                  <w:marLeft w:val="0"/>
                  <w:marRight w:val="0"/>
                  <w:marTop w:val="0"/>
                  <w:marBottom w:val="0"/>
                  <w:divBdr>
                    <w:top w:val="none" w:sz="0" w:space="0" w:color="auto"/>
                    <w:left w:val="none" w:sz="0" w:space="0" w:color="auto"/>
                    <w:bottom w:val="none" w:sz="0" w:space="0" w:color="auto"/>
                    <w:right w:val="none" w:sz="0" w:space="0" w:color="auto"/>
                  </w:divBdr>
                  <w:divsChild>
                    <w:div w:id="1809739753">
                      <w:marLeft w:val="0"/>
                      <w:marRight w:val="0"/>
                      <w:marTop w:val="0"/>
                      <w:marBottom w:val="0"/>
                      <w:divBdr>
                        <w:top w:val="none" w:sz="0" w:space="0" w:color="auto"/>
                        <w:left w:val="none" w:sz="0" w:space="0" w:color="auto"/>
                        <w:bottom w:val="none" w:sz="0" w:space="0" w:color="auto"/>
                        <w:right w:val="none" w:sz="0" w:space="0" w:color="auto"/>
                      </w:divBdr>
                    </w:div>
                  </w:divsChild>
                </w:div>
                <w:div w:id="1500849651">
                  <w:marLeft w:val="0"/>
                  <w:marRight w:val="0"/>
                  <w:marTop w:val="0"/>
                  <w:marBottom w:val="0"/>
                  <w:divBdr>
                    <w:top w:val="none" w:sz="0" w:space="0" w:color="auto"/>
                    <w:left w:val="none" w:sz="0" w:space="0" w:color="auto"/>
                    <w:bottom w:val="none" w:sz="0" w:space="0" w:color="auto"/>
                    <w:right w:val="none" w:sz="0" w:space="0" w:color="auto"/>
                  </w:divBdr>
                  <w:divsChild>
                    <w:div w:id="1525706168">
                      <w:marLeft w:val="0"/>
                      <w:marRight w:val="0"/>
                      <w:marTop w:val="0"/>
                      <w:marBottom w:val="0"/>
                      <w:divBdr>
                        <w:top w:val="none" w:sz="0" w:space="0" w:color="auto"/>
                        <w:left w:val="none" w:sz="0" w:space="0" w:color="auto"/>
                        <w:bottom w:val="none" w:sz="0" w:space="0" w:color="auto"/>
                        <w:right w:val="none" w:sz="0" w:space="0" w:color="auto"/>
                      </w:divBdr>
                    </w:div>
                  </w:divsChild>
                </w:div>
                <w:div w:id="1516724228">
                  <w:marLeft w:val="0"/>
                  <w:marRight w:val="0"/>
                  <w:marTop w:val="0"/>
                  <w:marBottom w:val="0"/>
                  <w:divBdr>
                    <w:top w:val="none" w:sz="0" w:space="0" w:color="auto"/>
                    <w:left w:val="none" w:sz="0" w:space="0" w:color="auto"/>
                    <w:bottom w:val="none" w:sz="0" w:space="0" w:color="auto"/>
                    <w:right w:val="none" w:sz="0" w:space="0" w:color="auto"/>
                  </w:divBdr>
                  <w:divsChild>
                    <w:div w:id="610278674">
                      <w:marLeft w:val="0"/>
                      <w:marRight w:val="0"/>
                      <w:marTop w:val="0"/>
                      <w:marBottom w:val="0"/>
                      <w:divBdr>
                        <w:top w:val="none" w:sz="0" w:space="0" w:color="auto"/>
                        <w:left w:val="none" w:sz="0" w:space="0" w:color="auto"/>
                        <w:bottom w:val="none" w:sz="0" w:space="0" w:color="auto"/>
                        <w:right w:val="none" w:sz="0" w:space="0" w:color="auto"/>
                      </w:divBdr>
                    </w:div>
                  </w:divsChild>
                </w:div>
                <w:div w:id="1517696733">
                  <w:marLeft w:val="0"/>
                  <w:marRight w:val="0"/>
                  <w:marTop w:val="0"/>
                  <w:marBottom w:val="0"/>
                  <w:divBdr>
                    <w:top w:val="none" w:sz="0" w:space="0" w:color="auto"/>
                    <w:left w:val="none" w:sz="0" w:space="0" w:color="auto"/>
                    <w:bottom w:val="none" w:sz="0" w:space="0" w:color="auto"/>
                    <w:right w:val="none" w:sz="0" w:space="0" w:color="auto"/>
                  </w:divBdr>
                  <w:divsChild>
                    <w:div w:id="456144902">
                      <w:marLeft w:val="0"/>
                      <w:marRight w:val="0"/>
                      <w:marTop w:val="0"/>
                      <w:marBottom w:val="0"/>
                      <w:divBdr>
                        <w:top w:val="none" w:sz="0" w:space="0" w:color="auto"/>
                        <w:left w:val="none" w:sz="0" w:space="0" w:color="auto"/>
                        <w:bottom w:val="none" w:sz="0" w:space="0" w:color="auto"/>
                        <w:right w:val="none" w:sz="0" w:space="0" w:color="auto"/>
                      </w:divBdr>
                    </w:div>
                  </w:divsChild>
                </w:div>
                <w:div w:id="1518041641">
                  <w:marLeft w:val="0"/>
                  <w:marRight w:val="0"/>
                  <w:marTop w:val="0"/>
                  <w:marBottom w:val="0"/>
                  <w:divBdr>
                    <w:top w:val="none" w:sz="0" w:space="0" w:color="auto"/>
                    <w:left w:val="none" w:sz="0" w:space="0" w:color="auto"/>
                    <w:bottom w:val="none" w:sz="0" w:space="0" w:color="auto"/>
                    <w:right w:val="none" w:sz="0" w:space="0" w:color="auto"/>
                  </w:divBdr>
                  <w:divsChild>
                    <w:div w:id="1596286028">
                      <w:marLeft w:val="0"/>
                      <w:marRight w:val="0"/>
                      <w:marTop w:val="0"/>
                      <w:marBottom w:val="0"/>
                      <w:divBdr>
                        <w:top w:val="none" w:sz="0" w:space="0" w:color="auto"/>
                        <w:left w:val="none" w:sz="0" w:space="0" w:color="auto"/>
                        <w:bottom w:val="none" w:sz="0" w:space="0" w:color="auto"/>
                        <w:right w:val="none" w:sz="0" w:space="0" w:color="auto"/>
                      </w:divBdr>
                    </w:div>
                  </w:divsChild>
                </w:div>
                <w:div w:id="1519154516">
                  <w:marLeft w:val="0"/>
                  <w:marRight w:val="0"/>
                  <w:marTop w:val="0"/>
                  <w:marBottom w:val="0"/>
                  <w:divBdr>
                    <w:top w:val="none" w:sz="0" w:space="0" w:color="auto"/>
                    <w:left w:val="none" w:sz="0" w:space="0" w:color="auto"/>
                    <w:bottom w:val="none" w:sz="0" w:space="0" w:color="auto"/>
                    <w:right w:val="none" w:sz="0" w:space="0" w:color="auto"/>
                  </w:divBdr>
                  <w:divsChild>
                    <w:div w:id="366953279">
                      <w:marLeft w:val="0"/>
                      <w:marRight w:val="0"/>
                      <w:marTop w:val="0"/>
                      <w:marBottom w:val="0"/>
                      <w:divBdr>
                        <w:top w:val="none" w:sz="0" w:space="0" w:color="auto"/>
                        <w:left w:val="none" w:sz="0" w:space="0" w:color="auto"/>
                        <w:bottom w:val="none" w:sz="0" w:space="0" w:color="auto"/>
                        <w:right w:val="none" w:sz="0" w:space="0" w:color="auto"/>
                      </w:divBdr>
                    </w:div>
                  </w:divsChild>
                </w:div>
                <w:div w:id="1532301089">
                  <w:marLeft w:val="0"/>
                  <w:marRight w:val="0"/>
                  <w:marTop w:val="0"/>
                  <w:marBottom w:val="0"/>
                  <w:divBdr>
                    <w:top w:val="none" w:sz="0" w:space="0" w:color="auto"/>
                    <w:left w:val="none" w:sz="0" w:space="0" w:color="auto"/>
                    <w:bottom w:val="none" w:sz="0" w:space="0" w:color="auto"/>
                    <w:right w:val="none" w:sz="0" w:space="0" w:color="auto"/>
                  </w:divBdr>
                  <w:divsChild>
                    <w:div w:id="1203440613">
                      <w:marLeft w:val="0"/>
                      <w:marRight w:val="0"/>
                      <w:marTop w:val="0"/>
                      <w:marBottom w:val="0"/>
                      <w:divBdr>
                        <w:top w:val="none" w:sz="0" w:space="0" w:color="auto"/>
                        <w:left w:val="none" w:sz="0" w:space="0" w:color="auto"/>
                        <w:bottom w:val="none" w:sz="0" w:space="0" w:color="auto"/>
                        <w:right w:val="none" w:sz="0" w:space="0" w:color="auto"/>
                      </w:divBdr>
                    </w:div>
                  </w:divsChild>
                </w:div>
                <w:div w:id="1586840158">
                  <w:marLeft w:val="0"/>
                  <w:marRight w:val="0"/>
                  <w:marTop w:val="0"/>
                  <w:marBottom w:val="0"/>
                  <w:divBdr>
                    <w:top w:val="none" w:sz="0" w:space="0" w:color="auto"/>
                    <w:left w:val="none" w:sz="0" w:space="0" w:color="auto"/>
                    <w:bottom w:val="none" w:sz="0" w:space="0" w:color="auto"/>
                    <w:right w:val="none" w:sz="0" w:space="0" w:color="auto"/>
                  </w:divBdr>
                  <w:divsChild>
                    <w:div w:id="545527975">
                      <w:marLeft w:val="0"/>
                      <w:marRight w:val="0"/>
                      <w:marTop w:val="0"/>
                      <w:marBottom w:val="0"/>
                      <w:divBdr>
                        <w:top w:val="none" w:sz="0" w:space="0" w:color="auto"/>
                        <w:left w:val="none" w:sz="0" w:space="0" w:color="auto"/>
                        <w:bottom w:val="none" w:sz="0" w:space="0" w:color="auto"/>
                        <w:right w:val="none" w:sz="0" w:space="0" w:color="auto"/>
                      </w:divBdr>
                    </w:div>
                  </w:divsChild>
                </w:div>
                <w:div w:id="1590384369">
                  <w:marLeft w:val="0"/>
                  <w:marRight w:val="0"/>
                  <w:marTop w:val="0"/>
                  <w:marBottom w:val="0"/>
                  <w:divBdr>
                    <w:top w:val="none" w:sz="0" w:space="0" w:color="auto"/>
                    <w:left w:val="none" w:sz="0" w:space="0" w:color="auto"/>
                    <w:bottom w:val="none" w:sz="0" w:space="0" w:color="auto"/>
                    <w:right w:val="none" w:sz="0" w:space="0" w:color="auto"/>
                  </w:divBdr>
                  <w:divsChild>
                    <w:div w:id="1085954247">
                      <w:marLeft w:val="0"/>
                      <w:marRight w:val="0"/>
                      <w:marTop w:val="0"/>
                      <w:marBottom w:val="0"/>
                      <w:divBdr>
                        <w:top w:val="none" w:sz="0" w:space="0" w:color="auto"/>
                        <w:left w:val="none" w:sz="0" w:space="0" w:color="auto"/>
                        <w:bottom w:val="none" w:sz="0" w:space="0" w:color="auto"/>
                        <w:right w:val="none" w:sz="0" w:space="0" w:color="auto"/>
                      </w:divBdr>
                    </w:div>
                  </w:divsChild>
                </w:div>
                <w:div w:id="1596816483">
                  <w:marLeft w:val="0"/>
                  <w:marRight w:val="0"/>
                  <w:marTop w:val="0"/>
                  <w:marBottom w:val="0"/>
                  <w:divBdr>
                    <w:top w:val="none" w:sz="0" w:space="0" w:color="auto"/>
                    <w:left w:val="none" w:sz="0" w:space="0" w:color="auto"/>
                    <w:bottom w:val="none" w:sz="0" w:space="0" w:color="auto"/>
                    <w:right w:val="none" w:sz="0" w:space="0" w:color="auto"/>
                  </w:divBdr>
                  <w:divsChild>
                    <w:div w:id="1665426071">
                      <w:marLeft w:val="0"/>
                      <w:marRight w:val="0"/>
                      <w:marTop w:val="0"/>
                      <w:marBottom w:val="0"/>
                      <w:divBdr>
                        <w:top w:val="none" w:sz="0" w:space="0" w:color="auto"/>
                        <w:left w:val="none" w:sz="0" w:space="0" w:color="auto"/>
                        <w:bottom w:val="none" w:sz="0" w:space="0" w:color="auto"/>
                        <w:right w:val="none" w:sz="0" w:space="0" w:color="auto"/>
                      </w:divBdr>
                    </w:div>
                  </w:divsChild>
                </w:div>
                <w:div w:id="1613324545">
                  <w:marLeft w:val="0"/>
                  <w:marRight w:val="0"/>
                  <w:marTop w:val="0"/>
                  <w:marBottom w:val="0"/>
                  <w:divBdr>
                    <w:top w:val="none" w:sz="0" w:space="0" w:color="auto"/>
                    <w:left w:val="none" w:sz="0" w:space="0" w:color="auto"/>
                    <w:bottom w:val="none" w:sz="0" w:space="0" w:color="auto"/>
                    <w:right w:val="none" w:sz="0" w:space="0" w:color="auto"/>
                  </w:divBdr>
                  <w:divsChild>
                    <w:div w:id="1428231979">
                      <w:marLeft w:val="0"/>
                      <w:marRight w:val="0"/>
                      <w:marTop w:val="0"/>
                      <w:marBottom w:val="0"/>
                      <w:divBdr>
                        <w:top w:val="none" w:sz="0" w:space="0" w:color="auto"/>
                        <w:left w:val="none" w:sz="0" w:space="0" w:color="auto"/>
                        <w:bottom w:val="none" w:sz="0" w:space="0" w:color="auto"/>
                        <w:right w:val="none" w:sz="0" w:space="0" w:color="auto"/>
                      </w:divBdr>
                    </w:div>
                  </w:divsChild>
                </w:div>
                <w:div w:id="1617250954">
                  <w:marLeft w:val="0"/>
                  <w:marRight w:val="0"/>
                  <w:marTop w:val="0"/>
                  <w:marBottom w:val="0"/>
                  <w:divBdr>
                    <w:top w:val="none" w:sz="0" w:space="0" w:color="auto"/>
                    <w:left w:val="none" w:sz="0" w:space="0" w:color="auto"/>
                    <w:bottom w:val="none" w:sz="0" w:space="0" w:color="auto"/>
                    <w:right w:val="none" w:sz="0" w:space="0" w:color="auto"/>
                  </w:divBdr>
                  <w:divsChild>
                    <w:div w:id="2071804464">
                      <w:marLeft w:val="0"/>
                      <w:marRight w:val="0"/>
                      <w:marTop w:val="0"/>
                      <w:marBottom w:val="0"/>
                      <w:divBdr>
                        <w:top w:val="none" w:sz="0" w:space="0" w:color="auto"/>
                        <w:left w:val="none" w:sz="0" w:space="0" w:color="auto"/>
                        <w:bottom w:val="none" w:sz="0" w:space="0" w:color="auto"/>
                        <w:right w:val="none" w:sz="0" w:space="0" w:color="auto"/>
                      </w:divBdr>
                    </w:div>
                  </w:divsChild>
                </w:div>
                <w:div w:id="1679574629">
                  <w:marLeft w:val="0"/>
                  <w:marRight w:val="0"/>
                  <w:marTop w:val="0"/>
                  <w:marBottom w:val="0"/>
                  <w:divBdr>
                    <w:top w:val="none" w:sz="0" w:space="0" w:color="auto"/>
                    <w:left w:val="none" w:sz="0" w:space="0" w:color="auto"/>
                    <w:bottom w:val="none" w:sz="0" w:space="0" w:color="auto"/>
                    <w:right w:val="none" w:sz="0" w:space="0" w:color="auto"/>
                  </w:divBdr>
                  <w:divsChild>
                    <w:div w:id="1116100547">
                      <w:marLeft w:val="0"/>
                      <w:marRight w:val="0"/>
                      <w:marTop w:val="0"/>
                      <w:marBottom w:val="0"/>
                      <w:divBdr>
                        <w:top w:val="none" w:sz="0" w:space="0" w:color="auto"/>
                        <w:left w:val="none" w:sz="0" w:space="0" w:color="auto"/>
                        <w:bottom w:val="none" w:sz="0" w:space="0" w:color="auto"/>
                        <w:right w:val="none" w:sz="0" w:space="0" w:color="auto"/>
                      </w:divBdr>
                    </w:div>
                  </w:divsChild>
                </w:div>
                <w:div w:id="1689718839">
                  <w:marLeft w:val="0"/>
                  <w:marRight w:val="0"/>
                  <w:marTop w:val="0"/>
                  <w:marBottom w:val="0"/>
                  <w:divBdr>
                    <w:top w:val="none" w:sz="0" w:space="0" w:color="auto"/>
                    <w:left w:val="none" w:sz="0" w:space="0" w:color="auto"/>
                    <w:bottom w:val="none" w:sz="0" w:space="0" w:color="auto"/>
                    <w:right w:val="none" w:sz="0" w:space="0" w:color="auto"/>
                  </w:divBdr>
                  <w:divsChild>
                    <w:div w:id="614216176">
                      <w:marLeft w:val="0"/>
                      <w:marRight w:val="0"/>
                      <w:marTop w:val="0"/>
                      <w:marBottom w:val="0"/>
                      <w:divBdr>
                        <w:top w:val="none" w:sz="0" w:space="0" w:color="auto"/>
                        <w:left w:val="none" w:sz="0" w:space="0" w:color="auto"/>
                        <w:bottom w:val="none" w:sz="0" w:space="0" w:color="auto"/>
                        <w:right w:val="none" w:sz="0" w:space="0" w:color="auto"/>
                      </w:divBdr>
                    </w:div>
                  </w:divsChild>
                </w:div>
                <w:div w:id="1692412713">
                  <w:marLeft w:val="0"/>
                  <w:marRight w:val="0"/>
                  <w:marTop w:val="0"/>
                  <w:marBottom w:val="0"/>
                  <w:divBdr>
                    <w:top w:val="none" w:sz="0" w:space="0" w:color="auto"/>
                    <w:left w:val="none" w:sz="0" w:space="0" w:color="auto"/>
                    <w:bottom w:val="none" w:sz="0" w:space="0" w:color="auto"/>
                    <w:right w:val="none" w:sz="0" w:space="0" w:color="auto"/>
                  </w:divBdr>
                  <w:divsChild>
                    <w:div w:id="1550337388">
                      <w:marLeft w:val="0"/>
                      <w:marRight w:val="0"/>
                      <w:marTop w:val="0"/>
                      <w:marBottom w:val="0"/>
                      <w:divBdr>
                        <w:top w:val="none" w:sz="0" w:space="0" w:color="auto"/>
                        <w:left w:val="none" w:sz="0" w:space="0" w:color="auto"/>
                        <w:bottom w:val="none" w:sz="0" w:space="0" w:color="auto"/>
                        <w:right w:val="none" w:sz="0" w:space="0" w:color="auto"/>
                      </w:divBdr>
                    </w:div>
                  </w:divsChild>
                </w:div>
                <w:div w:id="1692955369">
                  <w:marLeft w:val="0"/>
                  <w:marRight w:val="0"/>
                  <w:marTop w:val="0"/>
                  <w:marBottom w:val="0"/>
                  <w:divBdr>
                    <w:top w:val="none" w:sz="0" w:space="0" w:color="auto"/>
                    <w:left w:val="none" w:sz="0" w:space="0" w:color="auto"/>
                    <w:bottom w:val="none" w:sz="0" w:space="0" w:color="auto"/>
                    <w:right w:val="none" w:sz="0" w:space="0" w:color="auto"/>
                  </w:divBdr>
                  <w:divsChild>
                    <w:div w:id="527450963">
                      <w:marLeft w:val="0"/>
                      <w:marRight w:val="0"/>
                      <w:marTop w:val="0"/>
                      <w:marBottom w:val="0"/>
                      <w:divBdr>
                        <w:top w:val="none" w:sz="0" w:space="0" w:color="auto"/>
                        <w:left w:val="none" w:sz="0" w:space="0" w:color="auto"/>
                        <w:bottom w:val="none" w:sz="0" w:space="0" w:color="auto"/>
                        <w:right w:val="none" w:sz="0" w:space="0" w:color="auto"/>
                      </w:divBdr>
                    </w:div>
                  </w:divsChild>
                </w:div>
                <w:div w:id="1694768482">
                  <w:marLeft w:val="0"/>
                  <w:marRight w:val="0"/>
                  <w:marTop w:val="0"/>
                  <w:marBottom w:val="0"/>
                  <w:divBdr>
                    <w:top w:val="none" w:sz="0" w:space="0" w:color="auto"/>
                    <w:left w:val="none" w:sz="0" w:space="0" w:color="auto"/>
                    <w:bottom w:val="none" w:sz="0" w:space="0" w:color="auto"/>
                    <w:right w:val="none" w:sz="0" w:space="0" w:color="auto"/>
                  </w:divBdr>
                  <w:divsChild>
                    <w:div w:id="888877606">
                      <w:marLeft w:val="0"/>
                      <w:marRight w:val="0"/>
                      <w:marTop w:val="0"/>
                      <w:marBottom w:val="0"/>
                      <w:divBdr>
                        <w:top w:val="none" w:sz="0" w:space="0" w:color="auto"/>
                        <w:left w:val="none" w:sz="0" w:space="0" w:color="auto"/>
                        <w:bottom w:val="none" w:sz="0" w:space="0" w:color="auto"/>
                        <w:right w:val="none" w:sz="0" w:space="0" w:color="auto"/>
                      </w:divBdr>
                    </w:div>
                  </w:divsChild>
                </w:div>
                <w:div w:id="1703286804">
                  <w:marLeft w:val="0"/>
                  <w:marRight w:val="0"/>
                  <w:marTop w:val="0"/>
                  <w:marBottom w:val="0"/>
                  <w:divBdr>
                    <w:top w:val="none" w:sz="0" w:space="0" w:color="auto"/>
                    <w:left w:val="none" w:sz="0" w:space="0" w:color="auto"/>
                    <w:bottom w:val="none" w:sz="0" w:space="0" w:color="auto"/>
                    <w:right w:val="none" w:sz="0" w:space="0" w:color="auto"/>
                  </w:divBdr>
                  <w:divsChild>
                    <w:div w:id="370767676">
                      <w:marLeft w:val="0"/>
                      <w:marRight w:val="0"/>
                      <w:marTop w:val="0"/>
                      <w:marBottom w:val="0"/>
                      <w:divBdr>
                        <w:top w:val="none" w:sz="0" w:space="0" w:color="auto"/>
                        <w:left w:val="none" w:sz="0" w:space="0" w:color="auto"/>
                        <w:bottom w:val="none" w:sz="0" w:space="0" w:color="auto"/>
                        <w:right w:val="none" w:sz="0" w:space="0" w:color="auto"/>
                      </w:divBdr>
                    </w:div>
                  </w:divsChild>
                </w:div>
                <w:div w:id="1704592816">
                  <w:marLeft w:val="0"/>
                  <w:marRight w:val="0"/>
                  <w:marTop w:val="0"/>
                  <w:marBottom w:val="0"/>
                  <w:divBdr>
                    <w:top w:val="none" w:sz="0" w:space="0" w:color="auto"/>
                    <w:left w:val="none" w:sz="0" w:space="0" w:color="auto"/>
                    <w:bottom w:val="none" w:sz="0" w:space="0" w:color="auto"/>
                    <w:right w:val="none" w:sz="0" w:space="0" w:color="auto"/>
                  </w:divBdr>
                  <w:divsChild>
                    <w:div w:id="759568198">
                      <w:marLeft w:val="0"/>
                      <w:marRight w:val="0"/>
                      <w:marTop w:val="0"/>
                      <w:marBottom w:val="0"/>
                      <w:divBdr>
                        <w:top w:val="none" w:sz="0" w:space="0" w:color="auto"/>
                        <w:left w:val="none" w:sz="0" w:space="0" w:color="auto"/>
                        <w:bottom w:val="none" w:sz="0" w:space="0" w:color="auto"/>
                        <w:right w:val="none" w:sz="0" w:space="0" w:color="auto"/>
                      </w:divBdr>
                    </w:div>
                  </w:divsChild>
                </w:div>
                <w:div w:id="1705709026">
                  <w:marLeft w:val="0"/>
                  <w:marRight w:val="0"/>
                  <w:marTop w:val="0"/>
                  <w:marBottom w:val="0"/>
                  <w:divBdr>
                    <w:top w:val="none" w:sz="0" w:space="0" w:color="auto"/>
                    <w:left w:val="none" w:sz="0" w:space="0" w:color="auto"/>
                    <w:bottom w:val="none" w:sz="0" w:space="0" w:color="auto"/>
                    <w:right w:val="none" w:sz="0" w:space="0" w:color="auto"/>
                  </w:divBdr>
                  <w:divsChild>
                    <w:div w:id="461314242">
                      <w:marLeft w:val="0"/>
                      <w:marRight w:val="0"/>
                      <w:marTop w:val="0"/>
                      <w:marBottom w:val="0"/>
                      <w:divBdr>
                        <w:top w:val="none" w:sz="0" w:space="0" w:color="auto"/>
                        <w:left w:val="none" w:sz="0" w:space="0" w:color="auto"/>
                        <w:bottom w:val="none" w:sz="0" w:space="0" w:color="auto"/>
                        <w:right w:val="none" w:sz="0" w:space="0" w:color="auto"/>
                      </w:divBdr>
                    </w:div>
                  </w:divsChild>
                </w:div>
                <w:div w:id="1742024556">
                  <w:marLeft w:val="0"/>
                  <w:marRight w:val="0"/>
                  <w:marTop w:val="0"/>
                  <w:marBottom w:val="0"/>
                  <w:divBdr>
                    <w:top w:val="none" w:sz="0" w:space="0" w:color="auto"/>
                    <w:left w:val="none" w:sz="0" w:space="0" w:color="auto"/>
                    <w:bottom w:val="none" w:sz="0" w:space="0" w:color="auto"/>
                    <w:right w:val="none" w:sz="0" w:space="0" w:color="auto"/>
                  </w:divBdr>
                  <w:divsChild>
                    <w:div w:id="422149388">
                      <w:marLeft w:val="0"/>
                      <w:marRight w:val="0"/>
                      <w:marTop w:val="0"/>
                      <w:marBottom w:val="0"/>
                      <w:divBdr>
                        <w:top w:val="none" w:sz="0" w:space="0" w:color="auto"/>
                        <w:left w:val="none" w:sz="0" w:space="0" w:color="auto"/>
                        <w:bottom w:val="none" w:sz="0" w:space="0" w:color="auto"/>
                        <w:right w:val="none" w:sz="0" w:space="0" w:color="auto"/>
                      </w:divBdr>
                    </w:div>
                  </w:divsChild>
                </w:div>
                <w:div w:id="1751728253">
                  <w:marLeft w:val="0"/>
                  <w:marRight w:val="0"/>
                  <w:marTop w:val="0"/>
                  <w:marBottom w:val="0"/>
                  <w:divBdr>
                    <w:top w:val="none" w:sz="0" w:space="0" w:color="auto"/>
                    <w:left w:val="none" w:sz="0" w:space="0" w:color="auto"/>
                    <w:bottom w:val="none" w:sz="0" w:space="0" w:color="auto"/>
                    <w:right w:val="none" w:sz="0" w:space="0" w:color="auto"/>
                  </w:divBdr>
                  <w:divsChild>
                    <w:div w:id="428740592">
                      <w:marLeft w:val="0"/>
                      <w:marRight w:val="0"/>
                      <w:marTop w:val="0"/>
                      <w:marBottom w:val="0"/>
                      <w:divBdr>
                        <w:top w:val="none" w:sz="0" w:space="0" w:color="auto"/>
                        <w:left w:val="none" w:sz="0" w:space="0" w:color="auto"/>
                        <w:bottom w:val="none" w:sz="0" w:space="0" w:color="auto"/>
                        <w:right w:val="none" w:sz="0" w:space="0" w:color="auto"/>
                      </w:divBdr>
                    </w:div>
                  </w:divsChild>
                </w:div>
                <w:div w:id="1757747479">
                  <w:marLeft w:val="0"/>
                  <w:marRight w:val="0"/>
                  <w:marTop w:val="0"/>
                  <w:marBottom w:val="0"/>
                  <w:divBdr>
                    <w:top w:val="none" w:sz="0" w:space="0" w:color="auto"/>
                    <w:left w:val="none" w:sz="0" w:space="0" w:color="auto"/>
                    <w:bottom w:val="none" w:sz="0" w:space="0" w:color="auto"/>
                    <w:right w:val="none" w:sz="0" w:space="0" w:color="auto"/>
                  </w:divBdr>
                  <w:divsChild>
                    <w:div w:id="1074014320">
                      <w:marLeft w:val="0"/>
                      <w:marRight w:val="0"/>
                      <w:marTop w:val="0"/>
                      <w:marBottom w:val="0"/>
                      <w:divBdr>
                        <w:top w:val="none" w:sz="0" w:space="0" w:color="auto"/>
                        <w:left w:val="none" w:sz="0" w:space="0" w:color="auto"/>
                        <w:bottom w:val="none" w:sz="0" w:space="0" w:color="auto"/>
                        <w:right w:val="none" w:sz="0" w:space="0" w:color="auto"/>
                      </w:divBdr>
                    </w:div>
                  </w:divsChild>
                </w:div>
                <w:div w:id="1769230845">
                  <w:marLeft w:val="0"/>
                  <w:marRight w:val="0"/>
                  <w:marTop w:val="0"/>
                  <w:marBottom w:val="0"/>
                  <w:divBdr>
                    <w:top w:val="none" w:sz="0" w:space="0" w:color="auto"/>
                    <w:left w:val="none" w:sz="0" w:space="0" w:color="auto"/>
                    <w:bottom w:val="none" w:sz="0" w:space="0" w:color="auto"/>
                    <w:right w:val="none" w:sz="0" w:space="0" w:color="auto"/>
                  </w:divBdr>
                  <w:divsChild>
                    <w:div w:id="537595848">
                      <w:marLeft w:val="0"/>
                      <w:marRight w:val="0"/>
                      <w:marTop w:val="0"/>
                      <w:marBottom w:val="0"/>
                      <w:divBdr>
                        <w:top w:val="none" w:sz="0" w:space="0" w:color="auto"/>
                        <w:left w:val="none" w:sz="0" w:space="0" w:color="auto"/>
                        <w:bottom w:val="none" w:sz="0" w:space="0" w:color="auto"/>
                        <w:right w:val="none" w:sz="0" w:space="0" w:color="auto"/>
                      </w:divBdr>
                    </w:div>
                  </w:divsChild>
                </w:div>
                <w:div w:id="1769423438">
                  <w:marLeft w:val="0"/>
                  <w:marRight w:val="0"/>
                  <w:marTop w:val="0"/>
                  <w:marBottom w:val="0"/>
                  <w:divBdr>
                    <w:top w:val="none" w:sz="0" w:space="0" w:color="auto"/>
                    <w:left w:val="none" w:sz="0" w:space="0" w:color="auto"/>
                    <w:bottom w:val="none" w:sz="0" w:space="0" w:color="auto"/>
                    <w:right w:val="none" w:sz="0" w:space="0" w:color="auto"/>
                  </w:divBdr>
                  <w:divsChild>
                    <w:div w:id="430662575">
                      <w:marLeft w:val="0"/>
                      <w:marRight w:val="0"/>
                      <w:marTop w:val="0"/>
                      <w:marBottom w:val="0"/>
                      <w:divBdr>
                        <w:top w:val="none" w:sz="0" w:space="0" w:color="auto"/>
                        <w:left w:val="none" w:sz="0" w:space="0" w:color="auto"/>
                        <w:bottom w:val="none" w:sz="0" w:space="0" w:color="auto"/>
                        <w:right w:val="none" w:sz="0" w:space="0" w:color="auto"/>
                      </w:divBdr>
                    </w:div>
                  </w:divsChild>
                </w:div>
                <w:div w:id="1776633044">
                  <w:marLeft w:val="0"/>
                  <w:marRight w:val="0"/>
                  <w:marTop w:val="0"/>
                  <w:marBottom w:val="0"/>
                  <w:divBdr>
                    <w:top w:val="none" w:sz="0" w:space="0" w:color="auto"/>
                    <w:left w:val="none" w:sz="0" w:space="0" w:color="auto"/>
                    <w:bottom w:val="none" w:sz="0" w:space="0" w:color="auto"/>
                    <w:right w:val="none" w:sz="0" w:space="0" w:color="auto"/>
                  </w:divBdr>
                  <w:divsChild>
                    <w:div w:id="207958786">
                      <w:marLeft w:val="0"/>
                      <w:marRight w:val="0"/>
                      <w:marTop w:val="0"/>
                      <w:marBottom w:val="0"/>
                      <w:divBdr>
                        <w:top w:val="none" w:sz="0" w:space="0" w:color="auto"/>
                        <w:left w:val="none" w:sz="0" w:space="0" w:color="auto"/>
                        <w:bottom w:val="none" w:sz="0" w:space="0" w:color="auto"/>
                        <w:right w:val="none" w:sz="0" w:space="0" w:color="auto"/>
                      </w:divBdr>
                    </w:div>
                  </w:divsChild>
                </w:div>
                <w:div w:id="1790317923">
                  <w:marLeft w:val="0"/>
                  <w:marRight w:val="0"/>
                  <w:marTop w:val="0"/>
                  <w:marBottom w:val="0"/>
                  <w:divBdr>
                    <w:top w:val="none" w:sz="0" w:space="0" w:color="auto"/>
                    <w:left w:val="none" w:sz="0" w:space="0" w:color="auto"/>
                    <w:bottom w:val="none" w:sz="0" w:space="0" w:color="auto"/>
                    <w:right w:val="none" w:sz="0" w:space="0" w:color="auto"/>
                  </w:divBdr>
                  <w:divsChild>
                    <w:div w:id="1514412610">
                      <w:marLeft w:val="0"/>
                      <w:marRight w:val="0"/>
                      <w:marTop w:val="0"/>
                      <w:marBottom w:val="0"/>
                      <w:divBdr>
                        <w:top w:val="none" w:sz="0" w:space="0" w:color="auto"/>
                        <w:left w:val="none" w:sz="0" w:space="0" w:color="auto"/>
                        <w:bottom w:val="none" w:sz="0" w:space="0" w:color="auto"/>
                        <w:right w:val="none" w:sz="0" w:space="0" w:color="auto"/>
                      </w:divBdr>
                    </w:div>
                  </w:divsChild>
                </w:div>
                <w:div w:id="1826966934">
                  <w:marLeft w:val="0"/>
                  <w:marRight w:val="0"/>
                  <w:marTop w:val="0"/>
                  <w:marBottom w:val="0"/>
                  <w:divBdr>
                    <w:top w:val="none" w:sz="0" w:space="0" w:color="auto"/>
                    <w:left w:val="none" w:sz="0" w:space="0" w:color="auto"/>
                    <w:bottom w:val="none" w:sz="0" w:space="0" w:color="auto"/>
                    <w:right w:val="none" w:sz="0" w:space="0" w:color="auto"/>
                  </w:divBdr>
                  <w:divsChild>
                    <w:div w:id="543490751">
                      <w:marLeft w:val="0"/>
                      <w:marRight w:val="0"/>
                      <w:marTop w:val="0"/>
                      <w:marBottom w:val="0"/>
                      <w:divBdr>
                        <w:top w:val="none" w:sz="0" w:space="0" w:color="auto"/>
                        <w:left w:val="none" w:sz="0" w:space="0" w:color="auto"/>
                        <w:bottom w:val="none" w:sz="0" w:space="0" w:color="auto"/>
                        <w:right w:val="none" w:sz="0" w:space="0" w:color="auto"/>
                      </w:divBdr>
                    </w:div>
                  </w:divsChild>
                </w:div>
                <w:div w:id="1849053658">
                  <w:marLeft w:val="0"/>
                  <w:marRight w:val="0"/>
                  <w:marTop w:val="0"/>
                  <w:marBottom w:val="0"/>
                  <w:divBdr>
                    <w:top w:val="none" w:sz="0" w:space="0" w:color="auto"/>
                    <w:left w:val="none" w:sz="0" w:space="0" w:color="auto"/>
                    <w:bottom w:val="none" w:sz="0" w:space="0" w:color="auto"/>
                    <w:right w:val="none" w:sz="0" w:space="0" w:color="auto"/>
                  </w:divBdr>
                  <w:divsChild>
                    <w:div w:id="2015112595">
                      <w:marLeft w:val="0"/>
                      <w:marRight w:val="0"/>
                      <w:marTop w:val="0"/>
                      <w:marBottom w:val="0"/>
                      <w:divBdr>
                        <w:top w:val="none" w:sz="0" w:space="0" w:color="auto"/>
                        <w:left w:val="none" w:sz="0" w:space="0" w:color="auto"/>
                        <w:bottom w:val="none" w:sz="0" w:space="0" w:color="auto"/>
                        <w:right w:val="none" w:sz="0" w:space="0" w:color="auto"/>
                      </w:divBdr>
                    </w:div>
                  </w:divsChild>
                </w:div>
                <w:div w:id="1864130973">
                  <w:marLeft w:val="0"/>
                  <w:marRight w:val="0"/>
                  <w:marTop w:val="0"/>
                  <w:marBottom w:val="0"/>
                  <w:divBdr>
                    <w:top w:val="none" w:sz="0" w:space="0" w:color="auto"/>
                    <w:left w:val="none" w:sz="0" w:space="0" w:color="auto"/>
                    <w:bottom w:val="none" w:sz="0" w:space="0" w:color="auto"/>
                    <w:right w:val="none" w:sz="0" w:space="0" w:color="auto"/>
                  </w:divBdr>
                  <w:divsChild>
                    <w:div w:id="1995330856">
                      <w:marLeft w:val="0"/>
                      <w:marRight w:val="0"/>
                      <w:marTop w:val="0"/>
                      <w:marBottom w:val="0"/>
                      <w:divBdr>
                        <w:top w:val="none" w:sz="0" w:space="0" w:color="auto"/>
                        <w:left w:val="none" w:sz="0" w:space="0" w:color="auto"/>
                        <w:bottom w:val="none" w:sz="0" w:space="0" w:color="auto"/>
                        <w:right w:val="none" w:sz="0" w:space="0" w:color="auto"/>
                      </w:divBdr>
                    </w:div>
                  </w:divsChild>
                </w:div>
                <w:div w:id="1902061825">
                  <w:marLeft w:val="0"/>
                  <w:marRight w:val="0"/>
                  <w:marTop w:val="0"/>
                  <w:marBottom w:val="0"/>
                  <w:divBdr>
                    <w:top w:val="none" w:sz="0" w:space="0" w:color="auto"/>
                    <w:left w:val="none" w:sz="0" w:space="0" w:color="auto"/>
                    <w:bottom w:val="none" w:sz="0" w:space="0" w:color="auto"/>
                    <w:right w:val="none" w:sz="0" w:space="0" w:color="auto"/>
                  </w:divBdr>
                  <w:divsChild>
                    <w:div w:id="1450472606">
                      <w:marLeft w:val="0"/>
                      <w:marRight w:val="0"/>
                      <w:marTop w:val="0"/>
                      <w:marBottom w:val="0"/>
                      <w:divBdr>
                        <w:top w:val="none" w:sz="0" w:space="0" w:color="auto"/>
                        <w:left w:val="none" w:sz="0" w:space="0" w:color="auto"/>
                        <w:bottom w:val="none" w:sz="0" w:space="0" w:color="auto"/>
                        <w:right w:val="none" w:sz="0" w:space="0" w:color="auto"/>
                      </w:divBdr>
                    </w:div>
                  </w:divsChild>
                </w:div>
                <w:div w:id="1927106342">
                  <w:marLeft w:val="0"/>
                  <w:marRight w:val="0"/>
                  <w:marTop w:val="0"/>
                  <w:marBottom w:val="0"/>
                  <w:divBdr>
                    <w:top w:val="none" w:sz="0" w:space="0" w:color="auto"/>
                    <w:left w:val="none" w:sz="0" w:space="0" w:color="auto"/>
                    <w:bottom w:val="none" w:sz="0" w:space="0" w:color="auto"/>
                    <w:right w:val="none" w:sz="0" w:space="0" w:color="auto"/>
                  </w:divBdr>
                  <w:divsChild>
                    <w:div w:id="1184128143">
                      <w:marLeft w:val="0"/>
                      <w:marRight w:val="0"/>
                      <w:marTop w:val="0"/>
                      <w:marBottom w:val="0"/>
                      <w:divBdr>
                        <w:top w:val="none" w:sz="0" w:space="0" w:color="auto"/>
                        <w:left w:val="none" w:sz="0" w:space="0" w:color="auto"/>
                        <w:bottom w:val="none" w:sz="0" w:space="0" w:color="auto"/>
                        <w:right w:val="none" w:sz="0" w:space="0" w:color="auto"/>
                      </w:divBdr>
                    </w:div>
                  </w:divsChild>
                </w:div>
                <w:div w:id="1973361500">
                  <w:marLeft w:val="0"/>
                  <w:marRight w:val="0"/>
                  <w:marTop w:val="0"/>
                  <w:marBottom w:val="0"/>
                  <w:divBdr>
                    <w:top w:val="none" w:sz="0" w:space="0" w:color="auto"/>
                    <w:left w:val="none" w:sz="0" w:space="0" w:color="auto"/>
                    <w:bottom w:val="none" w:sz="0" w:space="0" w:color="auto"/>
                    <w:right w:val="none" w:sz="0" w:space="0" w:color="auto"/>
                  </w:divBdr>
                  <w:divsChild>
                    <w:div w:id="509107440">
                      <w:marLeft w:val="0"/>
                      <w:marRight w:val="0"/>
                      <w:marTop w:val="0"/>
                      <w:marBottom w:val="0"/>
                      <w:divBdr>
                        <w:top w:val="none" w:sz="0" w:space="0" w:color="auto"/>
                        <w:left w:val="none" w:sz="0" w:space="0" w:color="auto"/>
                        <w:bottom w:val="none" w:sz="0" w:space="0" w:color="auto"/>
                        <w:right w:val="none" w:sz="0" w:space="0" w:color="auto"/>
                      </w:divBdr>
                    </w:div>
                  </w:divsChild>
                </w:div>
                <w:div w:id="2017069774">
                  <w:marLeft w:val="0"/>
                  <w:marRight w:val="0"/>
                  <w:marTop w:val="0"/>
                  <w:marBottom w:val="0"/>
                  <w:divBdr>
                    <w:top w:val="none" w:sz="0" w:space="0" w:color="auto"/>
                    <w:left w:val="none" w:sz="0" w:space="0" w:color="auto"/>
                    <w:bottom w:val="none" w:sz="0" w:space="0" w:color="auto"/>
                    <w:right w:val="none" w:sz="0" w:space="0" w:color="auto"/>
                  </w:divBdr>
                  <w:divsChild>
                    <w:div w:id="246042269">
                      <w:marLeft w:val="0"/>
                      <w:marRight w:val="0"/>
                      <w:marTop w:val="0"/>
                      <w:marBottom w:val="0"/>
                      <w:divBdr>
                        <w:top w:val="none" w:sz="0" w:space="0" w:color="auto"/>
                        <w:left w:val="none" w:sz="0" w:space="0" w:color="auto"/>
                        <w:bottom w:val="none" w:sz="0" w:space="0" w:color="auto"/>
                        <w:right w:val="none" w:sz="0" w:space="0" w:color="auto"/>
                      </w:divBdr>
                    </w:div>
                  </w:divsChild>
                </w:div>
                <w:div w:id="2041665437">
                  <w:marLeft w:val="0"/>
                  <w:marRight w:val="0"/>
                  <w:marTop w:val="0"/>
                  <w:marBottom w:val="0"/>
                  <w:divBdr>
                    <w:top w:val="none" w:sz="0" w:space="0" w:color="auto"/>
                    <w:left w:val="none" w:sz="0" w:space="0" w:color="auto"/>
                    <w:bottom w:val="none" w:sz="0" w:space="0" w:color="auto"/>
                    <w:right w:val="none" w:sz="0" w:space="0" w:color="auto"/>
                  </w:divBdr>
                  <w:divsChild>
                    <w:div w:id="30961578">
                      <w:marLeft w:val="0"/>
                      <w:marRight w:val="0"/>
                      <w:marTop w:val="0"/>
                      <w:marBottom w:val="0"/>
                      <w:divBdr>
                        <w:top w:val="none" w:sz="0" w:space="0" w:color="auto"/>
                        <w:left w:val="none" w:sz="0" w:space="0" w:color="auto"/>
                        <w:bottom w:val="none" w:sz="0" w:space="0" w:color="auto"/>
                        <w:right w:val="none" w:sz="0" w:space="0" w:color="auto"/>
                      </w:divBdr>
                    </w:div>
                  </w:divsChild>
                </w:div>
                <w:div w:id="2093969492">
                  <w:marLeft w:val="0"/>
                  <w:marRight w:val="0"/>
                  <w:marTop w:val="0"/>
                  <w:marBottom w:val="0"/>
                  <w:divBdr>
                    <w:top w:val="none" w:sz="0" w:space="0" w:color="auto"/>
                    <w:left w:val="none" w:sz="0" w:space="0" w:color="auto"/>
                    <w:bottom w:val="none" w:sz="0" w:space="0" w:color="auto"/>
                    <w:right w:val="none" w:sz="0" w:space="0" w:color="auto"/>
                  </w:divBdr>
                  <w:divsChild>
                    <w:div w:id="1909730640">
                      <w:marLeft w:val="0"/>
                      <w:marRight w:val="0"/>
                      <w:marTop w:val="0"/>
                      <w:marBottom w:val="0"/>
                      <w:divBdr>
                        <w:top w:val="none" w:sz="0" w:space="0" w:color="auto"/>
                        <w:left w:val="none" w:sz="0" w:space="0" w:color="auto"/>
                        <w:bottom w:val="none" w:sz="0" w:space="0" w:color="auto"/>
                        <w:right w:val="none" w:sz="0" w:space="0" w:color="auto"/>
                      </w:divBdr>
                    </w:div>
                  </w:divsChild>
                </w:div>
                <w:div w:id="2116898526">
                  <w:marLeft w:val="0"/>
                  <w:marRight w:val="0"/>
                  <w:marTop w:val="0"/>
                  <w:marBottom w:val="0"/>
                  <w:divBdr>
                    <w:top w:val="none" w:sz="0" w:space="0" w:color="auto"/>
                    <w:left w:val="none" w:sz="0" w:space="0" w:color="auto"/>
                    <w:bottom w:val="none" w:sz="0" w:space="0" w:color="auto"/>
                    <w:right w:val="none" w:sz="0" w:space="0" w:color="auto"/>
                  </w:divBdr>
                  <w:divsChild>
                    <w:div w:id="1229683480">
                      <w:marLeft w:val="0"/>
                      <w:marRight w:val="0"/>
                      <w:marTop w:val="0"/>
                      <w:marBottom w:val="0"/>
                      <w:divBdr>
                        <w:top w:val="none" w:sz="0" w:space="0" w:color="auto"/>
                        <w:left w:val="none" w:sz="0" w:space="0" w:color="auto"/>
                        <w:bottom w:val="none" w:sz="0" w:space="0" w:color="auto"/>
                        <w:right w:val="none" w:sz="0" w:space="0" w:color="auto"/>
                      </w:divBdr>
                    </w:div>
                  </w:divsChild>
                </w:div>
                <w:div w:id="2135557595">
                  <w:marLeft w:val="0"/>
                  <w:marRight w:val="0"/>
                  <w:marTop w:val="0"/>
                  <w:marBottom w:val="0"/>
                  <w:divBdr>
                    <w:top w:val="none" w:sz="0" w:space="0" w:color="auto"/>
                    <w:left w:val="none" w:sz="0" w:space="0" w:color="auto"/>
                    <w:bottom w:val="none" w:sz="0" w:space="0" w:color="auto"/>
                    <w:right w:val="none" w:sz="0" w:space="0" w:color="auto"/>
                  </w:divBdr>
                  <w:divsChild>
                    <w:div w:id="6981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541413">
      <w:bodyDiv w:val="1"/>
      <w:marLeft w:val="0"/>
      <w:marRight w:val="0"/>
      <w:marTop w:val="0"/>
      <w:marBottom w:val="0"/>
      <w:divBdr>
        <w:top w:val="none" w:sz="0" w:space="0" w:color="auto"/>
        <w:left w:val="none" w:sz="0" w:space="0" w:color="auto"/>
        <w:bottom w:val="none" w:sz="0" w:space="0" w:color="auto"/>
        <w:right w:val="none" w:sz="0" w:space="0" w:color="auto"/>
      </w:divBdr>
      <w:divsChild>
        <w:div w:id="756290742">
          <w:marLeft w:val="0"/>
          <w:marRight w:val="0"/>
          <w:marTop w:val="0"/>
          <w:marBottom w:val="0"/>
          <w:divBdr>
            <w:top w:val="none" w:sz="0" w:space="0" w:color="auto"/>
            <w:left w:val="none" w:sz="0" w:space="0" w:color="auto"/>
            <w:bottom w:val="single" w:sz="6" w:space="0" w:color="FAEBCC"/>
            <w:right w:val="none" w:sz="0" w:space="0" w:color="auto"/>
          </w:divBdr>
        </w:div>
        <w:div w:id="1455560323">
          <w:marLeft w:val="0"/>
          <w:marRight w:val="0"/>
          <w:marTop w:val="450"/>
          <w:marBottom w:val="0"/>
          <w:divBdr>
            <w:top w:val="none" w:sz="0" w:space="0" w:color="auto"/>
            <w:left w:val="none" w:sz="0" w:space="0" w:color="auto"/>
            <w:bottom w:val="none" w:sz="0" w:space="0" w:color="auto"/>
            <w:right w:val="none" w:sz="0" w:space="0" w:color="auto"/>
          </w:divBdr>
        </w:div>
        <w:div w:id="1577783519">
          <w:marLeft w:val="0"/>
          <w:marRight w:val="0"/>
          <w:marTop w:val="0"/>
          <w:marBottom w:val="0"/>
          <w:divBdr>
            <w:top w:val="none" w:sz="0" w:space="0" w:color="auto"/>
            <w:left w:val="none" w:sz="0" w:space="0" w:color="auto"/>
            <w:bottom w:val="none" w:sz="0" w:space="0" w:color="auto"/>
            <w:right w:val="none" w:sz="0" w:space="0" w:color="auto"/>
          </w:divBdr>
          <w:divsChild>
            <w:div w:id="2440157">
              <w:marLeft w:val="0"/>
              <w:marRight w:val="0"/>
              <w:marTop w:val="0"/>
              <w:marBottom w:val="0"/>
              <w:divBdr>
                <w:top w:val="none" w:sz="0" w:space="0" w:color="auto"/>
                <w:left w:val="none" w:sz="0" w:space="0" w:color="auto"/>
                <w:bottom w:val="none" w:sz="0" w:space="0" w:color="auto"/>
                <w:right w:val="none" w:sz="0" w:space="0" w:color="auto"/>
              </w:divBdr>
            </w:div>
            <w:div w:id="7219270">
              <w:marLeft w:val="0"/>
              <w:marRight w:val="0"/>
              <w:marTop w:val="0"/>
              <w:marBottom w:val="0"/>
              <w:divBdr>
                <w:top w:val="none" w:sz="0" w:space="0" w:color="auto"/>
                <w:left w:val="none" w:sz="0" w:space="0" w:color="auto"/>
                <w:bottom w:val="none" w:sz="0" w:space="0" w:color="auto"/>
                <w:right w:val="none" w:sz="0" w:space="0" w:color="auto"/>
              </w:divBdr>
            </w:div>
            <w:div w:id="10498274">
              <w:marLeft w:val="0"/>
              <w:marRight w:val="0"/>
              <w:marTop w:val="0"/>
              <w:marBottom w:val="0"/>
              <w:divBdr>
                <w:top w:val="none" w:sz="0" w:space="0" w:color="auto"/>
                <w:left w:val="none" w:sz="0" w:space="0" w:color="auto"/>
                <w:bottom w:val="none" w:sz="0" w:space="0" w:color="auto"/>
                <w:right w:val="none" w:sz="0" w:space="0" w:color="auto"/>
              </w:divBdr>
            </w:div>
            <w:div w:id="68969483">
              <w:marLeft w:val="0"/>
              <w:marRight w:val="0"/>
              <w:marTop w:val="0"/>
              <w:marBottom w:val="0"/>
              <w:divBdr>
                <w:top w:val="none" w:sz="0" w:space="0" w:color="auto"/>
                <w:left w:val="none" w:sz="0" w:space="0" w:color="auto"/>
                <w:bottom w:val="none" w:sz="0" w:space="0" w:color="auto"/>
                <w:right w:val="none" w:sz="0" w:space="0" w:color="auto"/>
              </w:divBdr>
            </w:div>
            <w:div w:id="107362430">
              <w:marLeft w:val="0"/>
              <w:marRight w:val="0"/>
              <w:marTop w:val="0"/>
              <w:marBottom w:val="0"/>
              <w:divBdr>
                <w:top w:val="none" w:sz="0" w:space="0" w:color="auto"/>
                <w:left w:val="none" w:sz="0" w:space="0" w:color="auto"/>
                <w:bottom w:val="none" w:sz="0" w:space="0" w:color="auto"/>
                <w:right w:val="none" w:sz="0" w:space="0" w:color="auto"/>
              </w:divBdr>
            </w:div>
            <w:div w:id="113990791">
              <w:marLeft w:val="0"/>
              <w:marRight w:val="0"/>
              <w:marTop w:val="0"/>
              <w:marBottom w:val="0"/>
              <w:divBdr>
                <w:top w:val="none" w:sz="0" w:space="0" w:color="auto"/>
                <w:left w:val="none" w:sz="0" w:space="0" w:color="auto"/>
                <w:bottom w:val="none" w:sz="0" w:space="0" w:color="auto"/>
                <w:right w:val="none" w:sz="0" w:space="0" w:color="auto"/>
              </w:divBdr>
            </w:div>
            <w:div w:id="148064469">
              <w:marLeft w:val="0"/>
              <w:marRight w:val="0"/>
              <w:marTop w:val="0"/>
              <w:marBottom w:val="0"/>
              <w:divBdr>
                <w:top w:val="none" w:sz="0" w:space="0" w:color="auto"/>
                <w:left w:val="none" w:sz="0" w:space="0" w:color="auto"/>
                <w:bottom w:val="none" w:sz="0" w:space="0" w:color="auto"/>
                <w:right w:val="none" w:sz="0" w:space="0" w:color="auto"/>
              </w:divBdr>
            </w:div>
            <w:div w:id="227884270">
              <w:marLeft w:val="0"/>
              <w:marRight w:val="0"/>
              <w:marTop w:val="0"/>
              <w:marBottom w:val="0"/>
              <w:divBdr>
                <w:top w:val="none" w:sz="0" w:space="0" w:color="auto"/>
                <w:left w:val="none" w:sz="0" w:space="0" w:color="auto"/>
                <w:bottom w:val="none" w:sz="0" w:space="0" w:color="auto"/>
                <w:right w:val="none" w:sz="0" w:space="0" w:color="auto"/>
              </w:divBdr>
            </w:div>
            <w:div w:id="287471613">
              <w:marLeft w:val="0"/>
              <w:marRight w:val="0"/>
              <w:marTop w:val="0"/>
              <w:marBottom w:val="0"/>
              <w:divBdr>
                <w:top w:val="none" w:sz="0" w:space="0" w:color="auto"/>
                <w:left w:val="none" w:sz="0" w:space="0" w:color="auto"/>
                <w:bottom w:val="none" w:sz="0" w:space="0" w:color="auto"/>
                <w:right w:val="none" w:sz="0" w:space="0" w:color="auto"/>
              </w:divBdr>
              <w:divsChild>
                <w:div w:id="1077363270">
                  <w:marLeft w:val="0"/>
                  <w:marRight w:val="0"/>
                  <w:marTop w:val="15"/>
                  <w:marBottom w:val="0"/>
                  <w:divBdr>
                    <w:top w:val="none" w:sz="0" w:space="0" w:color="auto"/>
                    <w:left w:val="none" w:sz="0" w:space="0" w:color="auto"/>
                    <w:bottom w:val="none" w:sz="0" w:space="0" w:color="auto"/>
                    <w:right w:val="none" w:sz="0" w:space="0" w:color="auto"/>
                  </w:divBdr>
                </w:div>
              </w:divsChild>
            </w:div>
            <w:div w:id="287854780">
              <w:marLeft w:val="0"/>
              <w:marRight w:val="0"/>
              <w:marTop w:val="0"/>
              <w:marBottom w:val="0"/>
              <w:divBdr>
                <w:top w:val="none" w:sz="0" w:space="0" w:color="auto"/>
                <w:left w:val="none" w:sz="0" w:space="0" w:color="auto"/>
                <w:bottom w:val="none" w:sz="0" w:space="0" w:color="auto"/>
                <w:right w:val="none" w:sz="0" w:space="0" w:color="auto"/>
              </w:divBdr>
            </w:div>
            <w:div w:id="359749198">
              <w:marLeft w:val="0"/>
              <w:marRight w:val="0"/>
              <w:marTop w:val="0"/>
              <w:marBottom w:val="0"/>
              <w:divBdr>
                <w:top w:val="none" w:sz="0" w:space="0" w:color="auto"/>
                <w:left w:val="none" w:sz="0" w:space="0" w:color="auto"/>
                <w:bottom w:val="none" w:sz="0" w:space="0" w:color="auto"/>
                <w:right w:val="none" w:sz="0" w:space="0" w:color="auto"/>
              </w:divBdr>
            </w:div>
            <w:div w:id="373896086">
              <w:marLeft w:val="0"/>
              <w:marRight w:val="0"/>
              <w:marTop w:val="0"/>
              <w:marBottom w:val="0"/>
              <w:divBdr>
                <w:top w:val="none" w:sz="0" w:space="0" w:color="auto"/>
                <w:left w:val="none" w:sz="0" w:space="0" w:color="auto"/>
                <w:bottom w:val="none" w:sz="0" w:space="0" w:color="auto"/>
                <w:right w:val="none" w:sz="0" w:space="0" w:color="auto"/>
              </w:divBdr>
            </w:div>
            <w:div w:id="387582001">
              <w:marLeft w:val="0"/>
              <w:marRight w:val="0"/>
              <w:marTop w:val="0"/>
              <w:marBottom w:val="0"/>
              <w:divBdr>
                <w:top w:val="none" w:sz="0" w:space="0" w:color="auto"/>
                <w:left w:val="none" w:sz="0" w:space="0" w:color="auto"/>
                <w:bottom w:val="none" w:sz="0" w:space="0" w:color="auto"/>
                <w:right w:val="none" w:sz="0" w:space="0" w:color="auto"/>
              </w:divBdr>
            </w:div>
            <w:div w:id="388919944">
              <w:marLeft w:val="0"/>
              <w:marRight w:val="0"/>
              <w:marTop w:val="0"/>
              <w:marBottom w:val="0"/>
              <w:divBdr>
                <w:top w:val="none" w:sz="0" w:space="0" w:color="auto"/>
                <w:left w:val="none" w:sz="0" w:space="0" w:color="auto"/>
                <w:bottom w:val="none" w:sz="0" w:space="0" w:color="auto"/>
                <w:right w:val="none" w:sz="0" w:space="0" w:color="auto"/>
              </w:divBdr>
            </w:div>
            <w:div w:id="428964200">
              <w:marLeft w:val="0"/>
              <w:marRight w:val="0"/>
              <w:marTop w:val="0"/>
              <w:marBottom w:val="0"/>
              <w:divBdr>
                <w:top w:val="none" w:sz="0" w:space="0" w:color="auto"/>
                <w:left w:val="none" w:sz="0" w:space="0" w:color="auto"/>
                <w:bottom w:val="none" w:sz="0" w:space="0" w:color="auto"/>
                <w:right w:val="none" w:sz="0" w:space="0" w:color="auto"/>
              </w:divBdr>
            </w:div>
            <w:div w:id="484857923">
              <w:marLeft w:val="0"/>
              <w:marRight w:val="0"/>
              <w:marTop w:val="0"/>
              <w:marBottom w:val="0"/>
              <w:divBdr>
                <w:top w:val="none" w:sz="0" w:space="0" w:color="auto"/>
                <w:left w:val="none" w:sz="0" w:space="0" w:color="auto"/>
                <w:bottom w:val="none" w:sz="0" w:space="0" w:color="auto"/>
                <w:right w:val="none" w:sz="0" w:space="0" w:color="auto"/>
              </w:divBdr>
            </w:div>
            <w:div w:id="495145481">
              <w:marLeft w:val="0"/>
              <w:marRight w:val="0"/>
              <w:marTop w:val="0"/>
              <w:marBottom w:val="0"/>
              <w:divBdr>
                <w:top w:val="none" w:sz="0" w:space="0" w:color="auto"/>
                <w:left w:val="none" w:sz="0" w:space="0" w:color="auto"/>
                <w:bottom w:val="none" w:sz="0" w:space="0" w:color="auto"/>
                <w:right w:val="none" w:sz="0" w:space="0" w:color="auto"/>
              </w:divBdr>
            </w:div>
            <w:div w:id="514729346">
              <w:marLeft w:val="0"/>
              <w:marRight w:val="0"/>
              <w:marTop w:val="0"/>
              <w:marBottom w:val="0"/>
              <w:divBdr>
                <w:top w:val="none" w:sz="0" w:space="0" w:color="auto"/>
                <w:left w:val="none" w:sz="0" w:space="0" w:color="auto"/>
                <w:bottom w:val="none" w:sz="0" w:space="0" w:color="auto"/>
                <w:right w:val="none" w:sz="0" w:space="0" w:color="auto"/>
              </w:divBdr>
            </w:div>
            <w:div w:id="537623673">
              <w:marLeft w:val="0"/>
              <w:marRight w:val="0"/>
              <w:marTop w:val="0"/>
              <w:marBottom w:val="0"/>
              <w:divBdr>
                <w:top w:val="none" w:sz="0" w:space="0" w:color="auto"/>
                <w:left w:val="none" w:sz="0" w:space="0" w:color="auto"/>
                <w:bottom w:val="none" w:sz="0" w:space="0" w:color="auto"/>
                <w:right w:val="none" w:sz="0" w:space="0" w:color="auto"/>
              </w:divBdr>
            </w:div>
            <w:div w:id="557863404">
              <w:marLeft w:val="0"/>
              <w:marRight w:val="0"/>
              <w:marTop w:val="0"/>
              <w:marBottom w:val="0"/>
              <w:divBdr>
                <w:top w:val="none" w:sz="0" w:space="0" w:color="auto"/>
                <w:left w:val="none" w:sz="0" w:space="0" w:color="auto"/>
                <w:bottom w:val="none" w:sz="0" w:space="0" w:color="auto"/>
                <w:right w:val="none" w:sz="0" w:space="0" w:color="auto"/>
              </w:divBdr>
            </w:div>
            <w:div w:id="596670615">
              <w:marLeft w:val="0"/>
              <w:marRight w:val="0"/>
              <w:marTop w:val="0"/>
              <w:marBottom w:val="0"/>
              <w:divBdr>
                <w:top w:val="none" w:sz="0" w:space="0" w:color="auto"/>
                <w:left w:val="none" w:sz="0" w:space="0" w:color="auto"/>
                <w:bottom w:val="none" w:sz="0" w:space="0" w:color="auto"/>
                <w:right w:val="none" w:sz="0" w:space="0" w:color="auto"/>
              </w:divBdr>
            </w:div>
            <w:div w:id="682169663">
              <w:marLeft w:val="0"/>
              <w:marRight w:val="0"/>
              <w:marTop w:val="0"/>
              <w:marBottom w:val="0"/>
              <w:divBdr>
                <w:top w:val="none" w:sz="0" w:space="0" w:color="auto"/>
                <w:left w:val="none" w:sz="0" w:space="0" w:color="auto"/>
                <w:bottom w:val="none" w:sz="0" w:space="0" w:color="auto"/>
                <w:right w:val="none" w:sz="0" w:space="0" w:color="auto"/>
              </w:divBdr>
            </w:div>
            <w:div w:id="814107032">
              <w:marLeft w:val="0"/>
              <w:marRight w:val="0"/>
              <w:marTop w:val="0"/>
              <w:marBottom w:val="0"/>
              <w:divBdr>
                <w:top w:val="none" w:sz="0" w:space="0" w:color="auto"/>
                <w:left w:val="none" w:sz="0" w:space="0" w:color="auto"/>
                <w:bottom w:val="none" w:sz="0" w:space="0" w:color="auto"/>
                <w:right w:val="none" w:sz="0" w:space="0" w:color="auto"/>
              </w:divBdr>
            </w:div>
            <w:div w:id="832455313">
              <w:marLeft w:val="0"/>
              <w:marRight w:val="0"/>
              <w:marTop w:val="0"/>
              <w:marBottom w:val="0"/>
              <w:divBdr>
                <w:top w:val="none" w:sz="0" w:space="0" w:color="auto"/>
                <w:left w:val="none" w:sz="0" w:space="0" w:color="auto"/>
                <w:bottom w:val="none" w:sz="0" w:space="0" w:color="auto"/>
                <w:right w:val="none" w:sz="0" w:space="0" w:color="auto"/>
              </w:divBdr>
            </w:div>
            <w:div w:id="880753960">
              <w:marLeft w:val="0"/>
              <w:marRight w:val="0"/>
              <w:marTop w:val="0"/>
              <w:marBottom w:val="0"/>
              <w:divBdr>
                <w:top w:val="none" w:sz="0" w:space="0" w:color="auto"/>
                <w:left w:val="none" w:sz="0" w:space="0" w:color="auto"/>
                <w:bottom w:val="none" w:sz="0" w:space="0" w:color="auto"/>
                <w:right w:val="none" w:sz="0" w:space="0" w:color="auto"/>
              </w:divBdr>
            </w:div>
            <w:div w:id="899755477">
              <w:marLeft w:val="0"/>
              <w:marRight w:val="0"/>
              <w:marTop w:val="0"/>
              <w:marBottom w:val="0"/>
              <w:divBdr>
                <w:top w:val="none" w:sz="0" w:space="0" w:color="auto"/>
                <w:left w:val="none" w:sz="0" w:space="0" w:color="auto"/>
                <w:bottom w:val="none" w:sz="0" w:space="0" w:color="auto"/>
                <w:right w:val="none" w:sz="0" w:space="0" w:color="auto"/>
              </w:divBdr>
              <w:divsChild>
                <w:div w:id="1675037655">
                  <w:marLeft w:val="0"/>
                  <w:marRight w:val="0"/>
                  <w:marTop w:val="450"/>
                  <w:marBottom w:val="450"/>
                  <w:divBdr>
                    <w:top w:val="none" w:sz="0" w:space="0" w:color="auto"/>
                    <w:left w:val="none" w:sz="0" w:space="0" w:color="auto"/>
                    <w:bottom w:val="none" w:sz="0" w:space="0" w:color="auto"/>
                    <w:right w:val="none" w:sz="0" w:space="0" w:color="auto"/>
                  </w:divBdr>
                  <w:divsChild>
                    <w:div w:id="878468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51860480">
              <w:marLeft w:val="0"/>
              <w:marRight w:val="0"/>
              <w:marTop w:val="0"/>
              <w:marBottom w:val="0"/>
              <w:divBdr>
                <w:top w:val="none" w:sz="0" w:space="0" w:color="auto"/>
                <w:left w:val="none" w:sz="0" w:space="0" w:color="auto"/>
                <w:bottom w:val="none" w:sz="0" w:space="0" w:color="auto"/>
                <w:right w:val="none" w:sz="0" w:space="0" w:color="auto"/>
              </w:divBdr>
            </w:div>
            <w:div w:id="981155423">
              <w:marLeft w:val="0"/>
              <w:marRight w:val="0"/>
              <w:marTop w:val="0"/>
              <w:marBottom w:val="0"/>
              <w:divBdr>
                <w:top w:val="none" w:sz="0" w:space="0" w:color="auto"/>
                <w:left w:val="none" w:sz="0" w:space="0" w:color="auto"/>
                <w:bottom w:val="none" w:sz="0" w:space="0" w:color="auto"/>
                <w:right w:val="none" w:sz="0" w:space="0" w:color="auto"/>
              </w:divBdr>
              <w:divsChild>
                <w:div w:id="1488135913">
                  <w:marLeft w:val="0"/>
                  <w:marRight w:val="0"/>
                  <w:marTop w:val="0"/>
                  <w:marBottom w:val="0"/>
                  <w:divBdr>
                    <w:top w:val="none" w:sz="0" w:space="0" w:color="auto"/>
                    <w:left w:val="none" w:sz="0" w:space="0" w:color="auto"/>
                    <w:bottom w:val="none" w:sz="0" w:space="0" w:color="auto"/>
                    <w:right w:val="none" w:sz="0" w:space="0" w:color="auto"/>
                  </w:divBdr>
                </w:div>
              </w:divsChild>
            </w:div>
            <w:div w:id="984433857">
              <w:marLeft w:val="0"/>
              <w:marRight w:val="0"/>
              <w:marTop w:val="0"/>
              <w:marBottom w:val="0"/>
              <w:divBdr>
                <w:top w:val="none" w:sz="0" w:space="0" w:color="auto"/>
                <w:left w:val="none" w:sz="0" w:space="0" w:color="auto"/>
                <w:bottom w:val="none" w:sz="0" w:space="0" w:color="auto"/>
                <w:right w:val="none" w:sz="0" w:space="0" w:color="auto"/>
              </w:divBdr>
            </w:div>
            <w:div w:id="986934991">
              <w:marLeft w:val="0"/>
              <w:marRight w:val="0"/>
              <w:marTop w:val="0"/>
              <w:marBottom w:val="0"/>
              <w:divBdr>
                <w:top w:val="none" w:sz="0" w:space="0" w:color="auto"/>
                <w:left w:val="none" w:sz="0" w:space="0" w:color="auto"/>
                <w:bottom w:val="none" w:sz="0" w:space="0" w:color="auto"/>
                <w:right w:val="none" w:sz="0" w:space="0" w:color="auto"/>
              </w:divBdr>
            </w:div>
            <w:div w:id="1023363215">
              <w:marLeft w:val="0"/>
              <w:marRight w:val="0"/>
              <w:marTop w:val="0"/>
              <w:marBottom w:val="0"/>
              <w:divBdr>
                <w:top w:val="none" w:sz="0" w:space="0" w:color="auto"/>
                <w:left w:val="none" w:sz="0" w:space="0" w:color="auto"/>
                <w:bottom w:val="none" w:sz="0" w:space="0" w:color="auto"/>
                <w:right w:val="none" w:sz="0" w:space="0" w:color="auto"/>
              </w:divBdr>
            </w:div>
            <w:div w:id="1081177784">
              <w:marLeft w:val="0"/>
              <w:marRight w:val="0"/>
              <w:marTop w:val="0"/>
              <w:marBottom w:val="0"/>
              <w:divBdr>
                <w:top w:val="none" w:sz="0" w:space="0" w:color="auto"/>
                <w:left w:val="none" w:sz="0" w:space="0" w:color="auto"/>
                <w:bottom w:val="none" w:sz="0" w:space="0" w:color="auto"/>
                <w:right w:val="none" w:sz="0" w:space="0" w:color="auto"/>
              </w:divBdr>
            </w:div>
            <w:div w:id="1102215763">
              <w:marLeft w:val="0"/>
              <w:marRight w:val="0"/>
              <w:marTop w:val="0"/>
              <w:marBottom w:val="0"/>
              <w:divBdr>
                <w:top w:val="none" w:sz="0" w:space="0" w:color="auto"/>
                <w:left w:val="none" w:sz="0" w:space="0" w:color="auto"/>
                <w:bottom w:val="none" w:sz="0" w:space="0" w:color="auto"/>
                <w:right w:val="none" w:sz="0" w:space="0" w:color="auto"/>
              </w:divBdr>
            </w:div>
            <w:div w:id="1136029560">
              <w:marLeft w:val="0"/>
              <w:marRight w:val="0"/>
              <w:marTop w:val="0"/>
              <w:marBottom w:val="0"/>
              <w:divBdr>
                <w:top w:val="none" w:sz="0" w:space="0" w:color="auto"/>
                <w:left w:val="none" w:sz="0" w:space="0" w:color="auto"/>
                <w:bottom w:val="none" w:sz="0" w:space="0" w:color="auto"/>
                <w:right w:val="none" w:sz="0" w:space="0" w:color="auto"/>
              </w:divBdr>
            </w:div>
            <w:div w:id="1136945037">
              <w:marLeft w:val="0"/>
              <w:marRight w:val="0"/>
              <w:marTop w:val="0"/>
              <w:marBottom w:val="0"/>
              <w:divBdr>
                <w:top w:val="none" w:sz="0" w:space="0" w:color="auto"/>
                <w:left w:val="none" w:sz="0" w:space="0" w:color="auto"/>
                <w:bottom w:val="none" w:sz="0" w:space="0" w:color="auto"/>
                <w:right w:val="none" w:sz="0" w:space="0" w:color="auto"/>
              </w:divBdr>
            </w:div>
            <w:div w:id="1194541547">
              <w:marLeft w:val="0"/>
              <w:marRight w:val="0"/>
              <w:marTop w:val="0"/>
              <w:marBottom w:val="0"/>
              <w:divBdr>
                <w:top w:val="none" w:sz="0" w:space="0" w:color="auto"/>
                <w:left w:val="none" w:sz="0" w:space="0" w:color="auto"/>
                <w:bottom w:val="none" w:sz="0" w:space="0" w:color="auto"/>
                <w:right w:val="none" w:sz="0" w:space="0" w:color="auto"/>
              </w:divBdr>
            </w:div>
            <w:div w:id="1321730761">
              <w:marLeft w:val="0"/>
              <w:marRight w:val="0"/>
              <w:marTop w:val="0"/>
              <w:marBottom w:val="0"/>
              <w:divBdr>
                <w:top w:val="none" w:sz="0" w:space="0" w:color="auto"/>
                <w:left w:val="none" w:sz="0" w:space="0" w:color="auto"/>
                <w:bottom w:val="none" w:sz="0" w:space="0" w:color="auto"/>
                <w:right w:val="none" w:sz="0" w:space="0" w:color="auto"/>
              </w:divBdr>
            </w:div>
            <w:div w:id="1352147050">
              <w:marLeft w:val="0"/>
              <w:marRight w:val="0"/>
              <w:marTop w:val="0"/>
              <w:marBottom w:val="0"/>
              <w:divBdr>
                <w:top w:val="none" w:sz="0" w:space="0" w:color="auto"/>
                <w:left w:val="none" w:sz="0" w:space="0" w:color="auto"/>
                <w:bottom w:val="none" w:sz="0" w:space="0" w:color="auto"/>
                <w:right w:val="none" w:sz="0" w:space="0" w:color="auto"/>
              </w:divBdr>
            </w:div>
            <w:div w:id="1357387327">
              <w:marLeft w:val="0"/>
              <w:marRight w:val="0"/>
              <w:marTop w:val="0"/>
              <w:marBottom w:val="0"/>
              <w:divBdr>
                <w:top w:val="none" w:sz="0" w:space="0" w:color="auto"/>
                <w:left w:val="none" w:sz="0" w:space="0" w:color="auto"/>
                <w:bottom w:val="none" w:sz="0" w:space="0" w:color="auto"/>
                <w:right w:val="none" w:sz="0" w:space="0" w:color="auto"/>
              </w:divBdr>
            </w:div>
            <w:div w:id="1375889805">
              <w:marLeft w:val="0"/>
              <w:marRight w:val="0"/>
              <w:marTop w:val="0"/>
              <w:marBottom w:val="0"/>
              <w:divBdr>
                <w:top w:val="none" w:sz="0" w:space="0" w:color="auto"/>
                <w:left w:val="none" w:sz="0" w:space="0" w:color="auto"/>
                <w:bottom w:val="none" w:sz="0" w:space="0" w:color="auto"/>
                <w:right w:val="none" w:sz="0" w:space="0" w:color="auto"/>
              </w:divBdr>
            </w:div>
            <w:div w:id="1445996171">
              <w:marLeft w:val="0"/>
              <w:marRight w:val="0"/>
              <w:marTop w:val="0"/>
              <w:marBottom w:val="0"/>
              <w:divBdr>
                <w:top w:val="none" w:sz="0" w:space="0" w:color="auto"/>
                <w:left w:val="none" w:sz="0" w:space="0" w:color="auto"/>
                <w:bottom w:val="none" w:sz="0" w:space="0" w:color="auto"/>
                <w:right w:val="none" w:sz="0" w:space="0" w:color="auto"/>
              </w:divBdr>
            </w:div>
            <w:div w:id="1523743248">
              <w:marLeft w:val="0"/>
              <w:marRight w:val="0"/>
              <w:marTop w:val="0"/>
              <w:marBottom w:val="0"/>
              <w:divBdr>
                <w:top w:val="none" w:sz="0" w:space="0" w:color="auto"/>
                <w:left w:val="none" w:sz="0" w:space="0" w:color="auto"/>
                <w:bottom w:val="none" w:sz="0" w:space="0" w:color="auto"/>
                <w:right w:val="none" w:sz="0" w:space="0" w:color="auto"/>
              </w:divBdr>
            </w:div>
            <w:div w:id="1524244303">
              <w:marLeft w:val="0"/>
              <w:marRight w:val="0"/>
              <w:marTop w:val="0"/>
              <w:marBottom w:val="0"/>
              <w:divBdr>
                <w:top w:val="none" w:sz="0" w:space="0" w:color="auto"/>
                <w:left w:val="none" w:sz="0" w:space="0" w:color="auto"/>
                <w:bottom w:val="none" w:sz="0" w:space="0" w:color="auto"/>
                <w:right w:val="none" w:sz="0" w:space="0" w:color="auto"/>
              </w:divBdr>
            </w:div>
            <w:div w:id="1524902491">
              <w:marLeft w:val="0"/>
              <w:marRight w:val="0"/>
              <w:marTop w:val="0"/>
              <w:marBottom w:val="0"/>
              <w:divBdr>
                <w:top w:val="none" w:sz="0" w:space="0" w:color="auto"/>
                <w:left w:val="none" w:sz="0" w:space="0" w:color="auto"/>
                <w:bottom w:val="none" w:sz="0" w:space="0" w:color="auto"/>
                <w:right w:val="none" w:sz="0" w:space="0" w:color="auto"/>
              </w:divBdr>
            </w:div>
            <w:div w:id="1603368445">
              <w:marLeft w:val="0"/>
              <w:marRight w:val="0"/>
              <w:marTop w:val="0"/>
              <w:marBottom w:val="0"/>
              <w:divBdr>
                <w:top w:val="none" w:sz="0" w:space="0" w:color="auto"/>
                <w:left w:val="none" w:sz="0" w:space="0" w:color="auto"/>
                <w:bottom w:val="none" w:sz="0" w:space="0" w:color="auto"/>
                <w:right w:val="none" w:sz="0" w:space="0" w:color="auto"/>
              </w:divBdr>
            </w:div>
            <w:div w:id="1607537021">
              <w:marLeft w:val="0"/>
              <w:marRight w:val="0"/>
              <w:marTop w:val="0"/>
              <w:marBottom w:val="0"/>
              <w:divBdr>
                <w:top w:val="none" w:sz="0" w:space="0" w:color="auto"/>
                <w:left w:val="none" w:sz="0" w:space="0" w:color="auto"/>
                <w:bottom w:val="none" w:sz="0" w:space="0" w:color="auto"/>
                <w:right w:val="none" w:sz="0" w:space="0" w:color="auto"/>
              </w:divBdr>
            </w:div>
            <w:div w:id="1654528816">
              <w:marLeft w:val="0"/>
              <w:marRight w:val="0"/>
              <w:marTop w:val="0"/>
              <w:marBottom w:val="0"/>
              <w:divBdr>
                <w:top w:val="none" w:sz="0" w:space="0" w:color="auto"/>
                <w:left w:val="none" w:sz="0" w:space="0" w:color="auto"/>
                <w:bottom w:val="none" w:sz="0" w:space="0" w:color="auto"/>
                <w:right w:val="none" w:sz="0" w:space="0" w:color="auto"/>
              </w:divBdr>
            </w:div>
            <w:div w:id="1654747983">
              <w:marLeft w:val="0"/>
              <w:marRight w:val="0"/>
              <w:marTop w:val="0"/>
              <w:marBottom w:val="0"/>
              <w:divBdr>
                <w:top w:val="none" w:sz="0" w:space="0" w:color="auto"/>
                <w:left w:val="none" w:sz="0" w:space="0" w:color="auto"/>
                <w:bottom w:val="none" w:sz="0" w:space="0" w:color="auto"/>
                <w:right w:val="none" w:sz="0" w:space="0" w:color="auto"/>
              </w:divBdr>
            </w:div>
            <w:div w:id="1745183036">
              <w:marLeft w:val="0"/>
              <w:marRight w:val="0"/>
              <w:marTop w:val="0"/>
              <w:marBottom w:val="0"/>
              <w:divBdr>
                <w:top w:val="none" w:sz="0" w:space="0" w:color="auto"/>
                <w:left w:val="none" w:sz="0" w:space="0" w:color="auto"/>
                <w:bottom w:val="none" w:sz="0" w:space="0" w:color="auto"/>
                <w:right w:val="none" w:sz="0" w:space="0" w:color="auto"/>
              </w:divBdr>
            </w:div>
            <w:div w:id="1813714749">
              <w:marLeft w:val="0"/>
              <w:marRight w:val="0"/>
              <w:marTop w:val="0"/>
              <w:marBottom w:val="0"/>
              <w:divBdr>
                <w:top w:val="none" w:sz="0" w:space="0" w:color="auto"/>
                <w:left w:val="none" w:sz="0" w:space="0" w:color="auto"/>
                <w:bottom w:val="none" w:sz="0" w:space="0" w:color="auto"/>
                <w:right w:val="none" w:sz="0" w:space="0" w:color="auto"/>
              </w:divBdr>
            </w:div>
            <w:div w:id="1813792230">
              <w:marLeft w:val="0"/>
              <w:marRight w:val="0"/>
              <w:marTop w:val="0"/>
              <w:marBottom w:val="0"/>
              <w:divBdr>
                <w:top w:val="none" w:sz="0" w:space="0" w:color="auto"/>
                <w:left w:val="none" w:sz="0" w:space="0" w:color="auto"/>
                <w:bottom w:val="none" w:sz="0" w:space="0" w:color="auto"/>
                <w:right w:val="none" w:sz="0" w:space="0" w:color="auto"/>
              </w:divBdr>
            </w:div>
            <w:div w:id="1830051666">
              <w:marLeft w:val="0"/>
              <w:marRight w:val="0"/>
              <w:marTop w:val="0"/>
              <w:marBottom w:val="0"/>
              <w:divBdr>
                <w:top w:val="none" w:sz="0" w:space="0" w:color="auto"/>
                <w:left w:val="none" w:sz="0" w:space="0" w:color="auto"/>
                <w:bottom w:val="none" w:sz="0" w:space="0" w:color="auto"/>
                <w:right w:val="none" w:sz="0" w:space="0" w:color="auto"/>
              </w:divBdr>
            </w:div>
            <w:div w:id="1831213126">
              <w:marLeft w:val="0"/>
              <w:marRight w:val="0"/>
              <w:marTop w:val="0"/>
              <w:marBottom w:val="0"/>
              <w:divBdr>
                <w:top w:val="none" w:sz="0" w:space="0" w:color="auto"/>
                <w:left w:val="none" w:sz="0" w:space="0" w:color="auto"/>
                <w:bottom w:val="none" w:sz="0" w:space="0" w:color="auto"/>
                <w:right w:val="none" w:sz="0" w:space="0" w:color="auto"/>
              </w:divBdr>
            </w:div>
            <w:div w:id="1850296537">
              <w:marLeft w:val="0"/>
              <w:marRight w:val="0"/>
              <w:marTop w:val="0"/>
              <w:marBottom w:val="0"/>
              <w:divBdr>
                <w:top w:val="none" w:sz="0" w:space="0" w:color="auto"/>
                <w:left w:val="none" w:sz="0" w:space="0" w:color="auto"/>
                <w:bottom w:val="none" w:sz="0" w:space="0" w:color="auto"/>
                <w:right w:val="none" w:sz="0" w:space="0" w:color="auto"/>
              </w:divBdr>
            </w:div>
            <w:div w:id="1864440984">
              <w:marLeft w:val="0"/>
              <w:marRight w:val="0"/>
              <w:marTop w:val="0"/>
              <w:marBottom w:val="0"/>
              <w:divBdr>
                <w:top w:val="none" w:sz="0" w:space="0" w:color="auto"/>
                <w:left w:val="none" w:sz="0" w:space="0" w:color="auto"/>
                <w:bottom w:val="none" w:sz="0" w:space="0" w:color="auto"/>
                <w:right w:val="none" w:sz="0" w:space="0" w:color="auto"/>
              </w:divBdr>
            </w:div>
            <w:div w:id="1878084182">
              <w:marLeft w:val="0"/>
              <w:marRight w:val="0"/>
              <w:marTop w:val="0"/>
              <w:marBottom w:val="0"/>
              <w:divBdr>
                <w:top w:val="none" w:sz="0" w:space="0" w:color="auto"/>
                <w:left w:val="none" w:sz="0" w:space="0" w:color="auto"/>
                <w:bottom w:val="none" w:sz="0" w:space="0" w:color="auto"/>
                <w:right w:val="none" w:sz="0" w:space="0" w:color="auto"/>
              </w:divBdr>
            </w:div>
            <w:div w:id="1893225627">
              <w:marLeft w:val="0"/>
              <w:marRight w:val="0"/>
              <w:marTop w:val="0"/>
              <w:marBottom w:val="0"/>
              <w:divBdr>
                <w:top w:val="none" w:sz="0" w:space="0" w:color="auto"/>
                <w:left w:val="none" w:sz="0" w:space="0" w:color="auto"/>
                <w:bottom w:val="none" w:sz="0" w:space="0" w:color="auto"/>
                <w:right w:val="none" w:sz="0" w:space="0" w:color="auto"/>
              </w:divBdr>
            </w:div>
            <w:div w:id="1936550185">
              <w:marLeft w:val="0"/>
              <w:marRight w:val="0"/>
              <w:marTop w:val="0"/>
              <w:marBottom w:val="0"/>
              <w:divBdr>
                <w:top w:val="none" w:sz="0" w:space="0" w:color="auto"/>
                <w:left w:val="none" w:sz="0" w:space="0" w:color="auto"/>
                <w:bottom w:val="none" w:sz="0" w:space="0" w:color="auto"/>
                <w:right w:val="none" w:sz="0" w:space="0" w:color="auto"/>
              </w:divBdr>
            </w:div>
            <w:div w:id="1943760113">
              <w:marLeft w:val="0"/>
              <w:marRight w:val="0"/>
              <w:marTop w:val="0"/>
              <w:marBottom w:val="0"/>
              <w:divBdr>
                <w:top w:val="none" w:sz="0" w:space="0" w:color="auto"/>
                <w:left w:val="none" w:sz="0" w:space="0" w:color="auto"/>
                <w:bottom w:val="none" w:sz="0" w:space="0" w:color="auto"/>
                <w:right w:val="none" w:sz="0" w:space="0" w:color="auto"/>
              </w:divBdr>
            </w:div>
            <w:div w:id="1948468411">
              <w:marLeft w:val="0"/>
              <w:marRight w:val="0"/>
              <w:marTop w:val="0"/>
              <w:marBottom w:val="0"/>
              <w:divBdr>
                <w:top w:val="none" w:sz="0" w:space="0" w:color="auto"/>
                <w:left w:val="none" w:sz="0" w:space="0" w:color="auto"/>
                <w:bottom w:val="none" w:sz="0" w:space="0" w:color="auto"/>
                <w:right w:val="none" w:sz="0" w:space="0" w:color="auto"/>
              </w:divBdr>
            </w:div>
            <w:div w:id="1985692906">
              <w:marLeft w:val="0"/>
              <w:marRight w:val="0"/>
              <w:marTop w:val="0"/>
              <w:marBottom w:val="0"/>
              <w:divBdr>
                <w:top w:val="none" w:sz="0" w:space="0" w:color="auto"/>
                <w:left w:val="none" w:sz="0" w:space="0" w:color="auto"/>
                <w:bottom w:val="none" w:sz="0" w:space="0" w:color="auto"/>
                <w:right w:val="none" w:sz="0" w:space="0" w:color="auto"/>
              </w:divBdr>
            </w:div>
            <w:div w:id="1989476648">
              <w:marLeft w:val="0"/>
              <w:marRight w:val="0"/>
              <w:marTop w:val="0"/>
              <w:marBottom w:val="0"/>
              <w:divBdr>
                <w:top w:val="none" w:sz="0" w:space="0" w:color="auto"/>
                <w:left w:val="none" w:sz="0" w:space="0" w:color="auto"/>
                <w:bottom w:val="none" w:sz="0" w:space="0" w:color="auto"/>
                <w:right w:val="none" w:sz="0" w:space="0" w:color="auto"/>
              </w:divBdr>
            </w:div>
            <w:div w:id="2089838586">
              <w:marLeft w:val="0"/>
              <w:marRight w:val="0"/>
              <w:marTop w:val="0"/>
              <w:marBottom w:val="0"/>
              <w:divBdr>
                <w:top w:val="none" w:sz="0" w:space="0" w:color="auto"/>
                <w:left w:val="none" w:sz="0" w:space="0" w:color="auto"/>
                <w:bottom w:val="none" w:sz="0" w:space="0" w:color="auto"/>
                <w:right w:val="none" w:sz="0" w:space="0" w:color="auto"/>
              </w:divBdr>
            </w:div>
            <w:div w:id="210268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9629">
      <w:bodyDiv w:val="1"/>
      <w:marLeft w:val="0"/>
      <w:marRight w:val="0"/>
      <w:marTop w:val="0"/>
      <w:marBottom w:val="0"/>
      <w:divBdr>
        <w:top w:val="none" w:sz="0" w:space="0" w:color="auto"/>
        <w:left w:val="none" w:sz="0" w:space="0" w:color="auto"/>
        <w:bottom w:val="none" w:sz="0" w:space="0" w:color="auto"/>
        <w:right w:val="none" w:sz="0" w:space="0" w:color="auto"/>
      </w:divBdr>
    </w:div>
    <w:div w:id="935283161">
      <w:bodyDiv w:val="1"/>
      <w:marLeft w:val="0"/>
      <w:marRight w:val="0"/>
      <w:marTop w:val="0"/>
      <w:marBottom w:val="0"/>
      <w:divBdr>
        <w:top w:val="none" w:sz="0" w:space="0" w:color="auto"/>
        <w:left w:val="none" w:sz="0" w:space="0" w:color="auto"/>
        <w:bottom w:val="none" w:sz="0" w:space="0" w:color="auto"/>
        <w:right w:val="none" w:sz="0" w:space="0" w:color="auto"/>
      </w:divBdr>
    </w:div>
    <w:div w:id="953248847">
      <w:bodyDiv w:val="1"/>
      <w:marLeft w:val="0"/>
      <w:marRight w:val="0"/>
      <w:marTop w:val="0"/>
      <w:marBottom w:val="0"/>
      <w:divBdr>
        <w:top w:val="none" w:sz="0" w:space="0" w:color="auto"/>
        <w:left w:val="none" w:sz="0" w:space="0" w:color="auto"/>
        <w:bottom w:val="none" w:sz="0" w:space="0" w:color="auto"/>
        <w:right w:val="none" w:sz="0" w:space="0" w:color="auto"/>
      </w:divBdr>
      <w:divsChild>
        <w:div w:id="1027566711">
          <w:marLeft w:val="0"/>
          <w:marRight w:val="0"/>
          <w:marTop w:val="0"/>
          <w:marBottom w:val="0"/>
          <w:divBdr>
            <w:top w:val="none" w:sz="0" w:space="0" w:color="auto"/>
            <w:left w:val="none" w:sz="0" w:space="0" w:color="auto"/>
            <w:bottom w:val="none" w:sz="0" w:space="0" w:color="auto"/>
            <w:right w:val="none" w:sz="0" w:space="0" w:color="auto"/>
          </w:divBdr>
        </w:div>
        <w:div w:id="1750302632">
          <w:marLeft w:val="0"/>
          <w:marRight w:val="0"/>
          <w:marTop w:val="0"/>
          <w:marBottom w:val="0"/>
          <w:divBdr>
            <w:top w:val="none" w:sz="0" w:space="0" w:color="auto"/>
            <w:left w:val="none" w:sz="0" w:space="0" w:color="auto"/>
            <w:bottom w:val="none" w:sz="0" w:space="0" w:color="auto"/>
            <w:right w:val="none" w:sz="0" w:space="0" w:color="auto"/>
          </w:divBdr>
        </w:div>
        <w:div w:id="1940092891">
          <w:marLeft w:val="0"/>
          <w:marRight w:val="0"/>
          <w:marTop w:val="0"/>
          <w:marBottom w:val="0"/>
          <w:divBdr>
            <w:top w:val="none" w:sz="0" w:space="0" w:color="auto"/>
            <w:left w:val="none" w:sz="0" w:space="0" w:color="auto"/>
            <w:bottom w:val="none" w:sz="0" w:space="0" w:color="auto"/>
            <w:right w:val="none" w:sz="0" w:space="0" w:color="auto"/>
          </w:divBdr>
        </w:div>
      </w:divsChild>
    </w:div>
    <w:div w:id="1066605854">
      <w:bodyDiv w:val="1"/>
      <w:marLeft w:val="0"/>
      <w:marRight w:val="0"/>
      <w:marTop w:val="0"/>
      <w:marBottom w:val="0"/>
      <w:divBdr>
        <w:top w:val="none" w:sz="0" w:space="0" w:color="auto"/>
        <w:left w:val="none" w:sz="0" w:space="0" w:color="auto"/>
        <w:bottom w:val="none" w:sz="0" w:space="0" w:color="auto"/>
        <w:right w:val="none" w:sz="0" w:space="0" w:color="auto"/>
      </w:divBdr>
    </w:div>
    <w:div w:id="1179277967">
      <w:bodyDiv w:val="1"/>
      <w:marLeft w:val="0"/>
      <w:marRight w:val="0"/>
      <w:marTop w:val="0"/>
      <w:marBottom w:val="0"/>
      <w:divBdr>
        <w:top w:val="none" w:sz="0" w:space="0" w:color="auto"/>
        <w:left w:val="none" w:sz="0" w:space="0" w:color="auto"/>
        <w:bottom w:val="none" w:sz="0" w:space="0" w:color="auto"/>
        <w:right w:val="none" w:sz="0" w:space="0" w:color="auto"/>
      </w:divBdr>
    </w:div>
    <w:div w:id="1220508798">
      <w:bodyDiv w:val="1"/>
      <w:marLeft w:val="0"/>
      <w:marRight w:val="0"/>
      <w:marTop w:val="0"/>
      <w:marBottom w:val="0"/>
      <w:divBdr>
        <w:top w:val="none" w:sz="0" w:space="0" w:color="auto"/>
        <w:left w:val="none" w:sz="0" w:space="0" w:color="auto"/>
        <w:bottom w:val="none" w:sz="0" w:space="0" w:color="auto"/>
        <w:right w:val="none" w:sz="0" w:space="0" w:color="auto"/>
      </w:divBdr>
    </w:div>
    <w:div w:id="1237470554">
      <w:bodyDiv w:val="1"/>
      <w:marLeft w:val="0"/>
      <w:marRight w:val="0"/>
      <w:marTop w:val="0"/>
      <w:marBottom w:val="0"/>
      <w:divBdr>
        <w:top w:val="none" w:sz="0" w:space="0" w:color="auto"/>
        <w:left w:val="none" w:sz="0" w:space="0" w:color="auto"/>
        <w:bottom w:val="none" w:sz="0" w:space="0" w:color="auto"/>
        <w:right w:val="none" w:sz="0" w:space="0" w:color="auto"/>
      </w:divBdr>
    </w:div>
    <w:div w:id="1405224088">
      <w:bodyDiv w:val="1"/>
      <w:marLeft w:val="0"/>
      <w:marRight w:val="0"/>
      <w:marTop w:val="0"/>
      <w:marBottom w:val="0"/>
      <w:divBdr>
        <w:top w:val="none" w:sz="0" w:space="0" w:color="auto"/>
        <w:left w:val="none" w:sz="0" w:space="0" w:color="auto"/>
        <w:bottom w:val="none" w:sz="0" w:space="0" w:color="auto"/>
        <w:right w:val="none" w:sz="0" w:space="0" w:color="auto"/>
      </w:divBdr>
      <w:divsChild>
        <w:div w:id="115101913">
          <w:marLeft w:val="0"/>
          <w:marRight w:val="0"/>
          <w:marTop w:val="0"/>
          <w:marBottom w:val="0"/>
          <w:divBdr>
            <w:top w:val="none" w:sz="0" w:space="0" w:color="auto"/>
            <w:left w:val="none" w:sz="0" w:space="0" w:color="auto"/>
            <w:bottom w:val="none" w:sz="0" w:space="0" w:color="auto"/>
            <w:right w:val="none" w:sz="0" w:space="0" w:color="auto"/>
          </w:divBdr>
          <w:divsChild>
            <w:div w:id="1993174971">
              <w:marLeft w:val="0"/>
              <w:marRight w:val="0"/>
              <w:marTop w:val="0"/>
              <w:marBottom w:val="0"/>
              <w:divBdr>
                <w:top w:val="none" w:sz="0" w:space="0" w:color="auto"/>
                <w:left w:val="none" w:sz="0" w:space="0" w:color="auto"/>
                <w:bottom w:val="none" w:sz="0" w:space="0" w:color="auto"/>
                <w:right w:val="none" w:sz="0" w:space="0" w:color="auto"/>
              </w:divBdr>
            </w:div>
          </w:divsChild>
        </w:div>
        <w:div w:id="121077495">
          <w:marLeft w:val="0"/>
          <w:marRight w:val="0"/>
          <w:marTop w:val="0"/>
          <w:marBottom w:val="0"/>
          <w:divBdr>
            <w:top w:val="none" w:sz="0" w:space="0" w:color="auto"/>
            <w:left w:val="none" w:sz="0" w:space="0" w:color="auto"/>
            <w:bottom w:val="none" w:sz="0" w:space="0" w:color="auto"/>
            <w:right w:val="none" w:sz="0" w:space="0" w:color="auto"/>
          </w:divBdr>
          <w:divsChild>
            <w:div w:id="154103492">
              <w:marLeft w:val="0"/>
              <w:marRight w:val="0"/>
              <w:marTop w:val="0"/>
              <w:marBottom w:val="0"/>
              <w:divBdr>
                <w:top w:val="none" w:sz="0" w:space="0" w:color="auto"/>
                <w:left w:val="none" w:sz="0" w:space="0" w:color="auto"/>
                <w:bottom w:val="none" w:sz="0" w:space="0" w:color="auto"/>
                <w:right w:val="none" w:sz="0" w:space="0" w:color="auto"/>
              </w:divBdr>
            </w:div>
          </w:divsChild>
        </w:div>
        <w:div w:id="236718717">
          <w:marLeft w:val="0"/>
          <w:marRight w:val="0"/>
          <w:marTop w:val="0"/>
          <w:marBottom w:val="0"/>
          <w:divBdr>
            <w:top w:val="none" w:sz="0" w:space="0" w:color="auto"/>
            <w:left w:val="none" w:sz="0" w:space="0" w:color="auto"/>
            <w:bottom w:val="none" w:sz="0" w:space="0" w:color="auto"/>
            <w:right w:val="none" w:sz="0" w:space="0" w:color="auto"/>
          </w:divBdr>
          <w:divsChild>
            <w:div w:id="1959023098">
              <w:marLeft w:val="0"/>
              <w:marRight w:val="0"/>
              <w:marTop w:val="0"/>
              <w:marBottom w:val="0"/>
              <w:divBdr>
                <w:top w:val="none" w:sz="0" w:space="0" w:color="auto"/>
                <w:left w:val="none" w:sz="0" w:space="0" w:color="auto"/>
                <w:bottom w:val="none" w:sz="0" w:space="0" w:color="auto"/>
                <w:right w:val="none" w:sz="0" w:space="0" w:color="auto"/>
              </w:divBdr>
            </w:div>
          </w:divsChild>
        </w:div>
        <w:div w:id="246233738">
          <w:marLeft w:val="0"/>
          <w:marRight w:val="0"/>
          <w:marTop w:val="0"/>
          <w:marBottom w:val="0"/>
          <w:divBdr>
            <w:top w:val="none" w:sz="0" w:space="0" w:color="auto"/>
            <w:left w:val="none" w:sz="0" w:space="0" w:color="auto"/>
            <w:bottom w:val="none" w:sz="0" w:space="0" w:color="auto"/>
            <w:right w:val="none" w:sz="0" w:space="0" w:color="auto"/>
          </w:divBdr>
          <w:divsChild>
            <w:div w:id="39986586">
              <w:marLeft w:val="0"/>
              <w:marRight w:val="0"/>
              <w:marTop w:val="0"/>
              <w:marBottom w:val="0"/>
              <w:divBdr>
                <w:top w:val="none" w:sz="0" w:space="0" w:color="auto"/>
                <w:left w:val="none" w:sz="0" w:space="0" w:color="auto"/>
                <w:bottom w:val="none" w:sz="0" w:space="0" w:color="auto"/>
                <w:right w:val="none" w:sz="0" w:space="0" w:color="auto"/>
              </w:divBdr>
            </w:div>
          </w:divsChild>
        </w:div>
        <w:div w:id="284239396">
          <w:marLeft w:val="0"/>
          <w:marRight w:val="0"/>
          <w:marTop w:val="0"/>
          <w:marBottom w:val="0"/>
          <w:divBdr>
            <w:top w:val="none" w:sz="0" w:space="0" w:color="auto"/>
            <w:left w:val="none" w:sz="0" w:space="0" w:color="auto"/>
            <w:bottom w:val="none" w:sz="0" w:space="0" w:color="auto"/>
            <w:right w:val="none" w:sz="0" w:space="0" w:color="auto"/>
          </w:divBdr>
          <w:divsChild>
            <w:div w:id="143816222">
              <w:marLeft w:val="0"/>
              <w:marRight w:val="0"/>
              <w:marTop w:val="0"/>
              <w:marBottom w:val="0"/>
              <w:divBdr>
                <w:top w:val="none" w:sz="0" w:space="0" w:color="auto"/>
                <w:left w:val="none" w:sz="0" w:space="0" w:color="auto"/>
                <w:bottom w:val="none" w:sz="0" w:space="0" w:color="auto"/>
                <w:right w:val="none" w:sz="0" w:space="0" w:color="auto"/>
              </w:divBdr>
            </w:div>
          </w:divsChild>
        </w:div>
        <w:div w:id="292370659">
          <w:marLeft w:val="0"/>
          <w:marRight w:val="0"/>
          <w:marTop w:val="0"/>
          <w:marBottom w:val="0"/>
          <w:divBdr>
            <w:top w:val="none" w:sz="0" w:space="0" w:color="auto"/>
            <w:left w:val="none" w:sz="0" w:space="0" w:color="auto"/>
            <w:bottom w:val="none" w:sz="0" w:space="0" w:color="auto"/>
            <w:right w:val="none" w:sz="0" w:space="0" w:color="auto"/>
          </w:divBdr>
          <w:divsChild>
            <w:div w:id="1932472160">
              <w:marLeft w:val="0"/>
              <w:marRight w:val="0"/>
              <w:marTop w:val="0"/>
              <w:marBottom w:val="0"/>
              <w:divBdr>
                <w:top w:val="none" w:sz="0" w:space="0" w:color="auto"/>
                <w:left w:val="none" w:sz="0" w:space="0" w:color="auto"/>
                <w:bottom w:val="none" w:sz="0" w:space="0" w:color="auto"/>
                <w:right w:val="none" w:sz="0" w:space="0" w:color="auto"/>
              </w:divBdr>
            </w:div>
          </w:divsChild>
        </w:div>
        <w:div w:id="292489343">
          <w:marLeft w:val="0"/>
          <w:marRight w:val="0"/>
          <w:marTop w:val="0"/>
          <w:marBottom w:val="0"/>
          <w:divBdr>
            <w:top w:val="none" w:sz="0" w:space="0" w:color="auto"/>
            <w:left w:val="none" w:sz="0" w:space="0" w:color="auto"/>
            <w:bottom w:val="none" w:sz="0" w:space="0" w:color="auto"/>
            <w:right w:val="none" w:sz="0" w:space="0" w:color="auto"/>
          </w:divBdr>
          <w:divsChild>
            <w:div w:id="777599667">
              <w:marLeft w:val="0"/>
              <w:marRight w:val="0"/>
              <w:marTop w:val="0"/>
              <w:marBottom w:val="0"/>
              <w:divBdr>
                <w:top w:val="none" w:sz="0" w:space="0" w:color="auto"/>
                <w:left w:val="none" w:sz="0" w:space="0" w:color="auto"/>
                <w:bottom w:val="none" w:sz="0" w:space="0" w:color="auto"/>
                <w:right w:val="none" w:sz="0" w:space="0" w:color="auto"/>
              </w:divBdr>
            </w:div>
          </w:divsChild>
        </w:div>
        <w:div w:id="600141201">
          <w:marLeft w:val="0"/>
          <w:marRight w:val="0"/>
          <w:marTop w:val="0"/>
          <w:marBottom w:val="0"/>
          <w:divBdr>
            <w:top w:val="none" w:sz="0" w:space="0" w:color="auto"/>
            <w:left w:val="none" w:sz="0" w:space="0" w:color="auto"/>
            <w:bottom w:val="none" w:sz="0" w:space="0" w:color="auto"/>
            <w:right w:val="none" w:sz="0" w:space="0" w:color="auto"/>
          </w:divBdr>
          <w:divsChild>
            <w:div w:id="607540069">
              <w:marLeft w:val="0"/>
              <w:marRight w:val="0"/>
              <w:marTop w:val="0"/>
              <w:marBottom w:val="0"/>
              <w:divBdr>
                <w:top w:val="none" w:sz="0" w:space="0" w:color="auto"/>
                <w:left w:val="none" w:sz="0" w:space="0" w:color="auto"/>
                <w:bottom w:val="none" w:sz="0" w:space="0" w:color="auto"/>
                <w:right w:val="none" w:sz="0" w:space="0" w:color="auto"/>
              </w:divBdr>
            </w:div>
            <w:div w:id="942303217">
              <w:marLeft w:val="0"/>
              <w:marRight w:val="0"/>
              <w:marTop w:val="0"/>
              <w:marBottom w:val="0"/>
              <w:divBdr>
                <w:top w:val="none" w:sz="0" w:space="0" w:color="auto"/>
                <w:left w:val="none" w:sz="0" w:space="0" w:color="auto"/>
                <w:bottom w:val="none" w:sz="0" w:space="0" w:color="auto"/>
                <w:right w:val="none" w:sz="0" w:space="0" w:color="auto"/>
              </w:divBdr>
            </w:div>
            <w:div w:id="1555577041">
              <w:marLeft w:val="0"/>
              <w:marRight w:val="0"/>
              <w:marTop w:val="0"/>
              <w:marBottom w:val="0"/>
              <w:divBdr>
                <w:top w:val="none" w:sz="0" w:space="0" w:color="auto"/>
                <w:left w:val="none" w:sz="0" w:space="0" w:color="auto"/>
                <w:bottom w:val="none" w:sz="0" w:space="0" w:color="auto"/>
                <w:right w:val="none" w:sz="0" w:space="0" w:color="auto"/>
              </w:divBdr>
            </w:div>
          </w:divsChild>
        </w:div>
        <w:div w:id="655959018">
          <w:marLeft w:val="0"/>
          <w:marRight w:val="0"/>
          <w:marTop w:val="0"/>
          <w:marBottom w:val="0"/>
          <w:divBdr>
            <w:top w:val="none" w:sz="0" w:space="0" w:color="auto"/>
            <w:left w:val="none" w:sz="0" w:space="0" w:color="auto"/>
            <w:bottom w:val="none" w:sz="0" w:space="0" w:color="auto"/>
            <w:right w:val="none" w:sz="0" w:space="0" w:color="auto"/>
          </w:divBdr>
          <w:divsChild>
            <w:div w:id="601886165">
              <w:marLeft w:val="0"/>
              <w:marRight w:val="0"/>
              <w:marTop w:val="0"/>
              <w:marBottom w:val="0"/>
              <w:divBdr>
                <w:top w:val="none" w:sz="0" w:space="0" w:color="auto"/>
                <w:left w:val="none" w:sz="0" w:space="0" w:color="auto"/>
                <w:bottom w:val="none" w:sz="0" w:space="0" w:color="auto"/>
                <w:right w:val="none" w:sz="0" w:space="0" w:color="auto"/>
              </w:divBdr>
            </w:div>
            <w:div w:id="1530950905">
              <w:marLeft w:val="0"/>
              <w:marRight w:val="0"/>
              <w:marTop w:val="0"/>
              <w:marBottom w:val="0"/>
              <w:divBdr>
                <w:top w:val="none" w:sz="0" w:space="0" w:color="auto"/>
                <w:left w:val="none" w:sz="0" w:space="0" w:color="auto"/>
                <w:bottom w:val="none" w:sz="0" w:space="0" w:color="auto"/>
                <w:right w:val="none" w:sz="0" w:space="0" w:color="auto"/>
              </w:divBdr>
            </w:div>
          </w:divsChild>
        </w:div>
        <w:div w:id="1432816844">
          <w:marLeft w:val="0"/>
          <w:marRight w:val="0"/>
          <w:marTop w:val="0"/>
          <w:marBottom w:val="0"/>
          <w:divBdr>
            <w:top w:val="none" w:sz="0" w:space="0" w:color="auto"/>
            <w:left w:val="none" w:sz="0" w:space="0" w:color="auto"/>
            <w:bottom w:val="none" w:sz="0" w:space="0" w:color="auto"/>
            <w:right w:val="none" w:sz="0" w:space="0" w:color="auto"/>
          </w:divBdr>
          <w:divsChild>
            <w:div w:id="739329868">
              <w:marLeft w:val="0"/>
              <w:marRight w:val="0"/>
              <w:marTop w:val="0"/>
              <w:marBottom w:val="0"/>
              <w:divBdr>
                <w:top w:val="none" w:sz="0" w:space="0" w:color="auto"/>
                <w:left w:val="none" w:sz="0" w:space="0" w:color="auto"/>
                <w:bottom w:val="none" w:sz="0" w:space="0" w:color="auto"/>
                <w:right w:val="none" w:sz="0" w:space="0" w:color="auto"/>
              </w:divBdr>
            </w:div>
          </w:divsChild>
        </w:div>
        <w:div w:id="1619992348">
          <w:marLeft w:val="0"/>
          <w:marRight w:val="0"/>
          <w:marTop w:val="0"/>
          <w:marBottom w:val="0"/>
          <w:divBdr>
            <w:top w:val="none" w:sz="0" w:space="0" w:color="auto"/>
            <w:left w:val="none" w:sz="0" w:space="0" w:color="auto"/>
            <w:bottom w:val="none" w:sz="0" w:space="0" w:color="auto"/>
            <w:right w:val="none" w:sz="0" w:space="0" w:color="auto"/>
          </w:divBdr>
          <w:divsChild>
            <w:div w:id="1904639845">
              <w:marLeft w:val="0"/>
              <w:marRight w:val="0"/>
              <w:marTop w:val="0"/>
              <w:marBottom w:val="0"/>
              <w:divBdr>
                <w:top w:val="none" w:sz="0" w:space="0" w:color="auto"/>
                <w:left w:val="none" w:sz="0" w:space="0" w:color="auto"/>
                <w:bottom w:val="none" w:sz="0" w:space="0" w:color="auto"/>
                <w:right w:val="none" w:sz="0" w:space="0" w:color="auto"/>
              </w:divBdr>
            </w:div>
          </w:divsChild>
        </w:div>
        <w:div w:id="1638336389">
          <w:marLeft w:val="0"/>
          <w:marRight w:val="0"/>
          <w:marTop w:val="0"/>
          <w:marBottom w:val="0"/>
          <w:divBdr>
            <w:top w:val="none" w:sz="0" w:space="0" w:color="auto"/>
            <w:left w:val="none" w:sz="0" w:space="0" w:color="auto"/>
            <w:bottom w:val="none" w:sz="0" w:space="0" w:color="auto"/>
            <w:right w:val="none" w:sz="0" w:space="0" w:color="auto"/>
          </w:divBdr>
          <w:divsChild>
            <w:div w:id="732239085">
              <w:marLeft w:val="0"/>
              <w:marRight w:val="0"/>
              <w:marTop w:val="0"/>
              <w:marBottom w:val="0"/>
              <w:divBdr>
                <w:top w:val="none" w:sz="0" w:space="0" w:color="auto"/>
                <w:left w:val="none" w:sz="0" w:space="0" w:color="auto"/>
                <w:bottom w:val="none" w:sz="0" w:space="0" w:color="auto"/>
                <w:right w:val="none" w:sz="0" w:space="0" w:color="auto"/>
              </w:divBdr>
            </w:div>
          </w:divsChild>
        </w:div>
        <w:div w:id="1739397197">
          <w:marLeft w:val="0"/>
          <w:marRight w:val="0"/>
          <w:marTop w:val="0"/>
          <w:marBottom w:val="0"/>
          <w:divBdr>
            <w:top w:val="none" w:sz="0" w:space="0" w:color="auto"/>
            <w:left w:val="none" w:sz="0" w:space="0" w:color="auto"/>
            <w:bottom w:val="none" w:sz="0" w:space="0" w:color="auto"/>
            <w:right w:val="none" w:sz="0" w:space="0" w:color="auto"/>
          </w:divBdr>
          <w:divsChild>
            <w:div w:id="1390223371">
              <w:marLeft w:val="0"/>
              <w:marRight w:val="0"/>
              <w:marTop w:val="0"/>
              <w:marBottom w:val="0"/>
              <w:divBdr>
                <w:top w:val="none" w:sz="0" w:space="0" w:color="auto"/>
                <w:left w:val="none" w:sz="0" w:space="0" w:color="auto"/>
                <w:bottom w:val="none" w:sz="0" w:space="0" w:color="auto"/>
                <w:right w:val="none" w:sz="0" w:space="0" w:color="auto"/>
              </w:divBdr>
            </w:div>
          </w:divsChild>
        </w:div>
        <w:div w:id="1817796319">
          <w:marLeft w:val="0"/>
          <w:marRight w:val="0"/>
          <w:marTop w:val="0"/>
          <w:marBottom w:val="0"/>
          <w:divBdr>
            <w:top w:val="none" w:sz="0" w:space="0" w:color="auto"/>
            <w:left w:val="none" w:sz="0" w:space="0" w:color="auto"/>
            <w:bottom w:val="none" w:sz="0" w:space="0" w:color="auto"/>
            <w:right w:val="none" w:sz="0" w:space="0" w:color="auto"/>
          </w:divBdr>
          <w:divsChild>
            <w:div w:id="1354309910">
              <w:marLeft w:val="0"/>
              <w:marRight w:val="0"/>
              <w:marTop w:val="0"/>
              <w:marBottom w:val="0"/>
              <w:divBdr>
                <w:top w:val="none" w:sz="0" w:space="0" w:color="auto"/>
                <w:left w:val="none" w:sz="0" w:space="0" w:color="auto"/>
                <w:bottom w:val="none" w:sz="0" w:space="0" w:color="auto"/>
                <w:right w:val="none" w:sz="0" w:space="0" w:color="auto"/>
              </w:divBdr>
            </w:div>
          </w:divsChild>
        </w:div>
        <w:div w:id="1849128612">
          <w:marLeft w:val="0"/>
          <w:marRight w:val="0"/>
          <w:marTop w:val="0"/>
          <w:marBottom w:val="0"/>
          <w:divBdr>
            <w:top w:val="none" w:sz="0" w:space="0" w:color="auto"/>
            <w:left w:val="none" w:sz="0" w:space="0" w:color="auto"/>
            <w:bottom w:val="none" w:sz="0" w:space="0" w:color="auto"/>
            <w:right w:val="none" w:sz="0" w:space="0" w:color="auto"/>
          </w:divBdr>
          <w:divsChild>
            <w:div w:id="1265336238">
              <w:marLeft w:val="0"/>
              <w:marRight w:val="0"/>
              <w:marTop w:val="0"/>
              <w:marBottom w:val="0"/>
              <w:divBdr>
                <w:top w:val="none" w:sz="0" w:space="0" w:color="auto"/>
                <w:left w:val="none" w:sz="0" w:space="0" w:color="auto"/>
                <w:bottom w:val="none" w:sz="0" w:space="0" w:color="auto"/>
                <w:right w:val="none" w:sz="0" w:space="0" w:color="auto"/>
              </w:divBdr>
            </w:div>
          </w:divsChild>
        </w:div>
        <w:div w:id="1961372547">
          <w:marLeft w:val="0"/>
          <w:marRight w:val="0"/>
          <w:marTop w:val="0"/>
          <w:marBottom w:val="0"/>
          <w:divBdr>
            <w:top w:val="none" w:sz="0" w:space="0" w:color="auto"/>
            <w:left w:val="none" w:sz="0" w:space="0" w:color="auto"/>
            <w:bottom w:val="none" w:sz="0" w:space="0" w:color="auto"/>
            <w:right w:val="none" w:sz="0" w:space="0" w:color="auto"/>
          </w:divBdr>
          <w:divsChild>
            <w:div w:id="318458722">
              <w:marLeft w:val="0"/>
              <w:marRight w:val="0"/>
              <w:marTop w:val="0"/>
              <w:marBottom w:val="0"/>
              <w:divBdr>
                <w:top w:val="none" w:sz="0" w:space="0" w:color="auto"/>
                <w:left w:val="none" w:sz="0" w:space="0" w:color="auto"/>
                <w:bottom w:val="none" w:sz="0" w:space="0" w:color="auto"/>
                <w:right w:val="none" w:sz="0" w:space="0" w:color="auto"/>
              </w:divBdr>
            </w:div>
            <w:div w:id="483814086">
              <w:marLeft w:val="0"/>
              <w:marRight w:val="0"/>
              <w:marTop w:val="0"/>
              <w:marBottom w:val="0"/>
              <w:divBdr>
                <w:top w:val="none" w:sz="0" w:space="0" w:color="auto"/>
                <w:left w:val="none" w:sz="0" w:space="0" w:color="auto"/>
                <w:bottom w:val="none" w:sz="0" w:space="0" w:color="auto"/>
                <w:right w:val="none" w:sz="0" w:space="0" w:color="auto"/>
              </w:divBdr>
            </w:div>
            <w:div w:id="829714820">
              <w:marLeft w:val="0"/>
              <w:marRight w:val="0"/>
              <w:marTop w:val="0"/>
              <w:marBottom w:val="0"/>
              <w:divBdr>
                <w:top w:val="none" w:sz="0" w:space="0" w:color="auto"/>
                <w:left w:val="none" w:sz="0" w:space="0" w:color="auto"/>
                <w:bottom w:val="none" w:sz="0" w:space="0" w:color="auto"/>
                <w:right w:val="none" w:sz="0" w:space="0" w:color="auto"/>
              </w:divBdr>
            </w:div>
            <w:div w:id="1144002272">
              <w:marLeft w:val="0"/>
              <w:marRight w:val="0"/>
              <w:marTop w:val="0"/>
              <w:marBottom w:val="0"/>
              <w:divBdr>
                <w:top w:val="none" w:sz="0" w:space="0" w:color="auto"/>
                <w:left w:val="none" w:sz="0" w:space="0" w:color="auto"/>
                <w:bottom w:val="none" w:sz="0" w:space="0" w:color="auto"/>
                <w:right w:val="none" w:sz="0" w:space="0" w:color="auto"/>
              </w:divBdr>
            </w:div>
            <w:div w:id="1266772013">
              <w:marLeft w:val="0"/>
              <w:marRight w:val="0"/>
              <w:marTop w:val="0"/>
              <w:marBottom w:val="0"/>
              <w:divBdr>
                <w:top w:val="none" w:sz="0" w:space="0" w:color="auto"/>
                <w:left w:val="none" w:sz="0" w:space="0" w:color="auto"/>
                <w:bottom w:val="none" w:sz="0" w:space="0" w:color="auto"/>
                <w:right w:val="none" w:sz="0" w:space="0" w:color="auto"/>
              </w:divBdr>
            </w:div>
          </w:divsChild>
        </w:div>
        <w:div w:id="1985621120">
          <w:marLeft w:val="0"/>
          <w:marRight w:val="0"/>
          <w:marTop w:val="0"/>
          <w:marBottom w:val="0"/>
          <w:divBdr>
            <w:top w:val="none" w:sz="0" w:space="0" w:color="auto"/>
            <w:left w:val="none" w:sz="0" w:space="0" w:color="auto"/>
            <w:bottom w:val="none" w:sz="0" w:space="0" w:color="auto"/>
            <w:right w:val="none" w:sz="0" w:space="0" w:color="auto"/>
          </w:divBdr>
          <w:divsChild>
            <w:div w:id="1251769366">
              <w:marLeft w:val="0"/>
              <w:marRight w:val="0"/>
              <w:marTop w:val="0"/>
              <w:marBottom w:val="0"/>
              <w:divBdr>
                <w:top w:val="none" w:sz="0" w:space="0" w:color="auto"/>
                <w:left w:val="none" w:sz="0" w:space="0" w:color="auto"/>
                <w:bottom w:val="none" w:sz="0" w:space="0" w:color="auto"/>
                <w:right w:val="none" w:sz="0" w:space="0" w:color="auto"/>
              </w:divBdr>
            </w:div>
          </w:divsChild>
        </w:div>
        <w:div w:id="1999650349">
          <w:marLeft w:val="0"/>
          <w:marRight w:val="0"/>
          <w:marTop w:val="0"/>
          <w:marBottom w:val="0"/>
          <w:divBdr>
            <w:top w:val="none" w:sz="0" w:space="0" w:color="auto"/>
            <w:left w:val="none" w:sz="0" w:space="0" w:color="auto"/>
            <w:bottom w:val="none" w:sz="0" w:space="0" w:color="auto"/>
            <w:right w:val="none" w:sz="0" w:space="0" w:color="auto"/>
          </w:divBdr>
          <w:divsChild>
            <w:div w:id="565841384">
              <w:marLeft w:val="0"/>
              <w:marRight w:val="0"/>
              <w:marTop w:val="0"/>
              <w:marBottom w:val="0"/>
              <w:divBdr>
                <w:top w:val="none" w:sz="0" w:space="0" w:color="auto"/>
                <w:left w:val="none" w:sz="0" w:space="0" w:color="auto"/>
                <w:bottom w:val="none" w:sz="0" w:space="0" w:color="auto"/>
                <w:right w:val="none" w:sz="0" w:space="0" w:color="auto"/>
              </w:divBdr>
            </w:div>
            <w:div w:id="621230413">
              <w:marLeft w:val="0"/>
              <w:marRight w:val="0"/>
              <w:marTop w:val="0"/>
              <w:marBottom w:val="0"/>
              <w:divBdr>
                <w:top w:val="none" w:sz="0" w:space="0" w:color="auto"/>
                <w:left w:val="none" w:sz="0" w:space="0" w:color="auto"/>
                <w:bottom w:val="none" w:sz="0" w:space="0" w:color="auto"/>
                <w:right w:val="none" w:sz="0" w:space="0" w:color="auto"/>
              </w:divBdr>
            </w:div>
            <w:div w:id="1456564542">
              <w:marLeft w:val="0"/>
              <w:marRight w:val="0"/>
              <w:marTop w:val="0"/>
              <w:marBottom w:val="0"/>
              <w:divBdr>
                <w:top w:val="none" w:sz="0" w:space="0" w:color="auto"/>
                <w:left w:val="none" w:sz="0" w:space="0" w:color="auto"/>
                <w:bottom w:val="none" w:sz="0" w:space="0" w:color="auto"/>
                <w:right w:val="none" w:sz="0" w:space="0" w:color="auto"/>
              </w:divBdr>
            </w:div>
            <w:div w:id="1979337260">
              <w:marLeft w:val="0"/>
              <w:marRight w:val="0"/>
              <w:marTop w:val="0"/>
              <w:marBottom w:val="0"/>
              <w:divBdr>
                <w:top w:val="none" w:sz="0" w:space="0" w:color="auto"/>
                <w:left w:val="none" w:sz="0" w:space="0" w:color="auto"/>
                <w:bottom w:val="none" w:sz="0" w:space="0" w:color="auto"/>
                <w:right w:val="none" w:sz="0" w:space="0" w:color="auto"/>
              </w:divBdr>
            </w:div>
          </w:divsChild>
        </w:div>
        <w:div w:id="2024282067">
          <w:marLeft w:val="0"/>
          <w:marRight w:val="0"/>
          <w:marTop w:val="0"/>
          <w:marBottom w:val="0"/>
          <w:divBdr>
            <w:top w:val="none" w:sz="0" w:space="0" w:color="auto"/>
            <w:left w:val="none" w:sz="0" w:space="0" w:color="auto"/>
            <w:bottom w:val="none" w:sz="0" w:space="0" w:color="auto"/>
            <w:right w:val="none" w:sz="0" w:space="0" w:color="auto"/>
          </w:divBdr>
          <w:divsChild>
            <w:div w:id="518664876">
              <w:marLeft w:val="0"/>
              <w:marRight w:val="0"/>
              <w:marTop w:val="0"/>
              <w:marBottom w:val="0"/>
              <w:divBdr>
                <w:top w:val="none" w:sz="0" w:space="0" w:color="auto"/>
                <w:left w:val="none" w:sz="0" w:space="0" w:color="auto"/>
                <w:bottom w:val="none" w:sz="0" w:space="0" w:color="auto"/>
                <w:right w:val="none" w:sz="0" w:space="0" w:color="auto"/>
              </w:divBdr>
            </w:div>
            <w:div w:id="829563539">
              <w:marLeft w:val="0"/>
              <w:marRight w:val="0"/>
              <w:marTop w:val="0"/>
              <w:marBottom w:val="0"/>
              <w:divBdr>
                <w:top w:val="none" w:sz="0" w:space="0" w:color="auto"/>
                <w:left w:val="none" w:sz="0" w:space="0" w:color="auto"/>
                <w:bottom w:val="none" w:sz="0" w:space="0" w:color="auto"/>
                <w:right w:val="none" w:sz="0" w:space="0" w:color="auto"/>
              </w:divBdr>
            </w:div>
            <w:div w:id="833301969">
              <w:marLeft w:val="0"/>
              <w:marRight w:val="0"/>
              <w:marTop w:val="0"/>
              <w:marBottom w:val="0"/>
              <w:divBdr>
                <w:top w:val="none" w:sz="0" w:space="0" w:color="auto"/>
                <w:left w:val="none" w:sz="0" w:space="0" w:color="auto"/>
                <w:bottom w:val="none" w:sz="0" w:space="0" w:color="auto"/>
                <w:right w:val="none" w:sz="0" w:space="0" w:color="auto"/>
              </w:divBdr>
            </w:div>
            <w:div w:id="842819492">
              <w:marLeft w:val="0"/>
              <w:marRight w:val="0"/>
              <w:marTop w:val="0"/>
              <w:marBottom w:val="0"/>
              <w:divBdr>
                <w:top w:val="none" w:sz="0" w:space="0" w:color="auto"/>
                <w:left w:val="none" w:sz="0" w:space="0" w:color="auto"/>
                <w:bottom w:val="none" w:sz="0" w:space="0" w:color="auto"/>
                <w:right w:val="none" w:sz="0" w:space="0" w:color="auto"/>
              </w:divBdr>
            </w:div>
            <w:div w:id="2098938319">
              <w:marLeft w:val="0"/>
              <w:marRight w:val="0"/>
              <w:marTop w:val="0"/>
              <w:marBottom w:val="0"/>
              <w:divBdr>
                <w:top w:val="none" w:sz="0" w:space="0" w:color="auto"/>
                <w:left w:val="none" w:sz="0" w:space="0" w:color="auto"/>
                <w:bottom w:val="none" w:sz="0" w:space="0" w:color="auto"/>
                <w:right w:val="none" w:sz="0" w:space="0" w:color="auto"/>
              </w:divBdr>
            </w:div>
          </w:divsChild>
        </w:div>
        <w:div w:id="2042244103">
          <w:marLeft w:val="0"/>
          <w:marRight w:val="0"/>
          <w:marTop w:val="0"/>
          <w:marBottom w:val="0"/>
          <w:divBdr>
            <w:top w:val="none" w:sz="0" w:space="0" w:color="auto"/>
            <w:left w:val="none" w:sz="0" w:space="0" w:color="auto"/>
            <w:bottom w:val="none" w:sz="0" w:space="0" w:color="auto"/>
            <w:right w:val="none" w:sz="0" w:space="0" w:color="auto"/>
          </w:divBdr>
          <w:divsChild>
            <w:div w:id="75474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91892">
      <w:bodyDiv w:val="1"/>
      <w:marLeft w:val="0"/>
      <w:marRight w:val="0"/>
      <w:marTop w:val="0"/>
      <w:marBottom w:val="0"/>
      <w:divBdr>
        <w:top w:val="none" w:sz="0" w:space="0" w:color="auto"/>
        <w:left w:val="none" w:sz="0" w:space="0" w:color="auto"/>
        <w:bottom w:val="none" w:sz="0" w:space="0" w:color="auto"/>
        <w:right w:val="none" w:sz="0" w:space="0" w:color="auto"/>
      </w:divBdr>
    </w:div>
    <w:div w:id="1516337118">
      <w:bodyDiv w:val="1"/>
      <w:marLeft w:val="0"/>
      <w:marRight w:val="0"/>
      <w:marTop w:val="0"/>
      <w:marBottom w:val="0"/>
      <w:divBdr>
        <w:top w:val="none" w:sz="0" w:space="0" w:color="auto"/>
        <w:left w:val="none" w:sz="0" w:space="0" w:color="auto"/>
        <w:bottom w:val="none" w:sz="0" w:space="0" w:color="auto"/>
        <w:right w:val="none" w:sz="0" w:space="0" w:color="auto"/>
      </w:divBdr>
    </w:div>
    <w:div w:id="1612513781">
      <w:bodyDiv w:val="1"/>
      <w:marLeft w:val="0"/>
      <w:marRight w:val="0"/>
      <w:marTop w:val="0"/>
      <w:marBottom w:val="0"/>
      <w:divBdr>
        <w:top w:val="none" w:sz="0" w:space="0" w:color="auto"/>
        <w:left w:val="none" w:sz="0" w:space="0" w:color="auto"/>
        <w:bottom w:val="none" w:sz="0" w:space="0" w:color="auto"/>
        <w:right w:val="none" w:sz="0" w:space="0" w:color="auto"/>
      </w:divBdr>
    </w:div>
    <w:div w:id="1623146644">
      <w:bodyDiv w:val="1"/>
      <w:marLeft w:val="0"/>
      <w:marRight w:val="0"/>
      <w:marTop w:val="0"/>
      <w:marBottom w:val="0"/>
      <w:divBdr>
        <w:top w:val="none" w:sz="0" w:space="0" w:color="auto"/>
        <w:left w:val="none" w:sz="0" w:space="0" w:color="auto"/>
        <w:bottom w:val="none" w:sz="0" w:space="0" w:color="auto"/>
        <w:right w:val="none" w:sz="0" w:space="0" w:color="auto"/>
      </w:divBdr>
    </w:div>
    <w:div w:id="1720324415">
      <w:bodyDiv w:val="1"/>
      <w:marLeft w:val="0"/>
      <w:marRight w:val="0"/>
      <w:marTop w:val="0"/>
      <w:marBottom w:val="0"/>
      <w:divBdr>
        <w:top w:val="none" w:sz="0" w:space="0" w:color="auto"/>
        <w:left w:val="none" w:sz="0" w:space="0" w:color="auto"/>
        <w:bottom w:val="none" w:sz="0" w:space="0" w:color="auto"/>
        <w:right w:val="none" w:sz="0" w:space="0" w:color="auto"/>
      </w:divBdr>
      <w:divsChild>
        <w:div w:id="13042538">
          <w:marLeft w:val="0"/>
          <w:marRight w:val="0"/>
          <w:marTop w:val="0"/>
          <w:marBottom w:val="0"/>
          <w:divBdr>
            <w:top w:val="none" w:sz="0" w:space="0" w:color="auto"/>
            <w:left w:val="none" w:sz="0" w:space="0" w:color="auto"/>
            <w:bottom w:val="none" w:sz="0" w:space="0" w:color="auto"/>
            <w:right w:val="none" w:sz="0" w:space="0" w:color="auto"/>
          </w:divBdr>
          <w:divsChild>
            <w:div w:id="1884828669">
              <w:marLeft w:val="0"/>
              <w:marRight w:val="0"/>
              <w:marTop w:val="0"/>
              <w:marBottom w:val="0"/>
              <w:divBdr>
                <w:top w:val="none" w:sz="0" w:space="0" w:color="auto"/>
                <w:left w:val="none" w:sz="0" w:space="0" w:color="auto"/>
                <w:bottom w:val="none" w:sz="0" w:space="0" w:color="auto"/>
                <w:right w:val="none" w:sz="0" w:space="0" w:color="auto"/>
              </w:divBdr>
            </w:div>
          </w:divsChild>
        </w:div>
        <w:div w:id="30884257">
          <w:marLeft w:val="0"/>
          <w:marRight w:val="0"/>
          <w:marTop w:val="0"/>
          <w:marBottom w:val="0"/>
          <w:divBdr>
            <w:top w:val="none" w:sz="0" w:space="0" w:color="auto"/>
            <w:left w:val="none" w:sz="0" w:space="0" w:color="auto"/>
            <w:bottom w:val="none" w:sz="0" w:space="0" w:color="auto"/>
            <w:right w:val="none" w:sz="0" w:space="0" w:color="auto"/>
          </w:divBdr>
          <w:divsChild>
            <w:div w:id="457719859">
              <w:marLeft w:val="0"/>
              <w:marRight w:val="0"/>
              <w:marTop w:val="0"/>
              <w:marBottom w:val="0"/>
              <w:divBdr>
                <w:top w:val="none" w:sz="0" w:space="0" w:color="auto"/>
                <w:left w:val="none" w:sz="0" w:space="0" w:color="auto"/>
                <w:bottom w:val="none" w:sz="0" w:space="0" w:color="auto"/>
                <w:right w:val="none" w:sz="0" w:space="0" w:color="auto"/>
              </w:divBdr>
            </w:div>
          </w:divsChild>
        </w:div>
        <w:div w:id="31658137">
          <w:marLeft w:val="0"/>
          <w:marRight w:val="0"/>
          <w:marTop w:val="0"/>
          <w:marBottom w:val="0"/>
          <w:divBdr>
            <w:top w:val="none" w:sz="0" w:space="0" w:color="auto"/>
            <w:left w:val="none" w:sz="0" w:space="0" w:color="auto"/>
            <w:bottom w:val="none" w:sz="0" w:space="0" w:color="auto"/>
            <w:right w:val="none" w:sz="0" w:space="0" w:color="auto"/>
          </w:divBdr>
          <w:divsChild>
            <w:div w:id="1671174546">
              <w:marLeft w:val="0"/>
              <w:marRight w:val="0"/>
              <w:marTop w:val="0"/>
              <w:marBottom w:val="0"/>
              <w:divBdr>
                <w:top w:val="none" w:sz="0" w:space="0" w:color="auto"/>
                <w:left w:val="none" w:sz="0" w:space="0" w:color="auto"/>
                <w:bottom w:val="none" w:sz="0" w:space="0" w:color="auto"/>
                <w:right w:val="none" w:sz="0" w:space="0" w:color="auto"/>
              </w:divBdr>
            </w:div>
          </w:divsChild>
        </w:div>
        <w:div w:id="33774660">
          <w:marLeft w:val="0"/>
          <w:marRight w:val="0"/>
          <w:marTop w:val="0"/>
          <w:marBottom w:val="0"/>
          <w:divBdr>
            <w:top w:val="none" w:sz="0" w:space="0" w:color="auto"/>
            <w:left w:val="none" w:sz="0" w:space="0" w:color="auto"/>
            <w:bottom w:val="none" w:sz="0" w:space="0" w:color="auto"/>
            <w:right w:val="none" w:sz="0" w:space="0" w:color="auto"/>
          </w:divBdr>
          <w:divsChild>
            <w:div w:id="1312900725">
              <w:marLeft w:val="0"/>
              <w:marRight w:val="0"/>
              <w:marTop w:val="0"/>
              <w:marBottom w:val="0"/>
              <w:divBdr>
                <w:top w:val="none" w:sz="0" w:space="0" w:color="auto"/>
                <w:left w:val="none" w:sz="0" w:space="0" w:color="auto"/>
                <w:bottom w:val="none" w:sz="0" w:space="0" w:color="auto"/>
                <w:right w:val="none" w:sz="0" w:space="0" w:color="auto"/>
              </w:divBdr>
            </w:div>
          </w:divsChild>
        </w:div>
        <w:div w:id="38937460">
          <w:marLeft w:val="0"/>
          <w:marRight w:val="0"/>
          <w:marTop w:val="0"/>
          <w:marBottom w:val="0"/>
          <w:divBdr>
            <w:top w:val="none" w:sz="0" w:space="0" w:color="auto"/>
            <w:left w:val="none" w:sz="0" w:space="0" w:color="auto"/>
            <w:bottom w:val="none" w:sz="0" w:space="0" w:color="auto"/>
            <w:right w:val="none" w:sz="0" w:space="0" w:color="auto"/>
          </w:divBdr>
          <w:divsChild>
            <w:div w:id="1843348028">
              <w:marLeft w:val="0"/>
              <w:marRight w:val="0"/>
              <w:marTop w:val="0"/>
              <w:marBottom w:val="0"/>
              <w:divBdr>
                <w:top w:val="none" w:sz="0" w:space="0" w:color="auto"/>
                <w:left w:val="none" w:sz="0" w:space="0" w:color="auto"/>
                <w:bottom w:val="none" w:sz="0" w:space="0" w:color="auto"/>
                <w:right w:val="none" w:sz="0" w:space="0" w:color="auto"/>
              </w:divBdr>
            </w:div>
          </w:divsChild>
        </w:div>
        <w:div w:id="40642410">
          <w:marLeft w:val="0"/>
          <w:marRight w:val="0"/>
          <w:marTop w:val="0"/>
          <w:marBottom w:val="0"/>
          <w:divBdr>
            <w:top w:val="none" w:sz="0" w:space="0" w:color="auto"/>
            <w:left w:val="none" w:sz="0" w:space="0" w:color="auto"/>
            <w:bottom w:val="none" w:sz="0" w:space="0" w:color="auto"/>
            <w:right w:val="none" w:sz="0" w:space="0" w:color="auto"/>
          </w:divBdr>
          <w:divsChild>
            <w:div w:id="1366128381">
              <w:marLeft w:val="0"/>
              <w:marRight w:val="0"/>
              <w:marTop w:val="0"/>
              <w:marBottom w:val="0"/>
              <w:divBdr>
                <w:top w:val="none" w:sz="0" w:space="0" w:color="auto"/>
                <w:left w:val="none" w:sz="0" w:space="0" w:color="auto"/>
                <w:bottom w:val="none" w:sz="0" w:space="0" w:color="auto"/>
                <w:right w:val="none" w:sz="0" w:space="0" w:color="auto"/>
              </w:divBdr>
            </w:div>
          </w:divsChild>
        </w:div>
        <w:div w:id="41056909">
          <w:marLeft w:val="0"/>
          <w:marRight w:val="0"/>
          <w:marTop w:val="0"/>
          <w:marBottom w:val="0"/>
          <w:divBdr>
            <w:top w:val="none" w:sz="0" w:space="0" w:color="auto"/>
            <w:left w:val="none" w:sz="0" w:space="0" w:color="auto"/>
            <w:bottom w:val="none" w:sz="0" w:space="0" w:color="auto"/>
            <w:right w:val="none" w:sz="0" w:space="0" w:color="auto"/>
          </w:divBdr>
          <w:divsChild>
            <w:div w:id="961694692">
              <w:marLeft w:val="0"/>
              <w:marRight w:val="0"/>
              <w:marTop w:val="0"/>
              <w:marBottom w:val="0"/>
              <w:divBdr>
                <w:top w:val="none" w:sz="0" w:space="0" w:color="auto"/>
                <w:left w:val="none" w:sz="0" w:space="0" w:color="auto"/>
                <w:bottom w:val="none" w:sz="0" w:space="0" w:color="auto"/>
                <w:right w:val="none" w:sz="0" w:space="0" w:color="auto"/>
              </w:divBdr>
            </w:div>
          </w:divsChild>
        </w:div>
        <w:div w:id="44988430">
          <w:marLeft w:val="0"/>
          <w:marRight w:val="0"/>
          <w:marTop w:val="0"/>
          <w:marBottom w:val="0"/>
          <w:divBdr>
            <w:top w:val="none" w:sz="0" w:space="0" w:color="auto"/>
            <w:left w:val="none" w:sz="0" w:space="0" w:color="auto"/>
            <w:bottom w:val="none" w:sz="0" w:space="0" w:color="auto"/>
            <w:right w:val="none" w:sz="0" w:space="0" w:color="auto"/>
          </w:divBdr>
          <w:divsChild>
            <w:div w:id="1639917174">
              <w:marLeft w:val="0"/>
              <w:marRight w:val="0"/>
              <w:marTop w:val="0"/>
              <w:marBottom w:val="0"/>
              <w:divBdr>
                <w:top w:val="none" w:sz="0" w:space="0" w:color="auto"/>
                <w:left w:val="none" w:sz="0" w:space="0" w:color="auto"/>
                <w:bottom w:val="none" w:sz="0" w:space="0" w:color="auto"/>
                <w:right w:val="none" w:sz="0" w:space="0" w:color="auto"/>
              </w:divBdr>
            </w:div>
          </w:divsChild>
        </w:div>
        <w:div w:id="63526608">
          <w:marLeft w:val="0"/>
          <w:marRight w:val="0"/>
          <w:marTop w:val="0"/>
          <w:marBottom w:val="0"/>
          <w:divBdr>
            <w:top w:val="none" w:sz="0" w:space="0" w:color="auto"/>
            <w:left w:val="none" w:sz="0" w:space="0" w:color="auto"/>
            <w:bottom w:val="none" w:sz="0" w:space="0" w:color="auto"/>
            <w:right w:val="none" w:sz="0" w:space="0" w:color="auto"/>
          </w:divBdr>
          <w:divsChild>
            <w:div w:id="358043664">
              <w:marLeft w:val="0"/>
              <w:marRight w:val="0"/>
              <w:marTop w:val="0"/>
              <w:marBottom w:val="0"/>
              <w:divBdr>
                <w:top w:val="none" w:sz="0" w:space="0" w:color="auto"/>
                <w:left w:val="none" w:sz="0" w:space="0" w:color="auto"/>
                <w:bottom w:val="none" w:sz="0" w:space="0" w:color="auto"/>
                <w:right w:val="none" w:sz="0" w:space="0" w:color="auto"/>
              </w:divBdr>
            </w:div>
          </w:divsChild>
        </w:div>
        <w:div w:id="84807535">
          <w:marLeft w:val="0"/>
          <w:marRight w:val="0"/>
          <w:marTop w:val="0"/>
          <w:marBottom w:val="0"/>
          <w:divBdr>
            <w:top w:val="none" w:sz="0" w:space="0" w:color="auto"/>
            <w:left w:val="none" w:sz="0" w:space="0" w:color="auto"/>
            <w:bottom w:val="none" w:sz="0" w:space="0" w:color="auto"/>
            <w:right w:val="none" w:sz="0" w:space="0" w:color="auto"/>
          </w:divBdr>
          <w:divsChild>
            <w:div w:id="1360549557">
              <w:marLeft w:val="0"/>
              <w:marRight w:val="0"/>
              <w:marTop w:val="0"/>
              <w:marBottom w:val="0"/>
              <w:divBdr>
                <w:top w:val="none" w:sz="0" w:space="0" w:color="auto"/>
                <w:left w:val="none" w:sz="0" w:space="0" w:color="auto"/>
                <w:bottom w:val="none" w:sz="0" w:space="0" w:color="auto"/>
                <w:right w:val="none" w:sz="0" w:space="0" w:color="auto"/>
              </w:divBdr>
            </w:div>
          </w:divsChild>
        </w:div>
        <w:div w:id="91516415">
          <w:marLeft w:val="0"/>
          <w:marRight w:val="0"/>
          <w:marTop w:val="0"/>
          <w:marBottom w:val="0"/>
          <w:divBdr>
            <w:top w:val="none" w:sz="0" w:space="0" w:color="auto"/>
            <w:left w:val="none" w:sz="0" w:space="0" w:color="auto"/>
            <w:bottom w:val="none" w:sz="0" w:space="0" w:color="auto"/>
            <w:right w:val="none" w:sz="0" w:space="0" w:color="auto"/>
          </w:divBdr>
          <w:divsChild>
            <w:div w:id="825557813">
              <w:marLeft w:val="0"/>
              <w:marRight w:val="0"/>
              <w:marTop w:val="0"/>
              <w:marBottom w:val="0"/>
              <w:divBdr>
                <w:top w:val="none" w:sz="0" w:space="0" w:color="auto"/>
                <w:left w:val="none" w:sz="0" w:space="0" w:color="auto"/>
                <w:bottom w:val="none" w:sz="0" w:space="0" w:color="auto"/>
                <w:right w:val="none" w:sz="0" w:space="0" w:color="auto"/>
              </w:divBdr>
            </w:div>
          </w:divsChild>
        </w:div>
        <w:div w:id="99183112">
          <w:marLeft w:val="0"/>
          <w:marRight w:val="0"/>
          <w:marTop w:val="0"/>
          <w:marBottom w:val="0"/>
          <w:divBdr>
            <w:top w:val="none" w:sz="0" w:space="0" w:color="auto"/>
            <w:left w:val="none" w:sz="0" w:space="0" w:color="auto"/>
            <w:bottom w:val="none" w:sz="0" w:space="0" w:color="auto"/>
            <w:right w:val="none" w:sz="0" w:space="0" w:color="auto"/>
          </w:divBdr>
          <w:divsChild>
            <w:div w:id="1428235617">
              <w:marLeft w:val="0"/>
              <w:marRight w:val="0"/>
              <w:marTop w:val="0"/>
              <w:marBottom w:val="0"/>
              <w:divBdr>
                <w:top w:val="none" w:sz="0" w:space="0" w:color="auto"/>
                <w:left w:val="none" w:sz="0" w:space="0" w:color="auto"/>
                <w:bottom w:val="none" w:sz="0" w:space="0" w:color="auto"/>
                <w:right w:val="none" w:sz="0" w:space="0" w:color="auto"/>
              </w:divBdr>
            </w:div>
          </w:divsChild>
        </w:div>
        <w:div w:id="104732461">
          <w:marLeft w:val="0"/>
          <w:marRight w:val="0"/>
          <w:marTop w:val="0"/>
          <w:marBottom w:val="0"/>
          <w:divBdr>
            <w:top w:val="none" w:sz="0" w:space="0" w:color="auto"/>
            <w:left w:val="none" w:sz="0" w:space="0" w:color="auto"/>
            <w:bottom w:val="none" w:sz="0" w:space="0" w:color="auto"/>
            <w:right w:val="none" w:sz="0" w:space="0" w:color="auto"/>
          </w:divBdr>
          <w:divsChild>
            <w:div w:id="1273128807">
              <w:marLeft w:val="0"/>
              <w:marRight w:val="0"/>
              <w:marTop w:val="0"/>
              <w:marBottom w:val="0"/>
              <w:divBdr>
                <w:top w:val="none" w:sz="0" w:space="0" w:color="auto"/>
                <w:left w:val="none" w:sz="0" w:space="0" w:color="auto"/>
                <w:bottom w:val="none" w:sz="0" w:space="0" w:color="auto"/>
                <w:right w:val="none" w:sz="0" w:space="0" w:color="auto"/>
              </w:divBdr>
            </w:div>
          </w:divsChild>
        </w:div>
        <w:div w:id="116919213">
          <w:marLeft w:val="0"/>
          <w:marRight w:val="0"/>
          <w:marTop w:val="0"/>
          <w:marBottom w:val="0"/>
          <w:divBdr>
            <w:top w:val="none" w:sz="0" w:space="0" w:color="auto"/>
            <w:left w:val="none" w:sz="0" w:space="0" w:color="auto"/>
            <w:bottom w:val="none" w:sz="0" w:space="0" w:color="auto"/>
            <w:right w:val="none" w:sz="0" w:space="0" w:color="auto"/>
          </w:divBdr>
          <w:divsChild>
            <w:div w:id="1910386351">
              <w:marLeft w:val="0"/>
              <w:marRight w:val="0"/>
              <w:marTop w:val="0"/>
              <w:marBottom w:val="0"/>
              <w:divBdr>
                <w:top w:val="none" w:sz="0" w:space="0" w:color="auto"/>
                <w:left w:val="none" w:sz="0" w:space="0" w:color="auto"/>
                <w:bottom w:val="none" w:sz="0" w:space="0" w:color="auto"/>
                <w:right w:val="none" w:sz="0" w:space="0" w:color="auto"/>
              </w:divBdr>
            </w:div>
          </w:divsChild>
        </w:div>
        <w:div w:id="117379372">
          <w:marLeft w:val="0"/>
          <w:marRight w:val="0"/>
          <w:marTop w:val="0"/>
          <w:marBottom w:val="0"/>
          <w:divBdr>
            <w:top w:val="none" w:sz="0" w:space="0" w:color="auto"/>
            <w:left w:val="none" w:sz="0" w:space="0" w:color="auto"/>
            <w:bottom w:val="none" w:sz="0" w:space="0" w:color="auto"/>
            <w:right w:val="none" w:sz="0" w:space="0" w:color="auto"/>
          </w:divBdr>
          <w:divsChild>
            <w:div w:id="2014794304">
              <w:marLeft w:val="0"/>
              <w:marRight w:val="0"/>
              <w:marTop w:val="0"/>
              <w:marBottom w:val="0"/>
              <w:divBdr>
                <w:top w:val="none" w:sz="0" w:space="0" w:color="auto"/>
                <w:left w:val="none" w:sz="0" w:space="0" w:color="auto"/>
                <w:bottom w:val="none" w:sz="0" w:space="0" w:color="auto"/>
                <w:right w:val="none" w:sz="0" w:space="0" w:color="auto"/>
              </w:divBdr>
            </w:div>
          </w:divsChild>
        </w:div>
        <w:div w:id="128862968">
          <w:marLeft w:val="0"/>
          <w:marRight w:val="0"/>
          <w:marTop w:val="0"/>
          <w:marBottom w:val="0"/>
          <w:divBdr>
            <w:top w:val="none" w:sz="0" w:space="0" w:color="auto"/>
            <w:left w:val="none" w:sz="0" w:space="0" w:color="auto"/>
            <w:bottom w:val="none" w:sz="0" w:space="0" w:color="auto"/>
            <w:right w:val="none" w:sz="0" w:space="0" w:color="auto"/>
          </w:divBdr>
          <w:divsChild>
            <w:div w:id="484862049">
              <w:marLeft w:val="0"/>
              <w:marRight w:val="0"/>
              <w:marTop w:val="0"/>
              <w:marBottom w:val="0"/>
              <w:divBdr>
                <w:top w:val="none" w:sz="0" w:space="0" w:color="auto"/>
                <w:left w:val="none" w:sz="0" w:space="0" w:color="auto"/>
                <w:bottom w:val="none" w:sz="0" w:space="0" w:color="auto"/>
                <w:right w:val="none" w:sz="0" w:space="0" w:color="auto"/>
              </w:divBdr>
            </w:div>
          </w:divsChild>
        </w:div>
        <w:div w:id="134033534">
          <w:marLeft w:val="0"/>
          <w:marRight w:val="0"/>
          <w:marTop w:val="0"/>
          <w:marBottom w:val="0"/>
          <w:divBdr>
            <w:top w:val="none" w:sz="0" w:space="0" w:color="auto"/>
            <w:left w:val="none" w:sz="0" w:space="0" w:color="auto"/>
            <w:bottom w:val="none" w:sz="0" w:space="0" w:color="auto"/>
            <w:right w:val="none" w:sz="0" w:space="0" w:color="auto"/>
          </w:divBdr>
          <w:divsChild>
            <w:div w:id="1022435821">
              <w:marLeft w:val="0"/>
              <w:marRight w:val="0"/>
              <w:marTop w:val="0"/>
              <w:marBottom w:val="0"/>
              <w:divBdr>
                <w:top w:val="none" w:sz="0" w:space="0" w:color="auto"/>
                <w:left w:val="none" w:sz="0" w:space="0" w:color="auto"/>
                <w:bottom w:val="none" w:sz="0" w:space="0" w:color="auto"/>
                <w:right w:val="none" w:sz="0" w:space="0" w:color="auto"/>
              </w:divBdr>
            </w:div>
          </w:divsChild>
        </w:div>
        <w:div w:id="154760758">
          <w:marLeft w:val="0"/>
          <w:marRight w:val="0"/>
          <w:marTop w:val="0"/>
          <w:marBottom w:val="0"/>
          <w:divBdr>
            <w:top w:val="none" w:sz="0" w:space="0" w:color="auto"/>
            <w:left w:val="none" w:sz="0" w:space="0" w:color="auto"/>
            <w:bottom w:val="none" w:sz="0" w:space="0" w:color="auto"/>
            <w:right w:val="none" w:sz="0" w:space="0" w:color="auto"/>
          </w:divBdr>
          <w:divsChild>
            <w:div w:id="271976469">
              <w:marLeft w:val="0"/>
              <w:marRight w:val="0"/>
              <w:marTop w:val="0"/>
              <w:marBottom w:val="0"/>
              <w:divBdr>
                <w:top w:val="none" w:sz="0" w:space="0" w:color="auto"/>
                <w:left w:val="none" w:sz="0" w:space="0" w:color="auto"/>
                <w:bottom w:val="none" w:sz="0" w:space="0" w:color="auto"/>
                <w:right w:val="none" w:sz="0" w:space="0" w:color="auto"/>
              </w:divBdr>
            </w:div>
          </w:divsChild>
        </w:div>
        <w:div w:id="156925220">
          <w:marLeft w:val="0"/>
          <w:marRight w:val="0"/>
          <w:marTop w:val="0"/>
          <w:marBottom w:val="0"/>
          <w:divBdr>
            <w:top w:val="none" w:sz="0" w:space="0" w:color="auto"/>
            <w:left w:val="none" w:sz="0" w:space="0" w:color="auto"/>
            <w:bottom w:val="none" w:sz="0" w:space="0" w:color="auto"/>
            <w:right w:val="none" w:sz="0" w:space="0" w:color="auto"/>
          </w:divBdr>
          <w:divsChild>
            <w:div w:id="1623144612">
              <w:marLeft w:val="0"/>
              <w:marRight w:val="0"/>
              <w:marTop w:val="0"/>
              <w:marBottom w:val="0"/>
              <w:divBdr>
                <w:top w:val="none" w:sz="0" w:space="0" w:color="auto"/>
                <w:left w:val="none" w:sz="0" w:space="0" w:color="auto"/>
                <w:bottom w:val="none" w:sz="0" w:space="0" w:color="auto"/>
                <w:right w:val="none" w:sz="0" w:space="0" w:color="auto"/>
              </w:divBdr>
            </w:div>
          </w:divsChild>
        </w:div>
        <w:div w:id="168757791">
          <w:marLeft w:val="0"/>
          <w:marRight w:val="0"/>
          <w:marTop w:val="0"/>
          <w:marBottom w:val="0"/>
          <w:divBdr>
            <w:top w:val="none" w:sz="0" w:space="0" w:color="auto"/>
            <w:left w:val="none" w:sz="0" w:space="0" w:color="auto"/>
            <w:bottom w:val="none" w:sz="0" w:space="0" w:color="auto"/>
            <w:right w:val="none" w:sz="0" w:space="0" w:color="auto"/>
          </w:divBdr>
          <w:divsChild>
            <w:div w:id="1776558940">
              <w:marLeft w:val="0"/>
              <w:marRight w:val="0"/>
              <w:marTop w:val="0"/>
              <w:marBottom w:val="0"/>
              <w:divBdr>
                <w:top w:val="none" w:sz="0" w:space="0" w:color="auto"/>
                <w:left w:val="none" w:sz="0" w:space="0" w:color="auto"/>
                <w:bottom w:val="none" w:sz="0" w:space="0" w:color="auto"/>
                <w:right w:val="none" w:sz="0" w:space="0" w:color="auto"/>
              </w:divBdr>
            </w:div>
          </w:divsChild>
        </w:div>
        <w:div w:id="169873445">
          <w:marLeft w:val="0"/>
          <w:marRight w:val="0"/>
          <w:marTop w:val="0"/>
          <w:marBottom w:val="0"/>
          <w:divBdr>
            <w:top w:val="none" w:sz="0" w:space="0" w:color="auto"/>
            <w:left w:val="none" w:sz="0" w:space="0" w:color="auto"/>
            <w:bottom w:val="none" w:sz="0" w:space="0" w:color="auto"/>
            <w:right w:val="none" w:sz="0" w:space="0" w:color="auto"/>
          </w:divBdr>
          <w:divsChild>
            <w:div w:id="1338191432">
              <w:marLeft w:val="0"/>
              <w:marRight w:val="0"/>
              <w:marTop w:val="0"/>
              <w:marBottom w:val="0"/>
              <w:divBdr>
                <w:top w:val="none" w:sz="0" w:space="0" w:color="auto"/>
                <w:left w:val="none" w:sz="0" w:space="0" w:color="auto"/>
                <w:bottom w:val="none" w:sz="0" w:space="0" w:color="auto"/>
                <w:right w:val="none" w:sz="0" w:space="0" w:color="auto"/>
              </w:divBdr>
            </w:div>
          </w:divsChild>
        </w:div>
        <w:div w:id="177891558">
          <w:marLeft w:val="0"/>
          <w:marRight w:val="0"/>
          <w:marTop w:val="0"/>
          <w:marBottom w:val="0"/>
          <w:divBdr>
            <w:top w:val="none" w:sz="0" w:space="0" w:color="auto"/>
            <w:left w:val="none" w:sz="0" w:space="0" w:color="auto"/>
            <w:bottom w:val="none" w:sz="0" w:space="0" w:color="auto"/>
            <w:right w:val="none" w:sz="0" w:space="0" w:color="auto"/>
          </w:divBdr>
          <w:divsChild>
            <w:div w:id="1274244744">
              <w:marLeft w:val="0"/>
              <w:marRight w:val="0"/>
              <w:marTop w:val="0"/>
              <w:marBottom w:val="0"/>
              <w:divBdr>
                <w:top w:val="none" w:sz="0" w:space="0" w:color="auto"/>
                <w:left w:val="none" w:sz="0" w:space="0" w:color="auto"/>
                <w:bottom w:val="none" w:sz="0" w:space="0" w:color="auto"/>
                <w:right w:val="none" w:sz="0" w:space="0" w:color="auto"/>
              </w:divBdr>
            </w:div>
          </w:divsChild>
        </w:div>
        <w:div w:id="187378587">
          <w:marLeft w:val="0"/>
          <w:marRight w:val="0"/>
          <w:marTop w:val="0"/>
          <w:marBottom w:val="0"/>
          <w:divBdr>
            <w:top w:val="none" w:sz="0" w:space="0" w:color="auto"/>
            <w:left w:val="none" w:sz="0" w:space="0" w:color="auto"/>
            <w:bottom w:val="none" w:sz="0" w:space="0" w:color="auto"/>
            <w:right w:val="none" w:sz="0" w:space="0" w:color="auto"/>
          </w:divBdr>
          <w:divsChild>
            <w:div w:id="1880312160">
              <w:marLeft w:val="0"/>
              <w:marRight w:val="0"/>
              <w:marTop w:val="0"/>
              <w:marBottom w:val="0"/>
              <w:divBdr>
                <w:top w:val="none" w:sz="0" w:space="0" w:color="auto"/>
                <w:left w:val="none" w:sz="0" w:space="0" w:color="auto"/>
                <w:bottom w:val="none" w:sz="0" w:space="0" w:color="auto"/>
                <w:right w:val="none" w:sz="0" w:space="0" w:color="auto"/>
              </w:divBdr>
            </w:div>
          </w:divsChild>
        </w:div>
        <w:div w:id="189607654">
          <w:marLeft w:val="0"/>
          <w:marRight w:val="0"/>
          <w:marTop w:val="0"/>
          <w:marBottom w:val="0"/>
          <w:divBdr>
            <w:top w:val="none" w:sz="0" w:space="0" w:color="auto"/>
            <w:left w:val="none" w:sz="0" w:space="0" w:color="auto"/>
            <w:bottom w:val="none" w:sz="0" w:space="0" w:color="auto"/>
            <w:right w:val="none" w:sz="0" w:space="0" w:color="auto"/>
          </w:divBdr>
          <w:divsChild>
            <w:div w:id="1281764909">
              <w:marLeft w:val="0"/>
              <w:marRight w:val="0"/>
              <w:marTop w:val="0"/>
              <w:marBottom w:val="0"/>
              <w:divBdr>
                <w:top w:val="none" w:sz="0" w:space="0" w:color="auto"/>
                <w:left w:val="none" w:sz="0" w:space="0" w:color="auto"/>
                <w:bottom w:val="none" w:sz="0" w:space="0" w:color="auto"/>
                <w:right w:val="none" w:sz="0" w:space="0" w:color="auto"/>
              </w:divBdr>
            </w:div>
          </w:divsChild>
        </w:div>
        <w:div w:id="207380498">
          <w:marLeft w:val="0"/>
          <w:marRight w:val="0"/>
          <w:marTop w:val="0"/>
          <w:marBottom w:val="0"/>
          <w:divBdr>
            <w:top w:val="none" w:sz="0" w:space="0" w:color="auto"/>
            <w:left w:val="none" w:sz="0" w:space="0" w:color="auto"/>
            <w:bottom w:val="none" w:sz="0" w:space="0" w:color="auto"/>
            <w:right w:val="none" w:sz="0" w:space="0" w:color="auto"/>
          </w:divBdr>
          <w:divsChild>
            <w:div w:id="1695425075">
              <w:marLeft w:val="0"/>
              <w:marRight w:val="0"/>
              <w:marTop w:val="0"/>
              <w:marBottom w:val="0"/>
              <w:divBdr>
                <w:top w:val="none" w:sz="0" w:space="0" w:color="auto"/>
                <w:left w:val="none" w:sz="0" w:space="0" w:color="auto"/>
                <w:bottom w:val="none" w:sz="0" w:space="0" w:color="auto"/>
                <w:right w:val="none" w:sz="0" w:space="0" w:color="auto"/>
              </w:divBdr>
            </w:div>
          </w:divsChild>
        </w:div>
        <w:div w:id="211891169">
          <w:marLeft w:val="0"/>
          <w:marRight w:val="0"/>
          <w:marTop w:val="0"/>
          <w:marBottom w:val="0"/>
          <w:divBdr>
            <w:top w:val="none" w:sz="0" w:space="0" w:color="auto"/>
            <w:left w:val="none" w:sz="0" w:space="0" w:color="auto"/>
            <w:bottom w:val="none" w:sz="0" w:space="0" w:color="auto"/>
            <w:right w:val="none" w:sz="0" w:space="0" w:color="auto"/>
          </w:divBdr>
          <w:divsChild>
            <w:div w:id="1631323113">
              <w:marLeft w:val="0"/>
              <w:marRight w:val="0"/>
              <w:marTop w:val="0"/>
              <w:marBottom w:val="0"/>
              <w:divBdr>
                <w:top w:val="none" w:sz="0" w:space="0" w:color="auto"/>
                <w:left w:val="none" w:sz="0" w:space="0" w:color="auto"/>
                <w:bottom w:val="none" w:sz="0" w:space="0" w:color="auto"/>
                <w:right w:val="none" w:sz="0" w:space="0" w:color="auto"/>
              </w:divBdr>
            </w:div>
          </w:divsChild>
        </w:div>
        <w:div w:id="223683070">
          <w:marLeft w:val="0"/>
          <w:marRight w:val="0"/>
          <w:marTop w:val="0"/>
          <w:marBottom w:val="0"/>
          <w:divBdr>
            <w:top w:val="none" w:sz="0" w:space="0" w:color="auto"/>
            <w:left w:val="none" w:sz="0" w:space="0" w:color="auto"/>
            <w:bottom w:val="none" w:sz="0" w:space="0" w:color="auto"/>
            <w:right w:val="none" w:sz="0" w:space="0" w:color="auto"/>
          </w:divBdr>
          <w:divsChild>
            <w:div w:id="1128813020">
              <w:marLeft w:val="0"/>
              <w:marRight w:val="0"/>
              <w:marTop w:val="0"/>
              <w:marBottom w:val="0"/>
              <w:divBdr>
                <w:top w:val="none" w:sz="0" w:space="0" w:color="auto"/>
                <w:left w:val="none" w:sz="0" w:space="0" w:color="auto"/>
                <w:bottom w:val="none" w:sz="0" w:space="0" w:color="auto"/>
                <w:right w:val="none" w:sz="0" w:space="0" w:color="auto"/>
              </w:divBdr>
            </w:div>
          </w:divsChild>
        </w:div>
        <w:div w:id="245497996">
          <w:marLeft w:val="0"/>
          <w:marRight w:val="0"/>
          <w:marTop w:val="0"/>
          <w:marBottom w:val="0"/>
          <w:divBdr>
            <w:top w:val="none" w:sz="0" w:space="0" w:color="auto"/>
            <w:left w:val="none" w:sz="0" w:space="0" w:color="auto"/>
            <w:bottom w:val="none" w:sz="0" w:space="0" w:color="auto"/>
            <w:right w:val="none" w:sz="0" w:space="0" w:color="auto"/>
          </w:divBdr>
          <w:divsChild>
            <w:div w:id="682169626">
              <w:marLeft w:val="0"/>
              <w:marRight w:val="0"/>
              <w:marTop w:val="0"/>
              <w:marBottom w:val="0"/>
              <w:divBdr>
                <w:top w:val="none" w:sz="0" w:space="0" w:color="auto"/>
                <w:left w:val="none" w:sz="0" w:space="0" w:color="auto"/>
                <w:bottom w:val="none" w:sz="0" w:space="0" w:color="auto"/>
                <w:right w:val="none" w:sz="0" w:space="0" w:color="auto"/>
              </w:divBdr>
            </w:div>
          </w:divsChild>
        </w:div>
        <w:div w:id="246427158">
          <w:marLeft w:val="0"/>
          <w:marRight w:val="0"/>
          <w:marTop w:val="0"/>
          <w:marBottom w:val="0"/>
          <w:divBdr>
            <w:top w:val="none" w:sz="0" w:space="0" w:color="auto"/>
            <w:left w:val="none" w:sz="0" w:space="0" w:color="auto"/>
            <w:bottom w:val="none" w:sz="0" w:space="0" w:color="auto"/>
            <w:right w:val="none" w:sz="0" w:space="0" w:color="auto"/>
          </w:divBdr>
          <w:divsChild>
            <w:div w:id="802698564">
              <w:marLeft w:val="0"/>
              <w:marRight w:val="0"/>
              <w:marTop w:val="0"/>
              <w:marBottom w:val="0"/>
              <w:divBdr>
                <w:top w:val="none" w:sz="0" w:space="0" w:color="auto"/>
                <w:left w:val="none" w:sz="0" w:space="0" w:color="auto"/>
                <w:bottom w:val="none" w:sz="0" w:space="0" w:color="auto"/>
                <w:right w:val="none" w:sz="0" w:space="0" w:color="auto"/>
              </w:divBdr>
            </w:div>
          </w:divsChild>
        </w:div>
        <w:div w:id="257064241">
          <w:marLeft w:val="0"/>
          <w:marRight w:val="0"/>
          <w:marTop w:val="0"/>
          <w:marBottom w:val="0"/>
          <w:divBdr>
            <w:top w:val="none" w:sz="0" w:space="0" w:color="auto"/>
            <w:left w:val="none" w:sz="0" w:space="0" w:color="auto"/>
            <w:bottom w:val="none" w:sz="0" w:space="0" w:color="auto"/>
            <w:right w:val="none" w:sz="0" w:space="0" w:color="auto"/>
          </w:divBdr>
          <w:divsChild>
            <w:div w:id="2142112866">
              <w:marLeft w:val="0"/>
              <w:marRight w:val="0"/>
              <w:marTop w:val="0"/>
              <w:marBottom w:val="0"/>
              <w:divBdr>
                <w:top w:val="none" w:sz="0" w:space="0" w:color="auto"/>
                <w:left w:val="none" w:sz="0" w:space="0" w:color="auto"/>
                <w:bottom w:val="none" w:sz="0" w:space="0" w:color="auto"/>
                <w:right w:val="none" w:sz="0" w:space="0" w:color="auto"/>
              </w:divBdr>
            </w:div>
          </w:divsChild>
        </w:div>
        <w:div w:id="261572007">
          <w:marLeft w:val="0"/>
          <w:marRight w:val="0"/>
          <w:marTop w:val="0"/>
          <w:marBottom w:val="0"/>
          <w:divBdr>
            <w:top w:val="none" w:sz="0" w:space="0" w:color="auto"/>
            <w:left w:val="none" w:sz="0" w:space="0" w:color="auto"/>
            <w:bottom w:val="none" w:sz="0" w:space="0" w:color="auto"/>
            <w:right w:val="none" w:sz="0" w:space="0" w:color="auto"/>
          </w:divBdr>
          <w:divsChild>
            <w:div w:id="1153254148">
              <w:marLeft w:val="0"/>
              <w:marRight w:val="0"/>
              <w:marTop w:val="0"/>
              <w:marBottom w:val="0"/>
              <w:divBdr>
                <w:top w:val="none" w:sz="0" w:space="0" w:color="auto"/>
                <w:left w:val="none" w:sz="0" w:space="0" w:color="auto"/>
                <w:bottom w:val="none" w:sz="0" w:space="0" w:color="auto"/>
                <w:right w:val="none" w:sz="0" w:space="0" w:color="auto"/>
              </w:divBdr>
            </w:div>
          </w:divsChild>
        </w:div>
        <w:div w:id="280690800">
          <w:marLeft w:val="0"/>
          <w:marRight w:val="0"/>
          <w:marTop w:val="0"/>
          <w:marBottom w:val="0"/>
          <w:divBdr>
            <w:top w:val="none" w:sz="0" w:space="0" w:color="auto"/>
            <w:left w:val="none" w:sz="0" w:space="0" w:color="auto"/>
            <w:bottom w:val="none" w:sz="0" w:space="0" w:color="auto"/>
            <w:right w:val="none" w:sz="0" w:space="0" w:color="auto"/>
          </w:divBdr>
          <w:divsChild>
            <w:div w:id="913390636">
              <w:marLeft w:val="0"/>
              <w:marRight w:val="0"/>
              <w:marTop w:val="0"/>
              <w:marBottom w:val="0"/>
              <w:divBdr>
                <w:top w:val="none" w:sz="0" w:space="0" w:color="auto"/>
                <w:left w:val="none" w:sz="0" w:space="0" w:color="auto"/>
                <w:bottom w:val="none" w:sz="0" w:space="0" w:color="auto"/>
                <w:right w:val="none" w:sz="0" w:space="0" w:color="auto"/>
              </w:divBdr>
            </w:div>
          </w:divsChild>
        </w:div>
        <w:div w:id="285278888">
          <w:marLeft w:val="0"/>
          <w:marRight w:val="0"/>
          <w:marTop w:val="0"/>
          <w:marBottom w:val="0"/>
          <w:divBdr>
            <w:top w:val="none" w:sz="0" w:space="0" w:color="auto"/>
            <w:left w:val="none" w:sz="0" w:space="0" w:color="auto"/>
            <w:bottom w:val="none" w:sz="0" w:space="0" w:color="auto"/>
            <w:right w:val="none" w:sz="0" w:space="0" w:color="auto"/>
          </w:divBdr>
          <w:divsChild>
            <w:div w:id="800195094">
              <w:marLeft w:val="0"/>
              <w:marRight w:val="0"/>
              <w:marTop w:val="0"/>
              <w:marBottom w:val="0"/>
              <w:divBdr>
                <w:top w:val="none" w:sz="0" w:space="0" w:color="auto"/>
                <w:left w:val="none" w:sz="0" w:space="0" w:color="auto"/>
                <w:bottom w:val="none" w:sz="0" w:space="0" w:color="auto"/>
                <w:right w:val="none" w:sz="0" w:space="0" w:color="auto"/>
              </w:divBdr>
            </w:div>
          </w:divsChild>
        </w:div>
        <w:div w:id="285821600">
          <w:marLeft w:val="0"/>
          <w:marRight w:val="0"/>
          <w:marTop w:val="0"/>
          <w:marBottom w:val="0"/>
          <w:divBdr>
            <w:top w:val="none" w:sz="0" w:space="0" w:color="auto"/>
            <w:left w:val="none" w:sz="0" w:space="0" w:color="auto"/>
            <w:bottom w:val="none" w:sz="0" w:space="0" w:color="auto"/>
            <w:right w:val="none" w:sz="0" w:space="0" w:color="auto"/>
          </w:divBdr>
          <w:divsChild>
            <w:div w:id="1463310933">
              <w:marLeft w:val="0"/>
              <w:marRight w:val="0"/>
              <w:marTop w:val="0"/>
              <w:marBottom w:val="0"/>
              <w:divBdr>
                <w:top w:val="none" w:sz="0" w:space="0" w:color="auto"/>
                <w:left w:val="none" w:sz="0" w:space="0" w:color="auto"/>
                <w:bottom w:val="none" w:sz="0" w:space="0" w:color="auto"/>
                <w:right w:val="none" w:sz="0" w:space="0" w:color="auto"/>
              </w:divBdr>
            </w:div>
          </w:divsChild>
        </w:div>
        <w:div w:id="304507425">
          <w:marLeft w:val="0"/>
          <w:marRight w:val="0"/>
          <w:marTop w:val="0"/>
          <w:marBottom w:val="0"/>
          <w:divBdr>
            <w:top w:val="none" w:sz="0" w:space="0" w:color="auto"/>
            <w:left w:val="none" w:sz="0" w:space="0" w:color="auto"/>
            <w:bottom w:val="none" w:sz="0" w:space="0" w:color="auto"/>
            <w:right w:val="none" w:sz="0" w:space="0" w:color="auto"/>
          </w:divBdr>
          <w:divsChild>
            <w:div w:id="1256522686">
              <w:marLeft w:val="0"/>
              <w:marRight w:val="0"/>
              <w:marTop w:val="0"/>
              <w:marBottom w:val="0"/>
              <w:divBdr>
                <w:top w:val="none" w:sz="0" w:space="0" w:color="auto"/>
                <w:left w:val="none" w:sz="0" w:space="0" w:color="auto"/>
                <w:bottom w:val="none" w:sz="0" w:space="0" w:color="auto"/>
                <w:right w:val="none" w:sz="0" w:space="0" w:color="auto"/>
              </w:divBdr>
            </w:div>
          </w:divsChild>
        </w:div>
        <w:div w:id="309136931">
          <w:marLeft w:val="0"/>
          <w:marRight w:val="0"/>
          <w:marTop w:val="0"/>
          <w:marBottom w:val="0"/>
          <w:divBdr>
            <w:top w:val="none" w:sz="0" w:space="0" w:color="auto"/>
            <w:left w:val="none" w:sz="0" w:space="0" w:color="auto"/>
            <w:bottom w:val="none" w:sz="0" w:space="0" w:color="auto"/>
            <w:right w:val="none" w:sz="0" w:space="0" w:color="auto"/>
          </w:divBdr>
          <w:divsChild>
            <w:div w:id="556548181">
              <w:marLeft w:val="0"/>
              <w:marRight w:val="0"/>
              <w:marTop w:val="0"/>
              <w:marBottom w:val="0"/>
              <w:divBdr>
                <w:top w:val="none" w:sz="0" w:space="0" w:color="auto"/>
                <w:left w:val="none" w:sz="0" w:space="0" w:color="auto"/>
                <w:bottom w:val="none" w:sz="0" w:space="0" w:color="auto"/>
                <w:right w:val="none" w:sz="0" w:space="0" w:color="auto"/>
              </w:divBdr>
            </w:div>
          </w:divsChild>
        </w:div>
        <w:div w:id="311102291">
          <w:marLeft w:val="0"/>
          <w:marRight w:val="0"/>
          <w:marTop w:val="0"/>
          <w:marBottom w:val="0"/>
          <w:divBdr>
            <w:top w:val="none" w:sz="0" w:space="0" w:color="auto"/>
            <w:left w:val="none" w:sz="0" w:space="0" w:color="auto"/>
            <w:bottom w:val="none" w:sz="0" w:space="0" w:color="auto"/>
            <w:right w:val="none" w:sz="0" w:space="0" w:color="auto"/>
          </w:divBdr>
          <w:divsChild>
            <w:div w:id="1161388660">
              <w:marLeft w:val="0"/>
              <w:marRight w:val="0"/>
              <w:marTop w:val="0"/>
              <w:marBottom w:val="0"/>
              <w:divBdr>
                <w:top w:val="none" w:sz="0" w:space="0" w:color="auto"/>
                <w:left w:val="none" w:sz="0" w:space="0" w:color="auto"/>
                <w:bottom w:val="none" w:sz="0" w:space="0" w:color="auto"/>
                <w:right w:val="none" w:sz="0" w:space="0" w:color="auto"/>
              </w:divBdr>
            </w:div>
          </w:divsChild>
        </w:div>
        <w:div w:id="312412646">
          <w:marLeft w:val="0"/>
          <w:marRight w:val="0"/>
          <w:marTop w:val="0"/>
          <w:marBottom w:val="0"/>
          <w:divBdr>
            <w:top w:val="none" w:sz="0" w:space="0" w:color="auto"/>
            <w:left w:val="none" w:sz="0" w:space="0" w:color="auto"/>
            <w:bottom w:val="none" w:sz="0" w:space="0" w:color="auto"/>
            <w:right w:val="none" w:sz="0" w:space="0" w:color="auto"/>
          </w:divBdr>
          <w:divsChild>
            <w:div w:id="467359424">
              <w:marLeft w:val="0"/>
              <w:marRight w:val="0"/>
              <w:marTop w:val="0"/>
              <w:marBottom w:val="0"/>
              <w:divBdr>
                <w:top w:val="none" w:sz="0" w:space="0" w:color="auto"/>
                <w:left w:val="none" w:sz="0" w:space="0" w:color="auto"/>
                <w:bottom w:val="none" w:sz="0" w:space="0" w:color="auto"/>
                <w:right w:val="none" w:sz="0" w:space="0" w:color="auto"/>
              </w:divBdr>
            </w:div>
          </w:divsChild>
        </w:div>
        <w:div w:id="315302691">
          <w:marLeft w:val="0"/>
          <w:marRight w:val="0"/>
          <w:marTop w:val="0"/>
          <w:marBottom w:val="0"/>
          <w:divBdr>
            <w:top w:val="none" w:sz="0" w:space="0" w:color="auto"/>
            <w:left w:val="none" w:sz="0" w:space="0" w:color="auto"/>
            <w:bottom w:val="none" w:sz="0" w:space="0" w:color="auto"/>
            <w:right w:val="none" w:sz="0" w:space="0" w:color="auto"/>
          </w:divBdr>
          <w:divsChild>
            <w:div w:id="2108187101">
              <w:marLeft w:val="0"/>
              <w:marRight w:val="0"/>
              <w:marTop w:val="0"/>
              <w:marBottom w:val="0"/>
              <w:divBdr>
                <w:top w:val="none" w:sz="0" w:space="0" w:color="auto"/>
                <w:left w:val="none" w:sz="0" w:space="0" w:color="auto"/>
                <w:bottom w:val="none" w:sz="0" w:space="0" w:color="auto"/>
                <w:right w:val="none" w:sz="0" w:space="0" w:color="auto"/>
              </w:divBdr>
            </w:div>
          </w:divsChild>
        </w:div>
        <w:div w:id="327025791">
          <w:marLeft w:val="0"/>
          <w:marRight w:val="0"/>
          <w:marTop w:val="0"/>
          <w:marBottom w:val="0"/>
          <w:divBdr>
            <w:top w:val="none" w:sz="0" w:space="0" w:color="auto"/>
            <w:left w:val="none" w:sz="0" w:space="0" w:color="auto"/>
            <w:bottom w:val="none" w:sz="0" w:space="0" w:color="auto"/>
            <w:right w:val="none" w:sz="0" w:space="0" w:color="auto"/>
          </w:divBdr>
          <w:divsChild>
            <w:div w:id="212279846">
              <w:marLeft w:val="0"/>
              <w:marRight w:val="0"/>
              <w:marTop w:val="0"/>
              <w:marBottom w:val="0"/>
              <w:divBdr>
                <w:top w:val="none" w:sz="0" w:space="0" w:color="auto"/>
                <w:left w:val="none" w:sz="0" w:space="0" w:color="auto"/>
                <w:bottom w:val="none" w:sz="0" w:space="0" w:color="auto"/>
                <w:right w:val="none" w:sz="0" w:space="0" w:color="auto"/>
              </w:divBdr>
            </w:div>
          </w:divsChild>
        </w:div>
        <w:div w:id="342631891">
          <w:marLeft w:val="0"/>
          <w:marRight w:val="0"/>
          <w:marTop w:val="0"/>
          <w:marBottom w:val="0"/>
          <w:divBdr>
            <w:top w:val="none" w:sz="0" w:space="0" w:color="auto"/>
            <w:left w:val="none" w:sz="0" w:space="0" w:color="auto"/>
            <w:bottom w:val="none" w:sz="0" w:space="0" w:color="auto"/>
            <w:right w:val="none" w:sz="0" w:space="0" w:color="auto"/>
          </w:divBdr>
          <w:divsChild>
            <w:div w:id="1709407962">
              <w:marLeft w:val="0"/>
              <w:marRight w:val="0"/>
              <w:marTop w:val="0"/>
              <w:marBottom w:val="0"/>
              <w:divBdr>
                <w:top w:val="none" w:sz="0" w:space="0" w:color="auto"/>
                <w:left w:val="none" w:sz="0" w:space="0" w:color="auto"/>
                <w:bottom w:val="none" w:sz="0" w:space="0" w:color="auto"/>
                <w:right w:val="none" w:sz="0" w:space="0" w:color="auto"/>
              </w:divBdr>
            </w:div>
          </w:divsChild>
        </w:div>
        <w:div w:id="354119030">
          <w:marLeft w:val="0"/>
          <w:marRight w:val="0"/>
          <w:marTop w:val="0"/>
          <w:marBottom w:val="0"/>
          <w:divBdr>
            <w:top w:val="none" w:sz="0" w:space="0" w:color="auto"/>
            <w:left w:val="none" w:sz="0" w:space="0" w:color="auto"/>
            <w:bottom w:val="none" w:sz="0" w:space="0" w:color="auto"/>
            <w:right w:val="none" w:sz="0" w:space="0" w:color="auto"/>
          </w:divBdr>
          <w:divsChild>
            <w:div w:id="1324970413">
              <w:marLeft w:val="0"/>
              <w:marRight w:val="0"/>
              <w:marTop w:val="0"/>
              <w:marBottom w:val="0"/>
              <w:divBdr>
                <w:top w:val="none" w:sz="0" w:space="0" w:color="auto"/>
                <w:left w:val="none" w:sz="0" w:space="0" w:color="auto"/>
                <w:bottom w:val="none" w:sz="0" w:space="0" w:color="auto"/>
                <w:right w:val="none" w:sz="0" w:space="0" w:color="auto"/>
              </w:divBdr>
            </w:div>
          </w:divsChild>
        </w:div>
        <w:div w:id="365718937">
          <w:marLeft w:val="0"/>
          <w:marRight w:val="0"/>
          <w:marTop w:val="0"/>
          <w:marBottom w:val="0"/>
          <w:divBdr>
            <w:top w:val="none" w:sz="0" w:space="0" w:color="auto"/>
            <w:left w:val="none" w:sz="0" w:space="0" w:color="auto"/>
            <w:bottom w:val="none" w:sz="0" w:space="0" w:color="auto"/>
            <w:right w:val="none" w:sz="0" w:space="0" w:color="auto"/>
          </w:divBdr>
          <w:divsChild>
            <w:div w:id="47073252">
              <w:marLeft w:val="0"/>
              <w:marRight w:val="0"/>
              <w:marTop w:val="0"/>
              <w:marBottom w:val="0"/>
              <w:divBdr>
                <w:top w:val="none" w:sz="0" w:space="0" w:color="auto"/>
                <w:left w:val="none" w:sz="0" w:space="0" w:color="auto"/>
                <w:bottom w:val="none" w:sz="0" w:space="0" w:color="auto"/>
                <w:right w:val="none" w:sz="0" w:space="0" w:color="auto"/>
              </w:divBdr>
            </w:div>
          </w:divsChild>
        </w:div>
        <w:div w:id="371538605">
          <w:marLeft w:val="0"/>
          <w:marRight w:val="0"/>
          <w:marTop w:val="0"/>
          <w:marBottom w:val="0"/>
          <w:divBdr>
            <w:top w:val="none" w:sz="0" w:space="0" w:color="auto"/>
            <w:left w:val="none" w:sz="0" w:space="0" w:color="auto"/>
            <w:bottom w:val="none" w:sz="0" w:space="0" w:color="auto"/>
            <w:right w:val="none" w:sz="0" w:space="0" w:color="auto"/>
          </w:divBdr>
          <w:divsChild>
            <w:div w:id="1386296087">
              <w:marLeft w:val="0"/>
              <w:marRight w:val="0"/>
              <w:marTop w:val="0"/>
              <w:marBottom w:val="0"/>
              <w:divBdr>
                <w:top w:val="none" w:sz="0" w:space="0" w:color="auto"/>
                <w:left w:val="none" w:sz="0" w:space="0" w:color="auto"/>
                <w:bottom w:val="none" w:sz="0" w:space="0" w:color="auto"/>
                <w:right w:val="none" w:sz="0" w:space="0" w:color="auto"/>
              </w:divBdr>
            </w:div>
          </w:divsChild>
        </w:div>
        <w:div w:id="373821213">
          <w:marLeft w:val="0"/>
          <w:marRight w:val="0"/>
          <w:marTop w:val="0"/>
          <w:marBottom w:val="0"/>
          <w:divBdr>
            <w:top w:val="none" w:sz="0" w:space="0" w:color="auto"/>
            <w:left w:val="none" w:sz="0" w:space="0" w:color="auto"/>
            <w:bottom w:val="none" w:sz="0" w:space="0" w:color="auto"/>
            <w:right w:val="none" w:sz="0" w:space="0" w:color="auto"/>
          </w:divBdr>
          <w:divsChild>
            <w:div w:id="97412013">
              <w:marLeft w:val="0"/>
              <w:marRight w:val="0"/>
              <w:marTop w:val="0"/>
              <w:marBottom w:val="0"/>
              <w:divBdr>
                <w:top w:val="none" w:sz="0" w:space="0" w:color="auto"/>
                <w:left w:val="none" w:sz="0" w:space="0" w:color="auto"/>
                <w:bottom w:val="none" w:sz="0" w:space="0" w:color="auto"/>
                <w:right w:val="none" w:sz="0" w:space="0" w:color="auto"/>
              </w:divBdr>
            </w:div>
          </w:divsChild>
        </w:div>
        <w:div w:id="380591409">
          <w:marLeft w:val="0"/>
          <w:marRight w:val="0"/>
          <w:marTop w:val="0"/>
          <w:marBottom w:val="0"/>
          <w:divBdr>
            <w:top w:val="none" w:sz="0" w:space="0" w:color="auto"/>
            <w:left w:val="none" w:sz="0" w:space="0" w:color="auto"/>
            <w:bottom w:val="none" w:sz="0" w:space="0" w:color="auto"/>
            <w:right w:val="none" w:sz="0" w:space="0" w:color="auto"/>
          </w:divBdr>
          <w:divsChild>
            <w:div w:id="121844767">
              <w:marLeft w:val="0"/>
              <w:marRight w:val="0"/>
              <w:marTop w:val="0"/>
              <w:marBottom w:val="0"/>
              <w:divBdr>
                <w:top w:val="none" w:sz="0" w:space="0" w:color="auto"/>
                <w:left w:val="none" w:sz="0" w:space="0" w:color="auto"/>
                <w:bottom w:val="none" w:sz="0" w:space="0" w:color="auto"/>
                <w:right w:val="none" w:sz="0" w:space="0" w:color="auto"/>
              </w:divBdr>
            </w:div>
          </w:divsChild>
        </w:div>
        <w:div w:id="382019742">
          <w:marLeft w:val="0"/>
          <w:marRight w:val="0"/>
          <w:marTop w:val="0"/>
          <w:marBottom w:val="0"/>
          <w:divBdr>
            <w:top w:val="none" w:sz="0" w:space="0" w:color="auto"/>
            <w:left w:val="none" w:sz="0" w:space="0" w:color="auto"/>
            <w:bottom w:val="none" w:sz="0" w:space="0" w:color="auto"/>
            <w:right w:val="none" w:sz="0" w:space="0" w:color="auto"/>
          </w:divBdr>
          <w:divsChild>
            <w:div w:id="1987002600">
              <w:marLeft w:val="0"/>
              <w:marRight w:val="0"/>
              <w:marTop w:val="0"/>
              <w:marBottom w:val="0"/>
              <w:divBdr>
                <w:top w:val="none" w:sz="0" w:space="0" w:color="auto"/>
                <w:left w:val="none" w:sz="0" w:space="0" w:color="auto"/>
                <w:bottom w:val="none" w:sz="0" w:space="0" w:color="auto"/>
                <w:right w:val="none" w:sz="0" w:space="0" w:color="auto"/>
              </w:divBdr>
            </w:div>
          </w:divsChild>
        </w:div>
        <w:div w:id="385375408">
          <w:marLeft w:val="0"/>
          <w:marRight w:val="0"/>
          <w:marTop w:val="0"/>
          <w:marBottom w:val="0"/>
          <w:divBdr>
            <w:top w:val="none" w:sz="0" w:space="0" w:color="auto"/>
            <w:left w:val="none" w:sz="0" w:space="0" w:color="auto"/>
            <w:bottom w:val="none" w:sz="0" w:space="0" w:color="auto"/>
            <w:right w:val="none" w:sz="0" w:space="0" w:color="auto"/>
          </w:divBdr>
          <w:divsChild>
            <w:div w:id="471101512">
              <w:marLeft w:val="0"/>
              <w:marRight w:val="0"/>
              <w:marTop w:val="0"/>
              <w:marBottom w:val="0"/>
              <w:divBdr>
                <w:top w:val="none" w:sz="0" w:space="0" w:color="auto"/>
                <w:left w:val="none" w:sz="0" w:space="0" w:color="auto"/>
                <w:bottom w:val="none" w:sz="0" w:space="0" w:color="auto"/>
                <w:right w:val="none" w:sz="0" w:space="0" w:color="auto"/>
              </w:divBdr>
            </w:div>
          </w:divsChild>
        </w:div>
        <w:div w:id="387345895">
          <w:marLeft w:val="0"/>
          <w:marRight w:val="0"/>
          <w:marTop w:val="0"/>
          <w:marBottom w:val="0"/>
          <w:divBdr>
            <w:top w:val="none" w:sz="0" w:space="0" w:color="auto"/>
            <w:left w:val="none" w:sz="0" w:space="0" w:color="auto"/>
            <w:bottom w:val="none" w:sz="0" w:space="0" w:color="auto"/>
            <w:right w:val="none" w:sz="0" w:space="0" w:color="auto"/>
          </w:divBdr>
          <w:divsChild>
            <w:div w:id="1401366925">
              <w:marLeft w:val="0"/>
              <w:marRight w:val="0"/>
              <w:marTop w:val="0"/>
              <w:marBottom w:val="0"/>
              <w:divBdr>
                <w:top w:val="none" w:sz="0" w:space="0" w:color="auto"/>
                <w:left w:val="none" w:sz="0" w:space="0" w:color="auto"/>
                <w:bottom w:val="none" w:sz="0" w:space="0" w:color="auto"/>
                <w:right w:val="none" w:sz="0" w:space="0" w:color="auto"/>
              </w:divBdr>
            </w:div>
          </w:divsChild>
        </w:div>
        <w:div w:id="408699461">
          <w:marLeft w:val="0"/>
          <w:marRight w:val="0"/>
          <w:marTop w:val="0"/>
          <w:marBottom w:val="0"/>
          <w:divBdr>
            <w:top w:val="none" w:sz="0" w:space="0" w:color="auto"/>
            <w:left w:val="none" w:sz="0" w:space="0" w:color="auto"/>
            <w:bottom w:val="none" w:sz="0" w:space="0" w:color="auto"/>
            <w:right w:val="none" w:sz="0" w:space="0" w:color="auto"/>
          </w:divBdr>
          <w:divsChild>
            <w:div w:id="1088035852">
              <w:marLeft w:val="0"/>
              <w:marRight w:val="0"/>
              <w:marTop w:val="0"/>
              <w:marBottom w:val="0"/>
              <w:divBdr>
                <w:top w:val="none" w:sz="0" w:space="0" w:color="auto"/>
                <w:left w:val="none" w:sz="0" w:space="0" w:color="auto"/>
                <w:bottom w:val="none" w:sz="0" w:space="0" w:color="auto"/>
                <w:right w:val="none" w:sz="0" w:space="0" w:color="auto"/>
              </w:divBdr>
            </w:div>
          </w:divsChild>
        </w:div>
        <w:div w:id="420760811">
          <w:marLeft w:val="0"/>
          <w:marRight w:val="0"/>
          <w:marTop w:val="0"/>
          <w:marBottom w:val="0"/>
          <w:divBdr>
            <w:top w:val="none" w:sz="0" w:space="0" w:color="auto"/>
            <w:left w:val="none" w:sz="0" w:space="0" w:color="auto"/>
            <w:bottom w:val="none" w:sz="0" w:space="0" w:color="auto"/>
            <w:right w:val="none" w:sz="0" w:space="0" w:color="auto"/>
          </w:divBdr>
          <w:divsChild>
            <w:div w:id="1461998438">
              <w:marLeft w:val="0"/>
              <w:marRight w:val="0"/>
              <w:marTop w:val="0"/>
              <w:marBottom w:val="0"/>
              <w:divBdr>
                <w:top w:val="none" w:sz="0" w:space="0" w:color="auto"/>
                <w:left w:val="none" w:sz="0" w:space="0" w:color="auto"/>
                <w:bottom w:val="none" w:sz="0" w:space="0" w:color="auto"/>
                <w:right w:val="none" w:sz="0" w:space="0" w:color="auto"/>
              </w:divBdr>
            </w:div>
          </w:divsChild>
        </w:div>
        <w:div w:id="422386208">
          <w:marLeft w:val="0"/>
          <w:marRight w:val="0"/>
          <w:marTop w:val="0"/>
          <w:marBottom w:val="0"/>
          <w:divBdr>
            <w:top w:val="none" w:sz="0" w:space="0" w:color="auto"/>
            <w:left w:val="none" w:sz="0" w:space="0" w:color="auto"/>
            <w:bottom w:val="none" w:sz="0" w:space="0" w:color="auto"/>
            <w:right w:val="none" w:sz="0" w:space="0" w:color="auto"/>
          </w:divBdr>
          <w:divsChild>
            <w:div w:id="590087292">
              <w:marLeft w:val="0"/>
              <w:marRight w:val="0"/>
              <w:marTop w:val="0"/>
              <w:marBottom w:val="0"/>
              <w:divBdr>
                <w:top w:val="none" w:sz="0" w:space="0" w:color="auto"/>
                <w:left w:val="none" w:sz="0" w:space="0" w:color="auto"/>
                <w:bottom w:val="none" w:sz="0" w:space="0" w:color="auto"/>
                <w:right w:val="none" w:sz="0" w:space="0" w:color="auto"/>
              </w:divBdr>
            </w:div>
          </w:divsChild>
        </w:div>
        <w:div w:id="425931488">
          <w:marLeft w:val="0"/>
          <w:marRight w:val="0"/>
          <w:marTop w:val="0"/>
          <w:marBottom w:val="0"/>
          <w:divBdr>
            <w:top w:val="none" w:sz="0" w:space="0" w:color="auto"/>
            <w:left w:val="none" w:sz="0" w:space="0" w:color="auto"/>
            <w:bottom w:val="none" w:sz="0" w:space="0" w:color="auto"/>
            <w:right w:val="none" w:sz="0" w:space="0" w:color="auto"/>
          </w:divBdr>
          <w:divsChild>
            <w:div w:id="1688408926">
              <w:marLeft w:val="0"/>
              <w:marRight w:val="0"/>
              <w:marTop w:val="0"/>
              <w:marBottom w:val="0"/>
              <w:divBdr>
                <w:top w:val="none" w:sz="0" w:space="0" w:color="auto"/>
                <w:left w:val="none" w:sz="0" w:space="0" w:color="auto"/>
                <w:bottom w:val="none" w:sz="0" w:space="0" w:color="auto"/>
                <w:right w:val="none" w:sz="0" w:space="0" w:color="auto"/>
              </w:divBdr>
            </w:div>
          </w:divsChild>
        </w:div>
        <w:div w:id="450632627">
          <w:marLeft w:val="0"/>
          <w:marRight w:val="0"/>
          <w:marTop w:val="0"/>
          <w:marBottom w:val="0"/>
          <w:divBdr>
            <w:top w:val="none" w:sz="0" w:space="0" w:color="auto"/>
            <w:left w:val="none" w:sz="0" w:space="0" w:color="auto"/>
            <w:bottom w:val="none" w:sz="0" w:space="0" w:color="auto"/>
            <w:right w:val="none" w:sz="0" w:space="0" w:color="auto"/>
          </w:divBdr>
          <w:divsChild>
            <w:div w:id="308242790">
              <w:marLeft w:val="0"/>
              <w:marRight w:val="0"/>
              <w:marTop w:val="0"/>
              <w:marBottom w:val="0"/>
              <w:divBdr>
                <w:top w:val="none" w:sz="0" w:space="0" w:color="auto"/>
                <w:left w:val="none" w:sz="0" w:space="0" w:color="auto"/>
                <w:bottom w:val="none" w:sz="0" w:space="0" w:color="auto"/>
                <w:right w:val="none" w:sz="0" w:space="0" w:color="auto"/>
              </w:divBdr>
            </w:div>
          </w:divsChild>
        </w:div>
        <w:div w:id="454325559">
          <w:marLeft w:val="0"/>
          <w:marRight w:val="0"/>
          <w:marTop w:val="0"/>
          <w:marBottom w:val="0"/>
          <w:divBdr>
            <w:top w:val="none" w:sz="0" w:space="0" w:color="auto"/>
            <w:left w:val="none" w:sz="0" w:space="0" w:color="auto"/>
            <w:bottom w:val="none" w:sz="0" w:space="0" w:color="auto"/>
            <w:right w:val="none" w:sz="0" w:space="0" w:color="auto"/>
          </w:divBdr>
          <w:divsChild>
            <w:div w:id="1122118169">
              <w:marLeft w:val="0"/>
              <w:marRight w:val="0"/>
              <w:marTop w:val="0"/>
              <w:marBottom w:val="0"/>
              <w:divBdr>
                <w:top w:val="none" w:sz="0" w:space="0" w:color="auto"/>
                <w:left w:val="none" w:sz="0" w:space="0" w:color="auto"/>
                <w:bottom w:val="none" w:sz="0" w:space="0" w:color="auto"/>
                <w:right w:val="none" w:sz="0" w:space="0" w:color="auto"/>
              </w:divBdr>
            </w:div>
          </w:divsChild>
        </w:div>
        <w:div w:id="455374111">
          <w:marLeft w:val="0"/>
          <w:marRight w:val="0"/>
          <w:marTop w:val="0"/>
          <w:marBottom w:val="0"/>
          <w:divBdr>
            <w:top w:val="none" w:sz="0" w:space="0" w:color="auto"/>
            <w:left w:val="none" w:sz="0" w:space="0" w:color="auto"/>
            <w:bottom w:val="none" w:sz="0" w:space="0" w:color="auto"/>
            <w:right w:val="none" w:sz="0" w:space="0" w:color="auto"/>
          </w:divBdr>
          <w:divsChild>
            <w:div w:id="1112746858">
              <w:marLeft w:val="0"/>
              <w:marRight w:val="0"/>
              <w:marTop w:val="0"/>
              <w:marBottom w:val="0"/>
              <w:divBdr>
                <w:top w:val="none" w:sz="0" w:space="0" w:color="auto"/>
                <w:left w:val="none" w:sz="0" w:space="0" w:color="auto"/>
                <w:bottom w:val="none" w:sz="0" w:space="0" w:color="auto"/>
                <w:right w:val="none" w:sz="0" w:space="0" w:color="auto"/>
              </w:divBdr>
            </w:div>
          </w:divsChild>
        </w:div>
        <w:div w:id="457262990">
          <w:marLeft w:val="0"/>
          <w:marRight w:val="0"/>
          <w:marTop w:val="0"/>
          <w:marBottom w:val="0"/>
          <w:divBdr>
            <w:top w:val="none" w:sz="0" w:space="0" w:color="auto"/>
            <w:left w:val="none" w:sz="0" w:space="0" w:color="auto"/>
            <w:bottom w:val="none" w:sz="0" w:space="0" w:color="auto"/>
            <w:right w:val="none" w:sz="0" w:space="0" w:color="auto"/>
          </w:divBdr>
          <w:divsChild>
            <w:div w:id="958532716">
              <w:marLeft w:val="0"/>
              <w:marRight w:val="0"/>
              <w:marTop w:val="0"/>
              <w:marBottom w:val="0"/>
              <w:divBdr>
                <w:top w:val="none" w:sz="0" w:space="0" w:color="auto"/>
                <w:left w:val="none" w:sz="0" w:space="0" w:color="auto"/>
                <w:bottom w:val="none" w:sz="0" w:space="0" w:color="auto"/>
                <w:right w:val="none" w:sz="0" w:space="0" w:color="auto"/>
              </w:divBdr>
            </w:div>
          </w:divsChild>
        </w:div>
        <w:div w:id="462623437">
          <w:marLeft w:val="0"/>
          <w:marRight w:val="0"/>
          <w:marTop w:val="0"/>
          <w:marBottom w:val="0"/>
          <w:divBdr>
            <w:top w:val="none" w:sz="0" w:space="0" w:color="auto"/>
            <w:left w:val="none" w:sz="0" w:space="0" w:color="auto"/>
            <w:bottom w:val="none" w:sz="0" w:space="0" w:color="auto"/>
            <w:right w:val="none" w:sz="0" w:space="0" w:color="auto"/>
          </w:divBdr>
          <w:divsChild>
            <w:div w:id="2014717345">
              <w:marLeft w:val="0"/>
              <w:marRight w:val="0"/>
              <w:marTop w:val="0"/>
              <w:marBottom w:val="0"/>
              <w:divBdr>
                <w:top w:val="none" w:sz="0" w:space="0" w:color="auto"/>
                <w:left w:val="none" w:sz="0" w:space="0" w:color="auto"/>
                <w:bottom w:val="none" w:sz="0" w:space="0" w:color="auto"/>
                <w:right w:val="none" w:sz="0" w:space="0" w:color="auto"/>
              </w:divBdr>
            </w:div>
          </w:divsChild>
        </w:div>
        <w:div w:id="463695075">
          <w:marLeft w:val="0"/>
          <w:marRight w:val="0"/>
          <w:marTop w:val="0"/>
          <w:marBottom w:val="0"/>
          <w:divBdr>
            <w:top w:val="none" w:sz="0" w:space="0" w:color="auto"/>
            <w:left w:val="none" w:sz="0" w:space="0" w:color="auto"/>
            <w:bottom w:val="none" w:sz="0" w:space="0" w:color="auto"/>
            <w:right w:val="none" w:sz="0" w:space="0" w:color="auto"/>
          </w:divBdr>
          <w:divsChild>
            <w:div w:id="190412482">
              <w:marLeft w:val="0"/>
              <w:marRight w:val="0"/>
              <w:marTop w:val="0"/>
              <w:marBottom w:val="0"/>
              <w:divBdr>
                <w:top w:val="none" w:sz="0" w:space="0" w:color="auto"/>
                <w:left w:val="none" w:sz="0" w:space="0" w:color="auto"/>
                <w:bottom w:val="none" w:sz="0" w:space="0" w:color="auto"/>
                <w:right w:val="none" w:sz="0" w:space="0" w:color="auto"/>
              </w:divBdr>
            </w:div>
          </w:divsChild>
        </w:div>
        <w:div w:id="466556326">
          <w:marLeft w:val="0"/>
          <w:marRight w:val="0"/>
          <w:marTop w:val="0"/>
          <w:marBottom w:val="0"/>
          <w:divBdr>
            <w:top w:val="none" w:sz="0" w:space="0" w:color="auto"/>
            <w:left w:val="none" w:sz="0" w:space="0" w:color="auto"/>
            <w:bottom w:val="none" w:sz="0" w:space="0" w:color="auto"/>
            <w:right w:val="none" w:sz="0" w:space="0" w:color="auto"/>
          </w:divBdr>
          <w:divsChild>
            <w:div w:id="2008094515">
              <w:marLeft w:val="0"/>
              <w:marRight w:val="0"/>
              <w:marTop w:val="0"/>
              <w:marBottom w:val="0"/>
              <w:divBdr>
                <w:top w:val="none" w:sz="0" w:space="0" w:color="auto"/>
                <w:left w:val="none" w:sz="0" w:space="0" w:color="auto"/>
                <w:bottom w:val="none" w:sz="0" w:space="0" w:color="auto"/>
                <w:right w:val="none" w:sz="0" w:space="0" w:color="auto"/>
              </w:divBdr>
            </w:div>
          </w:divsChild>
        </w:div>
        <w:div w:id="469520027">
          <w:marLeft w:val="0"/>
          <w:marRight w:val="0"/>
          <w:marTop w:val="0"/>
          <w:marBottom w:val="0"/>
          <w:divBdr>
            <w:top w:val="none" w:sz="0" w:space="0" w:color="auto"/>
            <w:left w:val="none" w:sz="0" w:space="0" w:color="auto"/>
            <w:bottom w:val="none" w:sz="0" w:space="0" w:color="auto"/>
            <w:right w:val="none" w:sz="0" w:space="0" w:color="auto"/>
          </w:divBdr>
          <w:divsChild>
            <w:div w:id="1073742021">
              <w:marLeft w:val="0"/>
              <w:marRight w:val="0"/>
              <w:marTop w:val="0"/>
              <w:marBottom w:val="0"/>
              <w:divBdr>
                <w:top w:val="none" w:sz="0" w:space="0" w:color="auto"/>
                <w:left w:val="none" w:sz="0" w:space="0" w:color="auto"/>
                <w:bottom w:val="none" w:sz="0" w:space="0" w:color="auto"/>
                <w:right w:val="none" w:sz="0" w:space="0" w:color="auto"/>
              </w:divBdr>
            </w:div>
          </w:divsChild>
        </w:div>
        <w:div w:id="473252608">
          <w:marLeft w:val="0"/>
          <w:marRight w:val="0"/>
          <w:marTop w:val="0"/>
          <w:marBottom w:val="0"/>
          <w:divBdr>
            <w:top w:val="none" w:sz="0" w:space="0" w:color="auto"/>
            <w:left w:val="none" w:sz="0" w:space="0" w:color="auto"/>
            <w:bottom w:val="none" w:sz="0" w:space="0" w:color="auto"/>
            <w:right w:val="none" w:sz="0" w:space="0" w:color="auto"/>
          </w:divBdr>
          <w:divsChild>
            <w:div w:id="263345849">
              <w:marLeft w:val="0"/>
              <w:marRight w:val="0"/>
              <w:marTop w:val="0"/>
              <w:marBottom w:val="0"/>
              <w:divBdr>
                <w:top w:val="none" w:sz="0" w:space="0" w:color="auto"/>
                <w:left w:val="none" w:sz="0" w:space="0" w:color="auto"/>
                <w:bottom w:val="none" w:sz="0" w:space="0" w:color="auto"/>
                <w:right w:val="none" w:sz="0" w:space="0" w:color="auto"/>
              </w:divBdr>
            </w:div>
          </w:divsChild>
        </w:div>
        <w:div w:id="475680702">
          <w:marLeft w:val="0"/>
          <w:marRight w:val="0"/>
          <w:marTop w:val="0"/>
          <w:marBottom w:val="0"/>
          <w:divBdr>
            <w:top w:val="none" w:sz="0" w:space="0" w:color="auto"/>
            <w:left w:val="none" w:sz="0" w:space="0" w:color="auto"/>
            <w:bottom w:val="none" w:sz="0" w:space="0" w:color="auto"/>
            <w:right w:val="none" w:sz="0" w:space="0" w:color="auto"/>
          </w:divBdr>
          <w:divsChild>
            <w:div w:id="1877236383">
              <w:marLeft w:val="0"/>
              <w:marRight w:val="0"/>
              <w:marTop w:val="0"/>
              <w:marBottom w:val="0"/>
              <w:divBdr>
                <w:top w:val="none" w:sz="0" w:space="0" w:color="auto"/>
                <w:left w:val="none" w:sz="0" w:space="0" w:color="auto"/>
                <w:bottom w:val="none" w:sz="0" w:space="0" w:color="auto"/>
                <w:right w:val="none" w:sz="0" w:space="0" w:color="auto"/>
              </w:divBdr>
            </w:div>
          </w:divsChild>
        </w:div>
        <w:div w:id="484516699">
          <w:marLeft w:val="0"/>
          <w:marRight w:val="0"/>
          <w:marTop w:val="0"/>
          <w:marBottom w:val="0"/>
          <w:divBdr>
            <w:top w:val="none" w:sz="0" w:space="0" w:color="auto"/>
            <w:left w:val="none" w:sz="0" w:space="0" w:color="auto"/>
            <w:bottom w:val="none" w:sz="0" w:space="0" w:color="auto"/>
            <w:right w:val="none" w:sz="0" w:space="0" w:color="auto"/>
          </w:divBdr>
          <w:divsChild>
            <w:div w:id="1682197310">
              <w:marLeft w:val="0"/>
              <w:marRight w:val="0"/>
              <w:marTop w:val="0"/>
              <w:marBottom w:val="0"/>
              <w:divBdr>
                <w:top w:val="none" w:sz="0" w:space="0" w:color="auto"/>
                <w:left w:val="none" w:sz="0" w:space="0" w:color="auto"/>
                <w:bottom w:val="none" w:sz="0" w:space="0" w:color="auto"/>
                <w:right w:val="none" w:sz="0" w:space="0" w:color="auto"/>
              </w:divBdr>
            </w:div>
          </w:divsChild>
        </w:div>
        <w:div w:id="497311124">
          <w:marLeft w:val="0"/>
          <w:marRight w:val="0"/>
          <w:marTop w:val="0"/>
          <w:marBottom w:val="0"/>
          <w:divBdr>
            <w:top w:val="none" w:sz="0" w:space="0" w:color="auto"/>
            <w:left w:val="none" w:sz="0" w:space="0" w:color="auto"/>
            <w:bottom w:val="none" w:sz="0" w:space="0" w:color="auto"/>
            <w:right w:val="none" w:sz="0" w:space="0" w:color="auto"/>
          </w:divBdr>
          <w:divsChild>
            <w:div w:id="1694721889">
              <w:marLeft w:val="0"/>
              <w:marRight w:val="0"/>
              <w:marTop w:val="0"/>
              <w:marBottom w:val="0"/>
              <w:divBdr>
                <w:top w:val="none" w:sz="0" w:space="0" w:color="auto"/>
                <w:left w:val="none" w:sz="0" w:space="0" w:color="auto"/>
                <w:bottom w:val="none" w:sz="0" w:space="0" w:color="auto"/>
                <w:right w:val="none" w:sz="0" w:space="0" w:color="auto"/>
              </w:divBdr>
            </w:div>
          </w:divsChild>
        </w:div>
        <w:div w:id="504787905">
          <w:marLeft w:val="0"/>
          <w:marRight w:val="0"/>
          <w:marTop w:val="0"/>
          <w:marBottom w:val="0"/>
          <w:divBdr>
            <w:top w:val="none" w:sz="0" w:space="0" w:color="auto"/>
            <w:left w:val="none" w:sz="0" w:space="0" w:color="auto"/>
            <w:bottom w:val="none" w:sz="0" w:space="0" w:color="auto"/>
            <w:right w:val="none" w:sz="0" w:space="0" w:color="auto"/>
          </w:divBdr>
          <w:divsChild>
            <w:div w:id="1926185252">
              <w:marLeft w:val="0"/>
              <w:marRight w:val="0"/>
              <w:marTop w:val="0"/>
              <w:marBottom w:val="0"/>
              <w:divBdr>
                <w:top w:val="none" w:sz="0" w:space="0" w:color="auto"/>
                <w:left w:val="none" w:sz="0" w:space="0" w:color="auto"/>
                <w:bottom w:val="none" w:sz="0" w:space="0" w:color="auto"/>
                <w:right w:val="none" w:sz="0" w:space="0" w:color="auto"/>
              </w:divBdr>
            </w:div>
          </w:divsChild>
        </w:div>
        <w:div w:id="515387873">
          <w:marLeft w:val="0"/>
          <w:marRight w:val="0"/>
          <w:marTop w:val="0"/>
          <w:marBottom w:val="0"/>
          <w:divBdr>
            <w:top w:val="none" w:sz="0" w:space="0" w:color="auto"/>
            <w:left w:val="none" w:sz="0" w:space="0" w:color="auto"/>
            <w:bottom w:val="none" w:sz="0" w:space="0" w:color="auto"/>
            <w:right w:val="none" w:sz="0" w:space="0" w:color="auto"/>
          </w:divBdr>
          <w:divsChild>
            <w:div w:id="1806006618">
              <w:marLeft w:val="0"/>
              <w:marRight w:val="0"/>
              <w:marTop w:val="0"/>
              <w:marBottom w:val="0"/>
              <w:divBdr>
                <w:top w:val="none" w:sz="0" w:space="0" w:color="auto"/>
                <w:left w:val="none" w:sz="0" w:space="0" w:color="auto"/>
                <w:bottom w:val="none" w:sz="0" w:space="0" w:color="auto"/>
                <w:right w:val="none" w:sz="0" w:space="0" w:color="auto"/>
              </w:divBdr>
            </w:div>
          </w:divsChild>
        </w:div>
        <w:div w:id="519659285">
          <w:marLeft w:val="0"/>
          <w:marRight w:val="0"/>
          <w:marTop w:val="0"/>
          <w:marBottom w:val="0"/>
          <w:divBdr>
            <w:top w:val="none" w:sz="0" w:space="0" w:color="auto"/>
            <w:left w:val="none" w:sz="0" w:space="0" w:color="auto"/>
            <w:bottom w:val="none" w:sz="0" w:space="0" w:color="auto"/>
            <w:right w:val="none" w:sz="0" w:space="0" w:color="auto"/>
          </w:divBdr>
          <w:divsChild>
            <w:div w:id="1042092284">
              <w:marLeft w:val="0"/>
              <w:marRight w:val="0"/>
              <w:marTop w:val="0"/>
              <w:marBottom w:val="0"/>
              <w:divBdr>
                <w:top w:val="none" w:sz="0" w:space="0" w:color="auto"/>
                <w:left w:val="none" w:sz="0" w:space="0" w:color="auto"/>
                <w:bottom w:val="none" w:sz="0" w:space="0" w:color="auto"/>
                <w:right w:val="none" w:sz="0" w:space="0" w:color="auto"/>
              </w:divBdr>
            </w:div>
          </w:divsChild>
        </w:div>
        <w:div w:id="519977747">
          <w:marLeft w:val="0"/>
          <w:marRight w:val="0"/>
          <w:marTop w:val="0"/>
          <w:marBottom w:val="0"/>
          <w:divBdr>
            <w:top w:val="none" w:sz="0" w:space="0" w:color="auto"/>
            <w:left w:val="none" w:sz="0" w:space="0" w:color="auto"/>
            <w:bottom w:val="none" w:sz="0" w:space="0" w:color="auto"/>
            <w:right w:val="none" w:sz="0" w:space="0" w:color="auto"/>
          </w:divBdr>
          <w:divsChild>
            <w:div w:id="752507464">
              <w:marLeft w:val="0"/>
              <w:marRight w:val="0"/>
              <w:marTop w:val="0"/>
              <w:marBottom w:val="0"/>
              <w:divBdr>
                <w:top w:val="none" w:sz="0" w:space="0" w:color="auto"/>
                <w:left w:val="none" w:sz="0" w:space="0" w:color="auto"/>
                <w:bottom w:val="none" w:sz="0" w:space="0" w:color="auto"/>
                <w:right w:val="none" w:sz="0" w:space="0" w:color="auto"/>
              </w:divBdr>
            </w:div>
          </w:divsChild>
        </w:div>
        <w:div w:id="525875955">
          <w:marLeft w:val="0"/>
          <w:marRight w:val="0"/>
          <w:marTop w:val="0"/>
          <w:marBottom w:val="0"/>
          <w:divBdr>
            <w:top w:val="none" w:sz="0" w:space="0" w:color="auto"/>
            <w:left w:val="none" w:sz="0" w:space="0" w:color="auto"/>
            <w:bottom w:val="none" w:sz="0" w:space="0" w:color="auto"/>
            <w:right w:val="none" w:sz="0" w:space="0" w:color="auto"/>
          </w:divBdr>
          <w:divsChild>
            <w:div w:id="2030132772">
              <w:marLeft w:val="0"/>
              <w:marRight w:val="0"/>
              <w:marTop w:val="0"/>
              <w:marBottom w:val="0"/>
              <w:divBdr>
                <w:top w:val="none" w:sz="0" w:space="0" w:color="auto"/>
                <w:left w:val="none" w:sz="0" w:space="0" w:color="auto"/>
                <w:bottom w:val="none" w:sz="0" w:space="0" w:color="auto"/>
                <w:right w:val="none" w:sz="0" w:space="0" w:color="auto"/>
              </w:divBdr>
            </w:div>
          </w:divsChild>
        </w:div>
        <w:div w:id="543981119">
          <w:marLeft w:val="0"/>
          <w:marRight w:val="0"/>
          <w:marTop w:val="0"/>
          <w:marBottom w:val="0"/>
          <w:divBdr>
            <w:top w:val="none" w:sz="0" w:space="0" w:color="auto"/>
            <w:left w:val="none" w:sz="0" w:space="0" w:color="auto"/>
            <w:bottom w:val="none" w:sz="0" w:space="0" w:color="auto"/>
            <w:right w:val="none" w:sz="0" w:space="0" w:color="auto"/>
          </w:divBdr>
          <w:divsChild>
            <w:div w:id="1666275855">
              <w:marLeft w:val="0"/>
              <w:marRight w:val="0"/>
              <w:marTop w:val="0"/>
              <w:marBottom w:val="0"/>
              <w:divBdr>
                <w:top w:val="none" w:sz="0" w:space="0" w:color="auto"/>
                <w:left w:val="none" w:sz="0" w:space="0" w:color="auto"/>
                <w:bottom w:val="none" w:sz="0" w:space="0" w:color="auto"/>
                <w:right w:val="none" w:sz="0" w:space="0" w:color="auto"/>
              </w:divBdr>
            </w:div>
          </w:divsChild>
        </w:div>
        <w:div w:id="553590765">
          <w:marLeft w:val="0"/>
          <w:marRight w:val="0"/>
          <w:marTop w:val="0"/>
          <w:marBottom w:val="0"/>
          <w:divBdr>
            <w:top w:val="none" w:sz="0" w:space="0" w:color="auto"/>
            <w:left w:val="none" w:sz="0" w:space="0" w:color="auto"/>
            <w:bottom w:val="none" w:sz="0" w:space="0" w:color="auto"/>
            <w:right w:val="none" w:sz="0" w:space="0" w:color="auto"/>
          </w:divBdr>
          <w:divsChild>
            <w:div w:id="1620718887">
              <w:marLeft w:val="0"/>
              <w:marRight w:val="0"/>
              <w:marTop w:val="0"/>
              <w:marBottom w:val="0"/>
              <w:divBdr>
                <w:top w:val="none" w:sz="0" w:space="0" w:color="auto"/>
                <w:left w:val="none" w:sz="0" w:space="0" w:color="auto"/>
                <w:bottom w:val="none" w:sz="0" w:space="0" w:color="auto"/>
                <w:right w:val="none" w:sz="0" w:space="0" w:color="auto"/>
              </w:divBdr>
            </w:div>
          </w:divsChild>
        </w:div>
        <w:div w:id="558594920">
          <w:marLeft w:val="0"/>
          <w:marRight w:val="0"/>
          <w:marTop w:val="0"/>
          <w:marBottom w:val="0"/>
          <w:divBdr>
            <w:top w:val="none" w:sz="0" w:space="0" w:color="auto"/>
            <w:left w:val="none" w:sz="0" w:space="0" w:color="auto"/>
            <w:bottom w:val="none" w:sz="0" w:space="0" w:color="auto"/>
            <w:right w:val="none" w:sz="0" w:space="0" w:color="auto"/>
          </w:divBdr>
          <w:divsChild>
            <w:div w:id="1221600042">
              <w:marLeft w:val="0"/>
              <w:marRight w:val="0"/>
              <w:marTop w:val="0"/>
              <w:marBottom w:val="0"/>
              <w:divBdr>
                <w:top w:val="none" w:sz="0" w:space="0" w:color="auto"/>
                <w:left w:val="none" w:sz="0" w:space="0" w:color="auto"/>
                <w:bottom w:val="none" w:sz="0" w:space="0" w:color="auto"/>
                <w:right w:val="none" w:sz="0" w:space="0" w:color="auto"/>
              </w:divBdr>
            </w:div>
          </w:divsChild>
        </w:div>
        <w:div w:id="561908129">
          <w:marLeft w:val="0"/>
          <w:marRight w:val="0"/>
          <w:marTop w:val="0"/>
          <w:marBottom w:val="0"/>
          <w:divBdr>
            <w:top w:val="none" w:sz="0" w:space="0" w:color="auto"/>
            <w:left w:val="none" w:sz="0" w:space="0" w:color="auto"/>
            <w:bottom w:val="none" w:sz="0" w:space="0" w:color="auto"/>
            <w:right w:val="none" w:sz="0" w:space="0" w:color="auto"/>
          </w:divBdr>
          <w:divsChild>
            <w:div w:id="28573934">
              <w:marLeft w:val="0"/>
              <w:marRight w:val="0"/>
              <w:marTop w:val="0"/>
              <w:marBottom w:val="0"/>
              <w:divBdr>
                <w:top w:val="none" w:sz="0" w:space="0" w:color="auto"/>
                <w:left w:val="none" w:sz="0" w:space="0" w:color="auto"/>
                <w:bottom w:val="none" w:sz="0" w:space="0" w:color="auto"/>
                <w:right w:val="none" w:sz="0" w:space="0" w:color="auto"/>
              </w:divBdr>
            </w:div>
          </w:divsChild>
        </w:div>
        <w:div w:id="566035141">
          <w:marLeft w:val="0"/>
          <w:marRight w:val="0"/>
          <w:marTop w:val="0"/>
          <w:marBottom w:val="0"/>
          <w:divBdr>
            <w:top w:val="none" w:sz="0" w:space="0" w:color="auto"/>
            <w:left w:val="none" w:sz="0" w:space="0" w:color="auto"/>
            <w:bottom w:val="none" w:sz="0" w:space="0" w:color="auto"/>
            <w:right w:val="none" w:sz="0" w:space="0" w:color="auto"/>
          </w:divBdr>
          <w:divsChild>
            <w:div w:id="1236625286">
              <w:marLeft w:val="0"/>
              <w:marRight w:val="0"/>
              <w:marTop w:val="0"/>
              <w:marBottom w:val="0"/>
              <w:divBdr>
                <w:top w:val="none" w:sz="0" w:space="0" w:color="auto"/>
                <w:left w:val="none" w:sz="0" w:space="0" w:color="auto"/>
                <w:bottom w:val="none" w:sz="0" w:space="0" w:color="auto"/>
                <w:right w:val="none" w:sz="0" w:space="0" w:color="auto"/>
              </w:divBdr>
            </w:div>
          </w:divsChild>
        </w:div>
        <w:div w:id="585767878">
          <w:marLeft w:val="0"/>
          <w:marRight w:val="0"/>
          <w:marTop w:val="0"/>
          <w:marBottom w:val="0"/>
          <w:divBdr>
            <w:top w:val="none" w:sz="0" w:space="0" w:color="auto"/>
            <w:left w:val="none" w:sz="0" w:space="0" w:color="auto"/>
            <w:bottom w:val="none" w:sz="0" w:space="0" w:color="auto"/>
            <w:right w:val="none" w:sz="0" w:space="0" w:color="auto"/>
          </w:divBdr>
          <w:divsChild>
            <w:div w:id="213273589">
              <w:marLeft w:val="0"/>
              <w:marRight w:val="0"/>
              <w:marTop w:val="0"/>
              <w:marBottom w:val="0"/>
              <w:divBdr>
                <w:top w:val="none" w:sz="0" w:space="0" w:color="auto"/>
                <w:left w:val="none" w:sz="0" w:space="0" w:color="auto"/>
                <w:bottom w:val="none" w:sz="0" w:space="0" w:color="auto"/>
                <w:right w:val="none" w:sz="0" w:space="0" w:color="auto"/>
              </w:divBdr>
            </w:div>
          </w:divsChild>
        </w:div>
        <w:div w:id="606041672">
          <w:marLeft w:val="0"/>
          <w:marRight w:val="0"/>
          <w:marTop w:val="0"/>
          <w:marBottom w:val="0"/>
          <w:divBdr>
            <w:top w:val="none" w:sz="0" w:space="0" w:color="auto"/>
            <w:left w:val="none" w:sz="0" w:space="0" w:color="auto"/>
            <w:bottom w:val="none" w:sz="0" w:space="0" w:color="auto"/>
            <w:right w:val="none" w:sz="0" w:space="0" w:color="auto"/>
          </w:divBdr>
          <w:divsChild>
            <w:div w:id="1763524476">
              <w:marLeft w:val="0"/>
              <w:marRight w:val="0"/>
              <w:marTop w:val="0"/>
              <w:marBottom w:val="0"/>
              <w:divBdr>
                <w:top w:val="none" w:sz="0" w:space="0" w:color="auto"/>
                <w:left w:val="none" w:sz="0" w:space="0" w:color="auto"/>
                <w:bottom w:val="none" w:sz="0" w:space="0" w:color="auto"/>
                <w:right w:val="none" w:sz="0" w:space="0" w:color="auto"/>
              </w:divBdr>
            </w:div>
          </w:divsChild>
        </w:div>
        <w:div w:id="606742973">
          <w:marLeft w:val="0"/>
          <w:marRight w:val="0"/>
          <w:marTop w:val="0"/>
          <w:marBottom w:val="0"/>
          <w:divBdr>
            <w:top w:val="none" w:sz="0" w:space="0" w:color="auto"/>
            <w:left w:val="none" w:sz="0" w:space="0" w:color="auto"/>
            <w:bottom w:val="none" w:sz="0" w:space="0" w:color="auto"/>
            <w:right w:val="none" w:sz="0" w:space="0" w:color="auto"/>
          </w:divBdr>
          <w:divsChild>
            <w:div w:id="143475010">
              <w:marLeft w:val="0"/>
              <w:marRight w:val="0"/>
              <w:marTop w:val="0"/>
              <w:marBottom w:val="0"/>
              <w:divBdr>
                <w:top w:val="none" w:sz="0" w:space="0" w:color="auto"/>
                <w:left w:val="none" w:sz="0" w:space="0" w:color="auto"/>
                <w:bottom w:val="none" w:sz="0" w:space="0" w:color="auto"/>
                <w:right w:val="none" w:sz="0" w:space="0" w:color="auto"/>
              </w:divBdr>
            </w:div>
          </w:divsChild>
        </w:div>
        <w:div w:id="613754869">
          <w:marLeft w:val="0"/>
          <w:marRight w:val="0"/>
          <w:marTop w:val="0"/>
          <w:marBottom w:val="0"/>
          <w:divBdr>
            <w:top w:val="none" w:sz="0" w:space="0" w:color="auto"/>
            <w:left w:val="none" w:sz="0" w:space="0" w:color="auto"/>
            <w:bottom w:val="none" w:sz="0" w:space="0" w:color="auto"/>
            <w:right w:val="none" w:sz="0" w:space="0" w:color="auto"/>
          </w:divBdr>
          <w:divsChild>
            <w:div w:id="1166551020">
              <w:marLeft w:val="0"/>
              <w:marRight w:val="0"/>
              <w:marTop w:val="0"/>
              <w:marBottom w:val="0"/>
              <w:divBdr>
                <w:top w:val="none" w:sz="0" w:space="0" w:color="auto"/>
                <w:left w:val="none" w:sz="0" w:space="0" w:color="auto"/>
                <w:bottom w:val="none" w:sz="0" w:space="0" w:color="auto"/>
                <w:right w:val="none" w:sz="0" w:space="0" w:color="auto"/>
              </w:divBdr>
            </w:div>
          </w:divsChild>
        </w:div>
        <w:div w:id="618026484">
          <w:marLeft w:val="0"/>
          <w:marRight w:val="0"/>
          <w:marTop w:val="0"/>
          <w:marBottom w:val="0"/>
          <w:divBdr>
            <w:top w:val="none" w:sz="0" w:space="0" w:color="auto"/>
            <w:left w:val="none" w:sz="0" w:space="0" w:color="auto"/>
            <w:bottom w:val="none" w:sz="0" w:space="0" w:color="auto"/>
            <w:right w:val="none" w:sz="0" w:space="0" w:color="auto"/>
          </w:divBdr>
          <w:divsChild>
            <w:div w:id="651258058">
              <w:marLeft w:val="0"/>
              <w:marRight w:val="0"/>
              <w:marTop w:val="0"/>
              <w:marBottom w:val="0"/>
              <w:divBdr>
                <w:top w:val="none" w:sz="0" w:space="0" w:color="auto"/>
                <w:left w:val="none" w:sz="0" w:space="0" w:color="auto"/>
                <w:bottom w:val="none" w:sz="0" w:space="0" w:color="auto"/>
                <w:right w:val="none" w:sz="0" w:space="0" w:color="auto"/>
              </w:divBdr>
            </w:div>
          </w:divsChild>
        </w:div>
        <w:div w:id="626012925">
          <w:marLeft w:val="0"/>
          <w:marRight w:val="0"/>
          <w:marTop w:val="0"/>
          <w:marBottom w:val="0"/>
          <w:divBdr>
            <w:top w:val="none" w:sz="0" w:space="0" w:color="auto"/>
            <w:left w:val="none" w:sz="0" w:space="0" w:color="auto"/>
            <w:bottom w:val="none" w:sz="0" w:space="0" w:color="auto"/>
            <w:right w:val="none" w:sz="0" w:space="0" w:color="auto"/>
          </w:divBdr>
          <w:divsChild>
            <w:div w:id="1460881567">
              <w:marLeft w:val="0"/>
              <w:marRight w:val="0"/>
              <w:marTop w:val="0"/>
              <w:marBottom w:val="0"/>
              <w:divBdr>
                <w:top w:val="none" w:sz="0" w:space="0" w:color="auto"/>
                <w:left w:val="none" w:sz="0" w:space="0" w:color="auto"/>
                <w:bottom w:val="none" w:sz="0" w:space="0" w:color="auto"/>
                <w:right w:val="none" w:sz="0" w:space="0" w:color="auto"/>
              </w:divBdr>
            </w:div>
          </w:divsChild>
        </w:div>
        <w:div w:id="630327979">
          <w:marLeft w:val="0"/>
          <w:marRight w:val="0"/>
          <w:marTop w:val="0"/>
          <w:marBottom w:val="0"/>
          <w:divBdr>
            <w:top w:val="none" w:sz="0" w:space="0" w:color="auto"/>
            <w:left w:val="none" w:sz="0" w:space="0" w:color="auto"/>
            <w:bottom w:val="none" w:sz="0" w:space="0" w:color="auto"/>
            <w:right w:val="none" w:sz="0" w:space="0" w:color="auto"/>
          </w:divBdr>
          <w:divsChild>
            <w:div w:id="1480227242">
              <w:marLeft w:val="0"/>
              <w:marRight w:val="0"/>
              <w:marTop w:val="0"/>
              <w:marBottom w:val="0"/>
              <w:divBdr>
                <w:top w:val="none" w:sz="0" w:space="0" w:color="auto"/>
                <w:left w:val="none" w:sz="0" w:space="0" w:color="auto"/>
                <w:bottom w:val="none" w:sz="0" w:space="0" w:color="auto"/>
                <w:right w:val="none" w:sz="0" w:space="0" w:color="auto"/>
              </w:divBdr>
            </w:div>
          </w:divsChild>
        </w:div>
        <w:div w:id="642003129">
          <w:marLeft w:val="0"/>
          <w:marRight w:val="0"/>
          <w:marTop w:val="0"/>
          <w:marBottom w:val="0"/>
          <w:divBdr>
            <w:top w:val="none" w:sz="0" w:space="0" w:color="auto"/>
            <w:left w:val="none" w:sz="0" w:space="0" w:color="auto"/>
            <w:bottom w:val="none" w:sz="0" w:space="0" w:color="auto"/>
            <w:right w:val="none" w:sz="0" w:space="0" w:color="auto"/>
          </w:divBdr>
          <w:divsChild>
            <w:div w:id="1056464653">
              <w:marLeft w:val="0"/>
              <w:marRight w:val="0"/>
              <w:marTop w:val="0"/>
              <w:marBottom w:val="0"/>
              <w:divBdr>
                <w:top w:val="none" w:sz="0" w:space="0" w:color="auto"/>
                <w:left w:val="none" w:sz="0" w:space="0" w:color="auto"/>
                <w:bottom w:val="none" w:sz="0" w:space="0" w:color="auto"/>
                <w:right w:val="none" w:sz="0" w:space="0" w:color="auto"/>
              </w:divBdr>
            </w:div>
          </w:divsChild>
        </w:div>
        <w:div w:id="644240484">
          <w:marLeft w:val="0"/>
          <w:marRight w:val="0"/>
          <w:marTop w:val="0"/>
          <w:marBottom w:val="0"/>
          <w:divBdr>
            <w:top w:val="none" w:sz="0" w:space="0" w:color="auto"/>
            <w:left w:val="none" w:sz="0" w:space="0" w:color="auto"/>
            <w:bottom w:val="none" w:sz="0" w:space="0" w:color="auto"/>
            <w:right w:val="none" w:sz="0" w:space="0" w:color="auto"/>
          </w:divBdr>
          <w:divsChild>
            <w:div w:id="554239718">
              <w:marLeft w:val="0"/>
              <w:marRight w:val="0"/>
              <w:marTop w:val="0"/>
              <w:marBottom w:val="0"/>
              <w:divBdr>
                <w:top w:val="none" w:sz="0" w:space="0" w:color="auto"/>
                <w:left w:val="none" w:sz="0" w:space="0" w:color="auto"/>
                <w:bottom w:val="none" w:sz="0" w:space="0" w:color="auto"/>
                <w:right w:val="none" w:sz="0" w:space="0" w:color="auto"/>
              </w:divBdr>
            </w:div>
          </w:divsChild>
        </w:div>
        <w:div w:id="658769369">
          <w:marLeft w:val="0"/>
          <w:marRight w:val="0"/>
          <w:marTop w:val="0"/>
          <w:marBottom w:val="0"/>
          <w:divBdr>
            <w:top w:val="none" w:sz="0" w:space="0" w:color="auto"/>
            <w:left w:val="none" w:sz="0" w:space="0" w:color="auto"/>
            <w:bottom w:val="none" w:sz="0" w:space="0" w:color="auto"/>
            <w:right w:val="none" w:sz="0" w:space="0" w:color="auto"/>
          </w:divBdr>
          <w:divsChild>
            <w:div w:id="918370602">
              <w:marLeft w:val="0"/>
              <w:marRight w:val="0"/>
              <w:marTop w:val="0"/>
              <w:marBottom w:val="0"/>
              <w:divBdr>
                <w:top w:val="none" w:sz="0" w:space="0" w:color="auto"/>
                <w:left w:val="none" w:sz="0" w:space="0" w:color="auto"/>
                <w:bottom w:val="none" w:sz="0" w:space="0" w:color="auto"/>
                <w:right w:val="none" w:sz="0" w:space="0" w:color="auto"/>
              </w:divBdr>
            </w:div>
          </w:divsChild>
        </w:div>
        <w:div w:id="663699682">
          <w:marLeft w:val="0"/>
          <w:marRight w:val="0"/>
          <w:marTop w:val="0"/>
          <w:marBottom w:val="0"/>
          <w:divBdr>
            <w:top w:val="none" w:sz="0" w:space="0" w:color="auto"/>
            <w:left w:val="none" w:sz="0" w:space="0" w:color="auto"/>
            <w:bottom w:val="none" w:sz="0" w:space="0" w:color="auto"/>
            <w:right w:val="none" w:sz="0" w:space="0" w:color="auto"/>
          </w:divBdr>
          <w:divsChild>
            <w:div w:id="2096590983">
              <w:marLeft w:val="0"/>
              <w:marRight w:val="0"/>
              <w:marTop w:val="0"/>
              <w:marBottom w:val="0"/>
              <w:divBdr>
                <w:top w:val="none" w:sz="0" w:space="0" w:color="auto"/>
                <w:left w:val="none" w:sz="0" w:space="0" w:color="auto"/>
                <w:bottom w:val="none" w:sz="0" w:space="0" w:color="auto"/>
                <w:right w:val="none" w:sz="0" w:space="0" w:color="auto"/>
              </w:divBdr>
            </w:div>
          </w:divsChild>
        </w:div>
        <w:div w:id="685638284">
          <w:marLeft w:val="0"/>
          <w:marRight w:val="0"/>
          <w:marTop w:val="0"/>
          <w:marBottom w:val="0"/>
          <w:divBdr>
            <w:top w:val="none" w:sz="0" w:space="0" w:color="auto"/>
            <w:left w:val="none" w:sz="0" w:space="0" w:color="auto"/>
            <w:bottom w:val="none" w:sz="0" w:space="0" w:color="auto"/>
            <w:right w:val="none" w:sz="0" w:space="0" w:color="auto"/>
          </w:divBdr>
          <w:divsChild>
            <w:div w:id="1201548045">
              <w:marLeft w:val="0"/>
              <w:marRight w:val="0"/>
              <w:marTop w:val="0"/>
              <w:marBottom w:val="0"/>
              <w:divBdr>
                <w:top w:val="none" w:sz="0" w:space="0" w:color="auto"/>
                <w:left w:val="none" w:sz="0" w:space="0" w:color="auto"/>
                <w:bottom w:val="none" w:sz="0" w:space="0" w:color="auto"/>
                <w:right w:val="none" w:sz="0" w:space="0" w:color="auto"/>
              </w:divBdr>
            </w:div>
          </w:divsChild>
        </w:div>
        <w:div w:id="696925797">
          <w:marLeft w:val="0"/>
          <w:marRight w:val="0"/>
          <w:marTop w:val="0"/>
          <w:marBottom w:val="0"/>
          <w:divBdr>
            <w:top w:val="none" w:sz="0" w:space="0" w:color="auto"/>
            <w:left w:val="none" w:sz="0" w:space="0" w:color="auto"/>
            <w:bottom w:val="none" w:sz="0" w:space="0" w:color="auto"/>
            <w:right w:val="none" w:sz="0" w:space="0" w:color="auto"/>
          </w:divBdr>
          <w:divsChild>
            <w:div w:id="386808840">
              <w:marLeft w:val="0"/>
              <w:marRight w:val="0"/>
              <w:marTop w:val="0"/>
              <w:marBottom w:val="0"/>
              <w:divBdr>
                <w:top w:val="none" w:sz="0" w:space="0" w:color="auto"/>
                <w:left w:val="none" w:sz="0" w:space="0" w:color="auto"/>
                <w:bottom w:val="none" w:sz="0" w:space="0" w:color="auto"/>
                <w:right w:val="none" w:sz="0" w:space="0" w:color="auto"/>
              </w:divBdr>
            </w:div>
          </w:divsChild>
        </w:div>
        <w:div w:id="706102351">
          <w:marLeft w:val="0"/>
          <w:marRight w:val="0"/>
          <w:marTop w:val="0"/>
          <w:marBottom w:val="0"/>
          <w:divBdr>
            <w:top w:val="none" w:sz="0" w:space="0" w:color="auto"/>
            <w:left w:val="none" w:sz="0" w:space="0" w:color="auto"/>
            <w:bottom w:val="none" w:sz="0" w:space="0" w:color="auto"/>
            <w:right w:val="none" w:sz="0" w:space="0" w:color="auto"/>
          </w:divBdr>
          <w:divsChild>
            <w:div w:id="1917396278">
              <w:marLeft w:val="0"/>
              <w:marRight w:val="0"/>
              <w:marTop w:val="0"/>
              <w:marBottom w:val="0"/>
              <w:divBdr>
                <w:top w:val="none" w:sz="0" w:space="0" w:color="auto"/>
                <w:left w:val="none" w:sz="0" w:space="0" w:color="auto"/>
                <w:bottom w:val="none" w:sz="0" w:space="0" w:color="auto"/>
                <w:right w:val="none" w:sz="0" w:space="0" w:color="auto"/>
              </w:divBdr>
            </w:div>
          </w:divsChild>
        </w:div>
        <w:div w:id="708067172">
          <w:marLeft w:val="0"/>
          <w:marRight w:val="0"/>
          <w:marTop w:val="0"/>
          <w:marBottom w:val="0"/>
          <w:divBdr>
            <w:top w:val="none" w:sz="0" w:space="0" w:color="auto"/>
            <w:left w:val="none" w:sz="0" w:space="0" w:color="auto"/>
            <w:bottom w:val="none" w:sz="0" w:space="0" w:color="auto"/>
            <w:right w:val="none" w:sz="0" w:space="0" w:color="auto"/>
          </w:divBdr>
          <w:divsChild>
            <w:div w:id="1320814567">
              <w:marLeft w:val="0"/>
              <w:marRight w:val="0"/>
              <w:marTop w:val="0"/>
              <w:marBottom w:val="0"/>
              <w:divBdr>
                <w:top w:val="none" w:sz="0" w:space="0" w:color="auto"/>
                <w:left w:val="none" w:sz="0" w:space="0" w:color="auto"/>
                <w:bottom w:val="none" w:sz="0" w:space="0" w:color="auto"/>
                <w:right w:val="none" w:sz="0" w:space="0" w:color="auto"/>
              </w:divBdr>
            </w:div>
          </w:divsChild>
        </w:div>
        <w:div w:id="708575677">
          <w:marLeft w:val="0"/>
          <w:marRight w:val="0"/>
          <w:marTop w:val="0"/>
          <w:marBottom w:val="0"/>
          <w:divBdr>
            <w:top w:val="none" w:sz="0" w:space="0" w:color="auto"/>
            <w:left w:val="none" w:sz="0" w:space="0" w:color="auto"/>
            <w:bottom w:val="none" w:sz="0" w:space="0" w:color="auto"/>
            <w:right w:val="none" w:sz="0" w:space="0" w:color="auto"/>
          </w:divBdr>
          <w:divsChild>
            <w:div w:id="518667196">
              <w:marLeft w:val="0"/>
              <w:marRight w:val="0"/>
              <w:marTop w:val="0"/>
              <w:marBottom w:val="0"/>
              <w:divBdr>
                <w:top w:val="none" w:sz="0" w:space="0" w:color="auto"/>
                <w:left w:val="none" w:sz="0" w:space="0" w:color="auto"/>
                <w:bottom w:val="none" w:sz="0" w:space="0" w:color="auto"/>
                <w:right w:val="none" w:sz="0" w:space="0" w:color="auto"/>
              </w:divBdr>
            </w:div>
          </w:divsChild>
        </w:div>
        <w:div w:id="710030669">
          <w:marLeft w:val="0"/>
          <w:marRight w:val="0"/>
          <w:marTop w:val="0"/>
          <w:marBottom w:val="0"/>
          <w:divBdr>
            <w:top w:val="none" w:sz="0" w:space="0" w:color="auto"/>
            <w:left w:val="none" w:sz="0" w:space="0" w:color="auto"/>
            <w:bottom w:val="none" w:sz="0" w:space="0" w:color="auto"/>
            <w:right w:val="none" w:sz="0" w:space="0" w:color="auto"/>
          </w:divBdr>
          <w:divsChild>
            <w:div w:id="1743139531">
              <w:marLeft w:val="0"/>
              <w:marRight w:val="0"/>
              <w:marTop w:val="0"/>
              <w:marBottom w:val="0"/>
              <w:divBdr>
                <w:top w:val="none" w:sz="0" w:space="0" w:color="auto"/>
                <w:left w:val="none" w:sz="0" w:space="0" w:color="auto"/>
                <w:bottom w:val="none" w:sz="0" w:space="0" w:color="auto"/>
                <w:right w:val="none" w:sz="0" w:space="0" w:color="auto"/>
              </w:divBdr>
            </w:div>
          </w:divsChild>
        </w:div>
        <w:div w:id="713653437">
          <w:marLeft w:val="0"/>
          <w:marRight w:val="0"/>
          <w:marTop w:val="0"/>
          <w:marBottom w:val="0"/>
          <w:divBdr>
            <w:top w:val="none" w:sz="0" w:space="0" w:color="auto"/>
            <w:left w:val="none" w:sz="0" w:space="0" w:color="auto"/>
            <w:bottom w:val="none" w:sz="0" w:space="0" w:color="auto"/>
            <w:right w:val="none" w:sz="0" w:space="0" w:color="auto"/>
          </w:divBdr>
          <w:divsChild>
            <w:div w:id="1705209498">
              <w:marLeft w:val="0"/>
              <w:marRight w:val="0"/>
              <w:marTop w:val="0"/>
              <w:marBottom w:val="0"/>
              <w:divBdr>
                <w:top w:val="none" w:sz="0" w:space="0" w:color="auto"/>
                <w:left w:val="none" w:sz="0" w:space="0" w:color="auto"/>
                <w:bottom w:val="none" w:sz="0" w:space="0" w:color="auto"/>
                <w:right w:val="none" w:sz="0" w:space="0" w:color="auto"/>
              </w:divBdr>
            </w:div>
          </w:divsChild>
        </w:div>
        <w:div w:id="716246268">
          <w:marLeft w:val="0"/>
          <w:marRight w:val="0"/>
          <w:marTop w:val="0"/>
          <w:marBottom w:val="0"/>
          <w:divBdr>
            <w:top w:val="none" w:sz="0" w:space="0" w:color="auto"/>
            <w:left w:val="none" w:sz="0" w:space="0" w:color="auto"/>
            <w:bottom w:val="none" w:sz="0" w:space="0" w:color="auto"/>
            <w:right w:val="none" w:sz="0" w:space="0" w:color="auto"/>
          </w:divBdr>
          <w:divsChild>
            <w:div w:id="1879050398">
              <w:marLeft w:val="0"/>
              <w:marRight w:val="0"/>
              <w:marTop w:val="0"/>
              <w:marBottom w:val="0"/>
              <w:divBdr>
                <w:top w:val="none" w:sz="0" w:space="0" w:color="auto"/>
                <w:left w:val="none" w:sz="0" w:space="0" w:color="auto"/>
                <w:bottom w:val="none" w:sz="0" w:space="0" w:color="auto"/>
                <w:right w:val="none" w:sz="0" w:space="0" w:color="auto"/>
              </w:divBdr>
            </w:div>
          </w:divsChild>
        </w:div>
        <w:div w:id="732511449">
          <w:marLeft w:val="0"/>
          <w:marRight w:val="0"/>
          <w:marTop w:val="0"/>
          <w:marBottom w:val="0"/>
          <w:divBdr>
            <w:top w:val="none" w:sz="0" w:space="0" w:color="auto"/>
            <w:left w:val="none" w:sz="0" w:space="0" w:color="auto"/>
            <w:bottom w:val="none" w:sz="0" w:space="0" w:color="auto"/>
            <w:right w:val="none" w:sz="0" w:space="0" w:color="auto"/>
          </w:divBdr>
          <w:divsChild>
            <w:div w:id="1845247455">
              <w:marLeft w:val="0"/>
              <w:marRight w:val="0"/>
              <w:marTop w:val="0"/>
              <w:marBottom w:val="0"/>
              <w:divBdr>
                <w:top w:val="none" w:sz="0" w:space="0" w:color="auto"/>
                <w:left w:val="none" w:sz="0" w:space="0" w:color="auto"/>
                <w:bottom w:val="none" w:sz="0" w:space="0" w:color="auto"/>
                <w:right w:val="none" w:sz="0" w:space="0" w:color="auto"/>
              </w:divBdr>
            </w:div>
          </w:divsChild>
        </w:div>
        <w:div w:id="770012799">
          <w:marLeft w:val="0"/>
          <w:marRight w:val="0"/>
          <w:marTop w:val="0"/>
          <w:marBottom w:val="0"/>
          <w:divBdr>
            <w:top w:val="none" w:sz="0" w:space="0" w:color="auto"/>
            <w:left w:val="none" w:sz="0" w:space="0" w:color="auto"/>
            <w:bottom w:val="none" w:sz="0" w:space="0" w:color="auto"/>
            <w:right w:val="none" w:sz="0" w:space="0" w:color="auto"/>
          </w:divBdr>
          <w:divsChild>
            <w:div w:id="559681535">
              <w:marLeft w:val="0"/>
              <w:marRight w:val="0"/>
              <w:marTop w:val="0"/>
              <w:marBottom w:val="0"/>
              <w:divBdr>
                <w:top w:val="none" w:sz="0" w:space="0" w:color="auto"/>
                <w:left w:val="none" w:sz="0" w:space="0" w:color="auto"/>
                <w:bottom w:val="none" w:sz="0" w:space="0" w:color="auto"/>
                <w:right w:val="none" w:sz="0" w:space="0" w:color="auto"/>
              </w:divBdr>
            </w:div>
          </w:divsChild>
        </w:div>
        <w:div w:id="771438214">
          <w:marLeft w:val="0"/>
          <w:marRight w:val="0"/>
          <w:marTop w:val="0"/>
          <w:marBottom w:val="0"/>
          <w:divBdr>
            <w:top w:val="none" w:sz="0" w:space="0" w:color="auto"/>
            <w:left w:val="none" w:sz="0" w:space="0" w:color="auto"/>
            <w:bottom w:val="none" w:sz="0" w:space="0" w:color="auto"/>
            <w:right w:val="none" w:sz="0" w:space="0" w:color="auto"/>
          </w:divBdr>
          <w:divsChild>
            <w:div w:id="1244218377">
              <w:marLeft w:val="0"/>
              <w:marRight w:val="0"/>
              <w:marTop w:val="0"/>
              <w:marBottom w:val="0"/>
              <w:divBdr>
                <w:top w:val="none" w:sz="0" w:space="0" w:color="auto"/>
                <w:left w:val="none" w:sz="0" w:space="0" w:color="auto"/>
                <w:bottom w:val="none" w:sz="0" w:space="0" w:color="auto"/>
                <w:right w:val="none" w:sz="0" w:space="0" w:color="auto"/>
              </w:divBdr>
            </w:div>
          </w:divsChild>
        </w:div>
        <w:div w:id="786698344">
          <w:marLeft w:val="0"/>
          <w:marRight w:val="0"/>
          <w:marTop w:val="0"/>
          <w:marBottom w:val="0"/>
          <w:divBdr>
            <w:top w:val="none" w:sz="0" w:space="0" w:color="auto"/>
            <w:left w:val="none" w:sz="0" w:space="0" w:color="auto"/>
            <w:bottom w:val="none" w:sz="0" w:space="0" w:color="auto"/>
            <w:right w:val="none" w:sz="0" w:space="0" w:color="auto"/>
          </w:divBdr>
          <w:divsChild>
            <w:div w:id="739062328">
              <w:marLeft w:val="0"/>
              <w:marRight w:val="0"/>
              <w:marTop w:val="0"/>
              <w:marBottom w:val="0"/>
              <w:divBdr>
                <w:top w:val="none" w:sz="0" w:space="0" w:color="auto"/>
                <w:left w:val="none" w:sz="0" w:space="0" w:color="auto"/>
                <w:bottom w:val="none" w:sz="0" w:space="0" w:color="auto"/>
                <w:right w:val="none" w:sz="0" w:space="0" w:color="auto"/>
              </w:divBdr>
            </w:div>
          </w:divsChild>
        </w:div>
        <w:div w:id="794713471">
          <w:marLeft w:val="0"/>
          <w:marRight w:val="0"/>
          <w:marTop w:val="0"/>
          <w:marBottom w:val="0"/>
          <w:divBdr>
            <w:top w:val="none" w:sz="0" w:space="0" w:color="auto"/>
            <w:left w:val="none" w:sz="0" w:space="0" w:color="auto"/>
            <w:bottom w:val="none" w:sz="0" w:space="0" w:color="auto"/>
            <w:right w:val="none" w:sz="0" w:space="0" w:color="auto"/>
          </w:divBdr>
          <w:divsChild>
            <w:div w:id="1021934422">
              <w:marLeft w:val="0"/>
              <w:marRight w:val="0"/>
              <w:marTop w:val="0"/>
              <w:marBottom w:val="0"/>
              <w:divBdr>
                <w:top w:val="none" w:sz="0" w:space="0" w:color="auto"/>
                <w:left w:val="none" w:sz="0" w:space="0" w:color="auto"/>
                <w:bottom w:val="none" w:sz="0" w:space="0" w:color="auto"/>
                <w:right w:val="none" w:sz="0" w:space="0" w:color="auto"/>
              </w:divBdr>
            </w:div>
          </w:divsChild>
        </w:div>
        <w:div w:id="795566727">
          <w:marLeft w:val="0"/>
          <w:marRight w:val="0"/>
          <w:marTop w:val="0"/>
          <w:marBottom w:val="0"/>
          <w:divBdr>
            <w:top w:val="none" w:sz="0" w:space="0" w:color="auto"/>
            <w:left w:val="none" w:sz="0" w:space="0" w:color="auto"/>
            <w:bottom w:val="none" w:sz="0" w:space="0" w:color="auto"/>
            <w:right w:val="none" w:sz="0" w:space="0" w:color="auto"/>
          </w:divBdr>
          <w:divsChild>
            <w:div w:id="1782258828">
              <w:marLeft w:val="0"/>
              <w:marRight w:val="0"/>
              <w:marTop w:val="0"/>
              <w:marBottom w:val="0"/>
              <w:divBdr>
                <w:top w:val="none" w:sz="0" w:space="0" w:color="auto"/>
                <w:left w:val="none" w:sz="0" w:space="0" w:color="auto"/>
                <w:bottom w:val="none" w:sz="0" w:space="0" w:color="auto"/>
                <w:right w:val="none" w:sz="0" w:space="0" w:color="auto"/>
              </w:divBdr>
            </w:div>
          </w:divsChild>
        </w:div>
        <w:div w:id="800272548">
          <w:marLeft w:val="0"/>
          <w:marRight w:val="0"/>
          <w:marTop w:val="0"/>
          <w:marBottom w:val="0"/>
          <w:divBdr>
            <w:top w:val="none" w:sz="0" w:space="0" w:color="auto"/>
            <w:left w:val="none" w:sz="0" w:space="0" w:color="auto"/>
            <w:bottom w:val="none" w:sz="0" w:space="0" w:color="auto"/>
            <w:right w:val="none" w:sz="0" w:space="0" w:color="auto"/>
          </w:divBdr>
          <w:divsChild>
            <w:div w:id="142963945">
              <w:marLeft w:val="0"/>
              <w:marRight w:val="0"/>
              <w:marTop w:val="0"/>
              <w:marBottom w:val="0"/>
              <w:divBdr>
                <w:top w:val="none" w:sz="0" w:space="0" w:color="auto"/>
                <w:left w:val="none" w:sz="0" w:space="0" w:color="auto"/>
                <w:bottom w:val="none" w:sz="0" w:space="0" w:color="auto"/>
                <w:right w:val="none" w:sz="0" w:space="0" w:color="auto"/>
              </w:divBdr>
            </w:div>
          </w:divsChild>
        </w:div>
        <w:div w:id="806825036">
          <w:marLeft w:val="0"/>
          <w:marRight w:val="0"/>
          <w:marTop w:val="0"/>
          <w:marBottom w:val="0"/>
          <w:divBdr>
            <w:top w:val="none" w:sz="0" w:space="0" w:color="auto"/>
            <w:left w:val="none" w:sz="0" w:space="0" w:color="auto"/>
            <w:bottom w:val="none" w:sz="0" w:space="0" w:color="auto"/>
            <w:right w:val="none" w:sz="0" w:space="0" w:color="auto"/>
          </w:divBdr>
          <w:divsChild>
            <w:div w:id="1139878876">
              <w:marLeft w:val="0"/>
              <w:marRight w:val="0"/>
              <w:marTop w:val="0"/>
              <w:marBottom w:val="0"/>
              <w:divBdr>
                <w:top w:val="none" w:sz="0" w:space="0" w:color="auto"/>
                <w:left w:val="none" w:sz="0" w:space="0" w:color="auto"/>
                <w:bottom w:val="none" w:sz="0" w:space="0" w:color="auto"/>
                <w:right w:val="none" w:sz="0" w:space="0" w:color="auto"/>
              </w:divBdr>
            </w:div>
          </w:divsChild>
        </w:div>
        <w:div w:id="808597668">
          <w:marLeft w:val="0"/>
          <w:marRight w:val="0"/>
          <w:marTop w:val="0"/>
          <w:marBottom w:val="0"/>
          <w:divBdr>
            <w:top w:val="none" w:sz="0" w:space="0" w:color="auto"/>
            <w:left w:val="none" w:sz="0" w:space="0" w:color="auto"/>
            <w:bottom w:val="none" w:sz="0" w:space="0" w:color="auto"/>
            <w:right w:val="none" w:sz="0" w:space="0" w:color="auto"/>
          </w:divBdr>
          <w:divsChild>
            <w:div w:id="1063990247">
              <w:marLeft w:val="0"/>
              <w:marRight w:val="0"/>
              <w:marTop w:val="0"/>
              <w:marBottom w:val="0"/>
              <w:divBdr>
                <w:top w:val="none" w:sz="0" w:space="0" w:color="auto"/>
                <w:left w:val="none" w:sz="0" w:space="0" w:color="auto"/>
                <w:bottom w:val="none" w:sz="0" w:space="0" w:color="auto"/>
                <w:right w:val="none" w:sz="0" w:space="0" w:color="auto"/>
              </w:divBdr>
            </w:div>
          </w:divsChild>
        </w:div>
        <w:div w:id="811479625">
          <w:marLeft w:val="0"/>
          <w:marRight w:val="0"/>
          <w:marTop w:val="0"/>
          <w:marBottom w:val="0"/>
          <w:divBdr>
            <w:top w:val="none" w:sz="0" w:space="0" w:color="auto"/>
            <w:left w:val="none" w:sz="0" w:space="0" w:color="auto"/>
            <w:bottom w:val="none" w:sz="0" w:space="0" w:color="auto"/>
            <w:right w:val="none" w:sz="0" w:space="0" w:color="auto"/>
          </w:divBdr>
          <w:divsChild>
            <w:div w:id="513812631">
              <w:marLeft w:val="0"/>
              <w:marRight w:val="0"/>
              <w:marTop w:val="0"/>
              <w:marBottom w:val="0"/>
              <w:divBdr>
                <w:top w:val="none" w:sz="0" w:space="0" w:color="auto"/>
                <w:left w:val="none" w:sz="0" w:space="0" w:color="auto"/>
                <w:bottom w:val="none" w:sz="0" w:space="0" w:color="auto"/>
                <w:right w:val="none" w:sz="0" w:space="0" w:color="auto"/>
              </w:divBdr>
            </w:div>
          </w:divsChild>
        </w:div>
        <w:div w:id="842622433">
          <w:marLeft w:val="0"/>
          <w:marRight w:val="0"/>
          <w:marTop w:val="0"/>
          <w:marBottom w:val="0"/>
          <w:divBdr>
            <w:top w:val="none" w:sz="0" w:space="0" w:color="auto"/>
            <w:left w:val="none" w:sz="0" w:space="0" w:color="auto"/>
            <w:bottom w:val="none" w:sz="0" w:space="0" w:color="auto"/>
            <w:right w:val="none" w:sz="0" w:space="0" w:color="auto"/>
          </w:divBdr>
          <w:divsChild>
            <w:div w:id="81419242">
              <w:marLeft w:val="0"/>
              <w:marRight w:val="0"/>
              <w:marTop w:val="0"/>
              <w:marBottom w:val="0"/>
              <w:divBdr>
                <w:top w:val="none" w:sz="0" w:space="0" w:color="auto"/>
                <w:left w:val="none" w:sz="0" w:space="0" w:color="auto"/>
                <w:bottom w:val="none" w:sz="0" w:space="0" w:color="auto"/>
                <w:right w:val="none" w:sz="0" w:space="0" w:color="auto"/>
              </w:divBdr>
            </w:div>
          </w:divsChild>
        </w:div>
        <w:div w:id="847478540">
          <w:marLeft w:val="0"/>
          <w:marRight w:val="0"/>
          <w:marTop w:val="0"/>
          <w:marBottom w:val="0"/>
          <w:divBdr>
            <w:top w:val="none" w:sz="0" w:space="0" w:color="auto"/>
            <w:left w:val="none" w:sz="0" w:space="0" w:color="auto"/>
            <w:bottom w:val="none" w:sz="0" w:space="0" w:color="auto"/>
            <w:right w:val="none" w:sz="0" w:space="0" w:color="auto"/>
          </w:divBdr>
          <w:divsChild>
            <w:div w:id="1665283214">
              <w:marLeft w:val="0"/>
              <w:marRight w:val="0"/>
              <w:marTop w:val="0"/>
              <w:marBottom w:val="0"/>
              <w:divBdr>
                <w:top w:val="none" w:sz="0" w:space="0" w:color="auto"/>
                <w:left w:val="none" w:sz="0" w:space="0" w:color="auto"/>
                <w:bottom w:val="none" w:sz="0" w:space="0" w:color="auto"/>
                <w:right w:val="none" w:sz="0" w:space="0" w:color="auto"/>
              </w:divBdr>
            </w:div>
          </w:divsChild>
        </w:div>
        <w:div w:id="858201109">
          <w:marLeft w:val="0"/>
          <w:marRight w:val="0"/>
          <w:marTop w:val="0"/>
          <w:marBottom w:val="0"/>
          <w:divBdr>
            <w:top w:val="none" w:sz="0" w:space="0" w:color="auto"/>
            <w:left w:val="none" w:sz="0" w:space="0" w:color="auto"/>
            <w:bottom w:val="none" w:sz="0" w:space="0" w:color="auto"/>
            <w:right w:val="none" w:sz="0" w:space="0" w:color="auto"/>
          </w:divBdr>
          <w:divsChild>
            <w:div w:id="1373338460">
              <w:marLeft w:val="0"/>
              <w:marRight w:val="0"/>
              <w:marTop w:val="0"/>
              <w:marBottom w:val="0"/>
              <w:divBdr>
                <w:top w:val="none" w:sz="0" w:space="0" w:color="auto"/>
                <w:left w:val="none" w:sz="0" w:space="0" w:color="auto"/>
                <w:bottom w:val="none" w:sz="0" w:space="0" w:color="auto"/>
                <w:right w:val="none" w:sz="0" w:space="0" w:color="auto"/>
              </w:divBdr>
            </w:div>
          </w:divsChild>
        </w:div>
        <w:div w:id="859202471">
          <w:marLeft w:val="0"/>
          <w:marRight w:val="0"/>
          <w:marTop w:val="0"/>
          <w:marBottom w:val="0"/>
          <w:divBdr>
            <w:top w:val="none" w:sz="0" w:space="0" w:color="auto"/>
            <w:left w:val="none" w:sz="0" w:space="0" w:color="auto"/>
            <w:bottom w:val="none" w:sz="0" w:space="0" w:color="auto"/>
            <w:right w:val="none" w:sz="0" w:space="0" w:color="auto"/>
          </w:divBdr>
          <w:divsChild>
            <w:div w:id="1738937810">
              <w:marLeft w:val="0"/>
              <w:marRight w:val="0"/>
              <w:marTop w:val="0"/>
              <w:marBottom w:val="0"/>
              <w:divBdr>
                <w:top w:val="none" w:sz="0" w:space="0" w:color="auto"/>
                <w:left w:val="none" w:sz="0" w:space="0" w:color="auto"/>
                <w:bottom w:val="none" w:sz="0" w:space="0" w:color="auto"/>
                <w:right w:val="none" w:sz="0" w:space="0" w:color="auto"/>
              </w:divBdr>
            </w:div>
          </w:divsChild>
        </w:div>
        <w:div w:id="867986066">
          <w:marLeft w:val="0"/>
          <w:marRight w:val="0"/>
          <w:marTop w:val="0"/>
          <w:marBottom w:val="0"/>
          <w:divBdr>
            <w:top w:val="none" w:sz="0" w:space="0" w:color="auto"/>
            <w:left w:val="none" w:sz="0" w:space="0" w:color="auto"/>
            <w:bottom w:val="none" w:sz="0" w:space="0" w:color="auto"/>
            <w:right w:val="none" w:sz="0" w:space="0" w:color="auto"/>
          </w:divBdr>
          <w:divsChild>
            <w:div w:id="1184707285">
              <w:marLeft w:val="0"/>
              <w:marRight w:val="0"/>
              <w:marTop w:val="0"/>
              <w:marBottom w:val="0"/>
              <w:divBdr>
                <w:top w:val="none" w:sz="0" w:space="0" w:color="auto"/>
                <w:left w:val="none" w:sz="0" w:space="0" w:color="auto"/>
                <w:bottom w:val="none" w:sz="0" w:space="0" w:color="auto"/>
                <w:right w:val="none" w:sz="0" w:space="0" w:color="auto"/>
              </w:divBdr>
            </w:div>
          </w:divsChild>
        </w:div>
        <w:div w:id="889456117">
          <w:marLeft w:val="0"/>
          <w:marRight w:val="0"/>
          <w:marTop w:val="0"/>
          <w:marBottom w:val="0"/>
          <w:divBdr>
            <w:top w:val="none" w:sz="0" w:space="0" w:color="auto"/>
            <w:left w:val="none" w:sz="0" w:space="0" w:color="auto"/>
            <w:bottom w:val="none" w:sz="0" w:space="0" w:color="auto"/>
            <w:right w:val="none" w:sz="0" w:space="0" w:color="auto"/>
          </w:divBdr>
          <w:divsChild>
            <w:div w:id="1864594104">
              <w:marLeft w:val="0"/>
              <w:marRight w:val="0"/>
              <w:marTop w:val="0"/>
              <w:marBottom w:val="0"/>
              <w:divBdr>
                <w:top w:val="none" w:sz="0" w:space="0" w:color="auto"/>
                <w:left w:val="none" w:sz="0" w:space="0" w:color="auto"/>
                <w:bottom w:val="none" w:sz="0" w:space="0" w:color="auto"/>
                <w:right w:val="none" w:sz="0" w:space="0" w:color="auto"/>
              </w:divBdr>
            </w:div>
          </w:divsChild>
        </w:div>
        <w:div w:id="889921433">
          <w:marLeft w:val="0"/>
          <w:marRight w:val="0"/>
          <w:marTop w:val="0"/>
          <w:marBottom w:val="0"/>
          <w:divBdr>
            <w:top w:val="none" w:sz="0" w:space="0" w:color="auto"/>
            <w:left w:val="none" w:sz="0" w:space="0" w:color="auto"/>
            <w:bottom w:val="none" w:sz="0" w:space="0" w:color="auto"/>
            <w:right w:val="none" w:sz="0" w:space="0" w:color="auto"/>
          </w:divBdr>
          <w:divsChild>
            <w:div w:id="1840190720">
              <w:marLeft w:val="0"/>
              <w:marRight w:val="0"/>
              <w:marTop w:val="0"/>
              <w:marBottom w:val="0"/>
              <w:divBdr>
                <w:top w:val="none" w:sz="0" w:space="0" w:color="auto"/>
                <w:left w:val="none" w:sz="0" w:space="0" w:color="auto"/>
                <w:bottom w:val="none" w:sz="0" w:space="0" w:color="auto"/>
                <w:right w:val="none" w:sz="0" w:space="0" w:color="auto"/>
              </w:divBdr>
            </w:div>
          </w:divsChild>
        </w:div>
        <w:div w:id="895824819">
          <w:marLeft w:val="0"/>
          <w:marRight w:val="0"/>
          <w:marTop w:val="0"/>
          <w:marBottom w:val="0"/>
          <w:divBdr>
            <w:top w:val="none" w:sz="0" w:space="0" w:color="auto"/>
            <w:left w:val="none" w:sz="0" w:space="0" w:color="auto"/>
            <w:bottom w:val="none" w:sz="0" w:space="0" w:color="auto"/>
            <w:right w:val="none" w:sz="0" w:space="0" w:color="auto"/>
          </w:divBdr>
          <w:divsChild>
            <w:div w:id="289409006">
              <w:marLeft w:val="0"/>
              <w:marRight w:val="0"/>
              <w:marTop w:val="0"/>
              <w:marBottom w:val="0"/>
              <w:divBdr>
                <w:top w:val="none" w:sz="0" w:space="0" w:color="auto"/>
                <w:left w:val="none" w:sz="0" w:space="0" w:color="auto"/>
                <w:bottom w:val="none" w:sz="0" w:space="0" w:color="auto"/>
                <w:right w:val="none" w:sz="0" w:space="0" w:color="auto"/>
              </w:divBdr>
            </w:div>
          </w:divsChild>
        </w:div>
        <w:div w:id="896356637">
          <w:marLeft w:val="0"/>
          <w:marRight w:val="0"/>
          <w:marTop w:val="0"/>
          <w:marBottom w:val="0"/>
          <w:divBdr>
            <w:top w:val="none" w:sz="0" w:space="0" w:color="auto"/>
            <w:left w:val="none" w:sz="0" w:space="0" w:color="auto"/>
            <w:bottom w:val="none" w:sz="0" w:space="0" w:color="auto"/>
            <w:right w:val="none" w:sz="0" w:space="0" w:color="auto"/>
          </w:divBdr>
          <w:divsChild>
            <w:div w:id="1462698169">
              <w:marLeft w:val="0"/>
              <w:marRight w:val="0"/>
              <w:marTop w:val="0"/>
              <w:marBottom w:val="0"/>
              <w:divBdr>
                <w:top w:val="none" w:sz="0" w:space="0" w:color="auto"/>
                <w:left w:val="none" w:sz="0" w:space="0" w:color="auto"/>
                <w:bottom w:val="none" w:sz="0" w:space="0" w:color="auto"/>
                <w:right w:val="none" w:sz="0" w:space="0" w:color="auto"/>
              </w:divBdr>
            </w:div>
          </w:divsChild>
        </w:div>
        <w:div w:id="901788982">
          <w:marLeft w:val="0"/>
          <w:marRight w:val="0"/>
          <w:marTop w:val="0"/>
          <w:marBottom w:val="0"/>
          <w:divBdr>
            <w:top w:val="none" w:sz="0" w:space="0" w:color="auto"/>
            <w:left w:val="none" w:sz="0" w:space="0" w:color="auto"/>
            <w:bottom w:val="none" w:sz="0" w:space="0" w:color="auto"/>
            <w:right w:val="none" w:sz="0" w:space="0" w:color="auto"/>
          </w:divBdr>
          <w:divsChild>
            <w:div w:id="477840397">
              <w:marLeft w:val="0"/>
              <w:marRight w:val="0"/>
              <w:marTop w:val="0"/>
              <w:marBottom w:val="0"/>
              <w:divBdr>
                <w:top w:val="none" w:sz="0" w:space="0" w:color="auto"/>
                <w:left w:val="none" w:sz="0" w:space="0" w:color="auto"/>
                <w:bottom w:val="none" w:sz="0" w:space="0" w:color="auto"/>
                <w:right w:val="none" w:sz="0" w:space="0" w:color="auto"/>
              </w:divBdr>
            </w:div>
          </w:divsChild>
        </w:div>
        <w:div w:id="904030841">
          <w:marLeft w:val="0"/>
          <w:marRight w:val="0"/>
          <w:marTop w:val="0"/>
          <w:marBottom w:val="0"/>
          <w:divBdr>
            <w:top w:val="none" w:sz="0" w:space="0" w:color="auto"/>
            <w:left w:val="none" w:sz="0" w:space="0" w:color="auto"/>
            <w:bottom w:val="none" w:sz="0" w:space="0" w:color="auto"/>
            <w:right w:val="none" w:sz="0" w:space="0" w:color="auto"/>
          </w:divBdr>
          <w:divsChild>
            <w:div w:id="234316708">
              <w:marLeft w:val="0"/>
              <w:marRight w:val="0"/>
              <w:marTop w:val="0"/>
              <w:marBottom w:val="0"/>
              <w:divBdr>
                <w:top w:val="none" w:sz="0" w:space="0" w:color="auto"/>
                <w:left w:val="none" w:sz="0" w:space="0" w:color="auto"/>
                <w:bottom w:val="none" w:sz="0" w:space="0" w:color="auto"/>
                <w:right w:val="none" w:sz="0" w:space="0" w:color="auto"/>
              </w:divBdr>
            </w:div>
          </w:divsChild>
        </w:div>
        <w:div w:id="918179535">
          <w:marLeft w:val="0"/>
          <w:marRight w:val="0"/>
          <w:marTop w:val="0"/>
          <w:marBottom w:val="0"/>
          <w:divBdr>
            <w:top w:val="none" w:sz="0" w:space="0" w:color="auto"/>
            <w:left w:val="none" w:sz="0" w:space="0" w:color="auto"/>
            <w:bottom w:val="none" w:sz="0" w:space="0" w:color="auto"/>
            <w:right w:val="none" w:sz="0" w:space="0" w:color="auto"/>
          </w:divBdr>
          <w:divsChild>
            <w:div w:id="32654826">
              <w:marLeft w:val="0"/>
              <w:marRight w:val="0"/>
              <w:marTop w:val="0"/>
              <w:marBottom w:val="0"/>
              <w:divBdr>
                <w:top w:val="none" w:sz="0" w:space="0" w:color="auto"/>
                <w:left w:val="none" w:sz="0" w:space="0" w:color="auto"/>
                <w:bottom w:val="none" w:sz="0" w:space="0" w:color="auto"/>
                <w:right w:val="none" w:sz="0" w:space="0" w:color="auto"/>
              </w:divBdr>
            </w:div>
          </w:divsChild>
        </w:div>
        <w:div w:id="921648619">
          <w:marLeft w:val="0"/>
          <w:marRight w:val="0"/>
          <w:marTop w:val="0"/>
          <w:marBottom w:val="0"/>
          <w:divBdr>
            <w:top w:val="none" w:sz="0" w:space="0" w:color="auto"/>
            <w:left w:val="none" w:sz="0" w:space="0" w:color="auto"/>
            <w:bottom w:val="none" w:sz="0" w:space="0" w:color="auto"/>
            <w:right w:val="none" w:sz="0" w:space="0" w:color="auto"/>
          </w:divBdr>
          <w:divsChild>
            <w:div w:id="2115469185">
              <w:marLeft w:val="0"/>
              <w:marRight w:val="0"/>
              <w:marTop w:val="0"/>
              <w:marBottom w:val="0"/>
              <w:divBdr>
                <w:top w:val="none" w:sz="0" w:space="0" w:color="auto"/>
                <w:left w:val="none" w:sz="0" w:space="0" w:color="auto"/>
                <w:bottom w:val="none" w:sz="0" w:space="0" w:color="auto"/>
                <w:right w:val="none" w:sz="0" w:space="0" w:color="auto"/>
              </w:divBdr>
            </w:div>
          </w:divsChild>
        </w:div>
        <w:div w:id="933249204">
          <w:marLeft w:val="0"/>
          <w:marRight w:val="0"/>
          <w:marTop w:val="0"/>
          <w:marBottom w:val="0"/>
          <w:divBdr>
            <w:top w:val="none" w:sz="0" w:space="0" w:color="auto"/>
            <w:left w:val="none" w:sz="0" w:space="0" w:color="auto"/>
            <w:bottom w:val="none" w:sz="0" w:space="0" w:color="auto"/>
            <w:right w:val="none" w:sz="0" w:space="0" w:color="auto"/>
          </w:divBdr>
          <w:divsChild>
            <w:div w:id="2003503216">
              <w:marLeft w:val="0"/>
              <w:marRight w:val="0"/>
              <w:marTop w:val="0"/>
              <w:marBottom w:val="0"/>
              <w:divBdr>
                <w:top w:val="none" w:sz="0" w:space="0" w:color="auto"/>
                <w:left w:val="none" w:sz="0" w:space="0" w:color="auto"/>
                <w:bottom w:val="none" w:sz="0" w:space="0" w:color="auto"/>
                <w:right w:val="none" w:sz="0" w:space="0" w:color="auto"/>
              </w:divBdr>
            </w:div>
          </w:divsChild>
        </w:div>
        <w:div w:id="934746784">
          <w:marLeft w:val="0"/>
          <w:marRight w:val="0"/>
          <w:marTop w:val="0"/>
          <w:marBottom w:val="0"/>
          <w:divBdr>
            <w:top w:val="none" w:sz="0" w:space="0" w:color="auto"/>
            <w:left w:val="none" w:sz="0" w:space="0" w:color="auto"/>
            <w:bottom w:val="none" w:sz="0" w:space="0" w:color="auto"/>
            <w:right w:val="none" w:sz="0" w:space="0" w:color="auto"/>
          </w:divBdr>
          <w:divsChild>
            <w:div w:id="1861115852">
              <w:marLeft w:val="0"/>
              <w:marRight w:val="0"/>
              <w:marTop w:val="0"/>
              <w:marBottom w:val="0"/>
              <w:divBdr>
                <w:top w:val="none" w:sz="0" w:space="0" w:color="auto"/>
                <w:left w:val="none" w:sz="0" w:space="0" w:color="auto"/>
                <w:bottom w:val="none" w:sz="0" w:space="0" w:color="auto"/>
                <w:right w:val="none" w:sz="0" w:space="0" w:color="auto"/>
              </w:divBdr>
            </w:div>
          </w:divsChild>
        </w:div>
        <w:div w:id="955865751">
          <w:marLeft w:val="0"/>
          <w:marRight w:val="0"/>
          <w:marTop w:val="0"/>
          <w:marBottom w:val="0"/>
          <w:divBdr>
            <w:top w:val="none" w:sz="0" w:space="0" w:color="auto"/>
            <w:left w:val="none" w:sz="0" w:space="0" w:color="auto"/>
            <w:bottom w:val="none" w:sz="0" w:space="0" w:color="auto"/>
            <w:right w:val="none" w:sz="0" w:space="0" w:color="auto"/>
          </w:divBdr>
          <w:divsChild>
            <w:div w:id="795608646">
              <w:marLeft w:val="0"/>
              <w:marRight w:val="0"/>
              <w:marTop w:val="0"/>
              <w:marBottom w:val="0"/>
              <w:divBdr>
                <w:top w:val="none" w:sz="0" w:space="0" w:color="auto"/>
                <w:left w:val="none" w:sz="0" w:space="0" w:color="auto"/>
                <w:bottom w:val="none" w:sz="0" w:space="0" w:color="auto"/>
                <w:right w:val="none" w:sz="0" w:space="0" w:color="auto"/>
              </w:divBdr>
            </w:div>
          </w:divsChild>
        </w:div>
        <w:div w:id="975724930">
          <w:marLeft w:val="0"/>
          <w:marRight w:val="0"/>
          <w:marTop w:val="0"/>
          <w:marBottom w:val="0"/>
          <w:divBdr>
            <w:top w:val="none" w:sz="0" w:space="0" w:color="auto"/>
            <w:left w:val="none" w:sz="0" w:space="0" w:color="auto"/>
            <w:bottom w:val="none" w:sz="0" w:space="0" w:color="auto"/>
            <w:right w:val="none" w:sz="0" w:space="0" w:color="auto"/>
          </w:divBdr>
          <w:divsChild>
            <w:div w:id="1716079793">
              <w:marLeft w:val="0"/>
              <w:marRight w:val="0"/>
              <w:marTop w:val="0"/>
              <w:marBottom w:val="0"/>
              <w:divBdr>
                <w:top w:val="none" w:sz="0" w:space="0" w:color="auto"/>
                <w:left w:val="none" w:sz="0" w:space="0" w:color="auto"/>
                <w:bottom w:val="none" w:sz="0" w:space="0" w:color="auto"/>
                <w:right w:val="none" w:sz="0" w:space="0" w:color="auto"/>
              </w:divBdr>
            </w:div>
          </w:divsChild>
        </w:div>
        <w:div w:id="976227520">
          <w:marLeft w:val="0"/>
          <w:marRight w:val="0"/>
          <w:marTop w:val="0"/>
          <w:marBottom w:val="0"/>
          <w:divBdr>
            <w:top w:val="none" w:sz="0" w:space="0" w:color="auto"/>
            <w:left w:val="none" w:sz="0" w:space="0" w:color="auto"/>
            <w:bottom w:val="none" w:sz="0" w:space="0" w:color="auto"/>
            <w:right w:val="none" w:sz="0" w:space="0" w:color="auto"/>
          </w:divBdr>
          <w:divsChild>
            <w:div w:id="1995185606">
              <w:marLeft w:val="0"/>
              <w:marRight w:val="0"/>
              <w:marTop w:val="0"/>
              <w:marBottom w:val="0"/>
              <w:divBdr>
                <w:top w:val="none" w:sz="0" w:space="0" w:color="auto"/>
                <w:left w:val="none" w:sz="0" w:space="0" w:color="auto"/>
                <w:bottom w:val="none" w:sz="0" w:space="0" w:color="auto"/>
                <w:right w:val="none" w:sz="0" w:space="0" w:color="auto"/>
              </w:divBdr>
            </w:div>
          </w:divsChild>
        </w:div>
        <w:div w:id="993145074">
          <w:marLeft w:val="0"/>
          <w:marRight w:val="0"/>
          <w:marTop w:val="0"/>
          <w:marBottom w:val="0"/>
          <w:divBdr>
            <w:top w:val="none" w:sz="0" w:space="0" w:color="auto"/>
            <w:left w:val="none" w:sz="0" w:space="0" w:color="auto"/>
            <w:bottom w:val="none" w:sz="0" w:space="0" w:color="auto"/>
            <w:right w:val="none" w:sz="0" w:space="0" w:color="auto"/>
          </w:divBdr>
          <w:divsChild>
            <w:div w:id="2104644465">
              <w:marLeft w:val="0"/>
              <w:marRight w:val="0"/>
              <w:marTop w:val="0"/>
              <w:marBottom w:val="0"/>
              <w:divBdr>
                <w:top w:val="none" w:sz="0" w:space="0" w:color="auto"/>
                <w:left w:val="none" w:sz="0" w:space="0" w:color="auto"/>
                <w:bottom w:val="none" w:sz="0" w:space="0" w:color="auto"/>
                <w:right w:val="none" w:sz="0" w:space="0" w:color="auto"/>
              </w:divBdr>
            </w:div>
          </w:divsChild>
        </w:div>
        <w:div w:id="1001201383">
          <w:marLeft w:val="0"/>
          <w:marRight w:val="0"/>
          <w:marTop w:val="0"/>
          <w:marBottom w:val="0"/>
          <w:divBdr>
            <w:top w:val="none" w:sz="0" w:space="0" w:color="auto"/>
            <w:left w:val="none" w:sz="0" w:space="0" w:color="auto"/>
            <w:bottom w:val="none" w:sz="0" w:space="0" w:color="auto"/>
            <w:right w:val="none" w:sz="0" w:space="0" w:color="auto"/>
          </w:divBdr>
          <w:divsChild>
            <w:div w:id="2007710862">
              <w:marLeft w:val="0"/>
              <w:marRight w:val="0"/>
              <w:marTop w:val="0"/>
              <w:marBottom w:val="0"/>
              <w:divBdr>
                <w:top w:val="none" w:sz="0" w:space="0" w:color="auto"/>
                <w:left w:val="none" w:sz="0" w:space="0" w:color="auto"/>
                <w:bottom w:val="none" w:sz="0" w:space="0" w:color="auto"/>
                <w:right w:val="none" w:sz="0" w:space="0" w:color="auto"/>
              </w:divBdr>
            </w:div>
          </w:divsChild>
        </w:div>
        <w:div w:id="1023168160">
          <w:marLeft w:val="0"/>
          <w:marRight w:val="0"/>
          <w:marTop w:val="0"/>
          <w:marBottom w:val="0"/>
          <w:divBdr>
            <w:top w:val="none" w:sz="0" w:space="0" w:color="auto"/>
            <w:left w:val="none" w:sz="0" w:space="0" w:color="auto"/>
            <w:bottom w:val="none" w:sz="0" w:space="0" w:color="auto"/>
            <w:right w:val="none" w:sz="0" w:space="0" w:color="auto"/>
          </w:divBdr>
          <w:divsChild>
            <w:div w:id="172691452">
              <w:marLeft w:val="0"/>
              <w:marRight w:val="0"/>
              <w:marTop w:val="0"/>
              <w:marBottom w:val="0"/>
              <w:divBdr>
                <w:top w:val="none" w:sz="0" w:space="0" w:color="auto"/>
                <w:left w:val="none" w:sz="0" w:space="0" w:color="auto"/>
                <w:bottom w:val="none" w:sz="0" w:space="0" w:color="auto"/>
                <w:right w:val="none" w:sz="0" w:space="0" w:color="auto"/>
              </w:divBdr>
            </w:div>
          </w:divsChild>
        </w:div>
        <w:div w:id="1023751919">
          <w:marLeft w:val="0"/>
          <w:marRight w:val="0"/>
          <w:marTop w:val="0"/>
          <w:marBottom w:val="0"/>
          <w:divBdr>
            <w:top w:val="none" w:sz="0" w:space="0" w:color="auto"/>
            <w:left w:val="none" w:sz="0" w:space="0" w:color="auto"/>
            <w:bottom w:val="none" w:sz="0" w:space="0" w:color="auto"/>
            <w:right w:val="none" w:sz="0" w:space="0" w:color="auto"/>
          </w:divBdr>
          <w:divsChild>
            <w:div w:id="116144414">
              <w:marLeft w:val="0"/>
              <w:marRight w:val="0"/>
              <w:marTop w:val="0"/>
              <w:marBottom w:val="0"/>
              <w:divBdr>
                <w:top w:val="none" w:sz="0" w:space="0" w:color="auto"/>
                <w:left w:val="none" w:sz="0" w:space="0" w:color="auto"/>
                <w:bottom w:val="none" w:sz="0" w:space="0" w:color="auto"/>
                <w:right w:val="none" w:sz="0" w:space="0" w:color="auto"/>
              </w:divBdr>
            </w:div>
          </w:divsChild>
        </w:div>
        <w:div w:id="1031806372">
          <w:marLeft w:val="0"/>
          <w:marRight w:val="0"/>
          <w:marTop w:val="0"/>
          <w:marBottom w:val="0"/>
          <w:divBdr>
            <w:top w:val="none" w:sz="0" w:space="0" w:color="auto"/>
            <w:left w:val="none" w:sz="0" w:space="0" w:color="auto"/>
            <w:bottom w:val="none" w:sz="0" w:space="0" w:color="auto"/>
            <w:right w:val="none" w:sz="0" w:space="0" w:color="auto"/>
          </w:divBdr>
          <w:divsChild>
            <w:div w:id="565460918">
              <w:marLeft w:val="0"/>
              <w:marRight w:val="0"/>
              <w:marTop w:val="0"/>
              <w:marBottom w:val="0"/>
              <w:divBdr>
                <w:top w:val="none" w:sz="0" w:space="0" w:color="auto"/>
                <w:left w:val="none" w:sz="0" w:space="0" w:color="auto"/>
                <w:bottom w:val="none" w:sz="0" w:space="0" w:color="auto"/>
                <w:right w:val="none" w:sz="0" w:space="0" w:color="auto"/>
              </w:divBdr>
            </w:div>
          </w:divsChild>
        </w:div>
        <w:div w:id="1032147063">
          <w:marLeft w:val="0"/>
          <w:marRight w:val="0"/>
          <w:marTop w:val="0"/>
          <w:marBottom w:val="0"/>
          <w:divBdr>
            <w:top w:val="none" w:sz="0" w:space="0" w:color="auto"/>
            <w:left w:val="none" w:sz="0" w:space="0" w:color="auto"/>
            <w:bottom w:val="none" w:sz="0" w:space="0" w:color="auto"/>
            <w:right w:val="none" w:sz="0" w:space="0" w:color="auto"/>
          </w:divBdr>
          <w:divsChild>
            <w:div w:id="253516404">
              <w:marLeft w:val="0"/>
              <w:marRight w:val="0"/>
              <w:marTop w:val="0"/>
              <w:marBottom w:val="0"/>
              <w:divBdr>
                <w:top w:val="none" w:sz="0" w:space="0" w:color="auto"/>
                <w:left w:val="none" w:sz="0" w:space="0" w:color="auto"/>
                <w:bottom w:val="none" w:sz="0" w:space="0" w:color="auto"/>
                <w:right w:val="none" w:sz="0" w:space="0" w:color="auto"/>
              </w:divBdr>
            </w:div>
          </w:divsChild>
        </w:div>
        <w:div w:id="1035038052">
          <w:marLeft w:val="0"/>
          <w:marRight w:val="0"/>
          <w:marTop w:val="0"/>
          <w:marBottom w:val="0"/>
          <w:divBdr>
            <w:top w:val="none" w:sz="0" w:space="0" w:color="auto"/>
            <w:left w:val="none" w:sz="0" w:space="0" w:color="auto"/>
            <w:bottom w:val="none" w:sz="0" w:space="0" w:color="auto"/>
            <w:right w:val="none" w:sz="0" w:space="0" w:color="auto"/>
          </w:divBdr>
          <w:divsChild>
            <w:div w:id="1023747830">
              <w:marLeft w:val="0"/>
              <w:marRight w:val="0"/>
              <w:marTop w:val="0"/>
              <w:marBottom w:val="0"/>
              <w:divBdr>
                <w:top w:val="none" w:sz="0" w:space="0" w:color="auto"/>
                <w:left w:val="none" w:sz="0" w:space="0" w:color="auto"/>
                <w:bottom w:val="none" w:sz="0" w:space="0" w:color="auto"/>
                <w:right w:val="none" w:sz="0" w:space="0" w:color="auto"/>
              </w:divBdr>
            </w:div>
          </w:divsChild>
        </w:div>
        <w:div w:id="1039818503">
          <w:marLeft w:val="0"/>
          <w:marRight w:val="0"/>
          <w:marTop w:val="0"/>
          <w:marBottom w:val="0"/>
          <w:divBdr>
            <w:top w:val="none" w:sz="0" w:space="0" w:color="auto"/>
            <w:left w:val="none" w:sz="0" w:space="0" w:color="auto"/>
            <w:bottom w:val="none" w:sz="0" w:space="0" w:color="auto"/>
            <w:right w:val="none" w:sz="0" w:space="0" w:color="auto"/>
          </w:divBdr>
          <w:divsChild>
            <w:div w:id="509372004">
              <w:marLeft w:val="0"/>
              <w:marRight w:val="0"/>
              <w:marTop w:val="0"/>
              <w:marBottom w:val="0"/>
              <w:divBdr>
                <w:top w:val="none" w:sz="0" w:space="0" w:color="auto"/>
                <w:left w:val="none" w:sz="0" w:space="0" w:color="auto"/>
                <w:bottom w:val="none" w:sz="0" w:space="0" w:color="auto"/>
                <w:right w:val="none" w:sz="0" w:space="0" w:color="auto"/>
              </w:divBdr>
            </w:div>
          </w:divsChild>
        </w:div>
        <w:div w:id="1053890565">
          <w:marLeft w:val="0"/>
          <w:marRight w:val="0"/>
          <w:marTop w:val="0"/>
          <w:marBottom w:val="0"/>
          <w:divBdr>
            <w:top w:val="none" w:sz="0" w:space="0" w:color="auto"/>
            <w:left w:val="none" w:sz="0" w:space="0" w:color="auto"/>
            <w:bottom w:val="none" w:sz="0" w:space="0" w:color="auto"/>
            <w:right w:val="none" w:sz="0" w:space="0" w:color="auto"/>
          </w:divBdr>
          <w:divsChild>
            <w:div w:id="481390778">
              <w:marLeft w:val="0"/>
              <w:marRight w:val="0"/>
              <w:marTop w:val="0"/>
              <w:marBottom w:val="0"/>
              <w:divBdr>
                <w:top w:val="none" w:sz="0" w:space="0" w:color="auto"/>
                <w:left w:val="none" w:sz="0" w:space="0" w:color="auto"/>
                <w:bottom w:val="none" w:sz="0" w:space="0" w:color="auto"/>
                <w:right w:val="none" w:sz="0" w:space="0" w:color="auto"/>
              </w:divBdr>
            </w:div>
          </w:divsChild>
        </w:div>
        <w:div w:id="1063404063">
          <w:marLeft w:val="0"/>
          <w:marRight w:val="0"/>
          <w:marTop w:val="0"/>
          <w:marBottom w:val="0"/>
          <w:divBdr>
            <w:top w:val="none" w:sz="0" w:space="0" w:color="auto"/>
            <w:left w:val="none" w:sz="0" w:space="0" w:color="auto"/>
            <w:bottom w:val="none" w:sz="0" w:space="0" w:color="auto"/>
            <w:right w:val="none" w:sz="0" w:space="0" w:color="auto"/>
          </w:divBdr>
          <w:divsChild>
            <w:div w:id="1848326707">
              <w:marLeft w:val="0"/>
              <w:marRight w:val="0"/>
              <w:marTop w:val="0"/>
              <w:marBottom w:val="0"/>
              <w:divBdr>
                <w:top w:val="none" w:sz="0" w:space="0" w:color="auto"/>
                <w:left w:val="none" w:sz="0" w:space="0" w:color="auto"/>
                <w:bottom w:val="none" w:sz="0" w:space="0" w:color="auto"/>
                <w:right w:val="none" w:sz="0" w:space="0" w:color="auto"/>
              </w:divBdr>
            </w:div>
          </w:divsChild>
        </w:div>
        <w:div w:id="1073890494">
          <w:marLeft w:val="0"/>
          <w:marRight w:val="0"/>
          <w:marTop w:val="0"/>
          <w:marBottom w:val="0"/>
          <w:divBdr>
            <w:top w:val="none" w:sz="0" w:space="0" w:color="auto"/>
            <w:left w:val="none" w:sz="0" w:space="0" w:color="auto"/>
            <w:bottom w:val="none" w:sz="0" w:space="0" w:color="auto"/>
            <w:right w:val="none" w:sz="0" w:space="0" w:color="auto"/>
          </w:divBdr>
          <w:divsChild>
            <w:div w:id="240992145">
              <w:marLeft w:val="0"/>
              <w:marRight w:val="0"/>
              <w:marTop w:val="0"/>
              <w:marBottom w:val="0"/>
              <w:divBdr>
                <w:top w:val="none" w:sz="0" w:space="0" w:color="auto"/>
                <w:left w:val="none" w:sz="0" w:space="0" w:color="auto"/>
                <w:bottom w:val="none" w:sz="0" w:space="0" w:color="auto"/>
                <w:right w:val="none" w:sz="0" w:space="0" w:color="auto"/>
              </w:divBdr>
            </w:div>
          </w:divsChild>
        </w:div>
        <w:div w:id="1075123419">
          <w:marLeft w:val="0"/>
          <w:marRight w:val="0"/>
          <w:marTop w:val="0"/>
          <w:marBottom w:val="0"/>
          <w:divBdr>
            <w:top w:val="none" w:sz="0" w:space="0" w:color="auto"/>
            <w:left w:val="none" w:sz="0" w:space="0" w:color="auto"/>
            <w:bottom w:val="none" w:sz="0" w:space="0" w:color="auto"/>
            <w:right w:val="none" w:sz="0" w:space="0" w:color="auto"/>
          </w:divBdr>
          <w:divsChild>
            <w:div w:id="1516531868">
              <w:marLeft w:val="0"/>
              <w:marRight w:val="0"/>
              <w:marTop w:val="0"/>
              <w:marBottom w:val="0"/>
              <w:divBdr>
                <w:top w:val="none" w:sz="0" w:space="0" w:color="auto"/>
                <w:left w:val="none" w:sz="0" w:space="0" w:color="auto"/>
                <w:bottom w:val="none" w:sz="0" w:space="0" w:color="auto"/>
                <w:right w:val="none" w:sz="0" w:space="0" w:color="auto"/>
              </w:divBdr>
            </w:div>
          </w:divsChild>
        </w:div>
        <w:div w:id="1097288497">
          <w:marLeft w:val="0"/>
          <w:marRight w:val="0"/>
          <w:marTop w:val="0"/>
          <w:marBottom w:val="0"/>
          <w:divBdr>
            <w:top w:val="none" w:sz="0" w:space="0" w:color="auto"/>
            <w:left w:val="none" w:sz="0" w:space="0" w:color="auto"/>
            <w:bottom w:val="none" w:sz="0" w:space="0" w:color="auto"/>
            <w:right w:val="none" w:sz="0" w:space="0" w:color="auto"/>
          </w:divBdr>
          <w:divsChild>
            <w:div w:id="896432028">
              <w:marLeft w:val="0"/>
              <w:marRight w:val="0"/>
              <w:marTop w:val="0"/>
              <w:marBottom w:val="0"/>
              <w:divBdr>
                <w:top w:val="none" w:sz="0" w:space="0" w:color="auto"/>
                <w:left w:val="none" w:sz="0" w:space="0" w:color="auto"/>
                <w:bottom w:val="none" w:sz="0" w:space="0" w:color="auto"/>
                <w:right w:val="none" w:sz="0" w:space="0" w:color="auto"/>
              </w:divBdr>
            </w:div>
          </w:divsChild>
        </w:div>
        <w:div w:id="1103303277">
          <w:marLeft w:val="0"/>
          <w:marRight w:val="0"/>
          <w:marTop w:val="0"/>
          <w:marBottom w:val="0"/>
          <w:divBdr>
            <w:top w:val="none" w:sz="0" w:space="0" w:color="auto"/>
            <w:left w:val="none" w:sz="0" w:space="0" w:color="auto"/>
            <w:bottom w:val="none" w:sz="0" w:space="0" w:color="auto"/>
            <w:right w:val="none" w:sz="0" w:space="0" w:color="auto"/>
          </w:divBdr>
          <w:divsChild>
            <w:div w:id="1412847180">
              <w:marLeft w:val="0"/>
              <w:marRight w:val="0"/>
              <w:marTop w:val="0"/>
              <w:marBottom w:val="0"/>
              <w:divBdr>
                <w:top w:val="none" w:sz="0" w:space="0" w:color="auto"/>
                <w:left w:val="none" w:sz="0" w:space="0" w:color="auto"/>
                <w:bottom w:val="none" w:sz="0" w:space="0" w:color="auto"/>
                <w:right w:val="none" w:sz="0" w:space="0" w:color="auto"/>
              </w:divBdr>
            </w:div>
          </w:divsChild>
        </w:div>
        <w:div w:id="1107234558">
          <w:marLeft w:val="0"/>
          <w:marRight w:val="0"/>
          <w:marTop w:val="0"/>
          <w:marBottom w:val="0"/>
          <w:divBdr>
            <w:top w:val="none" w:sz="0" w:space="0" w:color="auto"/>
            <w:left w:val="none" w:sz="0" w:space="0" w:color="auto"/>
            <w:bottom w:val="none" w:sz="0" w:space="0" w:color="auto"/>
            <w:right w:val="none" w:sz="0" w:space="0" w:color="auto"/>
          </w:divBdr>
          <w:divsChild>
            <w:div w:id="764612941">
              <w:marLeft w:val="0"/>
              <w:marRight w:val="0"/>
              <w:marTop w:val="0"/>
              <w:marBottom w:val="0"/>
              <w:divBdr>
                <w:top w:val="none" w:sz="0" w:space="0" w:color="auto"/>
                <w:left w:val="none" w:sz="0" w:space="0" w:color="auto"/>
                <w:bottom w:val="none" w:sz="0" w:space="0" w:color="auto"/>
                <w:right w:val="none" w:sz="0" w:space="0" w:color="auto"/>
              </w:divBdr>
            </w:div>
          </w:divsChild>
        </w:div>
        <w:div w:id="1107506426">
          <w:marLeft w:val="0"/>
          <w:marRight w:val="0"/>
          <w:marTop w:val="0"/>
          <w:marBottom w:val="0"/>
          <w:divBdr>
            <w:top w:val="none" w:sz="0" w:space="0" w:color="auto"/>
            <w:left w:val="none" w:sz="0" w:space="0" w:color="auto"/>
            <w:bottom w:val="none" w:sz="0" w:space="0" w:color="auto"/>
            <w:right w:val="none" w:sz="0" w:space="0" w:color="auto"/>
          </w:divBdr>
          <w:divsChild>
            <w:div w:id="294920469">
              <w:marLeft w:val="0"/>
              <w:marRight w:val="0"/>
              <w:marTop w:val="0"/>
              <w:marBottom w:val="0"/>
              <w:divBdr>
                <w:top w:val="none" w:sz="0" w:space="0" w:color="auto"/>
                <w:left w:val="none" w:sz="0" w:space="0" w:color="auto"/>
                <w:bottom w:val="none" w:sz="0" w:space="0" w:color="auto"/>
                <w:right w:val="none" w:sz="0" w:space="0" w:color="auto"/>
              </w:divBdr>
            </w:div>
          </w:divsChild>
        </w:div>
        <w:div w:id="1113742408">
          <w:marLeft w:val="0"/>
          <w:marRight w:val="0"/>
          <w:marTop w:val="0"/>
          <w:marBottom w:val="0"/>
          <w:divBdr>
            <w:top w:val="none" w:sz="0" w:space="0" w:color="auto"/>
            <w:left w:val="none" w:sz="0" w:space="0" w:color="auto"/>
            <w:bottom w:val="none" w:sz="0" w:space="0" w:color="auto"/>
            <w:right w:val="none" w:sz="0" w:space="0" w:color="auto"/>
          </w:divBdr>
          <w:divsChild>
            <w:div w:id="1054810419">
              <w:marLeft w:val="0"/>
              <w:marRight w:val="0"/>
              <w:marTop w:val="0"/>
              <w:marBottom w:val="0"/>
              <w:divBdr>
                <w:top w:val="none" w:sz="0" w:space="0" w:color="auto"/>
                <w:left w:val="none" w:sz="0" w:space="0" w:color="auto"/>
                <w:bottom w:val="none" w:sz="0" w:space="0" w:color="auto"/>
                <w:right w:val="none" w:sz="0" w:space="0" w:color="auto"/>
              </w:divBdr>
            </w:div>
          </w:divsChild>
        </w:div>
        <w:div w:id="1114059737">
          <w:marLeft w:val="0"/>
          <w:marRight w:val="0"/>
          <w:marTop w:val="0"/>
          <w:marBottom w:val="0"/>
          <w:divBdr>
            <w:top w:val="none" w:sz="0" w:space="0" w:color="auto"/>
            <w:left w:val="none" w:sz="0" w:space="0" w:color="auto"/>
            <w:bottom w:val="none" w:sz="0" w:space="0" w:color="auto"/>
            <w:right w:val="none" w:sz="0" w:space="0" w:color="auto"/>
          </w:divBdr>
          <w:divsChild>
            <w:div w:id="1299795375">
              <w:marLeft w:val="0"/>
              <w:marRight w:val="0"/>
              <w:marTop w:val="0"/>
              <w:marBottom w:val="0"/>
              <w:divBdr>
                <w:top w:val="none" w:sz="0" w:space="0" w:color="auto"/>
                <w:left w:val="none" w:sz="0" w:space="0" w:color="auto"/>
                <w:bottom w:val="none" w:sz="0" w:space="0" w:color="auto"/>
                <w:right w:val="none" w:sz="0" w:space="0" w:color="auto"/>
              </w:divBdr>
            </w:div>
          </w:divsChild>
        </w:div>
        <w:div w:id="1115292737">
          <w:marLeft w:val="0"/>
          <w:marRight w:val="0"/>
          <w:marTop w:val="0"/>
          <w:marBottom w:val="0"/>
          <w:divBdr>
            <w:top w:val="none" w:sz="0" w:space="0" w:color="auto"/>
            <w:left w:val="none" w:sz="0" w:space="0" w:color="auto"/>
            <w:bottom w:val="none" w:sz="0" w:space="0" w:color="auto"/>
            <w:right w:val="none" w:sz="0" w:space="0" w:color="auto"/>
          </w:divBdr>
          <w:divsChild>
            <w:div w:id="665666893">
              <w:marLeft w:val="0"/>
              <w:marRight w:val="0"/>
              <w:marTop w:val="0"/>
              <w:marBottom w:val="0"/>
              <w:divBdr>
                <w:top w:val="none" w:sz="0" w:space="0" w:color="auto"/>
                <w:left w:val="none" w:sz="0" w:space="0" w:color="auto"/>
                <w:bottom w:val="none" w:sz="0" w:space="0" w:color="auto"/>
                <w:right w:val="none" w:sz="0" w:space="0" w:color="auto"/>
              </w:divBdr>
            </w:div>
          </w:divsChild>
        </w:div>
        <w:div w:id="1115951891">
          <w:marLeft w:val="0"/>
          <w:marRight w:val="0"/>
          <w:marTop w:val="0"/>
          <w:marBottom w:val="0"/>
          <w:divBdr>
            <w:top w:val="none" w:sz="0" w:space="0" w:color="auto"/>
            <w:left w:val="none" w:sz="0" w:space="0" w:color="auto"/>
            <w:bottom w:val="none" w:sz="0" w:space="0" w:color="auto"/>
            <w:right w:val="none" w:sz="0" w:space="0" w:color="auto"/>
          </w:divBdr>
          <w:divsChild>
            <w:div w:id="282466688">
              <w:marLeft w:val="0"/>
              <w:marRight w:val="0"/>
              <w:marTop w:val="0"/>
              <w:marBottom w:val="0"/>
              <w:divBdr>
                <w:top w:val="none" w:sz="0" w:space="0" w:color="auto"/>
                <w:left w:val="none" w:sz="0" w:space="0" w:color="auto"/>
                <w:bottom w:val="none" w:sz="0" w:space="0" w:color="auto"/>
                <w:right w:val="none" w:sz="0" w:space="0" w:color="auto"/>
              </w:divBdr>
            </w:div>
          </w:divsChild>
        </w:div>
        <w:div w:id="1118375784">
          <w:marLeft w:val="0"/>
          <w:marRight w:val="0"/>
          <w:marTop w:val="0"/>
          <w:marBottom w:val="0"/>
          <w:divBdr>
            <w:top w:val="none" w:sz="0" w:space="0" w:color="auto"/>
            <w:left w:val="none" w:sz="0" w:space="0" w:color="auto"/>
            <w:bottom w:val="none" w:sz="0" w:space="0" w:color="auto"/>
            <w:right w:val="none" w:sz="0" w:space="0" w:color="auto"/>
          </w:divBdr>
          <w:divsChild>
            <w:div w:id="1283537062">
              <w:marLeft w:val="0"/>
              <w:marRight w:val="0"/>
              <w:marTop w:val="0"/>
              <w:marBottom w:val="0"/>
              <w:divBdr>
                <w:top w:val="none" w:sz="0" w:space="0" w:color="auto"/>
                <w:left w:val="none" w:sz="0" w:space="0" w:color="auto"/>
                <w:bottom w:val="none" w:sz="0" w:space="0" w:color="auto"/>
                <w:right w:val="none" w:sz="0" w:space="0" w:color="auto"/>
              </w:divBdr>
            </w:div>
          </w:divsChild>
        </w:div>
        <w:div w:id="1121071796">
          <w:marLeft w:val="0"/>
          <w:marRight w:val="0"/>
          <w:marTop w:val="0"/>
          <w:marBottom w:val="0"/>
          <w:divBdr>
            <w:top w:val="none" w:sz="0" w:space="0" w:color="auto"/>
            <w:left w:val="none" w:sz="0" w:space="0" w:color="auto"/>
            <w:bottom w:val="none" w:sz="0" w:space="0" w:color="auto"/>
            <w:right w:val="none" w:sz="0" w:space="0" w:color="auto"/>
          </w:divBdr>
          <w:divsChild>
            <w:div w:id="89787771">
              <w:marLeft w:val="0"/>
              <w:marRight w:val="0"/>
              <w:marTop w:val="0"/>
              <w:marBottom w:val="0"/>
              <w:divBdr>
                <w:top w:val="none" w:sz="0" w:space="0" w:color="auto"/>
                <w:left w:val="none" w:sz="0" w:space="0" w:color="auto"/>
                <w:bottom w:val="none" w:sz="0" w:space="0" w:color="auto"/>
                <w:right w:val="none" w:sz="0" w:space="0" w:color="auto"/>
              </w:divBdr>
            </w:div>
          </w:divsChild>
        </w:div>
        <w:div w:id="1126047178">
          <w:marLeft w:val="0"/>
          <w:marRight w:val="0"/>
          <w:marTop w:val="0"/>
          <w:marBottom w:val="0"/>
          <w:divBdr>
            <w:top w:val="none" w:sz="0" w:space="0" w:color="auto"/>
            <w:left w:val="none" w:sz="0" w:space="0" w:color="auto"/>
            <w:bottom w:val="none" w:sz="0" w:space="0" w:color="auto"/>
            <w:right w:val="none" w:sz="0" w:space="0" w:color="auto"/>
          </w:divBdr>
          <w:divsChild>
            <w:div w:id="1977029408">
              <w:marLeft w:val="0"/>
              <w:marRight w:val="0"/>
              <w:marTop w:val="0"/>
              <w:marBottom w:val="0"/>
              <w:divBdr>
                <w:top w:val="none" w:sz="0" w:space="0" w:color="auto"/>
                <w:left w:val="none" w:sz="0" w:space="0" w:color="auto"/>
                <w:bottom w:val="none" w:sz="0" w:space="0" w:color="auto"/>
                <w:right w:val="none" w:sz="0" w:space="0" w:color="auto"/>
              </w:divBdr>
            </w:div>
          </w:divsChild>
        </w:div>
        <w:div w:id="1131632939">
          <w:marLeft w:val="0"/>
          <w:marRight w:val="0"/>
          <w:marTop w:val="0"/>
          <w:marBottom w:val="0"/>
          <w:divBdr>
            <w:top w:val="none" w:sz="0" w:space="0" w:color="auto"/>
            <w:left w:val="none" w:sz="0" w:space="0" w:color="auto"/>
            <w:bottom w:val="none" w:sz="0" w:space="0" w:color="auto"/>
            <w:right w:val="none" w:sz="0" w:space="0" w:color="auto"/>
          </w:divBdr>
          <w:divsChild>
            <w:div w:id="877011939">
              <w:marLeft w:val="0"/>
              <w:marRight w:val="0"/>
              <w:marTop w:val="0"/>
              <w:marBottom w:val="0"/>
              <w:divBdr>
                <w:top w:val="none" w:sz="0" w:space="0" w:color="auto"/>
                <w:left w:val="none" w:sz="0" w:space="0" w:color="auto"/>
                <w:bottom w:val="none" w:sz="0" w:space="0" w:color="auto"/>
                <w:right w:val="none" w:sz="0" w:space="0" w:color="auto"/>
              </w:divBdr>
            </w:div>
          </w:divsChild>
        </w:div>
        <w:div w:id="1131942914">
          <w:marLeft w:val="0"/>
          <w:marRight w:val="0"/>
          <w:marTop w:val="0"/>
          <w:marBottom w:val="0"/>
          <w:divBdr>
            <w:top w:val="none" w:sz="0" w:space="0" w:color="auto"/>
            <w:left w:val="none" w:sz="0" w:space="0" w:color="auto"/>
            <w:bottom w:val="none" w:sz="0" w:space="0" w:color="auto"/>
            <w:right w:val="none" w:sz="0" w:space="0" w:color="auto"/>
          </w:divBdr>
          <w:divsChild>
            <w:div w:id="327173934">
              <w:marLeft w:val="0"/>
              <w:marRight w:val="0"/>
              <w:marTop w:val="0"/>
              <w:marBottom w:val="0"/>
              <w:divBdr>
                <w:top w:val="none" w:sz="0" w:space="0" w:color="auto"/>
                <w:left w:val="none" w:sz="0" w:space="0" w:color="auto"/>
                <w:bottom w:val="none" w:sz="0" w:space="0" w:color="auto"/>
                <w:right w:val="none" w:sz="0" w:space="0" w:color="auto"/>
              </w:divBdr>
            </w:div>
          </w:divsChild>
        </w:div>
        <w:div w:id="1141117841">
          <w:marLeft w:val="0"/>
          <w:marRight w:val="0"/>
          <w:marTop w:val="0"/>
          <w:marBottom w:val="0"/>
          <w:divBdr>
            <w:top w:val="none" w:sz="0" w:space="0" w:color="auto"/>
            <w:left w:val="none" w:sz="0" w:space="0" w:color="auto"/>
            <w:bottom w:val="none" w:sz="0" w:space="0" w:color="auto"/>
            <w:right w:val="none" w:sz="0" w:space="0" w:color="auto"/>
          </w:divBdr>
          <w:divsChild>
            <w:div w:id="947547345">
              <w:marLeft w:val="0"/>
              <w:marRight w:val="0"/>
              <w:marTop w:val="0"/>
              <w:marBottom w:val="0"/>
              <w:divBdr>
                <w:top w:val="none" w:sz="0" w:space="0" w:color="auto"/>
                <w:left w:val="none" w:sz="0" w:space="0" w:color="auto"/>
                <w:bottom w:val="none" w:sz="0" w:space="0" w:color="auto"/>
                <w:right w:val="none" w:sz="0" w:space="0" w:color="auto"/>
              </w:divBdr>
            </w:div>
          </w:divsChild>
        </w:div>
        <w:div w:id="1143351349">
          <w:marLeft w:val="0"/>
          <w:marRight w:val="0"/>
          <w:marTop w:val="0"/>
          <w:marBottom w:val="0"/>
          <w:divBdr>
            <w:top w:val="none" w:sz="0" w:space="0" w:color="auto"/>
            <w:left w:val="none" w:sz="0" w:space="0" w:color="auto"/>
            <w:bottom w:val="none" w:sz="0" w:space="0" w:color="auto"/>
            <w:right w:val="none" w:sz="0" w:space="0" w:color="auto"/>
          </w:divBdr>
          <w:divsChild>
            <w:div w:id="1756395363">
              <w:marLeft w:val="0"/>
              <w:marRight w:val="0"/>
              <w:marTop w:val="0"/>
              <w:marBottom w:val="0"/>
              <w:divBdr>
                <w:top w:val="none" w:sz="0" w:space="0" w:color="auto"/>
                <w:left w:val="none" w:sz="0" w:space="0" w:color="auto"/>
                <w:bottom w:val="none" w:sz="0" w:space="0" w:color="auto"/>
                <w:right w:val="none" w:sz="0" w:space="0" w:color="auto"/>
              </w:divBdr>
            </w:div>
          </w:divsChild>
        </w:div>
        <w:div w:id="1144660512">
          <w:marLeft w:val="0"/>
          <w:marRight w:val="0"/>
          <w:marTop w:val="0"/>
          <w:marBottom w:val="0"/>
          <w:divBdr>
            <w:top w:val="none" w:sz="0" w:space="0" w:color="auto"/>
            <w:left w:val="none" w:sz="0" w:space="0" w:color="auto"/>
            <w:bottom w:val="none" w:sz="0" w:space="0" w:color="auto"/>
            <w:right w:val="none" w:sz="0" w:space="0" w:color="auto"/>
          </w:divBdr>
          <w:divsChild>
            <w:div w:id="1378432162">
              <w:marLeft w:val="0"/>
              <w:marRight w:val="0"/>
              <w:marTop w:val="0"/>
              <w:marBottom w:val="0"/>
              <w:divBdr>
                <w:top w:val="none" w:sz="0" w:space="0" w:color="auto"/>
                <w:left w:val="none" w:sz="0" w:space="0" w:color="auto"/>
                <w:bottom w:val="none" w:sz="0" w:space="0" w:color="auto"/>
                <w:right w:val="none" w:sz="0" w:space="0" w:color="auto"/>
              </w:divBdr>
            </w:div>
          </w:divsChild>
        </w:div>
        <w:div w:id="1158810012">
          <w:marLeft w:val="0"/>
          <w:marRight w:val="0"/>
          <w:marTop w:val="0"/>
          <w:marBottom w:val="0"/>
          <w:divBdr>
            <w:top w:val="none" w:sz="0" w:space="0" w:color="auto"/>
            <w:left w:val="none" w:sz="0" w:space="0" w:color="auto"/>
            <w:bottom w:val="none" w:sz="0" w:space="0" w:color="auto"/>
            <w:right w:val="none" w:sz="0" w:space="0" w:color="auto"/>
          </w:divBdr>
          <w:divsChild>
            <w:div w:id="533200984">
              <w:marLeft w:val="0"/>
              <w:marRight w:val="0"/>
              <w:marTop w:val="0"/>
              <w:marBottom w:val="0"/>
              <w:divBdr>
                <w:top w:val="none" w:sz="0" w:space="0" w:color="auto"/>
                <w:left w:val="none" w:sz="0" w:space="0" w:color="auto"/>
                <w:bottom w:val="none" w:sz="0" w:space="0" w:color="auto"/>
                <w:right w:val="none" w:sz="0" w:space="0" w:color="auto"/>
              </w:divBdr>
            </w:div>
          </w:divsChild>
        </w:div>
        <w:div w:id="1159887941">
          <w:marLeft w:val="0"/>
          <w:marRight w:val="0"/>
          <w:marTop w:val="0"/>
          <w:marBottom w:val="0"/>
          <w:divBdr>
            <w:top w:val="none" w:sz="0" w:space="0" w:color="auto"/>
            <w:left w:val="none" w:sz="0" w:space="0" w:color="auto"/>
            <w:bottom w:val="none" w:sz="0" w:space="0" w:color="auto"/>
            <w:right w:val="none" w:sz="0" w:space="0" w:color="auto"/>
          </w:divBdr>
          <w:divsChild>
            <w:div w:id="1504586490">
              <w:marLeft w:val="0"/>
              <w:marRight w:val="0"/>
              <w:marTop w:val="0"/>
              <w:marBottom w:val="0"/>
              <w:divBdr>
                <w:top w:val="none" w:sz="0" w:space="0" w:color="auto"/>
                <w:left w:val="none" w:sz="0" w:space="0" w:color="auto"/>
                <w:bottom w:val="none" w:sz="0" w:space="0" w:color="auto"/>
                <w:right w:val="none" w:sz="0" w:space="0" w:color="auto"/>
              </w:divBdr>
            </w:div>
          </w:divsChild>
        </w:div>
        <w:div w:id="1184249649">
          <w:marLeft w:val="0"/>
          <w:marRight w:val="0"/>
          <w:marTop w:val="0"/>
          <w:marBottom w:val="0"/>
          <w:divBdr>
            <w:top w:val="none" w:sz="0" w:space="0" w:color="auto"/>
            <w:left w:val="none" w:sz="0" w:space="0" w:color="auto"/>
            <w:bottom w:val="none" w:sz="0" w:space="0" w:color="auto"/>
            <w:right w:val="none" w:sz="0" w:space="0" w:color="auto"/>
          </w:divBdr>
          <w:divsChild>
            <w:div w:id="569199049">
              <w:marLeft w:val="0"/>
              <w:marRight w:val="0"/>
              <w:marTop w:val="0"/>
              <w:marBottom w:val="0"/>
              <w:divBdr>
                <w:top w:val="none" w:sz="0" w:space="0" w:color="auto"/>
                <w:left w:val="none" w:sz="0" w:space="0" w:color="auto"/>
                <w:bottom w:val="none" w:sz="0" w:space="0" w:color="auto"/>
                <w:right w:val="none" w:sz="0" w:space="0" w:color="auto"/>
              </w:divBdr>
            </w:div>
          </w:divsChild>
        </w:div>
        <w:div w:id="1186409464">
          <w:marLeft w:val="0"/>
          <w:marRight w:val="0"/>
          <w:marTop w:val="0"/>
          <w:marBottom w:val="0"/>
          <w:divBdr>
            <w:top w:val="none" w:sz="0" w:space="0" w:color="auto"/>
            <w:left w:val="none" w:sz="0" w:space="0" w:color="auto"/>
            <w:bottom w:val="none" w:sz="0" w:space="0" w:color="auto"/>
            <w:right w:val="none" w:sz="0" w:space="0" w:color="auto"/>
          </w:divBdr>
          <w:divsChild>
            <w:div w:id="937564033">
              <w:marLeft w:val="0"/>
              <w:marRight w:val="0"/>
              <w:marTop w:val="0"/>
              <w:marBottom w:val="0"/>
              <w:divBdr>
                <w:top w:val="none" w:sz="0" w:space="0" w:color="auto"/>
                <w:left w:val="none" w:sz="0" w:space="0" w:color="auto"/>
                <w:bottom w:val="none" w:sz="0" w:space="0" w:color="auto"/>
                <w:right w:val="none" w:sz="0" w:space="0" w:color="auto"/>
              </w:divBdr>
            </w:div>
          </w:divsChild>
        </w:div>
        <w:div w:id="1190218113">
          <w:marLeft w:val="0"/>
          <w:marRight w:val="0"/>
          <w:marTop w:val="0"/>
          <w:marBottom w:val="0"/>
          <w:divBdr>
            <w:top w:val="none" w:sz="0" w:space="0" w:color="auto"/>
            <w:left w:val="none" w:sz="0" w:space="0" w:color="auto"/>
            <w:bottom w:val="none" w:sz="0" w:space="0" w:color="auto"/>
            <w:right w:val="none" w:sz="0" w:space="0" w:color="auto"/>
          </w:divBdr>
          <w:divsChild>
            <w:div w:id="210073954">
              <w:marLeft w:val="0"/>
              <w:marRight w:val="0"/>
              <w:marTop w:val="0"/>
              <w:marBottom w:val="0"/>
              <w:divBdr>
                <w:top w:val="none" w:sz="0" w:space="0" w:color="auto"/>
                <w:left w:val="none" w:sz="0" w:space="0" w:color="auto"/>
                <w:bottom w:val="none" w:sz="0" w:space="0" w:color="auto"/>
                <w:right w:val="none" w:sz="0" w:space="0" w:color="auto"/>
              </w:divBdr>
            </w:div>
          </w:divsChild>
        </w:div>
        <w:div w:id="1194418208">
          <w:marLeft w:val="0"/>
          <w:marRight w:val="0"/>
          <w:marTop w:val="0"/>
          <w:marBottom w:val="0"/>
          <w:divBdr>
            <w:top w:val="none" w:sz="0" w:space="0" w:color="auto"/>
            <w:left w:val="none" w:sz="0" w:space="0" w:color="auto"/>
            <w:bottom w:val="none" w:sz="0" w:space="0" w:color="auto"/>
            <w:right w:val="none" w:sz="0" w:space="0" w:color="auto"/>
          </w:divBdr>
          <w:divsChild>
            <w:div w:id="1171407969">
              <w:marLeft w:val="0"/>
              <w:marRight w:val="0"/>
              <w:marTop w:val="0"/>
              <w:marBottom w:val="0"/>
              <w:divBdr>
                <w:top w:val="none" w:sz="0" w:space="0" w:color="auto"/>
                <w:left w:val="none" w:sz="0" w:space="0" w:color="auto"/>
                <w:bottom w:val="none" w:sz="0" w:space="0" w:color="auto"/>
                <w:right w:val="none" w:sz="0" w:space="0" w:color="auto"/>
              </w:divBdr>
            </w:div>
          </w:divsChild>
        </w:div>
        <w:div w:id="1208298344">
          <w:marLeft w:val="0"/>
          <w:marRight w:val="0"/>
          <w:marTop w:val="0"/>
          <w:marBottom w:val="0"/>
          <w:divBdr>
            <w:top w:val="none" w:sz="0" w:space="0" w:color="auto"/>
            <w:left w:val="none" w:sz="0" w:space="0" w:color="auto"/>
            <w:bottom w:val="none" w:sz="0" w:space="0" w:color="auto"/>
            <w:right w:val="none" w:sz="0" w:space="0" w:color="auto"/>
          </w:divBdr>
          <w:divsChild>
            <w:div w:id="312415672">
              <w:marLeft w:val="0"/>
              <w:marRight w:val="0"/>
              <w:marTop w:val="0"/>
              <w:marBottom w:val="0"/>
              <w:divBdr>
                <w:top w:val="none" w:sz="0" w:space="0" w:color="auto"/>
                <w:left w:val="none" w:sz="0" w:space="0" w:color="auto"/>
                <w:bottom w:val="none" w:sz="0" w:space="0" w:color="auto"/>
                <w:right w:val="none" w:sz="0" w:space="0" w:color="auto"/>
              </w:divBdr>
            </w:div>
          </w:divsChild>
        </w:div>
        <w:div w:id="1208491800">
          <w:marLeft w:val="0"/>
          <w:marRight w:val="0"/>
          <w:marTop w:val="0"/>
          <w:marBottom w:val="0"/>
          <w:divBdr>
            <w:top w:val="none" w:sz="0" w:space="0" w:color="auto"/>
            <w:left w:val="none" w:sz="0" w:space="0" w:color="auto"/>
            <w:bottom w:val="none" w:sz="0" w:space="0" w:color="auto"/>
            <w:right w:val="none" w:sz="0" w:space="0" w:color="auto"/>
          </w:divBdr>
          <w:divsChild>
            <w:div w:id="1505822275">
              <w:marLeft w:val="0"/>
              <w:marRight w:val="0"/>
              <w:marTop w:val="0"/>
              <w:marBottom w:val="0"/>
              <w:divBdr>
                <w:top w:val="none" w:sz="0" w:space="0" w:color="auto"/>
                <w:left w:val="none" w:sz="0" w:space="0" w:color="auto"/>
                <w:bottom w:val="none" w:sz="0" w:space="0" w:color="auto"/>
                <w:right w:val="none" w:sz="0" w:space="0" w:color="auto"/>
              </w:divBdr>
            </w:div>
          </w:divsChild>
        </w:div>
        <w:div w:id="1209105458">
          <w:marLeft w:val="0"/>
          <w:marRight w:val="0"/>
          <w:marTop w:val="0"/>
          <w:marBottom w:val="0"/>
          <w:divBdr>
            <w:top w:val="none" w:sz="0" w:space="0" w:color="auto"/>
            <w:left w:val="none" w:sz="0" w:space="0" w:color="auto"/>
            <w:bottom w:val="none" w:sz="0" w:space="0" w:color="auto"/>
            <w:right w:val="none" w:sz="0" w:space="0" w:color="auto"/>
          </w:divBdr>
          <w:divsChild>
            <w:div w:id="1767799288">
              <w:marLeft w:val="0"/>
              <w:marRight w:val="0"/>
              <w:marTop w:val="0"/>
              <w:marBottom w:val="0"/>
              <w:divBdr>
                <w:top w:val="none" w:sz="0" w:space="0" w:color="auto"/>
                <w:left w:val="none" w:sz="0" w:space="0" w:color="auto"/>
                <w:bottom w:val="none" w:sz="0" w:space="0" w:color="auto"/>
                <w:right w:val="none" w:sz="0" w:space="0" w:color="auto"/>
              </w:divBdr>
            </w:div>
          </w:divsChild>
        </w:div>
        <w:div w:id="1209682297">
          <w:marLeft w:val="0"/>
          <w:marRight w:val="0"/>
          <w:marTop w:val="0"/>
          <w:marBottom w:val="0"/>
          <w:divBdr>
            <w:top w:val="none" w:sz="0" w:space="0" w:color="auto"/>
            <w:left w:val="none" w:sz="0" w:space="0" w:color="auto"/>
            <w:bottom w:val="none" w:sz="0" w:space="0" w:color="auto"/>
            <w:right w:val="none" w:sz="0" w:space="0" w:color="auto"/>
          </w:divBdr>
          <w:divsChild>
            <w:div w:id="737215877">
              <w:marLeft w:val="0"/>
              <w:marRight w:val="0"/>
              <w:marTop w:val="0"/>
              <w:marBottom w:val="0"/>
              <w:divBdr>
                <w:top w:val="none" w:sz="0" w:space="0" w:color="auto"/>
                <w:left w:val="none" w:sz="0" w:space="0" w:color="auto"/>
                <w:bottom w:val="none" w:sz="0" w:space="0" w:color="auto"/>
                <w:right w:val="none" w:sz="0" w:space="0" w:color="auto"/>
              </w:divBdr>
            </w:div>
          </w:divsChild>
        </w:div>
        <w:div w:id="1216818325">
          <w:marLeft w:val="0"/>
          <w:marRight w:val="0"/>
          <w:marTop w:val="0"/>
          <w:marBottom w:val="0"/>
          <w:divBdr>
            <w:top w:val="none" w:sz="0" w:space="0" w:color="auto"/>
            <w:left w:val="none" w:sz="0" w:space="0" w:color="auto"/>
            <w:bottom w:val="none" w:sz="0" w:space="0" w:color="auto"/>
            <w:right w:val="none" w:sz="0" w:space="0" w:color="auto"/>
          </w:divBdr>
          <w:divsChild>
            <w:div w:id="606936191">
              <w:marLeft w:val="0"/>
              <w:marRight w:val="0"/>
              <w:marTop w:val="0"/>
              <w:marBottom w:val="0"/>
              <w:divBdr>
                <w:top w:val="none" w:sz="0" w:space="0" w:color="auto"/>
                <w:left w:val="none" w:sz="0" w:space="0" w:color="auto"/>
                <w:bottom w:val="none" w:sz="0" w:space="0" w:color="auto"/>
                <w:right w:val="none" w:sz="0" w:space="0" w:color="auto"/>
              </w:divBdr>
            </w:div>
          </w:divsChild>
        </w:div>
        <w:div w:id="1221358177">
          <w:marLeft w:val="0"/>
          <w:marRight w:val="0"/>
          <w:marTop w:val="0"/>
          <w:marBottom w:val="0"/>
          <w:divBdr>
            <w:top w:val="none" w:sz="0" w:space="0" w:color="auto"/>
            <w:left w:val="none" w:sz="0" w:space="0" w:color="auto"/>
            <w:bottom w:val="none" w:sz="0" w:space="0" w:color="auto"/>
            <w:right w:val="none" w:sz="0" w:space="0" w:color="auto"/>
          </w:divBdr>
          <w:divsChild>
            <w:div w:id="2092968011">
              <w:marLeft w:val="0"/>
              <w:marRight w:val="0"/>
              <w:marTop w:val="0"/>
              <w:marBottom w:val="0"/>
              <w:divBdr>
                <w:top w:val="none" w:sz="0" w:space="0" w:color="auto"/>
                <w:left w:val="none" w:sz="0" w:space="0" w:color="auto"/>
                <w:bottom w:val="none" w:sz="0" w:space="0" w:color="auto"/>
                <w:right w:val="none" w:sz="0" w:space="0" w:color="auto"/>
              </w:divBdr>
            </w:div>
          </w:divsChild>
        </w:div>
        <w:div w:id="1223253313">
          <w:marLeft w:val="0"/>
          <w:marRight w:val="0"/>
          <w:marTop w:val="0"/>
          <w:marBottom w:val="0"/>
          <w:divBdr>
            <w:top w:val="none" w:sz="0" w:space="0" w:color="auto"/>
            <w:left w:val="none" w:sz="0" w:space="0" w:color="auto"/>
            <w:bottom w:val="none" w:sz="0" w:space="0" w:color="auto"/>
            <w:right w:val="none" w:sz="0" w:space="0" w:color="auto"/>
          </w:divBdr>
          <w:divsChild>
            <w:div w:id="1783108137">
              <w:marLeft w:val="0"/>
              <w:marRight w:val="0"/>
              <w:marTop w:val="0"/>
              <w:marBottom w:val="0"/>
              <w:divBdr>
                <w:top w:val="none" w:sz="0" w:space="0" w:color="auto"/>
                <w:left w:val="none" w:sz="0" w:space="0" w:color="auto"/>
                <w:bottom w:val="none" w:sz="0" w:space="0" w:color="auto"/>
                <w:right w:val="none" w:sz="0" w:space="0" w:color="auto"/>
              </w:divBdr>
            </w:div>
          </w:divsChild>
        </w:div>
        <w:div w:id="1228614599">
          <w:marLeft w:val="0"/>
          <w:marRight w:val="0"/>
          <w:marTop w:val="0"/>
          <w:marBottom w:val="0"/>
          <w:divBdr>
            <w:top w:val="none" w:sz="0" w:space="0" w:color="auto"/>
            <w:left w:val="none" w:sz="0" w:space="0" w:color="auto"/>
            <w:bottom w:val="none" w:sz="0" w:space="0" w:color="auto"/>
            <w:right w:val="none" w:sz="0" w:space="0" w:color="auto"/>
          </w:divBdr>
          <w:divsChild>
            <w:div w:id="612713819">
              <w:marLeft w:val="0"/>
              <w:marRight w:val="0"/>
              <w:marTop w:val="0"/>
              <w:marBottom w:val="0"/>
              <w:divBdr>
                <w:top w:val="none" w:sz="0" w:space="0" w:color="auto"/>
                <w:left w:val="none" w:sz="0" w:space="0" w:color="auto"/>
                <w:bottom w:val="none" w:sz="0" w:space="0" w:color="auto"/>
                <w:right w:val="none" w:sz="0" w:space="0" w:color="auto"/>
              </w:divBdr>
            </w:div>
          </w:divsChild>
        </w:div>
        <w:div w:id="1230337013">
          <w:marLeft w:val="0"/>
          <w:marRight w:val="0"/>
          <w:marTop w:val="0"/>
          <w:marBottom w:val="0"/>
          <w:divBdr>
            <w:top w:val="none" w:sz="0" w:space="0" w:color="auto"/>
            <w:left w:val="none" w:sz="0" w:space="0" w:color="auto"/>
            <w:bottom w:val="none" w:sz="0" w:space="0" w:color="auto"/>
            <w:right w:val="none" w:sz="0" w:space="0" w:color="auto"/>
          </w:divBdr>
          <w:divsChild>
            <w:div w:id="744884466">
              <w:marLeft w:val="0"/>
              <w:marRight w:val="0"/>
              <w:marTop w:val="0"/>
              <w:marBottom w:val="0"/>
              <w:divBdr>
                <w:top w:val="none" w:sz="0" w:space="0" w:color="auto"/>
                <w:left w:val="none" w:sz="0" w:space="0" w:color="auto"/>
                <w:bottom w:val="none" w:sz="0" w:space="0" w:color="auto"/>
                <w:right w:val="none" w:sz="0" w:space="0" w:color="auto"/>
              </w:divBdr>
            </w:div>
          </w:divsChild>
        </w:div>
        <w:div w:id="1231963563">
          <w:marLeft w:val="0"/>
          <w:marRight w:val="0"/>
          <w:marTop w:val="0"/>
          <w:marBottom w:val="0"/>
          <w:divBdr>
            <w:top w:val="none" w:sz="0" w:space="0" w:color="auto"/>
            <w:left w:val="none" w:sz="0" w:space="0" w:color="auto"/>
            <w:bottom w:val="none" w:sz="0" w:space="0" w:color="auto"/>
            <w:right w:val="none" w:sz="0" w:space="0" w:color="auto"/>
          </w:divBdr>
          <w:divsChild>
            <w:div w:id="1635216784">
              <w:marLeft w:val="0"/>
              <w:marRight w:val="0"/>
              <w:marTop w:val="0"/>
              <w:marBottom w:val="0"/>
              <w:divBdr>
                <w:top w:val="none" w:sz="0" w:space="0" w:color="auto"/>
                <w:left w:val="none" w:sz="0" w:space="0" w:color="auto"/>
                <w:bottom w:val="none" w:sz="0" w:space="0" w:color="auto"/>
                <w:right w:val="none" w:sz="0" w:space="0" w:color="auto"/>
              </w:divBdr>
            </w:div>
          </w:divsChild>
        </w:div>
        <w:div w:id="1236472911">
          <w:marLeft w:val="0"/>
          <w:marRight w:val="0"/>
          <w:marTop w:val="0"/>
          <w:marBottom w:val="0"/>
          <w:divBdr>
            <w:top w:val="none" w:sz="0" w:space="0" w:color="auto"/>
            <w:left w:val="none" w:sz="0" w:space="0" w:color="auto"/>
            <w:bottom w:val="none" w:sz="0" w:space="0" w:color="auto"/>
            <w:right w:val="none" w:sz="0" w:space="0" w:color="auto"/>
          </w:divBdr>
          <w:divsChild>
            <w:div w:id="1682076158">
              <w:marLeft w:val="0"/>
              <w:marRight w:val="0"/>
              <w:marTop w:val="0"/>
              <w:marBottom w:val="0"/>
              <w:divBdr>
                <w:top w:val="none" w:sz="0" w:space="0" w:color="auto"/>
                <w:left w:val="none" w:sz="0" w:space="0" w:color="auto"/>
                <w:bottom w:val="none" w:sz="0" w:space="0" w:color="auto"/>
                <w:right w:val="none" w:sz="0" w:space="0" w:color="auto"/>
              </w:divBdr>
            </w:div>
          </w:divsChild>
        </w:div>
        <w:div w:id="1237547912">
          <w:marLeft w:val="0"/>
          <w:marRight w:val="0"/>
          <w:marTop w:val="0"/>
          <w:marBottom w:val="0"/>
          <w:divBdr>
            <w:top w:val="none" w:sz="0" w:space="0" w:color="auto"/>
            <w:left w:val="none" w:sz="0" w:space="0" w:color="auto"/>
            <w:bottom w:val="none" w:sz="0" w:space="0" w:color="auto"/>
            <w:right w:val="none" w:sz="0" w:space="0" w:color="auto"/>
          </w:divBdr>
          <w:divsChild>
            <w:div w:id="29379301">
              <w:marLeft w:val="0"/>
              <w:marRight w:val="0"/>
              <w:marTop w:val="0"/>
              <w:marBottom w:val="0"/>
              <w:divBdr>
                <w:top w:val="none" w:sz="0" w:space="0" w:color="auto"/>
                <w:left w:val="none" w:sz="0" w:space="0" w:color="auto"/>
                <w:bottom w:val="none" w:sz="0" w:space="0" w:color="auto"/>
                <w:right w:val="none" w:sz="0" w:space="0" w:color="auto"/>
              </w:divBdr>
            </w:div>
          </w:divsChild>
        </w:div>
        <w:div w:id="1249778060">
          <w:marLeft w:val="0"/>
          <w:marRight w:val="0"/>
          <w:marTop w:val="0"/>
          <w:marBottom w:val="0"/>
          <w:divBdr>
            <w:top w:val="none" w:sz="0" w:space="0" w:color="auto"/>
            <w:left w:val="none" w:sz="0" w:space="0" w:color="auto"/>
            <w:bottom w:val="none" w:sz="0" w:space="0" w:color="auto"/>
            <w:right w:val="none" w:sz="0" w:space="0" w:color="auto"/>
          </w:divBdr>
          <w:divsChild>
            <w:div w:id="119693634">
              <w:marLeft w:val="0"/>
              <w:marRight w:val="0"/>
              <w:marTop w:val="0"/>
              <w:marBottom w:val="0"/>
              <w:divBdr>
                <w:top w:val="none" w:sz="0" w:space="0" w:color="auto"/>
                <w:left w:val="none" w:sz="0" w:space="0" w:color="auto"/>
                <w:bottom w:val="none" w:sz="0" w:space="0" w:color="auto"/>
                <w:right w:val="none" w:sz="0" w:space="0" w:color="auto"/>
              </w:divBdr>
            </w:div>
          </w:divsChild>
        </w:div>
        <w:div w:id="1253274758">
          <w:marLeft w:val="0"/>
          <w:marRight w:val="0"/>
          <w:marTop w:val="0"/>
          <w:marBottom w:val="0"/>
          <w:divBdr>
            <w:top w:val="none" w:sz="0" w:space="0" w:color="auto"/>
            <w:left w:val="none" w:sz="0" w:space="0" w:color="auto"/>
            <w:bottom w:val="none" w:sz="0" w:space="0" w:color="auto"/>
            <w:right w:val="none" w:sz="0" w:space="0" w:color="auto"/>
          </w:divBdr>
          <w:divsChild>
            <w:div w:id="345597170">
              <w:marLeft w:val="0"/>
              <w:marRight w:val="0"/>
              <w:marTop w:val="0"/>
              <w:marBottom w:val="0"/>
              <w:divBdr>
                <w:top w:val="none" w:sz="0" w:space="0" w:color="auto"/>
                <w:left w:val="none" w:sz="0" w:space="0" w:color="auto"/>
                <w:bottom w:val="none" w:sz="0" w:space="0" w:color="auto"/>
                <w:right w:val="none" w:sz="0" w:space="0" w:color="auto"/>
              </w:divBdr>
            </w:div>
          </w:divsChild>
        </w:div>
        <w:div w:id="1253975925">
          <w:marLeft w:val="0"/>
          <w:marRight w:val="0"/>
          <w:marTop w:val="0"/>
          <w:marBottom w:val="0"/>
          <w:divBdr>
            <w:top w:val="none" w:sz="0" w:space="0" w:color="auto"/>
            <w:left w:val="none" w:sz="0" w:space="0" w:color="auto"/>
            <w:bottom w:val="none" w:sz="0" w:space="0" w:color="auto"/>
            <w:right w:val="none" w:sz="0" w:space="0" w:color="auto"/>
          </w:divBdr>
          <w:divsChild>
            <w:div w:id="1001808594">
              <w:marLeft w:val="0"/>
              <w:marRight w:val="0"/>
              <w:marTop w:val="0"/>
              <w:marBottom w:val="0"/>
              <w:divBdr>
                <w:top w:val="none" w:sz="0" w:space="0" w:color="auto"/>
                <w:left w:val="none" w:sz="0" w:space="0" w:color="auto"/>
                <w:bottom w:val="none" w:sz="0" w:space="0" w:color="auto"/>
                <w:right w:val="none" w:sz="0" w:space="0" w:color="auto"/>
              </w:divBdr>
            </w:div>
          </w:divsChild>
        </w:div>
        <w:div w:id="1259677245">
          <w:marLeft w:val="0"/>
          <w:marRight w:val="0"/>
          <w:marTop w:val="0"/>
          <w:marBottom w:val="0"/>
          <w:divBdr>
            <w:top w:val="none" w:sz="0" w:space="0" w:color="auto"/>
            <w:left w:val="none" w:sz="0" w:space="0" w:color="auto"/>
            <w:bottom w:val="none" w:sz="0" w:space="0" w:color="auto"/>
            <w:right w:val="none" w:sz="0" w:space="0" w:color="auto"/>
          </w:divBdr>
          <w:divsChild>
            <w:div w:id="80178272">
              <w:marLeft w:val="0"/>
              <w:marRight w:val="0"/>
              <w:marTop w:val="0"/>
              <w:marBottom w:val="0"/>
              <w:divBdr>
                <w:top w:val="none" w:sz="0" w:space="0" w:color="auto"/>
                <w:left w:val="none" w:sz="0" w:space="0" w:color="auto"/>
                <w:bottom w:val="none" w:sz="0" w:space="0" w:color="auto"/>
                <w:right w:val="none" w:sz="0" w:space="0" w:color="auto"/>
              </w:divBdr>
            </w:div>
          </w:divsChild>
        </w:div>
        <w:div w:id="1283729719">
          <w:marLeft w:val="0"/>
          <w:marRight w:val="0"/>
          <w:marTop w:val="0"/>
          <w:marBottom w:val="0"/>
          <w:divBdr>
            <w:top w:val="none" w:sz="0" w:space="0" w:color="auto"/>
            <w:left w:val="none" w:sz="0" w:space="0" w:color="auto"/>
            <w:bottom w:val="none" w:sz="0" w:space="0" w:color="auto"/>
            <w:right w:val="none" w:sz="0" w:space="0" w:color="auto"/>
          </w:divBdr>
          <w:divsChild>
            <w:div w:id="143590215">
              <w:marLeft w:val="0"/>
              <w:marRight w:val="0"/>
              <w:marTop w:val="0"/>
              <w:marBottom w:val="0"/>
              <w:divBdr>
                <w:top w:val="none" w:sz="0" w:space="0" w:color="auto"/>
                <w:left w:val="none" w:sz="0" w:space="0" w:color="auto"/>
                <w:bottom w:val="none" w:sz="0" w:space="0" w:color="auto"/>
                <w:right w:val="none" w:sz="0" w:space="0" w:color="auto"/>
              </w:divBdr>
            </w:div>
          </w:divsChild>
        </w:div>
        <w:div w:id="1286690854">
          <w:marLeft w:val="0"/>
          <w:marRight w:val="0"/>
          <w:marTop w:val="0"/>
          <w:marBottom w:val="0"/>
          <w:divBdr>
            <w:top w:val="none" w:sz="0" w:space="0" w:color="auto"/>
            <w:left w:val="none" w:sz="0" w:space="0" w:color="auto"/>
            <w:bottom w:val="none" w:sz="0" w:space="0" w:color="auto"/>
            <w:right w:val="none" w:sz="0" w:space="0" w:color="auto"/>
          </w:divBdr>
          <w:divsChild>
            <w:div w:id="1334722046">
              <w:marLeft w:val="0"/>
              <w:marRight w:val="0"/>
              <w:marTop w:val="0"/>
              <w:marBottom w:val="0"/>
              <w:divBdr>
                <w:top w:val="none" w:sz="0" w:space="0" w:color="auto"/>
                <w:left w:val="none" w:sz="0" w:space="0" w:color="auto"/>
                <w:bottom w:val="none" w:sz="0" w:space="0" w:color="auto"/>
                <w:right w:val="none" w:sz="0" w:space="0" w:color="auto"/>
              </w:divBdr>
            </w:div>
          </w:divsChild>
        </w:div>
        <w:div w:id="1292637407">
          <w:marLeft w:val="0"/>
          <w:marRight w:val="0"/>
          <w:marTop w:val="0"/>
          <w:marBottom w:val="0"/>
          <w:divBdr>
            <w:top w:val="none" w:sz="0" w:space="0" w:color="auto"/>
            <w:left w:val="none" w:sz="0" w:space="0" w:color="auto"/>
            <w:bottom w:val="none" w:sz="0" w:space="0" w:color="auto"/>
            <w:right w:val="none" w:sz="0" w:space="0" w:color="auto"/>
          </w:divBdr>
          <w:divsChild>
            <w:div w:id="550653135">
              <w:marLeft w:val="0"/>
              <w:marRight w:val="0"/>
              <w:marTop w:val="0"/>
              <w:marBottom w:val="0"/>
              <w:divBdr>
                <w:top w:val="none" w:sz="0" w:space="0" w:color="auto"/>
                <w:left w:val="none" w:sz="0" w:space="0" w:color="auto"/>
                <w:bottom w:val="none" w:sz="0" w:space="0" w:color="auto"/>
                <w:right w:val="none" w:sz="0" w:space="0" w:color="auto"/>
              </w:divBdr>
            </w:div>
          </w:divsChild>
        </w:div>
        <w:div w:id="1305811816">
          <w:marLeft w:val="0"/>
          <w:marRight w:val="0"/>
          <w:marTop w:val="0"/>
          <w:marBottom w:val="0"/>
          <w:divBdr>
            <w:top w:val="none" w:sz="0" w:space="0" w:color="auto"/>
            <w:left w:val="none" w:sz="0" w:space="0" w:color="auto"/>
            <w:bottom w:val="none" w:sz="0" w:space="0" w:color="auto"/>
            <w:right w:val="none" w:sz="0" w:space="0" w:color="auto"/>
          </w:divBdr>
          <w:divsChild>
            <w:div w:id="11495150">
              <w:marLeft w:val="0"/>
              <w:marRight w:val="0"/>
              <w:marTop w:val="0"/>
              <w:marBottom w:val="0"/>
              <w:divBdr>
                <w:top w:val="none" w:sz="0" w:space="0" w:color="auto"/>
                <w:left w:val="none" w:sz="0" w:space="0" w:color="auto"/>
                <w:bottom w:val="none" w:sz="0" w:space="0" w:color="auto"/>
                <w:right w:val="none" w:sz="0" w:space="0" w:color="auto"/>
              </w:divBdr>
            </w:div>
          </w:divsChild>
        </w:div>
        <w:div w:id="1306931287">
          <w:marLeft w:val="0"/>
          <w:marRight w:val="0"/>
          <w:marTop w:val="0"/>
          <w:marBottom w:val="0"/>
          <w:divBdr>
            <w:top w:val="none" w:sz="0" w:space="0" w:color="auto"/>
            <w:left w:val="none" w:sz="0" w:space="0" w:color="auto"/>
            <w:bottom w:val="none" w:sz="0" w:space="0" w:color="auto"/>
            <w:right w:val="none" w:sz="0" w:space="0" w:color="auto"/>
          </w:divBdr>
          <w:divsChild>
            <w:div w:id="1511068285">
              <w:marLeft w:val="0"/>
              <w:marRight w:val="0"/>
              <w:marTop w:val="0"/>
              <w:marBottom w:val="0"/>
              <w:divBdr>
                <w:top w:val="none" w:sz="0" w:space="0" w:color="auto"/>
                <w:left w:val="none" w:sz="0" w:space="0" w:color="auto"/>
                <w:bottom w:val="none" w:sz="0" w:space="0" w:color="auto"/>
                <w:right w:val="none" w:sz="0" w:space="0" w:color="auto"/>
              </w:divBdr>
            </w:div>
          </w:divsChild>
        </w:div>
        <w:div w:id="1315066517">
          <w:marLeft w:val="0"/>
          <w:marRight w:val="0"/>
          <w:marTop w:val="0"/>
          <w:marBottom w:val="0"/>
          <w:divBdr>
            <w:top w:val="none" w:sz="0" w:space="0" w:color="auto"/>
            <w:left w:val="none" w:sz="0" w:space="0" w:color="auto"/>
            <w:bottom w:val="none" w:sz="0" w:space="0" w:color="auto"/>
            <w:right w:val="none" w:sz="0" w:space="0" w:color="auto"/>
          </w:divBdr>
          <w:divsChild>
            <w:div w:id="1019235465">
              <w:marLeft w:val="0"/>
              <w:marRight w:val="0"/>
              <w:marTop w:val="0"/>
              <w:marBottom w:val="0"/>
              <w:divBdr>
                <w:top w:val="none" w:sz="0" w:space="0" w:color="auto"/>
                <w:left w:val="none" w:sz="0" w:space="0" w:color="auto"/>
                <w:bottom w:val="none" w:sz="0" w:space="0" w:color="auto"/>
                <w:right w:val="none" w:sz="0" w:space="0" w:color="auto"/>
              </w:divBdr>
            </w:div>
          </w:divsChild>
        </w:div>
        <w:div w:id="1327782653">
          <w:marLeft w:val="0"/>
          <w:marRight w:val="0"/>
          <w:marTop w:val="0"/>
          <w:marBottom w:val="0"/>
          <w:divBdr>
            <w:top w:val="none" w:sz="0" w:space="0" w:color="auto"/>
            <w:left w:val="none" w:sz="0" w:space="0" w:color="auto"/>
            <w:bottom w:val="none" w:sz="0" w:space="0" w:color="auto"/>
            <w:right w:val="none" w:sz="0" w:space="0" w:color="auto"/>
          </w:divBdr>
          <w:divsChild>
            <w:div w:id="275715025">
              <w:marLeft w:val="0"/>
              <w:marRight w:val="0"/>
              <w:marTop w:val="0"/>
              <w:marBottom w:val="0"/>
              <w:divBdr>
                <w:top w:val="none" w:sz="0" w:space="0" w:color="auto"/>
                <w:left w:val="none" w:sz="0" w:space="0" w:color="auto"/>
                <w:bottom w:val="none" w:sz="0" w:space="0" w:color="auto"/>
                <w:right w:val="none" w:sz="0" w:space="0" w:color="auto"/>
              </w:divBdr>
            </w:div>
          </w:divsChild>
        </w:div>
        <w:div w:id="1335954943">
          <w:marLeft w:val="0"/>
          <w:marRight w:val="0"/>
          <w:marTop w:val="0"/>
          <w:marBottom w:val="0"/>
          <w:divBdr>
            <w:top w:val="none" w:sz="0" w:space="0" w:color="auto"/>
            <w:left w:val="none" w:sz="0" w:space="0" w:color="auto"/>
            <w:bottom w:val="none" w:sz="0" w:space="0" w:color="auto"/>
            <w:right w:val="none" w:sz="0" w:space="0" w:color="auto"/>
          </w:divBdr>
          <w:divsChild>
            <w:div w:id="365520989">
              <w:marLeft w:val="0"/>
              <w:marRight w:val="0"/>
              <w:marTop w:val="0"/>
              <w:marBottom w:val="0"/>
              <w:divBdr>
                <w:top w:val="none" w:sz="0" w:space="0" w:color="auto"/>
                <w:left w:val="none" w:sz="0" w:space="0" w:color="auto"/>
                <w:bottom w:val="none" w:sz="0" w:space="0" w:color="auto"/>
                <w:right w:val="none" w:sz="0" w:space="0" w:color="auto"/>
              </w:divBdr>
            </w:div>
          </w:divsChild>
        </w:div>
        <w:div w:id="1336031385">
          <w:marLeft w:val="0"/>
          <w:marRight w:val="0"/>
          <w:marTop w:val="0"/>
          <w:marBottom w:val="0"/>
          <w:divBdr>
            <w:top w:val="none" w:sz="0" w:space="0" w:color="auto"/>
            <w:left w:val="none" w:sz="0" w:space="0" w:color="auto"/>
            <w:bottom w:val="none" w:sz="0" w:space="0" w:color="auto"/>
            <w:right w:val="none" w:sz="0" w:space="0" w:color="auto"/>
          </w:divBdr>
          <w:divsChild>
            <w:div w:id="706181537">
              <w:marLeft w:val="0"/>
              <w:marRight w:val="0"/>
              <w:marTop w:val="0"/>
              <w:marBottom w:val="0"/>
              <w:divBdr>
                <w:top w:val="none" w:sz="0" w:space="0" w:color="auto"/>
                <w:left w:val="none" w:sz="0" w:space="0" w:color="auto"/>
                <w:bottom w:val="none" w:sz="0" w:space="0" w:color="auto"/>
                <w:right w:val="none" w:sz="0" w:space="0" w:color="auto"/>
              </w:divBdr>
            </w:div>
          </w:divsChild>
        </w:div>
        <w:div w:id="1337927580">
          <w:marLeft w:val="0"/>
          <w:marRight w:val="0"/>
          <w:marTop w:val="0"/>
          <w:marBottom w:val="0"/>
          <w:divBdr>
            <w:top w:val="none" w:sz="0" w:space="0" w:color="auto"/>
            <w:left w:val="none" w:sz="0" w:space="0" w:color="auto"/>
            <w:bottom w:val="none" w:sz="0" w:space="0" w:color="auto"/>
            <w:right w:val="none" w:sz="0" w:space="0" w:color="auto"/>
          </w:divBdr>
          <w:divsChild>
            <w:div w:id="41102771">
              <w:marLeft w:val="0"/>
              <w:marRight w:val="0"/>
              <w:marTop w:val="0"/>
              <w:marBottom w:val="0"/>
              <w:divBdr>
                <w:top w:val="none" w:sz="0" w:space="0" w:color="auto"/>
                <w:left w:val="none" w:sz="0" w:space="0" w:color="auto"/>
                <w:bottom w:val="none" w:sz="0" w:space="0" w:color="auto"/>
                <w:right w:val="none" w:sz="0" w:space="0" w:color="auto"/>
              </w:divBdr>
            </w:div>
          </w:divsChild>
        </w:div>
        <w:div w:id="1344436438">
          <w:marLeft w:val="0"/>
          <w:marRight w:val="0"/>
          <w:marTop w:val="0"/>
          <w:marBottom w:val="0"/>
          <w:divBdr>
            <w:top w:val="none" w:sz="0" w:space="0" w:color="auto"/>
            <w:left w:val="none" w:sz="0" w:space="0" w:color="auto"/>
            <w:bottom w:val="none" w:sz="0" w:space="0" w:color="auto"/>
            <w:right w:val="none" w:sz="0" w:space="0" w:color="auto"/>
          </w:divBdr>
          <w:divsChild>
            <w:div w:id="488209195">
              <w:marLeft w:val="0"/>
              <w:marRight w:val="0"/>
              <w:marTop w:val="0"/>
              <w:marBottom w:val="0"/>
              <w:divBdr>
                <w:top w:val="none" w:sz="0" w:space="0" w:color="auto"/>
                <w:left w:val="none" w:sz="0" w:space="0" w:color="auto"/>
                <w:bottom w:val="none" w:sz="0" w:space="0" w:color="auto"/>
                <w:right w:val="none" w:sz="0" w:space="0" w:color="auto"/>
              </w:divBdr>
            </w:div>
          </w:divsChild>
        </w:div>
        <w:div w:id="1356543143">
          <w:marLeft w:val="0"/>
          <w:marRight w:val="0"/>
          <w:marTop w:val="0"/>
          <w:marBottom w:val="0"/>
          <w:divBdr>
            <w:top w:val="none" w:sz="0" w:space="0" w:color="auto"/>
            <w:left w:val="none" w:sz="0" w:space="0" w:color="auto"/>
            <w:bottom w:val="none" w:sz="0" w:space="0" w:color="auto"/>
            <w:right w:val="none" w:sz="0" w:space="0" w:color="auto"/>
          </w:divBdr>
          <w:divsChild>
            <w:div w:id="1880582604">
              <w:marLeft w:val="0"/>
              <w:marRight w:val="0"/>
              <w:marTop w:val="0"/>
              <w:marBottom w:val="0"/>
              <w:divBdr>
                <w:top w:val="none" w:sz="0" w:space="0" w:color="auto"/>
                <w:left w:val="none" w:sz="0" w:space="0" w:color="auto"/>
                <w:bottom w:val="none" w:sz="0" w:space="0" w:color="auto"/>
                <w:right w:val="none" w:sz="0" w:space="0" w:color="auto"/>
              </w:divBdr>
            </w:div>
          </w:divsChild>
        </w:div>
        <w:div w:id="1358577962">
          <w:marLeft w:val="0"/>
          <w:marRight w:val="0"/>
          <w:marTop w:val="0"/>
          <w:marBottom w:val="0"/>
          <w:divBdr>
            <w:top w:val="none" w:sz="0" w:space="0" w:color="auto"/>
            <w:left w:val="none" w:sz="0" w:space="0" w:color="auto"/>
            <w:bottom w:val="none" w:sz="0" w:space="0" w:color="auto"/>
            <w:right w:val="none" w:sz="0" w:space="0" w:color="auto"/>
          </w:divBdr>
          <w:divsChild>
            <w:div w:id="457182494">
              <w:marLeft w:val="0"/>
              <w:marRight w:val="0"/>
              <w:marTop w:val="0"/>
              <w:marBottom w:val="0"/>
              <w:divBdr>
                <w:top w:val="none" w:sz="0" w:space="0" w:color="auto"/>
                <w:left w:val="none" w:sz="0" w:space="0" w:color="auto"/>
                <w:bottom w:val="none" w:sz="0" w:space="0" w:color="auto"/>
                <w:right w:val="none" w:sz="0" w:space="0" w:color="auto"/>
              </w:divBdr>
            </w:div>
          </w:divsChild>
        </w:div>
        <w:div w:id="1362509666">
          <w:marLeft w:val="0"/>
          <w:marRight w:val="0"/>
          <w:marTop w:val="0"/>
          <w:marBottom w:val="0"/>
          <w:divBdr>
            <w:top w:val="none" w:sz="0" w:space="0" w:color="auto"/>
            <w:left w:val="none" w:sz="0" w:space="0" w:color="auto"/>
            <w:bottom w:val="none" w:sz="0" w:space="0" w:color="auto"/>
            <w:right w:val="none" w:sz="0" w:space="0" w:color="auto"/>
          </w:divBdr>
          <w:divsChild>
            <w:div w:id="2016564619">
              <w:marLeft w:val="0"/>
              <w:marRight w:val="0"/>
              <w:marTop w:val="0"/>
              <w:marBottom w:val="0"/>
              <w:divBdr>
                <w:top w:val="none" w:sz="0" w:space="0" w:color="auto"/>
                <w:left w:val="none" w:sz="0" w:space="0" w:color="auto"/>
                <w:bottom w:val="none" w:sz="0" w:space="0" w:color="auto"/>
                <w:right w:val="none" w:sz="0" w:space="0" w:color="auto"/>
              </w:divBdr>
            </w:div>
          </w:divsChild>
        </w:div>
        <w:div w:id="1362782111">
          <w:marLeft w:val="0"/>
          <w:marRight w:val="0"/>
          <w:marTop w:val="0"/>
          <w:marBottom w:val="0"/>
          <w:divBdr>
            <w:top w:val="none" w:sz="0" w:space="0" w:color="auto"/>
            <w:left w:val="none" w:sz="0" w:space="0" w:color="auto"/>
            <w:bottom w:val="none" w:sz="0" w:space="0" w:color="auto"/>
            <w:right w:val="none" w:sz="0" w:space="0" w:color="auto"/>
          </w:divBdr>
          <w:divsChild>
            <w:div w:id="361326651">
              <w:marLeft w:val="0"/>
              <w:marRight w:val="0"/>
              <w:marTop w:val="0"/>
              <w:marBottom w:val="0"/>
              <w:divBdr>
                <w:top w:val="none" w:sz="0" w:space="0" w:color="auto"/>
                <w:left w:val="none" w:sz="0" w:space="0" w:color="auto"/>
                <w:bottom w:val="none" w:sz="0" w:space="0" w:color="auto"/>
                <w:right w:val="none" w:sz="0" w:space="0" w:color="auto"/>
              </w:divBdr>
            </w:div>
          </w:divsChild>
        </w:div>
        <w:div w:id="1371998347">
          <w:marLeft w:val="0"/>
          <w:marRight w:val="0"/>
          <w:marTop w:val="0"/>
          <w:marBottom w:val="0"/>
          <w:divBdr>
            <w:top w:val="none" w:sz="0" w:space="0" w:color="auto"/>
            <w:left w:val="none" w:sz="0" w:space="0" w:color="auto"/>
            <w:bottom w:val="none" w:sz="0" w:space="0" w:color="auto"/>
            <w:right w:val="none" w:sz="0" w:space="0" w:color="auto"/>
          </w:divBdr>
          <w:divsChild>
            <w:div w:id="1414082992">
              <w:marLeft w:val="0"/>
              <w:marRight w:val="0"/>
              <w:marTop w:val="0"/>
              <w:marBottom w:val="0"/>
              <w:divBdr>
                <w:top w:val="none" w:sz="0" w:space="0" w:color="auto"/>
                <w:left w:val="none" w:sz="0" w:space="0" w:color="auto"/>
                <w:bottom w:val="none" w:sz="0" w:space="0" w:color="auto"/>
                <w:right w:val="none" w:sz="0" w:space="0" w:color="auto"/>
              </w:divBdr>
            </w:div>
          </w:divsChild>
        </w:div>
        <w:div w:id="1378508295">
          <w:marLeft w:val="0"/>
          <w:marRight w:val="0"/>
          <w:marTop w:val="0"/>
          <w:marBottom w:val="0"/>
          <w:divBdr>
            <w:top w:val="none" w:sz="0" w:space="0" w:color="auto"/>
            <w:left w:val="none" w:sz="0" w:space="0" w:color="auto"/>
            <w:bottom w:val="none" w:sz="0" w:space="0" w:color="auto"/>
            <w:right w:val="none" w:sz="0" w:space="0" w:color="auto"/>
          </w:divBdr>
          <w:divsChild>
            <w:div w:id="232590729">
              <w:marLeft w:val="0"/>
              <w:marRight w:val="0"/>
              <w:marTop w:val="0"/>
              <w:marBottom w:val="0"/>
              <w:divBdr>
                <w:top w:val="none" w:sz="0" w:space="0" w:color="auto"/>
                <w:left w:val="none" w:sz="0" w:space="0" w:color="auto"/>
                <w:bottom w:val="none" w:sz="0" w:space="0" w:color="auto"/>
                <w:right w:val="none" w:sz="0" w:space="0" w:color="auto"/>
              </w:divBdr>
            </w:div>
          </w:divsChild>
        </w:div>
        <w:div w:id="1379092022">
          <w:marLeft w:val="0"/>
          <w:marRight w:val="0"/>
          <w:marTop w:val="0"/>
          <w:marBottom w:val="0"/>
          <w:divBdr>
            <w:top w:val="none" w:sz="0" w:space="0" w:color="auto"/>
            <w:left w:val="none" w:sz="0" w:space="0" w:color="auto"/>
            <w:bottom w:val="none" w:sz="0" w:space="0" w:color="auto"/>
            <w:right w:val="none" w:sz="0" w:space="0" w:color="auto"/>
          </w:divBdr>
          <w:divsChild>
            <w:div w:id="1435056000">
              <w:marLeft w:val="0"/>
              <w:marRight w:val="0"/>
              <w:marTop w:val="0"/>
              <w:marBottom w:val="0"/>
              <w:divBdr>
                <w:top w:val="none" w:sz="0" w:space="0" w:color="auto"/>
                <w:left w:val="none" w:sz="0" w:space="0" w:color="auto"/>
                <w:bottom w:val="none" w:sz="0" w:space="0" w:color="auto"/>
                <w:right w:val="none" w:sz="0" w:space="0" w:color="auto"/>
              </w:divBdr>
            </w:div>
          </w:divsChild>
        </w:div>
        <w:div w:id="1389499761">
          <w:marLeft w:val="0"/>
          <w:marRight w:val="0"/>
          <w:marTop w:val="0"/>
          <w:marBottom w:val="0"/>
          <w:divBdr>
            <w:top w:val="none" w:sz="0" w:space="0" w:color="auto"/>
            <w:left w:val="none" w:sz="0" w:space="0" w:color="auto"/>
            <w:bottom w:val="none" w:sz="0" w:space="0" w:color="auto"/>
            <w:right w:val="none" w:sz="0" w:space="0" w:color="auto"/>
          </w:divBdr>
          <w:divsChild>
            <w:div w:id="684983302">
              <w:marLeft w:val="0"/>
              <w:marRight w:val="0"/>
              <w:marTop w:val="0"/>
              <w:marBottom w:val="0"/>
              <w:divBdr>
                <w:top w:val="none" w:sz="0" w:space="0" w:color="auto"/>
                <w:left w:val="none" w:sz="0" w:space="0" w:color="auto"/>
                <w:bottom w:val="none" w:sz="0" w:space="0" w:color="auto"/>
                <w:right w:val="none" w:sz="0" w:space="0" w:color="auto"/>
              </w:divBdr>
            </w:div>
          </w:divsChild>
        </w:div>
        <w:div w:id="1392849684">
          <w:marLeft w:val="0"/>
          <w:marRight w:val="0"/>
          <w:marTop w:val="0"/>
          <w:marBottom w:val="0"/>
          <w:divBdr>
            <w:top w:val="none" w:sz="0" w:space="0" w:color="auto"/>
            <w:left w:val="none" w:sz="0" w:space="0" w:color="auto"/>
            <w:bottom w:val="none" w:sz="0" w:space="0" w:color="auto"/>
            <w:right w:val="none" w:sz="0" w:space="0" w:color="auto"/>
          </w:divBdr>
          <w:divsChild>
            <w:div w:id="2050254377">
              <w:marLeft w:val="0"/>
              <w:marRight w:val="0"/>
              <w:marTop w:val="0"/>
              <w:marBottom w:val="0"/>
              <w:divBdr>
                <w:top w:val="none" w:sz="0" w:space="0" w:color="auto"/>
                <w:left w:val="none" w:sz="0" w:space="0" w:color="auto"/>
                <w:bottom w:val="none" w:sz="0" w:space="0" w:color="auto"/>
                <w:right w:val="none" w:sz="0" w:space="0" w:color="auto"/>
              </w:divBdr>
            </w:div>
          </w:divsChild>
        </w:div>
        <w:div w:id="1401830766">
          <w:marLeft w:val="0"/>
          <w:marRight w:val="0"/>
          <w:marTop w:val="0"/>
          <w:marBottom w:val="0"/>
          <w:divBdr>
            <w:top w:val="none" w:sz="0" w:space="0" w:color="auto"/>
            <w:left w:val="none" w:sz="0" w:space="0" w:color="auto"/>
            <w:bottom w:val="none" w:sz="0" w:space="0" w:color="auto"/>
            <w:right w:val="none" w:sz="0" w:space="0" w:color="auto"/>
          </w:divBdr>
          <w:divsChild>
            <w:div w:id="2103337329">
              <w:marLeft w:val="0"/>
              <w:marRight w:val="0"/>
              <w:marTop w:val="0"/>
              <w:marBottom w:val="0"/>
              <w:divBdr>
                <w:top w:val="none" w:sz="0" w:space="0" w:color="auto"/>
                <w:left w:val="none" w:sz="0" w:space="0" w:color="auto"/>
                <w:bottom w:val="none" w:sz="0" w:space="0" w:color="auto"/>
                <w:right w:val="none" w:sz="0" w:space="0" w:color="auto"/>
              </w:divBdr>
            </w:div>
          </w:divsChild>
        </w:div>
        <w:div w:id="1405300290">
          <w:marLeft w:val="0"/>
          <w:marRight w:val="0"/>
          <w:marTop w:val="0"/>
          <w:marBottom w:val="0"/>
          <w:divBdr>
            <w:top w:val="none" w:sz="0" w:space="0" w:color="auto"/>
            <w:left w:val="none" w:sz="0" w:space="0" w:color="auto"/>
            <w:bottom w:val="none" w:sz="0" w:space="0" w:color="auto"/>
            <w:right w:val="none" w:sz="0" w:space="0" w:color="auto"/>
          </w:divBdr>
          <w:divsChild>
            <w:div w:id="295841470">
              <w:marLeft w:val="0"/>
              <w:marRight w:val="0"/>
              <w:marTop w:val="0"/>
              <w:marBottom w:val="0"/>
              <w:divBdr>
                <w:top w:val="none" w:sz="0" w:space="0" w:color="auto"/>
                <w:left w:val="none" w:sz="0" w:space="0" w:color="auto"/>
                <w:bottom w:val="none" w:sz="0" w:space="0" w:color="auto"/>
                <w:right w:val="none" w:sz="0" w:space="0" w:color="auto"/>
              </w:divBdr>
            </w:div>
          </w:divsChild>
        </w:div>
        <w:div w:id="1406758356">
          <w:marLeft w:val="0"/>
          <w:marRight w:val="0"/>
          <w:marTop w:val="0"/>
          <w:marBottom w:val="0"/>
          <w:divBdr>
            <w:top w:val="none" w:sz="0" w:space="0" w:color="auto"/>
            <w:left w:val="none" w:sz="0" w:space="0" w:color="auto"/>
            <w:bottom w:val="none" w:sz="0" w:space="0" w:color="auto"/>
            <w:right w:val="none" w:sz="0" w:space="0" w:color="auto"/>
          </w:divBdr>
          <w:divsChild>
            <w:div w:id="1423063636">
              <w:marLeft w:val="0"/>
              <w:marRight w:val="0"/>
              <w:marTop w:val="0"/>
              <w:marBottom w:val="0"/>
              <w:divBdr>
                <w:top w:val="none" w:sz="0" w:space="0" w:color="auto"/>
                <w:left w:val="none" w:sz="0" w:space="0" w:color="auto"/>
                <w:bottom w:val="none" w:sz="0" w:space="0" w:color="auto"/>
                <w:right w:val="none" w:sz="0" w:space="0" w:color="auto"/>
              </w:divBdr>
            </w:div>
          </w:divsChild>
        </w:div>
        <w:div w:id="1407536433">
          <w:marLeft w:val="0"/>
          <w:marRight w:val="0"/>
          <w:marTop w:val="0"/>
          <w:marBottom w:val="0"/>
          <w:divBdr>
            <w:top w:val="none" w:sz="0" w:space="0" w:color="auto"/>
            <w:left w:val="none" w:sz="0" w:space="0" w:color="auto"/>
            <w:bottom w:val="none" w:sz="0" w:space="0" w:color="auto"/>
            <w:right w:val="none" w:sz="0" w:space="0" w:color="auto"/>
          </w:divBdr>
          <w:divsChild>
            <w:div w:id="1541235881">
              <w:marLeft w:val="0"/>
              <w:marRight w:val="0"/>
              <w:marTop w:val="0"/>
              <w:marBottom w:val="0"/>
              <w:divBdr>
                <w:top w:val="none" w:sz="0" w:space="0" w:color="auto"/>
                <w:left w:val="none" w:sz="0" w:space="0" w:color="auto"/>
                <w:bottom w:val="none" w:sz="0" w:space="0" w:color="auto"/>
                <w:right w:val="none" w:sz="0" w:space="0" w:color="auto"/>
              </w:divBdr>
            </w:div>
          </w:divsChild>
        </w:div>
        <w:div w:id="1412578233">
          <w:marLeft w:val="0"/>
          <w:marRight w:val="0"/>
          <w:marTop w:val="0"/>
          <w:marBottom w:val="0"/>
          <w:divBdr>
            <w:top w:val="none" w:sz="0" w:space="0" w:color="auto"/>
            <w:left w:val="none" w:sz="0" w:space="0" w:color="auto"/>
            <w:bottom w:val="none" w:sz="0" w:space="0" w:color="auto"/>
            <w:right w:val="none" w:sz="0" w:space="0" w:color="auto"/>
          </w:divBdr>
          <w:divsChild>
            <w:div w:id="1174300154">
              <w:marLeft w:val="0"/>
              <w:marRight w:val="0"/>
              <w:marTop w:val="0"/>
              <w:marBottom w:val="0"/>
              <w:divBdr>
                <w:top w:val="none" w:sz="0" w:space="0" w:color="auto"/>
                <w:left w:val="none" w:sz="0" w:space="0" w:color="auto"/>
                <w:bottom w:val="none" w:sz="0" w:space="0" w:color="auto"/>
                <w:right w:val="none" w:sz="0" w:space="0" w:color="auto"/>
              </w:divBdr>
            </w:div>
          </w:divsChild>
        </w:div>
        <w:div w:id="1415316858">
          <w:marLeft w:val="0"/>
          <w:marRight w:val="0"/>
          <w:marTop w:val="0"/>
          <w:marBottom w:val="0"/>
          <w:divBdr>
            <w:top w:val="none" w:sz="0" w:space="0" w:color="auto"/>
            <w:left w:val="none" w:sz="0" w:space="0" w:color="auto"/>
            <w:bottom w:val="none" w:sz="0" w:space="0" w:color="auto"/>
            <w:right w:val="none" w:sz="0" w:space="0" w:color="auto"/>
          </w:divBdr>
          <w:divsChild>
            <w:div w:id="1060447186">
              <w:marLeft w:val="0"/>
              <w:marRight w:val="0"/>
              <w:marTop w:val="0"/>
              <w:marBottom w:val="0"/>
              <w:divBdr>
                <w:top w:val="none" w:sz="0" w:space="0" w:color="auto"/>
                <w:left w:val="none" w:sz="0" w:space="0" w:color="auto"/>
                <w:bottom w:val="none" w:sz="0" w:space="0" w:color="auto"/>
                <w:right w:val="none" w:sz="0" w:space="0" w:color="auto"/>
              </w:divBdr>
            </w:div>
          </w:divsChild>
        </w:div>
        <w:div w:id="1439452297">
          <w:marLeft w:val="0"/>
          <w:marRight w:val="0"/>
          <w:marTop w:val="0"/>
          <w:marBottom w:val="0"/>
          <w:divBdr>
            <w:top w:val="none" w:sz="0" w:space="0" w:color="auto"/>
            <w:left w:val="none" w:sz="0" w:space="0" w:color="auto"/>
            <w:bottom w:val="none" w:sz="0" w:space="0" w:color="auto"/>
            <w:right w:val="none" w:sz="0" w:space="0" w:color="auto"/>
          </w:divBdr>
          <w:divsChild>
            <w:div w:id="1952055829">
              <w:marLeft w:val="0"/>
              <w:marRight w:val="0"/>
              <w:marTop w:val="0"/>
              <w:marBottom w:val="0"/>
              <w:divBdr>
                <w:top w:val="none" w:sz="0" w:space="0" w:color="auto"/>
                <w:left w:val="none" w:sz="0" w:space="0" w:color="auto"/>
                <w:bottom w:val="none" w:sz="0" w:space="0" w:color="auto"/>
                <w:right w:val="none" w:sz="0" w:space="0" w:color="auto"/>
              </w:divBdr>
            </w:div>
          </w:divsChild>
        </w:div>
        <w:div w:id="1446734117">
          <w:marLeft w:val="0"/>
          <w:marRight w:val="0"/>
          <w:marTop w:val="0"/>
          <w:marBottom w:val="0"/>
          <w:divBdr>
            <w:top w:val="none" w:sz="0" w:space="0" w:color="auto"/>
            <w:left w:val="none" w:sz="0" w:space="0" w:color="auto"/>
            <w:bottom w:val="none" w:sz="0" w:space="0" w:color="auto"/>
            <w:right w:val="none" w:sz="0" w:space="0" w:color="auto"/>
          </w:divBdr>
          <w:divsChild>
            <w:div w:id="656344640">
              <w:marLeft w:val="0"/>
              <w:marRight w:val="0"/>
              <w:marTop w:val="0"/>
              <w:marBottom w:val="0"/>
              <w:divBdr>
                <w:top w:val="none" w:sz="0" w:space="0" w:color="auto"/>
                <w:left w:val="none" w:sz="0" w:space="0" w:color="auto"/>
                <w:bottom w:val="none" w:sz="0" w:space="0" w:color="auto"/>
                <w:right w:val="none" w:sz="0" w:space="0" w:color="auto"/>
              </w:divBdr>
            </w:div>
          </w:divsChild>
        </w:div>
        <w:div w:id="1450205400">
          <w:marLeft w:val="0"/>
          <w:marRight w:val="0"/>
          <w:marTop w:val="0"/>
          <w:marBottom w:val="0"/>
          <w:divBdr>
            <w:top w:val="none" w:sz="0" w:space="0" w:color="auto"/>
            <w:left w:val="none" w:sz="0" w:space="0" w:color="auto"/>
            <w:bottom w:val="none" w:sz="0" w:space="0" w:color="auto"/>
            <w:right w:val="none" w:sz="0" w:space="0" w:color="auto"/>
          </w:divBdr>
          <w:divsChild>
            <w:div w:id="1420447198">
              <w:marLeft w:val="0"/>
              <w:marRight w:val="0"/>
              <w:marTop w:val="0"/>
              <w:marBottom w:val="0"/>
              <w:divBdr>
                <w:top w:val="none" w:sz="0" w:space="0" w:color="auto"/>
                <w:left w:val="none" w:sz="0" w:space="0" w:color="auto"/>
                <w:bottom w:val="none" w:sz="0" w:space="0" w:color="auto"/>
                <w:right w:val="none" w:sz="0" w:space="0" w:color="auto"/>
              </w:divBdr>
            </w:div>
          </w:divsChild>
        </w:div>
        <w:div w:id="1457531254">
          <w:marLeft w:val="0"/>
          <w:marRight w:val="0"/>
          <w:marTop w:val="0"/>
          <w:marBottom w:val="0"/>
          <w:divBdr>
            <w:top w:val="none" w:sz="0" w:space="0" w:color="auto"/>
            <w:left w:val="none" w:sz="0" w:space="0" w:color="auto"/>
            <w:bottom w:val="none" w:sz="0" w:space="0" w:color="auto"/>
            <w:right w:val="none" w:sz="0" w:space="0" w:color="auto"/>
          </w:divBdr>
          <w:divsChild>
            <w:div w:id="771896306">
              <w:marLeft w:val="0"/>
              <w:marRight w:val="0"/>
              <w:marTop w:val="0"/>
              <w:marBottom w:val="0"/>
              <w:divBdr>
                <w:top w:val="none" w:sz="0" w:space="0" w:color="auto"/>
                <w:left w:val="none" w:sz="0" w:space="0" w:color="auto"/>
                <w:bottom w:val="none" w:sz="0" w:space="0" w:color="auto"/>
                <w:right w:val="none" w:sz="0" w:space="0" w:color="auto"/>
              </w:divBdr>
            </w:div>
          </w:divsChild>
        </w:div>
        <w:div w:id="1469519298">
          <w:marLeft w:val="0"/>
          <w:marRight w:val="0"/>
          <w:marTop w:val="0"/>
          <w:marBottom w:val="0"/>
          <w:divBdr>
            <w:top w:val="none" w:sz="0" w:space="0" w:color="auto"/>
            <w:left w:val="none" w:sz="0" w:space="0" w:color="auto"/>
            <w:bottom w:val="none" w:sz="0" w:space="0" w:color="auto"/>
            <w:right w:val="none" w:sz="0" w:space="0" w:color="auto"/>
          </w:divBdr>
          <w:divsChild>
            <w:div w:id="1467746043">
              <w:marLeft w:val="0"/>
              <w:marRight w:val="0"/>
              <w:marTop w:val="0"/>
              <w:marBottom w:val="0"/>
              <w:divBdr>
                <w:top w:val="none" w:sz="0" w:space="0" w:color="auto"/>
                <w:left w:val="none" w:sz="0" w:space="0" w:color="auto"/>
                <w:bottom w:val="none" w:sz="0" w:space="0" w:color="auto"/>
                <w:right w:val="none" w:sz="0" w:space="0" w:color="auto"/>
              </w:divBdr>
            </w:div>
          </w:divsChild>
        </w:div>
        <w:div w:id="1470051531">
          <w:marLeft w:val="0"/>
          <w:marRight w:val="0"/>
          <w:marTop w:val="0"/>
          <w:marBottom w:val="0"/>
          <w:divBdr>
            <w:top w:val="none" w:sz="0" w:space="0" w:color="auto"/>
            <w:left w:val="none" w:sz="0" w:space="0" w:color="auto"/>
            <w:bottom w:val="none" w:sz="0" w:space="0" w:color="auto"/>
            <w:right w:val="none" w:sz="0" w:space="0" w:color="auto"/>
          </w:divBdr>
          <w:divsChild>
            <w:div w:id="261455549">
              <w:marLeft w:val="0"/>
              <w:marRight w:val="0"/>
              <w:marTop w:val="0"/>
              <w:marBottom w:val="0"/>
              <w:divBdr>
                <w:top w:val="none" w:sz="0" w:space="0" w:color="auto"/>
                <w:left w:val="none" w:sz="0" w:space="0" w:color="auto"/>
                <w:bottom w:val="none" w:sz="0" w:space="0" w:color="auto"/>
                <w:right w:val="none" w:sz="0" w:space="0" w:color="auto"/>
              </w:divBdr>
            </w:div>
          </w:divsChild>
        </w:div>
        <w:div w:id="1485390611">
          <w:marLeft w:val="0"/>
          <w:marRight w:val="0"/>
          <w:marTop w:val="0"/>
          <w:marBottom w:val="0"/>
          <w:divBdr>
            <w:top w:val="none" w:sz="0" w:space="0" w:color="auto"/>
            <w:left w:val="none" w:sz="0" w:space="0" w:color="auto"/>
            <w:bottom w:val="none" w:sz="0" w:space="0" w:color="auto"/>
            <w:right w:val="none" w:sz="0" w:space="0" w:color="auto"/>
          </w:divBdr>
          <w:divsChild>
            <w:div w:id="1548027990">
              <w:marLeft w:val="0"/>
              <w:marRight w:val="0"/>
              <w:marTop w:val="0"/>
              <w:marBottom w:val="0"/>
              <w:divBdr>
                <w:top w:val="none" w:sz="0" w:space="0" w:color="auto"/>
                <w:left w:val="none" w:sz="0" w:space="0" w:color="auto"/>
                <w:bottom w:val="none" w:sz="0" w:space="0" w:color="auto"/>
                <w:right w:val="none" w:sz="0" w:space="0" w:color="auto"/>
              </w:divBdr>
            </w:div>
          </w:divsChild>
        </w:div>
        <w:div w:id="1515000558">
          <w:marLeft w:val="0"/>
          <w:marRight w:val="0"/>
          <w:marTop w:val="0"/>
          <w:marBottom w:val="0"/>
          <w:divBdr>
            <w:top w:val="none" w:sz="0" w:space="0" w:color="auto"/>
            <w:left w:val="none" w:sz="0" w:space="0" w:color="auto"/>
            <w:bottom w:val="none" w:sz="0" w:space="0" w:color="auto"/>
            <w:right w:val="none" w:sz="0" w:space="0" w:color="auto"/>
          </w:divBdr>
          <w:divsChild>
            <w:div w:id="1784182561">
              <w:marLeft w:val="0"/>
              <w:marRight w:val="0"/>
              <w:marTop w:val="0"/>
              <w:marBottom w:val="0"/>
              <w:divBdr>
                <w:top w:val="none" w:sz="0" w:space="0" w:color="auto"/>
                <w:left w:val="none" w:sz="0" w:space="0" w:color="auto"/>
                <w:bottom w:val="none" w:sz="0" w:space="0" w:color="auto"/>
                <w:right w:val="none" w:sz="0" w:space="0" w:color="auto"/>
              </w:divBdr>
            </w:div>
          </w:divsChild>
        </w:div>
        <w:div w:id="1528253327">
          <w:marLeft w:val="0"/>
          <w:marRight w:val="0"/>
          <w:marTop w:val="0"/>
          <w:marBottom w:val="0"/>
          <w:divBdr>
            <w:top w:val="none" w:sz="0" w:space="0" w:color="auto"/>
            <w:left w:val="none" w:sz="0" w:space="0" w:color="auto"/>
            <w:bottom w:val="none" w:sz="0" w:space="0" w:color="auto"/>
            <w:right w:val="none" w:sz="0" w:space="0" w:color="auto"/>
          </w:divBdr>
          <w:divsChild>
            <w:div w:id="1305086459">
              <w:marLeft w:val="0"/>
              <w:marRight w:val="0"/>
              <w:marTop w:val="0"/>
              <w:marBottom w:val="0"/>
              <w:divBdr>
                <w:top w:val="none" w:sz="0" w:space="0" w:color="auto"/>
                <w:left w:val="none" w:sz="0" w:space="0" w:color="auto"/>
                <w:bottom w:val="none" w:sz="0" w:space="0" w:color="auto"/>
                <w:right w:val="none" w:sz="0" w:space="0" w:color="auto"/>
              </w:divBdr>
            </w:div>
          </w:divsChild>
        </w:div>
        <w:div w:id="1528715998">
          <w:marLeft w:val="0"/>
          <w:marRight w:val="0"/>
          <w:marTop w:val="0"/>
          <w:marBottom w:val="0"/>
          <w:divBdr>
            <w:top w:val="none" w:sz="0" w:space="0" w:color="auto"/>
            <w:left w:val="none" w:sz="0" w:space="0" w:color="auto"/>
            <w:bottom w:val="none" w:sz="0" w:space="0" w:color="auto"/>
            <w:right w:val="none" w:sz="0" w:space="0" w:color="auto"/>
          </w:divBdr>
          <w:divsChild>
            <w:div w:id="1558736866">
              <w:marLeft w:val="0"/>
              <w:marRight w:val="0"/>
              <w:marTop w:val="0"/>
              <w:marBottom w:val="0"/>
              <w:divBdr>
                <w:top w:val="none" w:sz="0" w:space="0" w:color="auto"/>
                <w:left w:val="none" w:sz="0" w:space="0" w:color="auto"/>
                <w:bottom w:val="none" w:sz="0" w:space="0" w:color="auto"/>
                <w:right w:val="none" w:sz="0" w:space="0" w:color="auto"/>
              </w:divBdr>
            </w:div>
          </w:divsChild>
        </w:div>
        <w:div w:id="1536962405">
          <w:marLeft w:val="0"/>
          <w:marRight w:val="0"/>
          <w:marTop w:val="0"/>
          <w:marBottom w:val="0"/>
          <w:divBdr>
            <w:top w:val="none" w:sz="0" w:space="0" w:color="auto"/>
            <w:left w:val="none" w:sz="0" w:space="0" w:color="auto"/>
            <w:bottom w:val="none" w:sz="0" w:space="0" w:color="auto"/>
            <w:right w:val="none" w:sz="0" w:space="0" w:color="auto"/>
          </w:divBdr>
          <w:divsChild>
            <w:div w:id="1525946355">
              <w:marLeft w:val="0"/>
              <w:marRight w:val="0"/>
              <w:marTop w:val="0"/>
              <w:marBottom w:val="0"/>
              <w:divBdr>
                <w:top w:val="none" w:sz="0" w:space="0" w:color="auto"/>
                <w:left w:val="none" w:sz="0" w:space="0" w:color="auto"/>
                <w:bottom w:val="none" w:sz="0" w:space="0" w:color="auto"/>
                <w:right w:val="none" w:sz="0" w:space="0" w:color="auto"/>
              </w:divBdr>
            </w:div>
          </w:divsChild>
        </w:div>
        <w:div w:id="1540555827">
          <w:marLeft w:val="0"/>
          <w:marRight w:val="0"/>
          <w:marTop w:val="0"/>
          <w:marBottom w:val="0"/>
          <w:divBdr>
            <w:top w:val="none" w:sz="0" w:space="0" w:color="auto"/>
            <w:left w:val="none" w:sz="0" w:space="0" w:color="auto"/>
            <w:bottom w:val="none" w:sz="0" w:space="0" w:color="auto"/>
            <w:right w:val="none" w:sz="0" w:space="0" w:color="auto"/>
          </w:divBdr>
          <w:divsChild>
            <w:div w:id="2128114318">
              <w:marLeft w:val="0"/>
              <w:marRight w:val="0"/>
              <w:marTop w:val="0"/>
              <w:marBottom w:val="0"/>
              <w:divBdr>
                <w:top w:val="none" w:sz="0" w:space="0" w:color="auto"/>
                <w:left w:val="none" w:sz="0" w:space="0" w:color="auto"/>
                <w:bottom w:val="none" w:sz="0" w:space="0" w:color="auto"/>
                <w:right w:val="none" w:sz="0" w:space="0" w:color="auto"/>
              </w:divBdr>
            </w:div>
          </w:divsChild>
        </w:div>
        <w:div w:id="1546217018">
          <w:marLeft w:val="0"/>
          <w:marRight w:val="0"/>
          <w:marTop w:val="0"/>
          <w:marBottom w:val="0"/>
          <w:divBdr>
            <w:top w:val="none" w:sz="0" w:space="0" w:color="auto"/>
            <w:left w:val="none" w:sz="0" w:space="0" w:color="auto"/>
            <w:bottom w:val="none" w:sz="0" w:space="0" w:color="auto"/>
            <w:right w:val="none" w:sz="0" w:space="0" w:color="auto"/>
          </w:divBdr>
          <w:divsChild>
            <w:div w:id="1641808792">
              <w:marLeft w:val="0"/>
              <w:marRight w:val="0"/>
              <w:marTop w:val="0"/>
              <w:marBottom w:val="0"/>
              <w:divBdr>
                <w:top w:val="none" w:sz="0" w:space="0" w:color="auto"/>
                <w:left w:val="none" w:sz="0" w:space="0" w:color="auto"/>
                <w:bottom w:val="none" w:sz="0" w:space="0" w:color="auto"/>
                <w:right w:val="none" w:sz="0" w:space="0" w:color="auto"/>
              </w:divBdr>
            </w:div>
          </w:divsChild>
        </w:div>
        <w:div w:id="1552038406">
          <w:marLeft w:val="0"/>
          <w:marRight w:val="0"/>
          <w:marTop w:val="0"/>
          <w:marBottom w:val="0"/>
          <w:divBdr>
            <w:top w:val="none" w:sz="0" w:space="0" w:color="auto"/>
            <w:left w:val="none" w:sz="0" w:space="0" w:color="auto"/>
            <w:bottom w:val="none" w:sz="0" w:space="0" w:color="auto"/>
            <w:right w:val="none" w:sz="0" w:space="0" w:color="auto"/>
          </w:divBdr>
          <w:divsChild>
            <w:div w:id="1906989718">
              <w:marLeft w:val="0"/>
              <w:marRight w:val="0"/>
              <w:marTop w:val="0"/>
              <w:marBottom w:val="0"/>
              <w:divBdr>
                <w:top w:val="none" w:sz="0" w:space="0" w:color="auto"/>
                <w:left w:val="none" w:sz="0" w:space="0" w:color="auto"/>
                <w:bottom w:val="none" w:sz="0" w:space="0" w:color="auto"/>
                <w:right w:val="none" w:sz="0" w:space="0" w:color="auto"/>
              </w:divBdr>
            </w:div>
          </w:divsChild>
        </w:div>
        <w:div w:id="1554736832">
          <w:marLeft w:val="0"/>
          <w:marRight w:val="0"/>
          <w:marTop w:val="0"/>
          <w:marBottom w:val="0"/>
          <w:divBdr>
            <w:top w:val="none" w:sz="0" w:space="0" w:color="auto"/>
            <w:left w:val="none" w:sz="0" w:space="0" w:color="auto"/>
            <w:bottom w:val="none" w:sz="0" w:space="0" w:color="auto"/>
            <w:right w:val="none" w:sz="0" w:space="0" w:color="auto"/>
          </w:divBdr>
          <w:divsChild>
            <w:div w:id="1986205707">
              <w:marLeft w:val="0"/>
              <w:marRight w:val="0"/>
              <w:marTop w:val="0"/>
              <w:marBottom w:val="0"/>
              <w:divBdr>
                <w:top w:val="none" w:sz="0" w:space="0" w:color="auto"/>
                <w:left w:val="none" w:sz="0" w:space="0" w:color="auto"/>
                <w:bottom w:val="none" w:sz="0" w:space="0" w:color="auto"/>
                <w:right w:val="none" w:sz="0" w:space="0" w:color="auto"/>
              </w:divBdr>
            </w:div>
          </w:divsChild>
        </w:div>
        <w:div w:id="1569419194">
          <w:marLeft w:val="0"/>
          <w:marRight w:val="0"/>
          <w:marTop w:val="0"/>
          <w:marBottom w:val="0"/>
          <w:divBdr>
            <w:top w:val="none" w:sz="0" w:space="0" w:color="auto"/>
            <w:left w:val="none" w:sz="0" w:space="0" w:color="auto"/>
            <w:bottom w:val="none" w:sz="0" w:space="0" w:color="auto"/>
            <w:right w:val="none" w:sz="0" w:space="0" w:color="auto"/>
          </w:divBdr>
          <w:divsChild>
            <w:div w:id="202837099">
              <w:marLeft w:val="0"/>
              <w:marRight w:val="0"/>
              <w:marTop w:val="0"/>
              <w:marBottom w:val="0"/>
              <w:divBdr>
                <w:top w:val="none" w:sz="0" w:space="0" w:color="auto"/>
                <w:left w:val="none" w:sz="0" w:space="0" w:color="auto"/>
                <w:bottom w:val="none" w:sz="0" w:space="0" w:color="auto"/>
                <w:right w:val="none" w:sz="0" w:space="0" w:color="auto"/>
              </w:divBdr>
            </w:div>
          </w:divsChild>
        </w:div>
        <w:div w:id="1577396153">
          <w:marLeft w:val="0"/>
          <w:marRight w:val="0"/>
          <w:marTop w:val="0"/>
          <w:marBottom w:val="0"/>
          <w:divBdr>
            <w:top w:val="none" w:sz="0" w:space="0" w:color="auto"/>
            <w:left w:val="none" w:sz="0" w:space="0" w:color="auto"/>
            <w:bottom w:val="none" w:sz="0" w:space="0" w:color="auto"/>
            <w:right w:val="none" w:sz="0" w:space="0" w:color="auto"/>
          </w:divBdr>
          <w:divsChild>
            <w:div w:id="1148016422">
              <w:marLeft w:val="0"/>
              <w:marRight w:val="0"/>
              <w:marTop w:val="0"/>
              <w:marBottom w:val="0"/>
              <w:divBdr>
                <w:top w:val="none" w:sz="0" w:space="0" w:color="auto"/>
                <w:left w:val="none" w:sz="0" w:space="0" w:color="auto"/>
                <w:bottom w:val="none" w:sz="0" w:space="0" w:color="auto"/>
                <w:right w:val="none" w:sz="0" w:space="0" w:color="auto"/>
              </w:divBdr>
            </w:div>
          </w:divsChild>
        </w:div>
        <w:div w:id="1581593957">
          <w:marLeft w:val="0"/>
          <w:marRight w:val="0"/>
          <w:marTop w:val="0"/>
          <w:marBottom w:val="0"/>
          <w:divBdr>
            <w:top w:val="none" w:sz="0" w:space="0" w:color="auto"/>
            <w:left w:val="none" w:sz="0" w:space="0" w:color="auto"/>
            <w:bottom w:val="none" w:sz="0" w:space="0" w:color="auto"/>
            <w:right w:val="none" w:sz="0" w:space="0" w:color="auto"/>
          </w:divBdr>
          <w:divsChild>
            <w:div w:id="1082876290">
              <w:marLeft w:val="0"/>
              <w:marRight w:val="0"/>
              <w:marTop w:val="0"/>
              <w:marBottom w:val="0"/>
              <w:divBdr>
                <w:top w:val="none" w:sz="0" w:space="0" w:color="auto"/>
                <w:left w:val="none" w:sz="0" w:space="0" w:color="auto"/>
                <w:bottom w:val="none" w:sz="0" w:space="0" w:color="auto"/>
                <w:right w:val="none" w:sz="0" w:space="0" w:color="auto"/>
              </w:divBdr>
            </w:div>
          </w:divsChild>
        </w:div>
        <w:div w:id="1583559688">
          <w:marLeft w:val="0"/>
          <w:marRight w:val="0"/>
          <w:marTop w:val="0"/>
          <w:marBottom w:val="0"/>
          <w:divBdr>
            <w:top w:val="none" w:sz="0" w:space="0" w:color="auto"/>
            <w:left w:val="none" w:sz="0" w:space="0" w:color="auto"/>
            <w:bottom w:val="none" w:sz="0" w:space="0" w:color="auto"/>
            <w:right w:val="none" w:sz="0" w:space="0" w:color="auto"/>
          </w:divBdr>
          <w:divsChild>
            <w:div w:id="1834250911">
              <w:marLeft w:val="0"/>
              <w:marRight w:val="0"/>
              <w:marTop w:val="0"/>
              <w:marBottom w:val="0"/>
              <w:divBdr>
                <w:top w:val="none" w:sz="0" w:space="0" w:color="auto"/>
                <w:left w:val="none" w:sz="0" w:space="0" w:color="auto"/>
                <w:bottom w:val="none" w:sz="0" w:space="0" w:color="auto"/>
                <w:right w:val="none" w:sz="0" w:space="0" w:color="auto"/>
              </w:divBdr>
            </w:div>
          </w:divsChild>
        </w:div>
        <w:div w:id="1583637787">
          <w:marLeft w:val="0"/>
          <w:marRight w:val="0"/>
          <w:marTop w:val="0"/>
          <w:marBottom w:val="0"/>
          <w:divBdr>
            <w:top w:val="none" w:sz="0" w:space="0" w:color="auto"/>
            <w:left w:val="none" w:sz="0" w:space="0" w:color="auto"/>
            <w:bottom w:val="none" w:sz="0" w:space="0" w:color="auto"/>
            <w:right w:val="none" w:sz="0" w:space="0" w:color="auto"/>
          </w:divBdr>
          <w:divsChild>
            <w:div w:id="1889343849">
              <w:marLeft w:val="0"/>
              <w:marRight w:val="0"/>
              <w:marTop w:val="0"/>
              <w:marBottom w:val="0"/>
              <w:divBdr>
                <w:top w:val="none" w:sz="0" w:space="0" w:color="auto"/>
                <w:left w:val="none" w:sz="0" w:space="0" w:color="auto"/>
                <w:bottom w:val="none" w:sz="0" w:space="0" w:color="auto"/>
                <w:right w:val="none" w:sz="0" w:space="0" w:color="auto"/>
              </w:divBdr>
            </w:div>
          </w:divsChild>
        </w:div>
        <w:div w:id="1596161746">
          <w:marLeft w:val="0"/>
          <w:marRight w:val="0"/>
          <w:marTop w:val="0"/>
          <w:marBottom w:val="0"/>
          <w:divBdr>
            <w:top w:val="none" w:sz="0" w:space="0" w:color="auto"/>
            <w:left w:val="none" w:sz="0" w:space="0" w:color="auto"/>
            <w:bottom w:val="none" w:sz="0" w:space="0" w:color="auto"/>
            <w:right w:val="none" w:sz="0" w:space="0" w:color="auto"/>
          </w:divBdr>
          <w:divsChild>
            <w:div w:id="748814839">
              <w:marLeft w:val="0"/>
              <w:marRight w:val="0"/>
              <w:marTop w:val="0"/>
              <w:marBottom w:val="0"/>
              <w:divBdr>
                <w:top w:val="none" w:sz="0" w:space="0" w:color="auto"/>
                <w:left w:val="none" w:sz="0" w:space="0" w:color="auto"/>
                <w:bottom w:val="none" w:sz="0" w:space="0" w:color="auto"/>
                <w:right w:val="none" w:sz="0" w:space="0" w:color="auto"/>
              </w:divBdr>
            </w:div>
          </w:divsChild>
        </w:div>
        <w:div w:id="1607033009">
          <w:marLeft w:val="0"/>
          <w:marRight w:val="0"/>
          <w:marTop w:val="0"/>
          <w:marBottom w:val="0"/>
          <w:divBdr>
            <w:top w:val="none" w:sz="0" w:space="0" w:color="auto"/>
            <w:left w:val="none" w:sz="0" w:space="0" w:color="auto"/>
            <w:bottom w:val="none" w:sz="0" w:space="0" w:color="auto"/>
            <w:right w:val="none" w:sz="0" w:space="0" w:color="auto"/>
          </w:divBdr>
          <w:divsChild>
            <w:div w:id="1634405973">
              <w:marLeft w:val="0"/>
              <w:marRight w:val="0"/>
              <w:marTop w:val="0"/>
              <w:marBottom w:val="0"/>
              <w:divBdr>
                <w:top w:val="none" w:sz="0" w:space="0" w:color="auto"/>
                <w:left w:val="none" w:sz="0" w:space="0" w:color="auto"/>
                <w:bottom w:val="none" w:sz="0" w:space="0" w:color="auto"/>
                <w:right w:val="none" w:sz="0" w:space="0" w:color="auto"/>
              </w:divBdr>
            </w:div>
          </w:divsChild>
        </w:div>
        <w:div w:id="1627156251">
          <w:marLeft w:val="0"/>
          <w:marRight w:val="0"/>
          <w:marTop w:val="0"/>
          <w:marBottom w:val="0"/>
          <w:divBdr>
            <w:top w:val="none" w:sz="0" w:space="0" w:color="auto"/>
            <w:left w:val="none" w:sz="0" w:space="0" w:color="auto"/>
            <w:bottom w:val="none" w:sz="0" w:space="0" w:color="auto"/>
            <w:right w:val="none" w:sz="0" w:space="0" w:color="auto"/>
          </w:divBdr>
          <w:divsChild>
            <w:div w:id="589508203">
              <w:marLeft w:val="0"/>
              <w:marRight w:val="0"/>
              <w:marTop w:val="0"/>
              <w:marBottom w:val="0"/>
              <w:divBdr>
                <w:top w:val="none" w:sz="0" w:space="0" w:color="auto"/>
                <w:left w:val="none" w:sz="0" w:space="0" w:color="auto"/>
                <w:bottom w:val="none" w:sz="0" w:space="0" w:color="auto"/>
                <w:right w:val="none" w:sz="0" w:space="0" w:color="auto"/>
              </w:divBdr>
            </w:div>
          </w:divsChild>
        </w:div>
        <w:div w:id="1628966848">
          <w:marLeft w:val="0"/>
          <w:marRight w:val="0"/>
          <w:marTop w:val="0"/>
          <w:marBottom w:val="0"/>
          <w:divBdr>
            <w:top w:val="none" w:sz="0" w:space="0" w:color="auto"/>
            <w:left w:val="none" w:sz="0" w:space="0" w:color="auto"/>
            <w:bottom w:val="none" w:sz="0" w:space="0" w:color="auto"/>
            <w:right w:val="none" w:sz="0" w:space="0" w:color="auto"/>
          </w:divBdr>
          <w:divsChild>
            <w:div w:id="1316761482">
              <w:marLeft w:val="0"/>
              <w:marRight w:val="0"/>
              <w:marTop w:val="0"/>
              <w:marBottom w:val="0"/>
              <w:divBdr>
                <w:top w:val="none" w:sz="0" w:space="0" w:color="auto"/>
                <w:left w:val="none" w:sz="0" w:space="0" w:color="auto"/>
                <w:bottom w:val="none" w:sz="0" w:space="0" w:color="auto"/>
                <w:right w:val="none" w:sz="0" w:space="0" w:color="auto"/>
              </w:divBdr>
            </w:div>
          </w:divsChild>
        </w:div>
        <w:div w:id="1629627632">
          <w:marLeft w:val="0"/>
          <w:marRight w:val="0"/>
          <w:marTop w:val="0"/>
          <w:marBottom w:val="0"/>
          <w:divBdr>
            <w:top w:val="none" w:sz="0" w:space="0" w:color="auto"/>
            <w:left w:val="none" w:sz="0" w:space="0" w:color="auto"/>
            <w:bottom w:val="none" w:sz="0" w:space="0" w:color="auto"/>
            <w:right w:val="none" w:sz="0" w:space="0" w:color="auto"/>
          </w:divBdr>
          <w:divsChild>
            <w:div w:id="1226838643">
              <w:marLeft w:val="0"/>
              <w:marRight w:val="0"/>
              <w:marTop w:val="0"/>
              <w:marBottom w:val="0"/>
              <w:divBdr>
                <w:top w:val="none" w:sz="0" w:space="0" w:color="auto"/>
                <w:left w:val="none" w:sz="0" w:space="0" w:color="auto"/>
                <w:bottom w:val="none" w:sz="0" w:space="0" w:color="auto"/>
                <w:right w:val="none" w:sz="0" w:space="0" w:color="auto"/>
              </w:divBdr>
            </w:div>
          </w:divsChild>
        </w:div>
        <w:div w:id="1632710559">
          <w:marLeft w:val="0"/>
          <w:marRight w:val="0"/>
          <w:marTop w:val="0"/>
          <w:marBottom w:val="0"/>
          <w:divBdr>
            <w:top w:val="none" w:sz="0" w:space="0" w:color="auto"/>
            <w:left w:val="none" w:sz="0" w:space="0" w:color="auto"/>
            <w:bottom w:val="none" w:sz="0" w:space="0" w:color="auto"/>
            <w:right w:val="none" w:sz="0" w:space="0" w:color="auto"/>
          </w:divBdr>
          <w:divsChild>
            <w:div w:id="1020350435">
              <w:marLeft w:val="0"/>
              <w:marRight w:val="0"/>
              <w:marTop w:val="0"/>
              <w:marBottom w:val="0"/>
              <w:divBdr>
                <w:top w:val="none" w:sz="0" w:space="0" w:color="auto"/>
                <w:left w:val="none" w:sz="0" w:space="0" w:color="auto"/>
                <w:bottom w:val="none" w:sz="0" w:space="0" w:color="auto"/>
                <w:right w:val="none" w:sz="0" w:space="0" w:color="auto"/>
              </w:divBdr>
            </w:div>
          </w:divsChild>
        </w:div>
        <w:div w:id="1657999813">
          <w:marLeft w:val="0"/>
          <w:marRight w:val="0"/>
          <w:marTop w:val="0"/>
          <w:marBottom w:val="0"/>
          <w:divBdr>
            <w:top w:val="none" w:sz="0" w:space="0" w:color="auto"/>
            <w:left w:val="none" w:sz="0" w:space="0" w:color="auto"/>
            <w:bottom w:val="none" w:sz="0" w:space="0" w:color="auto"/>
            <w:right w:val="none" w:sz="0" w:space="0" w:color="auto"/>
          </w:divBdr>
          <w:divsChild>
            <w:div w:id="1705054125">
              <w:marLeft w:val="0"/>
              <w:marRight w:val="0"/>
              <w:marTop w:val="0"/>
              <w:marBottom w:val="0"/>
              <w:divBdr>
                <w:top w:val="none" w:sz="0" w:space="0" w:color="auto"/>
                <w:left w:val="none" w:sz="0" w:space="0" w:color="auto"/>
                <w:bottom w:val="none" w:sz="0" w:space="0" w:color="auto"/>
                <w:right w:val="none" w:sz="0" w:space="0" w:color="auto"/>
              </w:divBdr>
            </w:div>
          </w:divsChild>
        </w:div>
        <w:div w:id="1658142898">
          <w:marLeft w:val="0"/>
          <w:marRight w:val="0"/>
          <w:marTop w:val="0"/>
          <w:marBottom w:val="0"/>
          <w:divBdr>
            <w:top w:val="none" w:sz="0" w:space="0" w:color="auto"/>
            <w:left w:val="none" w:sz="0" w:space="0" w:color="auto"/>
            <w:bottom w:val="none" w:sz="0" w:space="0" w:color="auto"/>
            <w:right w:val="none" w:sz="0" w:space="0" w:color="auto"/>
          </w:divBdr>
          <w:divsChild>
            <w:div w:id="1799489829">
              <w:marLeft w:val="0"/>
              <w:marRight w:val="0"/>
              <w:marTop w:val="0"/>
              <w:marBottom w:val="0"/>
              <w:divBdr>
                <w:top w:val="none" w:sz="0" w:space="0" w:color="auto"/>
                <w:left w:val="none" w:sz="0" w:space="0" w:color="auto"/>
                <w:bottom w:val="none" w:sz="0" w:space="0" w:color="auto"/>
                <w:right w:val="none" w:sz="0" w:space="0" w:color="auto"/>
              </w:divBdr>
            </w:div>
          </w:divsChild>
        </w:div>
        <w:div w:id="1663897547">
          <w:marLeft w:val="0"/>
          <w:marRight w:val="0"/>
          <w:marTop w:val="0"/>
          <w:marBottom w:val="0"/>
          <w:divBdr>
            <w:top w:val="none" w:sz="0" w:space="0" w:color="auto"/>
            <w:left w:val="none" w:sz="0" w:space="0" w:color="auto"/>
            <w:bottom w:val="none" w:sz="0" w:space="0" w:color="auto"/>
            <w:right w:val="none" w:sz="0" w:space="0" w:color="auto"/>
          </w:divBdr>
          <w:divsChild>
            <w:div w:id="2025017232">
              <w:marLeft w:val="0"/>
              <w:marRight w:val="0"/>
              <w:marTop w:val="0"/>
              <w:marBottom w:val="0"/>
              <w:divBdr>
                <w:top w:val="none" w:sz="0" w:space="0" w:color="auto"/>
                <w:left w:val="none" w:sz="0" w:space="0" w:color="auto"/>
                <w:bottom w:val="none" w:sz="0" w:space="0" w:color="auto"/>
                <w:right w:val="none" w:sz="0" w:space="0" w:color="auto"/>
              </w:divBdr>
            </w:div>
          </w:divsChild>
        </w:div>
        <w:div w:id="1664043788">
          <w:marLeft w:val="0"/>
          <w:marRight w:val="0"/>
          <w:marTop w:val="0"/>
          <w:marBottom w:val="0"/>
          <w:divBdr>
            <w:top w:val="none" w:sz="0" w:space="0" w:color="auto"/>
            <w:left w:val="none" w:sz="0" w:space="0" w:color="auto"/>
            <w:bottom w:val="none" w:sz="0" w:space="0" w:color="auto"/>
            <w:right w:val="none" w:sz="0" w:space="0" w:color="auto"/>
          </w:divBdr>
          <w:divsChild>
            <w:div w:id="1537162710">
              <w:marLeft w:val="0"/>
              <w:marRight w:val="0"/>
              <w:marTop w:val="0"/>
              <w:marBottom w:val="0"/>
              <w:divBdr>
                <w:top w:val="none" w:sz="0" w:space="0" w:color="auto"/>
                <w:left w:val="none" w:sz="0" w:space="0" w:color="auto"/>
                <w:bottom w:val="none" w:sz="0" w:space="0" w:color="auto"/>
                <w:right w:val="none" w:sz="0" w:space="0" w:color="auto"/>
              </w:divBdr>
            </w:div>
          </w:divsChild>
        </w:div>
        <w:div w:id="1666276043">
          <w:marLeft w:val="0"/>
          <w:marRight w:val="0"/>
          <w:marTop w:val="0"/>
          <w:marBottom w:val="0"/>
          <w:divBdr>
            <w:top w:val="none" w:sz="0" w:space="0" w:color="auto"/>
            <w:left w:val="none" w:sz="0" w:space="0" w:color="auto"/>
            <w:bottom w:val="none" w:sz="0" w:space="0" w:color="auto"/>
            <w:right w:val="none" w:sz="0" w:space="0" w:color="auto"/>
          </w:divBdr>
          <w:divsChild>
            <w:div w:id="794064533">
              <w:marLeft w:val="0"/>
              <w:marRight w:val="0"/>
              <w:marTop w:val="0"/>
              <w:marBottom w:val="0"/>
              <w:divBdr>
                <w:top w:val="none" w:sz="0" w:space="0" w:color="auto"/>
                <w:left w:val="none" w:sz="0" w:space="0" w:color="auto"/>
                <w:bottom w:val="none" w:sz="0" w:space="0" w:color="auto"/>
                <w:right w:val="none" w:sz="0" w:space="0" w:color="auto"/>
              </w:divBdr>
            </w:div>
          </w:divsChild>
        </w:div>
        <w:div w:id="1669210416">
          <w:marLeft w:val="0"/>
          <w:marRight w:val="0"/>
          <w:marTop w:val="0"/>
          <w:marBottom w:val="0"/>
          <w:divBdr>
            <w:top w:val="none" w:sz="0" w:space="0" w:color="auto"/>
            <w:left w:val="none" w:sz="0" w:space="0" w:color="auto"/>
            <w:bottom w:val="none" w:sz="0" w:space="0" w:color="auto"/>
            <w:right w:val="none" w:sz="0" w:space="0" w:color="auto"/>
          </w:divBdr>
          <w:divsChild>
            <w:div w:id="973484458">
              <w:marLeft w:val="0"/>
              <w:marRight w:val="0"/>
              <w:marTop w:val="0"/>
              <w:marBottom w:val="0"/>
              <w:divBdr>
                <w:top w:val="none" w:sz="0" w:space="0" w:color="auto"/>
                <w:left w:val="none" w:sz="0" w:space="0" w:color="auto"/>
                <w:bottom w:val="none" w:sz="0" w:space="0" w:color="auto"/>
                <w:right w:val="none" w:sz="0" w:space="0" w:color="auto"/>
              </w:divBdr>
            </w:div>
          </w:divsChild>
        </w:div>
        <w:div w:id="1670517765">
          <w:marLeft w:val="0"/>
          <w:marRight w:val="0"/>
          <w:marTop w:val="0"/>
          <w:marBottom w:val="0"/>
          <w:divBdr>
            <w:top w:val="none" w:sz="0" w:space="0" w:color="auto"/>
            <w:left w:val="none" w:sz="0" w:space="0" w:color="auto"/>
            <w:bottom w:val="none" w:sz="0" w:space="0" w:color="auto"/>
            <w:right w:val="none" w:sz="0" w:space="0" w:color="auto"/>
          </w:divBdr>
          <w:divsChild>
            <w:div w:id="84427670">
              <w:marLeft w:val="0"/>
              <w:marRight w:val="0"/>
              <w:marTop w:val="0"/>
              <w:marBottom w:val="0"/>
              <w:divBdr>
                <w:top w:val="none" w:sz="0" w:space="0" w:color="auto"/>
                <w:left w:val="none" w:sz="0" w:space="0" w:color="auto"/>
                <w:bottom w:val="none" w:sz="0" w:space="0" w:color="auto"/>
                <w:right w:val="none" w:sz="0" w:space="0" w:color="auto"/>
              </w:divBdr>
            </w:div>
          </w:divsChild>
        </w:div>
        <w:div w:id="1672442237">
          <w:marLeft w:val="0"/>
          <w:marRight w:val="0"/>
          <w:marTop w:val="0"/>
          <w:marBottom w:val="0"/>
          <w:divBdr>
            <w:top w:val="none" w:sz="0" w:space="0" w:color="auto"/>
            <w:left w:val="none" w:sz="0" w:space="0" w:color="auto"/>
            <w:bottom w:val="none" w:sz="0" w:space="0" w:color="auto"/>
            <w:right w:val="none" w:sz="0" w:space="0" w:color="auto"/>
          </w:divBdr>
          <w:divsChild>
            <w:div w:id="785781450">
              <w:marLeft w:val="0"/>
              <w:marRight w:val="0"/>
              <w:marTop w:val="0"/>
              <w:marBottom w:val="0"/>
              <w:divBdr>
                <w:top w:val="none" w:sz="0" w:space="0" w:color="auto"/>
                <w:left w:val="none" w:sz="0" w:space="0" w:color="auto"/>
                <w:bottom w:val="none" w:sz="0" w:space="0" w:color="auto"/>
                <w:right w:val="none" w:sz="0" w:space="0" w:color="auto"/>
              </w:divBdr>
            </w:div>
          </w:divsChild>
        </w:div>
        <w:div w:id="1676374833">
          <w:marLeft w:val="0"/>
          <w:marRight w:val="0"/>
          <w:marTop w:val="0"/>
          <w:marBottom w:val="0"/>
          <w:divBdr>
            <w:top w:val="none" w:sz="0" w:space="0" w:color="auto"/>
            <w:left w:val="none" w:sz="0" w:space="0" w:color="auto"/>
            <w:bottom w:val="none" w:sz="0" w:space="0" w:color="auto"/>
            <w:right w:val="none" w:sz="0" w:space="0" w:color="auto"/>
          </w:divBdr>
          <w:divsChild>
            <w:div w:id="1800762569">
              <w:marLeft w:val="0"/>
              <w:marRight w:val="0"/>
              <w:marTop w:val="0"/>
              <w:marBottom w:val="0"/>
              <w:divBdr>
                <w:top w:val="none" w:sz="0" w:space="0" w:color="auto"/>
                <w:left w:val="none" w:sz="0" w:space="0" w:color="auto"/>
                <w:bottom w:val="none" w:sz="0" w:space="0" w:color="auto"/>
                <w:right w:val="none" w:sz="0" w:space="0" w:color="auto"/>
              </w:divBdr>
            </w:div>
          </w:divsChild>
        </w:div>
        <w:div w:id="1685327992">
          <w:marLeft w:val="0"/>
          <w:marRight w:val="0"/>
          <w:marTop w:val="0"/>
          <w:marBottom w:val="0"/>
          <w:divBdr>
            <w:top w:val="none" w:sz="0" w:space="0" w:color="auto"/>
            <w:left w:val="none" w:sz="0" w:space="0" w:color="auto"/>
            <w:bottom w:val="none" w:sz="0" w:space="0" w:color="auto"/>
            <w:right w:val="none" w:sz="0" w:space="0" w:color="auto"/>
          </w:divBdr>
          <w:divsChild>
            <w:div w:id="1974630237">
              <w:marLeft w:val="0"/>
              <w:marRight w:val="0"/>
              <w:marTop w:val="0"/>
              <w:marBottom w:val="0"/>
              <w:divBdr>
                <w:top w:val="none" w:sz="0" w:space="0" w:color="auto"/>
                <w:left w:val="none" w:sz="0" w:space="0" w:color="auto"/>
                <w:bottom w:val="none" w:sz="0" w:space="0" w:color="auto"/>
                <w:right w:val="none" w:sz="0" w:space="0" w:color="auto"/>
              </w:divBdr>
            </w:div>
          </w:divsChild>
        </w:div>
        <w:div w:id="1696228963">
          <w:marLeft w:val="0"/>
          <w:marRight w:val="0"/>
          <w:marTop w:val="0"/>
          <w:marBottom w:val="0"/>
          <w:divBdr>
            <w:top w:val="none" w:sz="0" w:space="0" w:color="auto"/>
            <w:left w:val="none" w:sz="0" w:space="0" w:color="auto"/>
            <w:bottom w:val="none" w:sz="0" w:space="0" w:color="auto"/>
            <w:right w:val="none" w:sz="0" w:space="0" w:color="auto"/>
          </w:divBdr>
          <w:divsChild>
            <w:div w:id="1425539642">
              <w:marLeft w:val="0"/>
              <w:marRight w:val="0"/>
              <w:marTop w:val="0"/>
              <w:marBottom w:val="0"/>
              <w:divBdr>
                <w:top w:val="none" w:sz="0" w:space="0" w:color="auto"/>
                <w:left w:val="none" w:sz="0" w:space="0" w:color="auto"/>
                <w:bottom w:val="none" w:sz="0" w:space="0" w:color="auto"/>
                <w:right w:val="none" w:sz="0" w:space="0" w:color="auto"/>
              </w:divBdr>
            </w:div>
          </w:divsChild>
        </w:div>
        <w:div w:id="1699963254">
          <w:marLeft w:val="0"/>
          <w:marRight w:val="0"/>
          <w:marTop w:val="0"/>
          <w:marBottom w:val="0"/>
          <w:divBdr>
            <w:top w:val="none" w:sz="0" w:space="0" w:color="auto"/>
            <w:left w:val="none" w:sz="0" w:space="0" w:color="auto"/>
            <w:bottom w:val="none" w:sz="0" w:space="0" w:color="auto"/>
            <w:right w:val="none" w:sz="0" w:space="0" w:color="auto"/>
          </w:divBdr>
          <w:divsChild>
            <w:div w:id="1743603643">
              <w:marLeft w:val="0"/>
              <w:marRight w:val="0"/>
              <w:marTop w:val="0"/>
              <w:marBottom w:val="0"/>
              <w:divBdr>
                <w:top w:val="none" w:sz="0" w:space="0" w:color="auto"/>
                <w:left w:val="none" w:sz="0" w:space="0" w:color="auto"/>
                <w:bottom w:val="none" w:sz="0" w:space="0" w:color="auto"/>
                <w:right w:val="none" w:sz="0" w:space="0" w:color="auto"/>
              </w:divBdr>
            </w:div>
          </w:divsChild>
        </w:div>
        <w:div w:id="1703438140">
          <w:marLeft w:val="0"/>
          <w:marRight w:val="0"/>
          <w:marTop w:val="0"/>
          <w:marBottom w:val="0"/>
          <w:divBdr>
            <w:top w:val="none" w:sz="0" w:space="0" w:color="auto"/>
            <w:left w:val="none" w:sz="0" w:space="0" w:color="auto"/>
            <w:bottom w:val="none" w:sz="0" w:space="0" w:color="auto"/>
            <w:right w:val="none" w:sz="0" w:space="0" w:color="auto"/>
          </w:divBdr>
          <w:divsChild>
            <w:div w:id="1923249496">
              <w:marLeft w:val="0"/>
              <w:marRight w:val="0"/>
              <w:marTop w:val="0"/>
              <w:marBottom w:val="0"/>
              <w:divBdr>
                <w:top w:val="none" w:sz="0" w:space="0" w:color="auto"/>
                <w:left w:val="none" w:sz="0" w:space="0" w:color="auto"/>
                <w:bottom w:val="none" w:sz="0" w:space="0" w:color="auto"/>
                <w:right w:val="none" w:sz="0" w:space="0" w:color="auto"/>
              </w:divBdr>
            </w:div>
          </w:divsChild>
        </w:div>
        <w:div w:id="1716274072">
          <w:marLeft w:val="0"/>
          <w:marRight w:val="0"/>
          <w:marTop w:val="0"/>
          <w:marBottom w:val="0"/>
          <w:divBdr>
            <w:top w:val="none" w:sz="0" w:space="0" w:color="auto"/>
            <w:left w:val="none" w:sz="0" w:space="0" w:color="auto"/>
            <w:bottom w:val="none" w:sz="0" w:space="0" w:color="auto"/>
            <w:right w:val="none" w:sz="0" w:space="0" w:color="auto"/>
          </w:divBdr>
          <w:divsChild>
            <w:div w:id="948203190">
              <w:marLeft w:val="0"/>
              <w:marRight w:val="0"/>
              <w:marTop w:val="0"/>
              <w:marBottom w:val="0"/>
              <w:divBdr>
                <w:top w:val="none" w:sz="0" w:space="0" w:color="auto"/>
                <w:left w:val="none" w:sz="0" w:space="0" w:color="auto"/>
                <w:bottom w:val="none" w:sz="0" w:space="0" w:color="auto"/>
                <w:right w:val="none" w:sz="0" w:space="0" w:color="auto"/>
              </w:divBdr>
            </w:div>
          </w:divsChild>
        </w:div>
        <w:div w:id="1718503630">
          <w:marLeft w:val="0"/>
          <w:marRight w:val="0"/>
          <w:marTop w:val="0"/>
          <w:marBottom w:val="0"/>
          <w:divBdr>
            <w:top w:val="none" w:sz="0" w:space="0" w:color="auto"/>
            <w:left w:val="none" w:sz="0" w:space="0" w:color="auto"/>
            <w:bottom w:val="none" w:sz="0" w:space="0" w:color="auto"/>
            <w:right w:val="none" w:sz="0" w:space="0" w:color="auto"/>
          </w:divBdr>
          <w:divsChild>
            <w:div w:id="590433431">
              <w:marLeft w:val="0"/>
              <w:marRight w:val="0"/>
              <w:marTop w:val="0"/>
              <w:marBottom w:val="0"/>
              <w:divBdr>
                <w:top w:val="none" w:sz="0" w:space="0" w:color="auto"/>
                <w:left w:val="none" w:sz="0" w:space="0" w:color="auto"/>
                <w:bottom w:val="none" w:sz="0" w:space="0" w:color="auto"/>
                <w:right w:val="none" w:sz="0" w:space="0" w:color="auto"/>
              </w:divBdr>
            </w:div>
          </w:divsChild>
        </w:div>
        <w:div w:id="1723019147">
          <w:marLeft w:val="0"/>
          <w:marRight w:val="0"/>
          <w:marTop w:val="0"/>
          <w:marBottom w:val="0"/>
          <w:divBdr>
            <w:top w:val="none" w:sz="0" w:space="0" w:color="auto"/>
            <w:left w:val="none" w:sz="0" w:space="0" w:color="auto"/>
            <w:bottom w:val="none" w:sz="0" w:space="0" w:color="auto"/>
            <w:right w:val="none" w:sz="0" w:space="0" w:color="auto"/>
          </w:divBdr>
          <w:divsChild>
            <w:div w:id="439880043">
              <w:marLeft w:val="0"/>
              <w:marRight w:val="0"/>
              <w:marTop w:val="0"/>
              <w:marBottom w:val="0"/>
              <w:divBdr>
                <w:top w:val="none" w:sz="0" w:space="0" w:color="auto"/>
                <w:left w:val="none" w:sz="0" w:space="0" w:color="auto"/>
                <w:bottom w:val="none" w:sz="0" w:space="0" w:color="auto"/>
                <w:right w:val="none" w:sz="0" w:space="0" w:color="auto"/>
              </w:divBdr>
            </w:div>
          </w:divsChild>
        </w:div>
        <w:div w:id="1739552772">
          <w:marLeft w:val="0"/>
          <w:marRight w:val="0"/>
          <w:marTop w:val="0"/>
          <w:marBottom w:val="0"/>
          <w:divBdr>
            <w:top w:val="none" w:sz="0" w:space="0" w:color="auto"/>
            <w:left w:val="none" w:sz="0" w:space="0" w:color="auto"/>
            <w:bottom w:val="none" w:sz="0" w:space="0" w:color="auto"/>
            <w:right w:val="none" w:sz="0" w:space="0" w:color="auto"/>
          </w:divBdr>
          <w:divsChild>
            <w:div w:id="1209149285">
              <w:marLeft w:val="0"/>
              <w:marRight w:val="0"/>
              <w:marTop w:val="0"/>
              <w:marBottom w:val="0"/>
              <w:divBdr>
                <w:top w:val="none" w:sz="0" w:space="0" w:color="auto"/>
                <w:left w:val="none" w:sz="0" w:space="0" w:color="auto"/>
                <w:bottom w:val="none" w:sz="0" w:space="0" w:color="auto"/>
                <w:right w:val="none" w:sz="0" w:space="0" w:color="auto"/>
              </w:divBdr>
            </w:div>
          </w:divsChild>
        </w:div>
        <w:div w:id="1741292103">
          <w:marLeft w:val="0"/>
          <w:marRight w:val="0"/>
          <w:marTop w:val="0"/>
          <w:marBottom w:val="0"/>
          <w:divBdr>
            <w:top w:val="none" w:sz="0" w:space="0" w:color="auto"/>
            <w:left w:val="none" w:sz="0" w:space="0" w:color="auto"/>
            <w:bottom w:val="none" w:sz="0" w:space="0" w:color="auto"/>
            <w:right w:val="none" w:sz="0" w:space="0" w:color="auto"/>
          </w:divBdr>
          <w:divsChild>
            <w:div w:id="244724055">
              <w:marLeft w:val="0"/>
              <w:marRight w:val="0"/>
              <w:marTop w:val="0"/>
              <w:marBottom w:val="0"/>
              <w:divBdr>
                <w:top w:val="none" w:sz="0" w:space="0" w:color="auto"/>
                <w:left w:val="none" w:sz="0" w:space="0" w:color="auto"/>
                <w:bottom w:val="none" w:sz="0" w:space="0" w:color="auto"/>
                <w:right w:val="none" w:sz="0" w:space="0" w:color="auto"/>
              </w:divBdr>
            </w:div>
          </w:divsChild>
        </w:div>
        <w:div w:id="1743523098">
          <w:marLeft w:val="0"/>
          <w:marRight w:val="0"/>
          <w:marTop w:val="0"/>
          <w:marBottom w:val="0"/>
          <w:divBdr>
            <w:top w:val="none" w:sz="0" w:space="0" w:color="auto"/>
            <w:left w:val="none" w:sz="0" w:space="0" w:color="auto"/>
            <w:bottom w:val="none" w:sz="0" w:space="0" w:color="auto"/>
            <w:right w:val="none" w:sz="0" w:space="0" w:color="auto"/>
          </w:divBdr>
          <w:divsChild>
            <w:div w:id="1137455867">
              <w:marLeft w:val="0"/>
              <w:marRight w:val="0"/>
              <w:marTop w:val="0"/>
              <w:marBottom w:val="0"/>
              <w:divBdr>
                <w:top w:val="none" w:sz="0" w:space="0" w:color="auto"/>
                <w:left w:val="none" w:sz="0" w:space="0" w:color="auto"/>
                <w:bottom w:val="none" w:sz="0" w:space="0" w:color="auto"/>
                <w:right w:val="none" w:sz="0" w:space="0" w:color="auto"/>
              </w:divBdr>
            </w:div>
          </w:divsChild>
        </w:div>
        <w:div w:id="1746219525">
          <w:marLeft w:val="0"/>
          <w:marRight w:val="0"/>
          <w:marTop w:val="0"/>
          <w:marBottom w:val="0"/>
          <w:divBdr>
            <w:top w:val="none" w:sz="0" w:space="0" w:color="auto"/>
            <w:left w:val="none" w:sz="0" w:space="0" w:color="auto"/>
            <w:bottom w:val="none" w:sz="0" w:space="0" w:color="auto"/>
            <w:right w:val="none" w:sz="0" w:space="0" w:color="auto"/>
          </w:divBdr>
          <w:divsChild>
            <w:div w:id="1955164694">
              <w:marLeft w:val="0"/>
              <w:marRight w:val="0"/>
              <w:marTop w:val="0"/>
              <w:marBottom w:val="0"/>
              <w:divBdr>
                <w:top w:val="none" w:sz="0" w:space="0" w:color="auto"/>
                <w:left w:val="none" w:sz="0" w:space="0" w:color="auto"/>
                <w:bottom w:val="none" w:sz="0" w:space="0" w:color="auto"/>
                <w:right w:val="none" w:sz="0" w:space="0" w:color="auto"/>
              </w:divBdr>
            </w:div>
          </w:divsChild>
        </w:div>
        <w:div w:id="1764453429">
          <w:marLeft w:val="0"/>
          <w:marRight w:val="0"/>
          <w:marTop w:val="0"/>
          <w:marBottom w:val="0"/>
          <w:divBdr>
            <w:top w:val="none" w:sz="0" w:space="0" w:color="auto"/>
            <w:left w:val="none" w:sz="0" w:space="0" w:color="auto"/>
            <w:bottom w:val="none" w:sz="0" w:space="0" w:color="auto"/>
            <w:right w:val="none" w:sz="0" w:space="0" w:color="auto"/>
          </w:divBdr>
          <w:divsChild>
            <w:div w:id="801968999">
              <w:marLeft w:val="0"/>
              <w:marRight w:val="0"/>
              <w:marTop w:val="0"/>
              <w:marBottom w:val="0"/>
              <w:divBdr>
                <w:top w:val="none" w:sz="0" w:space="0" w:color="auto"/>
                <w:left w:val="none" w:sz="0" w:space="0" w:color="auto"/>
                <w:bottom w:val="none" w:sz="0" w:space="0" w:color="auto"/>
                <w:right w:val="none" w:sz="0" w:space="0" w:color="auto"/>
              </w:divBdr>
            </w:div>
          </w:divsChild>
        </w:div>
        <w:div w:id="1767463191">
          <w:marLeft w:val="0"/>
          <w:marRight w:val="0"/>
          <w:marTop w:val="0"/>
          <w:marBottom w:val="0"/>
          <w:divBdr>
            <w:top w:val="none" w:sz="0" w:space="0" w:color="auto"/>
            <w:left w:val="none" w:sz="0" w:space="0" w:color="auto"/>
            <w:bottom w:val="none" w:sz="0" w:space="0" w:color="auto"/>
            <w:right w:val="none" w:sz="0" w:space="0" w:color="auto"/>
          </w:divBdr>
          <w:divsChild>
            <w:div w:id="1389183911">
              <w:marLeft w:val="0"/>
              <w:marRight w:val="0"/>
              <w:marTop w:val="0"/>
              <w:marBottom w:val="0"/>
              <w:divBdr>
                <w:top w:val="none" w:sz="0" w:space="0" w:color="auto"/>
                <w:left w:val="none" w:sz="0" w:space="0" w:color="auto"/>
                <w:bottom w:val="none" w:sz="0" w:space="0" w:color="auto"/>
                <w:right w:val="none" w:sz="0" w:space="0" w:color="auto"/>
              </w:divBdr>
            </w:div>
          </w:divsChild>
        </w:div>
        <w:div w:id="1773356768">
          <w:marLeft w:val="0"/>
          <w:marRight w:val="0"/>
          <w:marTop w:val="0"/>
          <w:marBottom w:val="0"/>
          <w:divBdr>
            <w:top w:val="none" w:sz="0" w:space="0" w:color="auto"/>
            <w:left w:val="none" w:sz="0" w:space="0" w:color="auto"/>
            <w:bottom w:val="none" w:sz="0" w:space="0" w:color="auto"/>
            <w:right w:val="none" w:sz="0" w:space="0" w:color="auto"/>
          </w:divBdr>
          <w:divsChild>
            <w:div w:id="1187282765">
              <w:marLeft w:val="0"/>
              <w:marRight w:val="0"/>
              <w:marTop w:val="0"/>
              <w:marBottom w:val="0"/>
              <w:divBdr>
                <w:top w:val="none" w:sz="0" w:space="0" w:color="auto"/>
                <w:left w:val="none" w:sz="0" w:space="0" w:color="auto"/>
                <w:bottom w:val="none" w:sz="0" w:space="0" w:color="auto"/>
                <w:right w:val="none" w:sz="0" w:space="0" w:color="auto"/>
              </w:divBdr>
            </w:div>
          </w:divsChild>
        </w:div>
        <w:div w:id="1778403896">
          <w:marLeft w:val="0"/>
          <w:marRight w:val="0"/>
          <w:marTop w:val="0"/>
          <w:marBottom w:val="0"/>
          <w:divBdr>
            <w:top w:val="none" w:sz="0" w:space="0" w:color="auto"/>
            <w:left w:val="none" w:sz="0" w:space="0" w:color="auto"/>
            <w:bottom w:val="none" w:sz="0" w:space="0" w:color="auto"/>
            <w:right w:val="none" w:sz="0" w:space="0" w:color="auto"/>
          </w:divBdr>
          <w:divsChild>
            <w:div w:id="155607677">
              <w:marLeft w:val="0"/>
              <w:marRight w:val="0"/>
              <w:marTop w:val="0"/>
              <w:marBottom w:val="0"/>
              <w:divBdr>
                <w:top w:val="none" w:sz="0" w:space="0" w:color="auto"/>
                <w:left w:val="none" w:sz="0" w:space="0" w:color="auto"/>
                <w:bottom w:val="none" w:sz="0" w:space="0" w:color="auto"/>
                <w:right w:val="none" w:sz="0" w:space="0" w:color="auto"/>
              </w:divBdr>
            </w:div>
          </w:divsChild>
        </w:div>
        <w:div w:id="1794639335">
          <w:marLeft w:val="0"/>
          <w:marRight w:val="0"/>
          <w:marTop w:val="0"/>
          <w:marBottom w:val="0"/>
          <w:divBdr>
            <w:top w:val="none" w:sz="0" w:space="0" w:color="auto"/>
            <w:left w:val="none" w:sz="0" w:space="0" w:color="auto"/>
            <w:bottom w:val="none" w:sz="0" w:space="0" w:color="auto"/>
            <w:right w:val="none" w:sz="0" w:space="0" w:color="auto"/>
          </w:divBdr>
          <w:divsChild>
            <w:div w:id="432632716">
              <w:marLeft w:val="0"/>
              <w:marRight w:val="0"/>
              <w:marTop w:val="0"/>
              <w:marBottom w:val="0"/>
              <w:divBdr>
                <w:top w:val="none" w:sz="0" w:space="0" w:color="auto"/>
                <w:left w:val="none" w:sz="0" w:space="0" w:color="auto"/>
                <w:bottom w:val="none" w:sz="0" w:space="0" w:color="auto"/>
                <w:right w:val="none" w:sz="0" w:space="0" w:color="auto"/>
              </w:divBdr>
            </w:div>
          </w:divsChild>
        </w:div>
        <w:div w:id="1796177044">
          <w:marLeft w:val="0"/>
          <w:marRight w:val="0"/>
          <w:marTop w:val="0"/>
          <w:marBottom w:val="0"/>
          <w:divBdr>
            <w:top w:val="none" w:sz="0" w:space="0" w:color="auto"/>
            <w:left w:val="none" w:sz="0" w:space="0" w:color="auto"/>
            <w:bottom w:val="none" w:sz="0" w:space="0" w:color="auto"/>
            <w:right w:val="none" w:sz="0" w:space="0" w:color="auto"/>
          </w:divBdr>
          <w:divsChild>
            <w:div w:id="393628273">
              <w:marLeft w:val="0"/>
              <w:marRight w:val="0"/>
              <w:marTop w:val="0"/>
              <w:marBottom w:val="0"/>
              <w:divBdr>
                <w:top w:val="none" w:sz="0" w:space="0" w:color="auto"/>
                <w:left w:val="none" w:sz="0" w:space="0" w:color="auto"/>
                <w:bottom w:val="none" w:sz="0" w:space="0" w:color="auto"/>
                <w:right w:val="none" w:sz="0" w:space="0" w:color="auto"/>
              </w:divBdr>
            </w:div>
          </w:divsChild>
        </w:div>
        <w:div w:id="1812600319">
          <w:marLeft w:val="0"/>
          <w:marRight w:val="0"/>
          <w:marTop w:val="0"/>
          <w:marBottom w:val="0"/>
          <w:divBdr>
            <w:top w:val="none" w:sz="0" w:space="0" w:color="auto"/>
            <w:left w:val="none" w:sz="0" w:space="0" w:color="auto"/>
            <w:bottom w:val="none" w:sz="0" w:space="0" w:color="auto"/>
            <w:right w:val="none" w:sz="0" w:space="0" w:color="auto"/>
          </w:divBdr>
          <w:divsChild>
            <w:div w:id="1124231028">
              <w:marLeft w:val="0"/>
              <w:marRight w:val="0"/>
              <w:marTop w:val="0"/>
              <w:marBottom w:val="0"/>
              <w:divBdr>
                <w:top w:val="none" w:sz="0" w:space="0" w:color="auto"/>
                <w:left w:val="none" w:sz="0" w:space="0" w:color="auto"/>
                <w:bottom w:val="none" w:sz="0" w:space="0" w:color="auto"/>
                <w:right w:val="none" w:sz="0" w:space="0" w:color="auto"/>
              </w:divBdr>
            </w:div>
          </w:divsChild>
        </w:div>
        <w:div w:id="1818913904">
          <w:marLeft w:val="0"/>
          <w:marRight w:val="0"/>
          <w:marTop w:val="0"/>
          <w:marBottom w:val="0"/>
          <w:divBdr>
            <w:top w:val="none" w:sz="0" w:space="0" w:color="auto"/>
            <w:left w:val="none" w:sz="0" w:space="0" w:color="auto"/>
            <w:bottom w:val="none" w:sz="0" w:space="0" w:color="auto"/>
            <w:right w:val="none" w:sz="0" w:space="0" w:color="auto"/>
          </w:divBdr>
          <w:divsChild>
            <w:div w:id="1731071740">
              <w:marLeft w:val="0"/>
              <w:marRight w:val="0"/>
              <w:marTop w:val="0"/>
              <w:marBottom w:val="0"/>
              <w:divBdr>
                <w:top w:val="none" w:sz="0" w:space="0" w:color="auto"/>
                <w:left w:val="none" w:sz="0" w:space="0" w:color="auto"/>
                <w:bottom w:val="none" w:sz="0" w:space="0" w:color="auto"/>
                <w:right w:val="none" w:sz="0" w:space="0" w:color="auto"/>
              </w:divBdr>
            </w:div>
          </w:divsChild>
        </w:div>
        <w:div w:id="1824272398">
          <w:marLeft w:val="0"/>
          <w:marRight w:val="0"/>
          <w:marTop w:val="0"/>
          <w:marBottom w:val="0"/>
          <w:divBdr>
            <w:top w:val="none" w:sz="0" w:space="0" w:color="auto"/>
            <w:left w:val="none" w:sz="0" w:space="0" w:color="auto"/>
            <w:bottom w:val="none" w:sz="0" w:space="0" w:color="auto"/>
            <w:right w:val="none" w:sz="0" w:space="0" w:color="auto"/>
          </w:divBdr>
          <w:divsChild>
            <w:div w:id="1376273225">
              <w:marLeft w:val="0"/>
              <w:marRight w:val="0"/>
              <w:marTop w:val="0"/>
              <w:marBottom w:val="0"/>
              <w:divBdr>
                <w:top w:val="none" w:sz="0" w:space="0" w:color="auto"/>
                <w:left w:val="none" w:sz="0" w:space="0" w:color="auto"/>
                <w:bottom w:val="none" w:sz="0" w:space="0" w:color="auto"/>
                <w:right w:val="none" w:sz="0" w:space="0" w:color="auto"/>
              </w:divBdr>
            </w:div>
          </w:divsChild>
        </w:div>
        <w:div w:id="1824810939">
          <w:marLeft w:val="0"/>
          <w:marRight w:val="0"/>
          <w:marTop w:val="0"/>
          <w:marBottom w:val="0"/>
          <w:divBdr>
            <w:top w:val="none" w:sz="0" w:space="0" w:color="auto"/>
            <w:left w:val="none" w:sz="0" w:space="0" w:color="auto"/>
            <w:bottom w:val="none" w:sz="0" w:space="0" w:color="auto"/>
            <w:right w:val="none" w:sz="0" w:space="0" w:color="auto"/>
          </w:divBdr>
          <w:divsChild>
            <w:div w:id="965964070">
              <w:marLeft w:val="0"/>
              <w:marRight w:val="0"/>
              <w:marTop w:val="0"/>
              <w:marBottom w:val="0"/>
              <w:divBdr>
                <w:top w:val="none" w:sz="0" w:space="0" w:color="auto"/>
                <w:left w:val="none" w:sz="0" w:space="0" w:color="auto"/>
                <w:bottom w:val="none" w:sz="0" w:space="0" w:color="auto"/>
                <w:right w:val="none" w:sz="0" w:space="0" w:color="auto"/>
              </w:divBdr>
            </w:div>
          </w:divsChild>
        </w:div>
        <w:div w:id="1830516943">
          <w:marLeft w:val="0"/>
          <w:marRight w:val="0"/>
          <w:marTop w:val="0"/>
          <w:marBottom w:val="0"/>
          <w:divBdr>
            <w:top w:val="none" w:sz="0" w:space="0" w:color="auto"/>
            <w:left w:val="none" w:sz="0" w:space="0" w:color="auto"/>
            <w:bottom w:val="none" w:sz="0" w:space="0" w:color="auto"/>
            <w:right w:val="none" w:sz="0" w:space="0" w:color="auto"/>
          </w:divBdr>
          <w:divsChild>
            <w:div w:id="1694722148">
              <w:marLeft w:val="0"/>
              <w:marRight w:val="0"/>
              <w:marTop w:val="0"/>
              <w:marBottom w:val="0"/>
              <w:divBdr>
                <w:top w:val="none" w:sz="0" w:space="0" w:color="auto"/>
                <w:left w:val="none" w:sz="0" w:space="0" w:color="auto"/>
                <w:bottom w:val="none" w:sz="0" w:space="0" w:color="auto"/>
                <w:right w:val="none" w:sz="0" w:space="0" w:color="auto"/>
              </w:divBdr>
            </w:div>
          </w:divsChild>
        </w:div>
        <w:div w:id="1832525477">
          <w:marLeft w:val="0"/>
          <w:marRight w:val="0"/>
          <w:marTop w:val="0"/>
          <w:marBottom w:val="0"/>
          <w:divBdr>
            <w:top w:val="none" w:sz="0" w:space="0" w:color="auto"/>
            <w:left w:val="none" w:sz="0" w:space="0" w:color="auto"/>
            <w:bottom w:val="none" w:sz="0" w:space="0" w:color="auto"/>
            <w:right w:val="none" w:sz="0" w:space="0" w:color="auto"/>
          </w:divBdr>
          <w:divsChild>
            <w:div w:id="383531558">
              <w:marLeft w:val="0"/>
              <w:marRight w:val="0"/>
              <w:marTop w:val="0"/>
              <w:marBottom w:val="0"/>
              <w:divBdr>
                <w:top w:val="none" w:sz="0" w:space="0" w:color="auto"/>
                <w:left w:val="none" w:sz="0" w:space="0" w:color="auto"/>
                <w:bottom w:val="none" w:sz="0" w:space="0" w:color="auto"/>
                <w:right w:val="none" w:sz="0" w:space="0" w:color="auto"/>
              </w:divBdr>
            </w:div>
          </w:divsChild>
        </w:div>
        <w:div w:id="1847085979">
          <w:marLeft w:val="0"/>
          <w:marRight w:val="0"/>
          <w:marTop w:val="0"/>
          <w:marBottom w:val="0"/>
          <w:divBdr>
            <w:top w:val="none" w:sz="0" w:space="0" w:color="auto"/>
            <w:left w:val="none" w:sz="0" w:space="0" w:color="auto"/>
            <w:bottom w:val="none" w:sz="0" w:space="0" w:color="auto"/>
            <w:right w:val="none" w:sz="0" w:space="0" w:color="auto"/>
          </w:divBdr>
          <w:divsChild>
            <w:div w:id="668220273">
              <w:marLeft w:val="0"/>
              <w:marRight w:val="0"/>
              <w:marTop w:val="0"/>
              <w:marBottom w:val="0"/>
              <w:divBdr>
                <w:top w:val="none" w:sz="0" w:space="0" w:color="auto"/>
                <w:left w:val="none" w:sz="0" w:space="0" w:color="auto"/>
                <w:bottom w:val="none" w:sz="0" w:space="0" w:color="auto"/>
                <w:right w:val="none" w:sz="0" w:space="0" w:color="auto"/>
              </w:divBdr>
            </w:div>
          </w:divsChild>
        </w:div>
        <w:div w:id="1847594545">
          <w:marLeft w:val="0"/>
          <w:marRight w:val="0"/>
          <w:marTop w:val="0"/>
          <w:marBottom w:val="0"/>
          <w:divBdr>
            <w:top w:val="none" w:sz="0" w:space="0" w:color="auto"/>
            <w:left w:val="none" w:sz="0" w:space="0" w:color="auto"/>
            <w:bottom w:val="none" w:sz="0" w:space="0" w:color="auto"/>
            <w:right w:val="none" w:sz="0" w:space="0" w:color="auto"/>
          </w:divBdr>
          <w:divsChild>
            <w:div w:id="1916429755">
              <w:marLeft w:val="0"/>
              <w:marRight w:val="0"/>
              <w:marTop w:val="0"/>
              <w:marBottom w:val="0"/>
              <w:divBdr>
                <w:top w:val="none" w:sz="0" w:space="0" w:color="auto"/>
                <w:left w:val="none" w:sz="0" w:space="0" w:color="auto"/>
                <w:bottom w:val="none" w:sz="0" w:space="0" w:color="auto"/>
                <w:right w:val="none" w:sz="0" w:space="0" w:color="auto"/>
              </w:divBdr>
            </w:div>
          </w:divsChild>
        </w:div>
        <w:div w:id="1848052398">
          <w:marLeft w:val="0"/>
          <w:marRight w:val="0"/>
          <w:marTop w:val="0"/>
          <w:marBottom w:val="0"/>
          <w:divBdr>
            <w:top w:val="none" w:sz="0" w:space="0" w:color="auto"/>
            <w:left w:val="none" w:sz="0" w:space="0" w:color="auto"/>
            <w:bottom w:val="none" w:sz="0" w:space="0" w:color="auto"/>
            <w:right w:val="none" w:sz="0" w:space="0" w:color="auto"/>
          </w:divBdr>
          <w:divsChild>
            <w:div w:id="1536112350">
              <w:marLeft w:val="0"/>
              <w:marRight w:val="0"/>
              <w:marTop w:val="0"/>
              <w:marBottom w:val="0"/>
              <w:divBdr>
                <w:top w:val="none" w:sz="0" w:space="0" w:color="auto"/>
                <w:left w:val="none" w:sz="0" w:space="0" w:color="auto"/>
                <w:bottom w:val="none" w:sz="0" w:space="0" w:color="auto"/>
                <w:right w:val="none" w:sz="0" w:space="0" w:color="auto"/>
              </w:divBdr>
            </w:div>
          </w:divsChild>
        </w:div>
        <w:div w:id="1883861166">
          <w:marLeft w:val="0"/>
          <w:marRight w:val="0"/>
          <w:marTop w:val="0"/>
          <w:marBottom w:val="0"/>
          <w:divBdr>
            <w:top w:val="none" w:sz="0" w:space="0" w:color="auto"/>
            <w:left w:val="none" w:sz="0" w:space="0" w:color="auto"/>
            <w:bottom w:val="none" w:sz="0" w:space="0" w:color="auto"/>
            <w:right w:val="none" w:sz="0" w:space="0" w:color="auto"/>
          </w:divBdr>
          <w:divsChild>
            <w:div w:id="2028172980">
              <w:marLeft w:val="0"/>
              <w:marRight w:val="0"/>
              <w:marTop w:val="0"/>
              <w:marBottom w:val="0"/>
              <w:divBdr>
                <w:top w:val="none" w:sz="0" w:space="0" w:color="auto"/>
                <w:left w:val="none" w:sz="0" w:space="0" w:color="auto"/>
                <w:bottom w:val="none" w:sz="0" w:space="0" w:color="auto"/>
                <w:right w:val="none" w:sz="0" w:space="0" w:color="auto"/>
              </w:divBdr>
            </w:div>
          </w:divsChild>
        </w:div>
        <w:div w:id="1884755974">
          <w:marLeft w:val="0"/>
          <w:marRight w:val="0"/>
          <w:marTop w:val="0"/>
          <w:marBottom w:val="0"/>
          <w:divBdr>
            <w:top w:val="none" w:sz="0" w:space="0" w:color="auto"/>
            <w:left w:val="none" w:sz="0" w:space="0" w:color="auto"/>
            <w:bottom w:val="none" w:sz="0" w:space="0" w:color="auto"/>
            <w:right w:val="none" w:sz="0" w:space="0" w:color="auto"/>
          </w:divBdr>
          <w:divsChild>
            <w:div w:id="1654483698">
              <w:marLeft w:val="0"/>
              <w:marRight w:val="0"/>
              <w:marTop w:val="0"/>
              <w:marBottom w:val="0"/>
              <w:divBdr>
                <w:top w:val="none" w:sz="0" w:space="0" w:color="auto"/>
                <w:left w:val="none" w:sz="0" w:space="0" w:color="auto"/>
                <w:bottom w:val="none" w:sz="0" w:space="0" w:color="auto"/>
                <w:right w:val="none" w:sz="0" w:space="0" w:color="auto"/>
              </w:divBdr>
            </w:div>
          </w:divsChild>
        </w:div>
        <w:div w:id="1898856192">
          <w:marLeft w:val="0"/>
          <w:marRight w:val="0"/>
          <w:marTop w:val="0"/>
          <w:marBottom w:val="0"/>
          <w:divBdr>
            <w:top w:val="none" w:sz="0" w:space="0" w:color="auto"/>
            <w:left w:val="none" w:sz="0" w:space="0" w:color="auto"/>
            <w:bottom w:val="none" w:sz="0" w:space="0" w:color="auto"/>
            <w:right w:val="none" w:sz="0" w:space="0" w:color="auto"/>
          </w:divBdr>
          <w:divsChild>
            <w:div w:id="1834638842">
              <w:marLeft w:val="0"/>
              <w:marRight w:val="0"/>
              <w:marTop w:val="0"/>
              <w:marBottom w:val="0"/>
              <w:divBdr>
                <w:top w:val="none" w:sz="0" w:space="0" w:color="auto"/>
                <w:left w:val="none" w:sz="0" w:space="0" w:color="auto"/>
                <w:bottom w:val="none" w:sz="0" w:space="0" w:color="auto"/>
                <w:right w:val="none" w:sz="0" w:space="0" w:color="auto"/>
              </w:divBdr>
            </w:div>
          </w:divsChild>
        </w:div>
        <w:div w:id="1905748923">
          <w:marLeft w:val="0"/>
          <w:marRight w:val="0"/>
          <w:marTop w:val="0"/>
          <w:marBottom w:val="0"/>
          <w:divBdr>
            <w:top w:val="none" w:sz="0" w:space="0" w:color="auto"/>
            <w:left w:val="none" w:sz="0" w:space="0" w:color="auto"/>
            <w:bottom w:val="none" w:sz="0" w:space="0" w:color="auto"/>
            <w:right w:val="none" w:sz="0" w:space="0" w:color="auto"/>
          </w:divBdr>
          <w:divsChild>
            <w:div w:id="1685135205">
              <w:marLeft w:val="0"/>
              <w:marRight w:val="0"/>
              <w:marTop w:val="0"/>
              <w:marBottom w:val="0"/>
              <w:divBdr>
                <w:top w:val="none" w:sz="0" w:space="0" w:color="auto"/>
                <w:left w:val="none" w:sz="0" w:space="0" w:color="auto"/>
                <w:bottom w:val="none" w:sz="0" w:space="0" w:color="auto"/>
                <w:right w:val="none" w:sz="0" w:space="0" w:color="auto"/>
              </w:divBdr>
            </w:div>
          </w:divsChild>
        </w:div>
        <w:div w:id="1911649374">
          <w:marLeft w:val="0"/>
          <w:marRight w:val="0"/>
          <w:marTop w:val="0"/>
          <w:marBottom w:val="0"/>
          <w:divBdr>
            <w:top w:val="none" w:sz="0" w:space="0" w:color="auto"/>
            <w:left w:val="none" w:sz="0" w:space="0" w:color="auto"/>
            <w:bottom w:val="none" w:sz="0" w:space="0" w:color="auto"/>
            <w:right w:val="none" w:sz="0" w:space="0" w:color="auto"/>
          </w:divBdr>
          <w:divsChild>
            <w:div w:id="27488203">
              <w:marLeft w:val="0"/>
              <w:marRight w:val="0"/>
              <w:marTop w:val="0"/>
              <w:marBottom w:val="0"/>
              <w:divBdr>
                <w:top w:val="none" w:sz="0" w:space="0" w:color="auto"/>
                <w:left w:val="none" w:sz="0" w:space="0" w:color="auto"/>
                <w:bottom w:val="none" w:sz="0" w:space="0" w:color="auto"/>
                <w:right w:val="none" w:sz="0" w:space="0" w:color="auto"/>
              </w:divBdr>
            </w:div>
          </w:divsChild>
        </w:div>
        <w:div w:id="1912814749">
          <w:marLeft w:val="0"/>
          <w:marRight w:val="0"/>
          <w:marTop w:val="0"/>
          <w:marBottom w:val="0"/>
          <w:divBdr>
            <w:top w:val="none" w:sz="0" w:space="0" w:color="auto"/>
            <w:left w:val="none" w:sz="0" w:space="0" w:color="auto"/>
            <w:bottom w:val="none" w:sz="0" w:space="0" w:color="auto"/>
            <w:right w:val="none" w:sz="0" w:space="0" w:color="auto"/>
          </w:divBdr>
          <w:divsChild>
            <w:div w:id="538278193">
              <w:marLeft w:val="0"/>
              <w:marRight w:val="0"/>
              <w:marTop w:val="0"/>
              <w:marBottom w:val="0"/>
              <w:divBdr>
                <w:top w:val="none" w:sz="0" w:space="0" w:color="auto"/>
                <w:left w:val="none" w:sz="0" w:space="0" w:color="auto"/>
                <w:bottom w:val="none" w:sz="0" w:space="0" w:color="auto"/>
                <w:right w:val="none" w:sz="0" w:space="0" w:color="auto"/>
              </w:divBdr>
            </w:div>
          </w:divsChild>
        </w:div>
        <w:div w:id="1913157607">
          <w:marLeft w:val="0"/>
          <w:marRight w:val="0"/>
          <w:marTop w:val="0"/>
          <w:marBottom w:val="0"/>
          <w:divBdr>
            <w:top w:val="none" w:sz="0" w:space="0" w:color="auto"/>
            <w:left w:val="none" w:sz="0" w:space="0" w:color="auto"/>
            <w:bottom w:val="none" w:sz="0" w:space="0" w:color="auto"/>
            <w:right w:val="none" w:sz="0" w:space="0" w:color="auto"/>
          </w:divBdr>
          <w:divsChild>
            <w:div w:id="1276446867">
              <w:marLeft w:val="0"/>
              <w:marRight w:val="0"/>
              <w:marTop w:val="0"/>
              <w:marBottom w:val="0"/>
              <w:divBdr>
                <w:top w:val="none" w:sz="0" w:space="0" w:color="auto"/>
                <w:left w:val="none" w:sz="0" w:space="0" w:color="auto"/>
                <w:bottom w:val="none" w:sz="0" w:space="0" w:color="auto"/>
                <w:right w:val="none" w:sz="0" w:space="0" w:color="auto"/>
              </w:divBdr>
            </w:div>
          </w:divsChild>
        </w:div>
        <w:div w:id="1913587562">
          <w:marLeft w:val="0"/>
          <w:marRight w:val="0"/>
          <w:marTop w:val="0"/>
          <w:marBottom w:val="0"/>
          <w:divBdr>
            <w:top w:val="none" w:sz="0" w:space="0" w:color="auto"/>
            <w:left w:val="none" w:sz="0" w:space="0" w:color="auto"/>
            <w:bottom w:val="none" w:sz="0" w:space="0" w:color="auto"/>
            <w:right w:val="none" w:sz="0" w:space="0" w:color="auto"/>
          </w:divBdr>
          <w:divsChild>
            <w:div w:id="470103343">
              <w:marLeft w:val="0"/>
              <w:marRight w:val="0"/>
              <w:marTop w:val="0"/>
              <w:marBottom w:val="0"/>
              <w:divBdr>
                <w:top w:val="none" w:sz="0" w:space="0" w:color="auto"/>
                <w:left w:val="none" w:sz="0" w:space="0" w:color="auto"/>
                <w:bottom w:val="none" w:sz="0" w:space="0" w:color="auto"/>
                <w:right w:val="none" w:sz="0" w:space="0" w:color="auto"/>
              </w:divBdr>
            </w:div>
          </w:divsChild>
        </w:div>
        <w:div w:id="1915772328">
          <w:marLeft w:val="0"/>
          <w:marRight w:val="0"/>
          <w:marTop w:val="0"/>
          <w:marBottom w:val="0"/>
          <w:divBdr>
            <w:top w:val="none" w:sz="0" w:space="0" w:color="auto"/>
            <w:left w:val="none" w:sz="0" w:space="0" w:color="auto"/>
            <w:bottom w:val="none" w:sz="0" w:space="0" w:color="auto"/>
            <w:right w:val="none" w:sz="0" w:space="0" w:color="auto"/>
          </w:divBdr>
          <w:divsChild>
            <w:div w:id="601305378">
              <w:marLeft w:val="0"/>
              <w:marRight w:val="0"/>
              <w:marTop w:val="0"/>
              <w:marBottom w:val="0"/>
              <w:divBdr>
                <w:top w:val="none" w:sz="0" w:space="0" w:color="auto"/>
                <w:left w:val="none" w:sz="0" w:space="0" w:color="auto"/>
                <w:bottom w:val="none" w:sz="0" w:space="0" w:color="auto"/>
                <w:right w:val="none" w:sz="0" w:space="0" w:color="auto"/>
              </w:divBdr>
            </w:div>
          </w:divsChild>
        </w:div>
        <w:div w:id="1916358985">
          <w:marLeft w:val="0"/>
          <w:marRight w:val="0"/>
          <w:marTop w:val="0"/>
          <w:marBottom w:val="0"/>
          <w:divBdr>
            <w:top w:val="none" w:sz="0" w:space="0" w:color="auto"/>
            <w:left w:val="none" w:sz="0" w:space="0" w:color="auto"/>
            <w:bottom w:val="none" w:sz="0" w:space="0" w:color="auto"/>
            <w:right w:val="none" w:sz="0" w:space="0" w:color="auto"/>
          </w:divBdr>
          <w:divsChild>
            <w:div w:id="1305428626">
              <w:marLeft w:val="0"/>
              <w:marRight w:val="0"/>
              <w:marTop w:val="0"/>
              <w:marBottom w:val="0"/>
              <w:divBdr>
                <w:top w:val="none" w:sz="0" w:space="0" w:color="auto"/>
                <w:left w:val="none" w:sz="0" w:space="0" w:color="auto"/>
                <w:bottom w:val="none" w:sz="0" w:space="0" w:color="auto"/>
                <w:right w:val="none" w:sz="0" w:space="0" w:color="auto"/>
              </w:divBdr>
            </w:div>
          </w:divsChild>
        </w:div>
        <w:div w:id="1923180326">
          <w:marLeft w:val="0"/>
          <w:marRight w:val="0"/>
          <w:marTop w:val="0"/>
          <w:marBottom w:val="0"/>
          <w:divBdr>
            <w:top w:val="none" w:sz="0" w:space="0" w:color="auto"/>
            <w:left w:val="none" w:sz="0" w:space="0" w:color="auto"/>
            <w:bottom w:val="none" w:sz="0" w:space="0" w:color="auto"/>
            <w:right w:val="none" w:sz="0" w:space="0" w:color="auto"/>
          </w:divBdr>
          <w:divsChild>
            <w:div w:id="328412760">
              <w:marLeft w:val="0"/>
              <w:marRight w:val="0"/>
              <w:marTop w:val="0"/>
              <w:marBottom w:val="0"/>
              <w:divBdr>
                <w:top w:val="none" w:sz="0" w:space="0" w:color="auto"/>
                <w:left w:val="none" w:sz="0" w:space="0" w:color="auto"/>
                <w:bottom w:val="none" w:sz="0" w:space="0" w:color="auto"/>
                <w:right w:val="none" w:sz="0" w:space="0" w:color="auto"/>
              </w:divBdr>
            </w:div>
          </w:divsChild>
        </w:div>
        <w:div w:id="1934900422">
          <w:marLeft w:val="0"/>
          <w:marRight w:val="0"/>
          <w:marTop w:val="0"/>
          <w:marBottom w:val="0"/>
          <w:divBdr>
            <w:top w:val="none" w:sz="0" w:space="0" w:color="auto"/>
            <w:left w:val="none" w:sz="0" w:space="0" w:color="auto"/>
            <w:bottom w:val="none" w:sz="0" w:space="0" w:color="auto"/>
            <w:right w:val="none" w:sz="0" w:space="0" w:color="auto"/>
          </w:divBdr>
          <w:divsChild>
            <w:div w:id="1453553125">
              <w:marLeft w:val="0"/>
              <w:marRight w:val="0"/>
              <w:marTop w:val="0"/>
              <w:marBottom w:val="0"/>
              <w:divBdr>
                <w:top w:val="none" w:sz="0" w:space="0" w:color="auto"/>
                <w:left w:val="none" w:sz="0" w:space="0" w:color="auto"/>
                <w:bottom w:val="none" w:sz="0" w:space="0" w:color="auto"/>
                <w:right w:val="none" w:sz="0" w:space="0" w:color="auto"/>
              </w:divBdr>
            </w:div>
          </w:divsChild>
        </w:div>
        <w:div w:id="1953052772">
          <w:marLeft w:val="0"/>
          <w:marRight w:val="0"/>
          <w:marTop w:val="0"/>
          <w:marBottom w:val="0"/>
          <w:divBdr>
            <w:top w:val="none" w:sz="0" w:space="0" w:color="auto"/>
            <w:left w:val="none" w:sz="0" w:space="0" w:color="auto"/>
            <w:bottom w:val="none" w:sz="0" w:space="0" w:color="auto"/>
            <w:right w:val="none" w:sz="0" w:space="0" w:color="auto"/>
          </w:divBdr>
          <w:divsChild>
            <w:div w:id="1865560901">
              <w:marLeft w:val="0"/>
              <w:marRight w:val="0"/>
              <w:marTop w:val="0"/>
              <w:marBottom w:val="0"/>
              <w:divBdr>
                <w:top w:val="none" w:sz="0" w:space="0" w:color="auto"/>
                <w:left w:val="none" w:sz="0" w:space="0" w:color="auto"/>
                <w:bottom w:val="none" w:sz="0" w:space="0" w:color="auto"/>
                <w:right w:val="none" w:sz="0" w:space="0" w:color="auto"/>
              </w:divBdr>
            </w:div>
          </w:divsChild>
        </w:div>
        <w:div w:id="1953239704">
          <w:marLeft w:val="0"/>
          <w:marRight w:val="0"/>
          <w:marTop w:val="0"/>
          <w:marBottom w:val="0"/>
          <w:divBdr>
            <w:top w:val="none" w:sz="0" w:space="0" w:color="auto"/>
            <w:left w:val="none" w:sz="0" w:space="0" w:color="auto"/>
            <w:bottom w:val="none" w:sz="0" w:space="0" w:color="auto"/>
            <w:right w:val="none" w:sz="0" w:space="0" w:color="auto"/>
          </w:divBdr>
          <w:divsChild>
            <w:div w:id="1858158733">
              <w:marLeft w:val="0"/>
              <w:marRight w:val="0"/>
              <w:marTop w:val="0"/>
              <w:marBottom w:val="0"/>
              <w:divBdr>
                <w:top w:val="none" w:sz="0" w:space="0" w:color="auto"/>
                <w:left w:val="none" w:sz="0" w:space="0" w:color="auto"/>
                <w:bottom w:val="none" w:sz="0" w:space="0" w:color="auto"/>
                <w:right w:val="none" w:sz="0" w:space="0" w:color="auto"/>
              </w:divBdr>
            </w:div>
          </w:divsChild>
        </w:div>
        <w:div w:id="1959871107">
          <w:marLeft w:val="0"/>
          <w:marRight w:val="0"/>
          <w:marTop w:val="0"/>
          <w:marBottom w:val="0"/>
          <w:divBdr>
            <w:top w:val="none" w:sz="0" w:space="0" w:color="auto"/>
            <w:left w:val="none" w:sz="0" w:space="0" w:color="auto"/>
            <w:bottom w:val="none" w:sz="0" w:space="0" w:color="auto"/>
            <w:right w:val="none" w:sz="0" w:space="0" w:color="auto"/>
          </w:divBdr>
          <w:divsChild>
            <w:div w:id="1044016275">
              <w:marLeft w:val="0"/>
              <w:marRight w:val="0"/>
              <w:marTop w:val="0"/>
              <w:marBottom w:val="0"/>
              <w:divBdr>
                <w:top w:val="none" w:sz="0" w:space="0" w:color="auto"/>
                <w:left w:val="none" w:sz="0" w:space="0" w:color="auto"/>
                <w:bottom w:val="none" w:sz="0" w:space="0" w:color="auto"/>
                <w:right w:val="none" w:sz="0" w:space="0" w:color="auto"/>
              </w:divBdr>
            </w:div>
          </w:divsChild>
        </w:div>
        <w:div w:id="1960909483">
          <w:marLeft w:val="0"/>
          <w:marRight w:val="0"/>
          <w:marTop w:val="0"/>
          <w:marBottom w:val="0"/>
          <w:divBdr>
            <w:top w:val="none" w:sz="0" w:space="0" w:color="auto"/>
            <w:left w:val="none" w:sz="0" w:space="0" w:color="auto"/>
            <w:bottom w:val="none" w:sz="0" w:space="0" w:color="auto"/>
            <w:right w:val="none" w:sz="0" w:space="0" w:color="auto"/>
          </w:divBdr>
          <w:divsChild>
            <w:div w:id="218129191">
              <w:marLeft w:val="0"/>
              <w:marRight w:val="0"/>
              <w:marTop w:val="0"/>
              <w:marBottom w:val="0"/>
              <w:divBdr>
                <w:top w:val="none" w:sz="0" w:space="0" w:color="auto"/>
                <w:left w:val="none" w:sz="0" w:space="0" w:color="auto"/>
                <w:bottom w:val="none" w:sz="0" w:space="0" w:color="auto"/>
                <w:right w:val="none" w:sz="0" w:space="0" w:color="auto"/>
              </w:divBdr>
            </w:div>
          </w:divsChild>
        </w:div>
        <w:div w:id="1961110251">
          <w:marLeft w:val="0"/>
          <w:marRight w:val="0"/>
          <w:marTop w:val="0"/>
          <w:marBottom w:val="0"/>
          <w:divBdr>
            <w:top w:val="none" w:sz="0" w:space="0" w:color="auto"/>
            <w:left w:val="none" w:sz="0" w:space="0" w:color="auto"/>
            <w:bottom w:val="none" w:sz="0" w:space="0" w:color="auto"/>
            <w:right w:val="none" w:sz="0" w:space="0" w:color="auto"/>
          </w:divBdr>
          <w:divsChild>
            <w:div w:id="1703824716">
              <w:marLeft w:val="0"/>
              <w:marRight w:val="0"/>
              <w:marTop w:val="0"/>
              <w:marBottom w:val="0"/>
              <w:divBdr>
                <w:top w:val="none" w:sz="0" w:space="0" w:color="auto"/>
                <w:left w:val="none" w:sz="0" w:space="0" w:color="auto"/>
                <w:bottom w:val="none" w:sz="0" w:space="0" w:color="auto"/>
                <w:right w:val="none" w:sz="0" w:space="0" w:color="auto"/>
              </w:divBdr>
            </w:div>
          </w:divsChild>
        </w:div>
        <w:div w:id="1963531023">
          <w:marLeft w:val="0"/>
          <w:marRight w:val="0"/>
          <w:marTop w:val="0"/>
          <w:marBottom w:val="0"/>
          <w:divBdr>
            <w:top w:val="none" w:sz="0" w:space="0" w:color="auto"/>
            <w:left w:val="none" w:sz="0" w:space="0" w:color="auto"/>
            <w:bottom w:val="none" w:sz="0" w:space="0" w:color="auto"/>
            <w:right w:val="none" w:sz="0" w:space="0" w:color="auto"/>
          </w:divBdr>
          <w:divsChild>
            <w:div w:id="1500850402">
              <w:marLeft w:val="0"/>
              <w:marRight w:val="0"/>
              <w:marTop w:val="0"/>
              <w:marBottom w:val="0"/>
              <w:divBdr>
                <w:top w:val="none" w:sz="0" w:space="0" w:color="auto"/>
                <w:left w:val="none" w:sz="0" w:space="0" w:color="auto"/>
                <w:bottom w:val="none" w:sz="0" w:space="0" w:color="auto"/>
                <w:right w:val="none" w:sz="0" w:space="0" w:color="auto"/>
              </w:divBdr>
            </w:div>
          </w:divsChild>
        </w:div>
        <w:div w:id="1981884682">
          <w:marLeft w:val="0"/>
          <w:marRight w:val="0"/>
          <w:marTop w:val="0"/>
          <w:marBottom w:val="0"/>
          <w:divBdr>
            <w:top w:val="none" w:sz="0" w:space="0" w:color="auto"/>
            <w:left w:val="none" w:sz="0" w:space="0" w:color="auto"/>
            <w:bottom w:val="none" w:sz="0" w:space="0" w:color="auto"/>
            <w:right w:val="none" w:sz="0" w:space="0" w:color="auto"/>
          </w:divBdr>
          <w:divsChild>
            <w:div w:id="855079631">
              <w:marLeft w:val="0"/>
              <w:marRight w:val="0"/>
              <w:marTop w:val="0"/>
              <w:marBottom w:val="0"/>
              <w:divBdr>
                <w:top w:val="none" w:sz="0" w:space="0" w:color="auto"/>
                <w:left w:val="none" w:sz="0" w:space="0" w:color="auto"/>
                <w:bottom w:val="none" w:sz="0" w:space="0" w:color="auto"/>
                <w:right w:val="none" w:sz="0" w:space="0" w:color="auto"/>
              </w:divBdr>
            </w:div>
          </w:divsChild>
        </w:div>
        <w:div w:id="2013028015">
          <w:marLeft w:val="0"/>
          <w:marRight w:val="0"/>
          <w:marTop w:val="0"/>
          <w:marBottom w:val="0"/>
          <w:divBdr>
            <w:top w:val="none" w:sz="0" w:space="0" w:color="auto"/>
            <w:left w:val="none" w:sz="0" w:space="0" w:color="auto"/>
            <w:bottom w:val="none" w:sz="0" w:space="0" w:color="auto"/>
            <w:right w:val="none" w:sz="0" w:space="0" w:color="auto"/>
          </w:divBdr>
          <w:divsChild>
            <w:div w:id="1117027216">
              <w:marLeft w:val="0"/>
              <w:marRight w:val="0"/>
              <w:marTop w:val="0"/>
              <w:marBottom w:val="0"/>
              <w:divBdr>
                <w:top w:val="none" w:sz="0" w:space="0" w:color="auto"/>
                <w:left w:val="none" w:sz="0" w:space="0" w:color="auto"/>
                <w:bottom w:val="none" w:sz="0" w:space="0" w:color="auto"/>
                <w:right w:val="none" w:sz="0" w:space="0" w:color="auto"/>
              </w:divBdr>
            </w:div>
          </w:divsChild>
        </w:div>
        <w:div w:id="2019262035">
          <w:marLeft w:val="0"/>
          <w:marRight w:val="0"/>
          <w:marTop w:val="0"/>
          <w:marBottom w:val="0"/>
          <w:divBdr>
            <w:top w:val="none" w:sz="0" w:space="0" w:color="auto"/>
            <w:left w:val="none" w:sz="0" w:space="0" w:color="auto"/>
            <w:bottom w:val="none" w:sz="0" w:space="0" w:color="auto"/>
            <w:right w:val="none" w:sz="0" w:space="0" w:color="auto"/>
          </w:divBdr>
          <w:divsChild>
            <w:div w:id="1574731688">
              <w:marLeft w:val="0"/>
              <w:marRight w:val="0"/>
              <w:marTop w:val="0"/>
              <w:marBottom w:val="0"/>
              <w:divBdr>
                <w:top w:val="none" w:sz="0" w:space="0" w:color="auto"/>
                <w:left w:val="none" w:sz="0" w:space="0" w:color="auto"/>
                <w:bottom w:val="none" w:sz="0" w:space="0" w:color="auto"/>
                <w:right w:val="none" w:sz="0" w:space="0" w:color="auto"/>
              </w:divBdr>
            </w:div>
          </w:divsChild>
        </w:div>
        <w:div w:id="2046634333">
          <w:marLeft w:val="0"/>
          <w:marRight w:val="0"/>
          <w:marTop w:val="0"/>
          <w:marBottom w:val="0"/>
          <w:divBdr>
            <w:top w:val="none" w:sz="0" w:space="0" w:color="auto"/>
            <w:left w:val="none" w:sz="0" w:space="0" w:color="auto"/>
            <w:bottom w:val="none" w:sz="0" w:space="0" w:color="auto"/>
            <w:right w:val="none" w:sz="0" w:space="0" w:color="auto"/>
          </w:divBdr>
          <w:divsChild>
            <w:div w:id="1652827949">
              <w:marLeft w:val="0"/>
              <w:marRight w:val="0"/>
              <w:marTop w:val="0"/>
              <w:marBottom w:val="0"/>
              <w:divBdr>
                <w:top w:val="none" w:sz="0" w:space="0" w:color="auto"/>
                <w:left w:val="none" w:sz="0" w:space="0" w:color="auto"/>
                <w:bottom w:val="none" w:sz="0" w:space="0" w:color="auto"/>
                <w:right w:val="none" w:sz="0" w:space="0" w:color="auto"/>
              </w:divBdr>
            </w:div>
          </w:divsChild>
        </w:div>
        <w:div w:id="2047831790">
          <w:marLeft w:val="0"/>
          <w:marRight w:val="0"/>
          <w:marTop w:val="0"/>
          <w:marBottom w:val="0"/>
          <w:divBdr>
            <w:top w:val="none" w:sz="0" w:space="0" w:color="auto"/>
            <w:left w:val="none" w:sz="0" w:space="0" w:color="auto"/>
            <w:bottom w:val="none" w:sz="0" w:space="0" w:color="auto"/>
            <w:right w:val="none" w:sz="0" w:space="0" w:color="auto"/>
          </w:divBdr>
          <w:divsChild>
            <w:div w:id="929578932">
              <w:marLeft w:val="0"/>
              <w:marRight w:val="0"/>
              <w:marTop w:val="0"/>
              <w:marBottom w:val="0"/>
              <w:divBdr>
                <w:top w:val="none" w:sz="0" w:space="0" w:color="auto"/>
                <w:left w:val="none" w:sz="0" w:space="0" w:color="auto"/>
                <w:bottom w:val="none" w:sz="0" w:space="0" w:color="auto"/>
                <w:right w:val="none" w:sz="0" w:space="0" w:color="auto"/>
              </w:divBdr>
            </w:div>
          </w:divsChild>
        </w:div>
        <w:div w:id="2051762830">
          <w:marLeft w:val="0"/>
          <w:marRight w:val="0"/>
          <w:marTop w:val="0"/>
          <w:marBottom w:val="0"/>
          <w:divBdr>
            <w:top w:val="none" w:sz="0" w:space="0" w:color="auto"/>
            <w:left w:val="none" w:sz="0" w:space="0" w:color="auto"/>
            <w:bottom w:val="none" w:sz="0" w:space="0" w:color="auto"/>
            <w:right w:val="none" w:sz="0" w:space="0" w:color="auto"/>
          </w:divBdr>
          <w:divsChild>
            <w:div w:id="428548588">
              <w:marLeft w:val="0"/>
              <w:marRight w:val="0"/>
              <w:marTop w:val="0"/>
              <w:marBottom w:val="0"/>
              <w:divBdr>
                <w:top w:val="none" w:sz="0" w:space="0" w:color="auto"/>
                <w:left w:val="none" w:sz="0" w:space="0" w:color="auto"/>
                <w:bottom w:val="none" w:sz="0" w:space="0" w:color="auto"/>
                <w:right w:val="none" w:sz="0" w:space="0" w:color="auto"/>
              </w:divBdr>
            </w:div>
          </w:divsChild>
        </w:div>
        <w:div w:id="2063215705">
          <w:marLeft w:val="0"/>
          <w:marRight w:val="0"/>
          <w:marTop w:val="0"/>
          <w:marBottom w:val="0"/>
          <w:divBdr>
            <w:top w:val="none" w:sz="0" w:space="0" w:color="auto"/>
            <w:left w:val="none" w:sz="0" w:space="0" w:color="auto"/>
            <w:bottom w:val="none" w:sz="0" w:space="0" w:color="auto"/>
            <w:right w:val="none" w:sz="0" w:space="0" w:color="auto"/>
          </w:divBdr>
          <w:divsChild>
            <w:div w:id="2030446151">
              <w:marLeft w:val="0"/>
              <w:marRight w:val="0"/>
              <w:marTop w:val="0"/>
              <w:marBottom w:val="0"/>
              <w:divBdr>
                <w:top w:val="none" w:sz="0" w:space="0" w:color="auto"/>
                <w:left w:val="none" w:sz="0" w:space="0" w:color="auto"/>
                <w:bottom w:val="none" w:sz="0" w:space="0" w:color="auto"/>
                <w:right w:val="none" w:sz="0" w:space="0" w:color="auto"/>
              </w:divBdr>
            </w:div>
          </w:divsChild>
        </w:div>
        <w:div w:id="2067215737">
          <w:marLeft w:val="0"/>
          <w:marRight w:val="0"/>
          <w:marTop w:val="0"/>
          <w:marBottom w:val="0"/>
          <w:divBdr>
            <w:top w:val="none" w:sz="0" w:space="0" w:color="auto"/>
            <w:left w:val="none" w:sz="0" w:space="0" w:color="auto"/>
            <w:bottom w:val="none" w:sz="0" w:space="0" w:color="auto"/>
            <w:right w:val="none" w:sz="0" w:space="0" w:color="auto"/>
          </w:divBdr>
          <w:divsChild>
            <w:div w:id="501624962">
              <w:marLeft w:val="0"/>
              <w:marRight w:val="0"/>
              <w:marTop w:val="0"/>
              <w:marBottom w:val="0"/>
              <w:divBdr>
                <w:top w:val="none" w:sz="0" w:space="0" w:color="auto"/>
                <w:left w:val="none" w:sz="0" w:space="0" w:color="auto"/>
                <w:bottom w:val="none" w:sz="0" w:space="0" w:color="auto"/>
                <w:right w:val="none" w:sz="0" w:space="0" w:color="auto"/>
              </w:divBdr>
            </w:div>
          </w:divsChild>
        </w:div>
        <w:div w:id="2078936925">
          <w:marLeft w:val="0"/>
          <w:marRight w:val="0"/>
          <w:marTop w:val="0"/>
          <w:marBottom w:val="0"/>
          <w:divBdr>
            <w:top w:val="none" w:sz="0" w:space="0" w:color="auto"/>
            <w:left w:val="none" w:sz="0" w:space="0" w:color="auto"/>
            <w:bottom w:val="none" w:sz="0" w:space="0" w:color="auto"/>
            <w:right w:val="none" w:sz="0" w:space="0" w:color="auto"/>
          </w:divBdr>
          <w:divsChild>
            <w:div w:id="1967658829">
              <w:marLeft w:val="0"/>
              <w:marRight w:val="0"/>
              <w:marTop w:val="0"/>
              <w:marBottom w:val="0"/>
              <w:divBdr>
                <w:top w:val="none" w:sz="0" w:space="0" w:color="auto"/>
                <w:left w:val="none" w:sz="0" w:space="0" w:color="auto"/>
                <w:bottom w:val="none" w:sz="0" w:space="0" w:color="auto"/>
                <w:right w:val="none" w:sz="0" w:space="0" w:color="auto"/>
              </w:divBdr>
            </w:div>
          </w:divsChild>
        </w:div>
        <w:div w:id="2081368720">
          <w:marLeft w:val="0"/>
          <w:marRight w:val="0"/>
          <w:marTop w:val="0"/>
          <w:marBottom w:val="0"/>
          <w:divBdr>
            <w:top w:val="none" w:sz="0" w:space="0" w:color="auto"/>
            <w:left w:val="none" w:sz="0" w:space="0" w:color="auto"/>
            <w:bottom w:val="none" w:sz="0" w:space="0" w:color="auto"/>
            <w:right w:val="none" w:sz="0" w:space="0" w:color="auto"/>
          </w:divBdr>
          <w:divsChild>
            <w:div w:id="987586239">
              <w:marLeft w:val="0"/>
              <w:marRight w:val="0"/>
              <w:marTop w:val="0"/>
              <w:marBottom w:val="0"/>
              <w:divBdr>
                <w:top w:val="none" w:sz="0" w:space="0" w:color="auto"/>
                <w:left w:val="none" w:sz="0" w:space="0" w:color="auto"/>
                <w:bottom w:val="none" w:sz="0" w:space="0" w:color="auto"/>
                <w:right w:val="none" w:sz="0" w:space="0" w:color="auto"/>
              </w:divBdr>
            </w:div>
          </w:divsChild>
        </w:div>
        <w:div w:id="2086028550">
          <w:marLeft w:val="0"/>
          <w:marRight w:val="0"/>
          <w:marTop w:val="0"/>
          <w:marBottom w:val="0"/>
          <w:divBdr>
            <w:top w:val="none" w:sz="0" w:space="0" w:color="auto"/>
            <w:left w:val="none" w:sz="0" w:space="0" w:color="auto"/>
            <w:bottom w:val="none" w:sz="0" w:space="0" w:color="auto"/>
            <w:right w:val="none" w:sz="0" w:space="0" w:color="auto"/>
          </w:divBdr>
          <w:divsChild>
            <w:div w:id="1434401926">
              <w:marLeft w:val="0"/>
              <w:marRight w:val="0"/>
              <w:marTop w:val="0"/>
              <w:marBottom w:val="0"/>
              <w:divBdr>
                <w:top w:val="none" w:sz="0" w:space="0" w:color="auto"/>
                <w:left w:val="none" w:sz="0" w:space="0" w:color="auto"/>
                <w:bottom w:val="none" w:sz="0" w:space="0" w:color="auto"/>
                <w:right w:val="none" w:sz="0" w:space="0" w:color="auto"/>
              </w:divBdr>
            </w:div>
          </w:divsChild>
        </w:div>
        <w:div w:id="2090149937">
          <w:marLeft w:val="0"/>
          <w:marRight w:val="0"/>
          <w:marTop w:val="0"/>
          <w:marBottom w:val="0"/>
          <w:divBdr>
            <w:top w:val="none" w:sz="0" w:space="0" w:color="auto"/>
            <w:left w:val="none" w:sz="0" w:space="0" w:color="auto"/>
            <w:bottom w:val="none" w:sz="0" w:space="0" w:color="auto"/>
            <w:right w:val="none" w:sz="0" w:space="0" w:color="auto"/>
          </w:divBdr>
          <w:divsChild>
            <w:div w:id="518399449">
              <w:marLeft w:val="0"/>
              <w:marRight w:val="0"/>
              <w:marTop w:val="0"/>
              <w:marBottom w:val="0"/>
              <w:divBdr>
                <w:top w:val="none" w:sz="0" w:space="0" w:color="auto"/>
                <w:left w:val="none" w:sz="0" w:space="0" w:color="auto"/>
                <w:bottom w:val="none" w:sz="0" w:space="0" w:color="auto"/>
                <w:right w:val="none" w:sz="0" w:space="0" w:color="auto"/>
              </w:divBdr>
            </w:div>
          </w:divsChild>
        </w:div>
        <w:div w:id="2092580784">
          <w:marLeft w:val="0"/>
          <w:marRight w:val="0"/>
          <w:marTop w:val="0"/>
          <w:marBottom w:val="0"/>
          <w:divBdr>
            <w:top w:val="none" w:sz="0" w:space="0" w:color="auto"/>
            <w:left w:val="none" w:sz="0" w:space="0" w:color="auto"/>
            <w:bottom w:val="none" w:sz="0" w:space="0" w:color="auto"/>
            <w:right w:val="none" w:sz="0" w:space="0" w:color="auto"/>
          </w:divBdr>
          <w:divsChild>
            <w:div w:id="1816410603">
              <w:marLeft w:val="0"/>
              <w:marRight w:val="0"/>
              <w:marTop w:val="0"/>
              <w:marBottom w:val="0"/>
              <w:divBdr>
                <w:top w:val="none" w:sz="0" w:space="0" w:color="auto"/>
                <w:left w:val="none" w:sz="0" w:space="0" w:color="auto"/>
                <w:bottom w:val="none" w:sz="0" w:space="0" w:color="auto"/>
                <w:right w:val="none" w:sz="0" w:space="0" w:color="auto"/>
              </w:divBdr>
            </w:div>
          </w:divsChild>
        </w:div>
        <w:div w:id="2095546302">
          <w:marLeft w:val="0"/>
          <w:marRight w:val="0"/>
          <w:marTop w:val="0"/>
          <w:marBottom w:val="0"/>
          <w:divBdr>
            <w:top w:val="none" w:sz="0" w:space="0" w:color="auto"/>
            <w:left w:val="none" w:sz="0" w:space="0" w:color="auto"/>
            <w:bottom w:val="none" w:sz="0" w:space="0" w:color="auto"/>
            <w:right w:val="none" w:sz="0" w:space="0" w:color="auto"/>
          </w:divBdr>
          <w:divsChild>
            <w:div w:id="318769830">
              <w:marLeft w:val="0"/>
              <w:marRight w:val="0"/>
              <w:marTop w:val="0"/>
              <w:marBottom w:val="0"/>
              <w:divBdr>
                <w:top w:val="none" w:sz="0" w:space="0" w:color="auto"/>
                <w:left w:val="none" w:sz="0" w:space="0" w:color="auto"/>
                <w:bottom w:val="none" w:sz="0" w:space="0" w:color="auto"/>
                <w:right w:val="none" w:sz="0" w:space="0" w:color="auto"/>
              </w:divBdr>
            </w:div>
          </w:divsChild>
        </w:div>
        <w:div w:id="2097088547">
          <w:marLeft w:val="0"/>
          <w:marRight w:val="0"/>
          <w:marTop w:val="0"/>
          <w:marBottom w:val="0"/>
          <w:divBdr>
            <w:top w:val="none" w:sz="0" w:space="0" w:color="auto"/>
            <w:left w:val="none" w:sz="0" w:space="0" w:color="auto"/>
            <w:bottom w:val="none" w:sz="0" w:space="0" w:color="auto"/>
            <w:right w:val="none" w:sz="0" w:space="0" w:color="auto"/>
          </w:divBdr>
          <w:divsChild>
            <w:div w:id="1885867392">
              <w:marLeft w:val="0"/>
              <w:marRight w:val="0"/>
              <w:marTop w:val="0"/>
              <w:marBottom w:val="0"/>
              <w:divBdr>
                <w:top w:val="none" w:sz="0" w:space="0" w:color="auto"/>
                <w:left w:val="none" w:sz="0" w:space="0" w:color="auto"/>
                <w:bottom w:val="none" w:sz="0" w:space="0" w:color="auto"/>
                <w:right w:val="none" w:sz="0" w:space="0" w:color="auto"/>
              </w:divBdr>
            </w:div>
          </w:divsChild>
        </w:div>
        <w:div w:id="2103452839">
          <w:marLeft w:val="0"/>
          <w:marRight w:val="0"/>
          <w:marTop w:val="0"/>
          <w:marBottom w:val="0"/>
          <w:divBdr>
            <w:top w:val="none" w:sz="0" w:space="0" w:color="auto"/>
            <w:left w:val="none" w:sz="0" w:space="0" w:color="auto"/>
            <w:bottom w:val="none" w:sz="0" w:space="0" w:color="auto"/>
            <w:right w:val="none" w:sz="0" w:space="0" w:color="auto"/>
          </w:divBdr>
          <w:divsChild>
            <w:div w:id="682130577">
              <w:marLeft w:val="0"/>
              <w:marRight w:val="0"/>
              <w:marTop w:val="0"/>
              <w:marBottom w:val="0"/>
              <w:divBdr>
                <w:top w:val="none" w:sz="0" w:space="0" w:color="auto"/>
                <w:left w:val="none" w:sz="0" w:space="0" w:color="auto"/>
                <w:bottom w:val="none" w:sz="0" w:space="0" w:color="auto"/>
                <w:right w:val="none" w:sz="0" w:space="0" w:color="auto"/>
              </w:divBdr>
            </w:div>
          </w:divsChild>
        </w:div>
        <w:div w:id="2109696293">
          <w:marLeft w:val="0"/>
          <w:marRight w:val="0"/>
          <w:marTop w:val="0"/>
          <w:marBottom w:val="0"/>
          <w:divBdr>
            <w:top w:val="none" w:sz="0" w:space="0" w:color="auto"/>
            <w:left w:val="none" w:sz="0" w:space="0" w:color="auto"/>
            <w:bottom w:val="none" w:sz="0" w:space="0" w:color="auto"/>
            <w:right w:val="none" w:sz="0" w:space="0" w:color="auto"/>
          </w:divBdr>
          <w:divsChild>
            <w:div w:id="945231980">
              <w:marLeft w:val="0"/>
              <w:marRight w:val="0"/>
              <w:marTop w:val="0"/>
              <w:marBottom w:val="0"/>
              <w:divBdr>
                <w:top w:val="none" w:sz="0" w:space="0" w:color="auto"/>
                <w:left w:val="none" w:sz="0" w:space="0" w:color="auto"/>
                <w:bottom w:val="none" w:sz="0" w:space="0" w:color="auto"/>
                <w:right w:val="none" w:sz="0" w:space="0" w:color="auto"/>
              </w:divBdr>
            </w:div>
          </w:divsChild>
        </w:div>
        <w:div w:id="2110619184">
          <w:marLeft w:val="0"/>
          <w:marRight w:val="0"/>
          <w:marTop w:val="0"/>
          <w:marBottom w:val="0"/>
          <w:divBdr>
            <w:top w:val="none" w:sz="0" w:space="0" w:color="auto"/>
            <w:left w:val="none" w:sz="0" w:space="0" w:color="auto"/>
            <w:bottom w:val="none" w:sz="0" w:space="0" w:color="auto"/>
            <w:right w:val="none" w:sz="0" w:space="0" w:color="auto"/>
          </w:divBdr>
          <w:divsChild>
            <w:div w:id="1723215268">
              <w:marLeft w:val="0"/>
              <w:marRight w:val="0"/>
              <w:marTop w:val="0"/>
              <w:marBottom w:val="0"/>
              <w:divBdr>
                <w:top w:val="none" w:sz="0" w:space="0" w:color="auto"/>
                <w:left w:val="none" w:sz="0" w:space="0" w:color="auto"/>
                <w:bottom w:val="none" w:sz="0" w:space="0" w:color="auto"/>
                <w:right w:val="none" w:sz="0" w:space="0" w:color="auto"/>
              </w:divBdr>
            </w:div>
          </w:divsChild>
        </w:div>
        <w:div w:id="2121996069">
          <w:marLeft w:val="0"/>
          <w:marRight w:val="0"/>
          <w:marTop w:val="0"/>
          <w:marBottom w:val="0"/>
          <w:divBdr>
            <w:top w:val="none" w:sz="0" w:space="0" w:color="auto"/>
            <w:left w:val="none" w:sz="0" w:space="0" w:color="auto"/>
            <w:bottom w:val="none" w:sz="0" w:space="0" w:color="auto"/>
            <w:right w:val="none" w:sz="0" w:space="0" w:color="auto"/>
          </w:divBdr>
          <w:divsChild>
            <w:div w:id="1877425666">
              <w:marLeft w:val="0"/>
              <w:marRight w:val="0"/>
              <w:marTop w:val="0"/>
              <w:marBottom w:val="0"/>
              <w:divBdr>
                <w:top w:val="none" w:sz="0" w:space="0" w:color="auto"/>
                <w:left w:val="none" w:sz="0" w:space="0" w:color="auto"/>
                <w:bottom w:val="none" w:sz="0" w:space="0" w:color="auto"/>
                <w:right w:val="none" w:sz="0" w:space="0" w:color="auto"/>
              </w:divBdr>
            </w:div>
          </w:divsChild>
        </w:div>
        <w:div w:id="2123650660">
          <w:marLeft w:val="0"/>
          <w:marRight w:val="0"/>
          <w:marTop w:val="0"/>
          <w:marBottom w:val="0"/>
          <w:divBdr>
            <w:top w:val="none" w:sz="0" w:space="0" w:color="auto"/>
            <w:left w:val="none" w:sz="0" w:space="0" w:color="auto"/>
            <w:bottom w:val="none" w:sz="0" w:space="0" w:color="auto"/>
            <w:right w:val="none" w:sz="0" w:space="0" w:color="auto"/>
          </w:divBdr>
          <w:divsChild>
            <w:div w:id="860902052">
              <w:marLeft w:val="0"/>
              <w:marRight w:val="0"/>
              <w:marTop w:val="0"/>
              <w:marBottom w:val="0"/>
              <w:divBdr>
                <w:top w:val="none" w:sz="0" w:space="0" w:color="auto"/>
                <w:left w:val="none" w:sz="0" w:space="0" w:color="auto"/>
                <w:bottom w:val="none" w:sz="0" w:space="0" w:color="auto"/>
                <w:right w:val="none" w:sz="0" w:space="0" w:color="auto"/>
              </w:divBdr>
            </w:div>
          </w:divsChild>
        </w:div>
        <w:div w:id="2126579979">
          <w:marLeft w:val="0"/>
          <w:marRight w:val="0"/>
          <w:marTop w:val="0"/>
          <w:marBottom w:val="0"/>
          <w:divBdr>
            <w:top w:val="none" w:sz="0" w:space="0" w:color="auto"/>
            <w:left w:val="none" w:sz="0" w:space="0" w:color="auto"/>
            <w:bottom w:val="none" w:sz="0" w:space="0" w:color="auto"/>
            <w:right w:val="none" w:sz="0" w:space="0" w:color="auto"/>
          </w:divBdr>
          <w:divsChild>
            <w:div w:id="1050693077">
              <w:marLeft w:val="0"/>
              <w:marRight w:val="0"/>
              <w:marTop w:val="0"/>
              <w:marBottom w:val="0"/>
              <w:divBdr>
                <w:top w:val="none" w:sz="0" w:space="0" w:color="auto"/>
                <w:left w:val="none" w:sz="0" w:space="0" w:color="auto"/>
                <w:bottom w:val="none" w:sz="0" w:space="0" w:color="auto"/>
                <w:right w:val="none" w:sz="0" w:space="0" w:color="auto"/>
              </w:divBdr>
            </w:div>
          </w:divsChild>
        </w:div>
        <w:div w:id="2129737675">
          <w:marLeft w:val="0"/>
          <w:marRight w:val="0"/>
          <w:marTop w:val="0"/>
          <w:marBottom w:val="0"/>
          <w:divBdr>
            <w:top w:val="none" w:sz="0" w:space="0" w:color="auto"/>
            <w:left w:val="none" w:sz="0" w:space="0" w:color="auto"/>
            <w:bottom w:val="none" w:sz="0" w:space="0" w:color="auto"/>
            <w:right w:val="none" w:sz="0" w:space="0" w:color="auto"/>
          </w:divBdr>
          <w:divsChild>
            <w:div w:id="513692604">
              <w:marLeft w:val="0"/>
              <w:marRight w:val="0"/>
              <w:marTop w:val="0"/>
              <w:marBottom w:val="0"/>
              <w:divBdr>
                <w:top w:val="none" w:sz="0" w:space="0" w:color="auto"/>
                <w:left w:val="none" w:sz="0" w:space="0" w:color="auto"/>
                <w:bottom w:val="none" w:sz="0" w:space="0" w:color="auto"/>
                <w:right w:val="none" w:sz="0" w:space="0" w:color="auto"/>
              </w:divBdr>
            </w:div>
          </w:divsChild>
        </w:div>
        <w:div w:id="2137747561">
          <w:marLeft w:val="0"/>
          <w:marRight w:val="0"/>
          <w:marTop w:val="0"/>
          <w:marBottom w:val="0"/>
          <w:divBdr>
            <w:top w:val="none" w:sz="0" w:space="0" w:color="auto"/>
            <w:left w:val="none" w:sz="0" w:space="0" w:color="auto"/>
            <w:bottom w:val="none" w:sz="0" w:space="0" w:color="auto"/>
            <w:right w:val="none" w:sz="0" w:space="0" w:color="auto"/>
          </w:divBdr>
          <w:divsChild>
            <w:div w:id="410933938">
              <w:marLeft w:val="0"/>
              <w:marRight w:val="0"/>
              <w:marTop w:val="0"/>
              <w:marBottom w:val="0"/>
              <w:divBdr>
                <w:top w:val="none" w:sz="0" w:space="0" w:color="auto"/>
                <w:left w:val="none" w:sz="0" w:space="0" w:color="auto"/>
                <w:bottom w:val="none" w:sz="0" w:space="0" w:color="auto"/>
                <w:right w:val="none" w:sz="0" w:space="0" w:color="auto"/>
              </w:divBdr>
            </w:div>
          </w:divsChild>
        </w:div>
        <w:div w:id="2146655312">
          <w:marLeft w:val="0"/>
          <w:marRight w:val="0"/>
          <w:marTop w:val="0"/>
          <w:marBottom w:val="0"/>
          <w:divBdr>
            <w:top w:val="none" w:sz="0" w:space="0" w:color="auto"/>
            <w:left w:val="none" w:sz="0" w:space="0" w:color="auto"/>
            <w:bottom w:val="none" w:sz="0" w:space="0" w:color="auto"/>
            <w:right w:val="none" w:sz="0" w:space="0" w:color="auto"/>
          </w:divBdr>
          <w:divsChild>
            <w:div w:id="139083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11157">
      <w:bodyDiv w:val="1"/>
      <w:marLeft w:val="0"/>
      <w:marRight w:val="0"/>
      <w:marTop w:val="0"/>
      <w:marBottom w:val="0"/>
      <w:divBdr>
        <w:top w:val="none" w:sz="0" w:space="0" w:color="auto"/>
        <w:left w:val="none" w:sz="0" w:space="0" w:color="auto"/>
        <w:bottom w:val="none" w:sz="0" w:space="0" w:color="auto"/>
        <w:right w:val="none" w:sz="0" w:space="0" w:color="auto"/>
      </w:divBdr>
    </w:div>
    <w:div w:id="207870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lomons.gov.sb/wp-content/uploads/2020/02/National-Development-Strategy-2016.pdf" TargetMode="External"/><Relationship Id="rId18" Type="http://schemas.openxmlformats.org/officeDocument/2006/relationships/image" Target="media/image2.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www.dfat.gov.au/geo/solomon-islands/development-assistance/development-assistance-in-solomon-islands/australia-solomon-islands-development-partnership-plan-2024-2029" TargetMode="External"/><Relationship Id="rId17" Type="http://schemas.openxmlformats.org/officeDocument/2006/relationships/hyperlink" Target="https://www.dfat.gov.au/about-us/publications/dfat-design-monitoring-evaluation-learning-standards"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fat.gov.au/about-us/publications/dfat-design-monitoring-evaluation-learning-standards"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fat.gov.au/publications/development/australias-international-development-policy"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pacificdata.org/data/dataset/population-projections-df-pop-proj" TargetMode="External"/><Relationship Id="rId1" Type="http://schemas.openxmlformats.org/officeDocument/2006/relationships/hyperlink" Target="https://www.foreignminister.gov.au/minister/penny-wong/transcript/doorstop-honiara-solomon-isla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Downloads\Alinea%20Simple%20Word%20Template%202021.dotx" TargetMode="External"/></Relationships>
</file>

<file path=word/documenttasks/documenttasks1.xml><?xml version="1.0" encoding="utf-8"?>
<t:Tasks xmlns:t="http://schemas.microsoft.com/office/tasks/2019/documenttasks" xmlns:oel="http://schemas.microsoft.com/office/2019/extlst">
  <t:Task id="{D0612977-2FD4-4710-8BC3-F4CFA27F81D6}">
    <t:Anchor>
      <t:Comment id="1677567795"/>
    </t:Anchor>
    <t:History>
      <t:Event id="{096CF732-B9EE-490E-B77F-A9E81276985E}" time="2025-04-14T04:15:57.661Z">
        <t:Attribution userId="S::jo-hannah.lavey@alineainternational.com::6591c0e2-1128-48f5-bfab-78ca1fc917d7" userProvider="AD" userName="Jo-Hannah Lavey"/>
        <t:Anchor>
          <t:Comment id="1677567795"/>
        </t:Anchor>
        <t:Create/>
      </t:Event>
      <t:Event id="{1C851D7D-BF50-4ED8-81DA-6F62CC40FF46}" time="2025-04-14T04:15:57.661Z">
        <t:Attribution userId="S::jo-hannah.lavey@alineainternational.com::6591c0e2-1128-48f5-bfab-78ca1fc917d7" userProvider="AD" userName="Jo-Hannah Lavey"/>
        <t:Anchor>
          <t:Comment id="1677567795"/>
        </t:Anchor>
        <t:Assign userId="S::Joel.Thorpe@alineainternational.com::70259cf1-d98b-4c57-8d21-d6a1b302a807" userProvider="AD" userName="Joel Thorpe"/>
      </t:Event>
      <t:Event id="{B42F4270-3E53-4DAA-B064-026C99A4EBE6}" time="2025-04-14T04:15:57.661Z">
        <t:Attribution userId="S::jo-hannah.lavey@alineainternational.com::6591c0e2-1128-48f5-bfab-78ca1fc917d7" userProvider="AD" userName="Jo-Hannah Lavey"/>
        <t:Anchor>
          <t:Comment id="1677567795"/>
        </t:Anchor>
        <t:SetTitle title="Noting that we won't have any control over the gender of people we interview - @Joel Thorpe can we either make that explicit in limitations, or delete all reference to numbers of men / women, and instead say that we will monitor the gender of …"/>
      </t:Event>
      <t:Event id="{57E3EB36-A543-4031-B180-EA8D4738CB81}" time="2025-04-14T04:42:17.381Z">
        <t:Attribution userId="S::Joel.Thorpe@alineainternational.com::70259cf1-d98b-4c57-8d21-d6a1b302a807" userProvider="AD" userName="Joel Thorpe"/>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063A7EF91A4D10A9DC230892C1D19D"/>
        <w:category>
          <w:name w:val="General"/>
          <w:gallery w:val="placeholder"/>
        </w:category>
        <w:types>
          <w:type w:val="bbPlcHdr"/>
        </w:types>
        <w:behaviors>
          <w:behavior w:val="content"/>
        </w:behaviors>
        <w:guid w:val="{F9E6226A-7E3E-4D68-A30E-CC2EAC8AC8AF}"/>
      </w:docPartPr>
      <w:docPartBody>
        <w:p w:rsidR="000E4792" w:rsidRDefault="00F736FC" w:rsidP="00F736FC">
          <w:pPr>
            <w:pStyle w:val="6D063A7EF91A4D10A9DC230892C1D19D"/>
          </w:pPr>
          <w:r w:rsidRPr="00415976">
            <w:rPr>
              <w:rStyle w:val="PlaceholderText"/>
              <w:highlight w:val="yellow"/>
            </w:rPr>
            <w:t>XXXXXXX</w:t>
          </w:r>
          <w:r w:rsidRPr="00415976">
            <w:rPr>
              <w:rStyle w:val="PlaceholderText"/>
            </w:rPr>
            <w:t>.</w:t>
          </w:r>
        </w:p>
      </w:docPartBody>
    </w:docPart>
    <w:docPart>
      <w:docPartPr>
        <w:name w:val="80BAFDBD6F81459CA04117C3799A03B8"/>
        <w:category>
          <w:name w:val="General"/>
          <w:gallery w:val="placeholder"/>
        </w:category>
        <w:types>
          <w:type w:val="bbPlcHdr"/>
        </w:types>
        <w:behaviors>
          <w:behavior w:val="content"/>
        </w:behaviors>
        <w:guid w:val="{CD679696-195E-45D8-979F-CB010E1E16AE}"/>
      </w:docPartPr>
      <w:docPartBody>
        <w:p w:rsidR="000E4792" w:rsidRDefault="00F736FC" w:rsidP="00F736FC">
          <w:pPr>
            <w:pStyle w:val="80BAFDBD6F81459CA04117C3799A03B8"/>
          </w:pPr>
          <w:r w:rsidRPr="00415976">
            <w:rPr>
              <w:rStyle w:val="PlaceholderText"/>
              <w:highlight w:val="yellow"/>
            </w:rPr>
            <w:t>XXXXXXX</w:t>
          </w:r>
          <w:r w:rsidRPr="0041597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rpid C1 SCd Regular">
    <w:altName w:val="Arial"/>
    <w:charset w:val="00"/>
    <w:family w:val="swiss"/>
    <w:pitch w:val="variable"/>
    <w:sig w:usb0="A00000EF" w:usb1="5000205B" w:usb2="00000000" w:usb3="00000000" w:csb0="0000009B"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6FC"/>
    <w:rsid w:val="00000BBA"/>
    <w:rsid w:val="0000711C"/>
    <w:rsid w:val="00013C45"/>
    <w:rsid w:val="00015640"/>
    <w:rsid w:val="00024FD5"/>
    <w:rsid w:val="000570CA"/>
    <w:rsid w:val="00097895"/>
    <w:rsid w:val="000E4792"/>
    <w:rsid w:val="00110635"/>
    <w:rsid w:val="00111A16"/>
    <w:rsid w:val="00116354"/>
    <w:rsid w:val="00136B65"/>
    <w:rsid w:val="00143BFF"/>
    <w:rsid w:val="00155137"/>
    <w:rsid w:val="001602CC"/>
    <w:rsid w:val="00171D5D"/>
    <w:rsid w:val="00181584"/>
    <w:rsid w:val="001B17A1"/>
    <w:rsid w:val="001C5E09"/>
    <w:rsid w:val="001D1279"/>
    <w:rsid w:val="001D6C1C"/>
    <w:rsid w:val="00207EB3"/>
    <w:rsid w:val="00213301"/>
    <w:rsid w:val="0021367B"/>
    <w:rsid w:val="00252CAF"/>
    <w:rsid w:val="002867B6"/>
    <w:rsid w:val="002E3897"/>
    <w:rsid w:val="002E73BA"/>
    <w:rsid w:val="002F67CA"/>
    <w:rsid w:val="00314711"/>
    <w:rsid w:val="00372D7B"/>
    <w:rsid w:val="00373289"/>
    <w:rsid w:val="003829F0"/>
    <w:rsid w:val="003859F0"/>
    <w:rsid w:val="003A6D7A"/>
    <w:rsid w:val="003C2FE4"/>
    <w:rsid w:val="003D2E16"/>
    <w:rsid w:val="003E11B9"/>
    <w:rsid w:val="003F0510"/>
    <w:rsid w:val="004278BC"/>
    <w:rsid w:val="00454B91"/>
    <w:rsid w:val="004577DC"/>
    <w:rsid w:val="00461247"/>
    <w:rsid w:val="0048246E"/>
    <w:rsid w:val="004B3A36"/>
    <w:rsid w:val="0054404C"/>
    <w:rsid w:val="005B20C0"/>
    <w:rsid w:val="00617A91"/>
    <w:rsid w:val="00633E3E"/>
    <w:rsid w:val="0063402B"/>
    <w:rsid w:val="006435E4"/>
    <w:rsid w:val="0066416A"/>
    <w:rsid w:val="006721C4"/>
    <w:rsid w:val="00675058"/>
    <w:rsid w:val="0068524F"/>
    <w:rsid w:val="00692B6C"/>
    <w:rsid w:val="006944CD"/>
    <w:rsid w:val="006B0870"/>
    <w:rsid w:val="006B1A71"/>
    <w:rsid w:val="006C3ABF"/>
    <w:rsid w:val="006E0191"/>
    <w:rsid w:val="006E521E"/>
    <w:rsid w:val="006E6C64"/>
    <w:rsid w:val="007059F1"/>
    <w:rsid w:val="0073367F"/>
    <w:rsid w:val="00767C0A"/>
    <w:rsid w:val="00782B19"/>
    <w:rsid w:val="00792BB5"/>
    <w:rsid w:val="007A435B"/>
    <w:rsid w:val="007C7BED"/>
    <w:rsid w:val="007E00E7"/>
    <w:rsid w:val="00801DF4"/>
    <w:rsid w:val="008270CD"/>
    <w:rsid w:val="008323E8"/>
    <w:rsid w:val="0083332F"/>
    <w:rsid w:val="00867680"/>
    <w:rsid w:val="008A331C"/>
    <w:rsid w:val="008A549D"/>
    <w:rsid w:val="008A5824"/>
    <w:rsid w:val="008D303B"/>
    <w:rsid w:val="008E0C26"/>
    <w:rsid w:val="00923C7B"/>
    <w:rsid w:val="009547D1"/>
    <w:rsid w:val="009F2135"/>
    <w:rsid w:val="00A1064F"/>
    <w:rsid w:val="00A15A1D"/>
    <w:rsid w:val="00A1734C"/>
    <w:rsid w:val="00A20458"/>
    <w:rsid w:val="00A345E2"/>
    <w:rsid w:val="00A37F0D"/>
    <w:rsid w:val="00A4439C"/>
    <w:rsid w:val="00A90209"/>
    <w:rsid w:val="00AF1E48"/>
    <w:rsid w:val="00B13615"/>
    <w:rsid w:val="00B23ABD"/>
    <w:rsid w:val="00B34E63"/>
    <w:rsid w:val="00B55C21"/>
    <w:rsid w:val="00B94207"/>
    <w:rsid w:val="00BA0F60"/>
    <w:rsid w:val="00BE72EA"/>
    <w:rsid w:val="00BF006A"/>
    <w:rsid w:val="00C1569C"/>
    <w:rsid w:val="00C31F11"/>
    <w:rsid w:val="00C44473"/>
    <w:rsid w:val="00C452A3"/>
    <w:rsid w:val="00C54AAC"/>
    <w:rsid w:val="00C574F6"/>
    <w:rsid w:val="00C65F73"/>
    <w:rsid w:val="00C84831"/>
    <w:rsid w:val="00C9315A"/>
    <w:rsid w:val="00C97693"/>
    <w:rsid w:val="00CD3BDC"/>
    <w:rsid w:val="00CD4E35"/>
    <w:rsid w:val="00CD56FA"/>
    <w:rsid w:val="00CE6BBF"/>
    <w:rsid w:val="00D14CF8"/>
    <w:rsid w:val="00D163CF"/>
    <w:rsid w:val="00D33572"/>
    <w:rsid w:val="00D54CF9"/>
    <w:rsid w:val="00D84248"/>
    <w:rsid w:val="00D902A6"/>
    <w:rsid w:val="00D9555F"/>
    <w:rsid w:val="00D95747"/>
    <w:rsid w:val="00D960EB"/>
    <w:rsid w:val="00D97CE0"/>
    <w:rsid w:val="00DA4F84"/>
    <w:rsid w:val="00DE2E43"/>
    <w:rsid w:val="00DF06B0"/>
    <w:rsid w:val="00DF12B0"/>
    <w:rsid w:val="00E123C6"/>
    <w:rsid w:val="00E155DD"/>
    <w:rsid w:val="00E2200D"/>
    <w:rsid w:val="00E26ED0"/>
    <w:rsid w:val="00E33A4E"/>
    <w:rsid w:val="00E375E9"/>
    <w:rsid w:val="00E629F3"/>
    <w:rsid w:val="00E64CFF"/>
    <w:rsid w:val="00E74A76"/>
    <w:rsid w:val="00F379EC"/>
    <w:rsid w:val="00F601A1"/>
    <w:rsid w:val="00F736FC"/>
    <w:rsid w:val="00FB1D65"/>
    <w:rsid w:val="00FD639E"/>
    <w:rsid w:val="00FF41B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36FC"/>
    <w:rPr>
      <w:vanish w:val="0"/>
      <w:color w:val="FF0000"/>
    </w:rPr>
  </w:style>
  <w:style w:type="paragraph" w:customStyle="1" w:styleId="6D063A7EF91A4D10A9DC230892C1D19D">
    <w:name w:val="6D063A7EF91A4D10A9DC230892C1D19D"/>
    <w:rsid w:val="00F736FC"/>
  </w:style>
  <w:style w:type="paragraph" w:customStyle="1" w:styleId="80BAFDBD6F81459CA04117C3799A03B8">
    <w:name w:val="80BAFDBD6F81459CA04117C3799A03B8"/>
    <w:rsid w:val="00F736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1">
      <a:dk1>
        <a:srgbClr val="000000"/>
      </a:dk1>
      <a:lt1>
        <a:srgbClr val="FFFFFF"/>
      </a:lt1>
      <a:dk2>
        <a:srgbClr val="585858"/>
      </a:dk2>
      <a:lt2>
        <a:srgbClr val="1D336D"/>
      </a:lt2>
      <a:accent1>
        <a:srgbClr val="63D0DF"/>
      </a:accent1>
      <a:accent2>
        <a:srgbClr val="C9C9CA"/>
      </a:accent2>
      <a:accent3>
        <a:srgbClr val="63D0DF"/>
      </a:accent3>
      <a:accent4>
        <a:srgbClr val="A1A1A1"/>
      </a:accent4>
      <a:accent5>
        <a:srgbClr val="63D0DF"/>
      </a:accent5>
      <a:accent6>
        <a:srgbClr val="A1A1A1"/>
      </a:accent6>
      <a:hlink>
        <a:srgbClr val="000000"/>
      </a:hlink>
      <a:folHlink>
        <a:srgbClr val="FFFFFF"/>
      </a:folHlink>
    </a:clrScheme>
    <a:fontScheme name="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9275E53850B74F9B2F81591023CD8D" ma:contentTypeVersion="14" ma:contentTypeDescription="Create a new document." ma:contentTypeScope="" ma:versionID="6f080745339388d8e017cda418147c98">
  <xsd:schema xmlns:xsd="http://www.w3.org/2001/XMLSchema" xmlns:xs="http://www.w3.org/2001/XMLSchema" xmlns:p="http://schemas.microsoft.com/office/2006/metadata/properties" xmlns:ns2="e5d5c25d-9129-4c27-b517-01c5263e68c1" xmlns:ns3="0ac15eef-05b8-43d9-b3a8-0277d9ca88bd" targetNamespace="http://schemas.microsoft.com/office/2006/metadata/properties" ma:root="true" ma:fieldsID="c91824ed7575146cc537cd9bda88bf6f" ns2:_="" ns3:_="">
    <xsd:import namespace="e5d5c25d-9129-4c27-b517-01c5263e68c1"/>
    <xsd:import namespace="0ac15eef-05b8-43d9-b3a8-0277d9ca88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5c25d-9129-4c27-b517-01c5263e6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c15eef-05b8-43d9-b3a8-0277d9ca88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d5c25d-9129-4c27-b517-01c5263e68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7385B8E-92E4-4ED1-8CE4-CE4EE22DC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5c25d-9129-4c27-b517-01c5263e68c1"/>
    <ds:schemaRef ds:uri="0ac15eef-05b8-43d9-b3a8-0277d9ca8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EC76CB-EA68-4180-8B6C-269E084A5AD1}">
  <ds:schemaRefs>
    <ds:schemaRef ds:uri="http://schemas.microsoft.com/office/2006/metadata/properties"/>
    <ds:schemaRef ds:uri="http://schemas.microsoft.com/office/infopath/2007/PartnerControls"/>
    <ds:schemaRef ds:uri="e5d5c25d-9129-4c27-b517-01c5263e68c1"/>
  </ds:schemaRefs>
</ds:datastoreItem>
</file>

<file path=customXml/itemProps3.xml><?xml version="1.0" encoding="utf-8"?>
<ds:datastoreItem xmlns:ds="http://schemas.openxmlformats.org/officeDocument/2006/customXml" ds:itemID="{440DF072-06D8-4B8D-8BE8-77999480AD46}">
  <ds:schemaRefs>
    <ds:schemaRef ds:uri="http://schemas.microsoft.com/sharepoint/v3/contenttype/forms"/>
  </ds:schemaRefs>
</ds:datastoreItem>
</file>

<file path=customXml/itemProps4.xml><?xml version="1.0" encoding="utf-8"?>
<ds:datastoreItem xmlns:ds="http://schemas.openxmlformats.org/officeDocument/2006/customXml" ds:itemID="{7ABC05ED-EB50-4813-A304-FD86592D85C9}">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Standard" siteId="{9b7f23b3-0e83-47a5-8a40-ffa8a6fea536}" removed="0"/>
  <clbl:label id="{ce1b0409-d99d-4462-9a67-5bfd6cb4a147}" enabled="0" method="" siteId="{ce1b0409-d99d-4462-9a67-5bfd6cb4a147}" removed="1"/>
</clbl:labelList>
</file>

<file path=docProps/app.xml><?xml version="1.0" encoding="utf-8"?>
<Properties xmlns="http://schemas.openxmlformats.org/officeDocument/2006/extended-properties" xmlns:vt="http://schemas.openxmlformats.org/officeDocument/2006/docPropsVTypes">
  <Template>Alinea Simple Word Template 2021.dotx</Template>
  <TotalTime>151</TotalTime>
  <Pages>43</Pages>
  <Words>20643</Words>
  <Characters>128816</Characters>
  <Application>Microsoft Office Word</Application>
  <DocSecurity>0</DocSecurity>
  <Lines>3141</Lines>
  <Paragraphs>1437</Paragraphs>
  <ScaleCrop>false</ScaleCrop>
  <HeadingPairs>
    <vt:vector size="2" baseType="variant">
      <vt:variant>
        <vt:lpstr>Title</vt:lpstr>
      </vt:variant>
      <vt:variant>
        <vt:i4>1</vt:i4>
      </vt:variant>
    </vt:vector>
  </HeadingPairs>
  <TitlesOfParts>
    <vt:vector size="1" baseType="lpstr">
      <vt:lpstr>Pacific Church Partnerships Program (PCPP) Phase 1 Evaluation Report</vt:lpstr>
    </vt:vector>
  </TitlesOfParts>
  <Company>Windows User</Company>
  <LinksUpToDate>false</LinksUpToDate>
  <CharactersWithSpaces>148022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Solomon Islands Program Support Facility (ASIPS+) Mid-Term Review Report</dc:title>
  <dc:subject>Evaluation report</dc:subject>
  <dc:creator>Ana Ilic</dc:creator>
  <cp:keywords/>
  <dc:description/>
  <cp:lastModifiedBy>Fabiola Guzman</cp:lastModifiedBy>
  <cp:revision>33</cp:revision>
  <cp:lastPrinted>2026-09-15T05:02:00Z</cp:lastPrinted>
  <dcterms:created xsi:type="dcterms:W3CDTF">2026-08-20T01:41:00Z</dcterms:created>
  <dcterms:modified xsi:type="dcterms:W3CDTF">2026-09-17T02:10:00Z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Title">
    <vt:lpwstr>HeaderTitle</vt:lpwstr>
  </property>
  <property fmtid="{D5CDD505-2E9C-101B-9397-08002B2CF9AE}" pid="3" name="FirstRun">
    <vt:lpwstr>True</vt:lpwstr>
  </property>
  <property fmtid="{D5CDD505-2E9C-101B-9397-08002B2CF9AE}" pid="4" name="cdpStatus">
    <vt:lpwstr>DRAFT</vt:lpwstr>
  </property>
  <property fmtid="{D5CDD505-2E9C-101B-9397-08002B2CF9AE}" pid="5" name="cdpDateDivider">
    <vt:lpwstr>|</vt:lpwstr>
  </property>
  <property fmtid="{D5CDD505-2E9C-101B-9397-08002B2CF9AE}" pid="6" name="Document Type">
    <vt:lpwstr/>
  </property>
  <property fmtid="{D5CDD505-2E9C-101B-9397-08002B2CF9AE}" pid="7" name="Document Type (Projects)">
    <vt:lpwstr/>
  </property>
  <property fmtid="{D5CDD505-2E9C-101B-9397-08002B2CF9AE}" pid="8" name="Order">
    <vt:r8>10500</vt:r8>
  </property>
  <property fmtid="{D5CDD505-2E9C-101B-9397-08002B2CF9AE}" pid="9" name="xd_Signature">
    <vt:bool>false</vt:bool>
  </property>
  <property fmtid="{D5CDD505-2E9C-101B-9397-08002B2CF9AE}" pid="10" name="_ExtendedDescription">
    <vt:lpwstr/>
  </property>
  <property fmtid="{D5CDD505-2E9C-101B-9397-08002B2CF9AE}" pid="11" name="xd_ProgID">
    <vt:lpwstr/>
  </property>
  <property fmtid="{D5CDD505-2E9C-101B-9397-08002B2CF9AE}" pid="12" name="TriggerFlowInfo">
    <vt:lpwstr/>
  </property>
  <property fmtid="{D5CDD505-2E9C-101B-9397-08002B2CF9AE}" pid="13" name="ComplianceAssetId">
    <vt:lpwstr/>
  </property>
  <property fmtid="{D5CDD505-2E9C-101B-9397-08002B2CF9AE}" pid="14" name="TemplateUrl">
    <vt:lpwstr/>
  </property>
  <property fmtid="{D5CDD505-2E9C-101B-9397-08002B2CF9AE}" pid="15" name="PM_Namespace">
    <vt:lpwstr>gov.au</vt:lpwstr>
  </property>
  <property fmtid="{D5CDD505-2E9C-101B-9397-08002B2CF9AE}" pid="16" name="PM_Caveats_Count">
    <vt:lpwstr>0</vt:lpwstr>
  </property>
  <property fmtid="{D5CDD505-2E9C-101B-9397-08002B2CF9AE}" pid="17" name="PM_Version">
    <vt:lpwstr>2018.4</vt:lpwstr>
  </property>
  <property fmtid="{D5CDD505-2E9C-101B-9397-08002B2CF9AE}" pid="18" name="PM_Note">
    <vt:lpwstr/>
  </property>
  <property fmtid="{D5CDD505-2E9C-101B-9397-08002B2CF9AE}" pid="19" name="PMHMAC">
    <vt:lpwstr>v=2022.1;a=SHA256;h=A4F14F365AD9584C5E0852761E4A6914EB30D7DBDC9ED38CD6BC38A97B973F70</vt:lpwstr>
  </property>
  <property fmtid="{D5CDD505-2E9C-101B-9397-08002B2CF9AE}" pid="20" name="PM_Qualifier">
    <vt:lpwstr/>
  </property>
  <property fmtid="{D5CDD505-2E9C-101B-9397-08002B2CF9AE}" pid="21" name="PM_SecurityClassification">
    <vt:lpwstr>OFFICIAL</vt:lpwstr>
  </property>
  <property fmtid="{D5CDD505-2E9C-101B-9397-08002B2CF9AE}" pid="22" name="PM_ProtectiveMarkingValue_Header">
    <vt:lpwstr>OFFICIAL</vt:lpwstr>
  </property>
  <property fmtid="{D5CDD505-2E9C-101B-9397-08002B2CF9AE}" pid="23" name="PM_OriginationTimeStamp">
    <vt:lpwstr>2023-07-11T00:12:41Z</vt:lpwstr>
  </property>
  <property fmtid="{D5CDD505-2E9C-101B-9397-08002B2CF9AE}" pid="24" name="PM_Markers">
    <vt:lpwstr/>
  </property>
  <property fmtid="{D5CDD505-2E9C-101B-9397-08002B2CF9AE}" pid="25" name="PM_InsertionValue">
    <vt:lpwstr>OFFICIAL</vt:lpwstr>
  </property>
  <property fmtid="{D5CDD505-2E9C-101B-9397-08002B2CF9AE}" pid="26" name="PM_Originator_Hash_SHA1">
    <vt:lpwstr>B4B3F0D3EECD5BC00DE5B743F5411FEA7D643B3A</vt:lpwstr>
  </property>
  <property fmtid="{D5CDD505-2E9C-101B-9397-08002B2CF9AE}" pid="27" name="PM_DisplayValueSecClassificationWithQualifier">
    <vt:lpwstr>OFFICIAL</vt:lpwstr>
  </property>
  <property fmtid="{D5CDD505-2E9C-101B-9397-08002B2CF9AE}" pid="28" name="PM_Originating_FileId">
    <vt:lpwstr>4B0EE913375147FBAD998E1234CD72EE</vt:lpwstr>
  </property>
  <property fmtid="{D5CDD505-2E9C-101B-9397-08002B2CF9AE}" pid="29" name="PM_ProtectiveMarkingValue_Footer">
    <vt:lpwstr>OFFICIAL</vt:lpwstr>
  </property>
  <property fmtid="{D5CDD505-2E9C-101B-9397-08002B2CF9AE}" pid="30" name="PM_ProtectiveMarkingImage_Header">
    <vt:lpwstr>C:\Program Files (x86)\Common Files\janusNET Shared\janusSEAL\Images\DocumentSlashBlue.png</vt:lpwstr>
  </property>
  <property fmtid="{D5CDD505-2E9C-101B-9397-08002B2CF9AE}" pid="31" name="PM_ProtectiveMarkingImage_Footer">
    <vt:lpwstr>C:\Program Files (x86)\Common Files\janusNET Shared\janusSEAL\Images\DocumentSlashBlue.png</vt:lpwstr>
  </property>
  <property fmtid="{D5CDD505-2E9C-101B-9397-08002B2CF9AE}" pid="32" name="PM_Display">
    <vt:lpwstr>OFFICIAL</vt:lpwstr>
  </property>
  <property fmtid="{D5CDD505-2E9C-101B-9397-08002B2CF9AE}" pid="33" name="PM_OriginatorUserAccountName_SHA256">
    <vt:lpwstr>3F61AE932AE9DB72B3E0B66CCC106C1AEFEF4BD3B3163842430697D162D5C3EA</vt:lpwstr>
  </property>
  <property fmtid="{D5CDD505-2E9C-101B-9397-08002B2CF9AE}" pid="34" name="PM_OriginatorDomainName_SHA256">
    <vt:lpwstr>6F3591835F3B2A8A025B00B5BA6418010DA3A17C9C26EA9C049FFD28039489A2</vt:lpwstr>
  </property>
  <property fmtid="{D5CDD505-2E9C-101B-9397-08002B2CF9AE}" pid="35" name="PMUuid">
    <vt:lpwstr>v=2022.2;d=gov.au;g=46DD6D7C-8107-577B-BC6E-F348953B2E44</vt:lpwstr>
  </property>
  <property fmtid="{D5CDD505-2E9C-101B-9397-08002B2CF9AE}" pid="36" name="PM_Hash_Version">
    <vt:lpwstr>2022.1</vt:lpwstr>
  </property>
  <property fmtid="{D5CDD505-2E9C-101B-9397-08002B2CF9AE}" pid="37" name="PM_Hash_Salt_Prev">
    <vt:lpwstr>26BBEF5E35BF1EEFBDEE78EAA6249E7F</vt:lpwstr>
  </property>
  <property fmtid="{D5CDD505-2E9C-101B-9397-08002B2CF9AE}" pid="38" name="PM_Hash_Salt">
    <vt:lpwstr>D5A7DD5FEC53D9785773FCB2363E84FD</vt:lpwstr>
  </property>
  <property fmtid="{D5CDD505-2E9C-101B-9397-08002B2CF9AE}" pid="39" name="PM_Hash_SHA1">
    <vt:lpwstr>215641A7CD63113B8CF5C68C11F751826525EDCF</vt:lpwstr>
  </property>
  <property fmtid="{D5CDD505-2E9C-101B-9397-08002B2CF9AE}" pid="40" name="PM_SecurityClassification_Prev">
    <vt:lpwstr>OFFICIAL</vt:lpwstr>
  </property>
  <property fmtid="{D5CDD505-2E9C-101B-9397-08002B2CF9AE}" pid="41" name="PM_Qualifier_Prev">
    <vt:lpwstr/>
  </property>
  <property fmtid="{D5CDD505-2E9C-101B-9397-08002B2CF9AE}" pid="42" name="MediaServiceImageTags">
    <vt:lpwstr/>
  </property>
  <property fmtid="{D5CDD505-2E9C-101B-9397-08002B2CF9AE}" pid="43" name="ContentTypeId">
    <vt:lpwstr>0x010100109275E53850B74F9B2F81591023CD8D</vt:lpwstr>
  </property>
  <property fmtid="{D5CDD505-2E9C-101B-9397-08002B2CF9AE}" pid="44" name="docLang">
    <vt:lpwstr>en</vt:lpwstr>
  </property>
</Properties>
</file>