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94B4" w14:textId="77777777" w:rsidR="00993058" w:rsidRPr="00027C6A" w:rsidRDefault="00993058" w:rsidP="00027C6A">
      <w:pPr>
        <w:pStyle w:val="Heading1"/>
      </w:pPr>
      <w:r w:rsidRPr="00027C6A">
        <w:t>DFAT Management Response to Australia Solomon Islands Partnership for Justice Mid-Term Review – May 2026</w:t>
      </w:r>
    </w:p>
    <w:p w14:paraId="4E07B4B4" w14:textId="18AC2E64" w:rsidR="00993058" w:rsidRPr="00027C6A" w:rsidRDefault="00993058" w:rsidP="00027C6A">
      <w:pPr>
        <w:pStyle w:val="Heading2"/>
      </w:pPr>
      <w:r w:rsidRPr="00027C6A">
        <w:t>Relevance</w:t>
      </w:r>
    </w:p>
    <w:tbl>
      <w:tblPr>
        <w:tblStyle w:val="TableGrid"/>
        <w:tblW w:w="14061" w:type="dxa"/>
        <w:tblLook w:val="04A0" w:firstRow="1" w:lastRow="0" w:firstColumn="1" w:lastColumn="0" w:noHBand="0" w:noVBand="1"/>
      </w:tblPr>
      <w:tblGrid>
        <w:gridCol w:w="3458"/>
        <w:gridCol w:w="1975"/>
        <w:gridCol w:w="6957"/>
        <w:gridCol w:w="1671"/>
      </w:tblGrid>
      <w:tr w:rsidR="00993058" w:rsidRPr="00B50997" w14:paraId="5ECCA19E" w14:textId="77777777" w:rsidTr="00993058">
        <w:trPr>
          <w:tblHeader/>
        </w:trPr>
        <w:tc>
          <w:tcPr>
            <w:tcW w:w="3458" w:type="dxa"/>
          </w:tcPr>
          <w:p w14:paraId="54649569" w14:textId="51F48F1C" w:rsidR="00993058" w:rsidRPr="00993058" w:rsidRDefault="00993058" w:rsidP="00993058">
            <w:pPr>
              <w:rPr>
                <w:sz w:val="22"/>
                <w:szCs w:val="22"/>
              </w:rPr>
            </w:pPr>
            <w:r w:rsidRPr="00A32C2B">
              <w:rPr>
                <w:b/>
                <w:bCs/>
                <w:sz w:val="22"/>
                <w:szCs w:val="22"/>
              </w:rPr>
              <w:t>Recommendation</w:t>
            </w:r>
          </w:p>
        </w:tc>
        <w:tc>
          <w:tcPr>
            <w:tcW w:w="1975" w:type="dxa"/>
          </w:tcPr>
          <w:p w14:paraId="31C4C9DE" w14:textId="2E23035C" w:rsidR="00993058" w:rsidRDefault="00993058" w:rsidP="00993058">
            <w:pPr>
              <w:rPr>
                <w:sz w:val="22"/>
                <w:szCs w:val="22"/>
              </w:rPr>
            </w:pPr>
            <w:r w:rsidRPr="00A32C2B">
              <w:rPr>
                <w:b/>
                <w:bCs/>
                <w:sz w:val="22"/>
                <w:szCs w:val="22"/>
              </w:rPr>
              <w:t>Response</w:t>
            </w:r>
          </w:p>
        </w:tc>
        <w:tc>
          <w:tcPr>
            <w:tcW w:w="6957" w:type="dxa"/>
          </w:tcPr>
          <w:p w14:paraId="658112A0" w14:textId="1044A044" w:rsidR="00993058" w:rsidRPr="002615AF" w:rsidRDefault="00993058" w:rsidP="00993058">
            <w:pPr>
              <w:rPr>
                <w:sz w:val="22"/>
                <w:szCs w:val="22"/>
              </w:rPr>
            </w:pPr>
            <w:r w:rsidRPr="00A32C2B">
              <w:rPr>
                <w:b/>
                <w:bCs/>
                <w:sz w:val="22"/>
                <w:szCs w:val="22"/>
              </w:rPr>
              <w:t>Next steps</w:t>
            </w:r>
          </w:p>
        </w:tc>
        <w:tc>
          <w:tcPr>
            <w:tcW w:w="1671" w:type="dxa"/>
          </w:tcPr>
          <w:p w14:paraId="23B4812F" w14:textId="33C4FAE4" w:rsidR="00993058" w:rsidRPr="00B50997" w:rsidRDefault="00993058" w:rsidP="00993058">
            <w:pPr>
              <w:rPr>
                <w:sz w:val="22"/>
                <w:szCs w:val="22"/>
              </w:rPr>
            </w:pPr>
            <w:r w:rsidRPr="00A32C2B">
              <w:rPr>
                <w:b/>
                <w:bCs/>
                <w:sz w:val="22"/>
                <w:szCs w:val="22"/>
              </w:rPr>
              <w:t>Timeframe</w:t>
            </w:r>
          </w:p>
        </w:tc>
      </w:tr>
      <w:tr w:rsidR="00993058" w:rsidRPr="00B50997" w14:paraId="4C9DAD82" w14:textId="77777777" w:rsidTr="00993058">
        <w:tc>
          <w:tcPr>
            <w:tcW w:w="3458" w:type="dxa"/>
          </w:tcPr>
          <w:p w14:paraId="4DBA138D" w14:textId="77777777" w:rsidR="00993058" w:rsidRPr="008C2FEF" w:rsidRDefault="00993058" w:rsidP="00993058">
            <w:pPr>
              <w:pStyle w:val="ListParagraph"/>
              <w:numPr>
                <w:ilvl w:val="0"/>
                <w:numId w:val="1"/>
              </w:numPr>
              <w:tabs>
                <w:tab w:val="left" w:pos="426"/>
              </w:tabs>
              <w:ind w:left="426" w:hanging="426"/>
              <w:rPr>
                <w:sz w:val="22"/>
                <w:szCs w:val="22"/>
              </w:rPr>
            </w:pPr>
            <w:r w:rsidRPr="008C2FEF">
              <w:rPr>
                <w:sz w:val="22"/>
                <w:szCs w:val="22"/>
              </w:rPr>
              <w:t>Create one guiding document for</w:t>
            </w:r>
            <w:r>
              <w:rPr>
                <w:sz w:val="22"/>
                <w:szCs w:val="22"/>
              </w:rPr>
              <w:t xml:space="preserve"> the Australia Solomon Islands Partnership for Justice (</w:t>
            </w:r>
            <w:r w:rsidRPr="008C2FEF">
              <w:rPr>
                <w:sz w:val="22"/>
                <w:szCs w:val="22"/>
              </w:rPr>
              <w:t>ASIPJ</w:t>
            </w:r>
            <w:r>
              <w:rPr>
                <w:sz w:val="22"/>
                <w:szCs w:val="22"/>
              </w:rPr>
              <w:t>)</w:t>
            </w:r>
            <w:r w:rsidRPr="008C2FEF">
              <w:rPr>
                <w:sz w:val="22"/>
                <w:szCs w:val="22"/>
              </w:rPr>
              <w:t>.</w:t>
            </w:r>
          </w:p>
        </w:tc>
        <w:tc>
          <w:tcPr>
            <w:tcW w:w="1975" w:type="dxa"/>
          </w:tcPr>
          <w:p w14:paraId="768CEAD3" w14:textId="77777777" w:rsidR="00993058" w:rsidRPr="006C645D" w:rsidRDefault="00993058" w:rsidP="00993058">
            <w:pPr>
              <w:tabs>
                <w:tab w:val="left" w:pos="426"/>
              </w:tabs>
              <w:ind w:left="426" w:hanging="426"/>
              <w:rPr>
                <w:sz w:val="22"/>
                <w:szCs w:val="22"/>
              </w:rPr>
            </w:pPr>
            <w:r>
              <w:rPr>
                <w:sz w:val="22"/>
                <w:szCs w:val="22"/>
              </w:rPr>
              <w:t>Agree</w:t>
            </w:r>
          </w:p>
        </w:tc>
        <w:tc>
          <w:tcPr>
            <w:tcW w:w="6957" w:type="dxa"/>
          </w:tcPr>
          <w:p w14:paraId="1719A25B" w14:textId="77777777" w:rsidR="00993058" w:rsidRPr="00337890" w:rsidRDefault="00993058" w:rsidP="00993058">
            <w:pPr>
              <w:rPr>
                <w:sz w:val="22"/>
                <w:szCs w:val="22"/>
                <w:lang w:val="en-AU"/>
              </w:rPr>
            </w:pPr>
            <w:r w:rsidRPr="002615AF">
              <w:rPr>
                <w:sz w:val="22"/>
                <w:szCs w:val="22"/>
              </w:rPr>
              <w:t>Follow</w:t>
            </w:r>
            <w:r>
              <w:rPr>
                <w:sz w:val="22"/>
                <w:szCs w:val="22"/>
              </w:rPr>
              <w:t xml:space="preserve">ing the completion of the Mid-Term Review (MTR) and subject to the extension of the current program to a further phase, Post will work with ASIPJ to develop a high-level overarching document to </w:t>
            </w:r>
            <w:r>
              <w:rPr>
                <w:sz w:val="22"/>
                <w:szCs w:val="22"/>
                <w:lang w:val="en-AU"/>
              </w:rPr>
              <w:t xml:space="preserve">guide program implementation and decision-making for </w:t>
            </w:r>
            <w:r w:rsidRPr="001F1BD5">
              <w:rPr>
                <w:sz w:val="22"/>
                <w:szCs w:val="22"/>
                <w:lang w:val="en-AU"/>
              </w:rPr>
              <w:t xml:space="preserve">DFAT, </w:t>
            </w:r>
            <w:r>
              <w:rPr>
                <w:sz w:val="22"/>
                <w:szCs w:val="22"/>
                <w:lang w:val="en-AU"/>
              </w:rPr>
              <w:t xml:space="preserve">the </w:t>
            </w:r>
            <w:r w:rsidRPr="001F1BD5">
              <w:rPr>
                <w:sz w:val="22"/>
                <w:szCs w:val="22"/>
                <w:lang w:val="en-AU"/>
              </w:rPr>
              <w:t>managing contractor, the ASIPJ Program Team and ASIPJ partners</w:t>
            </w:r>
            <w:r>
              <w:rPr>
                <w:sz w:val="22"/>
                <w:szCs w:val="22"/>
                <w:lang w:val="en-AU"/>
              </w:rPr>
              <w:t>.</w:t>
            </w:r>
          </w:p>
        </w:tc>
        <w:tc>
          <w:tcPr>
            <w:tcW w:w="1671" w:type="dxa"/>
          </w:tcPr>
          <w:p w14:paraId="4D7640B8" w14:textId="77777777" w:rsidR="00993058" w:rsidRPr="00B50997" w:rsidRDefault="00993058" w:rsidP="00993058">
            <w:pPr>
              <w:tabs>
                <w:tab w:val="left" w:pos="426"/>
              </w:tabs>
              <w:ind w:left="426" w:hanging="426"/>
              <w:rPr>
                <w:sz w:val="22"/>
                <w:szCs w:val="22"/>
              </w:rPr>
            </w:pPr>
            <w:r w:rsidRPr="00B50997">
              <w:rPr>
                <w:sz w:val="22"/>
                <w:szCs w:val="22"/>
              </w:rPr>
              <w:t>2026</w:t>
            </w:r>
          </w:p>
        </w:tc>
      </w:tr>
      <w:tr w:rsidR="00993058" w:rsidRPr="00A32C2B" w14:paraId="6CBCF1B8" w14:textId="77777777" w:rsidTr="00993058">
        <w:tc>
          <w:tcPr>
            <w:tcW w:w="3458" w:type="dxa"/>
          </w:tcPr>
          <w:p w14:paraId="581625D3" w14:textId="77777777" w:rsidR="00993058" w:rsidRPr="00E667AF" w:rsidRDefault="00993058" w:rsidP="00993058">
            <w:pPr>
              <w:pStyle w:val="ListParagraph"/>
              <w:numPr>
                <w:ilvl w:val="0"/>
                <w:numId w:val="1"/>
              </w:numPr>
              <w:tabs>
                <w:tab w:val="left" w:pos="426"/>
              </w:tabs>
              <w:ind w:left="426" w:hanging="426"/>
              <w:rPr>
                <w:sz w:val="22"/>
                <w:szCs w:val="22"/>
              </w:rPr>
            </w:pPr>
            <w:r w:rsidRPr="00E667AF">
              <w:rPr>
                <w:sz w:val="22"/>
                <w:szCs w:val="22"/>
              </w:rPr>
              <w:t xml:space="preserve">Incorporate greater </w:t>
            </w:r>
            <w:proofErr w:type="spellStart"/>
            <w:r w:rsidRPr="00E667AF">
              <w:rPr>
                <w:sz w:val="22"/>
                <w:szCs w:val="22"/>
              </w:rPr>
              <w:t>rigour</w:t>
            </w:r>
            <w:proofErr w:type="spellEnd"/>
            <w:r w:rsidRPr="00E667AF">
              <w:rPr>
                <w:sz w:val="22"/>
                <w:szCs w:val="22"/>
              </w:rPr>
              <w:t xml:space="preserve"> into the process for applying for program support.</w:t>
            </w:r>
          </w:p>
        </w:tc>
        <w:tc>
          <w:tcPr>
            <w:tcW w:w="1975" w:type="dxa"/>
          </w:tcPr>
          <w:p w14:paraId="64B5E212" w14:textId="77777777" w:rsidR="00993058" w:rsidRPr="00A32C2B" w:rsidRDefault="00993058" w:rsidP="00993058">
            <w:pPr>
              <w:tabs>
                <w:tab w:val="left" w:pos="426"/>
              </w:tabs>
              <w:ind w:left="426" w:hanging="426"/>
              <w:rPr>
                <w:sz w:val="22"/>
                <w:szCs w:val="22"/>
              </w:rPr>
            </w:pPr>
            <w:r>
              <w:rPr>
                <w:sz w:val="22"/>
                <w:szCs w:val="22"/>
              </w:rPr>
              <w:t>Agree</w:t>
            </w:r>
          </w:p>
        </w:tc>
        <w:tc>
          <w:tcPr>
            <w:tcW w:w="6957" w:type="dxa"/>
          </w:tcPr>
          <w:p w14:paraId="30AEC540" w14:textId="77777777" w:rsidR="00993058" w:rsidRDefault="00993058" w:rsidP="00993058">
            <w:pPr>
              <w:rPr>
                <w:sz w:val="22"/>
                <w:szCs w:val="22"/>
              </w:rPr>
            </w:pPr>
            <w:r>
              <w:rPr>
                <w:sz w:val="22"/>
                <w:szCs w:val="22"/>
              </w:rPr>
              <w:t xml:space="preserve">In consultation with Solomon Islands Government (SIG) stakeholders, Post will work with ASIPJ to develop and implement a culturally and contextually appropriate process to increase demonstrated </w:t>
            </w:r>
            <w:proofErr w:type="spellStart"/>
            <w:r>
              <w:rPr>
                <w:sz w:val="22"/>
                <w:szCs w:val="22"/>
              </w:rPr>
              <w:t>rigour</w:t>
            </w:r>
            <w:proofErr w:type="spellEnd"/>
            <w:r>
              <w:rPr>
                <w:sz w:val="22"/>
                <w:szCs w:val="22"/>
              </w:rPr>
              <w:t xml:space="preserve"> around decisions </w:t>
            </w:r>
            <w:r w:rsidRPr="002378B0">
              <w:rPr>
                <w:sz w:val="22"/>
                <w:szCs w:val="22"/>
              </w:rPr>
              <w:t>to support requests</w:t>
            </w:r>
            <w:r>
              <w:rPr>
                <w:sz w:val="22"/>
                <w:szCs w:val="22"/>
              </w:rPr>
              <w:t xml:space="preserve"> for program support, while maintaining program flexibility and agility.</w:t>
            </w:r>
          </w:p>
          <w:p w14:paraId="3BD1F3A1" w14:textId="77777777" w:rsidR="00993058" w:rsidRDefault="00993058" w:rsidP="00993058">
            <w:pPr>
              <w:rPr>
                <w:sz w:val="22"/>
                <w:szCs w:val="22"/>
              </w:rPr>
            </w:pPr>
            <w:r>
              <w:rPr>
                <w:sz w:val="22"/>
                <w:szCs w:val="22"/>
              </w:rPr>
              <w:t>Consideration will need to be given to ensure that any additional processes do not serve as a barrier to stakeholders seeking ASIPJ support.</w:t>
            </w:r>
          </w:p>
          <w:p w14:paraId="007C36FE" w14:textId="77777777" w:rsidR="00993058" w:rsidRDefault="00993058" w:rsidP="00993058">
            <w:pPr>
              <w:rPr>
                <w:sz w:val="22"/>
                <w:szCs w:val="22"/>
              </w:rPr>
            </w:pPr>
          </w:p>
          <w:p w14:paraId="38565709" w14:textId="77777777" w:rsidR="00993058" w:rsidRPr="00A32C2B" w:rsidRDefault="00993058" w:rsidP="00993058">
            <w:pPr>
              <w:rPr>
                <w:sz w:val="22"/>
                <w:szCs w:val="22"/>
              </w:rPr>
            </w:pPr>
            <w:r>
              <w:rPr>
                <w:sz w:val="22"/>
                <w:szCs w:val="22"/>
              </w:rPr>
              <w:t xml:space="preserve">Consideration will be given to developing and sharing criteria for program support aligned with the End of Program Outcomes, to be shared with SIG stakeholders. </w:t>
            </w:r>
          </w:p>
        </w:tc>
        <w:tc>
          <w:tcPr>
            <w:tcW w:w="1671" w:type="dxa"/>
          </w:tcPr>
          <w:p w14:paraId="6355C6EA" w14:textId="77777777" w:rsidR="00993058" w:rsidRPr="00A32C2B" w:rsidRDefault="00993058" w:rsidP="00993058">
            <w:pPr>
              <w:rPr>
                <w:sz w:val="22"/>
                <w:szCs w:val="22"/>
              </w:rPr>
            </w:pPr>
            <w:r>
              <w:rPr>
                <w:sz w:val="22"/>
                <w:szCs w:val="22"/>
              </w:rPr>
              <w:t>2026</w:t>
            </w:r>
          </w:p>
        </w:tc>
      </w:tr>
      <w:tr w:rsidR="00993058" w14:paraId="7B5C6774" w14:textId="77777777" w:rsidTr="00993058">
        <w:tc>
          <w:tcPr>
            <w:tcW w:w="3458" w:type="dxa"/>
          </w:tcPr>
          <w:p w14:paraId="27922392" w14:textId="77777777" w:rsidR="00993058" w:rsidRPr="000073E3" w:rsidRDefault="00993058" w:rsidP="00993058">
            <w:pPr>
              <w:pStyle w:val="ListParagraph"/>
              <w:numPr>
                <w:ilvl w:val="0"/>
                <w:numId w:val="1"/>
              </w:numPr>
              <w:tabs>
                <w:tab w:val="left" w:pos="426"/>
              </w:tabs>
              <w:ind w:left="426" w:hanging="426"/>
              <w:rPr>
                <w:sz w:val="22"/>
                <w:szCs w:val="22"/>
              </w:rPr>
            </w:pPr>
            <w:r w:rsidRPr="000073E3">
              <w:rPr>
                <w:sz w:val="22"/>
                <w:szCs w:val="22"/>
              </w:rPr>
              <w:t>Ensure that program support is strategically balanced across the justice system.</w:t>
            </w:r>
          </w:p>
        </w:tc>
        <w:tc>
          <w:tcPr>
            <w:tcW w:w="1975" w:type="dxa"/>
          </w:tcPr>
          <w:p w14:paraId="2C6B581B" w14:textId="77777777" w:rsidR="00993058" w:rsidRDefault="00993058" w:rsidP="00993058">
            <w:pPr>
              <w:tabs>
                <w:tab w:val="left" w:pos="426"/>
              </w:tabs>
              <w:ind w:left="426" w:hanging="426"/>
              <w:rPr>
                <w:sz w:val="22"/>
                <w:szCs w:val="22"/>
              </w:rPr>
            </w:pPr>
            <w:r>
              <w:rPr>
                <w:sz w:val="22"/>
                <w:szCs w:val="22"/>
              </w:rPr>
              <w:t>Agree in principle</w:t>
            </w:r>
          </w:p>
        </w:tc>
        <w:tc>
          <w:tcPr>
            <w:tcW w:w="6957" w:type="dxa"/>
          </w:tcPr>
          <w:p w14:paraId="3684C926" w14:textId="20F84626" w:rsidR="00993058" w:rsidRDefault="00993058" w:rsidP="00993058">
            <w:pPr>
              <w:rPr>
                <w:sz w:val="22"/>
                <w:szCs w:val="22"/>
              </w:rPr>
            </w:pPr>
            <w:r>
              <w:rPr>
                <w:sz w:val="22"/>
                <w:szCs w:val="22"/>
              </w:rPr>
              <w:t xml:space="preserve">ASIPJ will undertake modelling to better understand the downstream impacts on the law and justice system should SIG decide to expand the Royal Solomon Islands Police (RSIPF). </w:t>
            </w:r>
          </w:p>
        </w:tc>
        <w:tc>
          <w:tcPr>
            <w:tcW w:w="1671" w:type="dxa"/>
          </w:tcPr>
          <w:p w14:paraId="1F25773F" w14:textId="098A5F67" w:rsidR="00993058" w:rsidRDefault="00993058" w:rsidP="00993058">
            <w:pPr>
              <w:rPr>
                <w:sz w:val="22"/>
                <w:szCs w:val="22"/>
              </w:rPr>
            </w:pPr>
            <w:r>
              <w:rPr>
                <w:sz w:val="22"/>
                <w:szCs w:val="22"/>
              </w:rPr>
              <w:t>Next program phase (2026-2029)</w:t>
            </w:r>
          </w:p>
        </w:tc>
      </w:tr>
      <w:tr w:rsidR="00993058" w:rsidRPr="00A32C2B" w14:paraId="78A7073D" w14:textId="77777777" w:rsidTr="00993058">
        <w:tc>
          <w:tcPr>
            <w:tcW w:w="3458" w:type="dxa"/>
          </w:tcPr>
          <w:p w14:paraId="60DAC23C" w14:textId="7EB08AC8" w:rsidR="00993058" w:rsidRPr="00240146" w:rsidRDefault="00993058" w:rsidP="00993058">
            <w:pPr>
              <w:pStyle w:val="ListParagraph"/>
              <w:numPr>
                <w:ilvl w:val="0"/>
                <w:numId w:val="1"/>
              </w:numPr>
              <w:tabs>
                <w:tab w:val="left" w:pos="426"/>
              </w:tabs>
              <w:ind w:left="426" w:hanging="426"/>
              <w:rPr>
                <w:bCs/>
                <w:sz w:val="22"/>
                <w:szCs w:val="22"/>
                <w:lang w:val="en-AU"/>
              </w:rPr>
            </w:pPr>
            <w:r w:rsidRPr="00240146">
              <w:rPr>
                <w:bCs/>
                <w:sz w:val="22"/>
                <w:szCs w:val="22"/>
                <w:lang w:val="en-AU"/>
              </w:rPr>
              <w:t>Enhance civil society engagement in support of improved access to justice.</w:t>
            </w:r>
          </w:p>
        </w:tc>
        <w:tc>
          <w:tcPr>
            <w:tcW w:w="1975" w:type="dxa"/>
          </w:tcPr>
          <w:p w14:paraId="435A560F" w14:textId="77777777" w:rsidR="00993058" w:rsidRPr="00A32C2B" w:rsidRDefault="00993058" w:rsidP="00993058">
            <w:pPr>
              <w:tabs>
                <w:tab w:val="left" w:pos="426"/>
              </w:tabs>
              <w:ind w:left="426" w:hanging="426"/>
              <w:rPr>
                <w:sz w:val="22"/>
                <w:szCs w:val="22"/>
              </w:rPr>
            </w:pPr>
            <w:r>
              <w:rPr>
                <w:sz w:val="22"/>
                <w:szCs w:val="22"/>
              </w:rPr>
              <w:t>Agree</w:t>
            </w:r>
          </w:p>
        </w:tc>
        <w:tc>
          <w:tcPr>
            <w:tcW w:w="6957" w:type="dxa"/>
          </w:tcPr>
          <w:p w14:paraId="67DB6467" w14:textId="55C9275F" w:rsidR="00993058" w:rsidRDefault="00993058" w:rsidP="00993058">
            <w:pPr>
              <w:rPr>
                <w:sz w:val="22"/>
                <w:szCs w:val="22"/>
              </w:rPr>
            </w:pPr>
            <w:r>
              <w:rPr>
                <w:sz w:val="22"/>
                <w:szCs w:val="22"/>
              </w:rPr>
              <w:t xml:space="preserve">Though the program EOPOs </w:t>
            </w:r>
            <w:proofErr w:type="gramStart"/>
            <w:r>
              <w:rPr>
                <w:sz w:val="22"/>
                <w:szCs w:val="22"/>
              </w:rPr>
              <w:t>focus</w:t>
            </w:r>
            <w:proofErr w:type="gramEnd"/>
            <w:r>
              <w:rPr>
                <w:sz w:val="22"/>
                <w:szCs w:val="22"/>
              </w:rPr>
              <w:t xml:space="preserve"> on building capacity of core law and justice sector agencies, over the last 12 months ASIPJ has increased engagement with civil society </w:t>
            </w:r>
            <w:proofErr w:type="spellStart"/>
            <w:r>
              <w:rPr>
                <w:sz w:val="22"/>
                <w:szCs w:val="22"/>
              </w:rPr>
              <w:t>organisations</w:t>
            </w:r>
            <w:proofErr w:type="spellEnd"/>
            <w:r>
              <w:rPr>
                <w:sz w:val="22"/>
                <w:szCs w:val="22"/>
              </w:rPr>
              <w:t xml:space="preserve"> (CSOs) in recognition of their important contribution to the law and justice sector. </w:t>
            </w:r>
          </w:p>
          <w:p w14:paraId="66A7A7BF" w14:textId="77777777" w:rsidR="00993058" w:rsidRDefault="00993058" w:rsidP="00993058">
            <w:pPr>
              <w:rPr>
                <w:sz w:val="22"/>
                <w:szCs w:val="22"/>
              </w:rPr>
            </w:pPr>
            <w:r>
              <w:rPr>
                <w:sz w:val="22"/>
                <w:szCs w:val="22"/>
              </w:rPr>
              <w:lastRenderedPageBreak/>
              <w:t xml:space="preserve">This includes supporting the establishment of the Solomon Islands Young Legal Professionals Association, Solomon Islands Women’s Lawyers Association (SIWLA) and re-establishing a productive working relationship with the Solomon Islands Bar Association. </w:t>
            </w:r>
          </w:p>
          <w:p w14:paraId="48DB2C8B" w14:textId="77777777" w:rsidR="00993058" w:rsidRDefault="00993058" w:rsidP="00993058">
            <w:pPr>
              <w:rPr>
                <w:sz w:val="22"/>
                <w:szCs w:val="22"/>
              </w:rPr>
            </w:pPr>
          </w:p>
          <w:p w14:paraId="1B48A864" w14:textId="77777777" w:rsidR="00993058" w:rsidRPr="00A32C2B" w:rsidRDefault="00993058" w:rsidP="00993058">
            <w:pPr>
              <w:rPr>
                <w:sz w:val="22"/>
                <w:szCs w:val="22"/>
              </w:rPr>
            </w:pPr>
            <w:r>
              <w:rPr>
                <w:sz w:val="22"/>
                <w:szCs w:val="22"/>
              </w:rPr>
              <w:t>Over the next phase of the program, Post will continue to work with ASIPJ to develop productive relationships with CSOs and monitor new opportunities for support.</w:t>
            </w:r>
          </w:p>
        </w:tc>
        <w:tc>
          <w:tcPr>
            <w:tcW w:w="1671" w:type="dxa"/>
          </w:tcPr>
          <w:p w14:paraId="4D70BA47" w14:textId="77777777" w:rsidR="00993058" w:rsidRPr="00A32C2B" w:rsidRDefault="00993058" w:rsidP="00993058">
            <w:pPr>
              <w:rPr>
                <w:sz w:val="22"/>
                <w:szCs w:val="22"/>
              </w:rPr>
            </w:pPr>
            <w:r>
              <w:rPr>
                <w:sz w:val="22"/>
                <w:szCs w:val="22"/>
              </w:rPr>
              <w:lastRenderedPageBreak/>
              <w:t>Next program phase (2026-2029)</w:t>
            </w:r>
          </w:p>
        </w:tc>
      </w:tr>
      <w:tr w:rsidR="00993058" w:rsidRPr="007662DC" w14:paraId="5B7D809B" w14:textId="77777777" w:rsidTr="00993058">
        <w:trPr>
          <w:cantSplit/>
        </w:trPr>
        <w:tc>
          <w:tcPr>
            <w:tcW w:w="3458" w:type="dxa"/>
          </w:tcPr>
          <w:p w14:paraId="3ACD9A02" w14:textId="77777777" w:rsidR="00993058" w:rsidRPr="007662DC" w:rsidRDefault="00993058" w:rsidP="00993058">
            <w:pPr>
              <w:pStyle w:val="ListParagraph"/>
              <w:numPr>
                <w:ilvl w:val="0"/>
                <w:numId w:val="1"/>
              </w:numPr>
              <w:tabs>
                <w:tab w:val="left" w:pos="426"/>
              </w:tabs>
              <w:ind w:left="426" w:hanging="426"/>
              <w:rPr>
                <w:bCs/>
                <w:sz w:val="22"/>
                <w:szCs w:val="22"/>
              </w:rPr>
            </w:pPr>
            <w:r w:rsidRPr="007662DC">
              <w:rPr>
                <w:bCs/>
                <w:sz w:val="22"/>
                <w:szCs w:val="22"/>
              </w:rPr>
              <w:t>Support the sector to plan and prepare for emerging and pressing issues.</w:t>
            </w:r>
          </w:p>
        </w:tc>
        <w:tc>
          <w:tcPr>
            <w:tcW w:w="1975" w:type="dxa"/>
          </w:tcPr>
          <w:p w14:paraId="7C9A1976" w14:textId="77777777" w:rsidR="00993058" w:rsidRPr="007662DC" w:rsidRDefault="00993058" w:rsidP="00993058">
            <w:pPr>
              <w:tabs>
                <w:tab w:val="left" w:pos="426"/>
              </w:tabs>
              <w:ind w:left="426" w:hanging="426"/>
              <w:rPr>
                <w:sz w:val="22"/>
                <w:szCs w:val="22"/>
              </w:rPr>
            </w:pPr>
            <w:r w:rsidRPr="007662DC">
              <w:rPr>
                <w:sz w:val="22"/>
                <w:szCs w:val="22"/>
              </w:rPr>
              <w:t>Agree</w:t>
            </w:r>
          </w:p>
        </w:tc>
        <w:tc>
          <w:tcPr>
            <w:tcW w:w="6957" w:type="dxa"/>
          </w:tcPr>
          <w:p w14:paraId="3ECFC2CC" w14:textId="77777777" w:rsidR="00993058" w:rsidRPr="007662DC" w:rsidRDefault="00993058" w:rsidP="00993058">
            <w:pPr>
              <w:rPr>
                <w:sz w:val="22"/>
                <w:szCs w:val="22"/>
                <w:lang w:val="en-AU"/>
              </w:rPr>
            </w:pPr>
            <w:r w:rsidRPr="007662DC">
              <w:rPr>
                <w:sz w:val="22"/>
                <w:szCs w:val="22"/>
                <w:lang w:val="en-AU"/>
              </w:rPr>
              <w:t xml:space="preserve">In planning for the next phase of the program, Post will consider other Australian aid programs in Solomon Islands with synergies to ASIPJ (for example, security, cyber) and identify opportunities to better link with law and justice activities, including assisting the sector to plan and prepare for emerging issues. </w:t>
            </w:r>
          </w:p>
        </w:tc>
        <w:tc>
          <w:tcPr>
            <w:tcW w:w="1671" w:type="dxa"/>
          </w:tcPr>
          <w:p w14:paraId="4370DA8F" w14:textId="77777777" w:rsidR="00993058" w:rsidRPr="007662DC" w:rsidRDefault="00993058" w:rsidP="00993058">
            <w:pPr>
              <w:tabs>
                <w:tab w:val="left" w:pos="426"/>
              </w:tabs>
              <w:ind w:left="426" w:hanging="426"/>
              <w:rPr>
                <w:sz w:val="22"/>
                <w:szCs w:val="22"/>
              </w:rPr>
            </w:pPr>
            <w:r w:rsidRPr="007662DC">
              <w:rPr>
                <w:sz w:val="22"/>
                <w:szCs w:val="22"/>
              </w:rPr>
              <w:t>2025-26</w:t>
            </w:r>
          </w:p>
        </w:tc>
      </w:tr>
    </w:tbl>
    <w:p w14:paraId="50970C27" w14:textId="77777777" w:rsidR="00993058" w:rsidRDefault="00993058" w:rsidP="00993058">
      <w:pPr>
        <w:tabs>
          <w:tab w:val="left" w:pos="426"/>
        </w:tabs>
        <w:ind w:left="426" w:hanging="426"/>
      </w:pPr>
    </w:p>
    <w:p w14:paraId="0497976D" w14:textId="1BAC1548" w:rsidR="00993058" w:rsidRDefault="00993058" w:rsidP="00027C6A">
      <w:pPr>
        <w:pStyle w:val="Heading2"/>
      </w:pPr>
      <w:r w:rsidRPr="0038703D">
        <w:t>Effectiveness</w:t>
      </w:r>
    </w:p>
    <w:tbl>
      <w:tblPr>
        <w:tblStyle w:val="TableGrid"/>
        <w:tblW w:w="14179" w:type="dxa"/>
        <w:tblLook w:val="04A0" w:firstRow="1" w:lastRow="0" w:firstColumn="1" w:lastColumn="0" w:noHBand="0" w:noVBand="1"/>
      </w:tblPr>
      <w:tblGrid>
        <w:gridCol w:w="3868"/>
        <w:gridCol w:w="1325"/>
        <w:gridCol w:w="7150"/>
        <w:gridCol w:w="1836"/>
      </w:tblGrid>
      <w:tr w:rsidR="00993058" w:rsidRPr="00A32C2B" w14:paraId="4B0E4472" w14:textId="77777777" w:rsidTr="00993058">
        <w:trPr>
          <w:tblHeader/>
        </w:trPr>
        <w:tc>
          <w:tcPr>
            <w:tcW w:w="3868" w:type="dxa"/>
          </w:tcPr>
          <w:p w14:paraId="377B663C" w14:textId="788F8DFD" w:rsidR="00993058" w:rsidRPr="00993058" w:rsidRDefault="00993058" w:rsidP="00993058">
            <w:pPr>
              <w:tabs>
                <w:tab w:val="left" w:pos="426"/>
              </w:tabs>
              <w:ind w:left="426" w:hanging="426"/>
              <w:rPr>
                <w:bCs/>
                <w:sz w:val="22"/>
                <w:szCs w:val="22"/>
              </w:rPr>
            </w:pPr>
            <w:r w:rsidRPr="00993058">
              <w:rPr>
                <w:b/>
                <w:bCs/>
                <w:sz w:val="22"/>
                <w:szCs w:val="22"/>
              </w:rPr>
              <w:t>Recommendation</w:t>
            </w:r>
          </w:p>
        </w:tc>
        <w:tc>
          <w:tcPr>
            <w:tcW w:w="1325" w:type="dxa"/>
          </w:tcPr>
          <w:p w14:paraId="140DE75D" w14:textId="364722F7" w:rsidR="00993058" w:rsidRDefault="00993058" w:rsidP="00993058">
            <w:pPr>
              <w:tabs>
                <w:tab w:val="left" w:pos="426"/>
              </w:tabs>
              <w:ind w:left="426" w:hanging="426"/>
              <w:rPr>
                <w:sz w:val="22"/>
                <w:szCs w:val="22"/>
              </w:rPr>
            </w:pPr>
            <w:r w:rsidRPr="00A32C2B">
              <w:rPr>
                <w:b/>
                <w:bCs/>
                <w:sz w:val="22"/>
                <w:szCs w:val="22"/>
              </w:rPr>
              <w:t>Response</w:t>
            </w:r>
          </w:p>
        </w:tc>
        <w:tc>
          <w:tcPr>
            <w:tcW w:w="7150" w:type="dxa"/>
          </w:tcPr>
          <w:p w14:paraId="74718CE9" w14:textId="62152D14" w:rsidR="00993058" w:rsidRDefault="00993058" w:rsidP="00993058">
            <w:pPr>
              <w:tabs>
                <w:tab w:val="left" w:pos="426"/>
              </w:tabs>
              <w:ind w:left="426" w:hanging="426"/>
              <w:rPr>
                <w:sz w:val="22"/>
                <w:szCs w:val="22"/>
              </w:rPr>
            </w:pPr>
            <w:r w:rsidRPr="00A32C2B">
              <w:rPr>
                <w:b/>
                <w:bCs/>
                <w:sz w:val="22"/>
                <w:szCs w:val="22"/>
              </w:rPr>
              <w:t>Next steps</w:t>
            </w:r>
          </w:p>
        </w:tc>
        <w:tc>
          <w:tcPr>
            <w:tcW w:w="1836" w:type="dxa"/>
          </w:tcPr>
          <w:p w14:paraId="4337B457" w14:textId="616F3FD1" w:rsidR="00993058" w:rsidRDefault="00993058" w:rsidP="00993058">
            <w:pPr>
              <w:tabs>
                <w:tab w:val="left" w:pos="426"/>
              </w:tabs>
              <w:ind w:left="426" w:hanging="426"/>
              <w:rPr>
                <w:sz w:val="22"/>
                <w:szCs w:val="22"/>
              </w:rPr>
            </w:pPr>
            <w:r w:rsidRPr="00A32C2B">
              <w:rPr>
                <w:b/>
                <w:bCs/>
                <w:sz w:val="22"/>
                <w:szCs w:val="22"/>
              </w:rPr>
              <w:t>Timeframe</w:t>
            </w:r>
          </w:p>
        </w:tc>
      </w:tr>
      <w:tr w:rsidR="00993058" w:rsidRPr="00A32C2B" w14:paraId="536A1D44" w14:textId="77777777" w:rsidTr="00993058">
        <w:tc>
          <w:tcPr>
            <w:tcW w:w="3868" w:type="dxa"/>
          </w:tcPr>
          <w:p w14:paraId="41C81B45" w14:textId="77777777" w:rsidR="00993058" w:rsidRPr="00122E38" w:rsidRDefault="00993058" w:rsidP="00993058">
            <w:pPr>
              <w:pStyle w:val="ListParagraph"/>
              <w:numPr>
                <w:ilvl w:val="0"/>
                <w:numId w:val="1"/>
              </w:numPr>
              <w:ind w:left="447" w:hanging="447"/>
              <w:rPr>
                <w:bCs/>
                <w:sz w:val="22"/>
                <w:szCs w:val="22"/>
              </w:rPr>
            </w:pPr>
            <w:r w:rsidRPr="00122E38">
              <w:rPr>
                <w:bCs/>
                <w:sz w:val="22"/>
                <w:szCs w:val="22"/>
              </w:rPr>
              <w:t>Expand Melanesian twinning opportunities across SIG justice sector agencies</w:t>
            </w:r>
            <w:r>
              <w:rPr>
                <w:bCs/>
                <w:sz w:val="22"/>
                <w:szCs w:val="22"/>
              </w:rPr>
              <w:t>.</w:t>
            </w:r>
          </w:p>
        </w:tc>
        <w:tc>
          <w:tcPr>
            <w:tcW w:w="1325" w:type="dxa"/>
          </w:tcPr>
          <w:p w14:paraId="34CB0168" w14:textId="77777777" w:rsidR="00993058" w:rsidRPr="00A32C2B" w:rsidRDefault="00993058" w:rsidP="00993058">
            <w:pPr>
              <w:tabs>
                <w:tab w:val="left" w:pos="426"/>
              </w:tabs>
              <w:ind w:left="426" w:hanging="426"/>
              <w:rPr>
                <w:sz w:val="22"/>
                <w:szCs w:val="22"/>
              </w:rPr>
            </w:pPr>
            <w:r>
              <w:rPr>
                <w:sz w:val="22"/>
                <w:szCs w:val="22"/>
              </w:rPr>
              <w:t>Agree</w:t>
            </w:r>
          </w:p>
        </w:tc>
        <w:tc>
          <w:tcPr>
            <w:tcW w:w="7150" w:type="dxa"/>
          </w:tcPr>
          <w:p w14:paraId="6B01B65D" w14:textId="77777777" w:rsidR="00993058" w:rsidRDefault="00993058" w:rsidP="00993058">
            <w:pPr>
              <w:rPr>
                <w:sz w:val="22"/>
                <w:szCs w:val="22"/>
              </w:rPr>
            </w:pPr>
            <w:r>
              <w:rPr>
                <w:sz w:val="22"/>
                <w:szCs w:val="22"/>
              </w:rPr>
              <w:t xml:space="preserve">In recognition of the success of the existing partnerships, ASIPJ will continue to identify opportunities to expand the Melanesian Twinning program throughout the next phase of the program. </w:t>
            </w:r>
          </w:p>
          <w:p w14:paraId="3BBE07D8" w14:textId="77777777" w:rsidR="00993058" w:rsidRDefault="00993058" w:rsidP="00993058">
            <w:pPr>
              <w:rPr>
                <w:sz w:val="22"/>
                <w:szCs w:val="22"/>
              </w:rPr>
            </w:pPr>
          </w:p>
          <w:p w14:paraId="043FBF44" w14:textId="77777777" w:rsidR="00993058" w:rsidRDefault="00993058" w:rsidP="00993058">
            <w:pPr>
              <w:rPr>
                <w:sz w:val="22"/>
                <w:szCs w:val="22"/>
              </w:rPr>
            </w:pPr>
            <w:r>
              <w:rPr>
                <w:sz w:val="22"/>
                <w:szCs w:val="22"/>
              </w:rPr>
              <w:t xml:space="preserve">Since the commencement of the MTR, ASIPJ has supported further twinning exchanges and Memoranda of Understanding (MoU) between Correctional Services Solomon Islands and Vanuatu Correctional Services, and the Solomon Islands Law Reform Commission and Fiji Law Reform Commission. </w:t>
            </w:r>
          </w:p>
          <w:p w14:paraId="1C99465B" w14:textId="77777777" w:rsidR="00993058" w:rsidRDefault="00993058" w:rsidP="00993058">
            <w:pPr>
              <w:rPr>
                <w:sz w:val="22"/>
                <w:szCs w:val="22"/>
              </w:rPr>
            </w:pPr>
          </w:p>
          <w:p w14:paraId="3F2CE2CE" w14:textId="77777777" w:rsidR="00993058" w:rsidRPr="00A32C2B" w:rsidRDefault="00993058" w:rsidP="00993058">
            <w:pPr>
              <w:rPr>
                <w:sz w:val="22"/>
                <w:szCs w:val="22"/>
              </w:rPr>
            </w:pPr>
            <w:r>
              <w:rPr>
                <w:sz w:val="22"/>
                <w:szCs w:val="22"/>
              </w:rPr>
              <w:t xml:space="preserve">Expansion of opportunities will continue in consultation with SIG, the Program Reference Group (PRG) and in line with </w:t>
            </w:r>
            <w:proofErr w:type="gramStart"/>
            <w:r>
              <w:rPr>
                <w:sz w:val="22"/>
                <w:szCs w:val="22"/>
              </w:rPr>
              <w:t>available</w:t>
            </w:r>
            <w:proofErr w:type="gramEnd"/>
            <w:r>
              <w:rPr>
                <w:sz w:val="22"/>
                <w:szCs w:val="22"/>
              </w:rPr>
              <w:t xml:space="preserve"> ASIPJ program budget.</w:t>
            </w:r>
          </w:p>
        </w:tc>
        <w:tc>
          <w:tcPr>
            <w:tcW w:w="1836" w:type="dxa"/>
          </w:tcPr>
          <w:p w14:paraId="3805D932" w14:textId="77777777" w:rsidR="00993058" w:rsidRPr="00A32C2B" w:rsidRDefault="00993058" w:rsidP="00993058">
            <w:pPr>
              <w:tabs>
                <w:tab w:val="left" w:pos="113"/>
              </w:tabs>
              <w:rPr>
                <w:sz w:val="22"/>
                <w:szCs w:val="22"/>
              </w:rPr>
            </w:pPr>
            <w:r>
              <w:rPr>
                <w:sz w:val="22"/>
                <w:szCs w:val="22"/>
              </w:rPr>
              <w:t xml:space="preserve">Ongoing </w:t>
            </w:r>
          </w:p>
        </w:tc>
      </w:tr>
      <w:tr w:rsidR="00993058" w14:paraId="722C2A53" w14:textId="77777777" w:rsidTr="00993058">
        <w:tc>
          <w:tcPr>
            <w:tcW w:w="3868" w:type="dxa"/>
          </w:tcPr>
          <w:p w14:paraId="28F1AC32" w14:textId="77777777" w:rsidR="00993058" w:rsidRPr="0047736F" w:rsidRDefault="00993058" w:rsidP="00993058">
            <w:pPr>
              <w:pStyle w:val="ListParagraph"/>
              <w:numPr>
                <w:ilvl w:val="0"/>
                <w:numId w:val="1"/>
              </w:numPr>
              <w:ind w:left="447" w:hanging="447"/>
              <w:rPr>
                <w:bCs/>
                <w:sz w:val="22"/>
                <w:szCs w:val="22"/>
              </w:rPr>
            </w:pPr>
            <w:r w:rsidRPr="0047736F">
              <w:rPr>
                <w:bCs/>
                <w:sz w:val="22"/>
                <w:szCs w:val="22"/>
              </w:rPr>
              <w:lastRenderedPageBreak/>
              <w:t xml:space="preserve">Extend Melanesian twinning arrangements to non-state </w:t>
            </w:r>
            <w:proofErr w:type="spellStart"/>
            <w:r w:rsidRPr="0047736F">
              <w:rPr>
                <w:bCs/>
                <w:sz w:val="22"/>
                <w:szCs w:val="22"/>
              </w:rPr>
              <w:t>organisations</w:t>
            </w:r>
            <w:proofErr w:type="spellEnd"/>
            <w:r w:rsidRPr="0047736F">
              <w:rPr>
                <w:bCs/>
                <w:sz w:val="22"/>
                <w:szCs w:val="22"/>
              </w:rPr>
              <w:t xml:space="preserve">. </w:t>
            </w:r>
          </w:p>
        </w:tc>
        <w:tc>
          <w:tcPr>
            <w:tcW w:w="1325" w:type="dxa"/>
          </w:tcPr>
          <w:p w14:paraId="5A67C29E" w14:textId="77777777" w:rsidR="00993058" w:rsidRDefault="00993058" w:rsidP="00993058">
            <w:pPr>
              <w:tabs>
                <w:tab w:val="left" w:pos="426"/>
              </w:tabs>
              <w:ind w:left="426" w:hanging="426"/>
              <w:rPr>
                <w:sz w:val="22"/>
                <w:szCs w:val="22"/>
              </w:rPr>
            </w:pPr>
            <w:r>
              <w:rPr>
                <w:sz w:val="22"/>
                <w:szCs w:val="22"/>
              </w:rPr>
              <w:t>Agree</w:t>
            </w:r>
          </w:p>
        </w:tc>
        <w:tc>
          <w:tcPr>
            <w:tcW w:w="7150" w:type="dxa"/>
          </w:tcPr>
          <w:p w14:paraId="59A21A0A" w14:textId="77777777" w:rsidR="00993058" w:rsidRDefault="00993058" w:rsidP="00993058">
            <w:pPr>
              <w:rPr>
                <w:sz w:val="22"/>
                <w:szCs w:val="22"/>
                <w:lang w:val="en-AU"/>
              </w:rPr>
            </w:pPr>
            <w:r>
              <w:rPr>
                <w:sz w:val="22"/>
                <w:szCs w:val="22"/>
                <w:lang w:val="en-AU"/>
              </w:rPr>
              <w:t>Post will work with ASIPJ to extend Melanesian twinning opportunities to non-state-organisations as appropriate.</w:t>
            </w:r>
          </w:p>
          <w:p w14:paraId="3ACDC807" w14:textId="77777777" w:rsidR="00993058" w:rsidRDefault="00993058" w:rsidP="00993058">
            <w:pPr>
              <w:rPr>
                <w:sz w:val="22"/>
                <w:szCs w:val="22"/>
                <w:lang w:val="en-AU"/>
              </w:rPr>
            </w:pPr>
          </w:p>
          <w:p w14:paraId="037F7895" w14:textId="77777777" w:rsidR="00993058" w:rsidRDefault="00993058" w:rsidP="00993058">
            <w:pPr>
              <w:rPr>
                <w:sz w:val="22"/>
                <w:szCs w:val="22"/>
                <w:lang w:val="en-AU"/>
              </w:rPr>
            </w:pPr>
            <w:r>
              <w:rPr>
                <w:sz w:val="22"/>
                <w:szCs w:val="22"/>
                <w:lang w:val="en-AU"/>
              </w:rPr>
              <w:t xml:space="preserve">Work has commenced to establish linkages with the Ministry of Justice and Legal Affairs (MJLA) and Community Legal Centres Australia. In May 2025 ASIPJ supported meetings between MJLA and the </w:t>
            </w:r>
            <w:r w:rsidRPr="00495211">
              <w:rPr>
                <w:sz w:val="22"/>
                <w:szCs w:val="22"/>
                <w:lang w:val="en-AU"/>
              </w:rPr>
              <w:t xml:space="preserve">Inala Community Legal Centre and the Women in Law Queensland. </w:t>
            </w:r>
            <w:r>
              <w:rPr>
                <w:sz w:val="22"/>
                <w:szCs w:val="22"/>
                <w:lang w:val="en-AU"/>
              </w:rPr>
              <w:t xml:space="preserve">SIG is currently considering the </w:t>
            </w:r>
            <w:r w:rsidRPr="00495211">
              <w:rPr>
                <w:sz w:val="22"/>
                <w:szCs w:val="22"/>
                <w:lang w:val="en-AU"/>
              </w:rPr>
              <w:t xml:space="preserve">establishment of a Community Legal Centre </w:t>
            </w:r>
            <w:r>
              <w:rPr>
                <w:sz w:val="22"/>
                <w:szCs w:val="22"/>
                <w:lang w:val="en-AU"/>
              </w:rPr>
              <w:t xml:space="preserve">to be run by the SIWLA </w:t>
            </w:r>
            <w:r w:rsidRPr="00495211">
              <w:rPr>
                <w:sz w:val="22"/>
                <w:szCs w:val="22"/>
                <w:lang w:val="en-AU"/>
              </w:rPr>
              <w:t xml:space="preserve">for women to access justice services. </w:t>
            </w:r>
            <w:r>
              <w:rPr>
                <w:sz w:val="22"/>
                <w:szCs w:val="22"/>
                <w:lang w:val="en-AU"/>
              </w:rPr>
              <w:t xml:space="preserve">Post and ASIPJ will seek to identify Melanesian twinning exchanges in support of this and future initiatives involving the NGO sector. </w:t>
            </w:r>
          </w:p>
          <w:p w14:paraId="4C419CE8" w14:textId="77777777" w:rsidR="00993058" w:rsidRDefault="00993058" w:rsidP="00993058">
            <w:pPr>
              <w:rPr>
                <w:sz w:val="22"/>
                <w:szCs w:val="22"/>
                <w:lang w:val="en-AU"/>
              </w:rPr>
            </w:pPr>
          </w:p>
          <w:p w14:paraId="0C2D53A4" w14:textId="77777777" w:rsidR="00993058" w:rsidRPr="00495211" w:rsidRDefault="00993058" w:rsidP="00993058">
            <w:pPr>
              <w:rPr>
                <w:sz w:val="22"/>
                <w:szCs w:val="22"/>
                <w:lang w:val="en-AU"/>
              </w:rPr>
            </w:pPr>
            <w:r>
              <w:rPr>
                <w:sz w:val="22"/>
                <w:szCs w:val="22"/>
              </w:rPr>
              <w:t>Per recommendation of recommendation 7, extension of the program will be considered in consultation with SIG, the PRG and in line with available ASIPJ program budget.</w:t>
            </w:r>
          </w:p>
        </w:tc>
        <w:tc>
          <w:tcPr>
            <w:tcW w:w="1836" w:type="dxa"/>
          </w:tcPr>
          <w:p w14:paraId="41EE6882" w14:textId="77777777" w:rsidR="00993058" w:rsidRDefault="00993058" w:rsidP="00993058">
            <w:pPr>
              <w:tabs>
                <w:tab w:val="left" w:pos="113"/>
              </w:tabs>
              <w:rPr>
                <w:sz w:val="22"/>
                <w:szCs w:val="22"/>
              </w:rPr>
            </w:pPr>
            <w:r>
              <w:rPr>
                <w:sz w:val="22"/>
                <w:szCs w:val="22"/>
              </w:rPr>
              <w:t>Ongoing</w:t>
            </w:r>
          </w:p>
        </w:tc>
      </w:tr>
      <w:tr w:rsidR="00993058" w:rsidRPr="0027595D" w14:paraId="1A19EC63" w14:textId="77777777" w:rsidTr="00993058">
        <w:tc>
          <w:tcPr>
            <w:tcW w:w="3868" w:type="dxa"/>
            <w:shd w:val="clear" w:color="auto" w:fill="auto"/>
          </w:tcPr>
          <w:p w14:paraId="2360AFF6" w14:textId="77777777" w:rsidR="00993058" w:rsidRPr="0027595D" w:rsidRDefault="00993058" w:rsidP="00993058">
            <w:pPr>
              <w:pStyle w:val="ListParagraph"/>
              <w:numPr>
                <w:ilvl w:val="0"/>
                <w:numId w:val="1"/>
              </w:numPr>
              <w:tabs>
                <w:tab w:val="left" w:pos="426"/>
              </w:tabs>
              <w:ind w:left="447" w:hanging="447"/>
              <w:rPr>
                <w:sz w:val="22"/>
                <w:szCs w:val="22"/>
              </w:rPr>
            </w:pPr>
            <w:r w:rsidRPr="0027595D">
              <w:rPr>
                <w:sz w:val="22"/>
                <w:szCs w:val="22"/>
              </w:rPr>
              <w:t>Measure the end user’s experience of accessing justice.</w:t>
            </w:r>
          </w:p>
        </w:tc>
        <w:tc>
          <w:tcPr>
            <w:tcW w:w="1325" w:type="dxa"/>
            <w:shd w:val="clear" w:color="auto" w:fill="auto"/>
          </w:tcPr>
          <w:p w14:paraId="4F4B22F1" w14:textId="77777777" w:rsidR="00993058" w:rsidRPr="0027595D" w:rsidRDefault="00993058" w:rsidP="00993058">
            <w:pPr>
              <w:tabs>
                <w:tab w:val="left" w:pos="426"/>
              </w:tabs>
              <w:ind w:left="426" w:hanging="426"/>
              <w:rPr>
                <w:sz w:val="22"/>
                <w:szCs w:val="22"/>
              </w:rPr>
            </w:pPr>
            <w:r>
              <w:rPr>
                <w:sz w:val="22"/>
                <w:szCs w:val="22"/>
              </w:rPr>
              <w:t>Note</w:t>
            </w:r>
            <w:r w:rsidRPr="0027595D">
              <w:rPr>
                <w:sz w:val="22"/>
                <w:szCs w:val="22"/>
              </w:rPr>
              <w:t xml:space="preserve"> </w:t>
            </w:r>
          </w:p>
        </w:tc>
        <w:tc>
          <w:tcPr>
            <w:tcW w:w="7150" w:type="dxa"/>
            <w:shd w:val="clear" w:color="auto" w:fill="auto"/>
          </w:tcPr>
          <w:p w14:paraId="108868B2" w14:textId="77777777" w:rsidR="00993058" w:rsidRPr="0027595D" w:rsidRDefault="00993058" w:rsidP="00993058">
            <w:pPr>
              <w:rPr>
                <w:sz w:val="22"/>
                <w:szCs w:val="22"/>
              </w:rPr>
            </w:pPr>
            <w:r w:rsidRPr="0027595D">
              <w:rPr>
                <w:sz w:val="22"/>
                <w:szCs w:val="22"/>
              </w:rPr>
              <w:t>ASIPJ will explore options to measure the end user’s experience of access to justice in the next iteration of the program’s Monitoring, Evaluation, Research and Learning plan.</w:t>
            </w:r>
          </w:p>
        </w:tc>
        <w:tc>
          <w:tcPr>
            <w:tcW w:w="1836" w:type="dxa"/>
            <w:shd w:val="clear" w:color="auto" w:fill="auto"/>
          </w:tcPr>
          <w:p w14:paraId="5C2532C7" w14:textId="77777777" w:rsidR="00993058" w:rsidRPr="0027595D" w:rsidRDefault="00993058" w:rsidP="00993058">
            <w:pPr>
              <w:tabs>
                <w:tab w:val="left" w:pos="113"/>
              </w:tabs>
              <w:rPr>
                <w:sz w:val="22"/>
                <w:szCs w:val="22"/>
              </w:rPr>
            </w:pPr>
            <w:r w:rsidRPr="0027595D">
              <w:rPr>
                <w:sz w:val="22"/>
                <w:szCs w:val="22"/>
              </w:rPr>
              <w:t>Next program phase (2026-2029)</w:t>
            </w:r>
          </w:p>
        </w:tc>
      </w:tr>
    </w:tbl>
    <w:p w14:paraId="2EB91CDD" w14:textId="77777777" w:rsidR="00993058" w:rsidRDefault="00993058" w:rsidP="00993058">
      <w:pPr>
        <w:tabs>
          <w:tab w:val="left" w:pos="426"/>
        </w:tabs>
        <w:ind w:left="426" w:hanging="426"/>
        <w:rPr>
          <w:b/>
          <w:bCs/>
          <w:i/>
          <w:iCs/>
          <w:sz w:val="22"/>
          <w:szCs w:val="22"/>
        </w:rPr>
      </w:pPr>
    </w:p>
    <w:p w14:paraId="05C968A7" w14:textId="2AFE4F10" w:rsidR="00993058" w:rsidRDefault="00993058" w:rsidP="00027C6A">
      <w:pPr>
        <w:pStyle w:val="Heading2"/>
      </w:pPr>
      <w:r w:rsidRPr="0047736F">
        <w:t>Efficiency</w:t>
      </w:r>
    </w:p>
    <w:tbl>
      <w:tblPr>
        <w:tblStyle w:val="TableGrid"/>
        <w:tblW w:w="14170" w:type="dxa"/>
        <w:tblLook w:val="04A0" w:firstRow="1" w:lastRow="0" w:firstColumn="1" w:lastColumn="0" w:noHBand="0" w:noVBand="1"/>
      </w:tblPr>
      <w:tblGrid>
        <w:gridCol w:w="3823"/>
        <w:gridCol w:w="1417"/>
        <w:gridCol w:w="7088"/>
        <w:gridCol w:w="1842"/>
      </w:tblGrid>
      <w:tr w:rsidR="00993058" w:rsidRPr="000D3A2F" w14:paraId="30191B06" w14:textId="77777777" w:rsidTr="00993058">
        <w:trPr>
          <w:tblHeader/>
        </w:trPr>
        <w:tc>
          <w:tcPr>
            <w:tcW w:w="3823" w:type="dxa"/>
          </w:tcPr>
          <w:p w14:paraId="742681DA" w14:textId="65F163CC" w:rsidR="00993058" w:rsidRPr="00993058" w:rsidRDefault="00993058" w:rsidP="00993058">
            <w:pPr>
              <w:tabs>
                <w:tab w:val="left" w:pos="426"/>
              </w:tabs>
              <w:ind w:left="426" w:hanging="426"/>
              <w:rPr>
                <w:sz w:val="22"/>
                <w:szCs w:val="22"/>
              </w:rPr>
            </w:pPr>
            <w:r w:rsidRPr="00993058">
              <w:rPr>
                <w:b/>
                <w:bCs/>
                <w:sz w:val="22"/>
                <w:szCs w:val="22"/>
              </w:rPr>
              <w:t>Recommendation</w:t>
            </w:r>
          </w:p>
        </w:tc>
        <w:tc>
          <w:tcPr>
            <w:tcW w:w="1417" w:type="dxa"/>
          </w:tcPr>
          <w:p w14:paraId="045086C1" w14:textId="788E82F1" w:rsidR="00993058" w:rsidRPr="000D3A2F" w:rsidRDefault="00993058" w:rsidP="00993058">
            <w:pPr>
              <w:tabs>
                <w:tab w:val="left" w:pos="426"/>
              </w:tabs>
              <w:ind w:left="426" w:hanging="426"/>
              <w:rPr>
                <w:sz w:val="22"/>
                <w:szCs w:val="22"/>
              </w:rPr>
            </w:pPr>
            <w:r w:rsidRPr="00A32C2B">
              <w:rPr>
                <w:b/>
                <w:bCs/>
                <w:sz w:val="22"/>
                <w:szCs w:val="22"/>
              </w:rPr>
              <w:t>Response</w:t>
            </w:r>
          </w:p>
        </w:tc>
        <w:tc>
          <w:tcPr>
            <w:tcW w:w="7088" w:type="dxa"/>
          </w:tcPr>
          <w:p w14:paraId="204E45A6" w14:textId="0E423EBB" w:rsidR="00993058" w:rsidRPr="000D3A2F" w:rsidRDefault="00993058" w:rsidP="00993058">
            <w:pPr>
              <w:tabs>
                <w:tab w:val="left" w:pos="426"/>
              </w:tabs>
              <w:ind w:left="426" w:hanging="426"/>
              <w:rPr>
                <w:sz w:val="22"/>
                <w:szCs w:val="22"/>
              </w:rPr>
            </w:pPr>
            <w:r w:rsidRPr="00A32C2B">
              <w:rPr>
                <w:b/>
                <w:bCs/>
                <w:sz w:val="22"/>
                <w:szCs w:val="22"/>
              </w:rPr>
              <w:t>Next steps</w:t>
            </w:r>
          </w:p>
        </w:tc>
        <w:tc>
          <w:tcPr>
            <w:tcW w:w="1842" w:type="dxa"/>
          </w:tcPr>
          <w:p w14:paraId="75D2B93C" w14:textId="1E6D440F" w:rsidR="00993058" w:rsidRPr="000D3A2F" w:rsidRDefault="00993058" w:rsidP="00993058">
            <w:pPr>
              <w:tabs>
                <w:tab w:val="left" w:pos="426"/>
              </w:tabs>
              <w:ind w:left="426" w:hanging="426"/>
              <w:rPr>
                <w:sz w:val="22"/>
                <w:szCs w:val="22"/>
              </w:rPr>
            </w:pPr>
            <w:r w:rsidRPr="00A32C2B">
              <w:rPr>
                <w:b/>
                <w:bCs/>
                <w:sz w:val="22"/>
                <w:szCs w:val="22"/>
              </w:rPr>
              <w:t>Timeframe</w:t>
            </w:r>
          </w:p>
        </w:tc>
      </w:tr>
      <w:tr w:rsidR="00993058" w:rsidRPr="000D3A2F" w14:paraId="41694619" w14:textId="77777777" w:rsidTr="00993058">
        <w:tc>
          <w:tcPr>
            <w:tcW w:w="3823" w:type="dxa"/>
          </w:tcPr>
          <w:p w14:paraId="4D637137" w14:textId="77777777" w:rsidR="00993058" w:rsidRPr="000D3A2F" w:rsidRDefault="00993058" w:rsidP="00993058">
            <w:pPr>
              <w:pStyle w:val="ListParagraph"/>
              <w:numPr>
                <w:ilvl w:val="0"/>
                <w:numId w:val="1"/>
              </w:numPr>
              <w:tabs>
                <w:tab w:val="left" w:pos="426"/>
              </w:tabs>
              <w:ind w:left="447" w:hanging="425"/>
              <w:rPr>
                <w:sz w:val="22"/>
                <w:szCs w:val="22"/>
              </w:rPr>
            </w:pPr>
            <w:r w:rsidRPr="000D3A2F">
              <w:rPr>
                <w:sz w:val="22"/>
                <w:szCs w:val="22"/>
              </w:rPr>
              <w:t>Broaden input into Program Reference Group (PRG) decision-making.</w:t>
            </w:r>
          </w:p>
        </w:tc>
        <w:tc>
          <w:tcPr>
            <w:tcW w:w="1417" w:type="dxa"/>
          </w:tcPr>
          <w:p w14:paraId="7AFB19E0" w14:textId="77777777" w:rsidR="00993058" w:rsidRPr="000D3A2F" w:rsidRDefault="00993058" w:rsidP="00993058">
            <w:pPr>
              <w:rPr>
                <w:sz w:val="22"/>
                <w:szCs w:val="22"/>
              </w:rPr>
            </w:pPr>
            <w:r w:rsidRPr="000D3A2F">
              <w:rPr>
                <w:sz w:val="22"/>
                <w:szCs w:val="22"/>
              </w:rPr>
              <w:t>Agree</w:t>
            </w:r>
            <w:r>
              <w:rPr>
                <w:sz w:val="22"/>
                <w:szCs w:val="22"/>
              </w:rPr>
              <w:t xml:space="preserve"> in principle</w:t>
            </w:r>
          </w:p>
        </w:tc>
        <w:tc>
          <w:tcPr>
            <w:tcW w:w="7088" w:type="dxa"/>
          </w:tcPr>
          <w:p w14:paraId="0E1CB0D9" w14:textId="77777777" w:rsidR="00993058" w:rsidRPr="000D3A2F" w:rsidRDefault="00993058" w:rsidP="00993058">
            <w:pPr>
              <w:rPr>
                <w:sz w:val="22"/>
                <w:szCs w:val="22"/>
              </w:rPr>
            </w:pPr>
            <w:r w:rsidRPr="000D3A2F">
              <w:rPr>
                <w:sz w:val="22"/>
                <w:szCs w:val="22"/>
              </w:rPr>
              <w:t xml:space="preserve">In consultation with SIG stakeholders, ASIPJ will </w:t>
            </w:r>
            <w:r>
              <w:rPr>
                <w:sz w:val="22"/>
                <w:szCs w:val="22"/>
              </w:rPr>
              <w:t xml:space="preserve">explore options to broaden input into PRG decision-making, for example, through a </w:t>
            </w:r>
            <w:r w:rsidRPr="000D3A2F">
              <w:rPr>
                <w:sz w:val="22"/>
                <w:szCs w:val="22"/>
              </w:rPr>
              <w:t>mechanism involv</w:t>
            </w:r>
            <w:r>
              <w:rPr>
                <w:sz w:val="22"/>
                <w:szCs w:val="22"/>
              </w:rPr>
              <w:t>ing</w:t>
            </w:r>
            <w:r w:rsidRPr="000D3A2F">
              <w:rPr>
                <w:sz w:val="22"/>
                <w:szCs w:val="22"/>
              </w:rPr>
              <w:t xml:space="preserve"> agency-head level meeting in advance of the PRG meeting, to ensure that working-level views, priorities and feedback are reflected in key program documents such as the Annual Work Plan</w:t>
            </w:r>
            <w:r>
              <w:rPr>
                <w:sz w:val="22"/>
                <w:szCs w:val="22"/>
              </w:rPr>
              <w:t xml:space="preserve"> via a formal consultation process</w:t>
            </w:r>
            <w:r w:rsidRPr="000D3A2F">
              <w:rPr>
                <w:sz w:val="22"/>
                <w:szCs w:val="22"/>
              </w:rPr>
              <w:t>.</w:t>
            </w:r>
          </w:p>
        </w:tc>
        <w:tc>
          <w:tcPr>
            <w:tcW w:w="1842" w:type="dxa"/>
          </w:tcPr>
          <w:p w14:paraId="7DB91BB7" w14:textId="77777777" w:rsidR="00993058" w:rsidRPr="000D3A2F" w:rsidRDefault="00993058" w:rsidP="00993058">
            <w:pPr>
              <w:tabs>
                <w:tab w:val="left" w:pos="426"/>
              </w:tabs>
              <w:ind w:left="426" w:hanging="426"/>
              <w:rPr>
                <w:sz w:val="22"/>
                <w:szCs w:val="22"/>
              </w:rPr>
            </w:pPr>
            <w:r w:rsidRPr="000D3A2F">
              <w:rPr>
                <w:sz w:val="22"/>
                <w:szCs w:val="22"/>
              </w:rPr>
              <w:t>2025</w:t>
            </w:r>
          </w:p>
        </w:tc>
      </w:tr>
      <w:tr w:rsidR="00993058" w:rsidRPr="00A32C2B" w14:paraId="6CE39087" w14:textId="77777777" w:rsidTr="00993058">
        <w:tc>
          <w:tcPr>
            <w:tcW w:w="3823" w:type="dxa"/>
          </w:tcPr>
          <w:p w14:paraId="7EB3086B" w14:textId="77777777" w:rsidR="00993058" w:rsidRPr="00CB4225" w:rsidRDefault="00993058" w:rsidP="00993058">
            <w:pPr>
              <w:pStyle w:val="ListParagraph"/>
              <w:numPr>
                <w:ilvl w:val="0"/>
                <w:numId w:val="1"/>
              </w:numPr>
              <w:tabs>
                <w:tab w:val="left" w:pos="426"/>
              </w:tabs>
              <w:ind w:left="426" w:hanging="426"/>
              <w:rPr>
                <w:sz w:val="22"/>
                <w:szCs w:val="22"/>
              </w:rPr>
            </w:pPr>
            <w:r w:rsidRPr="00CB4225">
              <w:rPr>
                <w:sz w:val="22"/>
                <w:szCs w:val="22"/>
              </w:rPr>
              <w:t>Move to a single, streamlined contracting arrangement</w:t>
            </w:r>
            <w:r>
              <w:rPr>
                <w:sz w:val="22"/>
                <w:szCs w:val="22"/>
              </w:rPr>
              <w:t>.</w:t>
            </w:r>
          </w:p>
        </w:tc>
        <w:tc>
          <w:tcPr>
            <w:tcW w:w="1417" w:type="dxa"/>
          </w:tcPr>
          <w:p w14:paraId="3556DAD2" w14:textId="77777777" w:rsidR="00993058" w:rsidRDefault="00993058" w:rsidP="00993058">
            <w:pPr>
              <w:tabs>
                <w:tab w:val="left" w:pos="426"/>
              </w:tabs>
              <w:ind w:left="426" w:hanging="426"/>
              <w:rPr>
                <w:sz w:val="22"/>
                <w:szCs w:val="22"/>
              </w:rPr>
            </w:pPr>
            <w:r>
              <w:rPr>
                <w:sz w:val="22"/>
                <w:szCs w:val="22"/>
              </w:rPr>
              <w:t>Note</w:t>
            </w:r>
          </w:p>
        </w:tc>
        <w:tc>
          <w:tcPr>
            <w:tcW w:w="7088" w:type="dxa"/>
          </w:tcPr>
          <w:p w14:paraId="60157E22" w14:textId="77777777" w:rsidR="00993058" w:rsidRPr="00A32C2B" w:rsidRDefault="00993058" w:rsidP="00993058">
            <w:pPr>
              <w:rPr>
                <w:sz w:val="22"/>
                <w:szCs w:val="22"/>
              </w:rPr>
            </w:pPr>
            <w:r>
              <w:rPr>
                <w:sz w:val="22"/>
                <w:szCs w:val="22"/>
              </w:rPr>
              <w:t>Post will explore options to streamline process and reduce administration inefficiencies within the program management and meet DFAT quality standards.</w:t>
            </w:r>
          </w:p>
        </w:tc>
        <w:tc>
          <w:tcPr>
            <w:tcW w:w="1842" w:type="dxa"/>
          </w:tcPr>
          <w:p w14:paraId="3394C202" w14:textId="77777777" w:rsidR="00993058" w:rsidRPr="00A32C2B" w:rsidRDefault="00993058" w:rsidP="00993058">
            <w:pPr>
              <w:tabs>
                <w:tab w:val="left" w:pos="426"/>
              </w:tabs>
              <w:ind w:left="426" w:hanging="426"/>
              <w:rPr>
                <w:sz w:val="22"/>
                <w:szCs w:val="22"/>
              </w:rPr>
            </w:pPr>
            <w:r>
              <w:rPr>
                <w:sz w:val="22"/>
                <w:szCs w:val="22"/>
              </w:rPr>
              <w:t>2025-26</w:t>
            </w:r>
          </w:p>
        </w:tc>
      </w:tr>
      <w:tr w:rsidR="00993058" w:rsidRPr="00334118" w14:paraId="325A9328" w14:textId="77777777" w:rsidTr="00993058">
        <w:trPr>
          <w:cantSplit/>
        </w:trPr>
        <w:tc>
          <w:tcPr>
            <w:tcW w:w="3823" w:type="dxa"/>
          </w:tcPr>
          <w:p w14:paraId="712C8805" w14:textId="77777777" w:rsidR="00993058" w:rsidRPr="00334118" w:rsidRDefault="00993058" w:rsidP="00993058">
            <w:pPr>
              <w:pStyle w:val="ListParagraph"/>
              <w:numPr>
                <w:ilvl w:val="0"/>
                <w:numId w:val="1"/>
              </w:numPr>
              <w:tabs>
                <w:tab w:val="left" w:pos="426"/>
              </w:tabs>
              <w:ind w:left="426" w:hanging="426"/>
              <w:rPr>
                <w:sz w:val="22"/>
                <w:szCs w:val="22"/>
              </w:rPr>
            </w:pPr>
            <w:r w:rsidRPr="00334118">
              <w:rPr>
                <w:sz w:val="22"/>
                <w:szCs w:val="22"/>
                <w:lang w:val="en-AU"/>
              </w:rPr>
              <w:lastRenderedPageBreak/>
              <w:t>Review the case for each adviser role.</w:t>
            </w:r>
          </w:p>
        </w:tc>
        <w:tc>
          <w:tcPr>
            <w:tcW w:w="1417" w:type="dxa"/>
          </w:tcPr>
          <w:p w14:paraId="546B271E" w14:textId="77777777" w:rsidR="00993058" w:rsidRPr="00334118" w:rsidRDefault="00993058" w:rsidP="00993058">
            <w:pPr>
              <w:ind w:left="426" w:hanging="426"/>
              <w:rPr>
                <w:sz w:val="22"/>
                <w:szCs w:val="22"/>
              </w:rPr>
            </w:pPr>
            <w:r w:rsidRPr="00334118">
              <w:rPr>
                <w:sz w:val="22"/>
                <w:szCs w:val="22"/>
              </w:rPr>
              <w:t>Agree</w:t>
            </w:r>
          </w:p>
        </w:tc>
        <w:tc>
          <w:tcPr>
            <w:tcW w:w="7088" w:type="dxa"/>
          </w:tcPr>
          <w:p w14:paraId="2DC89B1E" w14:textId="77777777" w:rsidR="00993058" w:rsidRPr="00334118" w:rsidRDefault="00993058" w:rsidP="00993058">
            <w:pPr>
              <w:rPr>
                <w:sz w:val="22"/>
                <w:szCs w:val="22"/>
              </w:rPr>
            </w:pPr>
            <w:r w:rsidRPr="00334118">
              <w:rPr>
                <w:sz w:val="22"/>
                <w:szCs w:val="22"/>
              </w:rPr>
              <w:t xml:space="preserve">ASIPJ </w:t>
            </w:r>
            <w:r>
              <w:rPr>
                <w:sz w:val="22"/>
                <w:szCs w:val="22"/>
              </w:rPr>
              <w:t xml:space="preserve">will implement a process </w:t>
            </w:r>
            <w:r w:rsidRPr="00334118">
              <w:rPr>
                <w:sz w:val="22"/>
                <w:szCs w:val="22"/>
              </w:rPr>
              <w:t xml:space="preserve">to review the case for each </w:t>
            </w:r>
            <w:proofErr w:type="gramStart"/>
            <w:r w:rsidRPr="00334118">
              <w:rPr>
                <w:sz w:val="22"/>
                <w:szCs w:val="22"/>
              </w:rPr>
              <w:t>adviser</w:t>
            </w:r>
            <w:proofErr w:type="gramEnd"/>
            <w:r w:rsidRPr="00334118">
              <w:rPr>
                <w:sz w:val="22"/>
                <w:szCs w:val="22"/>
              </w:rPr>
              <w:t xml:space="preserve"> role</w:t>
            </w:r>
            <w:r>
              <w:rPr>
                <w:sz w:val="22"/>
                <w:szCs w:val="22"/>
              </w:rPr>
              <w:t xml:space="preserve">. The review will include recommendations on continuation of adviser roles and format for engagement, including consideration of </w:t>
            </w:r>
            <w:r>
              <w:rPr>
                <w:sz w:val="22"/>
                <w:szCs w:val="22"/>
                <w:lang w:val="en-AU"/>
              </w:rPr>
              <w:t xml:space="preserve">whether </w:t>
            </w:r>
            <w:r w:rsidRPr="00334118">
              <w:rPr>
                <w:sz w:val="22"/>
                <w:szCs w:val="22"/>
                <w:lang w:val="en-AU"/>
              </w:rPr>
              <w:t>long-term, short-term or remote (or a variation of one of more model)</w:t>
            </w:r>
            <w:r>
              <w:rPr>
                <w:sz w:val="22"/>
                <w:szCs w:val="22"/>
                <w:lang w:val="en-AU"/>
              </w:rPr>
              <w:t xml:space="preserve"> best support the program’s EOPOs and value for money</w:t>
            </w:r>
            <w:r w:rsidRPr="00334118">
              <w:rPr>
                <w:sz w:val="22"/>
                <w:szCs w:val="22"/>
                <w:lang w:val="en-AU"/>
              </w:rPr>
              <w:t>.</w:t>
            </w:r>
            <w:r>
              <w:rPr>
                <w:sz w:val="22"/>
                <w:szCs w:val="22"/>
                <w:lang w:val="en-AU"/>
              </w:rPr>
              <w:t xml:space="preserve"> </w:t>
            </w:r>
          </w:p>
        </w:tc>
        <w:tc>
          <w:tcPr>
            <w:tcW w:w="1842" w:type="dxa"/>
          </w:tcPr>
          <w:p w14:paraId="03F392FC" w14:textId="77777777" w:rsidR="00993058" w:rsidRPr="00334118" w:rsidRDefault="00993058" w:rsidP="00993058">
            <w:pPr>
              <w:tabs>
                <w:tab w:val="left" w:pos="426"/>
              </w:tabs>
              <w:ind w:left="426" w:hanging="426"/>
              <w:rPr>
                <w:sz w:val="22"/>
                <w:szCs w:val="22"/>
              </w:rPr>
            </w:pPr>
            <w:r>
              <w:rPr>
                <w:sz w:val="22"/>
                <w:szCs w:val="22"/>
              </w:rPr>
              <w:t>2025-26</w:t>
            </w:r>
          </w:p>
        </w:tc>
      </w:tr>
    </w:tbl>
    <w:p w14:paraId="06BE0AAD" w14:textId="77777777" w:rsidR="00993058" w:rsidRDefault="00993058" w:rsidP="00993058">
      <w:pPr>
        <w:tabs>
          <w:tab w:val="left" w:pos="426"/>
        </w:tabs>
        <w:ind w:left="426" w:hanging="426"/>
      </w:pPr>
    </w:p>
    <w:p w14:paraId="763BCFCF" w14:textId="74E0DD51" w:rsidR="00993058" w:rsidRDefault="00993058" w:rsidP="00027C6A">
      <w:pPr>
        <w:pStyle w:val="Heading2"/>
      </w:pPr>
      <w:r w:rsidRPr="00CB4225">
        <w:t>Sustainability</w:t>
      </w:r>
    </w:p>
    <w:tbl>
      <w:tblPr>
        <w:tblStyle w:val="TableGrid"/>
        <w:tblW w:w="14170" w:type="dxa"/>
        <w:tblLook w:val="04A0" w:firstRow="1" w:lastRow="0" w:firstColumn="1" w:lastColumn="0" w:noHBand="0" w:noVBand="1"/>
      </w:tblPr>
      <w:tblGrid>
        <w:gridCol w:w="3868"/>
        <w:gridCol w:w="1443"/>
        <w:gridCol w:w="7017"/>
        <w:gridCol w:w="1842"/>
      </w:tblGrid>
      <w:tr w:rsidR="00993058" w:rsidRPr="00A32C2B" w14:paraId="43A221C8" w14:textId="77777777" w:rsidTr="00993058">
        <w:tc>
          <w:tcPr>
            <w:tcW w:w="3868" w:type="dxa"/>
          </w:tcPr>
          <w:p w14:paraId="3E6DADFB" w14:textId="77053919" w:rsidR="00993058" w:rsidRPr="00993058" w:rsidRDefault="00993058" w:rsidP="00993058">
            <w:pPr>
              <w:tabs>
                <w:tab w:val="left" w:pos="426"/>
              </w:tabs>
              <w:ind w:left="426" w:hanging="426"/>
              <w:rPr>
                <w:sz w:val="22"/>
                <w:szCs w:val="22"/>
              </w:rPr>
            </w:pPr>
            <w:r w:rsidRPr="00993058">
              <w:rPr>
                <w:b/>
                <w:bCs/>
                <w:sz w:val="22"/>
                <w:szCs w:val="22"/>
              </w:rPr>
              <w:t>Recommendation</w:t>
            </w:r>
          </w:p>
        </w:tc>
        <w:tc>
          <w:tcPr>
            <w:tcW w:w="1443" w:type="dxa"/>
          </w:tcPr>
          <w:p w14:paraId="10B84C5B" w14:textId="1E6C697F" w:rsidR="00993058" w:rsidRDefault="00993058" w:rsidP="00993058">
            <w:pPr>
              <w:tabs>
                <w:tab w:val="left" w:pos="426"/>
              </w:tabs>
              <w:ind w:left="426" w:hanging="426"/>
              <w:rPr>
                <w:sz w:val="22"/>
                <w:szCs w:val="22"/>
              </w:rPr>
            </w:pPr>
            <w:r w:rsidRPr="00A32C2B">
              <w:rPr>
                <w:b/>
                <w:bCs/>
                <w:sz w:val="22"/>
                <w:szCs w:val="22"/>
              </w:rPr>
              <w:t>Response</w:t>
            </w:r>
          </w:p>
        </w:tc>
        <w:tc>
          <w:tcPr>
            <w:tcW w:w="7017" w:type="dxa"/>
          </w:tcPr>
          <w:p w14:paraId="0955EE31" w14:textId="4017F8E4" w:rsidR="00993058" w:rsidRDefault="00993058" w:rsidP="00993058">
            <w:pPr>
              <w:tabs>
                <w:tab w:val="left" w:pos="426"/>
              </w:tabs>
              <w:ind w:left="426" w:hanging="426"/>
              <w:rPr>
                <w:sz w:val="22"/>
                <w:szCs w:val="22"/>
              </w:rPr>
            </w:pPr>
            <w:r w:rsidRPr="00A32C2B">
              <w:rPr>
                <w:b/>
                <w:bCs/>
                <w:sz w:val="22"/>
                <w:szCs w:val="22"/>
              </w:rPr>
              <w:t>Next steps</w:t>
            </w:r>
          </w:p>
        </w:tc>
        <w:tc>
          <w:tcPr>
            <w:tcW w:w="1842" w:type="dxa"/>
          </w:tcPr>
          <w:p w14:paraId="409F8AF1" w14:textId="72B40ECD" w:rsidR="00993058" w:rsidRDefault="00993058" w:rsidP="00993058">
            <w:pPr>
              <w:tabs>
                <w:tab w:val="left" w:pos="426"/>
              </w:tabs>
              <w:ind w:left="426" w:hanging="426"/>
              <w:rPr>
                <w:sz w:val="22"/>
                <w:szCs w:val="22"/>
              </w:rPr>
            </w:pPr>
            <w:r w:rsidRPr="00A32C2B">
              <w:rPr>
                <w:b/>
                <w:bCs/>
                <w:sz w:val="22"/>
                <w:szCs w:val="22"/>
              </w:rPr>
              <w:t>Timeframe</w:t>
            </w:r>
          </w:p>
        </w:tc>
      </w:tr>
      <w:tr w:rsidR="00993058" w:rsidRPr="00A32C2B" w14:paraId="5941B9D5" w14:textId="77777777" w:rsidTr="00993058">
        <w:tc>
          <w:tcPr>
            <w:tcW w:w="3868" w:type="dxa"/>
          </w:tcPr>
          <w:p w14:paraId="736B120E" w14:textId="77777777" w:rsidR="00993058" w:rsidRPr="00E329FB" w:rsidRDefault="00993058" w:rsidP="00993058">
            <w:pPr>
              <w:pStyle w:val="ListParagraph"/>
              <w:numPr>
                <w:ilvl w:val="0"/>
                <w:numId w:val="1"/>
              </w:numPr>
              <w:tabs>
                <w:tab w:val="left" w:pos="426"/>
              </w:tabs>
              <w:ind w:left="0" w:firstLine="0"/>
              <w:rPr>
                <w:sz w:val="22"/>
                <w:szCs w:val="22"/>
                <w:lang w:val="en-AU"/>
              </w:rPr>
            </w:pPr>
            <w:r w:rsidRPr="00E329FB">
              <w:rPr>
                <w:sz w:val="22"/>
                <w:szCs w:val="22"/>
                <w:lang w:val="en-AU"/>
              </w:rPr>
              <w:t>Seek to share costs with SIG</w:t>
            </w:r>
            <w:r>
              <w:rPr>
                <w:sz w:val="22"/>
                <w:szCs w:val="22"/>
                <w:lang w:val="en-AU"/>
              </w:rPr>
              <w:t>.</w:t>
            </w:r>
          </w:p>
        </w:tc>
        <w:tc>
          <w:tcPr>
            <w:tcW w:w="1443" w:type="dxa"/>
          </w:tcPr>
          <w:p w14:paraId="6DA090C7" w14:textId="2B12706D" w:rsidR="00993058" w:rsidRDefault="00993058" w:rsidP="00993058">
            <w:pPr>
              <w:rPr>
                <w:sz w:val="22"/>
                <w:szCs w:val="22"/>
              </w:rPr>
            </w:pPr>
            <w:r>
              <w:rPr>
                <w:sz w:val="22"/>
                <w:szCs w:val="22"/>
              </w:rPr>
              <w:t>Agree in principle</w:t>
            </w:r>
          </w:p>
        </w:tc>
        <w:tc>
          <w:tcPr>
            <w:tcW w:w="7017" w:type="dxa"/>
          </w:tcPr>
          <w:p w14:paraId="43DF1F80" w14:textId="77777777" w:rsidR="00993058" w:rsidRPr="00A32C2B" w:rsidRDefault="00993058" w:rsidP="00993058">
            <w:pPr>
              <w:rPr>
                <w:sz w:val="22"/>
                <w:szCs w:val="22"/>
              </w:rPr>
            </w:pPr>
            <w:r>
              <w:rPr>
                <w:sz w:val="22"/>
                <w:szCs w:val="22"/>
              </w:rPr>
              <w:t xml:space="preserve">ASIPJ has identified </w:t>
            </w:r>
            <w:proofErr w:type="gramStart"/>
            <w:r>
              <w:rPr>
                <w:sz w:val="22"/>
                <w:szCs w:val="22"/>
              </w:rPr>
              <w:t>a number of</w:t>
            </w:r>
            <w:proofErr w:type="gramEnd"/>
            <w:r>
              <w:rPr>
                <w:sz w:val="22"/>
                <w:szCs w:val="22"/>
              </w:rPr>
              <w:t xml:space="preserve"> successful mechanisms for SIG to share program costs, particularly related to Melanesian Twinning exchange. These include in-kind training and mentoring support and contributions for travel costs. Post and ASIPJ will continue to identify opportunities to share costs for program activities in consultation with SIG. </w:t>
            </w:r>
          </w:p>
        </w:tc>
        <w:tc>
          <w:tcPr>
            <w:tcW w:w="1842" w:type="dxa"/>
          </w:tcPr>
          <w:p w14:paraId="61C8390E" w14:textId="77777777" w:rsidR="00993058" w:rsidRPr="00A32C2B" w:rsidRDefault="00993058" w:rsidP="00993058">
            <w:pPr>
              <w:tabs>
                <w:tab w:val="left" w:pos="426"/>
              </w:tabs>
              <w:rPr>
                <w:sz w:val="22"/>
                <w:szCs w:val="22"/>
              </w:rPr>
            </w:pPr>
            <w:r>
              <w:rPr>
                <w:sz w:val="22"/>
                <w:szCs w:val="22"/>
              </w:rPr>
              <w:t>Ongoing</w:t>
            </w:r>
          </w:p>
        </w:tc>
      </w:tr>
      <w:tr w:rsidR="00993058" w:rsidRPr="00C00E76" w14:paraId="4AD45B40" w14:textId="77777777" w:rsidTr="00993058">
        <w:tc>
          <w:tcPr>
            <w:tcW w:w="3868" w:type="dxa"/>
          </w:tcPr>
          <w:p w14:paraId="498301DC" w14:textId="77777777" w:rsidR="00993058" w:rsidRPr="00C00E76" w:rsidRDefault="00993058" w:rsidP="00993058">
            <w:pPr>
              <w:pStyle w:val="ListParagraph"/>
              <w:numPr>
                <w:ilvl w:val="0"/>
                <w:numId w:val="1"/>
              </w:numPr>
              <w:tabs>
                <w:tab w:val="left" w:pos="426"/>
              </w:tabs>
              <w:ind w:left="0" w:firstLine="0"/>
              <w:rPr>
                <w:sz w:val="22"/>
                <w:szCs w:val="22"/>
                <w:lang w:val="en-AU"/>
              </w:rPr>
            </w:pPr>
            <w:r w:rsidRPr="00C00E76">
              <w:rPr>
                <w:sz w:val="22"/>
                <w:szCs w:val="22"/>
                <w:lang w:val="en-AU"/>
              </w:rPr>
              <w:t>Commit to further significant and sustained support for the Justice Information Management System (JIMS).</w:t>
            </w:r>
          </w:p>
        </w:tc>
        <w:tc>
          <w:tcPr>
            <w:tcW w:w="1443" w:type="dxa"/>
          </w:tcPr>
          <w:p w14:paraId="41EB3AD3" w14:textId="77777777" w:rsidR="00993058" w:rsidRPr="00C00E76" w:rsidRDefault="00993058" w:rsidP="00993058">
            <w:pPr>
              <w:tabs>
                <w:tab w:val="left" w:pos="426"/>
              </w:tabs>
              <w:rPr>
                <w:sz w:val="22"/>
                <w:szCs w:val="22"/>
              </w:rPr>
            </w:pPr>
            <w:r w:rsidRPr="00C00E76">
              <w:rPr>
                <w:sz w:val="22"/>
                <w:szCs w:val="22"/>
              </w:rPr>
              <w:t>Agree</w:t>
            </w:r>
          </w:p>
        </w:tc>
        <w:tc>
          <w:tcPr>
            <w:tcW w:w="7017" w:type="dxa"/>
          </w:tcPr>
          <w:p w14:paraId="783C8BB0" w14:textId="77777777" w:rsidR="00993058" w:rsidRPr="00C00E76" w:rsidRDefault="00993058" w:rsidP="00993058">
            <w:pPr>
              <w:rPr>
                <w:sz w:val="22"/>
                <w:szCs w:val="22"/>
              </w:rPr>
            </w:pPr>
            <w:r w:rsidRPr="00C00E76">
              <w:rPr>
                <w:sz w:val="22"/>
                <w:szCs w:val="22"/>
              </w:rPr>
              <w:t>Significant and sustained support for JIMS will be included in the next phase of the program, with activities scheduled to implement technical improvements and resolve issues.</w:t>
            </w:r>
          </w:p>
          <w:p w14:paraId="45C7D360" w14:textId="77777777" w:rsidR="00993058" w:rsidRPr="00C00E76" w:rsidRDefault="00993058" w:rsidP="00993058">
            <w:pPr>
              <w:rPr>
                <w:sz w:val="22"/>
                <w:szCs w:val="22"/>
              </w:rPr>
            </w:pPr>
          </w:p>
          <w:p w14:paraId="1E04EE35" w14:textId="77777777" w:rsidR="00993058" w:rsidRPr="00C00E76" w:rsidRDefault="00993058" w:rsidP="00993058">
            <w:pPr>
              <w:rPr>
                <w:sz w:val="22"/>
                <w:szCs w:val="22"/>
              </w:rPr>
            </w:pPr>
            <w:r w:rsidRPr="00C00E76">
              <w:rPr>
                <w:sz w:val="22"/>
                <w:szCs w:val="22"/>
              </w:rPr>
              <w:t xml:space="preserve">ASIPJ is currently undertaking a review of JIMS in consultation with SIG stakeholders, which will seek to validate data and make recommendations to improve functionality, </w:t>
            </w:r>
            <w:r>
              <w:rPr>
                <w:sz w:val="22"/>
                <w:szCs w:val="22"/>
              </w:rPr>
              <w:t xml:space="preserve">reliability of data, and </w:t>
            </w:r>
            <w:proofErr w:type="gramStart"/>
            <w:r w:rsidRPr="00C00E76">
              <w:rPr>
                <w:sz w:val="22"/>
                <w:szCs w:val="22"/>
              </w:rPr>
              <w:t>long term</w:t>
            </w:r>
            <w:proofErr w:type="gramEnd"/>
            <w:r w:rsidRPr="00C00E76">
              <w:rPr>
                <w:sz w:val="22"/>
                <w:szCs w:val="22"/>
              </w:rPr>
              <w:t xml:space="preserve"> sustainability. </w:t>
            </w:r>
          </w:p>
        </w:tc>
        <w:tc>
          <w:tcPr>
            <w:tcW w:w="1842" w:type="dxa"/>
          </w:tcPr>
          <w:p w14:paraId="3E33230C" w14:textId="77777777" w:rsidR="00993058" w:rsidRPr="00C00E76" w:rsidRDefault="00993058" w:rsidP="00993058">
            <w:pPr>
              <w:rPr>
                <w:sz w:val="22"/>
                <w:szCs w:val="22"/>
              </w:rPr>
            </w:pPr>
            <w:r w:rsidRPr="00C00E76">
              <w:rPr>
                <w:sz w:val="22"/>
                <w:szCs w:val="22"/>
              </w:rPr>
              <w:t>Next program phase (2026-2029)</w:t>
            </w:r>
          </w:p>
        </w:tc>
      </w:tr>
      <w:tr w:rsidR="00993058" w:rsidRPr="008A3BD9" w14:paraId="15AD0E37" w14:textId="77777777" w:rsidTr="00993058">
        <w:tc>
          <w:tcPr>
            <w:tcW w:w="3868" w:type="dxa"/>
          </w:tcPr>
          <w:p w14:paraId="34469FC3" w14:textId="660C8DC4" w:rsidR="00993058" w:rsidRPr="008A3BD9" w:rsidRDefault="00993058" w:rsidP="00993058">
            <w:pPr>
              <w:pStyle w:val="ListParagraph"/>
              <w:numPr>
                <w:ilvl w:val="0"/>
                <w:numId w:val="1"/>
              </w:numPr>
              <w:tabs>
                <w:tab w:val="left" w:pos="426"/>
              </w:tabs>
              <w:ind w:left="0" w:firstLine="0"/>
              <w:rPr>
                <w:sz w:val="22"/>
                <w:szCs w:val="22"/>
                <w:lang w:val="en-AU"/>
              </w:rPr>
            </w:pPr>
            <w:r w:rsidRPr="008A3BD9">
              <w:rPr>
                <w:bCs/>
                <w:sz w:val="22"/>
                <w:szCs w:val="22"/>
                <w:lang w:val="en-AU"/>
              </w:rPr>
              <w:t>Establish a formal oversight responsibility for JIMS within SIG.</w:t>
            </w:r>
          </w:p>
        </w:tc>
        <w:tc>
          <w:tcPr>
            <w:tcW w:w="1443" w:type="dxa"/>
          </w:tcPr>
          <w:p w14:paraId="146BC054" w14:textId="77777777" w:rsidR="00993058" w:rsidRPr="008A3BD9" w:rsidRDefault="00993058" w:rsidP="00993058">
            <w:pPr>
              <w:tabs>
                <w:tab w:val="left" w:pos="426"/>
              </w:tabs>
              <w:rPr>
                <w:sz w:val="22"/>
                <w:szCs w:val="22"/>
              </w:rPr>
            </w:pPr>
            <w:r w:rsidRPr="008A3BD9">
              <w:rPr>
                <w:sz w:val="22"/>
                <w:szCs w:val="22"/>
              </w:rPr>
              <w:t>Agree in principle</w:t>
            </w:r>
          </w:p>
        </w:tc>
        <w:tc>
          <w:tcPr>
            <w:tcW w:w="7017" w:type="dxa"/>
          </w:tcPr>
          <w:p w14:paraId="04BE0ABF" w14:textId="77777777" w:rsidR="00993058" w:rsidRPr="008A3BD9" w:rsidRDefault="00993058" w:rsidP="00993058">
            <w:pPr>
              <w:rPr>
                <w:sz w:val="22"/>
                <w:szCs w:val="22"/>
              </w:rPr>
            </w:pPr>
            <w:r w:rsidRPr="008A3BD9">
              <w:rPr>
                <w:sz w:val="22"/>
                <w:szCs w:val="22"/>
              </w:rPr>
              <w:t>Post supports the intent of the recommendation</w:t>
            </w:r>
            <w:r>
              <w:rPr>
                <w:sz w:val="22"/>
                <w:szCs w:val="22"/>
              </w:rPr>
              <w:t xml:space="preserve">, </w:t>
            </w:r>
            <w:r w:rsidRPr="008A3BD9">
              <w:rPr>
                <w:sz w:val="22"/>
                <w:szCs w:val="22"/>
              </w:rPr>
              <w:t xml:space="preserve">to incorporate a formal oversight responsibility for JIMS within </w:t>
            </w:r>
            <w:proofErr w:type="gramStart"/>
            <w:r w:rsidRPr="008A3BD9">
              <w:rPr>
                <w:sz w:val="22"/>
                <w:szCs w:val="22"/>
              </w:rPr>
              <w:t>SIG, and</w:t>
            </w:r>
            <w:proofErr w:type="gramEnd"/>
            <w:r w:rsidRPr="008A3BD9">
              <w:rPr>
                <w:sz w:val="22"/>
                <w:szCs w:val="22"/>
              </w:rPr>
              <w:t xml:space="preserve"> will discuss this recommendation with relevant SIG stakeholders. </w:t>
            </w:r>
            <w:r>
              <w:rPr>
                <w:sz w:val="22"/>
                <w:szCs w:val="22"/>
              </w:rPr>
              <w:t>I</w:t>
            </w:r>
            <w:r w:rsidRPr="008A3BD9">
              <w:rPr>
                <w:sz w:val="22"/>
                <w:szCs w:val="22"/>
              </w:rPr>
              <w:t xml:space="preserve">mplementation </w:t>
            </w:r>
            <w:r>
              <w:rPr>
                <w:sz w:val="22"/>
                <w:szCs w:val="22"/>
              </w:rPr>
              <w:t xml:space="preserve">of the recommendation </w:t>
            </w:r>
            <w:r w:rsidRPr="008A3BD9">
              <w:rPr>
                <w:sz w:val="22"/>
                <w:szCs w:val="22"/>
              </w:rPr>
              <w:t>would be subject to a decision by SIG.</w:t>
            </w:r>
          </w:p>
        </w:tc>
        <w:tc>
          <w:tcPr>
            <w:tcW w:w="1842" w:type="dxa"/>
          </w:tcPr>
          <w:p w14:paraId="09AEE5A8" w14:textId="77777777" w:rsidR="00993058" w:rsidRPr="008A3BD9" w:rsidRDefault="00993058" w:rsidP="00993058">
            <w:pPr>
              <w:tabs>
                <w:tab w:val="left" w:pos="426"/>
              </w:tabs>
              <w:rPr>
                <w:sz w:val="22"/>
                <w:szCs w:val="22"/>
              </w:rPr>
            </w:pPr>
            <w:r w:rsidRPr="008A3BD9">
              <w:rPr>
                <w:sz w:val="22"/>
                <w:szCs w:val="22"/>
              </w:rPr>
              <w:t>Ongoing</w:t>
            </w:r>
          </w:p>
        </w:tc>
      </w:tr>
    </w:tbl>
    <w:p w14:paraId="0C0D3AB9" w14:textId="77777777" w:rsidR="00993058" w:rsidRDefault="00993058" w:rsidP="00993058">
      <w:pPr>
        <w:tabs>
          <w:tab w:val="left" w:pos="426"/>
        </w:tabs>
      </w:pPr>
      <w:r>
        <w:br w:type="page"/>
      </w:r>
    </w:p>
    <w:p w14:paraId="0D5058C9" w14:textId="77777777" w:rsidR="00993058" w:rsidRPr="00773623" w:rsidRDefault="00993058" w:rsidP="00027C6A">
      <w:pPr>
        <w:pStyle w:val="Heading2"/>
        <w:rPr>
          <w:bCs/>
        </w:rPr>
      </w:pPr>
      <w:r w:rsidRPr="00773623">
        <w:lastRenderedPageBreak/>
        <w:t>The Case for Increasing ASIPJ’s Budget</w:t>
      </w:r>
    </w:p>
    <w:tbl>
      <w:tblPr>
        <w:tblStyle w:val="TableGrid"/>
        <w:tblW w:w="0" w:type="auto"/>
        <w:tblLook w:val="04A0" w:firstRow="1" w:lastRow="0" w:firstColumn="1" w:lastColumn="0" w:noHBand="0" w:noVBand="1"/>
      </w:tblPr>
      <w:tblGrid>
        <w:gridCol w:w="2901"/>
        <w:gridCol w:w="1959"/>
        <w:gridCol w:w="7150"/>
        <w:gridCol w:w="1836"/>
      </w:tblGrid>
      <w:tr w:rsidR="00993058" w:rsidRPr="007A2BC8" w14:paraId="73891BFD" w14:textId="77777777" w:rsidTr="00993058">
        <w:trPr>
          <w:tblHeader/>
        </w:trPr>
        <w:tc>
          <w:tcPr>
            <w:tcW w:w="2901" w:type="dxa"/>
          </w:tcPr>
          <w:p w14:paraId="11367F3E" w14:textId="752E9A10" w:rsidR="00993058" w:rsidRPr="00993058" w:rsidRDefault="00993058" w:rsidP="00993058">
            <w:pPr>
              <w:tabs>
                <w:tab w:val="left" w:pos="426"/>
              </w:tabs>
              <w:rPr>
                <w:bCs/>
                <w:sz w:val="22"/>
                <w:szCs w:val="22"/>
              </w:rPr>
            </w:pPr>
            <w:r w:rsidRPr="00A32C2B">
              <w:rPr>
                <w:b/>
                <w:bCs/>
                <w:sz w:val="22"/>
                <w:szCs w:val="22"/>
              </w:rPr>
              <w:t>Recommendation</w:t>
            </w:r>
          </w:p>
        </w:tc>
        <w:tc>
          <w:tcPr>
            <w:tcW w:w="1959" w:type="dxa"/>
          </w:tcPr>
          <w:p w14:paraId="72BC196E" w14:textId="17D9571E" w:rsidR="00993058" w:rsidRPr="007A2BC8" w:rsidRDefault="00993058" w:rsidP="00993058">
            <w:pPr>
              <w:tabs>
                <w:tab w:val="left" w:pos="426"/>
                <w:tab w:val="left" w:pos="2205"/>
              </w:tabs>
              <w:rPr>
                <w:sz w:val="22"/>
                <w:szCs w:val="22"/>
              </w:rPr>
            </w:pPr>
            <w:r w:rsidRPr="00A32C2B">
              <w:rPr>
                <w:b/>
                <w:bCs/>
                <w:sz w:val="22"/>
                <w:szCs w:val="22"/>
              </w:rPr>
              <w:t>Response</w:t>
            </w:r>
          </w:p>
        </w:tc>
        <w:tc>
          <w:tcPr>
            <w:tcW w:w="7150" w:type="dxa"/>
          </w:tcPr>
          <w:p w14:paraId="35287BBC" w14:textId="07EFE4C1" w:rsidR="00993058" w:rsidRPr="007A2BC8" w:rsidRDefault="00993058" w:rsidP="00993058">
            <w:pPr>
              <w:tabs>
                <w:tab w:val="left" w:pos="426"/>
              </w:tabs>
              <w:rPr>
                <w:sz w:val="22"/>
                <w:szCs w:val="22"/>
              </w:rPr>
            </w:pPr>
            <w:r w:rsidRPr="00A32C2B">
              <w:rPr>
                <w:b/>
                <w:bCs/>
                <w:sz w:val="22"/>
                <w:szCs w:val="22"/>
              </w:rPr>
              <w:t>Next steps</w:t>
            </w:r>
          </w:p>
        </w:tc>
        <w:tc>
          <w:tcPr>
            <w:tcW w:w="1836" w:type="dxa"/>
          </w:tcPr>
          <w:p w14:paraId="6D1FAEFD" w14:textId="19278533" w:rsidR="00993058" w:rsidRPr="007A2BC8" w:rsidRDefault="00993058" w:rsidP="00993058">
            <w:pPr>
              <w:tabs>
                <w:tab w:val="left" w:pos="426"/>
              </w:tabs>
              <w:rPr>
                <w:sz w:val="22"/>
                <w:szCs w:val="22"/>
              </w:rPr>
            </w:pPr>
            <w:r w:rsidRPr="00A32C2B">
              <w:rPr>
                <w:b/>
                <w:bCs/>
                <w:sz w:val="22"/>
                <w:szCs w:val="22"/>
              </w:rPr>
              <w:t>Timeframe</w:t>
            </w:r>
          </w:p>
        </w:tc>
      </w:tr>
      <w:tr w:rsidR="00993058" w:rsidRPr="007A2BC8" w14:paraId="21FCD60D" w14:textId="77777777" w:rsidTr="00993058">
        <w:tc>
          <w:tcPr>
            <w:tcW w:w="2901" w:type="dxa"/>
          </w:tcPr>
          <w:p w14:paraId="6762E5D2" w14:textId="7E9CC0CF" w:rsidR="00993058" w:rsidRPr="007A2BC8" w:rsidRDefault="00993058" w:rsidP="00993058">
            <w:pPr>
              <w:pStyle w:val="ListParagraph"/>
              <w:numPr>
                <w:ilvl w:val="0"/>
                <w:numId w:val="1"/>
              </w:numPr>
              <w:tabs>
                <w:tab w:val="left" w:pos="426"/>
              </w:tabs>
              <w:ind w:left="0" w:firstLine="0"/>
              <w:rPr>
                <w:sz w:val="22"/>
                <w:szCs w:val="22"/>
                <w:lang w:val="en-AU"/>
              </w:rPr>
            </w:pPr>
            <w:r w:rsidRPr="007A2BC8">
              <w:rPr>
                <w:bCs/>
                <w:sz w:val="22"/>
                <w:szCs w:val="22"/>
                <w:lang w:val="en-AU"/>
              </w:rPr>
              <w:t>Increase ASIPJ’s budget.</w:t>
            </w:r>
          </w:p>
        </w:tc>
        <w:tc>
          <w:tcPr>
            <w:tcW w:w="1959" w:type="dxa"/>
          </w:tcPr>
          <w:p w14:paraId="58178DD7" w14:textId="01C5BFBB" w:rsidR="00993058" w:rsidRPr="007A2BC8" w:rsidRDefault="00993058" w:rsidP="00993058">
            <w:pPr>
              <w:tabs>
                <w:tab w:val="left" w:pos="426"/>
                <w:tab w:val="left" w:pos="2205"/>
              </w:tabs>
              <w:rPr>
                <w:sz w:val="22"/>
                <w:szCs w:val="22"/>
              </w:rPr>
            </w:pPr>
            <w:r w:rsidRPr="007A2BC8">
              <w:rPr>
                <w:sz w:val="22"/>
                <w:szCs w:val="22"/>
              </w:rPr>
              <w:t>Note</w:t>
            </w:r>
          </w:p>
        </w:tc>
        <w:tc>
          <w:tcPr>
            <w:tcW w:w="7150" w:type="dxa"/>
          </w:tcPr>
          <w:p w14:paraId="1AA9682B" w14:textId="77777777" w:rsidR="00993058" w:rsidRDefault="00993058" w:rsidP="00993058">
            <w:pPr>
              <w:rPr>
                <w:sz w:val="22"/>
                <w:szCs w:val="22"/>
              </w:rPr>
            </w:pPr>
            <w:r w:rsidRPr="007A2BC8">
              <w:rPr>
                <w:sz w:val="22"/>
                <w:szCs w:val="22"/>
              </w:rPr>
              <w:t>Post notes the importance of continued investment in the law and justice sector. A budget increase to the law and justice program would be subject to Posts overall Overseas Development Assistance budget position, which is allocated in consultation with SIG according to its priorities</w:t>
            </w:r>
            <w:r>
              <w:rPr>
                <w:sz w:val="22"/>
                <w:szCs w:val="22"/>
              </w:rPr>
              <w:t xml:space="preserve"> and needs</w:t>
            </w:r>
            <w:r w:rsidRPr="007A2BC8">
              <w:rPr>
                <w:sz w:val="22"/>
                <w:szCs w:val="22"/>
              </w:rPr>
              <w:t xml:space="preserve">. </w:t>
            </w:r>
          </w:p>
          <w:p w14:paraId="700E0525" w14:textId="77777777" w:rsidR="00993058" w:rsidRDefault="00993058" w:rsidP="00993058">
            <w:pPr>
              <w:rPr>
                <w:sz w:val="22"/>
                <w:szCs w:val="22"/>
              </w:rPr>
            </w:pPr>
          </w:p>
          <w:p w14:paraId="64E8603D" w14:textId="77777777" w:rsidR="00993058" w:rsidRPr="007A2BC8" w:rsidRDefault="00993058" w:rsidP="00993058">
            <w:pPr>
              <w:rPr>
                <w:sz w:val="22"/>
                <w:szCs w:val="22"/>
              </w:rPr>
            </w:pPr>
            <w:r>
              <w:rPr>
                <w:sz w:val="22"/>
                <w:szCs w:val="22"/>
              </w:rPr>
              <w:t xml:space="preserve">Post will continue to identify options to </w:t>
            </w:r>
            <w:proofErr w:type="spellStart"/>
            <w:r>
              <w:rPr>
                <w:sz w:val="22"/>
                <w:szCs w:val="22"/>
              </w:rPr>
              <w:t>maximise</w:t>
            </w:r>
            <w:proofErr w:type="spellEnd"/>
            <w:r>
              <w:rPr>
                <w:sz w:val="22"/>
                <w:szCs w:val="22"/>
              </w:rPr>
              <w:t xml:space="preserve"> support to the sector including through Whole-of-Australian-Government assistance, regional programs and pro bono partnerships. </w:t>
            </w:r>
          </w:p>
        </w:tc>
        <w:tc>
          <w:tcPr>
            <w:tcW w:w="1836" w:type="dxa"/>
          </w:tcPr>
          <w:p w14:paraId="41C0F17B" w14:textId="77777777" w:rsidR="00993058" w:rsidRPr="007A2BC8" w:rsidRDefault="00993058" w:rsidP="00993058">
            <w:pPr>
              <w:tabs>
                <w:tab w:val="left" w:pos="426"/>
              </w:tabs>
              <w:rPr>
                <w:sz w:val="22"/>
                <w:szCs w:val="22"/>
              </w:rPr>
            </w:pPr>
            <w:r w:rsidRPr="007A2BC8">
              <w:rPr>
                <w:sz w:val="22"/>
                <w:szCs w:val="22"/>
              </w:rPr>
              <w:t>2025-26</w:t>
            </w:r>
          </w:p>
        </w:tc>
      </w:tr>
      <w:tr w:rsidR="00993058" w:rsidRPr="00590772" w14:paraId="4256665C" w14:textId="77777777" w:rsidTr="00993058">
        <w:tc>
          <w:tcPr>
            <w:tcW w:w="2901" w:type="dxa"/>
          </w:tcPr>
          <w:p w14:paraId="1FE30652" w14:textId="5E9DC7F3" w:rsidR="00993058" w:rsidRPr="00590772" w:rsidRDefault="00993058" w:rsidP="00993058">
            <w:pPr>
              <w:pStyle w:val="ListParagraph"/>
              <w:numPr>
                <w:ilvl w:val="0"/>
                <w:numId w:val="1"/>
              </w:numPr>
              <w:tabs>
                <w:tab w:val="left" w:pos="426"/>
              </w:tabs>
              <w:ind w:left="0" w:firstLine="0"/>
              <w:rPr>
                <w:sz w:val="22"/>
                <w:szCs w:val="22"/>
                <w:lang w:val="en-AU"/>
              </w:rPr>
            </w:pPr>
            <w:r w:rsidRPr="00590772">
              <w:rPr>
                <w:bCs/>
                <w:sz w:val="22"/>
                <w:szCs w:val="22"/>
                <w:lang w:val="en-AU"/>
              </w:rPr>
              <w:t>Develop an infrastructure and equipment strategy for ASIPJ.</w:t>
            </w:r>
          </w:p>
        </w:tc>
        <w:tc>
          <w:tcPr>
            <w:tcW w:w="1959" w:type="dxa"/>
          </w:tcPr>
          <w:p w14:paraId="637648A3" w14:textId="77777777" w:rsidR="00993058" w:rsidRPr="00590772" w:rsidRDefault="00993058" w:rsidP="00993058">
            <w:pPr>
              <w:tabs>
                <w:tab w:val="left" w:pos="426"/>
              </w:tabs>
              <w:rPr>
                <w:sz w:val="22"/>
                <w:szCs w:val="22"/>
              </w:rPr>
            </w:pPr>
            <w:r>
              <w:rPr>
                <w:sz w:val="22"/>
                <w:szCs w:val="22"/>
              </w:rPr>
              <w:t xml:space="preserve">Agree in principle </w:t>
            </w:r>
          </w:p>
        </w:tc>
        <w:tc>
          <w:tcPr>
            <w:tcW w:w="7150" w:type="dxa"/>
          </w:tcPr>
          <w:p w14:paraId="4BCD6EAE" w14:textId="77777777" w:rsidR="00993058" w:rsidRPr="00590772" w:rsidRDefault="00993058" w:rsidP="00993058">
            <w:pPr>
              <w:rPr>
                <w:sz w:val="22"/>
                <w:szCs w:val="22"/>
              </w:rPr>
            </w:pPr>
            <w:r w:rsidRPr="00590772">
              <w:rPr>
                <w:sz w:val="22"/>
                <w:szCs w:val="22"/>
              </w:rPr>
              <w:t xml:space="preserve">Post will work with ASIPJ to develop </w:t>
            </w:r>
            <w:proofErr w:type="gramStart"/>
            <w:r w:rsidRPr="00590772">
              <w:rPr>
                <w:sz w:val="22"/>
                <w:szCs w:val="22"/>
              </w:rPr>
              <w:t xml:space="preserve">an </w:t>
            </w:r>
            <w:r>
              <w:rPr>
                <w:sz w:val="22"/>
                <w:szCs w:val="22"/>
              </w:rPr>
              <w:t>a</w:t>
            </w:r>
            <w:proofErr w:type="gramEnd"/>
            <w:r>
              <w:rPr>
                <w:sz w:val="22"/>
                <w:szCs w:val="22"/>
              </w:rPr>
              <w:t xml:space="preserve"> pipeline of small-scale </w:t>
            </w:r>
            <w:r w:rsidRPr="00590772">
              <w:rPr>
                <w:sz w:val="22"/>
                <w:szCs w:val="22"/>
              </w:rPr>
              <w:t>infrastructure and equipment</w:t>
            </w:r>
            <w:r>
              <w:rPr>
                <w:sz w:val="22"/>
                <w:szCs w:val="22"/>
              </w:rPr>
              <w:t xml:space="preserve"> required by the sector, </w:t>
            </w:r>
            <w:proofErr w:type="gramStart"/>
            <w:r w:rsidRPr="00590772">
              <w:rPr>
                <w:sz w:val="22"/>
                <w:szCs w:val="22"/>
              </w:rPr>
              <w:t>in order to</w:t>
            </w:r>
            <w:proofErr w:type="gramEnd"/>
            <w:r w:rsidRPr="00590772">
              <w:rPr>
                <w:sz w:val="22"/>
                <w:szCs w:val="22"/>
              </w:rPr>
              <w:t xml:space="preserve"> </w:t>
            </w:r>
            <w:proofErr w:type="spellStart"/>
            <w:r w:rsidRPr="00590772">
              <w:rPr>
                <w:sz w:val="22"/>
                <w:szCs w:val="22"/>
              </w:rPr>
              <w:t>prioritise</w:t>
            </w:r>
            <w:proofErr w:type="spellEnd"/>
            <w:r w:rsidRPr="00590772">
              <w:rPr>
                <w:sz w:val="22"/>
                <w:szCs w:val="22"/>
              </w:rPr>
              <w:t xml:space="preserve"> requests.  </w:t>
            </w:r>
          </w:p>
          <w:p w14:paraId="231BDE68" w14:textId="77777777" w:rsidR="00993058" w:rsidRDefault="00993058" w:rsidP="00993058">
            <w:pPr>
              <w:rPr>
                <w:sz w:val="22"/>
                <w:szCs w:val="22"/>
                <w:lang w:val="en-AU"/>
              </w:rPr>
            </w:pPr>
          </w:p>
          <w:p w14:paraId="7F300369" w14:textId="77777777" w:rsidR="00993058" w:rsidRPr="00590772" w:rsidRDefault="00993058" w:rsidP="00993058">
            <w:pPr>
              <w:rPr>
                <w:sz w:val="22"/>
                <w:szCs w:val="22"/>
                <w:lang w:val="en-AU"/>
              </w:rPr>
            </w:pPr>
            <w:r>
              <w:rPr>
                <w:sz w:val="22"/>
                <w:szCs w:val="22"/>
                <w:lang w:val="en-AU"/>
              </w:rPr>
              <w:t>Large scale infrastructure and equipment requests are beyond the scope of the current program.</w:t>
            </w:r>
          </w:p>
        </w:tc>
        <w:tc>
          <w:tcPr>
            <w:tcW w:w="1836" w:type="dxa"/>
          </w:tcPr>
          <w:p w14:paraId="6FFFC5DB" w14:textId="77777777" w:rsidR="00993058" w:rsidRPr="00590772" w:rsidRDefault="00993058" w:rsidP="00993058">
            <w:pPr>
              <w:tabs>
                <w:tab w:val="left" w:pos="426"/>
              </w:tabs>
              <w:rPr>
                <w:sz w:val="22"/>
                <w:szCs w:val="22"/>
              </w:rPr>
            </w:pPr>
            <w:r w:rsidRPr="00590772">
              <w:rPr>
                <w:sz w:val="22"/>
                <w:szCs w:val="22"/>
              </w:rPr>
              <w:t>Next program phase (2026-2029)</w:t>
            </w:r>
          </w:p>
        </w:tc>
      </w:tr>
    </w:tbl>
    <w:p w14:paraId="5D9F299D" w14:textId="77777777" w:rsidR="00993058" w:rsidRDefault="00993058" w:rsidP="00027C6A">
      <w:pPr>
        <w:pStyle w:val="Heading2"/>
      </w:pPr>
      <w:r w:rsidRPr="006A1D37">
        <w:t>First Nations Participation and Engagement</w:t>
      </w:r>
    </w:p>
    <w:tbl>
      <w:tblPr>
        <w:tblStyle w:val="TableGrid"/>
        <w:tblW w:w="0" w:type="auto"/>
        <w:tblLook w:val="04A0" w:firstRow="1" w:lastRow="0" w:firstColumn="1" w:lastColumn="0" w:noHBand="0" w:noVBand="1"/>
      </w:tblPr>
      <w:tblGrid>
        <w:gridCol w:w="2901"/>
        <w:gridCol w:w="1914"/>
        <w:gridCol w:w="7229"/>
        <w:gridCol w:w="1843"/>
      </w:tblGrid>
      <w:tr w:rsidR="00993058" w14:paraId="0BCD9B42" w14:textId="77777777" w:rsidTr="00356B17">
        <w:trPr>
          <w:tblHeader/>
        </w:trPr>
        <w:tc>
          <w:tcPr>
            <w:tcW w:w="2901" w:type="dxa"/>
          </w:tcPr>
          <w:p w14:paraId="3E0C41FA" w14:textId="77777777" w:rsidR="00993058" w:rsidRPr="00993058" w:rsidRDefault="00993058" w:rsidP="00356B17">
            <w:pPr>
              <w:tabs>
                <w:tab w:val="left" w:pos="426"/>
              </w:tabs>
              <w:rPr>
                <w:bCs/>
                <w:sz w:val="22"/>
                <w:szCs w:val="22"/>
              </w:rPr>
            </w:pPr>
            <w:r w:rsidRPr="00A32C2B">
              <w:rPr>
                <w:b/>
                <w:bCs/>
                <w:sz w:val="22"/>
                <w:szCs w:val="22"/>
              </w:rPr>
              <w:t>Recommendation</w:t>
            </w:r>
          </w:p>
        </w:tc>
        <w:tc>
          <w:tcPr>
            <w:tcW w:w="1914" w:type="dxa"/>
          </w:tcPr>
          <w:p w14:paraId="774BFAC5" w14:textId="77777777" w:rsidR="00993058" w:rsidRDefault="00993058" w:rsidP="00356B17">
            <w:pPr>
              <w:tabs>
                <w:tab w:val="left" w:pos="426"/>
              </w:tabs>
              <w:rPr>
                <w:sz w:val="22"/>
                <w:szCs w:val="22"/>
              </w:rPr>
            </w:pPr>
            <w:r w:rsidRPr="00A32C2B">
              <w:rPr>
                <w:b/>
                <w:bCs/>
                <w:sz w:val="22"/>
                <w:szCs w:val="22"/>
              </w:rPr>
              <w:t>Response</w:t>
            </w:r>
          </w:p>
        </w:tc>
        <w:tc>
          <w:tcPr>
            <w:tcW w:w="7229" w:type="dxa"/>
          </w:tcPr>
          <w:p w14:paraId="38E0476F" w14:textId="77777777" w:rsidR="00993058" w:rsidRDefault="00993058" w:rsidP="00356B17">
            <w:pPr>
              <w:tabs>
                <w:tab w:val="left" w:pos="426"/>
              </w:tabs>
              <w:rPr>
                <w:sz w:val="22"/>
                <w:szCs w:val="22"/>
              </w:rPr>
            </w:pPr>
            <w:r w:rsidRPr="00A32C2B">
              <w:rPr>
                <w:b/>
                <w:bCs/>
                <w:sz w:val="22"/>
                <w:szCs w:val="22"/>
              </w:rPr>
              <w:t>Next steps</w:t>
            </w:r>
          </w:p>
        </w:tc>
        <w:tc>
          <w:tcPr>
            <w:tcW w:w="1843" w:type="dxa"/>
          </w:tcPr>
          <w:p w14:paraId="0F214E82" w14:textId="77777777" w:rsidR="00993058" w:rsidRDefault="00993058" w:rsidP="00356B17">
            <w:pPr>
              <w:tabs>
                <w:tab w:val="left" w:pos="426"/>
              </w:tabs>
              <w:rPr>
                <w:sz w:val="22"/>
                <w:szCs w:val="22"/>
              </w:rPr>
            </w:pPr>
            <w:r w:rsidRPr="00A32C2B">
              <w:rPr>
                <w:b/>
                <w:bCs/>
                <w:sz w:val="22"/>
                <w:szCs w:val="22"/>
              </w:rPr>
              <w:t>Timeframe</w:t>
            </w:r>
          </w:p>
        </w:tc>
      </w:tr>
      <w:tr w:rsidR="00993058" w14:paraId="3EA8AA7C" w14:textId="77777777" w:rsidTr="00356B17">
        <w:tc>
          <w:tcPr>
            <w:tcW w:w="2901" w:type="dxa"/>
          </w:tcPr>
          <w:p w14:paraId="69C9F822" w14:textId="77777777" w:rsidR="00993058" w:rsidRPr="00BD2B6E" w:rsidRDefault="00993058" w:rsidP="00356B17">
            <w:pPr>
              <w:pStyle w:val="ListParagraph"/>
              <w:numPr>
                <w:ilvl w:val="0"/>
                <w:numId w:val="1"/>
              </w:numPr>
              <w:tabs>
                <w:tab w:val="left" w:pos="426"/>
              </w:tabs>
              <w:ind w:left="0" w:firstLine="0"/>
              <w:rPr>
                <w:sz w:val="22"/>
                <w:szCs w:val="22"/>
                <w:lang w:val="en-AU"/>
              </w:rPr>
            </w:pPr>
            <w:r w:rsidRPr="0047574D">
              <w:rPr>
                <w:bCs/>
                <w:sz w:val="22"/>
                <w:szCs w:val="22"/>
                <w:lang w:val="en-AU"/>
              </w:rPr>
              <w:t>Increase links with community legal centres in Australia.</w:t>
            </w:r>
          </w:p>
        </w:tc>
        <w:tc>
          <w:tcPr>
            <w:tcW w:w="1914" w:type="dxa"/>
          </w:tcPr>
          <w:p w14:paraId="0441234C" w14:textId="77777777" w:rsidR="00993058" w:rsidRDefault="00993058" w:rsidP="00356B17">
            <w:pPr>
              <w:tabs>
                <w:tab w:val="left" w:pos="426"/>
              </w:tabs>
              <w:rPr>
                <w:sz w:val="22"/>
                <w:szCs w:val="22"/>
              </w:rPr>
            </w:pPr>
            <w:r>
              <w:rPr>
                <w:sz w:val="22"/>
                <w:szCs w:val="22"/>
              </w:rPr>
              <w:t>Agree</w:t>
            </w:r>
          </w:p>
        </w:tc>
        <w:tc>
          <w:tcPr>
            <w:tcW w:w="7229" w:type="dxa"/>
          </w:tcPr>
          <w:p w14:paraId="51F3C026" w14:textId="77777777" w:rsidR="00993058" w:rsidRPr="00A32C2B" w:rsidRDefault="00993058" w:rsidP="00356B17">
            <w:pPr>
              <w:rPr>
                <w:sz w:val="22"/>
                <w:szCs w:val="22"/>
              </w:rPr>
            </w:pPr>
            <w:r>
              <w:rPr>
                <w:sz w:val="22"/>
                <w:szCs w:val="22"/>
                <w:lang w:val="en-AU"/>
              </w:rPr>
              <w:t xml:space="preserve">Per response in relation to recommendation 7, work has commenced to establish linkages with the Ministry of Justice and Legal Affairs (MJLA) and Community Legal Centres Australia. In May 2025 ASIPJ supported meetings between MJLA and the </w:t>
            </w:r>
            <w:r w:rsidRPr="00495211">
              <w:rPr>
                <w:sz w:val="22"/>
                <w:szCs w:val="22"/>
                <w:lang w:val="en-AU"/>
              </w:rPr>
              <w:t xml:space="preserve">Inala Community Legal Centre and the Women in Law Queensland. </w:t>
            </w:r>
            <w:r>
              <w:rPr>
                <w:sz w:val="22"/>
                <w:szCs w:val="22"/>
                <w:lang w:val="en-AU"/>
              </w:rPr>
              <w:t xml:space="preserve">SIG is currently considering the </w:t>
            </w:r>
            <w:r w:rsidRPr="00495211">
              <w:rPr>
                <w:sz w:val="22"/>
                <w:szCs w:val="22"/>
                <w:lang w:val="en-AU"/>
              </w:rPr>
              <w:t xml:space="preserve">establishment of a Community Legal Centre </w:t>
            </w:r>
            <w:r>
              <w:rPr>
                <w:sz w:val="22"/>
                <w:szCs w:val="22"/>
                <w:lang w:val="en-AU"/>
              </w:rPr>
              <w:t xml:space="preserve">to be run by the SIWLA </w:t>
            </w:r>
            <w:r w:rsidRPr="00495211">
              <w:rPr>
                <w:sz w:val="22"/>
                <w:szCs w:val="22"/>
                <w:lang w:val="en-AU"/>
              </w:rPr>
              <w:t xml:space="preserve">for women to access justice services. </w:t>
            </w:r>
            <w:r>
              <w:rPr>
                <w:sz w:val="22"/>
                <w:szCs w:val="22"/>
                <w:lang w:val="en-AU"/>
              </w:rPr>
              <w:t>Post and ASIPJ will continue to increase links with community legal centres in Australia, with a focus on First Nations exchange, including to explore support for reciprocal in-person visits and online engagement.</w:t>
            </w:r>
          </w:p>
        </w:tc>
        <w:tc>
          <w:tcPr>
            <w:tcW w:w="1843" w:type="dxa"/>
          </w:tcPr>
          <w:p w14:paraId="0F1F4BB9" w14:textId="77777777" w:rsidR="00993058" w:rsidRDefault="00993058" w:rsidP="00356B17">
            <w:pPr>
              <w:tabs>
                <w:tab w:val="left" w:pos="426"/>
              </w:tabs>
              <w:rPr>
                <w:sz w:val="22"/>
                <w:szCs w:val="22"/>
              </w:rPr>
            </w:pPr>
            <w:r>
              <w:rPr>
                <w:sz w:val="22"/>
                <w:szCs w:val="22"/>
              </w:rPr>
              <w:t>Ongoing</w:t>
            </w:r>
          </w:p>
        </w:tc>
      </w:tr>
    </w:tbl>
    <w:p w14:paraId="6ED78DA6" w14:textId="77777777" w:rsidR="00993058" w:rsidRDefault="00993058" w:rsidP="00993058"/>
    <w:sectPr w:rsidR="00993058" w:rsidSect="009930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C8EB" w14:textId="77777777" w:rsidR="003943E5" w:rsidRDefault="003943E5" w:rsidP="003943E5">
      <w:pPr>
        <w:spacing w:after="0" w:line="240" w:lineRule="auto"/>
      </w:pPr>
      <w:r>
        <w:separator/>
      </w:r>
    </w:p>
  </w:endnote>
  <w:endnote w:type="continuationSeparator" w:id="0">
    <w:p w14:paraId="65CA5907" w14:textId="77777777" w:rsidR="003943E5" w:rsidRDefault="003943E5" w:rsidP="0039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57DB" w14:textId="77777777" w:rsidR="003943E5" w:rsidRDefault="003943E5" w:rsidP="003943E5">
      <w:pPr>
        <w:spacing w:after="0" w:line="240" w:lineRule="auto"/>
      </w:pPr>
      <w:r>
        <w:separator/>
      </w:r>
    </w:p>
  </w:footnote>
  <w:footnote w:type="continuationSeparator" w:id="0">
    <w:p w14:paraId="4356BA17" w14:textId="77777777" w:rsidR="003943E5" w:rsidRDefault="003943E5" w:rsidP="00394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741B9"/>
    <w:multiLevelType w:val="hybridMultilevel"/>
    <w:tmpl w:val="0E3EBD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6655A0"/>
    <w:multiLevelType w:val="hybridMultilevel"/>
    <w:tmpl w:val="0E3EBD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BF4E7A"/>
    <w:multiLevelType w:val="hybridMultilevel"/>
    <w:tmpl w:val="0E3EBD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6474C5"/>
    <w:multiLevelType w:val="hybridMultilevel"/>
    <w:tmpl w:val="0E3EBD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860BDD"/>
    <w:multiLevelType w:val="hybridMultilevel"/>
    <w:tmpl w:val="0E3EBD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CC5745"/>
    <w:multiLevelType w:val="hybridMultilevel"/>
    <w:tmpl w:val="77429882"/>
    <w:lvl w:ilvl="0" w:tplc="000653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698633">
    <w:abstractNumId w:val="5"/>
  </w:num>
  <w:num w:numId="2" w16cid:durableId="2114520165">
    <w:abstractNumId w:val="3"/>
  </w:num>
  <w:num w:numId="3" w16cid:durableId="508326383">
    <w:abstractNumId w:val="0"/>
  </w:num>
  <w:num w:numId="4" w16cid:durableId="1984238254">
    <w:abstractNumId w:val="2"/>
  </w:num>
  <w:num w:numId="5" w16cid:durableId="1062143047">
    <w:abstractNumId w:val="4"/>
  </w:num>
  <w:num w:numId="6" w16cid:durableId="29040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58"/>
    <w:rsid w:val="00027C6A"/>
    <w:rsid w:val="003943E5"/>
    <w:rsid w:val="003F2FAC"/>
    <w:rsid w:val="005D7EC4"/>
    <w:rsid w:val="00697C75"/>
    <w:rsid w:val="007C6B33"/>
    <w:rsid w:val="007F3D4B"/>
    <w:rsid w:val="00993058"/>
    <w:rsid w:val="00B6119C"/>
    <w:rsid w:val="00DE5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8B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C6A"/>
    <w:pPr>
      <w:keepNext/>
      <w:keepLines/>
      <w:spacing w:before="360" w:after="80"/>
      <w:outlineLvl w:val="0"/>
    </w:pPr>
    <w:rPr>
      <w:rFonts w:eastAsiaTheme="majorEastAsia"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027C6A"/>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C6A"/>
    <w:rPr>
      <w:rFonts w:eastAsiaTheme="majorEastAsia" w:cstheme="majorBidi"/>
      <w:b/>
      <w:bCs/>
      <w:color w:val="0F4761" w:themeColor="accent1" w:themeShade="BF"/>
      <w:sz w:val="40"/>
      <w:szCs w:val="40"/>
    </w:rPr>
  </w:style>
  <w:style w:type="character" w:customStyle="1" w:styleId="Heading2Char">
    <w:name w:val="Heading 2 Char"/>
    <w:basedOn w:val="DefaultParagraphFont"/>
    <w:link w:val="Heading2"/>
    <w:uiPriority w:val="9"/>
    <w:rsid w:val="00027C6A"/>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058"/>
    <w:rPr>
      <w:rFonts w:eastAsiaTheme="majorEastAsia" w:cstheme="majorBidi"/>
      <w:color w:val="272727" w:themeColor="text1" w:themeTint="D8"/>
    </w:rPr>
  </w:style>
  <w:style w:type="paragraph" w:styleId="Title">
    <w:name w:val="Title"/>
    <w:basedOn w:val="Normal"/>
    <w:next w:val="Normal"/>
    <w:link w:val="TitleChar"/>
    <w:uiPriority w:val="10"/>
    <w:qFormat/>
    <w:rsid w:val="00993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058"/>
    <w:pPr>
      <w:spacing w:before="160"/>
      <w:jc w:val="center"/>
    </w:pPr>
    <w:rPr>
      <w:i/>
      <w:iCs/>
      <w:color w:val="404040" w:themeColor="text1" w:themeTint="BF"/>
    </w:rPr>
  </w:style>
  <w:style w:type="character" w:customStyle="1" w:styleId="QuoteChar">
    <w:name w:val="Quote Char"/>
    <w:basedOn w:val="DefaultParagraphFont"/>
    <w:link w:val="Quote"/>
    <w:uiPriority w:val="29"/>
    <w:rsid w:val="00993058"/>
    <w:rPr>
      <w:i/>
      <w:iCs/>
      <w:color w:val="404040" w:themeColor="text1" w:themeTint="BF"/>
    </w:rPr>
  </w:style>
  <w:style w:type="paragraph" w:styleId="ListParagraph">
    <w:name w:val="List Paragraph"/>
    <w:basedOn w:val="Normal"/>
    <w:uiPriority w:val="34"/>
    <w:qFormat/>
    <w:rsid w:val="00993058"/>
    <w:pPr>
      <w:ind w:left="720"/>
      <w:contextualSpacing/>
    </w:pPr>
  </w:style>
  <w:style w:type="character" w:styleId="IntenseEmphasis">
    <w:name w:val="Intense Emphasis"/>
    <w:basedOn w:val="DefaultParagraphFont"/>
    <w:uiPriority w:val="21"/>
    <w:qFormat/>
    <w:rsid w:val="00993058"/>
    <w:rPr>
      <w:i/>
      <w:iCs/>
      <w:color w:val="0F4761" w:themeColor="accent1" w:themeShade="BF"/>
    </w:rPr>
  </w:style>
  <w:style w:type="paragraph" w:styleId="IntenseQuote">
    <w:name w:val="Intense Quote"/>
    <w:basedOn w:val="Normal"/>
    <w:next w:val="Normal"/>
    <w:link w:val="IntenseQuoteChar"/>
    <w:uiPriority w:val="30"/>
    <w:qFormat/>
    <w:rsid w:val="00993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058"/>
    <w:rPr>
      <w:i/>
      <w:iCs/>
      <w:color w:val="0F4761" w:themeColor="accent1" w:themeShade="BF"/>
    </w:rPr>
  </w:style>
  <w:style w:type="character" w:styleId="IntenseReference">
    <w:name w:val="Intense Reference"/>
    <w:basedOn w:val="DefaultParagraphFont"/>
    <w:uiPriority w:val="32"/>
    <w:qFormat/>
    <w:rsid w:val="00993058"/>
    <w:rPr>
      <w:b/>
      <w:bCs/>
      <w:smallCaps/>
      <w:color w:val="0F4761" w:themeColor="accent1" w:themeShade="BF"/>
      <w:spacing w:val="5"/>
    </w:rPr>
  </w:style>
  <w:style w:type="paragraph" w:styleId="Header">
    <w:name w:val="header"/>
    <w:basedOn w:val="Normal"/>
    <w:link w:val="HeaderChar"/>
    <w:uiPriority w:val="99"/>
    <w:unhideWhenUsed/>
    <w:rsid w:val="0099305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93058"/>
    <w:rPr>
      <w:lang w:val="en-US"/>
    </w:rPr>
  </w:style>
  <w:style w:type="table" w:styleId="TableGrid">
    <w:name w:val="Table Grid"/>
    <w:basedOn w:val="TableNormal"/>
    <w:uiPriority w:val="39"/>
    <w:rsid w:val="009930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7706</Characters>
  <Application>Microsoft Office Word</Application>
  <DocSecurity>0</DocSecurity>
  <Lines>256</Lines>
  <Paragraphs>127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Australia Solomon Islands Partnership for Justice Mid-Term Review – May 2026</dc:title>
  <dc:subject/>
  <dc:creator/>
  <cp:keywords>[SEC=OFFICIAL]</cp:keywords>
  <dc:description/>
  <cp:lastModifiedBy/>
  <cp:revision>1</cp:revision>
  <dcterms:created xsi:type="dcterms:W3CDTF">2025-07-03T02:28:00Z</dcterms:created>
  <dcterms:modified xsi:type="dcterms:W3CDTF">2025-07-03T02:30:00Z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v=2022.1;a=SHA256;h=519A522BA49E898F1F515B183D01555BA815B81B702FE4D73756F19F95C1FCF5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2025-07-03T02:23:52Z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53F4783E6739478786EF0BF3CA6543EF</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74C60DF5FBC625C5802CCCF85A9235DA</vt:lpwstr>
  </property>
  <property fmtid="{D5CDD505-2E9C-101B-9397-08002B2CF9AE}" pid="24" name="PM_Hash_Salt">
    <vt:lpwstr>82F65F77E5178C8E058C7183859D606B</vt:lpwstr>
  </property>
  <property fmtid="{D5CDD505-2E9C-101B-9397-08002B2CF9AE}" pid="25" name="PM_Hash_SHA1">
    <vt:lpwstr>0123DD7571CBC85A7C80C87D23EEA069678717FE</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ies>
</file>