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1244" w14:textId="7E26EC15" w:rsidR="00B573B1" w:rsidRPr="00421B87" w:rsidRDefault="00B573B1" w:rsidP="00DE3AB8">
      <w:pPr>
        <w:pStyle w:val="Title"/>
        <w:pBdr>
          <w:bottom w:val="single" w:sz="4" w:space="4" w:color="auto"/>
        </w:pBdr>
        <w:spacing w:before="3000" w:after="240" w:line="240" w:lineRule="atLeast"/>
        <w:jc w:val="center"/>
        <w:rPr>
          <w:rFonts w:asciiTheme="minorHAnsi" w:hAnsiTheme="minorHAnsi" w:cstheme="minorHAnsi"/>
          <w:sz w:val="40"/>
          <w:szCs w:val="40"/>
        </w:rPr>
      </w:pPr>
      <w:r w:rsidRPr="00B573B1">
        <w:rPr>
          <w:rFonts w:asciiTheme="minorHAnsi" w:hAnsiTheme="minorHAnsi" w:cstheme="minorHAnsi"/>
          <w:sz w:val="44"/>
          <w:szCs w:val="44"/>
        </w:rPr>
        <w:t>Australia Solomon Islands Partnership for Justice</w:t>
      </w:r>
      <w:r w:rsidR="00DE3AB8">
        <w:rPr>
          <w:rFonts w:asciiTheme="minorHAnsi" w:hAnsiTheme="minorHAnsi" w:cstheme="minorHAnsi"/>
          <w:sz w:val="44"/>
          <w:szCs w:val="44"/>
        </w:rPr>
        <w:t xml:space="preserve"> </w:t>
      </w:r>
      <w:r>
        <w:rPr>
          <w:rFonts w:asciiTheme="minorHAnsi" w:hAnsiTheme="minorHAnsi" w:cstheme="minorHAnsi"/>
          <w:sz w:val="40"/>
          <w:szCs w:val="40"/>
        </w:rPr>
        <w:t>Mid-Term Review</w:t>
      </w:r>
    </w:p>
    <w:p w14:paraId="7C92FAFF" w14:textId="1FF9796A" w:rsidR="00B573B1" w:rsidRDefault="00B573B1" w:rsidP="000E5B87">
      <w:pPr>
        <w:jc w:val="center"/>
        <w:rPr>
          <w:rFonts w:eastAsia="Times New Roman" w:cs="Arial"/>
          <w:b/>
          <w:lang w:eastAsia="en-AU"/>
        </w:rPr>
      </w:pPr>
      <w:r>
        <w:rPr>
          <w:rFonts w:cstheme="minorHAnsi"/>
          <w:color w:val="44546A" w:themeColor="text2"/>
          <w:sz w:val="36"/>
          <w:szCs w:val="36"/>
        </w:rPr>
        <w:t>February – May 2025</w:t>
      </w:r>
    </w:p>
    <w:p w14:paraId="69C96B07" w14:textId="7064ED4B" w:rsidR="000A14B6" w:rsidRDefault="000A14B6">
      <w:pPr>
        <w:rPr>
          <w:rFonts w:eastAsia="Times New Roman" w:cs="Arial"/>
          <w:b/>
          <w:lang w:eastAsia="en-AU"/>
        </w:rPr>
      </w:pPr>
      <w:r>
        <w:rPr>
          <w:rFonts w:eastAsia="Times New Roman" w:cs="Arial"/>
          <w:b/>
          <w:lang w:eastAsia="en-AU"/>
        </w:rPr>
        <w:br w:type="page"/>
      </w:r>
    </w:p>
    <w:sdt>
      <w:sdtPr>
        <w:rPr>
          <w:rFonts w:asciiTheme="minorHAnsi" w:eastAsiaTheme="minorHAnsi" w:hAnsiTheme="minorHAnsi" w:cstheme="minorBidi"/>
          <w:color w:val="auto"/>
          <w:kern w:val="2"/>
          <w:sz w:val="22"/>
          <w:szCs w:val="22"/>
          <w:lang w:val="en-AU"/>
          <w14:ligatures w14:val="standardContextual"/>
        </w:rPr>
        <w:id w:val="-937668107"/>
        <w:docPartObj>
          <w:docPartGallery w:val="Table of Contents"/>
          <w:docPartUnique/>
        </w:docPartObj>
      </w:sdtPr>
      <w:sdtEndPr>
        <w:rPr>
          <w:b/>
          <w:bCs/>
          <w:noProof/>
        </w:rPr>
      </w:sdtEndPr>
      <w:sdtContent>
        <w:p w14:paraId="0C2E3C0E" w14:textId="7F673BAF" w:rsidR="000A14B6" w:rsidRDefault="000A14B6">
          <w:pPr>
            <w:pStyle w:val="TOCHeading"/>
          </w:pPr>
          <w:r>
            <w:t>Table of Contents</w:t>
          </w:r>
        </w:p>
        <w:p w14:paraId="1A4A0FA2" w14:textId="39295542" w:rsidR="00ED39A7" w:rsidRDefault="007B4B27">
          <w:pPr>
            <w:pStyle w:val="TOC1"/>
            <w:tabs>
              <w:tab w:val="right" w:pos="9350"/>
            </w:tabs>
            <w:rPr>
              <w:rFonts w:eastAsiaTheme="minorEastAsia"/>
              <w:noProof/>
              <w:sz w:val="24"/>
              <w:szCs w:val="24"/>
              <w:lang w:eastAsia="en-AU"/>
            </w:rPr>
          </w:pPr>
          <w:r>
            <w:fldChar w:fldCharType="begin"/>
          </w:r>
          <w:r>
            <w:instrText xml:space="preserve"> TOC \o "1-2" \h \z \u </w:instrText>
          </w:r>
          <w:r>
            <w:fldChar w:fldCharType="separate"/>
          </w:r>
          <w:hyperlink w:anchor="_Toc197077510" w:history="1">
            <w:r w:rsidR="00ED39A7" w:rsidRPr="004D61BF">
              <w:rPr>
                <w:rStyle w:val="Hyperlink"/>
                <w:b/>
                <w:noProof/>
              </w:rPr>
              <w:t>ACKNOWLEDGEMENTS</w:t>
            </w:r>
            <w:r w:rsidR="00ED39A7">
              <w:rPr>
                <w:noProof/>
                <w:webHidden/>
              </w:rPr>
              <w:tab/>
            </w:r>
            <w:r w:rsidR="00ED39A7">
              <w:rPr>
                <w:noProof/>
                <w:webHidden/>
              </w:rPr>
              <w:fldChar w:fldCharType="begin"/>
            </w:r>
            <w:r w:rsidR="00ED39A7">
              <w:rPr>
                <w:noProof/>
                <w:webHidden/>
              </w:rPr>
              <w:instrText xml:space="preserve"> PAGEREF _Toc197077510 \h </w:instrText>
            </w:r>
            <w:r w:rsidR="00ED39A7">
              <w:rPr>
                <w:noProof/>
                <w:webHidden/>
              </w:rPr>
            </w:r>
            <w:r w:rsidR="00ED39A7">
              <w:rPr>
                <w:noProof/>
                <w:webHidden/>
              </w:rPr>
              <w:fldChar w:fldCharType="separate"/>
            </w:r>
            <w:r w:rsidR="00ED39A7">
              <w:rPr>
                <w:noProof/>
                <w:webHidden/>
              </w:rPr>
              <w:t>2</w:t>
            </w:r>
            <w:r w:rsidR="00ED39A7">
              <w:rPr>
                <w:noProof/>
                <w:webHidden/>
              </w:rPr>
              <w:fldChar w:fldCharType="end"/>
            </w:r>
          </w:hyperlink>
        </w:p>
        <w:p w14:paraId="26467725" w14:textId="022BDB1A" w:rsidR="00ED39A7" w:rsidRDefault="00ED39A7">
          <w:pPr>
            <w:pStyle w:val="TOC1"/>
            <w:tabs>
              <w:tab w:val="right" w:pos="9350"/>
            </w:tabs>
            <w:rPr>
              <w:rFonts w:eastAsiaTheme="minorEastAsia"/>
              <w:noProof/>
              <w:sz w:val="24"/>
              <w:szCs w:val="24"/>
              <w:lang w:eastAsia="en-AU"/>
            </w:rPr>
          </w:pPr>
          <w:hyperlink w:anchor="_Toc197077511" w:history="1">
            <w:r w:rsidRPr="004D61BF">
              <w:rPr>
                <w:rStyle w:val="Hyperlink"/>
                <w:b/>
                <w:noProof/>
              </w:rPr>
              <w:t>ACRONYMS AND ABBREVIATIONS</w:t>
            </w:r>
            <w:r>
              <w:rPr>
                <w:noProof/>
                <w:webHidden/>
              </w:rPr>
              <w:tab/>
            </w:r>
            <w:r>
              <w:rPr>
                <w:noProof/>
                <w:webHidden/>
              </w:rPr>
              <w:fldChar w:fldCharType="begin"/>
            </w:r>
            <w:r>
              <w:rPr>
                <w:noProof/>
                <w:webHidden/>
              </w:rPr>
              <w:instrText xml:space="preserve"> PAGEREF _Toc197077511 \h </w:instrText>
            </w:r>
            <w:r>
              <w:rPr>
                <w:noProof/>
                <w:webHidden/>
              </w:rPr>
            </w:r>
            <w:r>
              <w:rPr>
                <w:noProof/>
                <w:webHidden/>
              </w:rPr>
              <w:fldChar w:fldCharType="separate"/>
            </w:r>
            <w:r>
              <w:rPr>
                <w:noProof/>
                <w:webHidden/>
              </w:rPr>
              <w:t>3</w:t>
            </w:r>
            <w:r>
              <w:rPr>
                <w:noProof/>
                <w:webHidden/>
              </w:rPr>
              <w:fldChar w:fldCharType="end"/>
            </w:r>
          </w:hyperlink>
        </w:p>
        <w:p w14:paraId="7855903E" w14:textId="0E99A32F" w:rsidR="00ED39A7" w:rsidRDefault="00ED39A7">
          <w:pPr>
            <w:pStyle w:val="TOC1"/>
            <w:tabs>
              <w:tab w:val="right" w:pos="9350"/>
            </w:tabs>
            <w:rPr>
              <w:rFonts w:eastAsiaTheme="minorEastAsia"/>
              <w:noProof/>
              <w:sz w:val="24"/>
              <w:szCs w:val="24"/>
              <w:lang w:eastAsia="en-AU"/>
            </w:rPr>
          </w:pPr>
          <w:hyperlink w:anchor="_Toc197077512" w:history="1">
            <w:r w:rsidRPr="004D61BF">
              <w:rPr>
                <w:rStyle w:val="Hyperlink"/>
                <w:b/>
                <w:noProof/>
              </w:rPr>
              <w:t>EXECUTIVE SUMMARY</w:t>
            </w:r>
            <w:r>
              <w:rPr>
                <w:noProof/>
                <w:webHidden/>
              </w:rPr>
              <w:tab/>
            </w:r>
            <w:r>
              <w:rPr>
                <w:noProof/>
                <w:webHidden/>
              </w:rPr>
              <w:fldChar w:fldCharType="begin"/>
            </w:r>
            <w:r>
              <w:rPr>
                <w:noProof/>
                <w:webHidden/>
              </w:rPr>
              <w:instrText xml:space="preserve"> PAGEREF _Toc197077512 \h </w:instrText>
            </w:r>
            <w:r>
              <w:rPr>
                <w:noProof/>
                <w:webHidden/>
              </w:rPr>
            </w:r>
            <w:r>
              <w:rPr>
                <w:noProof/>
                <w:webHidden/>
              </w:rPr>
              <w:fldChar w:fldCharType="separate"/>
            </w:r>
            <w:r>
              <w:rPr>
                <w:noProof/>
                <w:webHidden/>
              </w:rPr>
              <w:t>4</w:t>
            </w:r>
            <w:r>
              <w:rPr>
                <w:noProof/>
                <w:webHidden/>
              </w:rPr>
              <w:fldChar w:fldCharType="end"/>
            </w:r>
          </w:hyperlink>
        </w:p>
        <w:p w14:paraId="058B9782" w14:textId="58DD96C6" w:rsidR="00ED39A7" w:rsidRDefault="00ED39A7">
          <w:pPr>
            <w:pStyle w:val="TOC1"/>
            <w:tabs>
              <w:tab w:val="right" w:pos="9350"/>
            </w:tabs>
            <w:rPr>
              <w:rFonts w:eastAsiaTheme="minorEastAsia"/>
              <w:noProof/>
              <w:sz w:val="24"/>
              <w:szCs w:val="24"/>
              <w:lang w:eastAsia="en-AU"/>
            </w:rPr>
          </w:pPr>
          <w:hyperlink w:anchor="_Toc197077513" w:history="1">
            <w:r w:rsidRPr="004D61BF">
              <w:rPr>
                <w:rStyle w:val="Hyperlink"/>
                <w:b/>
                <w:noProof/>
              </w:rPr>
              <w:t>INTRODUCTION</w:t>
            </w:r>
            <w:r>
              <w:rPr>
                <w:noProof/>
                <w:webHidden/>
              </w:rPr>
              <w:tab/>
            </w:r>
            <w:r>
              <w:rPr>
                <w:noProof/>
                <w:webHidden/>
              </w:rPr>
              <w:fldChar w:fldCharType="begin"/>
            </w:r>
            <w:r>
              <w:rPr>
                <w:noProof/>
                <w:webHidden/>
              </w:rPr>
              <w:instrText xml:space="preserve"> PAGEREF _Toc197077513 \h </w:instrText>
            </w:r>
            <w:r>
              <w:rPr>
                <w:noProof/>
                <w:webHidden/>
              </w:rPr>
            </w:r>
            <w:r>
              <w:rPr>
                <w:noProof/>
                <w:webHidden/>
              </w:rPr>
              <w:fldChar w:fldCharType="separate"/>
            </w:r>
            <w:r>
              <w:rPr>
                <w:noProof/>
                <w:webHidden/>
              </w:rPr>
              <w:t>7</w:t>
            </w:r>
            <w:r>
              <w:rPr>
                <w:noProof/>
                <w:webHidden/>
              </w:rPr>
              <w:fldChar w:fldCharType="end"/>
            </w:r>
          </w:hyperlink>
        </w:p>
        <w:p w14:paraId="574008CD" w14:textId="548EC872" w:rsidR="00ED39A7" w:rsidRDefault="00ED39A7">
          <w:pPr>
            <w:pStyle w:val="TOC2"/>
            <w:tabs>
              <w:tab w:val="right" w:pos="9350"/>
            </w:tabs>
            <w:rPr>
              <w:rFonts w:eastAsiaTheme="minorEastAsia"/>
              <w:noProof/>
              <w:sz w:val="24"/>
              <w:szCs w:val="24"/>
              <w:lang w:eastAsia="en-AU"/>
            </w:rPr>
          </w:pPr>
          <w:hyperlink w:anchor="_Toc197077514" w:history="1">
            <w:r w:rsidRPr="004D61BF">
              <w:rPr>
                <w:rStyle w:val="Hyperlink"/>
                <w:b/>
                <w:bCs/>
                <w:noProof/>
              </w:rPr>
              <w:t>About this document</w:t>
            </w:r>
            <w:r>
              <w:rPr>
                <w:noProof/>
                <w:webHidden/>
              </w:rPr>
              <w:tab/>
            </w:r>
            <w:r>
              <w:rPr>
                <w:noProof/>
                <w:webHidden/>
              </w:rPr>
              <w:fldChar w:fldCharType="begin"/>
            </w:r>
            <w:r>
              <w:rPr>
                <w:noProof/>
                <w:webHidden/>
              </w:rPr>
              <w:instrText xml:space="preserve"> PAGEREF _Toc197077514 \h </w:instrText>
            </w:r>
            <w:r>
              <w:rPr>
                <w:noProof/>
                <w:webHidden/>
              </w:rPr>
            </w:r>
            <w:r>
              <w:rPr>
                <w:noProof/>
                <w:webHidden/>
              </w:rPr>
              <w:fldChar w:fldCharType="separate"/>
            </w:r>
            <w:r>
              <w:rPr>
                <w:noProof/>
                <w:webHidden/>
              </w:rPr>
              <w:t>7</w:t>
            </w:r>
            <w:r>
              <w:rPr>
                <w:noProof/>
                <w:webHidden/>
              </w:rPr>
              <w:fldChar w:fldCharType="end"/>
            </w:r>
          </w:hyperlink>
        </w:p>
        <w:p w14:paraId="4E9E919D" w14:textId="69788F53" w:rsidR="00ED39A7" w:rsidRDefault="00ED39A7">
          <w:pPr>
            <w:pStyle w:val="TOC2"/>
            <w:tabs>
              <w:tab w:val="right" w:pos="9350"/>
            </w:tabs>
            <w:rPr>
              <w:rFonts w:eastAsiaTheme="minorEastAsia"/>
              <w:noProof/>
              <w:sz w:val="24"/>
              <w:szCs w:val="24"/>
              <w:lang w:eastAsia="en-AU"/>
            </w:rPr>
          </w:pPr>
          <w:hyperlink w:anchor="_Toc197077515" w:history="1">
            <w:r w:rsidRPr="004D61BF">
              <w:rPr>
                <w:rStyle w:val="Hyperlink"/>
                <w:b/>
                <w:bCs/>
                <w:noProof/>
              </w:rPr>
              <w:t>Background to the MTR</w:t>
            </w:r>
            <w:r>
              <w:rPr>
                <w:noProof/>
                <w:webHidden/>
              </w:rPr>
              <w:tab/>
            </w:r>
            <w:r>
              <w:rPr>
                <w:noProof/>
                <w:webHidden/>
              </w:rPr>
              <w:fldChar w:fldCharType="begin"/>
            </w:r>
            <w:r>
              <w:rPr>
                <w:noProof/>
                <w:webHidden/>
              </w:rPr>
              <w:instrText xml:space="preserve"> PAGEREF _Toc197077515 \h </w:instrText>
            </w:r>
            <w:r>
              <w:rPr>
                <w:noProof/>
                <w:webHidden/>
              </w:rPr>
            </w:r>
            <w:r>
              <w:rPr>
                <w:noProof/>
                <w:webHidden/>
              </w:rPr>
              <w:fldChar w:fldCharType="separate"/>
            </w:r>
            <w:r>
              <w:rPr>
                <w:noProof/>
                <w:webHidden/>
              </w:rPr>
              <w:t>7</w:t>
            </w:r>
            <w:r>
              <w:rPr>
                <w:noProof/>
                <w:webHidden/>
              </w:rPr>
              <w:fldChar w:fldCharType="end"/>
            </w:r>
          </w:hyperlink>
        </w:p>
        <w:p w14:paraId="34451884" w14:textId="74B60430" w:rsidR="00ED39A7" w:rsidRDefault="00ED39A7">
          <w:pPr>
            <w:pStyle w:val="TOC2"/>
            <w:tabs>
              <w:tab w:val="right" w:pos="9350"/>
            </w:tabs>
            <w:rPr>
              <w:rFonts w:eastAsiaTheme="minorEastAsia"/>
              <w:noProof/>
              <w:sz w:val="24"/>
              <w:szCs w:val="24"/>
              <w:lang w:eastAsia="en-AU"/>
            </w:rPr>
          </w:pPr>
          <w:hyperlink w:anchor="_Toc197077516" w:history="1">
            <w:r w:rsidRPr="004D61BF">
              <w:rPr>
                <w:rStyle w:val="Hyperlink"/>
                <w:b/>
                <w:bCs/>
                <w:noProof/>
              </w:rPr>
              <w:t>Context and objectives for the MTR</w:t>
            </w:r>
            <w:r>
              <w:rPr>
                <w:noProof/>
                <w:webHidden/>
              </w:rPr>
              <w:tab/>
            </w:r>
            <w:r>
              <w:rPr>
                <w:noProof/>
                <w:webHidden/>
              </w:rPr>
              <w:fldChar w:fldCharType="begin"/>
            </w:r>
            <w:r>
              <w:rPr>
                <w:noProof/>
                <w:webHidden/>
              </w:rPr>
              <w:instrText xml:space="preserve"> PAGEREF _Toc197077516 \h </w:instrText>
            </w:r>
            <w:r>
              <w:rPr>
                <w:noProof/>
                <w:webHidden/>
              </w:rPr>
            </w:r>
            <w:r>
              <w:rPr>
                <w:noProof/>
                <w:webHidden/>
              </w:rPr>
              <w:fldChar w:fldCharType="separate"/>
            </w:r>
            <w:r>
              <w:rPr>
                <w:noProof/>
                <w:webHidden/>
              </w:rPr>
              <w:t>8</w:t>
            </w:r>
            <w:r>
              <w:rPr>
                <w:noProof/>
                <w:webHidden/>
              </w:rPr>
              <w:fldChar w:fldCharType="end"/>
            </w:r>
          </w:hyperlink>
        </w:p>
        <w:p w14:paraId="59CA49AE" w14:textId="17577EF7" w:rsidR="00ED39A7" w:rsidRDefault="00ED39A7">
          <w:pPr>
            <w:pStyle w:val="TOC2"/>
            <w:tabs>
              <w:tab w:val="right" w:pos="9350"/>
            </w:tabs>
            <w:rPr>
              <w:rFonts w:eastAsiaTheme="minorEastAsia"/>
              <w:noProof/>
              <w:sz w:val="24"/>
              <w:szCs w:val="24"/>
              <w:lang w:eastAsia="en-AU"/>
            </w:rPr>
          </w:pPr>
          <w:hyperlink w:anchor="_Toc197077517" w:history="1">
            <w:r w:rsidRPr="004D61BF">
              <w:rPr>
                <w:rStyle w:val="Hyperlink"/>
                <w:b/>
                <w:bCs/>
                <w:noProof/>
              </w:rPr>
              <w:t>Review methodology</w:t>
            </w:r>
            <w:r>
              <w:rPr>
                <w:noProof/>
                <w:webHidden/>
              </w:rPr>
              <w:tab/>
            </w:r>
            <w:r>
              <w:rPr>
                <w:noProof/>
                <w:webHidden/>
              </w:rPr>
              <w:fldChar w:fldCharType="begin"/>
            </w:r>
            <w:r>
              <w:rPr>
                <w:noProof/>
                <w:webHidden/>
              </w:rPr>
              <w:instrText xml:space="preserve"> PAGEREF _Toc197077517 \h </w:instrText>
            </w:r>
            <w:r>
              <w:rPr>
                <w:noProof/>
                <w:webHidden/>
              </w:rPr>
            </w:r>
            <w:r>
              <w:rPr>
                <w:noProof/>
                <w:webHidden/>
              </w:rPr>
              <w:fldChar w:fldCharType="separate"/>
            </w:r>
            <w:r>
              <w:rPr>
                <w:noProof/>
                <w:webHidden/>
              </w:rPr>
              <w:t>9</w:t>
            </w:r>
            <w:r>
              <w:rPr>
                <w:noProof/>
                <w:webHidden/>
              </w:rPr>
              <w:fldChar w:fldCharType="end"/>
            </w:r>
          </w:hyperlink>
        </w:p>
        <w:p w14:paraId="40798E39" w14:textId="523954DF" w:rsidR="00ED39A7" w:rsidRDefault="00ED39A7">
          <w:pPr>
            <w:pStyle w:val="TOC1"/>
            <w:tabs>
              <w:tab w:val="right" w:pos="9350"/>
            </w:tabs>
            <w:rPr>
              <w:rFonts w:eastAsiaTheme="minorEastAsia"/>
              <w:noProof/>
              <w:sz w:val="24"/>
              <w:szCs w:val="24"/>
              <w:lang w:eastAsia="en-AU"/>
            </w:rPr>
          </w:pPr>
          <w:hyperlink w:anchor="_Toc197077518" w:history="1">
            <w:r w:rsidRPr="004D61BF">
              <w:rPr>
                <w:rStyle w:val="Hyperlink"/>
                <w:b/>
                <w:noProof/>
              </w:rPr>
              <w:t>KEY FINDINGS AND RECOMMENDATIONS</w:t>
            </w:r>
            <w:r>
              <w:rPr>
                <w:noProof/>
                <w:webHidden/>
              </w:rPr>
              <w:tab/>
            </w:r>
            <w:r>
              <w:rPr>
                <w:noProof/>
                <w:webHidden/>
              </w:rPr>
              <w:fldChar w:fldCharType="begin"/>
            </w:r>
            <w:r>
              <w:rPr>
                <w:noProof/>
                <w:webHidden/>
              </w:rPr>
              <w:instrText xml:space="preserve"> PAGEREF _Toc197077518 \h </w:instrText>
            </w:r>
            <w:r>
              <w:rPr>
                <w:noProof/>
                <w:webHidden/>
              </w:rPr>
            </w:r>
            <w:r>
              <w:rPr>
                <w:noProof/>
                <w:webHidden/>
              </w:rPr>
              <w:fldChar w:fldCharType="separate"/>
            </w:r>
            <w:r>
              <w:rPr>
                <w:noProof/>
                <w:webHidden/>
              </w:rPr>
              <w:t>9</w:t>
            </w:r>
            <w:r>
              <w:rPr>
                <w:noProof/>
                <w:webHidden/>
              </w:rPr>
              <w:fldChar w:fldCharType="end"/>
            </w:r>
          </w:hyperlink>
        </w:p>
        <w:p w14:paraId="1251FDC5" w14:textId="72273EEF" w:rsidR="00ED39A7" w:rsidRDefault="00ED39A7">
          <w:pPr>
            <w:pStyle w:val="TOC2"/>
            <w:tabs>
              <w:tab w:val="right" w:pos="9350"/>
            </w:tabs>
            <w:rPr>
              <w:rFonts w:eastAsiaTheme="minorEastAsia"/>
              <w:noProof/>
              <w:sz w:val="24"/>
              <w:szCs w:val="24"/>
              <w:lang w:eastAsia="en-AU"/>
            </w:rPr>
          </w:pPr>
          <w:hyperlink w:anchor="_Toc197077519" w:history="1">
            <w:r w:rsidRPr="004D61BF">
              <w:rPr>
                <w:rStyle w:val="Hyperlink"/>
                <w:b/>
                <w:bCs/>
                <w:noProof/>
              </w:rPr>
              <w:t>Relevance</w:t>
            </w:r>
            <w:r>
              <w:rPr>
                <w:noProof/>
                <w:webHidden/>
              </w:rPr>
              <w:tab/>
            </w:r>
            <w:r>
              <w:rPr>
                <w:noProof/>
                <w:webHidden/>
              </w:rPr>
              <w:fldChar w:fldCharType="begin"/>
            </w:r>
            <w:r>
              <w:rPr>
                <w:noProof/>
                <w:webHidden/>
              </w:rPr>
              <w:instrText xml:space="preserve"> PAGEREF _Toc197077519 \h </w:instrText>
            </w:r>
            <w:r>
              <w:rPr>
                <w:noProof/>
                <w:webHidden/>
              </w:rPr>
            </w:r>
            <w:r>
              <w:rPr>
                <w:noProof/>
                <w:webHidden/>
              </w:rPr>
              <w:fldChar w:fldCharType="separate"/>
            </w:r>
            <w:r>
              <w:rPr>
                <w:noProof/>
                <w:webHidden/>
              </w:rPr>
              <w:t>9</w:t>
            </w:r>
            <w:r>
              <w:rPr>
                <w:noProof/>
                <w:webHidden/>
              </w:rPr>
              <w:fldChar w:fldCharType="end"/>
            </w:r>
          </w:hyperlink>
        </w:p>
        <w:p w14:paraId="6E8138F8" w14:textId="6B8D2F07" w:rsidR="00ED39A7" w:rsidRDefault="00ED39A7">
          <w:pPr>
            <w:pStyle w:val="TOC2"/>
            <w:tabs>
              <w:tab w:val="right" w:pos="9350"/>
            </w:tabs>
            <w:rPr>
              <w:rFonts w:eastAsiaTheme="minorEastAsia"/>
              <w:noProof/>
              <w:sz w:val="24"/>
              <w:szCs w:val="24"/>
              <w:lang w:eastAsia="en-AU"/>
            </w:rPr>
          </w:pPr>
          <w:hyperlink w:anchor="_Toc197077520" w:history="1">
            <w:r w:rsidRPr="004D61BF">
              <w:rPr>
                <w:rStyle w:val="Hyperlink"/>
                <w:b/>
                <w:bCs/>
                <w:noProof/>
              </w:rPr>
              <w:t>Effectiveness</w:t>
            </w:r>
            <w:r>
              <w:rPr>
                <w:noProof/>
                <w:webHidden/>
              </w:rPr>
              <w:tab/>
            </w:r>
            <w:r>
              <w:rPr>
                <w:noProof/>
                <w:webHidden/>
              </w:rPr>
              <w:fldChar w:fldCharType="begin"/>
            </w:r>
            <w:r>
              <w:rPr>
                <w:noProof/>
                <w:webHidden/>
              </w:rPr>
              <w:instrText xml:space="preserve"> PAGEREF _Toc197077520 \h </w:instrText>
            </w:r>
            <w:r>
              <w:rPr>
                <w:noProof/>
                <w:webHidden/>
              </w:rPr>
            </w:r>
            <w:r>
              <w:rPr>
                <w:noProof/>
                <w:webHidden/>
              </w:rPr>
              <w:fldChar w:fldCharType="separate"/>
            </w:r>
            <w:r>
              <w:rPr>
                <w:noProof/>
                <w:webHidden/>
              </w:rPr>
              <w:t>12</w:t>
            </w:r>
            <w:r>
              <w:rPr>
                <w:noProof/>
                <w:webHidden/>
              </w:rPr>
              <w:fldChar w:fldCharType="end"/>
            </w:r>
          </w:hyperlink>
        </w:p>
        <w:p w14:paraId="6E736A17" w14:textId="4E50764E" w:rsidR="00ED39A7" w:rsidRDefault="00ED39A7">
          <w:pPr>
            <w:pStyle w:val="TOC2"/>
            <w:tabs>
              <w:tab w:val="right" w:pos="9350"/>
            </w:tabs>
            <w:rPr>
              <w:rFonts w:eastAsiaTheme="minorEastAsia"/>
              <w:noProof/>
              <w:sz w:val="24"/>
              <w:szCs w:val="24"/>
              <w:lang w:eastAsia="en-AU"/>
            </w:rPr>
          </w:pPr>
          <w:hyperlink w:anchor="_Toc197077521" w:history="1">
            <w:r w:rsidRPr="004D61BF">
              <w:rPr>
                <w:rStyle w:val="Hyperlink"/>
                <w:b/>
                <w:bCs/>
                <w:noProof/>
              </w:rPr>
              <w:t>Efficiency</w:t>
            </w:r>
            <w:r>
              <w:rPr>
                <w:noProof/>
                <w:webHidden/>
              </w:rPr>
              <w:tab/>
            </w:r>
            <w:r>
              <w:rPr>
                <w:noProof/>
                <w:webHidden/>
              </w:rPr>
              <w:fldChar w:fldCharType="begin"/>
            </w:r>
            <w:r>
              <w:rPr>
                <w:noProof/>
                <w:webHidden/>
              </w:rPr>
              <w:instrText xml:space="preserve"> PAGEREF _Toc197077521 \h </w:instrText>
            </w:r>
            <w:r>
              <w:rPr>
                <w:noProof/>
                <w:webHidden/>
              </w:rPr>
            </w:r>
            <w:r>
              <w:rPr>
                <w:noProof/>
                <w:webHidden/>
              </w:rPr>
              <w:fldChar w:fldCharType="separate"/>
            </w:r>
            <w:r>
              <w:rPr>
                <w:noProof/>
                <w:webHidden/>
              </w:rPr>
              <w:t>15</w:t>
            </w:r>
            <w:r>
              <w:rPr>
                <w:noProof/>
                <w:webHidden/>
              </w:rPr>
              <w:fldChar w:fldCharType="end"/>
            </w:r>
          </w:hyperlink>
        </w:p>
        <w:p w14:paraId="5CB9F90D" w14:textId="44F0344A" w:rsidR="00ED39A7" w:rsidRDefault="00ED39A7">
          <w:pPr>
            <w:pStyle w:val="TOC2"/>
            <w:tabs>
              <w:tab w:val="right" w:pos="9350"/>
            </w:tabs>
            <w:rPr>
              <w:rFonts w:eastAsiaTheme="minorEastAsia"/>
              <w:noProof/>
              <w:sz w:val="24"/>
              <w:szCs w:val="24"/>
              <w:lang w:eastAsia="en-AU"/>
            </w:rPr>
          </w:pPr>
          <w:hyperlink w:anchor="_Toc197077522" w:history="1">
            <w:r w:rsidRPr="004D61BF">
              <w:rPr>
                <w:rStyle w:val="Hyperlink"/>
                <w:b/>
                <w:bCs/>
                <w:noProof/>
              </w:rPr>
              <w:t>Sustainability</w:t>
            </w:r>
            <w:r>
              <w:rPr>
                <w:noProof/>
                <w:webHidden/>
              </w:rPr>
              <w:tab/>
            </w:r>
            <w:r>
              <w:rPr>
                <w:noProof/>
                <w:webHidden/>
              </w:rPr>
              <w:fldChar w:fldCharType="begin"/>
            </w:r>
            <w:r>
              <w:rPr>
                <w:noProof/>
                <w:webHidden/>
              </w:rPr>
              <w:instrText xml:space="preserve"> PAGEREF _Toc197077522 \h </w:instrText>
            </w:r>
            <w:r>
              <w:rPr>
                <w:noProof/>
                <w:webHidden/>
              </w:rPr>
            </w:r>
            <w:r>
              <w:rPr>
                <w:noProof/>
                <w:webHidden/>
              </w:rPr>
              <w:fldChar w:fldCharType="separate"/>
            </w:r>
            <w:r>
              <w:rPr>
                <w:noProof/>
                <w:webHidden/>
              </w:rPr>
              <w:t>16</w:t>
            </w:r>
            <w:r>
              <w:rPr>
                <w:noProof/>
                <w:webHidden/>
              </w:rPr>
              <w:fldChar w:fldCharType="end"/>
            </w:r>
          </w:hyperlink>
        </w:p>
        <w:p w14:paraId="65945BEF" w14:textId="6284F06D" w:rsidR="00ED39A7" w:rsidRDefault="00ED39A7">
          <w:pPr>
            <w:pStyle w:val="TOC2"/>
            <w:tabs>
              <w:tab w:val="right" w:pos="9350"/>
            </w:tabs>
            <w:rPr>
              <w:rFonts w:eastAsiaTheme="minorEastAsia"/>
              <w:noProof/>
              <w:sz w:val="24"/>
              <w:szCs w:val="24"/>
              <w:lang w:eastAsia="en-AU"/>
            </w:rPr>
          </w:pPr>
          <w:hyperlink w:anchor="_Toc197077523" w:history="1">
            <w:r w:rsidRPr="004D61BF">
              <w:rPr>
                <w:rStyle w:val="Hyperlink"/>
                <w:b/>
                <w:bCs/>
                <w:noProof/>
              </w:rPr>
              <w:t>The Case for Increasing ASIPJ’s Budget</w:t>
            </w:r>
            <w:r>
              <w:rPr>
                <w:noProof/>
                <w:webHidden/>
              </w:rPr>
              <w:tab/>
            </w:r>
            <w:r>
              <w:rPr>
                <w:noProof/>
                <w:webHidden/>
              </w:rPr>
              <w:fldChar w:fldCharType="begin"/>
            </w:r>
            <w:r>
              <w:rPr>
                <w:noProof/>
                <w:webHidden/>
              </w:rPr>
              <w:instrText xml:space="preserve"> PAGEREF _Toc197077523 \h </w:instrText>
            </w:r>
            <w:r>
              <w:rPr>
                <w:noProof/>
                <w:webHidden/>
              </w:rPr>
            </w:r>
            <w:r>
              <w:rPr>
                <w:noProof/>
                <w:webHidden/>
              </w:rPr>
              <w:fldChar w:fldCharType="separate"/>
            </w:r>
            <w:r>
              <w:rPr>
                <w:noProof/>
                <w:webHidden/>
              </w:rPr>
              <w:t>18</w:t>
            </w:r>
            <w:r>
              <w:rPr>
                <w:noProof/>
                <w:webHidden/>
              </w:rPr>
              <w:fldChar w:fldCharType="end"/>
            </w:r>
          </w:hyperlink>
        </w:p>
        <w:p w14:paraId="0797D577" w14:textId="30EDFD41" w:rsidR="00ED39A7" w:rsidRDefault="00ED39A7">
          <w:pPr>
            <w:pStyle w:val="TOC2"/>
            <w:tabs>
              <w:tab w:val="right" w:pos="9350"/>
            </w:tabs>
            <w:rPr>
              <w:rFonts w:eastAsiaTheme="minorEastAsia"/>
              <w:noProof/>
              <w:sz w:val="24"/>
              <w:szCs w:val="24"/>
              <w:lang w:eastAsia="en-AU"/>
            </w:rPr>
          </w:pPr>
          <w:hyperlink w:anchor="_Toc197077524" w:history="1">
            <w:r w:rsidRPr="004D61BF">
              <w:rPr>
                <w:rStyle w:val="Hyperlink"/>
                <w:b/>
                <w:bCs/>
                <w:noProof/>
              </w:rPr>
              <w:t>First Nations Participation and Engagement</w:t>
            </w:r>
            <w:r>
              <w:rPr>
                <w:noProof/>
                <w:webHidden/>
              </w:rPr>
              <w:tab/>
            </w:r>
            <w:r>
              <w:rPr>
                <w:noProof/>
                <w:webHidden/>
              </w:rPr>
              <w:fldChar w:fldCharType="begin"/>
            </w:r>
            <w:r>
              <w:rPr>
                <w:noProof/>
                <w:webHidden/>
              </w:rPr>
              <w:instrText xml:space="preserve"> PAGEREF _Toc197077524 \h </w:instrText>
            </w:r>
            <w:r>
              <w:rPr>
                <w:noProof/>
                <w:webHidden/>
              </w:rPr>
            </w:r>
            <w:r>
              <w:rPr>
                <w:noProof/>
                <w:webHidden/>
              </w:rPr>
              <w:fldChar w:fldCharType="separate"/>
            </w:r>
            <w:r>
              <w:rPr>
                <w:noProof/>
                <w:webHidden/>
              </w:rPr>
              <w:t>19</w:t>
            </w:r>
            <w:r>
              <w:rPr>
                <w:noProof/>
                <w:webHidden/>
              </w:rPr>
              <w:fldChar w:fldCharType="end"/>
            </w:r>
          </w:hyperlink>
        </w:p>
        <w:p w14:paraId="66E4F073" w14:textId="5E4A3E14" w:rsidR="00ED39A7" w:rsidRDefault="00ED39A7">
          <w:pPr>
            <w:pStyle w:val="TOC1"/>
            <w:tabs>
              <w:tab w:val="right" w:pos="9350"/>
            </w:tabs>
            <w:rPr>
              <w:rFonts w:eastAsiaTheme="minorEastAsia"/>
              <w:noProof/>
              <w:sz w:val="24"/>
              <w:szCs w:val="24"/>
              <w:lang w:eastAsia="en-AU"/>
            </w:rPr>
          </w:pPr>
          <w:hyperlink w:anchor="_Toc197077525" w:history="1">
            <w:r w:rsidRPr="004D61BF">
              <w:rPr>
                <w:rStyle w:val="Hyperlink"/>
                <w:b/>
                <w:noProof/>
              </w:rPr>
              <w:t>ANNEX 1: TERMS OF REFERENCE</w:t>
            </w:r>
            <w:r>
              <w:rPr>
                <w:noProof/>
                <w:webHidden/>
              </w:rPr>
              <w:tab/>
            </w:r>
            <w:r>
              <w:rPr>
                <w:noProof/>
                <w:webHidden/>
              </w:rPr>
              <w:fldChar w:fldCharType="begin"/>
            </w:r>
            <w:r>
              <w:rPr>
                <w:noProof/>
                <w:webHidden/>
              </w:rPr>
              <w:instrText xml:space="preserve"> PAGEREF _Toc197077525 \h </w:instrText>
            </w:r>
            <w:r>
              <w:rPr>
                <w:noProof/>
                <w:webHidden/>
              </w:rPr>
            </w:r>
            <w:r>
              <w:rPr>
                <w:noProof/>
                <w:webHidden/>
              </w:rPr>
              <w:fldChar w:fldCharType="separate"/>
            </w:r>
            <w:r>
              <w:rPr>
                <w:noProof/>
                <w:webHidden/>
              </w:rPr>
              <w:t>20</w:t>
            </w:r>
            <w:r>
              <w:rPr>
                <w:noProof/>
                <w:webHidden/>
              </w:rPr>
              <w:fldChar w:fldCharType="end"/>
            </w:r>
          </w:hyperlink>
        </w:p>
        <w:p w14:paraId="77E94AC9" w14:textId="388B25BB" w:rsidR="00ED39A7" w:rsidRDefault="00ED39A7">
          <w:pPr>
            <w:pStyle w:val="TOC1"/>
            <w:tabs>
              <w:tab w:val="right" w:pos="9350"/>
            </w:tabs>
            <w:rPr>
              <w:rFonts w:eastAsiaTheme="minorEastAsia"/>
              <w:noProof/>
              <w:sz w:val="24"/>
              <w:szCs w:val="24"/>
              <w:lang w:eastAsia="en-AU"/>
            </w:rPr>
          </w:pPr>
          <w:hyperlink w:anchor="_Toc197077526" w:history="1">
            <w:r w:rsidRPr="004D61BF">
              <w:rPr>
                <w:rStyle w:val="Hyperlink"/>
                <w:b/>
                <w:noProof/>
              </w:rPr>
              <w:t>ANNEX 2: MTR PLAN</w:t>
            </w:r>
            <w:r>
              <w:rPr>
                <w:noProof/>
                <w:webHidden/>
              </w:rPr>
              <w:tab/>
            </w:r>
            <w:r>
              <w:rPr>
                <w:noProof/>
                <w:webHidden/>
              </w:rPr>
              <w:fldChar w:fldCharType="begin"/>
            </w:r>
            <w:r>
              <w:rPr>
                <w:noProof/>
                <w:webHidden/>
              </w:rPr>
              <w:instrText xml:space="preserve"> PAGEREF _Toc197077526 \h </w:instrText>
            </w:r>
            <w:r>
              <w:rPr>
                <w:noProof/>
                <w:webHidden/>
              </w:rPr>
            </w:r>
            <w:r>
              <w:rPr>
                <w:noProof/>
                <w:webHidden/>
              </w:rPr>
              <w:fldChar w:fldCharType="separate"/>
            </w:r>
            <w:r>
              <w:rPr>
                <w:noProof/>
                <w:webHidden/>
              </w:rPr>
              <w:t>20</w:t>
            </w:r>
            <w:r>
              <w:rPr>
                <w:noProof/>
                <w:webHidden/>
              </w:rPr>
              <w:fldChar w:fldCharType="end"/>
            </w:r>
          </w:hyperlink>
        </w:p>
        <w:p w14:paraId="4BE6E725" w14:textId="1E9CFD94" w:rsidR="00ED39A7" w:rsidRDefault="00ED39A7">
          <w:pPr>
            <w:pStyle w:val="TOC1"/>
            <w:tabs>
              <w:tab w:val="right" w:pos="9350"/>
            </w:tabs>
            <w:rPr>
              <w:rFonts w:eastAsiaTheme="minorEastAsia"/>
              <w:noProof/>
              <w:sz w:val="24"/>
              <w:szCs w:val="24"/>
              <w:lang w:eastAsia="en-AU"/>
            </w:rPr>
          </w:pPr>
          <w:hyperlink w:anchor="_Toc197077527" w:history="1">
            <w:r w:rsidRPr="004D61BF">
              <w:rPr>
                <w:rStyle w:val="Hyperlink"/>
                <w:b/>
                <w:noProof/>
              </w:rPr>
              <w:t>ANNEX 3: INTERVIEW GUIDE</w:t>
            </w:r>
            <w:r>
              <w:rPr>
                <w:noProof/>
                <w:webHidden/>
              </w:rPr>
              <w:tab/>
            </w:r>
            <w:r>
              <w:rPr>
                <w:noProof/>
                <w:webHidden/>
              </w:rPr>
              <w:fldChar w:fldCharType="begin"/>
            </w:r>
            <w:r>
              <w:rPr>
                <w:noProof/>
                <w:webHidden/>
              </w:rPr>
              <w:instrText xml:space="preserve"> PAGEREF _Toc197077527 \h </w:instrText>
            </w:r>
            <w:r>
              <w:rPr>
                <w:noProof/>
                <w:webHidden/>
              </w:rPr>
            </w:r>
            <w:r>
              <w:rPr>
                <w:noProof/>
                <w:webHidden/>
              </w:rPr>
              <w:fldChar w:fldCharType="separate"/>
            </w:r>
            <w:r>
              <w:rPr>
                <w:noProof/>
                <w:webHidden/>
              </w:rPr>
              <w:t>20</w:t>
            </w:r>
            <w:r>
              <w:rPr>
                <w:noProof/>
                <w:webHidden/>
              </w:rPr>
              <w:fldChar w:fldCharType="end"/>
            </w:r>
          </w:hyperlink>
        </w:p>
        <w:p w14:paraId="743E6675" w14:textId="5FB06CAD" w:rsidR="00ED39A7" w:rsidRDefault="00ED39A7">
          <w:pPr>
            <w:pStyle w:val="TOC1"/>
            <w:tabs>
              <w:tab w:val="right" w:pos="9350"/>
            </w:tabs>
            <w:rPr>
              <w:rFonts w:eastAsiaTheme="minorEastAsia"/>
              <w:noProof/>
              <w:sz w:val="24"/>
              <w:szCs w:val="24"/>
              <w:lang w:eastAsia="en-AU"/>
            </w:rPr>
          </w:pPr>
          <w:hyperlink w:anchor="_Toc197077528" w:history="1">
            <w:r w:rsidRPr="004D61BF">
              <w:rPr>
                <w:rStyle w:val="Hyperlink"/>
                <w:b/>
                <w:noProof/>
              </w:rPr>
              <w:t>ANNEX 4: LIST OF INDIVIDUALS AND ORGANISATIONS CONSULTED</w:t>
            </w:r>
            <w:r>
              <w:rPr>
                <w:noProof/>
                <w:webHidden/>
              </w:rPr>
              <w:tab/>
            </w:r>
            <w:r>
              <w:rPr>
                <w:noProof/>
                <w:webHidden/>
              </w:rPr>
              <w:fldChar w:fldCharType="begin"/>
            </w:r>
            <w:r>
              <w:rPr>
                <w:noProof/>
                <w:webHidden/>
              </w:rPr>
              <w:instrText xml:space="preserve"> PAGEREF _Toc197077528 \h </w:instrText>
            </w:r>
            <w:r>
              <w:rPr>
                <w:noProof/>
                <w:webHidden/>
              </w:rPr>
            </w:r>
            <w:r>
              <w:rPr>
                <w:noProof/>
                <w:webHidden/>
              </w:rPr>
              <w:fldChar w:fldCharType="separate"/>
            </w:r>
            <w:r>
              <w:rPr>
                <w:noProof/>
                <w:webHidden/>
              </w:rPr>
              <w:t>20</w:t>
            </w:r>
            <w:r>
              <w:rPr>
                <w:noProof/>
                <w:webHidden/>
              </w:rPr>
              <w:fldChar w:fldCharType="end"/>
            </w:r>
          </w:hyperlink>
        </w:p>
        <w:p w14:paraId="4CACF248" w14:textId="18ED858D" w:rsidR="000A14B6" w:rsidRPr="000C2E47" w:rsidRDefault="007B4B27">
          <w:r>
            <w:fldChar w:fldCharType="end"/>
          </w:r>
        </w:p>
      </w:sdtContent>
    </w:sdt>
    <w:p w14:paraId="7094D45C" w14:textId="77777777" w:rsidR="007B4B27" w:rsidRDefault="007B4B27" w:rsidP="007B4B27">
      <w:pPr>
        <w:spacing w:after="0" w:line="168" w:lineRule="auto"/>
        <w:ind w:right="-360"/>
        <w:rPr>
          <w:b/>
          <w:color w:val="002060"/>
          <w:sz w:val="28"/>
          <w:szCs w:val="28"/>
        </w:rPr>
      </w:pPr>
      <w:bookmarkStart w:id="0" w:name="_Toc425974655"/>
      <w:bookmarkStart w:id="1" w:name="_Toc56189439"/>
    </w:p>
    <w:p w14:paraId="0CAFC532" w14:textId="77777777" w:rsidR="007B4B27" w:rsidRDefault="007B4B27" w:rsidP="007B4B27">
      <w:pPr>
        <w:pStyle w:val="Heading1"/>
        <w:spacing w:before="0"/>
        <w:ind w:hanging="446"/>
        <w:rPr>
          <w:rFonts w:asciiTheme="minorHAnsi" w:hAnsiTheme="minorHAnsi"/>
          <w:b/>
          <w:color w:val="002060"/>
          <w:sz w:val="28"/>
          <w:szCs w:val="28"/>
        </w:rPr>
      </w:pPr>
      <w:bookmarkStart w:id="2" w:name="_Toc425974656"/>
      <w:bookmarkStart w:id="3" w:name="_Toc56189440"/>
    </w:p>
    <w:p w14:paraId="18A3B2E1" w14:textId="646EE0B7" w:rsidR="007B4B27" w:rsidRPr="00D222BA" w:rsidRDefault="007B4B27" w:rsidP="007B4B27">
      <w:pPr>
        <w:pStyle w:val="Heading1"/>
        <w:spacing w:before="0"/>
        <w:ind w:hanging="446"/>
        <w:rPr>
          <w:rFonts w:asciiTheme="minorHAnsi" w:hAnsiTheme="minorHAnsi"/>
          <w:b/>
          <w:color w:val="002060"/>
          <w:sz w:val="28"/>
          <w:szCs w:val="28"/>
        </w:rPr>
      </w:pPr>
      <w:bookmarkStart w:id="4" w:name="_Toc197077510"/>
      <w:r w:rsidRPr="00D222BA">
        <w:rPr>
          <w:rFonts w:asciiTheme="minorHAnsi" w:hAnsiTheme="minorHAnsi"/>
          <w:b/>
          <w:color w:val="002060"/>
          <w:sz w:val="28"/>
          <w:szCs w:val="28"/>
        </w:rPr>
        <w:t>ACKNOWLEDGEMENTS</w:t>
      </w:r>
      <w:bookmarkEnd w:id="2"/>
      <w:bookmarkEnd w:id="3"/>
      <w:bookmarkEnd w:id="4"/>
    </w:p>
    <w:p w14:paraId="5B12131D" w14:textId="77777777" w:rsidR="007B4B27" w:rsidRDefault="007B4B27" w:rsidP="007B4B27">
      <w:pPr>
        <w:spacing w:after="0" w:line="144" w:lineRule="auto"/>
        <w:ind w:left="-446" w:right="-446"/>
        <w:jc w:val="both"/>
      </w:pPr>
    </w:p>
    <w:p w14:paraId="5F743446" w14:textId="77777777" w:rsidR="007B4B27" w:rsidRDefault="007B4B27" w:rsidP="007B4B27">
      <w:pPr>
        <w:spacing w:after="0" w:line="288" w:lineRule="auto"/>
        <w:ind w:left="-446" w:right="-446"/>
        <w:jc w:val="both"/>
      </w:pPr>
      <w:r>
        <w:t>The Mid-Term Review Team w</w:t>
      </w:r>
      <w:r w:rsidRPr="00D05557">
        <w:t xml:space="preserve">ould like to thank </w:t>
      </w:r>
      <w:r>
        <w:t xml:space="preserve">everyone we </w:t>
      </w:r>
      <w:r w:rsidRPr="00D05557">
        <w:t xml:space="preserve">consulted </w:t>
      </w:r>
      <w:r>
        <w:t xml:space="preserve">for giving their time and for providing valuable insights which informed the findings and recommendations made in this report. Special thanks are extended to Nicole Smith, Sara Lailey, Frank Fono, Apolosi Bose, Keith Bates and Ethel </w:t>
      </w:r>
      <w:proofErr w:type="spellStart"/>
      <w:r>
        <w:t>Sigimanu</w:t>
      </w:r>
      <w:proofErr w:type="spellEnd"/>
      <w:r>
        <w:t xml:space="preserve"> for their support in providing advice and guidance, relevant documents, and ensuring we had access to a range of views and information.</w:t>
      </w:r>
    </w:p>
    <w:p w14:paraId="7216D7FF" w14:textId="77777777" w:rsidR="007B4B27" w:rsidRDefault="007B4B27">
      <w:pPr>
        <w:rPr>
          <w:rFonts w:eastAsiaTheme="majorEastAsia" w:cstheme="majorBidi"/>
          <w:b/>
          <w:color w:val="002060"/>
          <w:sz w:val="28"/>
          <w:szCs w:val="28"/>
        </w:rPr>
      </w:pPr>
      <w:r>
        <w:rPr>
          <w:b/>
          <w:color w:val="002060"/>
          <w:sz w:val="28"/>
          <w:szCs w:val="28"/>
        </w:rPr>
        <w:br w:type="page"/>
      </w:r>
    </w:p>
    <w:p w14:paraId="1B5499C2" w14:textId="08063B1F" w:rsidR="000A14B6" w:rsidRPr="00D222BA" w:rsidRDefault="000A14B6" w:rsidP="000A14B6">
      <w:pPr>
        <w:pStyle w:val="Heading1"/>
        <w:spacing w:before="0" w:line="240" w:lineRule="auto"/>
        <w:ind w:hanging="446"/>
        <w:rPr>
          <w:rFonts w:asciiTheme="minorHAnsi" w:hAnsiTheme="minorHAnsi"/>
          <w:b/>
          <w:color w:val="002060"/>
          <w:sz w:val="28"/>
          <w:szCs w:val="28"/>
        </w:rPr>
      </w:pPr>
      <w:bookmarkStart w:id="5" w:name="_Toc197077511"/>
      <w:r w:rsidRPr="00D222BA">
        <w:rPr>
          <w:rFonts w:asciiTheme="minorHAnsi" w:hAnsiTheme="minorHAnsi"/>
          <w:b/>
          <w:color w:val="002060"/>
          <w:sz w:val="28"/>
          <w:szCs w:val="28"/>
        </w:rPr>
        <w:lastRenderedPageBreak/>
        <w:t>ACRONYMS AND ABBREVIATIONS</w:t>
      </w:r>
      <w:bookmarkEnd w:id="0"/>
      <w:bookmarkEnd w:id="1"/>
      <w:bookmarkEnd w:id="5"/>
    </w:p>
    <w:p w14:paraId="179B79D3" w14:textId="77777777" w:rsidR="000A14B6" w:rsidRDefault="000A14B6" w:rsidP="000A14B6">
      <w:pPr>
        <w:autoSpaceDE w:val="0"/>
        <w:autoSpaceDN w:val="0"/>
        <w:adjustRightInd w:val="0"/>
        <w:spacing w:after="0" w:line="120" w:lineRule="auto"/>
        <w:rPr>
          <w:rFonts w:ascii="Times New Roman" w:hAnsi="Times New Roman" w:cs="Times New Roman"/>
          <w:sz w:val="24"/>
          <w:szCs w:val="24"/>
        </w:rPr>
      </w:pPr>
    </w:p>
    <w:tbl>
      <w:tblPr>
        <w:tblW w:w="10260" w:type="dxa"/>
        <w:tblInd w:w="-455" w:type="dxa"/>
        <w:tblBorders>
          <w:insideV w:val="single" w:sz="4" w:space="0" w:color="808080" w:themeColor="background1" w:themeShade="80"/>
        </w:tblBorders>
        <w:tblLook w:val="04A0" w:firstRow="1" w:lastRow="0" w:firstColumn="1" w:lastColumn="0" w:noHBand="0" w:noVBand="1"/>
      </w:tblPr>
      <w:tblGrid>
        <w:gridCol w:w="1895"/>
        <w:gridCol w:w="8365"/>
      </w:tblGrid>
      <w:tr w:rsidR="000E5B87" w14:paraId="1E5F1934" w14:textId="77777777" w:rsidTr="000E5B87">
        <w:trPr>
          <w:trHeight w:val="440"/>
          <w:tblHeader/>
        </w:trPr>
        <w:tc>
          <w:tcPr>
            <w:tcW w:w="1895" w:type="dxa"/>
            <w:tcBorders>
              <w:top w:val="nil"/>
              <w:left w:val="nil"/>
              <w:bottom w:val="nil"/>
              <w:right w:val="nil"/>
            </w:tcBorders>
            <w:shd w:val="clear" w:color="auto" w:fill="auto"/>
            <w:vAlign w:val="center"/>
          </w:tcPr>
          <w:p w14:paraId="0F8C5E68" w14:textId="5D9E35BC" w:rsidR="000E5B87" w:rsidRDefault="000E5B87" w:rsidP="000E5B87">
            <w:pPr>
              <w:spacing w:after="0" w:line="264" w:lineRule="auto"/>
              <w:ind w:left="-103"/>
              <w:rPr>
                <w:b/>
              </w:rPr>
            </w:pPr>
            <w:r w:rsidRPr="000E5B87">
              <w:rPr>
                <w:b/>
                <w:bCs/>
                <w:sz w:val="24"/>
                <w:szCs w:val="24"/>
              </w:rPr>
              <w:t>Acronym</w:t>
            </w:r>
            <w:r>
              <w:rPr>
                <w:b/>
                <w:bCs/>
                <w:sz w:val="24"/>
                <w:szCs w:val="24"/>
              </w:rPr>
              <w:t>s</w:t>
            </w:r>
          </w:p>
        </w:tc>
        <w:tc>
          <w:tcPr>
            <w:tcW w:w="8365" w:type="dxa"/>
            <w:tcBorders>
              <w:top w:val="nil"/>
              <w:left w:val="nil"/>
              <w:bottom w:val="nil"/>
              <w:right w:val="nil"/>
            </w:tcBorders>
            <w:shd w:val="clear" w:color="auto" w:fill="auto"/>
            <w:vAlign w:val="center"/>
          </w:tcPr>
          <w:p w14:paraId="170E65AB" w14:textId="198066AF" w:rsidR="000E5B87" w:rsidRDefault="000E5B87" w:rsidP="000E5B87">
            <w:pPr>
              <w:spacing w:after="0" w:line="264" w:lineRule="auto"/>
            </w:pPr>
            <w:r w:rsidRPr="000E5B87">
              <w:rPr>
                <w:b/>
                <w:bCs/>
                <w:sz w:val="24"/>
                <w:szCs w:val="24"/>
              </w:rPr>
              <w:t>Definition</w:t>
            </w:r>
          </w:p>
        </w:tc>
      </w:tr>
      <w:tr w:rsidR="000E5B87" w14:paraId="4FD0413A" w14:textId="77777777" w:rsidTr="000E5B87">
        <w:trPr>
          <w:trHeight w:val="440"/>
        </w:trPr>
        <w:tc>
          <w:tcPr>
            <w:tcW w:w="1895" w:type="dxa"/>
            <w:tcBorders>
              <w:top w:val="nil"/>
              <w:left w:val="nil"/>
              <w:bottom w:val="nil"/>
              <w:right w:val="nil"/>
            </w:tcBorders>
            <w:shd w:val="clear" w:color="auto" w:fill="auto"/>
            <w:vAlign w:val="center"/>
          </w:tcPr>
          <w:p w14:paraId="56893AAF" w14:textId="189760D2" w:rsidR="000E5B87" w:rsidRDefault="000E5B87" w:rsidP="000E5B87">
            <w:pPr>
              <w:spacing w:after="0" w:line="264" w:lineRule="auto"/>
              <w:ind w:left="-103"/>
              <w:rPr>
                <w:b/>
              </w:rPr>
            </w:pPr>
            <w:r>
              <w:rPr>
                <w:b/>
              </w:rPr>
              <w:t>AGC</w:t>
            </w:r>
          </w:p>
        </w:tc>
        <w:tc>
          <w:tcPr>
            <w:tcW w:w="8365" w:type="dxa"/>
            <w:tcBorders>
              <w:top w:val="nil"/>
              <w:left w:val="nil"/>
              <w:bottom w:val="nil"/>
              <w:right w:val="nil"/>
            </w:tcBorders>
            <w:shd w:val="clear" w:color="auto" w:fill="auto"/>
            <w:vAlign w:val="center"/>
          </w:tcPr>
          <w:p w14:paraId="699D3A3E" w14:textId="27638E43" w:rsidR="000E5B87" w:rsidRDefault="000E5B87" w:rsidP="000E5B87">
            <w:pPr>
              <w:spacing w:after="0" w:line="264" w:lineRule="auto"/>
            </w:pPr>
            <w:r>
              <w:t xml:space="preserve">Attorney General’s Chambers </w:t>
            </w:r>
          </w:p>
        </w:tc>
      </w:tr>
      <w:tr w:rsidR="000E5B87" w14:paraId="6131B5E7" w14:textId="77777777" w:rsidTr="000E5B87">
        <w:trPr>
          <w:trHeight w:val="440"/>
        </w:trPr>
        <w:tc>
          <w:tcPr>
            <w:tcW w:w="1895" w:type="dxa"/>
            <w:tcBorders>
              <w:top w:val="nil"/>
              <w:left w:val="nil"/>
              <w:bottom w:val="nil"/>
              <w:right w:val="nil"/>
            </w:tcBorders>
            <w:shd w:val="clear" w:color="auto" w:fill="auto"/>
            <w:vAlign w:val="center"/>
          </w:tcPr>
          <w:p w14:paraId="429D5F08" w14:textId="77777777" w:rsidR="000E5B87" w:rsidRDefault="000E5B87" w:rsidP="000E5B87">
            <w:pPr>
              <w:spacing w:after="0" w:line="264" w:lineRule="auto"/>
              <w:ind w:left="-103"/>
              <w:rPr>
                <w:b/>
              </w:rPr>
            </w:pPr>
            <w:r>
              <w:rPr>
                <w:b/>
              </w:rPr>
              <w:t>AGD</w:t>
            </w:r>
          </w:p>
        </w:tc>
        <w:tc>
          <w:tcPr>
            <w:tcW w:w="8365" w:type="dxa"/>
            <w:tcBorders>
              <w:top w:val="nil"/>
              <w:left w:val="nil"/>
              <w:bottom w:val="nil"/>
              <w:right w:val="nil"/>
            </w:tcBorders>
            <w:shd w:val="clear" w:color="auto" w:fill="auto"/>
            <w:vAlign w:val="center"/>
          </w:tcPr>
          <w:p w14:paraId="2A538568" w14:textId="77777777" w:rsidR="000E5B87" w:rsidRDefault="000E5B87" w:rsidP="000E5B87">
            <w:pPr>
              <w:spacing w:after="0" w:line="264" w:lineRule="auto"/>
            </w:pPr>
            <w:r>
              <w:t>Attorney-General’s Department, Australia</w:t>
            </w:r>
          </w:p>
        </w:tc>
      </w:tr>
      <w:tr w:rsidR="000E5B87" w14:paraId="7624D792" w14:textId="77777777" w:rsidTr="000E5B87">
        <w:trPr>
          <w:trHeight w:val="440"/>
        </w:trPr>
        <w:tc>
          <w:tcPr>
            <w:tcW w:w="1895" w:type="dxa"/>
            <w:tcBorders>
              <w:top w:val="nil"/>
              <w:left w:val="nil"/>
              <w:bottom w:val="nil"/>
              <w:right w:val="nil"/>
            </w:tcBorders>
            <w:shd w:val="clear" w:color="auto" w:fill="auto"/>
            <w:vAlign w:val="center"/>
          </w:tcPr>
          <w:p w14:paraId="60D3E0F7" w14:textId="52898DE9" w:rsidR="000E5B87" w:rsidRDefault="000E5B87" w:rsidP="000E5B87">
            <w:pPr>
              <w:spacing w:after="0" w:line="264" w:lineRule="auto"/>
              <w:ind w:left="-103"/>
              <w:rPr>
                <w:b/>
              </w:rPr>
            </w:pPr>
            <w:r>
              <w:rPr>
                <w:b/>
              </w:rPr>
              <w:t>AFP</w:t>
            </w:r>
          </w:p>
        </w:tc>
        <w:tc>
          <w:tcPr>
            <w:tcW w:w="8365" w:type="dxa"/>
            <w:tcBorders>
              <w:top w:val="nil"/>
              <w:left w:val="nil"/>
              <w:bottom w:val="nil"/>
              <w:right w:val="nil"/>
            </w:tcBorders>
            <w:shd w:val="clear" w:color="auto" w:fill="auto"/>
            <w:vAlign w:val="center"/>
          </w:tcPr>
          <w:p w14:paraId="3B6A3FF8" w14:textId="3FEAC250" w:rsidR="000E5B87" w:rsidRDefault="000E5B87" w:rsidP="000E5B87">
            <w:pPr>
              <w:spacing w:after="0" w:line="264" w:lineRule="auto"/>
            </w:pPr>
            <w:r>
              <w:t>Australian Federal Police</w:t>
            </w:r>
          </w:p>
        </w:tc>
      </w:tr>
      <w:tr w:rsidR="000E5B87" w14:paraId="743E78EC" w14:textId="77777777" w:rsidTr="000E5B87">
        <w:trPr>
          <w:trHeight w:val="440"/>
        </w:trPr>
        <w:tc>
          <w:tcPr>
            <w:tcW w:w="1895" w:type="dxa"/>
            <w:tcBorders>
              <w:top w:val="nil"/>
              <w:left w:val="nil"/>
              <w:bottom w:val="nil"/>
              <w:right w:val="nil"/>
            </w:tcBorders>
            <w:shd w:val="clear" w:color="auto" w:fill="auto"/>
            <w:vAlign w:val="center"/>
          </w:tcPr>
          <w:p w14:paraId="60341CA5" w14:textId="09502187" w:rsidR="000E5B87" w:rsidRDefault="000E5B87" w:rsidP="000E5B87">
            <w:pPr>
              <w:spacing w:after="0" w:line="264" w:lineRule="auto"/>
              <w:ind w:left="-103"/>
              <w:rPr>
                <w:b/>
              </w:rPr>
            </w:pPr>
            <w:r>
              <w:rPr>
                <w:b/>
              </w:rPr>
              <w:t>ASI</w:t>
            </w:r>
          </w:p>
        </w:tc>
        <w:tc>
          <w:tcPr>
            <w:tcW w:w="8365" w:type="dxa"/>
            <w:tcBorders>
              <w:top w:val="nil"/>
              <w:left w:val="nil"/>
              <w:bottom w:val="nil"/>
              <w:right w:val="nil"/>
            </w:tcBorders>
            <w:shd w:val="clear" w:color="auto" w:fill="auto"/>
            <w:vAlign w:val="center"/>
          </w:tcPr>
          <w:p w14:paraId="4A3BD3F0" w14:textId="7810081A" w:rsidR="000E5B87" w:rsidRDefault="000E5B87" w:rsidP="000E5B87">
            <w:pPr>
              <w:spacing w:after="0" w:line="264" w:lineRule="auto"/>
            </w:pPr>
            <w:r>
              <w:t>Adam Smith International</w:t>
            </w:r>
          </w:p>
        </w:tc>
      </w:tr>
      <w:tr w:rsidR="000E5B87" w14:paraId="767F27DC" w14:textId="77777777" w:rsidTr="000E5B87">
        <w:trPr>
          <w:trHeight w:val="440"/>
        </w:trPr>
        <w:tc>
          <w:tcPr>
            <w:tcW w:w="1895" w:type="dxa"/>
            <w:tcBorders>
              <w:top w:val="nil"/>
              <w:left w:val="nil"/>
              <w:bottom w:val="nil"/>
              <w:right w:val="nil"/>
            </w:tcBorders>
            <w:shd w:val="clear" w:color="auto" w:fill="auto"/>
            <w:vAlign w:val="center"/>
          </w:tcPr>
          <w:p w14:paraId="03C3F3D2" w14:textId="1780D418" w:rsidR="000E5B87" w:rsidRDefault="000E5B87" w:rsidP="000E5B87">
            <w:pPr>
              <w:spacing w:after="0" w:line="264" w:lineRule="auto"/>
              <w:ind w:left="-103"/>
              <w:rPr>
                <w:b/>
              </w:rPr>
            </w:pPr>
            <w:r>
              <w:rPr>
                <w:b/>
              </w:rPr>
              <w:t>ASIPJ</w:t>
            </w:r>
          </w:p>
        </w:tc>
        <w:tc>
          <w:tcPr>
            <w:tcW w:w="8365" w:type="dxa"/>
            <w:tcBorders>
              <w:top w:val="nil"/>
              <w:left w:val="nil"/>
              <w:bottom w:val="nil"/>
              <w:right w:val="nil"/>
            </w:tcBorders>
            <w:shd w:val="clear" w:color="auto" w:fill="auto"/>
            <w:vAlign w:val="center"/>
          </w:tcPr>
          <w:p w14:paraId="0F6D7DC8" w14:textId="5397733F" w:rsidR="000E5B87" w:rsidRDefault="000E5B87" w:rsidP="000E5B87">
            <w:pPr>
              <w:spacing w:after="0" w:line="264" w:lineRule="auto"/>
            </w:pPr>
            <w:r>
              <w:t>Australia Solomon Islands Partnership for Justice</w:t>
            </w:r>
          </w:p>
        </w:tc>
      </w:tr>
      <w:tr w:rsidR="000E5B87" w14:paraId="7A0E69B5" w14:textId="77777777" w:rsidTr="000E5B87">
        <w:trPr>
          <w:trHeight w:val="440"/>
        </w:trPr>
        <w:tc>
          <w:tcPr>
            <w:tcW w:w="1895" w:type="dxa"/>
            <w:tcBorders>
              <w:top w:val="nil"/>
              <w:left w:val="nil"/>
              <w:bottom w:val="nil"/>
              <w:right w:val="nil"/>
            </w:tcBorders>
            <w:shd w:val="clear" w:color="auto" w:fill="auto"/>
            <w:vAlign w:val="center"/>
          </w:tcPr>
          <w:p w14:paraId="4B1C57ED" w14:textId="48ECD935" w:rsidR="000E5B87" w:rsidRPr="004136F6" w:rsidRDefault="000E5B87" w:rsidP="000E5B87">
            <w:pPr>
              <w:spacing w:after="0" w:line="264" w:lineRule="auto"/>
              <w:ind w:left="-103"/>
              <w:rPr>
                <w:b/>
              </w:rPr>
            </w:pPr>
            <w:r>
              <w:rPr>
                <w:b/>
              </w:rPr>
              <w:t>CLC</w:t>
            </w:r>
          </w:p>
        </w:tc>
        <w:tc>
          <w:tcPr>
            <w:tcW w:w="8365" w:type="dxa"/>
            <w:tcBorders>
              <w:top w:val="nil"/>
              <w:left w:val="nil"/>
              <w:bottom w:val="nil"/>
              <w:right w:val="nil"/>
            </w:tcBorders>
            <w:shd w:val="clear" w:color="auto" w:fill="auto"/>
            <w:vAlign w:val="center"/>
          </w:tcPr>
          <w:p w14:paraId="1966065A" w14:textId="32A9A430" w:rsidR="000E5B87" w:rsidRPr="00E706A8" w:rsidRDefault="000E5B87" w:rsidP="000E5B87">
            <w:pPr>
              <w:spacing w:after="0" w:line="264" w:lineRule="auto"/>
            </w:pPr>
            <w:r>
              <w:t>Community Legal Centre</w:t>
            </w:r>
          </w:p>
        </w:tc>
      </w:tr>
      <w:tr w:rsidR="000E5B87" w14:paraId="55CA6515" w14:textId="77777777" w:rsidTr="000E5B87">
        <w:trPr>
          <w:trHeight w:val="440"/>
        </w:trPr>
        <w:tc>
          <w:tcPr>
            <w:tcW w:w="1895" w:type="dxa"/>
            <w:tcBorders>
              <w:top w:val="nil"/>
              <w:left w:val="nil"/>
              <w:bottom w:val="nil"/>
              <w:right w:val="nil"/>
            </w:tcBorders>
            <w:shd w:val="clear" w:color="auto" w:fill="auto"/>
            <w:vAlign w:val="center"/>
          </w:tcPr>
          <w:p w14:paraId="17F397D2" w14:textId="651342DF" w:rsidR="000E5B87" w:rsidRDefault="000E5B87" w:rsidP="000E5B87">
            <w:pPr>
              <w:spacing w:after="0" w:line="264" w:lineRule="auto"/>
              <w:ind w:left="-103"/>
              <w:rPr>
                <w:b/>
              </w:rPr>
            </w:pPr>
            <w:r>
              <w:rPr>
                <w:b/>
              </w:rPr>
              <w:t>CSSI</w:t>
            </w:r>
          </w:p>
        </w:tc>
        <w:tc>
          <w:tcPr>
            <w:tcW w:w="8365" w:type="dxa"/>
            <w:tcBorders>
              <w:top w:val="nil"/>
              <w:left w:val="nil"/>
              <w:bottom w:val="nil"/>
              <w:right w:val="nil"/>
            </w:tcBorders>
            <w:shd w:val="clear" w:color="auto" w:fill="auto"/>
            <w:vAlign w:val="center"/>
          </w:tcPr>
          <w:p w14:paraId="7714032A" w14:textId="7336EFF7" w:rsidR="000E5B87" w:rsidRDefault="000E5B87" w:rsidP="000E5B87">
            <w:pPr>
              <w:spacing w:after="0" w:line="264" w:lineRule="auto"/>
            </w:pPr>
            <w:r>
              <w:t>Correctional Services of Solomon Islands</w:t>
            </w:r>
          </w:p>
        </w:tc>
      </w:tr>
      <w:tr w:rsidR="000E5B87" w14:paraId="7976EAC1" w14:textId="77777777" w:rsidTr="000E5B87">
        <w:trPr>
          <w:trHeight w:val="440"/>
        </w:trPr>
        <w:tc>
          <w:tcPr>
            <w:tcW w:w="1895" w:type="dxa"/>
            <w:tcBorders>
              <w:top w:val="nil"/>
              <w:left w:val="nil"/>
              <w:bottom w:val="nil"/>
              <w:right w:val="nil"/>
            </w:tcBorders>
            <w:shd w:val="clear" w:color="auto" w:fill="auto"/>
            <w:vAlign w:val="center"/>
          </w:tcPr>
          <w:p w14:paraId="7894E0F1" w14:textId="55B8CCA8" w:rsidR="000E5B87" w:rsidRDefault="000E5B87" w:rsidP="000E5B87">
            <w:pPr>
              <w:spacing w:after="0" w:line="264" w:lineRule="auto"/>
              <w:ind w:left="-103"/>
              <w:rPr>
                <w:b/>
              </w:rPr>
            </w:pPr>
            <w:r>
              <w:rPr>
                <w:b/>
              </w:rPr>
              <w:t>DFAT</w:t>
            </w:r>
          </w:p>
        </w:tc>
        <w:tc>
          <w:tcPr>
            <w:tcW w:w="8365" w:type="dxa"/>
            <w:tcBorders>
              <w:top w:val="nil"/>
              <w:left w:val="nil"/>
              <w:bottom w:val="nil"/>
              <w:right w:val="nil"/>
            </w:tcBorders>
            <w:shd w:val="clear" w:color="auto" w:fill="auto"/>
            <w:vAlign w:val="center"/>
          </w:tcPr>
          <w:p w14:paraId="02866901" w14:textId="42F9DCE7" w:rsidR="000E5B87" w:rsidRDefault="000E5B87" w:rsidP="000E5B87">
            <w:pPr>
              <w:spacing w:after="0" w:line="264" w:lineRule="auto"/>
            </w:pPr>
            <w:r>
              <w:t>Department of Foreign Affairs and Trade, Australia</w:t>
            </w:r>
          </w:p>
        </w:tc>
      </w:tr>
      <w:tr w:rsidR="000E5B87" w14:paraId="35E8FF18" w14:textId="77777777" w:rsidTr="000E5B87">
        <w:trPr>
          <w:trHeight w:val="440"/>
        </w:trPr>
        <w:tc>
          <w:tcPr>
            <w:tcW w:w="1895" w:type="dxa"/>
            <w:tcBorders>
              <w:top w:val="nil"/>
              <w:left w:val="nil"/>
              <w:bottom w:val="nil"/>
              <w:right w:val="nil"/>
            </w:tcBorders>
            <w:shd w:val="clear" w:color="auto" w:fill="auto"/>
            <w:vAlign w:val="center"/>
          </w:tcPr>
          <w:p w14:paraId="0516A703" w14:textId="2B668267" w:rsidR="000E5B87" w:rsidRDefault="000E5B87" w:rsidP="000E5B87">
            <w:pPr>
              <w:spacing w:after="0" w:line="264" w:lineRule="auto"/>
              <w:ind w:left="-103"/>
              <w:rPr>
                <w:b/>
              </w:rPr>
            </w:pPr>
            <w:r>
              <w:rPr>
                <w:b/>
              </w:rPr>
              <w:t>EOPO</w:t>
            </w:r>
          </w:p>
        </w:tc>
        <w:tc>
          <w:tcPr>
            <w:tcW w:w="8365" w:type="dxa"/>
            <w:tcBorders>
              <w:top w:val="nil"/>
              <w:left w:val="nil"/>
              <w:bottom w:val="nil"/>
              <w:right w:val="nil"/>
            </w:tcBorders>
            <w:shd w:val="clear" w:color="auto" w:fill="auto"/>
            <w:vAlign w:val="center"/>
          </w:tcPr>
          <w:p w14:paraId="5111E0C6" w14:textId="68420922" w:rsidR="000E5B87" w:rsidRDefault="000E5B87" w:rsidP="000E5B87">
            <w:pPr>
              <w:spacing w:after="0" w:line="264" w:lineRule="auto"/>
            </w:pPr>
            <w:r>
              <w:t>End-of-program outcome</w:t>
            </w:r>
          </w:p>
        </w:tc>
      </w:tr>
      <w:tr w:rsidR="000E5B87" w14:paraId="4876DBC8" w14:textId="77777777" w:rsidTr="000E5B87">
        <w:trPr>
          <w:trHeight w:val="440"/>
        </w:trPr>
        <w:tc>
          <w:tcPr>
            <w:tcW w:w="1895" w:type="dxa"/>
            <w:tcBorders>
              <w:top w:val="nil"/>
              <w:left w:val="nil"/>
              <w:bottom w:val="nil"/>
              <w:right w:val="nil"/>
            </w:tcBorders>
            <w:shd w:val="clear" w:color="auto" w:fill="auto"/>
            <w:vAlign w:val="center"/>
          </w:tcPr>
          <w:p w14:paraId="07AF5FB6" w14:textId="4679AF45" w:rsidR="000E5B87" w:rsidRDefault="000E5B87" w:rsidP="000E5B87">
            <w:pPr>
              <w:spacing w:after="0" w:line="264" w:lineRule="auto"/>
              <w:ind w:left="-103"/>
              <w:rPr>
                <w:b/>
              </w:rPr>
            </w:pPr>
            <w:r>
              <w:rPr>
                <w:b/>
              </w:rPr>
              <w:t>GEDSI</w:t>
            </w:r>
          </w:p>
        </w:tc>
        <w:tc>
          <w:tcPr>
            <w:tcW w:w="8365" w:type="dxa"/>
            <w:tcBorders>
              <w:top w:val="nil"/>
              <w:left w:val="nil"/>
              <w:bottom w:val="nil"/>
              <w:right w:val="nil"/>
            </w:tcBorders>
            <w:shd w:val="clear" w:color="auto" w:fill="auto"/>
            <w:vAlign w:val="center"/>
          </w:tcPr>
          <w:p w14:paraId="6DF76F54" w14:textId="4B308D49" w:rsidR="000E5B87" w:rsidRDefault="000E5B87" w:rsidP="000E5B87">
            <w:pPr>
              <w:spacing w:after="0" w:line="264" w:lineRule="auto"/>
            </w:pPr>
            <w:r>
              <w:t>Gender equality, disability and social inclusion</w:t>
            </w:r>
          </w:p>
        </w:tc>
      </w:tr>
      <w:tr w:rsidR="000E5B87" w14:paraId="2A74060E" w14:textId="77777777" w:rsidTr="000E5B87">
        <w:trPr>
          <w:trHeight w:val="440"/>
        </w:trPr>
        <w:tc>
          <w:tcPr>
            <w:tcW w:w="1895" w:type="dxa"/>
            <w:tcBorders>
              <w:top w:val="nil"/>
              <w:left w:val="nil"/>
              <w:bottom w:val="nil"/>
              <w:right w:val="nil"/>
            </w:tcBorders>
            <w:shd w:val="clear" w:color="auto" w:fill="auto"/>
            <w:vAlign w:val="center"/>
          </w:tcPr>
          <w:p w14:paraId="7726CA98" w14:textId="1DFA2251" w:rsidR="000E5B87" w:rsidRDefault="000E5B87" w:rsidP="000E5B87">
            <w:pPr>
              <w:spacing w:after="0" w:line="264" w:lineRule="auto"/>
              <w:ind w:left="-103"/>
              <w:rPr>
                <w:b/>
              </w:rPr>
            </w:pPr>
            <w:r>
              <w:rPr>
                <w:b/>
              </w:rPr>
              <w:t>IO</w:t>
            </w:r>
          </w:p>
        </w:tc>
        <w:tc>
          <w:tcPr>
            <w:tcW w:w="8365" w:type="dxa"/>
            <w:tcBorders>
              <w:top w:val="nil"/>
              <w:left w:val="nil"/>
              <w:bottom w:val="nil"/>
              <w:right w:val="nil"/>
            </w:tcBorders>
            <w:shd w:val="clear" w:color="auto" w:fill="auto"/>
            <w:vAlign w:val="center"/>
          </w:tcPr>
          <w:p w14:paraId="263716D7" w14:textId="3DD32540" w:rsidR="000E5B87" w:rsidRDefault="000E5B87" w:rsidP="000E5B87">
            <w:pPr>
              <w:spacing w:after="0" w:line="264" w:lineRule="auto"/>
            </w:pPr>
            <w:r>
              <w:t>Intermediate outcome</w:t>
            </w:r>
          </w:p>
        </w:tc>
      </w:tr>
      <w:tr w:rsidR="000E5B87" w14:paraId="09AA8F76" w14:textId="77777777" w:rsidTr="000E5B87">
        <w:trPr>
          <w:trHeight w:val="440"/>
        </w:trPr>
        <w:tc>
          <w:tcPr>
            <w:tcW w:w="1895" w:type="dxa"/>
            <w:tcBorders>
              <w:top w:val="nil"/>
              <w:left w:val="nil"/>
              <w:bottom w:val="nil"/>
              <w:right w:val="nil"/>
            </w:tcBorders>
            <w:shd w:val="clear" w:color="auto" w:fill="auto"/>
            <w:vAlign w:val="center"/>
          </w:tcPr>
          <w:p w14:paraId="772A40FD" w14:textId="3D3EDE8A" w:rsidR="000E5B87" w:rsidRDefault="000E5B87" w:rsidP="000E5B87">
            <w:pPr>
              <w:spacing w:after="0" w:line="264" w:lineRule="auto"/>
              <w:ind w:left="-103"/>
              <w:rPr>
                <w:b/>
              </w:rPr>
            </w:pPr>
            <w:r>
              <w:rPr>
                <w:b/>
              </w:rPr>
              <w:t>JIMS</w:t>
            </w:r>
          </w:p>
        </w:tc>
        <w:tc>
          <w:tcPr>
            <w:tcW w:w="8365" w:type="dxa"/>
            <w:tcBorders>
              <w:top w:val="nil"/>
              <w:left w:val="nil"/>
              <w:bottom w:val="nil"/>
              <w:right w:val="nil"/>
            </w:tcBorders>
            <w:shd w:val="clear" w:color="auto" w:fill="auto"/>
            <w:vAlign w:val="center"/>
          </w:tcPr>
          <w:p w14:paraId="2B0C15BC" w14:textId="23C7BEA8" w:rsidR="000E5B87" w:rsidRDefault="000E5B87" w:rsidP="000E5B87">
            <w:pPr>
              <w:spacing w:after="0" w:line="264" w:lineRule="auto"/>
            </w:pPr>
            <w:r>
              <w:t>Justice Information Management System</w:t>
            </w:r>
          </w:p>
        </w:tc>
      </w:tr>
      <w:tr w:rsidR="000E5B87" w14:paraId="224BCEC8" w14:textId="77777777" w:rsidTr="000E5B87">
        <w:trPr>
          <w:trHeight w:val="440"/>
        </w:trPr>
        <w:tc>
          <w:tcPr>
            <w:tcW w:w="1895" w:type="dxa"/>
            <w:tcBorders>
              <w:top w:val="nil"/>
              <w:left w:val="nil"/>
              <w:bottom w:val="nil"/>
              <w:right w:val="nil"/>
            </w:tcBorders>
            <w:shd w:val="clear" w:color="auto" w:fill="auto"/>
            <w:vAlign w:val="center"/>
          </w:tcPr>
          <w:p w14:paraId="194C34C4" w14:textId="6A46AF21" w:rsidR="000E5B87" w:rsidRDefault="000E5B87" w:rsidP="000E5B87">
            <w:pPr>
              <w:spacing w:after="0" w:line="264" w:lineRule="auto"/>
              <w:ind w:left="-103"/>
              <w:rPr>
                <w:b/>
              </w:rPr>
            </w:pPr>
            <w:r>
              <w:rPr>
                <w:b/>
              </w:rPr>
              <w:t>JSSF</w:t>
            </w:r>
          </w:p>
        </w:tc>
        <w:tc>
          <w:tcPr>
            <w:tcW w:w="8365" w:type="dxa"/>
            <w:tcBorders>
              <w:top w:val="nil"/>
              <w:left w:val="nil"/>
              <w:bottom w:val="nil"/>
              <w:right w:val="nil"/>
            </w:tcBorders>
            <w:shd w:val="clear" w:color="auto" w:fill="auto"/>
            <w:vAlign w:val="center"/>
          </w:tcPr>
          <w:p w14:paraId="1B90EFCA" w14:textId="7F97DA5C" w:rsidR="000E5B87" w:rsidRDefault="000E5B87" w:rsidP="000E5B87">
            <w:pPr>
              <w:spacing w:after="0" w:line="264" w:lineRule="auto"/>
            </w:pPr>
            <w:r>
              <w:t>Justice Sector Strategic Framework</w:t>
            </w:r>
          </w:p>
        </w:tc>
      </w:tr>
      <w:tr w:rsidR="000E5B87" w14:paraId="69D8E200" w14:textId="77777777" w:rsidTr="000E5B87">
        <w:trPr>
          <w:trHeight w:val="440"/>
        </w:trPr>
        <w:tc>
          <w:tcPr>
            <w:tcW w:w="1895" w:type="dxa"/>
            <w:tcBorders>
              <w:top w:val="nil"/>
              <w:left w:val="nil"/>
              <w:bottom w:val="nil"/>
              <w:right w:val="nil"/>
            </w:tcBorders>
            <w:shd w:val="clear" w:color="auto" w:fill="auto"/>
            <w:vAlign w:val="center"/>
          </w:tcPr>
          <w:p w14:paraId="7102B471" w14:textId="310CA665" w:rsidR="000E5B87" w:rsidRDefault="000E5B87" w:rsidP="000E5B87">
            <w:pPr>
              <w:spacing w:after="0" w:line="264" w:lineRule="auto"/>
              <w:ind w:left="-103"/>
              <w:rPr>
                <w:b/>
              </w:rPr>
            </w:pPr>
            <w:r>
              <w:rPr>
                <w:b/>
              </w:rPr>
              <w:t>MERL</w:t>
            </w:r>
          </w:p>
        </w:tc>
        <w:tc>
          <w:tcPr>
            <w:tcW w:w="8365" w:type="dxa"/>
            <w:tcBorders>
              <w:top w:val="nil"/>
              <w:left w:val="nil"/>
              <w:bottom w:val="nil"/>
              <w:right w:val="nil"/>
            </w:tcBorders>
            <w:shd w:val="clear" w:color="auto" w:fill="auto"/>
            <w:vAlign w:val="center"/>
          </w:tcPr>
          <w:p w14:paraId="0FD141E0" w14:textId="6603916D" w:rsidR="000E5B87" w:rsidRDefault="000E5B87" w:rsidP="000E5B87">
            <w:pPr>
              <w:spacing w:after="0" w:line="264" w:lineRule="auto"/>
            </w:pPr>
            <w:r>
              <w:t>Monitoring, Evaluation, Research and Learning</w:t>
            </w:r>
          </w:p>
        </w:tc>
      </w:tr>
      <w:tr w:rsidR="000E5B87" w14:paraId="754B284D" w14:textId="77777777" w:rsidTr="000E5B87">
        <w:trPr>
          <w:trHeight w:val="440"/>
        </w:trPr>
        <w:tc>
          <w:tcPr>
            <w:tcW w:w="1895" w:type="dxa"/>
            <w:tcBorders>
              <w:top w:val="nil"/>
              <w:left w:val="nil"/>
              <w:bottom w:val="nil"/>
              <w:right w:val="nil"/>
            </w:tcBorders>
            <w:shd w:val="clear" w:color="auto" w:fill="auto"/>
            <w:vAlign w:val="center"/>
          </w:tcPr>
          <w:p w14:paraId="6412B508" w14:textId="0BECD89F" w:rsidR="000E5B87" w:rsidRDefault="000E5B87" w:rsidP="000E5B87">
            <w:pPr>
              <w:spacing w:after="0" w:line="264" w:lineRule="auto"/>
              <w:ind w:left="-103"/>
              <w:rPr>
                <w:b/>
              </w:rPr>
            </w:pPr>
            <w:r>
              <w:rPr>
                <w:b/>
              </w:rPr>
              <w:t>MJLA</w:t>
            </w:r>
          </w:p>
        </w:tc>
        <w:tc>
          <w:tcPr>
            <w:tcW w:w="8365" w:type="dxa"/>
            <w:tcBorders>
              <w:top w:val="nil"/>
              <w:left w:val="nil"/>
              <w:bottom w:val="nil"/>
              <w:right w:val="nil"/>
            </w:tcBorders>
            <w:shd w:val="clear" w:color="auto" w:fill="auto"/>
            <w:vAlign w:val="center"/>
          </w:tcPr>
          <w:p w14:paraId="3CB7E14D" w14:textId="5F56104D" w:rsidR="000E5B87" w:rsidRDefault="000E5B87" w:rsidP="000E5B87">
            <w:pPr>
              <w:spacing w:after="0" w:line="264" w:lineRule="auto"/>
            </w:pPr>
            <w:r w:rsidRPr="00FD6358">
              <w:rPr>
                <w:szCs w:val="24"/>
              </w:rPr>
              <w:t>Ministry of Justice and Legal Affairs</w:t>
            </w:r>
          </w:p>
        </w:tc>
      </w:tr>
      <w:tr w:rsidR="000E5B87" w14:paraId="797795CC" w14:textId="77777777" w:rsidTr="000E5B87">
        <w:trPr>
          <w:trHeight w:val="440"/>
        </w:trPr>
        <w:tc>
          <w:tcPr>
            <w:tcW w:w="1895" w:type="dxa"/>
            <w:tcBorders>
              <w:top w:val="nil"/>
              <w:left w:val="nil"/>
              <w:bottom w:val="nil"/>
              <w:right w:val="nil"/>
            </w:tcBorders>
            <w:shd w:val="clear" w:color="auto" w:fill="auto"/>
            <w:vAlign w:val="center"/>
          </w:tcPr>
          <w:p w14:paraId="684C8EA8" w14:textId="5D68CD93" w:rsidR="000E5B87" w:rsidRDefault="000E5B87" w:rsidP="000E5B87">
            <w:pPr>
              <w:spacing w:after="0" w:line="264" w:lineRule="auto"/>
              <w:ind w:left="-103"/>
              <w:rPr>
                <w:b/>
              </w:rPr>
            </w:pPr>
            <w:r>
              <w:rPr>
                <w:b/>
              </w:rPr>
              <w:t>MTR</w:t>
            </w:r>
          </w:p>
        </w:tc>
        <w:tc>
          <w:tcPr>
            <w:tcW w:w="8365" w:type="dxa"/>
            <w:tcBorders>
              <w:top w:val="nil"/>
              <w:left w:val="nil"/>
              <w:bottom w:val="nil"/>
              <w:right w:val="nil"/>
            </w:tcBorders>
            <w:shd w:val="clear" w:color="auto" w:fill="auto"/>
            <w:vAlign w:val="center"/>
          </w:tcPr>
          <w:p w14:paraId="5C09A7CF" w14:textId="7292A538" w:rsidR="000E5B87" w:rsidRDefault="000E5B87" w:rsidP="000E5B87">
            <w:pPr>
              <w:spacing w:after="0" w:line="264" w:lineRule="auto"/>
            </w:pPr>
            <w:r>
              <w:t>Mid-Term Review</w:t>
            </w:r>
          </w:p>
        </w:tc>
      </w:tr>
      <w:tr w:rsidR="000E5B87" w14:paraId="4F0A8850" w14:textId="77777777" w:rsidTr="000E5B87">
        <w:trPr>
          <w:trHeight w:val="440"/>
        </w:trPr>
        <w:tc>
          <w:tcPr>
            <w:tcW w:w="1895" w:type="dxa"/>
            <w:tcBorders>
              <w:top w:val="nil"/>
              <w:left w:val="nil"/>
              <w:bottom w:val="nil"/>
              <w:right w:val="nil"/>
            </w:tcBorders>
            <w:shd w:val="clear" w:color="auto" w:fill="auto"/>
            <w:vAlign w:val="center"/>
          </w:tcPr>
          <w:p w14:paraId="22A07B71" w14:textId="56A4062A" w:rsidR="000E5B87" w:rsidRDefault="000E5B87" w:rsidP="000E5B87">
            <w:pPr>
              <w:spacing w:after="0" w:line="264" w:lineRule="auto"/>
              <w:ind w:left="-103"/>
              <w:rPr>
                <w:b/>
              </w:rPr>
            </w:pPr>
            <w:r>
              <w:rPr>
                <w:b/>
              </w:rPr>
              <w:t>NGO</w:t>
            </w:r>
          </w:p>
        </w:tc>
        <w:tc>
          <w:tcPr>
            <w:tcW w:w="8365" w:type="dxa"/>
            <w:tcBorders>
              <w:top w:val="nil"/>
              <w:left w:val="nil"/>
              <w:bottom w:val="nil"/>
              <w:right w:val="nil"/>
            </w:tcBorders>
            <w:shd w:val="clear" w:color="auto" w:fill="auto"/>
            <w:vAlign w:val="center"/>
          </w:tcPr>
          <w:p w14:paraId="01AC6E27" w14:textId="4B6923EB" w:rsidR="000E5B87" w:rsidRDefault="000E5B87" w:rsidP="000E5B87">
            <w:pPr>
              <w:spacing w:after="0" w:line="264" w:lineRule="auto"/>
            </w:pPr>
            <w:r>
              <w:t>Non-governmental organisation</w:t>
            </w:r>
          </w:p>
        </w:tc>
      </w:tr>
      <w:tr w:rsidR="000E5B87" w14:paraId="0A486036" w14:textId="77777777" w:rsidTr="000E5B87">
        <w:trPr>
          <w:trHeight w:val="440"/>
        </w:trPr>
        <w:tc>
          <w:tcPr>
            <w:tcW w:w="1895" w:type="dxa"/>
            <w:tcBorders>
              <w:top w:val="nil"/>
              <w:left w:val="nil"/>
              <w:bottom w:val="nil"/>
              <w:right w:val="nil"/>
            </w:tcBorders>
            <w:shd w:val="clear" w:color="auto" w:fill="auto"/>
            <w:vAlign w:val="center"/>
          </w:tcPr>
          <w:p w14:paraId="1B5DD9E0" w14:textId="7164F84D" w:rsidR="000E5B87" w:rsidRDefault="000E5B87" w:rsidP="000E5B87">
            <w:pPr>
              <w:spacing w:after="0" w:line="264" w:lineRule="auto"/>
              <w:ind w:left="-103"/>
              <w:rPr>
                <w:b/>
              </w:rPr>
            </w:pPr>
            <w:r>
              <w:rPr>
                <w:b/>
              </w:rPr>
              <w:t>ODPP</w:t>
            </w:r>
          </w:p>
        </w:tc>
        <w:tc>
          <w:tcPr>
            <w:tcW w:w="8365" w:type="dxa"/>
            <w:tcBorders>
              <w:top w:val="nil"/>
              <w:left w:val="nil"/>
              <w:bottom w:val="nil"/>
              <w:right w:val="nil"/>
            </w:tcBorders>
            <w:shd w:val="clear" w:color="auto" w:fill="auto"/>
            <w:vAlign w:val="center"/>
          </w:tcPr>
          <w:p w14:paraId="7A7C369F" w14:textId="16895A75" w:rsidR="000E5B87" w:rsidRDefault="000E5B87" w:rsidP="000E5B87">
            <w:pPr>
              <w:spacing w:after="0" w:line="264" w:lineRule="auto"/>
            </w:pPr>
            <w:r>
              <w:t>Office of the Director of Public Prosecutions</w:t>
            </w:r>
          </w:p>
        </w:tc>
      </w:tr>
      <w:tr w:rsidR="000E5B87" w14:paraId="567DC9EA" w14:textId="77777777" w:rsidTr="000E5B87">
        <w:trPr>
          <w:trHeight w:val="440"/>
        </w:trPr>
        <w:tc>
          <w:tcPr>
            <w:tcW w:w="1895" w:type="dxa"/>
            <w:tcBorders>
              <w:top w:val="nil"/>
              <w:left w:val="nil"/>
              <w:bottom w:val="nil"/>
              <w:right w:val="nil"/>
            </w:tcBorders>
            <w:shd w:val="clear" w:color="auto" w:fill="auto"/>
            <w:vAlign w:val="center"/>
          </w:tcPr>
          <w:p w14:paraId="113882EB" w14:textId="0CACB3D9" w:rsidR="000E5B87" w:rsidRDefault="000E5B87" w:rsidP="000E5B87">
            <w:pPr>
              <w:spacing w:after="0" w:line="264" w:lineRule="auto"/>
              <w:ind w:left="-103"/>
              <w:rPr>
                <w:b/>
              </w:rPr>
            </w:pPr>
            <w:r>
              <w:rPr>
                <w:b/>
              </w:rPr>
              <w:t>PRG</w:t>
            </w:r>
          </w:p>
        </w:tc>
        <w:tc>
          <w:tcPr>
            <w:tcW w:w="8365" w:type="dxa"/>
            <w:tcBorders>
              <w:top w:val="nil"/>
              <w:left w:val="nil"/>
              <w:bottom w:val="nil"/>
              <w:right w:val="nil"/>
            </w:tcBorders>
            <w:shd w:val="clear" w:color="auto" w:fill="auto"/>
            <w:vAlign w:val="center"/>
          </w:tcPr>
          <w:p w14:paraId="400337BB" w14:textId="628ED58C" w:rsidR="000E5B87" w:rsidRDefault="000E5B87" w:rsidP="000E5B87">
            <w:pPr>
              <w:spacing w:after="0" w:line="264" w:lineRule="auto"/>
            </w:pPr>
            <w:r>
              <w:t>Program Reference Group</w:t>
            </w:r>
          </w:p>
        </w:tc>
      </w:tr>
      <w:tr w:rsidR="000E5B87" w14:paraId="137562AB" w14:textId="77777777" w:rsidTr="000E5B87">
        <w:trPr>
          <w:trHeight w:val="440"/>
        </w:trPr>
        <w:tc>
          <w:tcPr>
            <w:tcW w:w="1895" w:type="dxa"/>
            <w:tcBorders>
              <w:top w:val="nil"/>
              <w:left w:val="nil"/>
              <w:bottom w:val="nil"/>
              <w:right w:val="nil"/>
            </w:tcBorders>
            <w:shd w:val="clear" w:color="auto" w:fill="auto"/>
            <w:vAlign w:val="center"/>
          </w:tcPr>
          <w:p w14:paraId="5C737CAC" w14:textId="6F290EF2" w:rsidR="000E5B87" w:rsidRDefault="000E5B87" w:rsidP="000E5B87">
            <w:pPr>
              <w:spacing w:after="0" w:line="264" w:lineRule="auto"/>
              <w:ind w:left="-103"/>
              <w:rPr>
                <w:b/>
              </w:rPr>
            </w:pPr>
            <w:r>
              <w:rPr>
                <w:b/>
              </w:rPr>
              <w:t>PPD</w:t>
            </w:r>
          </w:p>
        </w:tc>
        <w:tc>
          <w:tcPr>
            <w:tcW w:w="8365" w:type="dxa"/>
            <w:tcBorders>
              <w:top w:val="nil"/>
              <w:left w:val="nil"/>
              <w:bottom w:val="nil"/>
              <w:right w:val="nil"/>
            </w:tcBorders>
            <w:shd w:val="clear" w:color="auto" w:fill="auto"/>
            <w:vAlign w:val="center"/>
          </w:tcPr>
          <w:p w14:paraId="5582BC0F" w14:textId="35AC0699" w:rsidR="000E5B87" w:rsidRPr="00FD6358" w:rsidRDefault="000E5B87" w:rsidP="000E5B87">
            <w:pPr>
              <w:spacing w:after="0" w:line="264" w:lineRule="auto"/>
              <w:rPr>
                <w:rFonts w:cs="Times New Roman"/>
                <w:szCs w:val="24"/>
              </w:rPr>
            </w:pPr>
            <w:r>
              <w:rPr>
                <w:rFonts w:cs="Times New Roman"/>
                <w:szCs w:val="24"/>
              </w:rPr>
              <w:t>Police Prosecution Department</w:t>
            </w:r>
          </w:p>
        </w:tc>
      </w:tr>
      <w:tr w:rsidR="000E5B87" w14:paraId="6CF9AEAF" w14:textId="77777777" w:rsidTr="000E5B87">
        <w:trPr>
          <w:trHeight w:val="440"/>
        </w:trPr>
        <w:tc>
          <w:tcPr>
            <w:tcW w:w="1895" w:type="dxa"/>
            <w:tcBorders>
              <w:top w:val="nil"/>
              <w:left w:val="nil"/>
              <w:bottom w:val="nil"/>
              <w:right w:val="nil"/>
            </w:tcBorders>
            <w:shd w:val="clear" w:color="auto" w:fill="auto"/>
            <w:vAlign w:val="center"/>
          </w:tcPr>
          <w:p w14:paraId="7912CADB" w14:textId="6FD0BF87" w:rsidR="000E5B87" w:rsidRDefault="000E5B87" w:rsidP="000E5B87">
            <w:pPr>
              <w:spacing w:after="0" w:line="264" w:lineRule="auto"/>
              <w:ind w:left="-103"/>
              <w:rPr>
                <w:b/>
              </w:rPr>
            </w:pPr>
            <w:r>
              <w:rPr>
                <w:b/>
              </w:rPr>
              <w:t>PSO</w:t>
            </w:r>
          </w:p>
        </w:tc>
        <w:tc>
          <w:tcPr>
            <w:tcW w:w="8365" w:type="dxa"/>
            <w:tcBorders>
              <w:top w:val="nil"/>
              <w:left w:val="nil"/>
              <w:bottom w:val="nil"/>
              <w:right w:val="nil"/>
            </w:tcBorders>
            <w:shd w:val="clear" w:color="auto" w:fill="auto"/>
            <w:vAlign w:val="center"/>
          </w:tcPr>
          <w:p w14:paraId="60FD357C" w14:textId="7D621CFE" w:rsidR="000E5B87" w:rsidRPr="00FD6358" w:rsidRDefault="000E5B87" w:rsidP="000E5B87">
            <w:pPr>
              <w:spacing w:after="0" w:line="264" w:lineRule="auto"/>
              <w:rPr>
                <w:rFonts w:cs="Times New Roman"/>
                <w:szCs w:val="24"/>
              </w:rPr>
            </w:pPr>
            <w:r>
              <w:rPr>
                <w:rFonts w:cs="Times New Roman"/>
                <w:szCs w:val="24"/>
              </w:rPr>
              <w:t>Public Solicitor’s Office</w:t>
            </w:r>
          </w:p>
        </w:tc>
      </w:tr>
      <w:tr w:rsidR="000E5B87" w14:paraId="1ACE2A03" w14:textId="77777777" w:rsidTr="000E5B87">
        <w:trPr>
          <w:trHeight w:val="440"/>
        </w:trPr>
        <w:tc>
          <w:tcPr>
            <w:tcW w:w="1895" w:type="dxa"/>
            <w:tcBorders>
              <w:top w:val="nil"/>
              <w:left w:val="nil"/>
              <w:bottom w:val="nil"/>
              <w:right w:val="nil"/>
            </w:tcBorders>
            <w:shd w:val="clear" w:color="auto" w:fill="auto"/>
            <w:vAlign w:val="center"/>
          </w:tcPr>
          <w:p w14:paraId="1E491DDA" w14:textId="06D3571A" w:rsidR="000E5B87" w:rsidRDefault="000E5B87" w:rsidP="000E5B87">
            <w:pPr>
              <w:spacing w:after="0" w:line="264" w:lineRule="auto"/>
              <w:ind w:left="-103"/>
              <w:rPr>
                <w:b/>
              </w:rPr>
            </w:pPr>
            <w:r>
              <w:rPr>
                <w:b/>
              </w:rPr>
              <w:t>RAPPP</w:t>
            </w:r>
          </w:p>
        </w:tc>
        <w:tc>
          <w:tcPr>
            <w:tcW w:w="8365" w:type="dxa"/>
            <w:tcBorders>
              <w:top w:val="nil"/>
              <w:left w:val="nil"/>
              <w:bottom w:val="nil"/>
              <w:right w:val="nil"/>
            </w:tcBorders>
            <w:shd w:val="clear" w:color="auto" w:fill="auto"/>
            <w:vAlign w:val="center"/>
          </w:tcPr>
          <w:p w14:paraId="760AE3B2" w14:textId="74C12263" w:rsidR="000E5B87" w:rsidRDefault="000E5B87" w:rsidP="000E5B87">
            <w:pPr>
              <w:spacing w:after="0" w:line="264" w:lineRule="auto"/>
            </w:pPr>
            <w:r w:rsidRPr="00FD6358">
              <w:rPr>
                <w:rFonts w:cs="Times New Roman"/>
                <w:szCs w:val="24"/>
              </w:rPr>
              <w:t>Royal Solomon Islands Police Force-AFP Policing Partnership Program</w:t>
            </w:r>
          </w:p>
        </w:tc>
      </w:tr>
      <w:tr w:rsidR="000E5B87" w14:paraId="338B5141" w14:textId="77777777" w:rsidTr="000E5B87">
        <w:trPr>
          <w:trHeight w:val="440"/>
        </w:trPr>
        <w:tc>
          <w:tcPr>
            <w:tcW w:w="1895" w:type="dxa"/>
            <w:tcBorders>
              <w:top w:val="nil"/>
              <w:left w:val="nil"/>
              <w:bottom w:val="nil"/>
              <w:right w:val="nil"/>
            </w:tcBorders>
            <w:shd w:val="clear" w:color="auto" w:fill="auto"/>
            <w:vAlign w:val="center"/>
          </w:tcPr>
          <w:p w14:paraId="27B55D29" w14:textId="18E18322" w:rsidR="000E5B87" w:rsidRDefault="000E5B87" w:rsidP="000E5B87">
            <w:pPr>
              <w:spacing w:after="0" w:line="264" w:lineRule="auto"/>
              <w:ind w:left="-103"/>
              <w:rPr>
                <w:b/>
              </w:rPr>
            </w:pPr>
            <w:r>
              <w:rPr>
                <w:b/>
              </w:rPr>
              <w:t>RAMSI</w:t>
            </w:r>
          </w:p>
        </w:tc>
        <w:tc>
          <w:tcPr>
            <w:tcW w:w="8365" w:type="dxa"/>
            <w:tcBorders>
              <w:top w:val="nil"/>
              <w:left w:val="nil"/>
              <w:bottom w:val="nil"/>
              <w:right w:val="nil"/>
            </w:tcBorders>
            <w:shd w:val="clear" w:color="auto" w:fill="auto"/>
            <w:vAlign w:val="center"/>
          </w:tcPr>
          <w:p w14:paraId="73C3A484" w14:textId="103EC670" w:rsidR="000E5B87" w:rsidRDefault="000E5B87" w:rsidP="000E5B87">
            <w:pPr>
              <w:spacing w:after="0" w:line="264" w:lineRule="auto"/>
            </w:pPr>
            <w:r>
              <w:t>Regional Assistance Mission to Solomon Islands</w:t>
            </w:r>
          </w:p>
        </w:tc>
      </w:tr>
      <w:tr w:rsidR="000E5B87" w14:paraId="1D39A1B6" w14:textId="77777777" w:rsidTr="000E5B87">
        <w:trPr>
          <w:trHeight w:val="440"/>
        </w:trPr>
        <w:tc>
          <w:tcPr>
            <w:tcW w:w="1895" w:type="dxa"/>
            <w:tcBorders>
              <w:top w:val="nil"/>
              <w:left w:val="nil"/>
              <w:bottom w:val="nil"/>
              <w:right w:val="nil"/>
            </w:tcBorders>
            <w:shd w:val="clear" w:color="auto" w:fill="auto"/>
            <w:vAlign w:val="center"/>
          </w:tcPr>
          <w:p w14:paraId="3570D652" w14:textId="4198F108" w:rsidR="000E5B87" w:rsidRDefault="000E5B87" w:rsidP="000E5B87">
            <w:pPr>
              <w:spacing w:after="0" w:line="264" w:lineRule="auto"/>
              <w:ind w:left="-103"/>
              <w:rPr>
                <w:b/>
              </w:rPr>
            </w:pPr>
            <w:r>
              <w:rPr>
                <w:b/>
              </w:rPr>
              <w:t>RSIPF</w:t>
            </w:r>
          </w:p>
        </w:tc>
        <w:tc>
          <w:tcPr>
            <w:tcW w:w="8365" w:type="dxa"/>
            <w:tcBorders>
              <w:top w:val="nil"/>
              <w:left w:val="nil"/>
              <w:bottom w:val="nil"/>
              <w:right w:val="nil"/>
            </w:tcBorders>
            <w:shd w:val="clear" w:color="auto" w:fill="auto"/>
            <w:vAlign w:val="center"/>
          </w:tcPr>
          <w:p w14:paraId="44DAE96C" w14:textId="3B606A3D" w:rsidR="000E5B87" w:rsidRDefault="000E5B87" w:rsidP="000E5B87">
            <w:pPr>
              <w:spacing w:after="0" w:line="264" w:lineRule="auto"/>
            </w:pPr>
            <w:r>
              <w:t>Royal Solomon Islands Police Force</w:t>
            </w:r>
          </w:p>
        </w:tc>
      </w:tr>
      <w:tr w:rsidR="000E5B87" w14:paraId="1AC64BDB" w14:textId="77777777" w:rsidTr="000E5B87">
        <w:trPr>
          <w:trHeight w:val="440"/>
        </w:trPr>
        <w:tc>
          <w:tcPr>
            <w:tcW w:w="1895" w:type="dxa"/>
            <w:tcBorders>
              <w:top w:val="nil"/>
              <w:left w:val="nil"/>
              <w:bottom w:val="nil"/>
              <w:right w:val="nil"/>
            </w:tcBorders>
            <w:shd w:val="clear" w:color="auto" w:fill="auto"/>
            <w:vAlign w:val="center"/>
          </w:tcPr>
          <w:p w14:paraId="62D08D43" w14:textId="773AD517" w:rsidR="000E5B87" w:rsidRDefault="000E5B87" w:rsidP="000E5B87">
            <w:pPr>
              <w:spacing w:after="0" w:line="264" w:lineRule="auto"/>
              <w:ind w:left="-103"/>
              <w:rPr>
                <w:b/>
              </w:rPr>
            </w:pPr>
            <w:r>
              <w:rPr>
                <w:b/>
              </w:rPr>
              <w:t>SIG</w:t>
            </w:r>
          </w:p>
        </w:tc>
        <w:tc>
          <w:tcPr>
            <w:tcW w:w="8365" w:type="dxa"/>
            <w:tcBorders>
              <w:top w:val="nil"/>
              <w:left w:val="nil"/>
              <w:bottom w:val="nil"/>
              <w:right w:val="nil"/>
            </w:tcBorders>
            <w:shd w:val="clear" w:color="auto" w:fill="auto"/>
            <w:vAlign w:val="center"/>
          </w:tcPr>
          <w:p w14:paraId="75C8287D" w14:textId="4B28814F" w:rsidR="000E5B87" w:rsidRDefault="000E5B87" w:rsidP="000E5B87">
            <w:pPr>
              <w:spacing w:after="0" w:line="264" w:lineRule="auto"/>
            </w:pPr>
            <w:r>
              <w:t>Solomon Islands Government</w:t>
            </w:r>
          </w:p>
        </w:tc>
      </w:tr>
      <w:tr w:rsidR="000E5B87" w14:paraId="5621AC6A" w14:textId="77777777" w:rsidTr="000E5B87">
        <w:trPr>
          <w:trHeight w:val="440"/>
        </w:trPr>
        <w:tc>
          <w:tcPr>
            <w:tcW w:w="1895" w:type="dxa"/>
            <w:tcBorders>
              <w:top w:val="nil"/>
              <w:left w:val="nil"/>
              <w:bottom w:val="nil"/>
              <w:right w:val="nil"/>
            </w:tcBorders>
            <w:shd w:val="clear" w:color="auto" w:fill="auto"/>
            <w:vAlign w:val="center"/>
          </w:tcPr>
          <w:p w14:paraId="5FDF0D25" w14:textId="484CA5E7" w:rsidR="000E5B87" w:rsidRDefault="000E5B87" w:rsidP="000E5B87">
            <w:pPr>
              <w:spacing w:after="0" w:line="264" w:lineRule="auto"/>
              <w:ind w:left="-103"/>
              <w:rPr>
                <w:b/>
              </w:rPr>
            </w:pPr>
            <w:r>
              <w:rPr>
                <w:b/>
              </w:rPr>
              <w:t>SIWLA</w:t>
            </w:r>
          </w:p>
        </w:tc>
        <w:tc>
          <w:tcPr>
            <w:tcW w:w="8365" w:type="dxa"/>
            <w:tcBorders>
              <w:top w:val="nil"/>
              <w:left w:val="nil"/>
              <w:bottom w:val="nil"/>
              <w:right w:val="nil"/>
            </w:tcBorders>
            <w:shd w:val="clear" w:color="auto" w:fill="auto"/>
            <w:vAlign w:val="center"/>
          </w:tcPr>
          <w:p w14:paraId="0B083D3B" w14:textId="375FBA13" w:rsidR="000E5B87" w:rsidRDefault="000E5B87" w:rsidP="000E5B87">
            <w:pPr>
              <w:spacing w:after="0" w:line="264" w:lineRule="auto"/>
            </w:pPr>
            <w:r>
              <w:t>Solomon Islands Women Lawyers Association</w:t>
            </w:r>
          </w:p>
        </w:tc>
      </w:tr>
      <w:tr w:rsidR="000E5B87" w14:paraId="1A89E36D" w14:textId="77777777" w:rsidTr="000E5B87">
        <w:trPr>
          <w:trHeight w:val="440"/>
        </w:trPr>
        <w:tc>
          <w:tcPr>
            <w:tcW w:w="1895" w:type="dxa"/>
            <w:tcBorders>
              <w:top w:val="nil"/>
              <w:right w:val="nil"/>
            </w:tcBorders>
            <w:shd w:val="clear" w:color="auto" w:fill="auto"/>
            <w:vAlign w:val="center"/>
          </w:tcPr>
          <w:p w14:paraId="1544530A" w14:textId="77777777" w:rsidR="000E5B87" w:rsidRDefault="000E5B87" w:rsidP="000E5B87">
            <w:pPr>
              <w:spacing w:after="0" w:line="264" w:lineRule="auto"/>
              <w:rPr>
                <w:b/>
              </w:rPr>
            </w:pPr>
          </w:p>
        </w:tc>
        <w:tc>
          <w:tcPr>
            <w:tcW w:w="8365" w:type="dxa"/>
            <w:tcBorders>
              <w:top w:val="nil"/>
              <w:left w:val="nil"/>
            </w:tcBorders>
            <w:shd w:val="clear" w:color="auto" w:fill="auto"/>
            <w:vAlign w:val="center"/>
          </w:tcPr>
          <w:p w14:paraId="7932523D" w14:textId="77777777" w:rsidR="000E5B87" w:rsidRDefault="000E5B87" w:rsidP="000E5B87">
            <w:pPr>
              <w:spacing w:after="0" w:line="264" w:lineRule="auto"/>
            </w:pPr>
          </w:p>
        </w:tc>
      </w:tr>
    </w:tbl>
    <w:p w14:paraId="415CBAD7" w14:textId="77777777" w:rsidR="000A14B6" w:rsidRDefault="000A14B6" w:rsidP="000A14B6">
      <w:pPr>
        <w:spacing w:after="0" w:line="288" w:lineRule="auto"/>
        <w:ind w:right="-446"/>
        <w:jc w:val="both"/>
        <w:sectPr w:rsidR="000A14B6" w:rsidSect="000A14B6">
          <w:footerReference w:type="default" r:id="rId8"/>
          <w:pgSz w:w="12240" w:h="15840"/>
          <w:pgMar w:top="1440" w:right="1440" w:bottom="1440" w:left="1440" w:header="720" w:footer="720" w:gutter="0"/>
          <w:pgNumType w:start="1"/>
          <w:cols w:space="720"/>
          <w:docGrid w:linePitch="360"/>
        </w:sectPr>
      </w:pPr>
    </w:p>
    <w:p w14:paraId="15053B68" w14:textId="77777777" w:rsidR="00ED6DB7" w:rsidRDefault="000A14B6" w:rsidP="00E111BF">
      <w:pPr>
        <w:pStyle w:val="Heading1"/>
        <w:spacing w:before="0" w:after="240" w:line="262" w:lineRule="auto"/>
        <w:ind w:hanging="446"/>
        <w:rPr>
          <w:rFonts w:asciiTheme="minorHAnsi" w:hAnsiTheme="minorHAnsi"/>
          <w:b/>
          <w:color w:val="002060"/>
          <w:sz w:val="28"/>
          <w:szCs w:val="28"/>
        </w:rPr>
      </w:pPr>
      <w:bookmarkStart w:id="6" w:name="_Toc425974657"/>
      <w:bookmarkStart w:id="7" w:name="_Toc56189441"/>
      <w:bookmarkStart w:id="8" w:name="_Toc197077512"/>
      <w:r>
        <w:rPr>
          <w:rFonts w:asciiTheme="minorHAnsi" w:hAnsiTheme="minorHAnsi"/>
          <w:b/>
          <w:color w:val="002060"/>
          <w:sz w:val="28"/>
          <w:szCs w:val="28"/>
        </w:rPr>
        <w:lastRenderedPageBreak/>
        <w:t>EXECUTIVE SUMMARY</w:t>
      </w:r>
      <w:bookmarkStart w:id="9" w:name="_Toc425974658"/>
      <w:bookmarkStart w:id="10" w:name="_Toc56189442"/>
      <w:bookmarkEnd w:id="6"/>
      <w:bookmarkEnd w:id="7"/>
      <w:bookmarkEnd w:id="8"/>
    </w:p>
    <w:p w14:paraId="3FEFCD44" w14:textId="3DE2D5B6" w:rsidR="00E111BF" w:rsidRPr="00B46251" w:rsidRDefault="00E111BF" w:rsidP="00E111BF">
      <w:pPr>
        <w:ind w:left="-448" w:right="-448"/>
        <w:jc w:val="both"/>
        <w:rPr>
          <w:b/>
          <w:color w:val="002060"/>
        </w:rPr>
      </w:pPr>
      <w:r w:rsidRPr="00B46251">
        <w:rPr>
          <w:b/>
          <w:color w:val="002060"/>
        </w:rPr>
        <w:t xml:space="preserve">Purpose of the </w:t>
      </w:r>
      <w:r w:rsidR="007336FD">
        <w:rPr>
          <w:b/>
          <w:color w:val="002060"/>
        </w:rPr>
        <w:t>Mid-Term Review</w:t>
      </w:r>
    </w:p>
    <w:p w14:paraId="31CF8082" w14:textId="50C8E62A" w:rsidR="007336FD" w:rsidRDefault="00E111BF" w:rsidP="00E111BF">
      <w:pPr>
        <w:ind w:left="-446" w:right="-446"/>
        <w:jc w:val="both"/>
      </w:pPr>
      <w:r w:rsidRPr="00B46251">
        <w:t xml:space="preserve">This is an independent </w:t>
      </w:r>
      <w:r w:rsidR="002976C4">
        <w:t>m</w:t>
      </w:r>
      <w:r>
        <w:t>id-</w:t>
      </w:r>
      <w:r w:rsidR="002976C4">
        <w:t>t</w:t>
      </w:r>
      <w:r>
        <w:t xml:space="preserve">erm </w:t>
      </w:r>
      <w:r w:rsidR="002976C4">
        <w:t>r</w:t>
      </w:r>
      <w:r>
        <w:t xml:space="preserve">eview </w:t>
      </w:r>
      <w:r w:rsidR="002976C4">
        <w:t xml:space="preserve">(MTR) </w:t>
      </w:r>
      <w:r w:rsidRPr="00B46251">
        <w:t xml:space="preserve">of the </w:t>
      </w:r>
      <w:r>
        <w:t>Australia Solomon Islands Partnership for Justice (ASIPJ)</w:t>
      </w:r>
      <w:r w:rsidRPr="00B46251">
        <w:t xml:space="preserve">. It was commissioned by the Department of Foreign Affairs and Trade (DFAT) and conducted over </w:t>
      </w:r>
      <w:r>
        <w:t>February – May 2025</w:t>
      </w:r>
      <w:r w:rsidRPr="00B46251">
        <w:t xml:space="preserve">. The purpose of the </w:t>
      </w:r>
      <w:r w:rsidR="002976C4">
        <w:t>MTR</w:t>
      </w:r>
      <w:r w:rsidRPr="00B46251">
        <w:t xml:space="preserve"> is to assess </w:t>
      </w:r>
      <w:r w:rsidR="002976C4">
        <w:t>the program’s</w:t>
      </w:r>
      <w:r w:rsidRPr="00B46251">
        <w:t xml:space="preserve"> </w:t>
      </w:r>
      <w:r w:rsidR="007336FD">
        <w:t xml:space="preserve">relevance, </w:t>
      </w:r>
      <w:r w:rsidRPr="00B46251">
        <w:t>effectiveness</w:t>
      </w:r>
      <w:r w:rsidR="007336FD">
        <w:t>, efficiency and sustainability; review the program’s approach to and progress towards achieving gender equality, disability and social inclusion</w:t>
      </w:r>
      <w:r w:rsidR="005D24DF">
        <w:t xml:space="preserve"> (GEDSI)</w:t>
      </w:r>
      <w:r w:rsidR="007336FD">
        <w:t xml:space="preserve"> outcomes</w:t>
      </w:r>
      <w:r w:rsidR="009218E5">
        <w:t>,</w:t>
      </w:r>
      <w:r w:rsidR="00B50364">
        <w:t xml:space="preserve"> noting disruptions to the program’s implementation</w:t>
      </w:r>
      <w:r w:rsidR="007336FD">
        <w:t xml:space="preserve">; and to </w:t>
      </w:r>
      <w:r w:rsidR="00B50364">
        <w:t xml:space="preserve">provide insights for future </w:t>
      </w:r>
      <w:r w:rsidR="007336FD">
        <w:t xml:space="preserve">program </w:t>
      </w:r>
      <w:r w:rsidR="00B50364">
        <w:t xml:space="preserve">iterations </w:t>
      </w:r>
      <w:r w:rsidR="007336FD">
        <w:t>going forward.</w:t>
      </w:r>
    </w:p>
    <w:p w14:paraId="10D383B2" w14:textId="6435203B" w:rsidR="00E111BF" w:rsidRPr="00B46251" w:rsidRDefault="00E111BF" w:rsidP="00E111BF">
      <w:pPr>
        <w:ind w:left="-448" w:right="-448"/>
        <w:jc w:val="both"/>
        <w:rPr>
          <w:b/>
          <w:color w:val="002060"/>
        </w:rPr>
      </w:pPr>
      <w:r w:rsidRPr="00B46251">
        <w:rPr>
          <w:b/>
          <w:color w:val="002060"/>
        </w:rPr>
        <w:t xml:space="preserve">Approach taken to the </w:t>
      </w:r>
      <w:r w:rsidR="007336FD">
        <w:rPr>
          <w:b/>
          <w:color w:val="002060"/>
        </w:rPr>
        <w:t>Mid-Term Review</w:t>
      </w:r>
    </w:p>
    <w:p w14:paraId="1D6FF08C" w14:textId="241ED630" w:rsidR="00E111BF" w:rsidRPr="00B46251" w:rsidRDefault="00E111BF" w:rsidP="00E111BF">
      <w:pPr>
        <w:ind w:left="-448" w:right="-448"/>
        <w:jc w:val="both"/>
        <w:rPr>
          <w:bCs/>
        </w:rPr>
      </w:pPr>
      <w:r w:rsidRPr="00B46251">
        <w:rPr>
          <w:bCs/>
        </w:rPr>
        <w:t xml:space="preserve">The </w:t>
      </w:r>
      <w:r w:rsidR="007336FD">
        <w:rPr>
          <w:bCs/>
        </w:rPr>
        <w:t>review</w:t>
      </w:r>
      <w:r w:rsidRPr="00B46251">
        <w:rPr>
          <w:bCs/>
        </w:rPr>
        <w:t xml:space="preserve"> was completed by three independent evaluators</w:t>
      </w:r>
      <w:r w:rsidR="007336FD">
        <w:rPr>
          <w:bCs/>
        </w:rPr>
        <w:t>. T</w:t>
      </w:r>
      <w:r w:rsidRPr="00B46251">
        <w:rPr>
          <w:bCs/>
        </w:rPr>
        <w:t xml:space="preserve">he methodology featured document review, interviews with key project stakeholders, and validation </w:t>
      </w:r>
      <w:r w:rsidR="007336FD">
        <w:rPr>
          <w:bCs/>
        </w:rPr>
        <w:t>conversations</w:t>
      </w:r>
      <w:r w:rsidRPr="00B46251">
        <w:rPr>
          <w:bCs/>
        </w:rPr>
        <w:t xml:space="preserve"> to test findings and clarify details with select stakeholders.</w:t>
      </w:r>
      <w:r w:rsidR="007336FD">
        <w:rPr>
          <w:bCs/>
        </w:rPr>
        <w:t xml:space="preserve"> The full methodology is set out in in the Evaluation Plan at Annex 2.</w:t>
      </w:r>
    </w:p>
    <w:p w14:paraId="6A6BFD21" w14:textId="77777777" w:rsidR="00E111BF" w:rsidRPr="00B46251" w:rsidRDefault="00E111BF" w:rsidP="00E111BF">
      <w:pPr>
        <w:spacing w:after="0"/>
        <w:ind w:left="-446" w:right="-448"/>
        <w:jc w:val="both"/>
        <w:rPr>
          <w:b/>
          <w:color w:val="002060"/>
        </w:rPr>
      </w:pPr>
      <w:r w:rsidRPr="00B46251">
        <w:rPr>
          <w:b/>
          <w:color w:val="002060"/>
        </w:rPr>
        <w:t>Key Findings</w:t>
      </w:r>
    </w:p>
    <w:p w14:paraId="4BDAC5C3" w14:textId="77777777" w:rsidR="00E111BF" w:rsidRPr="00B46251" w:rsidRDefault="00E111BF" w:rsidP="00E111BF">
      <w:pPr>
        <w:spacing w:after="0"/>
        <w:ind w:left="-446" w:right="-446"/>
        <w:jc w:val="both"/>
      </w:pPr>
    </w:p>
    <w:p w14:paraId="0EBB0658" w14:textId="54020F82" w:rsidR="002976C4" w:rsidRDefault="00E111BF" w:rsidP="008548FF">
      <w:pPr>
        <w:spacing w:after="0"/>
        <w:ind w:left="-446" w:right="-448"/>
        <w:jc w:val="both"/>
        <w:rPr>
          <w:rStyle w:val="normaltextrun"/>
          <w:color w:val="222222"/>
          <w:shd w:val="clear" w:color="auto" w:fill="FFFFFF"/>
        </w:rPr>
      </w:pPr>
      <w:r w:rsidRPr="00B46251">
        <w:rPr>
          <w:b/>
          <w:color w:val="002060"/>
        </w:rPr>
        <w:t xml:space="preserve">Relevance: </w:t>
      </w:r>
      <w:r w:rsidRPr="00B46251">
        <w:rPr>
          <w:bCs/>
        </w:rPr>
        <w:t xml:space="preserve">There is </w:t>
      </w:r>
      <w:r w:rsidRPr="00B46251">
        <w:rPr>
          <w:rStyle w:val="normaltextrun"/>
          <w:color w:val="222222"/>
          <w:shd w:val="clear" w:color="auto" w:fill="FFFFFF"/>
        </w:rPr>
        <w:t xml:space="preserve">universal agreement that the </w:t>
      </w:r>
      <w:r w:rsidR="008548FF">
        <w:rPr>
          <w:rStyle w:val="normaltextrun"/>
          <w:color w:val="222222"/>
          <w:shd w:val="clear" w:color="auto" w:fill="FFFFFF"/>
        </w:rPr>
        <w:t>program</w:t>
      </w:r>
      <w:r w:rsidRPr="00B46251">
        <w:rPr>
          <w:rStyle w:val="normaltextrun"/>
          <w:color w:val="222222"/>
          <w:shd w:val="clear" w:color="auto" w:fill="FFFFFF"/>
        </w:rPr>
        <w:t xml:space="preserve"> is highly relevant to the needs of </w:t>
      </w:r>
      <w:r w:rsidR="00114E80">
        <w:rPr>
          <w:rStyle w:val="normaltextrun"/>
          <w:color w:val="222222"/>
          <w:shd w:val="clear" w:color="auto" w:fill="FFFFFF"/>
        </w:rPr>
        <w:t xml:space="preserve">the </w:t>
      </w:r>
      <w:r w:rsidR="002976C4">
        <w:rPr>
          <w:rStyle w:val="normaltextrun"/>
          <w:color w:val="222222"/>
          <w:shd w:val="clear" w:color="auto" w:fill="FFFFFF"/>
        </w:rPr>
        <w:t>Solomon Islands</w:t>
      </w:r>
      <w:r w:rsidRPr="00B46251">
        <w:rPr>
          <w:rStyle w:val="normaltextrun"/>
          <w:color w:val="222222"/>
          <w:shd w:val="clear" w:color="auto" w:fill="FFFFFF"/>
        </w:rPr>
        <w:t> </w:t>
      </w:r>
      <w:r w:rsidR="00E70EE0">
        <w:rPr>
          <w:rStyle w:val="normaltextrun"/>
          <w:color w:val="222222"/>
          <w:shd w:val="clear" w:color="auto" w:fill="FFFFFF"/>
        </w:rPr>
        <w:t xml:space="preserve">law and justice sector </w:t>
      </w:r>
      <w:r w:rsidRPr="00B46251">
        <w:rPr>
          <w:rStyle w:val="normaltextrun"/>
          <w:color w:val="222222"/>
          <w:shd w:val="clear" w:color="auto" w:fill="FFFFFF"/>
        </w:rPr>
        <w:t>and there is a clear rationale for continued Australian investment. </w:t>
      </w:r>
      <w:r w:rsidR="008548FF">
        <w:t>Th</w:t>
      </w:r>
      <w:r w:rsidR="008548FF" w:rsidRPr="008954B3">
        <w:t>e program is highly responsive to the priorities of the justice sector</w:t>
      </w:r>
      <w:r w:rsidR="008548FF">
        <w:t xml:space="preserve">: </w:t>
      </w:r>
      <w:r w:rsidR="008548FF" w:rsidRPr="008954B3">
        <w:t>ASIPJ listens, refines</w:t>
      </w:r>
      <w:r w:rsidR="008548FF">
        <w:t>,</w:t>
      </w:r>
      <w:r w:rsidR="008548FF" w:rsidRPr="008954B3">
        <w:t xml:space="preserve"> and then </w:t>
      </w:r>
      <w:r w:rsidR="008548FF">
        <w:t xml:space="preserve">reflects-back </w:t>
      </w:r>
      <w:r w:rsidR="008548FF" w:rsidRPr="008954B3">
        <w:t>in its assistance that which the sector has articulated is needed, how</w:t>
      </w:r>
      <w:r w:rsidR="008548FF">
        <w:t>,</w:t>
      </w:r>
      <w:r w:rsidR="008548FF" w:rsidRPr="008954B3">
        <w:t xml:space="preserve"> and when. This is widely valued across the sector and has built trust, openness</w:t>
      </w:r>
      <w:r w:rsidR="008548FF">
        <w:t>,</w:t>
      </w:r>
      <w:r w:rsidR="008548FF" w:rsidRPr="008954B3">
        <w:t xml:space="preserve"> and a </w:t>
      </w:r>
      <w:r w:rsidR="008548FF">
        <w:t xml:space="preserve">confidence within the sector </w:t>
      </w:r>
      <w:r w:rsidR="008548FF" w:rsidRPr="008954B3">
        <w:t>to engage</w:t>
      </w:r>
      <w:r w:rsidR="008548FF">
        <w:t xml:space="preserve"> with ASIPJ</w:t>
      </w:r>
      <w:r w:rsidR="008548FF" w:rsidRPr="008954B3">
        <w:t>.</w:t>
      </w:r>
      <w:r w:rsidR="008548FF">
        <w:t xml:space="preserve"> There is a need to ensure that program support is strategically balanced across the justice system, particularly in </w:t>
      </w:r>
      <w:r w:rsidR="00BC74F9">
        <w:t>the context of</w:t>
      </w:r>
      <w:r w:rsidR="008548FF">
        <w:t xml:space="preserve"> the </w:t>
      </w:r>
      <w:r w:rsidR="00A96EC6">
        <w:t xml:space="preserve">Solomon Islands Government’s (SIG) </w:t>
      </w:r>
      <w:r w:rsidR="008548FF">
        <w:t>planned expansion of the Royal Solomon Islands Police Force (RSIPF).</w:t>
      </w:r>
    </w:p>
    <w:p w14:paraId="428D2A68" w14:textId="2785DA68" w:rsidR="000A256C" w:rsidRPr="008D5F98" w:rsidRDefault="005D24DF" w:rsidP="000A256C">
      <w:pPr>
        <w:spacing w:before="240"/>
        <w:ind w:left="-448" w:right="-448"/>
        <w:jc w:val="both"/>
        <w:rPr>
          <w:rStyle w:val="normaltextrun"/>
        </w:rPr>
      </w:pPr>
      <w:r>
        <w:rPr>
          <w:b/>
          <w:color w:val="002060"/>
        </w:rPr>
        <w:t>Effectiveness</w:t>
      </w:r>
      <w:r w:rsidR="00E111BF" w:rsidRPr="00B46251">
        <w:rPr>
          <w:b/>
          <w:color w:val="002060"/>
        </w:rPr>
        <w:t xml:space="preserve">: </w:t>
      </w:r>
      <w:r w:rsidR="008D5F98" w:rsidRPr="00161443">
        <w:t xml:space="preserve">The program is now widely considered to be </w:t>
      </w:r>
      <w:r w:rsidR="008D5F98" w:rsidRPr="00653571">
        <w:t>progressing well</w:t>
      </w:r>
      <w:r w:rsidR="008D5F98">
        <w:t>. Melanesian twinning arrangements, for example with the Public Solicitor’s Office in P</w:t>
      </w:r>
      <w:r w:rsidR="00114E80">
        <w:t xml:space="preserve">apua New Guinea </w:t>
      </w:r>
      <w:r w:rsidR="008D5F98">
        <w:t>and Legal Aid Commission Fiji, are innovative and inspired</w:t>
      </w:r>
      <w:r w:rsidR="00114E80">
        <w:t>. T</w:t>
      </w:r>
      <w:r w:rsidR="008D5F98">
        <w:t>hese arrangements leverage the unique Melanesian connections and affinities between the Melanesian group of countries.</w:t>
      </w:r>
      <w:r w:rsidR="000A256C">
        <w:t xml:space="preserve"> The Monitoring, Evaluation, Research and Learning (MERL) system is fit-for-purpose and supports information needs for sound program management. In a further program</w:t>
      </w:r>
      <w:r w:rsidR="00114E80">
        <w:t xml:space="preserve"> phase</w:t>
      </w:r>
      <w:r w:rsidR="000A256C">
        <w:t>, it will be important for the MERL system to seek to measure the end user’s experience of accessing justice in Solomon Islands. While noting the central focus of the program is on building the justice delivery capacity of</w:t>
      </w:r>
      <w:r w:rsidR="004F41AE">
        <w:t xml:space="preserve"> Solomon Islands Government</w:t>
      </w:r>
      <w:r w:rsidR="000A256C">
        <w:t xml:space="preserve"> </w:t>
      </w:r>
      <w:r w:rsidR="004F41AE">
        <w:t>(</w:t>
      </w:r>
      <w:r w:rsidR="000A256C">
        <w:t>SIG</w:t>
      </w:r>
      <w:r w:rsidR="004F41AE">
        <w:t>)</w:t>
      </w:r>
      <w:r w:rsidR="000A256C">
        <w:t xml:space="preserve"> justice sector agencies, it is important to know if and how this is enhancing access to justice and if change is occurring.</w:t>
      </w:r>
    </w:p>
    <w:p w14:paraId="7BC86A0B" w14:textId="1B546E80" w:rsidR="00EC3397" w:rsidRDefault="005D24DF" w:rsidP="00EC3397">
      <w:pPr>
        <w:ind w:left="-432" w:right="-432"/>
        <w:jc w:val="both"/>
        <w:rPr>
          <w:rFonts w:ascii="Calibri" w:hAnsi="Calibri" w:cs="Calibri"/>
        </w:rPr>
      </w:pPr>
      <w:r>
        <w:rPr>
          <w:b/>
          <w:color w:val="002060"/>
        </w:rPr>
        <w:t>Efficiency</w:t>
      </w:r>
      <w:r w:rsidR="00E111BF" w:rsidRPr="00B46251">
        <w:rPr>
          <w:b/>
          <w:color w:val="002060"/>
        </w:rPr>
        <w:t>:</w:t>
      </w:r>
      <w:r w:rsidR="00E111BF" w:rsidRPr="003A1B09">
        <w:rPr>
          <w:bCs/>
          <w:color w:val="002060"/>
        </w:rPr>
        <w:t xml:space="preserve"> </w:t>
      </w:r>
      <w:r w:rsidR="003A1B09" w:rsidRPr="00D5236C">
        <w:rPr>
          <w:bCs/>
        </w:rPr>
        <w:t xml:space="preserve">There is room for improvement in the program’s efficiency. </w:t>
      </w:r>
      <w:r w:rsidR="00EC3397">
        <w:rPr>
          <w:rStyle w:val="normaltextrun"/>
          <w:shd w:val="clear" w:color="auto" w:fill="FFFFFF"/>
        </w:rPr>
        <w:t>In terms of program governance, t</w:t>
      </w:r>
      <w:r w:rsidR="00E111BF" w:rsidRPr="00B46251">
        <w:rPr>
          <w:rStyle w:val="normaltextrun"/>
          <w:shd w:val="clear" w:color="auto" w:fill="FFFFFF"/>
        </w:rPr>
        <w:t xml:space="preserve">he </w:t>
      </w:r>
      <w:r w:rsidR="000A256C">
        <w:rPr>
          <w:rStyle w:val="normaltextrun"/>
          <w:shd w:val="clear" w:color="auto" w:fill="FFFFFF"/>
        </w:rPr>
        <w:t xml:space="preserve">Program Reference Group (PRG) </w:t>
      </w:r>
      <w:r w:rsidR="000A256C">
        <w:rPr>
          <w:rFonts w:ascii="Calibri" w:hAnsi="Calibri" w:cs="Calibri"/>
        </w:rPr>
        <w:t>is working well as a high-level mechanism for advice,</w:t>
      </w:r>
      <w:r w:rsidR="000A256C" w:rsidRPr="00D00F0C">
        <w:rPr>
          <w:rFonts w:ascii="Calibri" w:hAnsi="Calibri" w:cs="Calibri"/>
        </w:rPr>
        <w:t xml:space="preserve"> cross-sector collaboration</w:t>
      </w:r>
      <w:r w:rsidR="000A256C">
        <w:rPr>
          <w:rFonts w:ascii="Calibri" w:hAnsi="Calibri" w:cs="Calibri"/>
        </w:rPr>
        <w:t xml:space="preserve">, direction setting and decision making for the program. The PRG is comprised of one Australian Government official </w:t>
      </w:r>
      <w:r w:rsidR="000A256C" w:rsidRPr="00FD6358">
        <w:rPr>
          <w:szCs w:val="24"/>
        </w:rPr>
        <w:t>(Minister Counsellor</w:t>
      </w:r>
      <w:r w:rsidR="000A256C">
        <w:rPr>
          <w:szCs w:val="24"/>
        </w:rPr>
        <w:t>, Australian High Commission, Honiara</w:t>
      </w:r>
      <w:r w:rsidR="000A256C" w:rsidRPr="00FD6358">
        <w:rPr>
          <w:szCs w:val="24"/>
        </w:rPr>
        <w:t>)</w:t>
      </w:r>
      <w:r w:rsidR="000A256C">
        <w:rPr>
          <w:szCs w:val="24"/>
        </w:rPr>
        <w:t xml:space="preserve"> and four senior SIG officials (</w:t>
      </w:r>
      <w:r w:rsidR="000A256C" w:rsidRPr="00FD6358">
        <w:rPr>
          <w:szCs w:val="24"/>
        </w:rPr>
        <w:t>Chief Justice, Attorney General, Permanent Secretary of the Ministry of Justice and Legal Affairs (MJLA), and Permanent Secretary of the Ministry of Police, National Security and Correctional Services)</w:t>
      </w:r>
      <w:r w:rsidR="000A256C">
        <w:rPr>
          <w:szCs w:val="24"/>
        </w:rPr>
        <w:t xml:space="preserve"> </w:t>
      </w:r>
      <w:r w:rsidR="000A256C">
        <w:rPr>
          <w:rFonts w:cstheme="minorHAnsi"/>
          <w:szCs w:val="24"/>
        </w:rPr>
        <w:t>–</w:t>
      </w:r>
      <w:r w:rsidR="000A256C">
        <w:rPr>
          <w:szCs w:val="24"/>
        </w:rPr>
        <w:t xml:space="preserve"> this small grouping enables the P</w:t>
      </w:r>
      <w:r w:rsidR="00114E80">
        <w:rPr>
          <w:szCs w:val="24"/>
        </w:rPr>
        <w:t>R</w:t>
      </w:r>
      <w:r w:rsidR="000A256C">
        <w:rPr>
          <w:szCs w:val="24"/>
        </w:rPr>
        <w:t>G to operate in a streamlined</w:t>
      </w:r>
      <w:r w:rsidR="00EC3397">
        <w:rPr>
          <w:szCs w:val="24"/>
        </w:rPr>
        <w:t>, strategic</w:t>
      </w:r>
      <w:r w:rsidR="000A256C">
        <w:rPr>
          <w:szCs w:val="24"/>
        </w:rPr>
        <w:t xml:space="preserve"> way. </w:t>
      </w:r>
      <w:r w:rsidR="000A256C">
        <w:rPr>
          <w:rFonts w:ascii="Calibri" w:hAnsi="Calibri" w:cs="Calibri"/>
        </w:rPr>
        <w:t>However, as the heads of justice agencies are not members of the PRG, there is a missed opportunity to have their voices heard and their input into decision-making in a systematic and coordinated way.</w:t>
      </w:r>
      <w:r w:rsidR="00EC3397">
        <w:rPr>
          <w:rFonts w:ascii="Calibri" w:hAnsi="Calibri" w:cs="Calibri"/>
        </w:rPr>
        <w:t xml:space="preserve"> </w:t>
      </w:r>
    </w:p>
    <w:p w14:paraId="474AB547" w14:textId="5D1FED62" w:rsidR="00EC3397" w:rsidRDefault="00EC3397" w:rsidP="00EC3397">
      <w:pPr>
        <w:ind w:left="-432" w:right="-432"/>
        <w:jc w:val="both"/>
        <w:rPr>
          <w:rFonts w:ascii="Calibri" w:hAnsi="Calibri" w:cs="Calibri"/>
        </w:rPr>
      </w:pPr>
      <w:r>
        <w:rPr>
          <w:rFonts w:ascii="Calibri" w:hAnsi="Calibri" w:cs="Calibri"/>
        </w:rPr>
        <w:t>As it relates to program management, the performance of the managing contractor is assessed as strong, with the personnel engaged for key positions in program management regarded as particularly high performing.</w:t>
      </w:r>
      <w:r>
        <w:rPr>
          <w:b/>
          <w:color w:val="002060"/>
        </w:rPr>
        <w:t xml:space="preserve"> </w:t>
      </w:r>
      <w:r>
        <w:rPr>
          <w:rFonts w:ascii="Calibri" w:hAnsi="Calibri" w:cs="Calibri"/>
        </w:rPr>
        <w:lastRenderedPageBreak/>
        <w:t>However, t</w:t>
      </w:r>
      <w:r w:rsidRPr="00D00F0C">
        <w:rPr>
          <w:rFonts w:ascii="Calibri" w:hAnsi="Calibri" w:cs="Calibri"/>
        </w:rPr>
        <w:t xml:space="preserve">he </w:t>
      </w:r>
      <w:r>
        <w:rPr>
          <w:rFonts w:ascii="Calibri" w:hAnsi="Calibri" w:cs="Calibri"/>
        </w:rPr>
        <w:t>c</w:t>
      </w:r>
      <w:r w:rsidRPr="00D00F0C">
        <w:rPr>
          <w:rFonts w:ascii="Calibri" w:hAnsi="Calibri" w:cs="Calibri"/>
        </w:rPr>
        <w:t>onsortium arrangement has introduced inefficiencies that have thwarted the team’s ability to deliver with the limited resources they have</w:t>
      </w:r>
      <w:r>
        <w:rPr>
          <w:rFonts w:ascii="Calibri" w:hAnsi="Calibri" w:cs="Calibri"/>
        </w:rPr>
        <w:t xml:space="preserve">. </w:t>
      </w:r>
    </w:p>
    <w:p w14:paraId="13712D2A" w14:textId="5B59B76A" w:rsidR="00D5236C" w:rsidRDefault="005D24DF" w:rsidP="00F43CE9">
      <w:pPr>
        <w:ind w:left="-432" w:right="-432"/>
        <w:jc w:val="both"/>
      </w:pPr>
      <w:r>
        <w:rPr>
          <w:b/>
          <w:color w:val="002060"/>
        </w:rPr>
        <w:t>Sustainability:</w:t>
      </w:r>
      <w:r w:rsidR="00E111BF" w:rsidRPr="00B46251">
        <w:rPr>
          <w:rFonts w:eastAsia="Calibri" w:cstheme="minorHAnsi"/>
        </w:rPr>
        <w:t xml:space="preserve"> </w:t>
      </w:r>
      <w:r w:rsidR="003A1B09">
        <w:rPr>
          <w:rFonts w:eastAsia="Calibri" w:cstheme="minorHAnsi"/>
        </w:rPr>
        <w:t xml:space="preserve">The </w:t>
      </w:r>
      <w:r w:rsidR="00340727">
        <w:rPr>
          <w:rFonts w:eastAsia="Calibri" w:cstheme="minorHAnsi"/>
        </w:rPr>
        <w:t>long-term</w:t>
      </w:r>
      <w:r w:rsidR="00CD0620">
        <w:rPr>
          <w:rFonts w:eastAsia="Calibri" w:cstheme="minorHAnsi"/>
        </w:rPr>
        <w:t xml:space="preserve"> </w:t>
      </w:r>
      <w:r w:rsidR="003A1B09">
        <w:rPr>
          <w:rFonts w:eastAsia="Calibri" w:cstheme="minorHAnsi"/>
        </w:rPr>
        <w:t xml:space="preserve">sustainability of the program’s benefits </w:t>
      </w:r>
      <w:r w:rsidR="00D5236C">
        <w:rPr>
          <w:rFonts w:eastAsia="Calibri" w:cstheme="minorHAnsi"/>
        </w:rPr>
        <w:t>is</w:t>
      </w:r>
      <w:r w:rsidR="003A1B09">
        <w:rPr>
          <w:rFonts w:eastAsia="Calibri" w:cstheme="minorHAnsi"/>
        </w:rPr>
        <w:t xml:space="preserve"> not assured at this point </w:t>
      </w:r>
      <w:r w:rsidR="008C37AE">
        <w:rPr>
          <w:rFonts w:eastAsia="Calibri" w:cstheme="minorHAnsi"/>
        </w:rPr>
        <w:t>but with</w:t>
      </w:r>
      <w:r w:rsidR="003A1B09">
        <w:rPr>
          <w:rFonts w:eastAsia="Calibri" w:cstheme="minorHAnsi"/>
        </w:rPr>
        <w:t xml:space="preserve"> increased SIG ownership and further Australian investment</w:t>
      </w:r>
      <w:r w:rsidR="00676B4F">
        <w:rPr>
          <w:rFonts w:eastAsia="Calibri" w:cstheme="minorHAnsi"/>
        </w:rPr>
        <w:t xml:space="preserve"> the prospects </w:t>
      </w:r>
      <w:r w:rsidR="008B6649">
        <w:rPr>
          <w:rFonts w:eastAsia="Calibri" w:cstheme="minorHAnsi"/>
        </w:rPr>
        <w:t>will be much improved</w:t>
      </w:r>
      <w:r w:rsidR="003A1B09">
        <w:rPr>
          <w:rFonts w:eastAsia="Calibri" w:cstheme="minorHAnsi"/>
        </w:rPr>
        <w:t xml:space="preserve">. </w:t>
      </w:r>
      <w:r w:rsidR="00EC3397">
        <w:rPr>
          <w:rFonts w:eastAsiaTheme="minorEastAsia" w:cstheme="minorHAnsi"/>
        </w:rPr>
        <w:t xml:space="preserve">Program support for leadership as well as efforts to share </w:t>
      </w:r>
      <w:r w:rsidR="00EC3397">
        <w:t xml:space="preserve">costs with justice sector agencies </w:t>
      </w:r>
      <w:r w:rsidR="00F43CE9">
        <w:t>enhance ASIPJ’s</w:t>
      </w:r>
      <w:r w:rsidR="00EC3397">
        <w:t xml:space="preserve"> sustainability</w:t>
      </w:r>
      <w:r w:rsidR="00083364">
        <w:t xml:space="preserve">, such as the recent co-funding of the </w:t>
      </w:r>
      <w:r w:rsidR="00483BB6">
        <w:t>High Court refurbishment</w:t>
      </w:r>
      <w:r w:rsidR="00EC3397">
        <w:t xml:space="preserve">. </w:t>
      </w:r>
      <w:r w:rsidR="00F43CE9">
        <w:t>The Justice Information Management System (JIMS) poses challenges for sustainability. There are varying levels of enthusiasm, uptake</w:t>
      </w:r>
      <w:r w:rsidR="007E2F05">
        <w:t xml:space="preserve"> </w:t>
      </w:r>
      <w:r w:rsidR="00F43CE9">
        <w:t>and implementation of JIMS across the policing and justice sector</w:t>
      </w:r>
      <w:r w:rsidR="00EF2256">
        <w:t>,</w:t>
      </w:r>
      <w:r w:rsidR="000B47BE">
        <w:t xml:space="preserve"> and </w:t>
      </w:r>
      <w:r w:rsidR="00EF2256">
        <w:t xml:space="preserve">across different </w:t>
      </w:r>
      <w:r w:rsidR="000B47BE">
        <w:t>geographic areas</w:t>
      </w:r>
      <w:r w:rsidR="00F43CE9">
        <w:t xml:space="preserve">. For those agencies using JIMS, it is a helpful tool for case management, planning, and resourcing. </w:t>
      </w:r>
    </w:p>
    <w:p w14:paraId="2ADCE485" w14:textId="00FD76D7" w:rsidR="00F43CE9" w:rsidRPr="00F43CE9" w:rsidRDefault="00F43CE9" w:rsidP="00F43CE9">
      <w:pPr>
        <w:ind w:left="-432" w:right="-432"/>
        <w:jc w:val="both"/>
      </w:pPr>
      <w:r>
        <w:t>However, for JIMS to work properly, it requires good uptake across the entire sector</w:t>
      </w:r>
      <w:r w:rsidR="00D67BB7">
        <w:t xml:space="preserve"> by individuals and teams </w:t>
      </w:r>
      <w:r w:rsidR="00904E66">
        <w:t>holding critical</w:t>
      </w:r>
      <w:r w:rsidR="00B70CE2">
        <w:t xml:space="preserve"> information </w:t>
      </w:r>
      <w:r w:rsidR="004C2592">
        <w:t>and data</w:t>
      </w:r>
      <w:r w:rsidR="00AF6670">
        <w:t xml:space="preserve"> </w:t>
      </w:r>
      <w:r w:rsidR="00951860">
        <w:t>that needs to be captured for the system-wide benefits</w:t>
      </w:r>
      <w:r w:rsidR="00E1541B">
        <w:t xml:space="preserve"> to be realised</w:t>
      </w:r>
      <w:r>
        <w:t xml:space="preserve">. </w:t>
      </w:r>
      <w:r w:rsidR="00403155">
        <w:t>If uptake is limited, there will be data gaps that could lead to a lack of trust in the reliability of data and call into question the system’s usefulness, with the risk that this would further limit uptake</w:t>
      </w:r>
      <w:r w:rsidR="00F5209C">
        <w:t>.</w:t>
      </w:r>
      <w:r>
        <w:t xml:space="preserve"> The ASIPJ team is already addressing this through targeted work with </w:t>
      </w:r>
      <w:r w:rsidR="00F5209C">
        <w:t>“</w:t>
      </w:r>
      <w:r>
        <w:t>super users</w:t>
      </w:r>
      <w:r w:rsidR="00F5209C">
        <w:t>”</w:t>
      </w:r>
      <w:r>
        <w:t xml:space="preserve"> </w:t>
      </w:r>
      <w:r w:rsidR="00D5236C">
        <w:t>(</w:t>
      </w:r>
      <w:r w:rsidR="001B7F35">
        <w:t>technically</w:t>
      </w:r>
      <w:r w:rsidR="00D5236C">
        <w:t xml:space="preserve"> </w:t>
      </w:r>
      <w:r w:rsidR="001B7F35">
        <w:t xml:space="preserve">skilled individuals in </w:t>
      </w:r>
      <w:r w:rsidR="00C46810">
        <w:t>key roles</w:t>
      </w:r>
      <w:r w:rsidR="00D5236C">
        <w:t>)</w:t>
      </w:r>
      <w:r w:rsidR="001B7F35">
        <w:t xml:space="preserve"> </w:t>
      </w:r>
      <w:r>
        <w:t xml:space="preserve">within justice sector institutions to build ownership, encourage uptake and support the sustainability of JIMS. An additional avenue </w:t>
      </w:r>
      <w:r w:rsidR="00D5236C">
        <w:t>to address</w:t>
      </w:r>
      <w:r>
        <w:t xml:space="preserve"> the issues of </w:t>
      </w:r>
      <w:r w:rsidR="007E2F05">
        <w:t xml:space="preserve">data reliability </w:t>
      </w:r>
      <w:r>
        <w:t xml:space="preserve">and sustainability would be through formal oversight responsibility for </w:t>
      </w:r>
      <w:r w:rsidR="008F6EF3">
        <w:t xml:space="preserve">the consistent rollout of JIMS and </w:t>
      </w:r>
      <w:r>
        <w:t>the proper handling and use of information in the JIMS system resting with a senior person within SIG.</w:t>
      </w:r>
    </w:p>
    <w:p w14:paraId="6A4C5A0B" w14:textId="77777777" w:rsidR="00FD186C" w:rsidRDefault="005D24DF" w:rsidP="00FD186C">
      <w:pPr>
        <w:spacing w:line="276" w:lineRule="auto"/>
        <w:ind w:left="-432" w:right="-432"/>
        <w:jc w:val="both"/>
      </w:pPr>
      <w:r w:rsidRPr="007250EF">
        <w:rPr>
          <w:b/>
          <w:color w:val="002060"/>
        </w:rPr>
        <w:t>GEDSI</w:t>
      </w:r>
      <w:r w:rsidR="00E111BF" w:rsidRPr="007250EF">
        <w:rPr>
          <w:b/>
          <w:color w:val="002060"/>
        </w:rPr>
        <w:t>:</w:t>
      </w:r>
      <w:r w:rsidR="00E111BF" w:rsidRPr="007250EF">
        <w:rPr>
          <w:rFonts w:eastAsiaTheme="minorEastAsia" w:cstheme="minorHAnsi"/>
        </w:rPr>
        <w:t xml:space="preserve"> </w:t>
      </w:r>
      <w:r w:rsidR="00F43CE9" w:rsidRPr="007250EF">
        <w:rPr>
          <w:bCs/>
        </w:rPr>
        <w:t>ASIPJ is successful</w:t>
      </w:r>
      <w:r w:rsidR="00F43CE9" w:rsidRPr="007250EF">
        <w:t xml:space="preserve"> at creating spaces for GEDSI outcomes and there is evidence of progress</w:t>
      </w:r>
      <w:r w:rsidR="007250EF" w:rsidRPr="007250EF">
        <w:t xml:space="preserve">. For example, ASIPJ facilitated the implementation of the Family Protection Act through strengthened prosecutorial guidelines, training programs, and judicial reforms. Also, the </w:t>
      </w:r>
      <w:r w:rsidR="007250EF">
        <w:t xml:space="preserve">program supported the </w:t>
      </w:r>
      <w:r w:rsidR="007250EF" w:rsidRPr="007250EF">
        <w:t>Office of the Director of Public Prosecutions</w:t>
      </w:r>
      <w:r w:rsidR="007250EF">
        <w:t xml:space="preserve"> (ODPP) to</w:t>
      </w:r>
      <w:r w:rsidR="007250EF" w:rsidRPr="007250EF">
        <w:t xml:space="preserve"> launch</w:t>
      </w:r>
      <w:r w:rsidR="007250EF">
        <w:t xml:space="preserve"> its</w:t>
      </w:r>
      <w:r w:rsidR="007250EF" w:rsidRPr="007250EF">
        <w:t xml:space="preserve"> </w:t>
      </w:r>
      <w:proofErr w:type="spellStart"/>
      <w:r w:rsidR="007250EF" w:rsidRPr="007250EF">
        <w:t>Pikinini</w:t>
      </w:r>
      <w:proofErr w:type="spellEnd"/>
      <w:r w:rsidR="007250EF" w:rsidRPr="007250EF">
        <w:t xml:space="preserve"> Video, enhancing engagement with child witnesses and improving trauma-informed prosecution practices. </w:t>
      </w:r>
      <w:r w:rsidR="007250EF">
        <w:t>Further, ASIPJ supported the establishment of t</w:t>
      </w:r>
      <w:r w:rsidR="007250EF" w:rsidRPr="007250EF">
        <w:t>he Solomon Islands Women Lawyers Association (SIWLA)</w:t>
      </w:r>
      <w:r w:rsidR="007250EF">
        <w:t>.</w:t>
      </w:r>
    </w:p>
    <w:p w14:paraId="3285176B" w14:textId="6558E836" w:rsidR="00E111BF" w:rsidRPr="00FD186C" w:rsidRDefault="005D24DF" w:rsidP="00FD186C">
      <w:pPr>
        <w:spacing w:after="0" w:line="276" w:lineRule="auto"/>
        <w:ind w:left="-432" w:right="-432"/>
        <w:jc w:val="both"/>
      </w:pPr>
      <w:r>
        <w:rPr>
          <w:b/>
          <w:color w:val="002060"/>
        </w:rPr>
        <w:t>The Case for</w:t>
      </w:r>
      <w:r w:rsidR="00D6068E">
        <w:rPr>
          <w:b/>
          <w:color w:val="002060"/>
        </w:rPr>
        <w:t xml:space="preserve"> Increasing ASIPJ</w:t>
      </w:r>
      <w:r w:rsidR="00FD186C">
        <w:rPr>
          <w:b/>
          <w:color w:val="002060"/>
        </w:rPr>
        <w:t xml:space="preserve">’s </w:t>
      </w:r>
      <w:r w:rsidR="00D6068E">
        <w:rPr>
          <w:b/>
          <w:color w:val="002060"/>
        </w:rPr>
        <w:t>Budget</w:t>
      </w:r>
      <w:r w:rsidR="00E111BF" w:rsidRPr="00B46251">
        <w:rPr>
          <w:b/>
          <w:color w:val="002060"/>
        </w:rPr>
        <w:t xml:space="preserve">: </w:t>
      </w:r>
      <w:r w:rsidR="00FD186C" w:rsidRPr="008954B3">
        <w:t xml:space="preserve">Consultations revealed a clear valuing of sustained Australian </w:t>
      </w:r>
      <w:r w:rsidR="00FD186C">
        <w:t>G</w:t>
      </w:r>
      <w:r w:rsidR="00FD186C" w:rsidRPr="008954B3">
        <w:t xml:space="preserve">overnment support to the law and justice sector and a strong desire for ASIPJ to continue beyond 2025. </w:t>
      </w:r>
      <w:r w:rsidR="00FD186C">
        <w:t xml:space="preserve">The program is now progressing well and there is momentum, traction and results; relationships and trust are evident and there is enthusiasm for ASIPJ’s support; and there are change makers in the sector and program with vision, energy and influence. So, it is timely and </w:t>
      </w:r>
      <w:r w:rsidR="00FD186C" w:rsidRPr="001409D2">
        <w:rPr>
          <w:rFonts w:cstheme="minorHAnsi"/>
        </w:rPr>
        <w:t>there is opportunity for DFAT to elevate</w:t>
      </w:r>
      <w:r w:rsidR="00FD186C">
        <w:t xml:space="preserve"> ASIPJ in priority across its assistance to Solomon Islands. In fact, without increased support for the justice sector, the Australian Government’s past investment in RAMSI and</w:t>
      </w:r>
      <w:r w:rsidR="00A47050">
        <w:t xml:space="preserve"> any</w:t>
      </w:r>
      <w:r w:rsidR="00FD186C">
        <w:t xml:space="preserve"> future investment in </w:t>
      </w:r>
      <w:r w:rsidR="00A47050">
        <w:t xml:space="preserve">SIG’s </w:t>
      </w:r>
      <w:r w:rsidR="00FD186C">
        <w:t>RSIPF expansion will not achieve the sustained benefits expected.</w:t>
      </w:r>
    </w:p>
    <w:p w14:paraId="36E03C10" w14:textId="77777777" w:rsidR="00E111BF" w:rsidRPr="00B46251" w:rsidRDefault="00E111BF" w:rsidP="00E111BF">
      <w:pPr>
        <w:spacing w:before="240"/>
        <w:ind w:left="-446" w:right="-448"/>
        <w:jc w:val="both"/>
        <w:rPr>
          <w:b/>
          <w:color w:val="002060"/>
        </w:rPr>
      </w:pPr>
      <w:r w:rsidRPr="00B46251">
        <w:rPr>
          <w:b/>
          <w:color w:val="002060"/>
        </w:rPr>
        <w:t xml:space="preserve">Recommendations </w:t>
      </w:r>
    </w:p>
    <w:p w14:paraId="536D03A2" w14:textId="794A6943" w:rsidR="00E111BF" w:rsidRPr="00B53259" w:rsidRDefault="00E111BF" w:rsidP="00E111BF">
      <w:pPr>
        <w:ind w:left="-446" w:right="-446"/>
        <w:jc w:val="both"/>
        <w:rPr>
          <w:b/>
          <w:bCs/>
        </w:rPr>
      </w:pPr>
      <w:r w:rsidRPr="00B46251">
        <w:t xml:space="preserve">This report makes a series of recommendations to DFAT in addressing the key findings of the evaluation. These recommendations are </w:t>
      </w:r>
      <w:r w:rsidR="005D24DF">
        <w:t xml:space="preserve">set out in brief directly below and explained and elaborated upon in detail within the main text of this report. </w:t>
      </w:r>
    </w:p>
    <w:p w14:paraId="0896D555" w14:textId="72DF1326" w:rsidR="00E111BF" w:rsidRPr="00B46251" w:rsidRDefault="00E111BF" w:rsidP="00E111BF">
      <w:pPr>
        <w:ind w:hanging="446"/>
        <w:rPr>
          <w:b/>
          <w:color w:val="002060"/>
          <w:u w:val="single"/>
        </w:rPr>
      </w:pPr>
      <w:r>
        <w:rPr>
          <w:b/>
          <w:color w:val="002060"/>
          <w:u w:val="single"/>
        </w:rPr>
        <w:t>Relevance</w:t>
      </w:r>
    </w:p>
    <w:p w14:paraId="459D55CE" w14:textId="6291AA09" w:rsidR="00FD186C" w:rsidRDefault="00FD186C" w:rsidP="00E111BF">
      <w:pPr>
        <w:pStyle w:val="ListParagraph"/>
        <w:numPr>
          <w:ilvl w:val="0"/>
          <w:numId w:val="25"/>
        </w:numPr>
        <w:spacing w:after="240"/>
        <w:ind w:right="-446"/>
        <w:contextualSpacing w:val="0"/>
        <w:jc w:val="both"/>
      </w:pPr>
      <w:r>
        <w:t>Create one guiding document for ASIPJ.</w:t>
      </w:r>
    </w:p>
    <w:p w14:paraId="548E6C96" w14:textId="6E5FF375" w:rsidR="00FD186C" w:rsidRDefault="00FD186C" w:rsidP="00E111BF">
      <w:pPr>
        <w:pStyle w:val="ListParagraph"/>
        <w:numPr>
          <w:ilvl w:val="0"/>
          <w:numId w:val="25"/>
        </w:numPr>
        <w:spacing w:after="240"/>
        <w:ind w:right="-446"/>
        <w:contextualSpacing w:val="0"/>
        <w:jc w:val="both"/>
        <w:rPr>
          <w:bCs/>
        </w:rPr>
      </w:pPr>
      <w:r w:rsidRPr="00FD186C">
        <w:rPr>
          <w:bCs/>
        </w:rPr>
        <w:t>Incorporate greater rigour into the process for applying for program support</w:t>
      </w:r>
      <w:r>
        <w:rPr>
          <w:bCs/>
        </w:rPr>
        <w:t>.</w:t>
      </w:r>
    </w:p>
    <w:p w14:paraId="4A6B61A8" w14:textId="6854F19F" w:rsidR="00FD186C" w:rsidRPr="00FD186C" w:rsidRDefault="00FD186C" w:rsidP="00E111BF">
      <w:pPr>
        <w:pStyle w:val="ListParagraph"/>
        <w:numPr>
          <w:ilvl w:val="0"/>
          <w:numId w:val="25"/>
        </w:numPr>
        <w:spacing w:after="240"/>
        <w:ind w:right="-446"/>
        <w:contextualSpacing w:val="0"/>
        <w:jc w:val="both"/>
        <w:rPr>
          <w:bCs/>
        </w:rPr>
      </w:pPr>
      <w:r w:rsidRPr="00FD186C">
        <w:rPr>
          <w:bCs/>
        </w:rPr>
        <w:t>Ensure that program support is strategically balanced across the justice system</w:t>
      </w:r>
      <w:r>
        <w:rPr>
          <w:bCs/>
        </w:rPr>
        <w:t>.</w:t>
      </w:r>
    </w:p>
    <w:p w14:paraId="6F95FE98" w14:textId="6E9299F8" w:rsidR="00FD186C" w:rsidRPr="008959C4" w:rsidRDefault="00FD186C" w:rsidP="00E111BF">
      <w:pPr>
        <w:pStyle w:val="ListParagraph"/>
        <w:numPr>
          <w:ilvl w:val="0"/>
          <w:numId w:val="25"/>
        </w:numPr>
        <w:spacing w:after="240"/>
        <w:ind w:right="-446"/>
        <w:contextualSpacing w:val="0"/>
        <w:jc w:val="both"/>
        <w:rPr>
          <w:b/>
        </w:rPr>
      </w:pPr>
      <w:r w:rsidRPr="00FD186C">
        <w:rPr>
          <w:bCs/>
        </w:rPr>
        <w:lastRenderedPageBreak/>
        <w:t>Enhance civil society engagement in support of improved access to justice.</w:t>
      </w:r>
    </w:p>
    <w:p w14:paraId="21129E91" w14:textId="628923AC" w:rsidR="00FD186C" w:rsidRDefault="008959C4" w:rsidP="00E111BF">
      <w:pPr>
        <w:pStyle w:val="ListParagraph"/>
        <w:numPr>
          <w:ilvl w:val="0"/>
          <w:numId w:val="25"/>
        </w:numPr>
        <w:spacing w:after="240"/>
        <w:ind w:right="-446"/>
        <w:contextualSpacing w:val="0"/>
        <w:jc w:val="both"/>
        <w:rPr>
          <w:bCs/>
        </w:rPr>
      </w:pPr>
      <w:r w:rsidRPr="008959C4">
        <w:rPr>
          <w:bCs/>
        </w:rPr>
        <w:t>Support the sector to plan and prepare for emerging and pressing issues</w:t>
      </w:r>
      <w:r>
        <w:rPr>
          <w:bCs/>
        </w:rPr>
        <w:t>.</w:t>
      </w:r>
    </w:p>
    <w:p w14:paraId="618A9164" w14:textId="36AE09D0" w:rsidR="008959C4" w:rsidRPr="008959C4" w:rsidRDefault="008959C4" w:rsidP="008959C4">
      <w:pPr>
        <w:ind w:left="-86"/>
        <w:rPr>
          <w:b/>
          <w:color w:val="002060"/>
          <w:u w:val="single"/>
        </w:rPr>
      </w:pPr>
      <w:r>
        <w:rPr>
          <w:b/>
          <w:color w:val="002060"/>
          <w:u w:val="single"/>
        </w:rPr>
        <w:t>Effectiveness</w:t>
      </w:r>
    </w:p>
    <w:p w14:paraId="5EEEA82E" w14:textId="256C1BAB" w:rsidR="008959C4" w:rsidRPr="00422C2D" w:rsidRDefault="00422C2D" w:rsidP="008959C4">
      <w:pPr>
        <w:pStyle w:val="ListParagraph"/>
        <w:numPr>
          <w:ilvl w:val="0"/>
          <w:numId w:val="25"/>
        </w:numPr>
        <w:spacing w:after="240"/>
        <w:ind w:right="-446"/>
        <w:contextualSpacing w:val="0"/>
        <w:jc w:val="both"/>
        <w:rPr>
          <w:bCs/>
        </w:rPr>
      </w:pPr>
      <w:r>
        <w:rPr>
          <w:bCs/>
        </w:rPr>
        <w:t>E</w:t>
      </w:r>
      <w:r w:rsidR="008959C4" w:rsidRPr="00422C2D">
        <w:rPr>
          <w:bCs/>
        </w:rPr>
        <w:t>xpand Melanesian twinning opportunities</w:t>
      </w:r>
      <w:r w:rsidR="005E093F">
        <w:rPr>
          <w:bCs/>
        </w:rPr>
        <w:t xml:space="preserve"> across SIG justice sector agencies</w:t>
      </w:r>
      <w:r w:rsidR="005E093F" w:rsidRPr="00422C2D">
        <w:rPr>
          <w:bCs/>
        </w:rPr>
        <w:t xml:space="preserve"> </w:t>
      </w:r>
    </w:p>
    <w:p w14:paraId="510D1B37" w14:textId="7F123D9B" w:rsidR="008959C4" w:rsidRPr="008959C4" w:rsidRDefault="00EC5C8A" w:rsidP="008959C4">
      <w:pPr>
        <w:pStyle w:val="ListParagraph"/>
        <w:numPr>
          <w:ilvl w:val="0"/>
          <w:numId w:val="25"/>
        </w:numPr>
        <w:spacing w:after="240"/>
        <w:ind w:right="-446"/>
        <w:contextualSpacing w:val="0"/>
        <w:jc w:val="both"/>
        <w:rPr>
          <w:bCs/>
        </w:rPr>
      </w:pPr>
      <w:r>
        <w:rPr>
          <w:bCs/>
        </w:rPr>
        <w:t>Extend</w:t>
      </w:r>
      <w:r w:rsidR="008959C4" w:rsidRPr="008959C4">
        <w:rPr>
          <w:bCs/>
        </w:rPr>
        <w:t xml:space="preserve"> Melanesian twinning arrangements to non-state organisations. </w:t>
      </w:r>
    </w:p>
    <w:p w14:paraId="3F60BDF7" w14:textId="7D167B87" w:rsidR="008959C4" w:rsidRPr="008959C4" w:rsidRDefault="008959C4" w:rsidP="008959C4">
      <w:pPr>
        <w:pStyle w:val="ListParagraph"/>
        <w:numPr>
          <w:ilvl w:val="0"/>
          <w:numId w:val="25"/>
        </w:numPr>
        <w:spacing w:after="240"/>
        <w:ind w:right="-446"/>
        <w:contextualSpacing w:val="0"/>
        <w:jc w:val="both"/>
        <w:rPr>
          <w:bCs/>
        </w:rPr>
      </w:pPr>
      <w:r w:rsidRPr="008959C4">
        <w:rPr>
          <w:bCs/>
        </w:rPr>
        <w:t>Measure the end user’s experience of accessing justice</w:t>
      </w:r>
      <w:r>
        <w:rPr>
          <w:bCs/>
        </w:rPr>
        <w:t>.</w:t>
      </w:r>
    </w:p>
    <w:p w14:paraId="07348261" w14:textId="7EA2F5A1" w:rsidR="008959C4" w:rsidRPr="008959C4" w:rsidRDefault="008959C4" w:rsidP="008959C4">
      <w:pPr>
        <w:ind w:left="-86"/>
        <w:rPr>
          <w:b/>
          <w:color w:val="002060"/>
          <w:u w:val="single"/>
        </w:rPr>
      </w:pPr>
      <w:r>
        <w:rPr>
          <w:b/>
          <w:color w:val="002060"/>
          <w:u w:val="single"/>
        </w:rPr>
        <w:t xml:space="preserve">Efficiency </w:t>
      </w:r>
    </w:p>
    <w:p w14:paraId="269D9205" w14:textId="4E91393B" w:rsidR="008959C4" w:rsidRDefault="008959C4" w:rsidP="008959C4">
      <w:pPr>
        <w:pStyle w:val="ListParagraph"/>
        <w:numPr>
          <w:ilvl w:val="0"/>
          <w:numId w:val="25"/>
        </w:numPr>
        <w:spacing w:after="240"/>
        <w:ind w:right="-446"/>
        <w:contextualSpacing w:val="0"/>
        <w:jc w:val="both"/>
        <w:rPr>
          <w:bCs/>
        </w:rPr>
      </w:pPr>
      <w:r w:rsidRPr="008959C4">
        <w:rPr>
          <w:bCs/>
        </w:rPr>
        <w:t>Broaden input into PRG decision-making</w:t>
      </w:r>
      <w:r>
        <w:rPr>
          <w:bCs/>
        </w:rPr>
        <w:t>.</w:t>
      </w:r>
    </w:p>
    <w:p w14:paraId="19BAED32" w14:textId="32D53174" w:rsidR="008959C4" w:rsidRDefault="008959C4" w:rsidP="008959C4">
      <w:pPr>
        <w:pStyle w:val="ListParagraph"/>
        <w:numPr>
          <w:ilvl w:val="0"/>
          <w:numId w:val="25"/>
        </w:numPr>
        <w:spacing w:after="240"/>
        <w:ind w:right="-446"/>
        <w:contextualSpacing w:val="0"/>
        <w:jc w:val="both"/>
        <w:rPr>
          <w:bCs/>
        </w:rPr>
      </w:pPr>
      <w:r w:rsidRPr="008959C4">
        <w:rPr>
          <w:bCs/>
        </w:rPr>
        <w:t>Move to a single, streamlined contracting arrangement</w:t>
      </w:r>
      <w:r>
        <w:rPr>
          <w:bCs/>
        </w:rPr>
        <w:t>.</w:t>
      </w:r>
    </w:p>
    <w:p w14:paraId="55D68F7A" w14:textId="0D6355E2" w:rsidR="008959C4" w:rsidRDefault="008959C4" w:rsidP="008959C4">
      <w:pPr>
        <w:pStyle w:val="ListParagraph"/>
        <w:numPr>
          <w:ilvl w:val="0"/>
          <w:numId w:val="25"/>
        </w:numPr>
        <w:spacing w:after="240"/>
        <w:ind w:right="-446"/>
        <w:contextualSpacing w:val="0"/>
        <w:jc w:val="both"/>
        <w:rPr>
          <w:bCs/>
        </w:rPr>
      </w:pPr>
      <w:r w:rsidRPr="008959C4">
        <w:rPr>
          <w:bCs/>
        </w:rPr>
        <w:t>Review the case for each adviser role</w:t>
      </w:r>
      <w:r>
        <w:rPr>
          <w:bCs/>
        </w:rPr>
        <w:t>.</w:t>
      </w:r>
    </w:p>
    <w:p w14:paraId="69B72B79" w14:textId="7CA03CDD" w:rsidR="008959C4" w:rsidRPr="008959C4" w:rsidRDefault="008959C4" w:rsidP="008959C4">
      <w:pPr>
        <w:ind w:left="-86"/>
        <w:rPr>
          <w:b/>
          <w:color w:val="002060"/>
          <w:u w:val="single"/>
        </w:rPr>
      </w:pPr>
      <w:r>
        <w:rPr>
          <w:b/>
          <w:color w:val="002060"/>
          <w:u w:val="single"/>
        </w:rPr>
        <w:t>Sustainability</w:t>
      </w:r>
    </w:p>
    <w:p w14:paraId="5A4789BC" w14:textId="6BAB891B" w:rsidR="008959C4" w:rsidRPr="008959C4" w:rsidRDefault="008959C4" w:rsidP="008959C4">
      <w:pPr>
        <w:pStyle w:val="ListParagraph"/>
        <w:numPr>
          <w:ilvl w:val="0"/>
          <w:numId w:val="25"/>
        </w:numPr>
        <w:spacing w:after="240"/>
        <w:ind w:right="-446"/>
        <w:contextualSpacing w:val="0"/>
        <w:jc w:val="both"/>
        <w:rPr>
          <w:bCs/>
        </w:rPr>
      </w:pPr>
      <w:r w:rsidRPr="008959C4">
        <w:rPr>
          <w:bCs/>
        </w:rPr>
        <w:t>Seek to share costs with SIG</w:t>
      </w:r>
      <w:r w:rsidR="00BC4DAE">
        <w:rPr>
          <w:bCs/>
        </w:rPr>
        <w:t xml:space="preserve"> where possible and appropriate</w:t>
      </w:r>
      <w:r w:rsidRPr="008959C4">
        <w:rPr>
          <w:bCs/>
        </w:rPr>
        <w:t>.</w:t>
      </w:r>
    </w:p>
    <w:p w14:paraId="5740BC2D" w14:textId="07B9329A" w:rsidR="008959C4" w:rsidRPr="00351D5F" w:rsidRDefault="0057282C" w:rsidP="008959C4">
      <w:pPr>
        <w:pStyle w:val="ListParagraph"/>
        <w:numPr>
          <w:ilvl w:val="0"/>
          <w:numId w:val="25"/>
        </w:numPr>
        <w:spacing w:after="240"/>
        <w:ind w:right="-446"/>
        <w:contextualSpacing w:val="0"/>
        <w:jc w:val="both"/>
        <w:rPr>
          <w:bCs/>
        </w:rPr>
      </w:pPr>
      <w:r>
        <w:rPr>
          <w:bCs/>
        </w:rPr>
        <w:t>Commit to further</w:t>
      </w:r>
      <w:r w:rsidRPr="00351D5F">
        <w:rPr>
          <w:bCs/>
        </w:rPr>
        <w:t xml:space="preserve"> </w:t>
      </w:r>
      <w:r w:rsidR="008959C4" w:rsidRPr="00351D5F">
        <w:rPr>
          <w:bCs/>
        </w:rPr>
        <w:t>significant and sustained support for JIMS</w:t>
      </w:r>
      <w:r w:rsidR="0096635C" w:rsidRPr="00351D5F">
        <w:rPr>
          <w:bCs/>
        </w:rPr>
        <w:t>.</w:t>
      </w:r>
    </w:p>
    <w:p w14:paraId="24A486EB" w14:textId="212C1648" w:rsidR="00CA78FA" w:rsidRDefault="008959C4" w:rsidP="008959C4">
      <w:pPr>
        <w:pStyle w:val="ListParagraph"/>
        <w:numPr>
          <w:ilvl w:val="0"/>
          <w:numId w:val="25"/>
        </w:numPr>
        <w:spacing w:after="240"/>
        <w:ind w:right="-446"/>
        <w:contextualSpacing w:val="0"/>
        <w:jc w:val="both"/>
        <w:rPr>
          <w:bCs/>
        </w:rPr>
      </w:pPr>
      <w:r w:rsidRPr="008959C4">
        <w:rPr>
          <w:bCs/>
        </w:rPr>
        <w:t>Establish a formal oversight responsibility for JIMS within SIG.</w:t>
      </w:r>
    </w:p>
    <w:p w14:paraId="2A9EC6DC" w14:textId="7D2FD198" w:rsidR="0045725B" w:rsidRPr="0045725B" w:rsidRDefault="0045725B" w:rsidP="0045725B">
      <w:pPr>
        <w:spacing w:after="240"/>
        <w:ind w:left="-86" w:right="-446"/>
        <w:jc w:val="both"/>
        <w:rPr>
          <w:bCs/>
          <w:u w:val="single"/>
        </w:rPr>
      </w:pPr>
      <w:r w:rsidRPr="0045725B">
        <w:rPr>
          <w:b/>
          <w:color w:val="002060"/>
          <w:u w:val="single"/>
        </w:rPr>
        <w:t>The Case for Increasing ASIPJ’s Budget</w:t>
      </w:r>
    </w:p>
    <w:p w14:paraId="066FC19E" w14:textId="221128B8" w:rsidR="008959C4" w:rsidRPr="008959C4" w:rsidRDefault="008959C4" w:rsidP="00856200">
      <w:pPr>
        <w:pStyle w:val="ListParagraph"/>
        <w:numPr>
          <w:ilvl w:val="0"/>
          <w:numId w:val="25"/>
        </w:numPr>
        <w:spacing w:after="240"/>
        <w:ind w:right="-446"/>
        <w:contextualSpacing w:val="0"/>
        <w:jc w:val="both"/>
        <w:rPr>
          <w:bCs/>
        </w:rPr>
      </w:pPr>
      <w:r w:rsidRPr="008959C4">
        <w:rPr>
          <w:bCs/>
        </w:rPr>
        <w:t>Increase ASIPJ’s budget.</w:t>
      </w:r>
    </w:p>
    <w:p w14:paraId="10062899" w14:textId="66C1C701" w:rsidR="003417AA" w:rsidRDefault="008959C4" w:rsidP="003417AA">
      <w:pPr>
        <w:pStyle w:val="ListParagraph"/>
        <w:numPr>
          <w:ilvl w:val="0"/>
          <w:numId w:val="25"/>
        </w:numPr>
        <w:spacing w:after="240"/>
        <w:ind w:right="-446"/>
        <w:contextualSpacing w:val="0"/>
        <w:jc w:val="both"/>
        <w:rPr>
          <w:bCs/>
        </w:rPr>
      </w:pPr>
      <w:r w:rsidRPr="008959C4">
        <w:rPr>
          <w:bCs/>
        </w:rPr>
        <w:t>Develop an infrastructure and equipment strategy for ASIPJ.</w:t>
      </w:r>
    </w:p>
    <w:p w14:paraId="165BFEDB" w14:textId="1FF7400E" w:rsidR="003417AA" w:rsidRPr="003417AA" w:rsidRDefault="003417AA" w:rsidP="003417AA">
      <w:pPr>
        <w:ind w:left="-86"/>
        <w:rPr>
          <w:b/>
          <w:color w:val="002060"/>
          <w:u w:val="single"/>
        </w:rPr>
      </w:pPr>
      <w:r>
        <w:rPr>
          <w:b/>
          <w:color w:val="002060"/>
          <w:u w:val="single"/>
        </w:rPr>
        <w:t>First Nations Participation and Engagement</w:t>
      </w:r>
    </w:p>
    <w:p w14:paraId="0941BBED" w14:textId="7C824060" w:rsidR="003409D1" w:rsidRDefault="0045725B" w:rsidP="00856200">
      <w:pPr>
        <w:pStyle w:val="ListParagraph"/>
        <w:numPr>
          <w:ilvl w:val="0"/>
          <w:numId w:val="25"/>
        </w:numPr>
        <w:spacing w:after="240"/>
        <w:ind w:right="-446"/>
        <w:contextualSpacing w:val="0"/>
        <w:jc w:val="both"/>
        <w:rPr>
          <w:bCs/>
        </w:rPr>
      </w:pPr>
      <w:r w:rsidRPr="0045725B">
        <w:rPr>
          <w:bCs/>
        </w:rPr>
        <w:t>Increase links with community legal centres in Australia</w:t>
      </w:r>
      <w:r>
        <w:rPr>
          <w:bCs/>
        </w:rPr>
        <w:t>.</w:t>
      </w:r>
    </w:p>
    <w:p w14:paraId="410BCB47" w14:textId="5CEDDEB4" w:rsidR="0045725B" w:rsidRPr="003409D1" w:rsidRDefault="003409D1" w:rsidP="003409D1">
      <w:pPr>
        <w:rPr>
          <w:bCs/>
        </w:rPr>
      </w:pPr>
      <w:r>
        <w:rPr>
          <w:bCs/>
        </w:rPr>
        <w:br w:type="page"/>
      </w:r>
    </w:p>
    <w:p w14:paraId="43101DE3" w14:textId="0955337A" w:rsidR="000A14B6" w:rsidRDefault="000A14B6" w:rsidP="00DE7911">
      <w:pPr>
        <w:pStyle w:val="Heading1"/>
        <w:spacing w:before="0" w:after="240" w:line="276" w:lineRule="auto"/>
        <w:ind w:left="-446"/>
        <w:jc w:val="both"/>
        <w:rPr>
          <w:rFonts w:asciiTheme="minorHAnsi" w:hAnsiTheme="minorHAnsi"/>
          <w:b/>
          <w:color w:val="002060"/>
          <w:sz w:val="28"/>
          <w:szCs w:val="28"/>
        </w:rPr>
      </w:pPr>
      <w:bookmarkStart w:id="11" w:name="_Toc197077513"/>
      <w:r>
        <w:rPr>
          <w:rFonts w:asciiTheme="minorHAnsi" w:hAnsiTheme="minorHAnsi"/>
          <w:b/>
          <w:color w:val="002060"/>
          <w:sz w:val="28"/>
          <w:szCs w:val="28"/>
        </w:rPr>
        <w:lastRenderedPageBreak/>
        <w:t>INTRODUCTION</w:t>
      </w:r>
      <w:bookmarkEnd w:id="9"/>
      <w:bookmarkEnd w:id="10"/>
      <w:bookmarkEnd w:id="11"/>
    </w:p>
    <w:p w14:paraId="21E078F7" w14:textId="5C657880" w:rsidR="000A14B6" w:rsidRDefault="0080297A" w:rsidP="00DE7911">
      <w:pPr>
        <w:pStyle w:val="Heading2"/>
        <w:spacing w:before="0" w:line="276" w:lineRule="auto"/>
        <w:ind w:hanging="446"/>
        <w:jc w:val="both"/>
        <w:rPr>
          <w:rFonts w:asciiTheme="minorHAnsi" w:hAnsiTheme="minorHAnsi"/>
          <w:b/>
          <w:color w:val="002060"/>
          <w:sz w:val="24"/>
          <w:szCs w:val="24"/>
        </w:rPr>
      </w:pPr>
      <w:bookmarkStart w:id="12" w:name="_Toc197077514"/>
      <w:r>
        <w:rPr>
          <w:rFonts w:asciiTheme="minorHAnsi" w:hAnsiTheme="minorHAnsi"/>
          <w:b/>
          <w:bCs/>
          <w:color w:val="002060"/>
          <w:sz w:val="24"/>
          <w:szCs w:val="24"/>
        </w:rPr>
        <w:t>About this document</w:t>
      </w:r>
      <w:bookmarkEnd w:id="12"/>
      <w:r>
        <w:rPr>
          <w:rFonts w:asciiTheme="minorHAnsi" w:hAnsiTheme="minorHAnsi"/>
          <w:b/>
          <w:bCs/>
          <w:color w:val="002060"/>
          <w:sz w:val="24"/>
          <w:szCs w:val="24"/>
        </w:rPr>
        <w:t xml:space="preserve"> </w:t>
      </w:r>
    </w:p>
    <w:p w14:paraId="3557D1E5" w14:textId="50485DAC" w:rsidR="0080297A" w:rsidRDefault="00E3509F" w:rsidP="00DE7911">
      <w:pPr>
        <w:spacing w:before="240" w:line="276" w:lineRule="auto"/>
        <w:ind w:left="-446" w:right="-450"/>
        <w:jc w:val="both"/>
      </w:pPr>
      <w:r w:rsidRPr="00FD6358">
        <w:rPr>
          <w:szCs w:val="24"/>
        </w:rPr>
        <w:t>Th</w:t>
      </w:r>
      <w:r w:rsidR="0080297A">
        <w:rPr>
          <w:szCs w:val="24"/>
        </w:rPr>
        <w:t xml:space="preserve">is document presents the findings of an independent mid-term review (MTR) of the Australia Solomon Islands Partnership for Justice (ASIPJ). The review was commissioned by the </w:t>
      </w:r>
      <w:r w:rsidR="0080297A" w:rsidRPr="00B46251">
        <w:t xml:space="preserve">Department of Foreign Affairs and Trade (DFAT) and conducted over </w:t>
      </w:r>
      <w:r w:rsidR="0080297A">
        <w:t>February – May 2025</w:t>
      </w:r>
      <w:r w:rsidR="0080297A" w:rsidRPr="00B46251">
        <w:t xml:space="preserve">. The purpose of the </w:t>
      </w:r>
      <w:r w:rsidR="0080297A">
        <w:t>MTR</w:t>
      </w:r>
      <w:r w:rsidR="0080297A" w:rsidRPr="00B46251">
        <w:t xml:space="preserve"> is to assess the </w:t>
      </w:r>
      <w:r w:rsidR="0080297A">
        <w:t xml:space="preserve">relevance, effectiveness, efficiency and sustainability of the program, and to make recommendations for the continuous improvement of Australia’s law and justice development assistance to Solomon Islands. </w:t>
      </w:r>
      <w:r w:rsidR="00761F63">
        <w:t>Interwoven throughout the assessment is an analysis of the extent to which ASIPJ successfully promotes gender equality, disability and social inclusion (GEDSI) outcomes.</w:t>
      </w:r>
    </w:p>
    <w:p w14:paraId="6D30F4A5" w14:textId="4D505A0A" w:rsidR="0080297A" w:rsidRDefault="00106DD4" w:rsidP="00DE7911">
      <w:pPr>
        <w:spacing w:before="240" w:line="276" w:lineRule="auto"/>
        <w:ind w:left="-446" w:right="-450"/>
        <w:jc w:val="both"/>
        <w:rPr>
          <w:rFonts w:eastAsia="Times New Roman" w:cs="Arial"/>
          <w:bCs/>
          <w:color w:val="222222"/>
          <w:lang w:eastAsia="en-AU"/>
        </w:rPr>
      </w:pPr>
      <w:r>
        <w:t>The findings and recommendations contained in this report result from: (</w:t>
      </w:r>
      <w:proofErr w:type="spellStart"/>
      <w:r>
        <w:t>i</w:t>
      </w:r>
      <w:proofErr w:type="spellEnd"/>
      <w:r>
        <w:t xml:space="preserve">) Desk-based review of ASIPJ program documentation; (ii) Consultations in Honiara over 30 March – 4 April 2025. </w:t>
      </w:r>
      <w:r w:rsidR="0080297A" w:rsidRPr="00106DD4">
        <w:rPr>
          <w:rFonts w:eastAsia="Times New Roman" w:cs="Arial"/>
          <w:bCs/>
          <w:color w:val="222222"/>
          <w:lang w:eastAsia="en-AU"/>
        </w:rPr>
        <w:t>Consultations were held with key program stakeholders: Solomon Islands Government (SIG) policing and justice sector leads, civil society representatives (</w:t>
      </w:r>
      <w:r>
        <w:rPr>
          <w:rFonts w:eastAsia="Times New Roman" w:cs="Arial"/>
          <w:bCs/>
          <w:color w:val="222222"/>
          <w:lang w:eastAsia="en-AU"/>
        </w:rPr>
        <w:t>non-governmental organisations (</w:t>
      </w:r>
      <w:r w:rsidR="0080297A" w:rsidRPr="00106DD4">
        <w:rPr>
          <w:rFonts w:eastAsia="Times New Roman" w:cs="Arial"/>
          <w:bCs/>
          <w:color w:val="222222"/>
          <w:lang w:eastAsia="en-AU"/>
        </w:rPr>
        <w:t>NGOs</w:t>
      </w:r>
      <w:r>
        <w:rPr>
          <w:rFonts w:eastAsia="Times New Roman" w:cs="Arial"/>
          <w:bCs/>
          <w:color w:val="222222"/>
          <w:lang w:eastAsia="en-AU"/>
        </w:rPr>
        <w:t>)</w:t>
      </w:r>
      <w:r w:rsidR="0080297A" w:rsidRPr="00106DD4">
        <w:rPr>
          <w:rFonts w:eastAsia="Times New Roman" w:cs="Arial"/>
          <w:bCs/>
          <w:color w:val="222222"/>
          <w:lang w:eastAsia="en-AU"/>
        </w:rPr>
        <w:t xml:space="preserve"> as well as Women and Young Lawyers Associations), DFAT and A</w:t>
      </w:r>
      <w:r w:rsidR="00F82D15">
        <w:rPr>
          <w:rFonts w:eastAsia="Times New Roman" w:cs="Arial"/>
          <w:bCs/>
          <w:color w:val="222222"/>
          <w:lang w:eastAsia="en-AU"/>
        </w:rPr>
        <w:t xml:space="preserve">ustralian </w:t>
      </w:r>
      <w:r w:rsidR="0080297A" w:rsidRPr="00106DD4">
        <w:rPr>
          <w:rFonts w:eastAsia="Times New Roman" w:cs="Arial"/>
          <w:bCs/>
          <w:color w:val="222222"/>
          <w:lang w:eastAsia="en-AU"/>
        </w:rPr>
        <w:t>F</w:t>
      </w:r>
      <w:r w:rsidR="00F82D15">
        <w:rPr>
          <w:rFonts w:eastAsia="Times New Roman" w:cs="Arial"/>
          <w:bCs/>
          <w:color w:val="222222"/>
          <w:lang w:eastAsia="en-AU"/>
        </w:rPr>
        <w:t xml:space="preserve">ederal </w:t>
      </w:r>
      <w:r w:rsidR="0080297A" w:rsidRPr="00106DD4">
        <w:rPr>
          <w:rFonts w:eastAsia="Times New Roman" w:cs="Arial"/>
          <w:bCs/>
          <w:color w:val="222222"/>
          <w:lang w:eastAsia="en-AU"/>
        </w:rPr>
        <w:t>P</w:t>
      </w:r>
      <w:r w:rsidR="00F82D15">
        <w:rPr>
          <w:rFonts w:eastAsia="Times New Roman" w:cs="Arial"/>
          <w:bCs/>
          <w:color w:val="222222"/>
          <w:lang w:eastAsia="en-AU"/>
        </w:rPr>
        <w:t>olice (AFP)</w:t>
      </w:r>
      <w:r w:rsidR="0080297A" w:rsidRPr="00106DD4">
        <w:rPr>
          <w:rFonts w:eastAsia="Times New Roman" w:cs="Arial"/>
          <w:bCs/>
          <w:color w:val="222222"/>
          <w:lang w:eastAsia="en-AU"/>
        </w:rPr>
        <w:t xml:space="preserve"> representatives, ASIPJ </w:t>
      </w:r>
      <w:r w:rsidR="00D15FC8">
        <w:rPr>
          <w:rFonts w:eastAsia="Times New Roman" w:cs="Arial"/>
          <w:bCs/>
          <w:color w:val="222222"/>
          <w:lang w:eastAsia="en-AU"/>
        </w:rPr>
        <w:t>P</w:t>
      </w:r>
      <w:r w:rsidR="0080297A" w:rsidRPr="00106DD4">
        <w:rPr>
          <w:rFonts w:eastAsia="Times New Roman" w:cs="Arial"/>
          <w:bCs/>
          <w:color w:val="222222"/>
          <w:lang w:eastAsia="en-AU"/>
        </w:rPr>
        <w:t xml:space="preserve">rogram </w:t>
      </w:r>
      <w:r w:rsidR="00D15FC8">
        <w:rPr>
          <w:rFonts w:eastAsia="Times New Roman" w:cs="Arial"/>
          <w:bCs/>
          <w:color w:val="222222"/>
          <w:lang w:eastAsia="en-AU"/>
        </w:rPr>
        <w:t>T</w:t>
      </w:r>
      <w:r w:rsidR="0080297A" w:rsidRPr="00106DD4">
        <w:rPr>
          <w:rFonts w:eastAsia="Times New Roman" w:cs="Arial"/>
          <w:bCs/>
          <w:color w:val="222222"/>
          <w:lang w:eastAsia="en-AU"/>
        </w:rPr>
        <w:t>eam and advisers, managing contractor representatives and other “</w:t>
      </w:r>
      <w:r w:rsidR="002F3425">
        <w:rPr>
          <w:rFonts w:eastAsia="Times New Roman" w:cs="Arial"/>
          <w:bCs/>
          <w:color w:val="222222"/>
          <w:lang w:eastAsia="en-AU"/>
        </w:rPr>
        <w:t>c</w:t>
      </w:r>
      <w:r w:rsidR="0080297A" w:rsidRPr="00106DD4">
        <w:rPr>
          <w:rFonts w:eastAsia="Times New Roman" w:cs="Arial"/>
          <w:bCs/>
          <w:color w:val="222222"/>
          <w:lang w:eastAsia="en-AU"/>
        </w:rPr>
        <w:t>onsortium” members. Online consultations were held over March-April 2025 with program stakeholders based outside of Honiara</w:t>
      </w:r>
      <w:r w:rsidRPr="00106DD4">
        <w:rPr>
          <w:rFonts w:eastAsia="Times New Roman" w:cs="Arial"/>
          <w:bCs/>
          <w:color w:val="222222"/>
          <w:lang w:eastAsia="en-AU"/>
        </w:rPr>
        <w:t xml:space="preserve">; (iii) </w:t>
      </w:r>
      <w:r w:rsidR="0080297A" w:rsidRPr="00106DD4">
        <w:rPr>
          <w:rFonts w:eastAsia="Times New Roman" w:cs="Arial"/>
          <w:bCs/>
          <w:color w:val="222222"/>
          <w:lang w:eastAsia="en-AU"/>
        </w:rPr>
        <w:t>Validation meetings in Honiara with DFAT and the Program Reference Group (PRG) to test and discuss the MTR team’s key findings and recommendations.</w:t>
      </w:r>
    </w:p>
    <w:p w14:paraId="17AB7333" w14:textId="4F092793" w:rsidR="00043301" w:rsidRPr="00106DD4" w:rsidRDefault="00043301" w:rsidP="00DE7911">
      <w:pPr>
        <w:spacing w:before="240" w:line="276" w:lineRule="auto"/>
        <w:ind w:left="-446" w:right="-450"/>
        <w:jc w:val="both"/>
      </w:pPr>
      <w:r>
        <w:rPr>
          <w:rFonts w:eastAsia="Times New Roman" w:cs="Arial"/>
          <w:bCs/>
          <w:color w:val="222222"/>
          <w:lang w:eastAsia="en-AU"/>
        </w:rPr>
        <w:t>While the primary audience for this report is DFAT, it is a short, concise report intended for wide readership by</w:t>
      </w:r>
      <w:r w:rsidR="00F82D15">
        <w:rPr>
          <w:rFonts w:eastAsia="Times New Roman" w:cs="Arial"/>
          <w:bCs/>
          <w:color w:val="222222"/>
          <w:lang w:eastAsia="en-AU"/>
        </w:rPr>
        <w:t xml:space="preserve"> all key program stakeholders.</w:t>
      </w:r>
    </w:p>
    <w:p w14:paraId="7897A548" w14:textId="107BFD11" w:rsidR="0080297A" w:rsidRDefault="0080297A" w:rsidP="00DE7911">
      <w:pPr>
        <w:pStyle w:val="Heading2"/>
        <w:spacing w:before="0" w:line="276" w:lineRule="auto"/>
        <w:ind w:hanging="446"/>
        <w:jc w:val="both"/>
        <w:rPr>
          <w:rFonts w:asciiTheme="minorHAnsi" w:hAnsiTheme="minorHAnsi"/>
          <w:b/>
          <w:color w:val="002060"/>
          <w:sz w:val="24"/>
          <w:szCs w:val="24"/>
        </w:rPr>
      </w:pPr>
      <w:bookmarkStart w:id="13" w:name="_Toc197077515"/>
      <w:r w:rsidRPr="2D6340E8">
        <w:rPr>
          <w:rFonts w:asciiTheme="minorHAnsi" w:hAnsiTheme="minorHAnsi"/>
          <w:b/>
          <w:bCs/>
          <w:color w:val="002060"/>
          <w:sz w:val="24"/>
          <w:szCs w:val="24"/>
        </w:rPr>
        <w:t xml:space="preserve">Background to the </w:t>
      </w:r>
      <w:r>
        <w:rPr>
          <w:rFonts w:asciiTheme="minorHAnsi" w:hAnsiTheme="minorHAnsi"/>
          <w:b/>
          <w:bCs/>
          <w:color w:val="002060"/>
          <w:sz w:val="24"/>
          <w:szCs w:val="24"/>
        </w:rPr>
        <w:t>MTR</w:t>
      </w:r>
      <w:bookmarkEnd w:id="13"/>
    </w:p>
    <w:p w14:paraId="4C823208" w14:textId="2EB0F902" w:rsidR="0080297A" w:rsidRPr="0080297A" w:rsidRDefault="0080297A" w:rsidP="00DE7911">
      <w:pPr>
        <w:spacing w:before="240" w:line="276" w:lineRule="auto"/>
        <w:ind w:left="-446" w:right="-450"/>
        <w:jc w:val="both"/>
        <w:rPr>
          <w:szCs w:val="24"/>
        </w:rPr>
      </w:pPr>
      <w:r w:rsidRPr="00FD6358">
        <w:rPr>
          <w:szCs w:val="24"/>
        </w:rPr>
        <w:t xml:space="preserve">ASIPJ is a four-year, AUD20 million investment (2022-2025), with a two-year option to extend the current contract. ASIPJ’s goal is that Solomon Islands and Australia partner to promote peace, safety and socio-economic development by strengthening law and justice services in Solomon Islands. In pursuit of this goal, the objective of ASIPJ is that Australia will support Solomon Island justice partners to contribute to safer communities. </w:t>
      </w:r>
    </w:p>
    <w:p w14:paraId="65BCB3E4" w14:textId="77777777" w:rsidR="00E3509F" w:rsidRDefault="00E3509F" w:rsidP="00DE7911">
      <w:pPr>
        <w:spacing w:before="240" w:line="276" w:lineRule="auto"/>
        <w:ind w:left="-446" w:right="-450"/>
        <w:jc w:val="both"/>
        <w:rPr>
          <w:szCs w:val="24"/>
        </w:rPr>
      </w:pPr>
      <w:r w:rsidRPr="00FD6358">
        <w:rPr>
          <w:szCs w:val="24"/>
        </w:rPr>
        <w:t>ASIPJ has two end-of-program (EOPO) outcomes: </w:t>
      </w:r>
    </w:p>
    <w:p w14:paraId="1B8E5C94" w14:textId="4A50EA07" w:rsidR="00E3509F" w:rsidRPr="00FD6358" w:rsidRDefault="00E3509F" w:rsidP="00DE7911">
      <w:pPr>
        <w:numPr>
          <w:ilvl w:val="0"/>
          <w:numId w:val="26"/>
        </w:numPr>
        <w:suppressAutoHyphens/>
        <w:spacing w:before="120" w:after="60" w:line="276" w:lineRule="auto"/>
        <w:jc w:val="both"/>
        <w:rPr>
          <w:szCs w:val="24"/>
        </w:rPr>
      </w:pPr>
      <w:r w:rsidRPr="00FD6358">
        <w:rPr>
          <w:szCs w:val="24"/>
        </w:rPr>
        <w:t xml:space="preserve">EOPO 1: SIG justice agencies have improved capacity to perform their core functions and enhance access to justice. </w:t>
      </w:r>
    </w:p>
    <w:p w14:paraId="39BCD043" w14:textId="5D63A192" w:rsidR="00E3509F" w:rsidRPr="00E3509F" w:rsidRDefault="00E3509F" w:rsidP="00DE7911">
      <w:pPr>
        <w:numPr>
          <w:ilvl w:val="0"/>
          <w:numId w:val="26"/>
        </w:numPr>
        <w:suppressAutoHyphens/>
        <w:spacing w:before="120" w:after="60" w:line="276" w:lineRule="auto"/>
        <w:ind w:left="714" w:hanging="357"/>
        <w:jc w:val="both"/>
        <w:rPr>
          <w:szCs w:val="24"/>
        </w:rPr>
      </w:pPr>
      <w:r w:rsidRPr="00FD6358">
        <w:rPr>
          <w:szCs w:val="24"/>
        </w:rPr>
        <w:t>EOPO 2: SIG</w:t>
      </w:r>
      <w:r w:rsidR="00A9589C">
        <w:rPr>
          <w:szCs w:val="24"/>
        </w:rPr>
        <w:t xml:space="preserve"> </w:t>
      </w:r>
      <w:r w:rsidRPr="00FD6358">
        <w:rPr>
          <w:szCs w:val="24"/>
        </w:rPr>
        <w:t>justice agencies are increasingly sensitive and responsive to the needs of women, girls and others vulnerable to family and sexual violence.</w:t>
      </w:r>
    </w:p>
    <w:p w14:paraId="3AA36B21" w14:textId="77777777" w:rsidR="00E3509F" w:rsidRDefault="00E3509F" w:rsidP="00DE7911">
      <w:pPr>
        <w:spacing w:before="240" w:line="276" w:lineRule="auto"/>
        <w:ind w:left="-446" w:right="-450"/>
        <w:jc w:val="both"/>
        <w:rPr>
          <w:szCs w:val="24"/>
        </w:rPr>
      </w:pPr>
      <w:r w:rsidRPr="00E3509F">
        <w:rPr>
          <w:szCs w:val="24"/>
        </w:rPr>
        <w:t>ASIPJ has four intermediate outcomes (IOs):  </w:t>
      </w:r>
    </w:p>
    <w:p w14:paraId="320C8515" w14:textId="77777777" w:rsidR="00E3509F" w:rsidRPr="00FD6358" w:rsidRDefault="00E3509F" w:rsidP="00DE7911">
      <w:pPr>
        <w:numPr>
          <w:ilvl w:val="0"/>
          <w:numId w:val="26"/>
        </w:numPr>
        <w:suppressAutoHyphens/>
        <w:spacing w:before="120" w:after="60" w:line="276" w:lineRule="auto"/>
        <w:jc w:val="both"/>
        <w:rPr>
          <w:szCs w:val="24"/>
        </w:rPr>
      </w:pPr>
      <w:r w:rsidRPr="00FD6358">
        <w:rPr>
          <w:szCs w:val="24"/>
        </w:rPr>
        <w:t>IO 1: Skills of current and emerging leaders and staff in SIG justice partner agencies are developed and enhanced.</w:t>
      </w:r>
    </w:p>
    <w:p w14:paraId="255A4874" w14:textId="77777777" w:rsidR="00E3509F" w:rsidRPr="00FD6358" w:rsidRDefault="00E3509F" w:rsidP="00DE7911">
      <w:pPr>
        <w:numPr>
          <w:ilvl w:val="0"/>
          <w:numId w:val="26"/>
        </w:numPr>
        <w:suppressAutoHyphens/>
        <w:spacing w:before="120" w:after="60" w:line="276" w:lineRule="auto"/>
        <w:jc w:val="both"/>
        <w:rPr>
          <w:szCs w:val="24"/>
        </w:rPr>
      </w:pPr>
      <w:r w:rsidRPr="00FD6358">
        <w:rPr>
          <w:szCs w:val="24"/>
        </w:rPr>
        <w:t>IO 2: Systems and processes of SIG justice partners are built and strengthened to support core agency functions and access to justice services.</w:t>
      </w:r>
    </w:p>
    <w:p w14:paraId="139A4B1B" w14:textId="77777777" w:rsidR="00E3509F" w:rsidRPr="00FD6358" w:rsidRDefault="00E3509F" w:rsidP="00DE7911">
      <w:pPr>
        <w:numPr>
          <w:ilvl w:val="0"/>
          <w:numId w:val="26"/>
        </w:numPr>
        <w:suppressAutoHyphens/>
        <w:spacing w:before="120" w:after="60" w:line="276" w:lineRule="auto"/>
        <w:jc w:val="both"/>
        <w:rPr>
          <w:szCs w:val="24"/>
        </w:rPr>
      </w:pPr>
      <w:r w:rsidRPr="00FD6358">
        <w:rPr>
          <w:szCs w:val="24"/>
        </w:rPr>
        <w:t>IO 3: Cross-sector collaboration is occurring and working to deliver justice services more effectively and inclusively.</w:t>
      </w:r>
    </w:p>
    <w:p w14:paraId="1B554A35" w14:textId="15486867" w:rsidR="00E3509F" w:rsidRPr="00E3509F" w:rsidRDefault="00E3509F" w:rsidP="00DE7911">
      <w:pPr>
        <w:numPr>
          <w:ilvl w:val="0"/>
          <w:numId w:val="26"/>
        </w:numPr>
        <w:suppressAutoHyphens/>
        <w:spacing w:before="120" w:after="60" w:line="276" w:lineRule="auto"/>
        <w:jc w:val="both"/>
        <w:rPr>
          <w:szCs w:val="24"/>
        </w:rPr>
      </w:pPr>
      <w:r w:rsidRPr="00FD6358">
        <w:rPr>
          <w:szCs w:val="24"/>
        </w:rPr>
        <w:lastRenderedPageBreak/>
        <w:t>IO 4: Community engagement and outreach by SIG justice partners is increasingly accessible and inclusive.</w:t>
      </w:r>
    </w:p>
    <w:p w14:paraId="296B2C30" w14:textId="171B8735" w:rsidR="00E3509F" w:rsidRDefault="00E3509F" w:rsidP="00DE7911">
      <w:pPr>
        <w:spacing w:before="240" w:line="276" w:lineRule="auto"/>
        <w:ind w:left="-446" w:right="-450"/>
        <w:jc w:val="both"/>
        <w:rPr>
          <w:rFonts w:cstheme="minorHAnsi"/>
        </w:rPr>
      </w:pPr>
      <w:r w:rsidRPr="00FD6358">
        <w:rPr>
          <w:rFonts w:cs="Times New Roman"/>
          <w:szCs w:val="24"/>
        </w:rPr>
        <w:t xml:space="preserve">ASIPJ is supported by DFAT and implemented by </w:t>
      </w:r>
      <w:r w:rsidRPr="00FD6358">
        <w:rPr>
          <w:szCs w:val="24"/>
        </w:rPr>
        <w:t xml:space="preserve">a consortium comprising Deloitte Touche Tohmatsu (Deloitte) (managing contractor and technical delivery), Adam Smith International (ASI) (operational </w:t>
      </w:r>
      <w:r w:rsidRPr="00FD6358">
        <w:rPr>
          <w:rFonts w:cs="Times New Roman"/>
          <w:szCs w:val="24"/>
        </w:rPr>
        <w:t xml:space="preserve">and delivery), and Ninti One (Indigenous engagement). </w:t>
      </w:r>
      <w:r>
        <w:rPr>
          <w:rFonts w:cs="Times New Roman"/>
          <w:szCs w:val="24"/>
        </w:rPr>
        <w:t>ASIPJ</w:t>
      </w:r>
      <w:r w:rsidRPr="00FD6358">
        <w:rPr>
          <w:rFonts w:cs="Times New Roman"/>
          <w:szCs w:val="24"/>
        </w:rPr>
        <w:t xml:space="preserve"> works with other Australian funded programs including Australian AFP</w:t>
      </w:r>
      <w:r w:rsidR="00455E13">
        <w:rPr>
          <w:rFonts w:cs="Times New Roman"/>
          <w:szCs w:val="24"/>
        </w:rPr>
        <w:t xml:space="preserve"> </w:t>
      </w:r>
      <w:r w:rsidRPr="00FD6358">
        <w:rPr>
          <w:rFonts w:cs="Times New Roman"/>
          <w:szCs w:val="24"/>
        </w:rPr>
        <w:t>through the Royal Solomon Islands Police Force-AFP Policing Partnership Program (RAPPP) and the Attorney-General’s Department through its Pacific Law and Justice Program.</w:t>
      </w:r>
    </w:p>
    <w:p w14:paraId="604BDC10" w14:textId="26A6B9AD" w:rsidR="00E3509F" w:rsidRDefault="00E3509F" w:rsidP="00DE7911">
      <w:pPr>
        <w:spacing w:before="240" w:line="276" w:lineRule="auto"/>
        <w:ind w:left="-446" w:right="-450"/>
        <w:jc w:val="both"/>
        <w:rPr>
          <w:rFonts w:cstheme="minorHAnsi"/>
        </w:rPr>
      </w:pPr>
      <w:r w:rsidRPr="00FD6358">
        <w:rPr>
          <w:szCs w:val="24"/>
        </w:rPr>
        <w:t>ASIPJ is governed by the PRG comprised of four senior SIG officials (Chief Justice, Attorney General, Permanent Secretary of MJLA, and Permanent Secretary of the Ministry of Police, National Security and Correctional Services) and one Australian Government official (Minister Counsellor</w:t>
      </w:r>
      <w:r w:rsidR="007F67FC">
        <w:rPr>
          <w:szCs w:val="24"/>
        </w:rPr>
        <w:t>, Australian High Commission, Honiara</w:t>
      </w:r>
      <w:r w:rsidRPr="00FD6358">
        <w:rPr>
          <w:szCs w:val="24"/>
        </w:rPr>
        <w:t xml:space="preserve">). </w:t>
      </w:r>
    </w:p>
    <w:p w14:paraId="57683C38" w14:textId="77777777" w:rsidR="00E3509F" w:rsidRDefault="00E3509F" w:rsidP="00DE7911">
      <w:pPr>
        <w:spacing w:before="240" w:line="276" w:lineRule="auto"/>
        <w:ind w:left="-446" w:right="-450"/>
        <w:jc w:val="both"/>
        <w:rPr>
          <w:rFonts w:cstheme="minorHAnsi"/>
        </w:rPr>
      </w:pPr>
      <w:r w:rsidRPr="00FD6358">
        <w:rPr>
          <w:szCs w:val="24"/>
        </w:rPr>
        <w:t xml:space="preserve">DFAT is responsible for providing strategic direction to ASIPJ and ensuring that funded activities </w:t>
      </w:r>
      <w:r>
        <w:rPr>
          <w:szCs w:val="24"/>
        </w:rPr>
        <w:t>contribute</w:t>
      </w:r>
      <w:r w:rsidRPr="00FD6358">
        <w:rPr>
          <w:szCs w:val="24"/>
        </w:rPr>
        <w:t xml:space="preserve"> to program outcomes. DFAT maintains regular direct engagement with relevant senior SIG stakeholders and other partners. DFAT is also responsible for responding to and managing the impact of Australian and SIG policy changes on ASIPJ.  </w:t>
      </w:r>
    </w:p>
    <w:p w14:paraId="133A981C" w14:textId="039C4CDB" w:rsidR="00E3509F" w:rsidRPr="00E3509F" w:rsidRDefault="00E3509F" w:rsidP="00DE7911">
      <w:pPr>
        <w:spacing w:before="240" w:line="276" w:lineRule="auto"/>
        <w:ind w:left="-446" w:right="-450"/>
        <w:jc w:val="both"/>
        <w:rPr>
          <w:rFonts w:cstheme="minorHAnsi"/>
        </w:rPr>
      </w:pPr>
      <w:r w:rsidRPr="00FD6358">
        <w:rPr>
          <w:szCs w:val="24"/>
        </w:rPr>
        <w:t xml:space="preserve">The design of ASIPJ was undertaken in 2022, </w:t>
      </w:r>
      <w:r>
        <w:rPr>
          <w:szCs w:val="24"/>
        </w:rPr>
        <w:t xml:space="preserve">involving consultations with </w:t>
      </w:r>
      <w:r w:rsidRPr="00FD6358">
        <w:rPr>
          <w:szCs w:val="24"/>
        </w:rPr>
        <w:t xml:space="preserve">a wide range of stakeholders </w:t>
      </w:r>
      <w:r>
        <w:rPr>
          <w:szCs w:val="24"/>
        </w:rPr>
        <w:t>and building on over 25 years of Australian law and justice assistance in Solomon Islands</w:t>
      </w:r>
      <w:r w:rsidRPr="00FD6358">
        <w:rPr>
          <w:szCs w:val="24"/>
        </w:rPr>
        <w:t xml:space="preserve">. ASIPJ </w:t>
      </w:r>
      <w:r>
        <w:rPr>
          <w:szCs w:val="24"/>
        </w:rPr>
        <w:t xml:space="preserve">then </w:t>
      </w:r>
      <w:r w:rsidRPr="00FD6358">
        <w:rPr>
          <w:szCs w:val="24"/>
        </w:rPr>
        <w:t xml:space="preserve">underwent a significant budget reduction for the period July 2023 to December 2025, from AUD32m to AUD18.5m. This reduction </w:t>
      </w:r>
      <w:r w:rsidR="00DE5D07">
        <w:rPr>
          <w:szCs w:val="24"/>
        </w:rPr>
        <w:t>meant</w:t>
      </w:r>
      <w:r w:rsidRPr="00FD6358">
        <w:rPr>
          <w:szCs w:val="24"/>
        </w:rPr>
        <w:t xml:space="preserve"> a decrease to the program’s personnel profile, planned activities and operations. At this time, ASIPJ underwent a </w:t>
      </w:r>
      <w:r w:rsidR="00DE5D07">
        <w:rPr>
          <w:szCs w:val="24"/>
        </w:rPr>
        <w:t>D</w:t>
      </w:r>
      <w:r w:rsidRPr="00FD6358">
        <w:rPr>
          <w:szCs w:val="24"/>
        </w:rPr>
        <w:t xml:space="preserve">esign </w:t>
      </w:r>
      <w:r w:rsidR="00DE5D07">
        <w:rPr>
          <w:szCs w:val="24"/>
        </w:rPr>
        <w:t>R</w:t>
      </w:r>
      <w:r w:rsidRPr="00FD6358">
        <w:rPr>
          <w:szCs w:val="24"/>
        </w:rPr>
        <w:t xml:space="preserve">efresh through which its </w:t>
      </w:r>
      <w:r w:rsidRPr="00FD6358">
        <w:rPr>
          <w:bCs/>
          <w:szCs w:val="24"/>
        </w:rPr>
        <w:t xml:space="preserve">focus was tightened around three areas: </w:t>
      </w:r>
    </w:p>
    <w:p w14:paraId="49EA3181" w14:textId="77777777" w:rsidR="00E3509F" w:rsidRPr="00FD6358" w:rsidRDefault="00E3509F" w:rsidP="00DE7911">
      <w:pPr>
        <w:numPr>
          <w:ilvl w:val="0"/>
          <w:numId w:val="27"/>
        </w:numPr>
        <w:suppressAutoHyphens/>
        <w:spacing w:before="120" w:after="60" w:line="276" w:lineRule="auto"/>
        <w:jc w:val="both"/>
        <w:rPr>
          <w:bCs/>
          <w:szCs w:val="24"/>
        </w:rPr>
      </w:pPr>
      <w:r w:rsidRPr="00FD6358">
        <w:rPr>
          <w:bCs/>
          <w:szCs w:val="24"/>
        </w:rPr>
        <w:t xml:space="preserve">Support for SIG justice agencies to perform core functions </w:t>
      </w:r>
    </w:p>
    <w:p w14:paraId="3879F8B5" w14:textId="77777777" w:rsidR="00E3509F" w:rsidRPr="00FD6358" w:rsidRDefault="00E3509F" w:rsidP="00DE7911">
      <w:pPr>
        <w:numPr>
          <w:ilvl w:val="0"/>
          <w:numId w:val="27"/>
        </w:numPr>
        <w:suppressAutoHyphens/>
        <w:spacing w:before="120" w:after="60" w:line="276" w:lineRule="auto"/>
        <w:jc w:val="both"/>
        <w:rPr>
          <w:bCs/>
          <w:szCs w:val="24"/>
        </w:rPr>
      </w:pPr>
      <w:r w:rsidRPr="00FD6358">
        <w:rPr>
          <w:bCs/>
          <w:szCs w:val="24"/>
        </w:rPr>
        <w:t xml:space="preserve">Access to justice in targeted provincial locations </w:t>
      </w:r>
    </w:p>
    <w:p w14:paraId="5E4A35EC" w14:textId="24327389" w:rsidR="00DF1A6C" w:rsidRDefault="00E3509F" w:rsidP="00DE7911">
      <w:pPr>
        <w:numPr>
          <w:ilvl w:val="0"/>
          <w:numId w:val="27"/>
        </w:numPr>
        <w:suppressAutoHyphens/>
        <w:spacing w:before="120" w:after="0" w:line="276" w:lineRule="auto"/>
        <w:jc w:val="both"/>
        <w:rPr>
          <w:bCs/>
          <w:szCs w:val="24"/>
        </w:rPr>
      </w:pPr>
      <w:r w:rsidRPr="00FD6358">
        <w:rPr>
          <w:bCs/>
          <w:szCs w:val="24"/>
        </w:rPr>
        <w:t xml:space="preserve">Gender equality, disability and social inclusion. </w:t>
      </w:r>
    </w:p>
    <w:p w14:paraId="5F2E3CDF" w14:textId="77777777" w:rsidR="00070F1E" w:rsidRPr="00070F1E" w:rsidRDefault="00070F1E" w:rsidP="00DE7911">
      <w:pPr>
        <w:suppressAutoHyphens/>
        <w:spacing w:after="60" w:line="276" w:lineRule="auto"/>
        <w:ind w:left="1080"/>
        <w:jc w:val="both"/>
        <w:rPr>
          <w:bCs/>
          <w:szCs w:val="24"/>
        </w:rPr>
      </w:pPr>
    </w:p>
    <w:p w14:paraId="7A2E3446" w14:textId="4F202179" w:rsidR="00DF1A6C" w:rsidRDefault="00DF1A6C" w:rsidP="00DE7911">
      <w:pPr>
        <w:pStyle w:val="Heading2"/>
        <w:spacing w:before="0" w:line="276" w:lineRule="auto"/>
        <w:ind w:hanging="446"/>
        <w:jc w:val="both"/>
        <w:rPr>
          <w:rFonts w:asciiTheme="minorHAnsi" w:hAnsiTheme="minorHAnsi"/>
          <w:b/>
          <w:color w:val="002060"/>
          <w:sz w:val="24"/>
          <w:szCs w:val="24"/>
        </w:rPr>
      </w:pPr>
      <w:bookmarkStart w:id="14" w:name="_Toc197077516"/>
      <w:r>
        <w:rPr>
          <w:rFonts w:asciiTheme="minorHAnsi" w:hAnsiTheme="minorHAnsi"/>
          <w:b/>
          <w:bCs/>
          <w:color w:val="002060"/>
          <w:sz w:val="24"/>
          <w:szCs w:val="24"/>
        </w:rPr>
        <w:t xml:space="preserve">Context and </w:t>
      </w:r>
      <w:r w:rsidR="004A54BE">
        <w:rPr>
          <w:rFonts w:asciiTheme="minorHAnsi" w:hAnsiTheme="minorHAnsi"/>
          <w:b/>
          <w:bCs/>
          <w:color w:val="002060"/>
          <w:sz w:val="24"/>
          <w:szCs w:val="24"/>
        </w:rPr>
        <w:t>o</w:t>
      </w:r>
      <w:r>
        <w:rPr>
          <w:rFonts w:asciiTheme="minorHAnsi" w:hAnsiTheme="minorHAnsi"/>
          <w:b/>
          <w:bCs/>
          <w:color w:val="002060"/>
          <w:sz w:val="24"/>
          <w:szCs w:val="24"/>
        </w:rPr>
        <w:t>bjectives for the MTR</w:t>
      </w:r>
      <w:bookmarkEnd w:id="14"/>
    </w:p>
    <w:p w14:paraId="65EC2A00" w14:textId="19FF26B3" w:rsidR="00DF1A6C" w:rsidRDefault="00DF1A6C" w:rsidP="00DE7911">
      <w:pPr>
        <w:spacing w:before="240" w:line="276" w:lineRule="auto"/>
        <w:ind w:left="-446" w:right="-450"/>
        <w:jc w:val="both"/>
        <w:rPr>
          <w:szCs w:val="24"/>
        </w:rPr>
      </w:pPr>
      <w:r w:rsidRPr="00FD6358">
        <w:rPr>
          <w:szCs w:val="24"/>
        </w:rPr>
        <w:t>ASIPJ’s implementation experienced disruptions to design and commencement, owing to COVID-19</w:t>
      </w:r>
      <w:r w:rsidR="006A0CFF">
        <w:rPr>
          <w:szCs w:val="24"/>
        </w:rPr>
        <w:t xml:space="preserve">, the </w:t>
      </w:r>
      <w:r w:rsidRPr="00FD6358">
        <w:rPr>
          <w:szCs w:val="24"/>
        </w:rPr>
        <w:t xml:space="preserve">budget reduction and </w:t>
      </w:r>
      <w:r w:rsidR="006A0CFF">
        <w:rPr>
          <w:szCs w:val="24"/>
        </w:rPr>
        <w:t>D</w:t>
      </w:r>
      <w:r w:rsidRPr="00FD6358">
        <w:rPr>
          <w:szCs w:val="24"/>
        </w:rPr>
        <w:t xml:space="preserve">esign </w:t>
      </w:r>
      <w:r w:rsidR="006A0CFF">
        <w:rPr>
          <w:szCs w:val="24"/>
        </w:rPr>
        <w:t>R</w:t>
      </w:r>
      <w:r w:rsidRPr="00FD6358">
        <w:rPr>
          <w:szCs w:val="24"/>
        </w:rPr>
        <w:t>efresh. These disruptions impacted workplan and activity</w:t>
      </w:r>
      <w:r w:rsidR="006A0CFF">
        <w:rPr>
          <w:szCs w:val="24"/>
        </w:rPr>
        <w:t xml:space="preserve"> implementation</w:t>
      </w:r>
      <w:r w:rsidRPr="00FD6358">
        <w:rPr>
          <w:szCs w:val="24"/>
        </w:rPr>
        <w:t xml:space="preserve"> during 2022 and 2023, with full implementation occurring throughout 2024</w:t>
      </w:r>
      <w:r w:rsidR="006A0CFF">
        <w:rPr>
          <w:szCs w:val="24"/>
        </w:rPr>
        <w:t xml:space="preserve"> and 2025</w:t>
      </w:r>
      <w:r w:rsidRPr="00FD6358">
        <w:rPr>
          <w:szCs w:val="24"/>
        </w:rPr>
        <w:t xml:space="preserve">. </w:t>
      </w:r>
    </w:p>
    <w:p w14:paraId="0DF8B3CC" w14:textId="3ACABA9A" w:rsidR="00DF1A6C" w:rsidRDefault="00DF1A6C" w:rsidP="00DE7911">
      <w:pPr>
        <w:spacing w:before="240" w:line="276" w:lineRule="auto"/>
        <w:ind w:left="-446" w:right="-450"/>
        <w:jc w:val="both"/>
        <w:rPr>
          <w:szCs w:val="24"/>
        </w:rPr>
      </w:pPr>
      <w:r>
        <w:rPr>
          <w:szCs w:val="24"/>
        </w:rPr>
        <w:t>In</w:t>
      </w:r>
      <w:r w:rsidR="00E3509F" w:rsidRPr="00FD6358">
        <w:rPr>
          <w:szCs w:val="24"/>
        </w:rPr>
        <w:t xml:space="preserve"> </w:t>
      </w:r>
      <w:r w:rsidR="00824A3F">
        <w:rPr>
          <w:szCs w:val="24"/>
        </w:rPr>
        <w:t>December</w:t>
      </w:r>
      <w:r w:rsidR="00824A3F" w:rsidRPr="00FD6358">
        <w:rPr>
          <w:szCs w:val="24"/>
        </w:rPr>
        <w:t xml:space="preserve"> </w:t>
      </w:r>
      <w:r w:rsidR="00E3509F" w:rsidRPr="00FD6358">
        <w:rPr>
          <w:szCs w:val="24"/>
        </w:rPr>
        <w:t>2024</w:t>
      </w:r>
      <w:r>
        <w:rPr>
          <w:szCs w:val="24"/>
        </w:rPr>
        <w:t>,</w:t>
      </w:r>
      <w:r w:rsidR="00E3509F" w:rsidRPr="00FD6358">
        <w:rPr>
          <w:szCs w:val="24"/>
        </w:rPr>
        <w:t xml:space="preserve"> Prime Minister Jeremiah </w:t>
      </w:r>
      <w:proofErr w:type="spellStart"/>
      <w:r w:rsidR="00E3509F" w:rsidRPr="00FD6358">
        <w:rPr>
          <w:szCs w:val="24"/>
        </w:rPr>
        <w:t>Manele</w:t>
      </w:r>
      <w:proofErr w:type="spellEnd"/>
      <w:r w:rsidR="00E3509F" w:rsidRPr="00FD6358">
        <w:rPr>
          <w:szCs w:val="24"/>
        </w:rPr>
        <w:t xml:space="preserve"> </w:t>
      </w:r>
      <w:r w:rsidR="00824A3F">
        <w:rPr>
          <w:szCs w:val="24"/>
        </w:rPr>
        <w:t xml:space="preserve">and Prime Minister Anthony Albanese announced a new partnership </w:t>
      </w:r>
      <w:r w:rsidR="006C3F8E">
        <w:rPr>
          <w:szCs w:val="24"/>
        </w:rPr>
        <w:t xml:space="preserve">to </w:t>
      </w:r>
      <w:r w:rsidR="00824A3F">
        <w:rPr>
          <w:szCs w:val="24"/>
        </w:rPr>
        <w:t xml:space="preserve">grow the size and capability of the </w:t>
      </w:r>
      <w:r w:rsidR="00E3509F" w:rsidRPr="00FD6358">
        <w:rPr>
          <w:rFonts w:cs="Times New Roman"/>
          <w:szCs w:val="24"/>
        </w:rPr>
        <w:t xml:space="preserve">Royal Solomon Islands Police Force (RSIPF). The potential for growth in law enforcement in Solomon Islands </w:t>
      </w:r>
      <w:r w:rsidR="004E07E6">
        <w:rPr>
          <w:rFonts w:cs="Times New Roman"/>
          <w:szCs w:val="24"/>
        </w:rPr>
        <w:t xml:space="preserve">is assumed to bring </w:t>
      </w:r>
      <w:r w:rsidR="00E3509F" w:rsidRPr="00FD6358">
        <w:rPr>
          <w:rFonts w:cs="Times New Roman"/>
          <w:szCs w:val="24"/>
        </w:rPr>
        <w:t xml:space="preserve">downstream impacts </w:t>
      </w:r>
      <w:r w:rsidR="00755B02">
        <w:rPr>
          <w:rFonts w:cs="Times New Roman"/>
          <w:szCs w:val="24"/>
        </w:rPr>
        <w:t xml:space="preserve">and demands </w:t>
      </w:r>
      <w:r w:rsidR="00E3509F" w:rsidRPr="00FD6358">
        <w:rPr>
          <w:rFonts w:cs="Times New Roman"/>
          <w:szCs w:val="24"/>
        </w:rPr>
        <w:t xml:space="preserve">on the law and justice sector including </w:t>
      </w:r>
      <w:r w:rsidR="004E07E6">
        <w:rPr>
          <w:rFonts w:cs="Times New Roman"/>
          <w:szCs w:val="24"/>
        </w:rPr>
        <w:t xml:space="preserve">for </w:t>
      </w:r>
      <w:r w:rsidR="00E3509F" w:rsidRPr="00FD6358">
        <w:rPr>
          <w:rFonts w:cs="Times New Roman"/>
          <w:szCs w:val="24"/>
        </w:rPr>
        <w:t>the offi</w:t>
      </w:r>
      <w:r w:rsidR="004E07E6">
        <w:rPr>
          <w:rFonts w:cs="Times New Roman"/>
          <w:szCs w:val="24"/>
        </w:rPr>
        <w:t xml:space="preserve">ces of </w:t>
      </w:r>
      <w:r w:rsidR="00E3509F" w:rsidRPr="00FD6358">
        <w:rPr>
          <w:rFonts w:cs="Times New Roman"/>
          <w:szCs w:val="24"/>
        </w:rPr>
        <w:t xml:space="preserve">the Public Solicitor and Prosecutor, </w:t>
      </w:r>
      <w:r w:rsidR="004E07E6">
        <w:rPr>
          <w:rFonts w:cs="Times New Roman"/>
          <w:szCs w:val="24"/>
        </w:rPr>
        <w:t xml:space="preserve">Judiciary </w:t>
      </w:r>
      <w:r w:rsidR="00E3509F" w:rsidRPr="00FD6358">
        <w:rPr>
          <w:rFonts w:cs="Times New Roman"/>
          <w:szCs w:val="24"/>
        </w:rPr>
        <w:t xml:space="preserve">and </w:t>
      </w:r>
      <w:r w:rsidR="004E07E6">
        <w:rPr>
          <w:rFonts w:cs="Times New Roman"/>
          <w:szCs w:val="24"/>
        </w:rPr>
        <w:t>C</w:t>
      </w:r>
      <w:r w:rsidR="00E3509F" w:rsidRPr="00FD6358">
        <w:rPr>
          <w:rFonts w:cs="Times New Roman"/>
          <w:szCs w:val="24"/>
        </w:rPr>
        <w:t xml:space="preserve">orrectional </w:t>
      </w:r>
      <w:r w:rsidR="004E07E6">
        <w:rPr>
          <w:rFonts w:cs="Times New Roman"/>
          <w:szCs w:val="24"/>
        </w:rPr>
        <w:t>S</w:t>
      </w:r>
      <w:r w:rsidR="00E3509F" w:rsidRPr="00FD6358">
        <w:rPr>
          <w:rFonts w:cs="Times New Roman"/>
          <w:szCs w:val="24"/>
        </w:rPr>
        <w:t>ervice</w:t>
      </w:r>
      <w:r w:rsidR="00694AA2">
        <w:rPr>
          <w:rFonts w:cs="Times New Roman"/>
          <w:szCs w:val="24"/>
        </w:rPr>
        <w:t xml:space="preserve"> of the Solomon Islands (CSSI)</w:t>
      </w:r>
      <w:r w:rsidR="00E3509F" w:rsidRPr="00FD6358">
        <w:rPr>
          <w:rFonts w:cs="Times New Roman"/>
          <w:szCs w:val="24"/>
        </w:rPr>
        <w:t xml:space="preserve">.  </w:t>
      </w:r>
    </w:p>
    <w:p w14:paraId="3B76AB19" w14:textId="13DEC625" w:rsidR="00DF1A6C" w:rsidRPr="00DF1A6C" w:rsidRDefault="00E3509F" w:rsidP="00DE7911">
      <w:pPr>
        <w:spacing w:before="240" w:line="276" w:lineRule="auto"/>
        <w:ind w:left="-446" w:right="-448"/>
        <w:jc w:val="both"/>
        <w:rPr>
          <w:rFonts w:cstheme="minorHAnsi"/>
          <w:szCs w:val="24"/>
        </w:rPr>
      </w:pPr>
      <w:r w:rsidRPr="00403FAF">
        <w:rPr>
          <w:rFonts w:cs="Times New Roman"/>
          <w:szCs w:val="24"/>
        </w:rPr>
        <w:t xml:space="preserve">In </w:t>
      </w:r>
      <w:r w:rsidRPr="00DF1A6C">
        <w:rPr>
          <w:rFonts w:cstheme="minorHAnsi"/>
          <w:szCs w:val="24"/>
        </w:rPr>
        <w:t xml:space="preserve">this context, the objective of the </w:t>
      </w:r>
      <w:r w:rsidR="00BA4553">
        <w:rPr>
          <w:rFonts w:cstheme="minorHAnsi"/>
          <w:szCs w:val="24"/>
        </w:rPr>
        <w:t>MTR</w:t>
      </w:r>
      <w:r w:rsidRPr="00DF1A6C">
        <w:rPr>
          <w:rFonts w:cstheme="minorHAnsi"/>
          <w:szCs w:val="24"/>
        </w:rPr>
        <w:t xml:space="preserve"> is two-fold: </w:t>
      </w:r>
    </w:p>
    <w:p w14:paraId="2DAB7387" w14:textId="77777777" w:rsidR="00DF1A6C" w:rsidRPr="00DF1A6C" w:rsidRDefault="00DF1A6C" w:rsidP="00DE7911">
      <w:pPr>
        <w:pStyle w:val="ListParagraph"/>
        <w:numPr>
          <w:ilvl w:val="0"/>
          <w:numId w:val="29"/>
        </w:numPr>
        <w:spacing w:before="240" w:line="276" w:lineRule="auto"/>
        <w:ind w:right="-448"/>
        <w:contextualSpacing w:val="0"/>
        <w:jc w:val="both"/>
        <w:rPr>
          <w:rFonts w:cstheme="minorHAnsi"/>
          <w:szCs w:val="24"/>
        </w:rPr>
      </w:pPr>
      <w:r w:rsidRPr="00DF1A6C">
        <w:rPr>
          <w:rFonts w:cstheme="minorHAnsi"/>
          <w:szCs w:val="24"/>
        </w:rPr>
        <w:t>Assess, in the context of these disruptions, the extent to which results have been achieved against the EOPOs and IOs at this point of ASIPJ’s implementation, and</w:t>
      </w:r>
    </w:p>
    <w:p w14:paraId="46EDD905" w14:textId="673FA879" w:rsidR="00DF1A6C" w:rsidRPr="00DF1A6C" w:rsidRDefault="00DF1A6C" w:rsidP="00DE7911">
      <w:pPr>
        <w:pStyle w:val="ListParagraph"/>
        <w:numPr>
          <w:ilvl w:val="0"/>
          <w:numId w:val="29"/>
        </w:numPr>
        <w:spacing w:before="240" w:line="276" w:lineRule="auto"/>
        <w:ind w:right="-448"/>
        <w:contextualSpacing w:val="0"/>
        <w:jc w:val="both"/>
        <w:rPr>
          <w:rFonts w:cstheme="minorHAnsi"/>
          <w:szCs w:val="24"/>
        </w:rPr>
      </w:pPr>
      <w:r w:rsidRPr="00DF1A6C">
        <w:rPr>
          <w:rFonts w:cstheme="minorHAnsi"/>
          <w:szCs w:val="24"/>
        </w:rPr>
        <w:lastRenderedPageBreak/>
        <w:t>Provide</w:t>
      </w:r>
      <w:r w:rsidRPr="00DF1A6C">
        <w:rPr>
          <w:rFonts w:cstheme="minorHAnsi"/>
        </w:rPr>
        <w:t xml:space="preserve"> clear recommendations for changes to program implementation and management, including to inform future program iterations. </w:t>
      </w:r>
    </w:p>
    <w:p w14:paraId="07F85787" w14:textId="0947D920" w:rsidR="000A14B6" w:rsidRPr="00BA4553" w:rsidRDefault="00E3509F" w:rsidP="00DE7911">
      <w:pPr>
        <w:pStyle w:val="Heading2"/>
        <w:spacing w:before="0" w:after="240" w:line="276" w:lineRule="auto"/>
        <w:ind w:hanging="446"/>
        <w:jc w:val="both"/>
        <w:rPr>
          <w:rFonts w:asciiTheme="minorHAnsi" w:hAnsiTheme="minorHAnsi"/>
          <w:b/>
          <w:color w:val="002060"/>
          <w:sz w:val="24"/>
          <w:szCs w:val="24"/>
        </w:rPr>
      </w:pPr>
      <w:bookmarkStart w:id="15" w:name="_Toc425974660"/>
      <w:bookmarkStart w:id="16" w:name="_Toc56189445"/>
      <w:bookmarkStart w:id="17" w:name="_Toc197077517"/>
      <w:r w:rsidRPr="00BA4553">
        <w:rPr>
          <w:rFonts w:asciiTheme="minorHAnsi" w:hAnsiTheme="minorHAnsi"/>
          <w:b/>
          <w:bCs/>
          <w:color w:val="002060"/>
          <w:sz w:val="24"/>
          <w:szCs w:val="24"/>
        </w:rPr>
        <w:t xml:space="preserve">Review </w:t>
      </w:r>
      <w:r w:rsidR="004A54BE">
        <w:rPr>
          <w:rFonts w:asciiTheme="minorHAnsi" w:hAnsiTheme="minorHAnsi"/>
          <w:b/>
          <w:bCs/>
          <w:color w:val="002060"/>
          <w:sz w:val="24"/>
          <w:szCs w:val="24"/>
        </w:rPr>
        <w:t>m</w:t>
      </w:r>
      <w:r w:rsidR="000A14B6" w:rsidRPr="00BA4553">
        <w:rPr>
          <w:rFonts w:asciiTheme="minorHAnsi" w:hAnsiTheme="minorHAnsi"/>
          <w:b/>
          <w:bCs/>
          <w:color w:val="002060"/>
          <w:sz w:val="24"/>
          <w:szCs w:val="24"/>
        </w:rPr>
        <w:t>ethodology</w:t>
      </w:r>
      <w:bookmarkEnd w:id="15"/>
      <w:bookmarkEnd w:id="16"/>
      <w:bookmarkEnd w:id="17"/>
    </w:p>
    <w:p w14:paraId="5D427B95" w14:textId="60219FF0" w:rsidR="000A14B6" w:rsidRPr="00BA4553" w:rsidRDefault="000A14B6" w:rsidP="00DE7911">
      <w:pPr>
        <w:spacing w:line="276" w:lineRule="auto"/>
        <w:ind w:left="-446" w:right="-450"/>
        <w:jc w:val="both"/>
      </w:pPr>
      <w:r w:rsidRPr="00BA4553">
        <w:t>The</w:t>
      </w:r>
      <w:r w:rsidR="00BA4553" w:rsidRPr="00BA4553">
        <w:t xml:space="preserve"> MTR </w:t>
      </w:r>
      <w:r w:rsidRPr="00BA4553">
        <w:t xml:space="preserve">was conducted by three independent consultants whose Terms of Reference is set out in </w:t>
      </w:r>
      <w:r w:rsidRPr="00BA4553">
        <w:rPr>
          <w:bCs/>
        </w:rPr>
        <w:t>Annex 1.</w:t>
      </w:r>
      <w:r w:rsidRPr="00BA4553">
        <w:t xml:space="preserve">  The detailed </w:t>
      </w:r>
      <w:r w:rsidR="00E3509F" w:rsidRPr="00BA4553">
        <w:t xml:space="preserve">review </w:t>
      </w:r>
      <w:r w:rsidRPr="00BA4553">
        <w:t>methodology is in Annex 2.</w:t>
      </w:r>
    </w:p>
    <w:p w14:paraId="0EF1DC9F" w14:textId="73502A5A" w:rsidR="000A14B6" w:rsidRPr="00B10C9B" w:rsidRDefault="000A14B6" w:rsidP="00DE7911">
      <w:pPr>
        <w:pStyle w:val="Heading1"/>
        <w:spacing w:before="200" w:after="240" w:line="276" w:lineRule="auto"/>
        <w:ind w:left="-446"/>
        <w:jc w:val="both"/>
        <w:rPr>
          <w:rFonts w:asciiTheme="minorHAnsi" w:hAnsiTheme="minorHAnsi"/>
          <w:b/>
          <w:color w:val="002060"/>
          <w:sz w:val="28"/>
          <w:szCs w:val="28"/>
        </w:rPr>
      </w:pPr>
      <w:bookmarkStart w:id="18" w:name="_Toc425974667"/>
      <w:bookmarkStart w:id="19" w:name="_Toc56189449"/>
      <w:bookmarkStart w:id="20" w:name="_Toc197077518"/>
      <w:r w:rsidRPr="0089071C">
        <w:rPr>
          <w:rFonts w:asciiTheme="minorHAnsi" w:hAnsiTheme="minorHAnsi"/>
          <w:b/>
          <w:color w:val="002060"/>
          <w:sz w:val="28"/>
          <w:szCs w:val="28"/>
        </w:rPr>
        <w:t>KEY FINDING</w:t>
      </w:r>
      <w:bookmarkEnd w:id="18"/>
      <w:bookmarkEnd w:id="19"/>
      <w:r w:rsidR="00722E09">
        <w:rPr>
          <w:rFonts w:asciiTheme="minorHAnsi" w:hAnsiTheme="minorHAnsi"/>
          <w:b/>
          <w:color w:val="002060"/>
          <w:sz w:val="28"/>
          <w:szCs w:val="28"/>
        </w:rPr>
        <w:t>S AND RECOMMENDATIONS</w:t>
      </w:r>
      <w:bookmarkEnd w:id="20"/>
    </w:p>
    <w:p w14:paraId="2299E71C" w14:textId="0543DF56" w:rsidR="00070F1E" w:rsidRDefault="000A14B6" w:rsidP="00DE7911">
      <w:pPr>
        <w:pStyle w:val="Heading2"/>
        <w:spacing w:after="240" w:line="276" w:lineRule="auto"/>
        <w:ind w:hanging="446"/>
        <w:jc w:val="both"/>
        <w:rPr>
          <w:rFonts w:asciiTheme="minorHAnsi" w:hAnsiTheme="minorHAnsi"/>
          <w:b/>
          <w:bCs/>
          <w:color w:val="002060"/>
          <w:sz w:val="24"/>
          <w:szCs w:val="24"/>
        </w:rPr>
      </w:pPr>
      <w:bookmarkStart w:id="21" w:name="_Toc56189450"/>
      <w:bookmarkStart w:id="22" w:name="_Toc197077519"/>
      <w:r w:rsidRPr="2D6340E8">
        <w:rPr>
          <w:rFonts w:asciiTheme="minorHAnsi" w:hAnsiTheme="minorHAnsi"/>
          <w:b/>
          <w:bCs/>
          <w:color w:val="002060"/>
          <w:sz w:val="24"/>
          <w:szCs w:val="24"/>
        </w:rPr>
        <w:t>Relevance</w:t>
      </w:r>
      <w:bookmarkEnd w:id="21"/>
      <w:bookmarkEnd w:id="22"/>
    </w:p>
    <w:p w14:paraId="078DB5D1" w14:textId="77777777" w:rsidR="00070F1E" w:rsidRDefault="00070F1E" w:rsidP="00DE7911">
      <w:pPr>
        <w:pStyle w:val="Heading3"/>
        <w:spacing w:before="0" w:after="240" w:line="276" w:lineRule="auto"/>
        <w:ind w:hanging="446"/>
        <w:jc w:val="both"/>
        <w:rPr>
          <w:rFonts w:asciiTheme="minorHAnsi" w:hAnsiTheme="minorHAnsi"/>
          <w:b/>
          <w:color w:val="002060"/>
          <w:sz w:val="22"/>
          <w:szCs w:val="22"/>
          <w:u w:val="single"/>
        </w:rPr>
      </w:pPr>
      <w:r w:rsidRPr="00070F1E">
        <w:rPr>
          <w:rFonts w:asciiTheme="minorHAnsi" w:hAnsiTheme="minorHAnsi"/>
          <w:b/>
          <w:color w:val="002060"/>
          <w:sz w:val="22"/>
          <w:szCs w:val="22"/>
          <w:u w:val="single"/>
        </w:rPr>
        <w:t>Relationships, responsiveness and program focus</w:t>
      </w:r>
      <w:bookmarkStart w:id="23" w:name="_Hlk194924729"/>
      <w:bookmarkStart w:id="24" w:name="_Hlk148702030"/>
    </w:p>
    <w:p w14:paraId="5B07E30D" w14:textId="77777777" w:rsidR="00070F1E" w:rsidRDefault="00070F1E" w:rsidP="00DE7911">
      <w:pPr>
        <w:spacing w:line="276" w:lineRule="auto"/>
        <w:ind w:left="-448" w:right="-448"/>
        <w:jc w:val="both"/>
        <w:rPr>
          <w:b/>
          <w:color w:val="002060"/>
        </w:rPr>
      </w:pPr>
      <w:r>
        <w:rPr>
          <w:b/>
          <w:color w:val="002060"/>
        </w:rPr>
        <w:t>Findings</w:t>
      </w:r>
    </w:p>
    <w:p w14:paraId="18192C27" w14:textId="174F4E55" w:rsidR="00AB34FA" w:rsidRDefault="0065766C" w:rsidP="00DE7911">
      <w:pPr>
        <w:spacing w:line="276" w:lineRule="auto"/>
        <w:ind w:left="-448" w:right="-448"/>
        <w:jc w:val="both"/>
      </w:pPr>
      <w:r w:rsidRPr="008954B3">
        <w:t xml:space="preserve">Strong relationships are </w:t>
      </w:r>
      <w:r w:rsidR="002E52DC">
        <w:t xml:space="preserve">at the heart </w:t>
      </w:r>
      <w:r w:rsidRPr="008954B3">
        <w:t xml:space="preserve">of the program’s success. </w:t>
      </w:r>
      <w:r w:rsidR="00FE4496">
        <w:t>The priority given to b</w:t>
      </w:r>
      <w:r w:rsidRPr="008954B3">
        <w:t>uilding relationships</w:t>
      </w:r>
      <w:r w:rsidR="002E52DC">
        <w:t xml:space="preserve"> based on trust and respect ha</w:t>
      </w:r>
      <w:r w:rsidR="00FE4496">
        <w:t>s</w:t>
      </w:r>
      <w:r w:rsidR="002E52DC">
        <w:t xml:space="preserve"> resulted in</w:t>
      </w:r>
      <w:r w:rsidR="00FE4496">
        <w:t xml:space="preserve"> </w:t>
      </w:r>
      <w:r w:rsidRPr="008954B3">
        <w:t xml:space="preserve">strong ties </w:t>
      </w:r>
      <w:r w:rsidR="002E52DC">
        <w:t xml:space="preserve">being </w:t>
      </w:r>
      <w:r w:rsidRPr="008954B3">
        <w:t xml:space="preserve">formed, </w:t>
      </w:r>
      <w:r w:rsidR="002E52DC">
        <w:t>across all parts of the sector</w:t>
      </w:r>
      <w:r w:rsidR="00FE4496">
        <w:t>. These strong ties</w:t>
      </w:r>
      <w:r w:rsidR="007A0410">
        <w:t xml:space="preserve"> also</w:t>
      </w:r>
      <w:r w:rsidR="00FE4496">
        <w:t xml:space="preserve"> include </w:t>
      </w:r>
      <w:r w:rsidR="00750EA2">
        <w:t xml:space="preserve">DFAT and the Program Team </w:t>
      </w:r>
      <w:r w:rsidR="00554C27">
        <w:t xml:space="preserve">– </w:t>
      </w:r>
      <w:r w:rsidR="0082778A">
        <w:t xml:space="preserve">they </w:t>
      </w:r>
      <w:r w:rsidR="00554C27">
        <w:t xml:space="preserve">have </w:t>
      </w:r>
      <w:r w:rsidR="009A77FF">
        <w:t>developed respectful relationships with</w:t>
      </w:r>
      <w:r w:rsidR="004A0B44">
        <w:t xml:space="preserve"> key players in</w:t>
      </w:r>
      <w:r w:rsidR="009A77FF">
        <w:t xml:space="preserve"> the Solomon Islands</w:t>
      </w:r>
      <w:r w:rsidR="004A0B44">
        <w:t xml:space="preserve"> justice </w:t>
      </w:r>
      <w:r w:rsidR="0082778A">
        <w:t>sector and</w:t>
      </w:r>
      <w:r w:rsidR="009A77FF">
        <w:t xml:space="preserve"> </w:t>
      </w:r>
      <w:r w:rsidR="00654E30">
        <w:t xml:space="preserve">facilitated </w:t>
      </w:r>
      <w:r w:rsidR="000C25FF">
        <w:t xml:space="preserve">the sectors’ </w:t>
      </w:r>
      <w:r w:rsidR="00654E30">
        <w:t xml:space="preserve">relationships </w:t>
      </w:r>
      <w:r w:rsidR="007B62C7">
        <w:t xml:space="preserve">with </w:t>
      </w:r>
      <w:r w:rsidR="00654E30">
        <w:t xml:space="preserve">justice </w:t>
      </w:r>
      <w:r w:rsidR="0082778A">
        <w:t xml:space="preserve">institutions </w:t>
      </w:r>
      <w:r w:rsidR="00654E30">
        <w:t>in Australia and Melanesia</w:t>
      </w:r>
      <w:r w:rsidRPr="008954B3">
        <w:t xml:space="preserve">. </w:t>
      </w:r>
      <w:r>
        <w:t>R</w:t>
      </w:r>
      <w:r w:rsidRPr="008954B3">
        <w:t xml:space="preserve">elationships </w:t>
      </w:r>
      <w:r w:rsidR="00FD6BAE">
        <w:t xml:space="preserve">have been </w:t>
      </w:r>
      <w:r w:rsidR="00FD6BAE" w:rsidRPr="008954B3">
        <w:t xml:space="preserve">central to ASIPJ’s momentum and traction </w:t>
      </w:r>
      <w:r w:rsidR="001B5A23">
        <w:t xml:space="preserve">and </w:t>
      </w:r>
      <w:r w:rsidRPr="008954B3">
        <w:t xml:space="preserve">are the key enabler for </w:t>
      </w:r>
      <w:r w:rsidR="00750EA2">
        <w:t xml:space="preserve">ASIPJ’s </w:t>
      </w:r>
      <w:r w:rsidRPr="008954B3">
        <w:t xml:space="preserve">relevance, impact, effectiveness and sustainability. </w:t>
      </w:r>
    </w:p>
    <w:p w14:paraId="79F9AC33" w14:textId="77FD4BF0" w:rsidR="00AB34FA" w:rsidRDefault="00AB34FA" w:rsidP="00DE7911">
      <w:pPr>
        <w:spacing w:line="276" w:lineRule="auto"/>
        <w:ind w:left="-448" w:right="-448"/>
        <w:jc w:val="both"/>
      </w:pPr>
      <w:r>
        <w:t>Th</w:t>
      </w:r>
      <w:r w:rsidR="00417A99" w:rsidRPr="008954B3">
        <w:t xml:space="preserve">e program is highly responsive to the needs and priorities of the justice sector. </w:t>
      </w:r>
      <w:r w:rsidR="00417A99">
        <w:t xml:space="preserve">The MTR Team’s interviews and observations showed that </w:t>
      </w:r>
      <w:r w:rsidR="00417A99" w:rsidRPr="008954B3">
        <w:t>ASIPJ listens, refines</w:t>
      </w:r>
      <w:r w:rsidR="00417A99">
        <w:t>,</w:t>
      </w:r>
      <w:r w:rsidR="00417A99" w:rsidRPr="008954B3">
        <w:t xml:space="preserve"> and then </w:t>
      </w:r>
      <w:r w:rsidR="00417A99">
        <w:t xml:space="preserve">reflects-back </w:t>
      </w:r>
      <w:r w:rsidR="00417A99" w:rsidRPr="008954B3">
        <w:t>in its assistance that which the sector has articulated is needed, how</w:t>
      </w:r>
      <w:r w:rsidR="00417A99">
        <w:t>,</w:t>
      </w:r>
      <w:r w:rsidR="00417A99" w:rsidRPr="008954B3">
        <w:t xml:space="preserve"> and when. This is widely valued </w:t>
      </w:r>
      <w:r w:rsidR="00490A62">
        <w:t xml:space="preserve">by key players </w:t>
      </w:r>
      <w:r w:rsidR="00417A99" w:rsidRPr="008954B3">
        <w:t>across the sector and has built trust, openness</w:t>
      </w:r>
      <w:r w:rsidR="00417A99">
        <w:t>,</w:t>
      </w:r>
      <w:r w:rsidR="00417A99" w:rsidRPr="008954B3">
        <w:t xml:space="preserve"> and a </w:t>
      </w:r>
      <w:r w:rsidR="00417A99">
        <w:t xml:space="preserve">confidence within the sector </w:t>
      </w:r>
      <w:r w:rsidR="00417A99" w:rsidRPr="008954B3">
        <w:t>to engage</w:t>
      </w:r>
      <w:r w:rsidR="00417A99">
        <w:t xml:space="preserve"> with ASIPJ</w:t>
      </w:r>
      <w:r w:rsidR="00417A99" w:rsidRPr="008954B3">
        <w:t>.</w:t>
      </w:r>
    </w:p>
    <w:p w14:paraId="7B1FEF36" w14:textId="0C1D0CC5" w:rsidR="002E5E10" w:rsidRDefault="00AB34FA" w:rsidP="00D11A33">
      <w:pPr>
        <w:spacing w:line="276" w:lineRule="auto"/>
        <w:ind w:left="-448" w:right="-448"/>
        <w:jc w:val="both"/>
      </w:pPr>
      <w:r>
        <w:t>Further adding to ASIPJ’s relevance is that t</w:t>
      </w:r>
      <w:r w:rsidR="00417A99">
        <w:t>he n</w:t>
      </w:r>
      <w:r w:rsidR="00417A99" w:rsidRPr="00E1494B">
        <w:t>eeds</w:t>
      </w:r>
      <w:r w:rsidR="00417A99">
        <w:t xml:space="preserve"> and </w:t>
      </w:r>
      <w:r w:rsidR="00417A99" w:rsidRPr="00E1494B">
        <w:t>priorities articulated</w:t>
      </w:r>
      <w:r>
        <w:t xml:space="preserve"> to the </w:t>
      </w:r>
      <w:r w:rsidR="00D47399">
        <w:t>Review</w:t>
      </w:r>
      <w:r>
        <w:t xml:space="preserve"> Team</w:t>
      </w:r>
      <w:r w:rsidR="00417A99" w:rsidRPr="00E1494B">
        <w:t xml:space="preserve"> </w:t>
      </w:r>
      <w:r w:rsidR="0056288A">
        <w:t>we</w:t>
      </w:r>
      <w:r w:rsidR="00EC2FA0">
        <w:t xml:space="preserve">re </w:t>
      </w:r>
      <w:r w:rsidR="00417A99" w:rsidRPr="00E1494B">
        <w:t xml:space="preserve">generally consistent with </w:t>
      </w:r>
      <w:r w:rsidR="00417A99">
        <w:t>the ASIPJ P</w:t>
      </w:r>
      <w:r w:rsidR="00417A99" w:rsidRPr="00E1494B">
        <w:t xml:space="preserve">rogram </w:t>
      </w:r>
      <w:r w:rsidR="00417A99">
        <w:t>D</w:t>
      </w:r>
      <w:r w:rsidR="00417A99" w:rsidRPr="00E1494B">
        <w:t>esign</w:t>
      </w:r>
      <w:r w:rsidR="00417A99">
        <w:t xml:space="preserve"> Document</w:t>
      </w:r>
      <w:r w:rsidR="00417A99" w:rsidRPr="00E1494B">
        <w:t xml:space="preserve"> (2022) and </w:t>
      </w:r>
      <w:r w:rsidR="00417A99">
        <w:t>D</w:t>
      </w:r>
      <w:r w:rsidR="00417A99" w:rsidRPr="00E1494B">
        <w:t xml:space="preserve">esign </w:t>
      </w:r>
      <w:r w:rsidR="00417A99">
        <w:t>R</w:t>
      </w:r>
      <w:r w:rsidR="00417A99" w:rsidRPr="00E1494B">
        <w:t xml:space="preserve">efresh (2023). </w:t>
      </w:r>
      <w:r w:rsidR="000E2ABD">
        <w:t>Therefore, it is appropriate to maintain the existing program focus, approach, strategic fra</w:t>
      </w:r>
      <w:r w:rsidR="00D11A33">
        <w:t xml:space="preserve">ming and intent </w:t>
      </w:r>
      <w:r w:rsidR="00FB34BE" w:rsidRPr="00FB34BE">
        <w:t>as it relates to law and justice investments and activities under ASIP</w:t>
      </w:r>
      <w:r w:rsidR="00FB34BE">
        <w:t>J</w:t>
      </w:r>
      <w:r w:rsidR="007A0410">
        <w:t xml:space="preserve">. </w:t>
      </w:r>
      <w:r w:rsidR="007A0410" w:rsidRPr="00956DE1">
        <w:t xml:space="preserve">Also, </w:t>
      </w:r>
      <w:r w:rsidR="00C46ED0" w:rsidRPr="00956DE1">
        <w:t xml:space="preserve">subject to any </w:t>
      </w:r>
      <w:r w:rsidR="00813DFC">
        <w:t xml:space="preserve">changes </w:t>
      </w:r>
      <w:r w:rsidR="00CA2270">
        <w:t xml:space="preserve">required </w:t>
      </w:r>
      <w:r w:rsidR="000E2ABD">
        <w:t>because of</w:t>
      </w:r>
      <w:r w:rsidR="00CA2270">
        <w:t xml:space="preserve"> strategic </w:t>
      </w:r>
      <w:r w:rsidR="00C46ED0" w:rsidRPr="00956DE1">
        <w:t xml:space="preserve">alignment </w:t>
      </w:r>
      <w:r w:rsidR="00CA2270">
        <w:t xml:space="preserve">with other DFAT development programs, </w:t>
      </w:r>
      <w:r w:rsidR="00956DE1" w:rsidRPr="00956DE1">
        <w:t>M</w:t>
      </w:r>
      <w:r w:rsidR="000E2ABD">
        <w:t>inistry of Justice and Legal Affairs (M</w:t>
      </w:r>
      <w:r w:rsidR="00956DE1" w:rsidRPr="00956DE1">
        <w:t>JLA’s</w:t>
      </w:r>
      <w:r w:rsidR="000E2ABD">
        <w:t>)</w:t>
      </w:r>
      <w:r w:rsidR="00956DE1" w:rsidRPr="00956DE1">
        <w:t xml:space="preserve"> Justice Sector Strategic Framework</w:t>
      </w:r>
      <w:r w:rsidR="00F72903" w:rsidRPr="00956DE1">
        <w:t xml:space="preserve">, </w:t>
      </w:r>
      <w:r w:rsidR="00956DE1" w:rsidRPr="00956DE1">
        <w:t xml:space="preserve">or </w:t>
      </w:r>
      <w:r w:rsidR="00C46ED0" w:rsidRPr="00956DE1">
        <w:t xml:space="preserve">change to the program budget, </w:t>
      </w:r>
      <w:r w:rsidR="00123CCE" w:rsidRPr="00956DE1">
        <w:t xml:space="preserve">the MTR team recommends </w:t>
      </w:r>
      <w:proofErr w:type="gramStart"/>
      <w:r w:rsidR="00605174">
        <w:t>no</w:t>
      </w:r>
      <w:proofErr w:type="gramEnd"/>
      <w:r w:rsidR="00605174">
        <w:t xml:space="preserve"> or </w:t>
      </w:r>
      <w:r w:rsidR="00123CCE" w:rsidRPr="00956DE1">
        <w:t xml:space="preserve">only minor revisions be made to the </w:t>
      </w:r>
      <w:r w:rsidR="007A0410" w:rsidRPr="00956DE1">
        <w:t>program logic; and</w:t>
      </w:r>
      <w:r w:rsidR="007A0410">
        <w:t xml:space="preserve"> the way program outcomes are articulated is clear and helpful. </w:t>
      </w:r>
    </w:p>
    <w:p w14:paraId="347F9332" w14:textId="67C24AEA" w:rsidR="00462867" w:rsidRDefault="007A0410" w:rsidP="00DE7911">
      <w:pPr>
        <w:spacing w:line="276" w:lineRule="auto"/>
        <w:ind w:left="-448" w:right="-448"/>
        <w:jc w:val="both"/>
      </w:pPr>
      <w:r>
        <w:t xml:space="preserve">There is a need to continuously assess and </w:t>
      </w:r>
      <w:r w:rsidR="00462867">
        <w:t xml:space="preserve">keep </w:t>
      </w:r>
      <w:r w:rsidRPr="00E1494B">
        <w:t>sharpen</w:t>
      </w:r>
      <w:r w:rsidR="00462867">
        <w:t>ing</w:t>
      </w:r>
      <w:r w:rsidRPr="00E1494B">
        <w:t xml:space="preserve"> program focus around </w:t>
      </w:r>
      <w:r>
        <w:t xml:space="preserve">three priority </w:t>
      </w:r>
      <w:r w:rsidRPr="00E1494B">
        <w:t>areas, building on</w:t>
      </w:r>
      <w:r>
        <w:t xml:space="preserve"> the</w:t>
      </w:r>
      <w:r w:rsidRPr="00E1494B">
        <w:t xml:space="preserve"> accepted recommendations of the Design Refresh:</w:t>
      </w:r>
    </w:p>
    <w:p w14:paraId="23E78A94" w14:textId="77777777" w:rsidR="00462867" w:rsidRDefault="00462867" w:rsidP="00DE7911">
      <w:pPr>
        <w:pStyle w:val="ListParagraph"/>
        <w:numPr>
          <w:ilvl w:val="0"/>
          <w:numId w:val="32"/>
        </w:numPr>
        <w:spacing w:line="276" w:lineRule="auto"/>
        <w:ind w:right="-448"/>
        <w:jc w:val="both"/>
      </w:pPr>
      <w:r w:rsidRPr="00E1494B">
        <w:t>Support for SIG justice agencies to perform core functions</w:t>
      </w:r>
    </w:p>
    <w:p w14:paraId="04BC28A2" w14:textId="77777777" w:rsidR="00462867" w:rsidRDefault="00462867" w:rsidP="00DE7911">
      <w:pPr>
        <w:pStyle w:val="ListParagraph"/>
        <w:numPr>
          <w:ilvl w:val="0"/>
          <w:numId w:val="32"/>
        </w:numPr>
        <w:spacing w:line="276" w:lineRule="auto"/>
        <w:ind w:right="-448"/>
        <w:jc w:val="both"/>
      </w:pPr>
      <w:r>
        <w:t>A</w:t>
      </w:r>
      <w:r w:rsidRPr="00E1494B">
        <w:t>ccess to justice in targeted provincial locations</w:t>
      </w:r>
    </w:p>
    <w:p w14:paraId="416F92A9" w14:textId="77777777" w:rsidR="00462867" w:rsidRDefault="00462867" w:rsidP="00DE7911">
      <w:pPr>
        <w:pStyle w:val="ListParagraph"/>
        <w:numPr>
          <w:ilvl w:val="0"/>
          <w:numId w:val="32"/>
        </w:numPr>
        <w:spacing w:line="276" w:lineRule="auto"/>
        <w:ind w:right="-448"/>
        <w:jc w:val="both"/>
      </w:pPr>
      <w:r>
        <w:t>GEDSI</w:t>
      </w:r>
      <w:r w:rsidRPr="00E1494B">
        <w:t xml:space="preserve">, particularly around family and sexual violence and support for “Step by Step” implementation. </w:t>
      </w:r>
    </w:p>
    <w:p w14:paraId="705A45FE" w14:textId="77777777" w:rsidR="00462867" w:rsidRDefault="00462867" w:rsidP="00DE7911">
      <w:pPr>
        <w:spacing w:line="276" w:lineRule="auto"/>
        <w:ind w:left="-448" w:right="-448"/>
        <w:jc w:val="both"/>
      </w:pPr>
      <w:r>
        <w:t xml:space="preserve">Consultations made clear that </w:t>
      </w:r>
      <w:r w:rsidRPr="00E1494B">
        <w:t>these areas remain the appropriate focus</w:t>
      </w:r>
      <w:r>
        <w:t xml:space="preserve"> for ASIPJ</w:t>
      </w:r>
      <w:r w:rsidRPr="00E1494B">
        <w:t xml:space="preserve">. This focus aligns with priorities of Solomon Islands and Australian </w:t>
      </w:r>
      <w:r>
        <w:t>G</w:t>
      </w:r>
      <w:r w:rsidRPr="00E1494B">
        <w:t>overnments, and where there is opportunity for impact</w:t>
      </w:r>
      <w:r>
        <w:t xml:space="preserve"> and evidence of progress</w:t>
      </w:r>
      <w:r w:rsidRPr="00E1494B">
        <w:t>.</w:t>
      </w:r>
      <w:r>
        <w:t xml:space="preserve"> </w:t>
      </w:r>
    </w:p>
    <w:p w14:paraId="7263E28E" w14:textId="093FF246" w:rsidR="001118E0" w:rsidRDefault="00462867" w:rsidP="001118E0">
      <w:pPr>
        <w:spacing w:line="276" w:lineRule="auto"/>
        <w:ind w:left="-448" w:right="-448"/>
        <w:jc w:val="both"/>
      </w:pPr>
      <w:r>
        <w:t>Progress to date warrants an increase in support for enhanced access to justice in</w:t>
      </w:r>
      <w:r w:rsidR="001118E0">
        <w:t xml:space="preserve"> targeted</w:t>
      </w:r>
      <w:r>
        <w:t xml:space="preserve"> provincial locations. Though this can be costly, it is consistent with the need to ensure all provinces benefit from the program </w:t>
      </w:r>
      <w:r>
        <w:lastRenderedPageBreak/>
        <w:t xml:space="preserve">regardless of location. The time and cost of travelling to Honiara </w:t>
      </w:r>
      <w:r w:rsidR="003570C6">
        <w:t>will be</w:t>
      </w:r>
      <w:r>
        <w:t xml:space="preserve"> prohibitive for most disadvantaged parts of the community, and the state of provincial and island facilities used for public services do not reflect their importance or significance to the fabric of governance.</w:t>
      </w:r>
      <w:r w:rsidR="001118E0">
        <w:t xml:space="preserve"> </w:t>
      </w:r>
      <w:r w:rsidR="001118E0" w:rsidRPr="001118E0">
        <w:rPr>
          <w:shd w:val="clear" w:color="auto" w:fill="FFFFFF" w:themeFill="background1"/>
        </w:rPr>
        <w:t>Increasing program support for provincial access to justice could include more support for state justice agencies to provide services outside of Honiara, community legal education and awareness activities, and possible</w:t>
      </w:r>
      <w:r w:rsidR="001118E0">
        <w:t xml:space="preserve"> engagement with non-state actors and institutions on law and justice issues.</w:t>
      </w:r>
    </w:p>
    <w:p w14:paraId="2C646807" w14:textId="3584F68F" w:rsidR="007A0410" w:rsidRPr="002F7854" w:rsidRDefault="00462867" w:rsidP="00DE7911">
      <w:pPr>
        <w:spacing w:line="276" w:lineRule="auto"/>
        <w:ind w:left="-448" w:right="-448"/>
        <w:jc w:val="both"/>
      </w:pPr>
      <w:r w:rsidRPr="00462867">
        <w:rPr>
          <w:b/>
          <w:u w:val="single"/>
        </w:rPr>
        <w:t xml:space="preserve">Recommendation </w:t>
      </w:r>
      <w:r w:rsidR="00D15FC8">
        <w:rPr>
          <w:b/>
          <w:u w:val="single"/>
        </w:rPr>
        <w:t>1</w:t>
      </w:r>
      <w:r w:rsidRPr="00462867">
        <w:rPr>
          <w:b/>
        </w:rPr>
        <w:t xml:space="preserve">. </w:t>
      </w:r>
      <w:r w:rsidRPr="002F7854">
        <w:rPr>
          <w:b/>
        </w:rPr>
        <w:t xml:space="preserve">Create one guiding document for ASIPJ. </w:t>
      </w:r>
      <w:r w:rsidR="007A0410" w:rsidRPr="002F7854">
        <w:t>The Design Refresh should serve as the blueprint for the next phase. Once the MTR is completed</w:t>
      </w:r>
      <w:r w:rsidR="00D15FC8">
        <w:t xml:space="preserve"> and DFAT has issued its management response, and there is clarity on budget for the next phase of the program</w:t>
      </w:r>
      <w:r w:rsidR="007A0410" w:rsidRPr="002F7854">
        <w:t>, one document should be created as the overarching guiding document for the program</w:t>
      </w:r>
      <w:r w:rsidR="009F5BA8" w:rsidRPr="002F7854">
        <w:t>. It should incorporate</w:t>
      </w:r>
      <w:r w:rsidR="007A0410" w:rsidRPr="002F7854">
        <w:t xml:space="preserve"> the accepted and relevant findings and recommendations of this MTR, the Design Refresh document (2023) and original </w:t>
      </w:r>
      <w:r w:rsidR="009F5BA8" w:rsidRPr="002F7854">
        <w:t>P</w:t>
      </w:r>
      <w:r w:rsidR="007A0410" w:rsidRPr="002F7854">
        <w:t>rogram Design Document (2022).</w:t>
      </w:r>
      <w:r w:rsidR="00D15FC8">
        <w:t xml:space="preserve"> The audience for this document would be: DFAT, </w:t>
      </w:r>
      <w:r w:rsidR="00CE41C8">
        <w:t>managing contractor, ASIPJ Program Team and all ASIPJ partners. The purpose is to have a clear, Single Source of Truth guiding program implementation, decision-making and collaboration.</w:t>
      </w:r>
    </w:p>
    <w:p w14:paraId="2B623EB4" w14:textId="306E0DA9" w:rsidR="002C3F62" w:rsidRPr="002C3F62" w:rsidRDefault="002C3F62" w:rsidP="00DE7911">
      <w:pPr>
        <w:spacing w:line="276" w:lineRule="auto"/>
        <w:ind w:left="-448" w:right="-448"/>
        <w:jc w:val="both"/>
        <w:rPr>
          <w:bCs/>
        </w:rPr>
      </w:pPr>
      <w:r w:rsidRPr="002F7854">
        <w:rPr>
          <w:bCs/>
        </w:rPr>
        <w:t xml:space="preserve">*In the event of significant budget increase (see recommendation </w:t>
      </w:r>
      <w:r w:rsidR="00872EC6">
        <w:rPr>
          <w:bCs/>
        </w:rPr>
        <w:t>15</w:t>
      </w:r>
      <w:r w:rsidRPr="002F7854">
        <w:rPr>
          <w:bCs/>
        </w:rPr>
        <w:t xml:space="preserve">), </w:t>
      </w:r>
      <w:r w:rsidR="009C6D0D" w:rsidRPr="002F7854">
        <w:rPr>
          <w:bCs/>
        </w:rPr>
        <w:t>further design work may be required</w:t>
      </w:r>
      <w:r w:rsidR="002133F6">
        <w:rPr>
          <w:bCs/>
        </w:rPr>
        <w:t xml:space="preserve"> to inform development of the above-described document</w:t>
      </w:r>
      <w:r w:rsidR="009C6D0D" w:rsidRPr="002F7854">
        <w:rPr>
          <w:bCs/>
        </w:rPr>
        <w:t>.</w:t>
      </w:r>
    </w:p>
    <w:p w14:paraId="722C5FF8" w14:textId="778D77BD" w:rsidR="00BE57A9" w:rsidRDefault="00D14517" w:rsidP="00DE7911">
      <w:pPr>
        <w:pStyle w:val="Heading3"/>
        <w:spacing w:before="0" w:after="240" w:line="276" w:lineRule="auto"/>
        <w:ind w:hanging="446"/>
        <w:jc w:val="both"/>
        <w:rPr>
          <w:rFonts w:asciiTheme="minorHAnsi" w:hAnsiTheme="minorHAnsi"/>
          <w:b/>
          <w:color w:val="002060"/>
          <w:sz w:val="22"/>
          <w:szCs w:val="22"/>
          <w:u w:val="single"/>
        </w:rPr>
      </w:pPr>
      <w:proofErr w:type="spellStart"/>
      <w:r>
        <w:rPr>
          <w:rFonts w:asciiTheme="minorHAnsi" w:hAnsiTheme="minorHAnsi"/>
          <w:b/>
          <w:color w:val="002060"/>
          <w:sz w:val="22"/>
          <w:szCs w:val="22"/>
          <w:u w:val="single"/>
        </w:rPr>
        <w:t>Prioritising</w:t>
      </w:r>
      <w:proofErr w:type="spellEnd"/>
      <w:r w:rsidR="00BE57A9">
        <w:rPr>
          <w:rFonts w:asciiTheme="minorHAnsi" w:hAnsiTheme="minorHAnsi"/>
          <w:b/>
          <w:color w:val="002060"/>
          <w:sz w:val="22"/>
          <w:szCs w:val="22"/>
          <w:u w:val="single"/>
        </w:rPr>
        <w:t xml:space="preserve"> and balancing program support across the justice system</w:t>
      </w:r>
    </w:p>
    <w:p w14:paraId="1CDFB14D" w14:textId="77777777" w:rsidR="00D14517" w:rsidRDefault="00D14517" w:rsidP="00DE7911">
      <w:pPr>
        <w:spacing w:line="276" w:lineRule="auto"/>
        <w:ind w:left="-448" w:right="-448"/>
        <w:jc w:val="both"/>
        <w:rPr>
          <w:b/>
          <w:color w:val="002060"/>
        </w:rPr>
      </w:pPr>
      <w:r>
        <w:rPr>
          <w:b/>
          <w:color w:val="002060"/>
        </w:rPr>
        <w:t>Findings</w:t>
      </w:r>
    </w:p>
    <w:p w14:paraId="547A1628" w14:textId="05CEBFEA" w:rsidR="00B4317E" w:rsidRPr="007E2F05" w:rsidRDefault="00646894" w:rsidP="00B4317E">
      <w:pPr>
        <w:spacing w:line="276" w:lineRule="auto"/>
        <w:ind w:left="-448" w:right="-448"/>
        <w:jc w:val="both"/>
      </w:pPr>
      <w:r>
        <w:t xml:space="preserve">The </w:t>
      </w:r>
      <w:r w:rsidR="00B8334A">
        <w:t>p</w:t>
      </w:r>
      <w:r w:rsidR="001226EF">
        <w:t>rogram is valued</w:t>
      </w:r>
      <w:r w:rsidR="00F8698D">
        <w:t xml:space="preserve"> by senior people in the agencies being supported</w:t>
      </w:r>
      <w:r w:rsidR="001226EF">
        <w:t>, but how do</w:t>
      </w:r>
      <w:r w:rsidR="00FC39B3">
        <w:t xml:space="preserve">es DFAT and the Program Team </w:t>
      </w:r>
      <w:r w:rsidR="001226EF">
        <w:t xml:space="preserve">know </w:t>
      </w:r>
      <w:r w:rsidR="00FC39B3">
        <w:t xml:space="preserve">if they’re supporting the right things? </w:t>
      </w:r>
      <w:r w:rsidR="003F61AE">
        <w:t xml:space="preserve">The </w:t>
      </w:r>
      <w:r w:rsidR="001226EF">
        <w:t xml:space="preserve">process for </w:t>
      </w:r>
      <w:r>
        <w:t xml:space="preserve">seeking and securing </w:t>
      </w:r>
      <w:r w:rsidR="001226EF">
        <w:t>program support</w:t>
      </w:r>
      <w:r>
        <w:t xml:space="preserve"> is varied</w:t>
      </w:r>
      <w:r w:rsidR="00512175">
        <w:t xml:space="preserve"> </w:t>
      </w:r>
      <w:r>
        <w:t xml:space="preserve">yet </w:t>
      </w:r>
      <w:r w:rsidR="003F61AE">
        <w:t xml:space="preserve">has </w:t>
      </w:r>
      <w:r>
        <w:t xml:space="preserve">largely </w:t>
      </w:r>
      <w:r w:rsidR="003F61AE">
        <w:t xml:space="preserve">been </w:t>
      </w:r>
      <w:r>
        <w:t>able to respond to urgent requests</w:t>
      </w:r>
      <w:r w:rsidR="003F61AE">
        <w:t>.</w:t>
      </w:r>
      <w:r w:rsidR="00BC55B0">
        <w:t xml:space="preserve"> This flexibility has allowed the Program to </w:t>
      </w:r>
      <w:r w:rsidR="001405B8">
        <w:t>nimbly respond to perceived need</w:t>
      </w:r>
      <w:r w:rsidR="00694AA2">
        <w:t>.</w:t>
      </w:r>
      <w:r w:rsidR="001405B8">
        <w:t xml:space="preserve"> </w:t>
      </w:r>
      <w:r w:rsidR="003F61AE">
        <w:t>There is</w:t>
      </w:r>
      <w:r w:rsidR="00512175">
        <w:t>,</w:t>
      </w:r>
      <w:r w:rsidR="003F61AE">
        <w:t xml:space="preserve"> however</w:t>
      </w:r>
      <w:r w:rsidR="00512175">
        <w:t>,</w:t>
      </w:r>
      <w:r w:rsidR="003F61AE">
        <w:t xml:space="preserve"> still a need </w:t>
      </w:r>
      <w:r w:rsidR="001226EF">
        <w:t>to demonstrate the rigour</w:t>
      </w:r>
      <w:r w:rsidR="003F61AE">
        <w:t xml:space="preserve"> of deciding</w:t>
      </w:r>
      <w:r w:rsidR="00512175">
        <w:t xml:space="preserve"> whether to support</w:t>
      </w:r>
      <w:r w:rsidR="003F61AE">
        <w:t xml:space="preserve"> the requests</w:t>
      </w:r>
      <w:r w:rsidR="00512175">
        <w:t>,</w:t>
      </w:r>
      <w:r w:rsidR="003F61AE">
        <w:t xml:space="preserve"> whether from regular or less common</w:t>
      </w:r>
      <w:r w:rsidR="009F5BA8">
        <w:t>ly supported, or new,</w:t>
      </w:r>
      <w:r w:rsidR="003F61AE">
        <w:t xml:space="preserve"> partners</w:t>
      </w:r>
      <w:r w:rsidR="001226EF" w:rsidRPr="002E5E10">
        <w:rPr>
          <w:b/>
          <w:bCs/>
        </w:rPr>
        <w:t>.</w:t>
      </w:r>
      <w:r w:rsidR="001226EF" w:rsidRPr="00B8334A">
        <w:t xml:space="preserve"> </w:t>
      </w:r>
      <w:r w:rsidR="003F61AE" w:rsidRPr="00B8334A">
        <w:t>Frequent users have suggested a one</w:t>
      </w:r>
      <w:r w:rsidR="00512175">
        <w:t>-</w:t>
      </w:r>
      <w:r w:rsidR="003F61AE" w:rsidRPr="00B8334A">
        <w:t>page template has been useful or might be useful to</w:t>
      </w:r>
      <w:r w:rsidR="003F61AE" w:rsidRPr="002E5E10">
        <w:rPr>
          <w:b/>
          <w:bCs/>
        </w:rPr>
        <w:t xml:space="preserve"> </w:t>
      </w:r>
      <w:r w:rsidR="003F61AE" w:rsidRPr="00B8334A">
        <w:t xml:space="preserve">bring some </w:t>
      </w:r>
      <w:r w:rsidR="003F61AE">
        <w:t xml:space="preserve">structure to a process </w:t>
      </w:r>
      <w:r w:rsidR="001405B8">
        <w:t xml:space="preserve">that </w:t>
      </w:r>
      <w:r w:rsidR="003F61AE">
        <w:t xml:space="preserve">has </w:t>
      </w:r>
      <w:r w:rsidR="009F5BA8">
        <w:t xml:space="preserve">been </w:t>
      </w:r>
      <w:r w:rsidR="00F635F6">
        <w:t>able to respond quickly but ultimately needs validation</w:t>
      </w:r>
      <w:r w:rsidR="003F61AE" w:rsidRPr="00B8334A">
        <w:t xml:space="preserve"> to </w:t>
      </w:r>
      <w:r w:rsidR="00F635F6" w:rsidRPr="00B8334A">
        <w:t>ensure the requests meet the</w:t>
      </w:r>
      <w:r w:rsidR="00F635F6" w:rsidRPr="002E5E10">
        <w:rPr>
          <w:b/>
          <w:bCs/>
        </w:rPr>
        <w:t xml:space="preserve"> </w:t>
      </w:r>
      <w:r w:rsidR="00F635F6" w:rsidRPr="00B8334A">
        <w:t>existing priorities and criteria.</w:t>
      </w:r>
      <w:r w:rsidR="00512175">
        <w:t xml:space="preserve"> </w:t>
      </w:r>
      <w:r w:rsidR="00FB0354">
        <w:t xml:space="preserve">Those suggesting this have not been asking for more bureaucracy </w:t>
      </w:r>
      <w:r w:rsidR="00C54789">
        <w:t xml:space="preserve">to be injected into the program </w:t>
      </w:r>
      <w:r w:rsidR="00FB0354">
        <w:t xml:space="preserve">but for a short, sharp, </w:t>
      </w:r>
      <w:r w:rsidR="00C54789">
        <w:t>streamlined step that makes the activity selection process clearer and simpler for all parties.</w:t>
      </w:r>
      <w:r w:rsidR="00FB0354">
        <w:t xml:space="preserve"> </w:t>
      </w:r>
      <w:r w:rsidR="00B4317E">
        <w:t>(Certainly, there is some risk that overburdensome administrative processes may slow and possibly deter engagement. There is a need for the Program Team to determine a contextually appropriate process. DFAT’s Community Justice Fund in Papua New Guinea may offer some instructive lessons.)</w:t>
      </w:r>
    </w:p>
    <w:p w14:paraId="580CA0BD" w14:textId="7B01F8DB" w:rsidR="002E5E10" w:rsidRDefault="008C1898" w:rsidP="00DE7911">
      <w:pPr>
        <w:spacing w:line="276" w:lineRule="auto"/>
        <w:ind w:left="-448" w:right="-448"/>
        <w:jc w:val="both"/>
      </w:pPr>
      <w:r>
        <w:t xml:space="preserve">Further, </w:t>
      </w:r>
      <w:r w:rsidR="00F4029A">
        <w:t xml:space="preserve">there is a case for </w:t>
      </w:r>
      <w:r>
        <w:t>requests for larger activities</w:t>
      </w:r>
      <w:r w:rsidR="00F4029A">
        <w:t xml:space="preserve"> with less urgent decision-making timeframes</w:t>
      </w:r>
      <w:r w:rsidR="002E5E10">
        <w:t xml:space="preserve">, </w:t>
      </w:r>
      <w:r>
        <w:t xml:space="preserve">such as </w:t>
      </w:r>
      <w:r w:rsidR="00394643">
        <w:t>the Attorney</w:t>
      </w:r>
      <w:r w:rsidR="007A4D93">
        <w:t>-</w:t>
      </w:r>
      <w:r w:rsidR="00394643">
        <w:t xml:space="preserve">General’s </w:t>
      </w:r>
      <w:r w:rsidR="002E5E10">
        <w:t>C</w:t>
      </w:r>
      <w:r w:rsidR="00394643">
        <w:t xml:space="preserve">onference of </w:t>
      </w:r>
      <w:r w:rsidR="002E5E10">
        <w:t>P</w:t>
      </w:r>
      <w:r w:rsidR="00394643">
        <w:t>arties</w:t>
      </w:r>
      <w:r w:rsidR="004F155C">
        <w:t>,</w:t>
      </w:r>
      <w:r w:rsidR="00394643">
        <w:t xml:space="preserve"> website</w:t>
      </w:r>
      <w:r w:rsidR="004F155C">
        <w:t xml:space="preserve"> and education program</w:t>
      </w:r>
      <w:r w:rsidR="002E5E10">
        <w:t xml:space="preserve">, </w:t>
      </w:r>
      <w:r w:rsidR="00F4029A">
        <w:t>to</w:t>
      </w:r>
      <w:r w:rsidR="004F155C">
        <w:t xml:space="preserve"> be considered against alternative opportunities</w:t>
      </w:r>
      <w:r w:rsidR="00820F73">
        <w:t xml:space="preserve"> to spend the </w:t>
      </w:r>
      <w:r w:rsidR="004F155C">
        <w:t>funds.</w:t>
      </w:r>
    </w:p>
    <w:p w14:paraId="54FB4D3C" w14:textId="510953CC" w:rsidR="00D14517" w:rsidRDefault="00D14517" w:rsidP="00DE7911">
      <w:pPr>
        <w:spacing w:line="276" w:lineRule="auto"/>
        <w:ind w:left="-448" w:right="-448"/>
        <w:jc w:val="both"/>
        <w:rPr>
          <w:b/>
          <w:color w:val="002060"/>
        </w:rPr>
      </w:pPr>
      <w:r>
        <w:rPr>
          <w:b/>
          <w:color w:val="002060"/>
        </w:rPr>
        <w:t>Recommendation</w:t>
      </w:r>
      <w:r w:rsidR="007A4D93">
        <w:rPr>
          <w:b/>
          <w:color w:val="002060"/>
        </w:rPr>
        <w:t>:</w:t>
      </w:r>
    </w:p>
    <w:p w14:paraId="7BEC1E7B" w14:textId="6E051F79" w:rsidR="009903AE" w:rsidRPr="007A4D93" w:rsidRDefault="007A4D93" w:rsidP="00DE7911">
      <w:pPr>
        <w:spacing w:line="276" w:lineRule="auto"/>
        <w:ind w:left="-448" w:right="-448"/>
        <w:jc w:val="both"/>
        <w:rPr>
          <w:b/>
        </w:rPr>
      </w:pPr>
      <w:r w:rsidRPr="00462867">
        <w:rPr>
          <w:b/>
          <w:u w:val="single"/>
        </w:rPr>
        <w:t xml:space="preserve">Recommendation </w:t>
      </w:r>
      <w:r w:rsidR="004C5FDC">
        <w:rPr>
          <w:b/>
          <w:u w:val="single"/>
        </w:rPr>
        <w:t>2</w:t>
      </w:r>
      <w:r w:rsidRPr="00462867">
        <w:rPr>
          <w:b/>
        </w:rPr>
        <w:t xml:space="preserve">. </w:t>
      </w:r>
      <w:r>
        <w:rPr>
          <w:b/>
        </w:rPr>
        <w:t xml:space="preserve">Incorporate greater rigour into the process for applying for program support. </w:t>
      </w:r>
      <w:r w:rsidR="009F5BA8">
        <w:t>ASIPJ</w:t>
      </w:r>
      <w:r w:rsidR="006D22E1">
        <w:t xml:space="preserve"> should consider how to incorporate greater </w:t>
      </w:r>
      <w:r w:rsidR="00F635F6">
        <w:t>rigo</w:t>
      </w:r>
      <w:r w:rsidR="00D316A5">
        <w:t>u</w:t>
      </w:r>
      <w:r w:rsidR="00F635F6">
        <w:t>r</w:t>
      </w:r>
      <w:r w:rsidR="006D22E1">
        <w:t xml:space="preserve"> into the process for applying for program support, without losing the much-valued flexibility and responsiveness. </w:t>
      </w:r>
      <w:r w:rsidR="009F5BA8">
        <w:t>This</w:t>
      </w:r>
      <w:r w:rsidR="004811A2">
        <w:t xml:space="preserve"> </w:t>
      </w:r>
      <w:r w:rsidR="00D304F3">
        <w:t>would enhance and test</w:t>
      </w:r>
      <w:r w:rsidR="00F635F6">
        <w:t xml:space="preserve"> the approval of support, both </w:t>
      </w:r>
      <w:r w:rsidR="009F5BA8">
        <w:t>for</w:t>
      </w:r>
      <w:r w:rsidR="004811A2">
        <w:t xml:space="preserve"> ongoing programmatic work and</w:t>
      </w:r>
      <w:r w:rsidR="00F635F6">
        <w:t xml:space="preserve"> urgent requests</w:t>
      </w:r>
      <w:r w:rsidR="004811A2">
        <w:t xml:space="preserve"> for</w:t>
      </w:r>
      <w:r w:rsidR="00F635F6">
        <w:t xml:space="preserve"> </w:t>
      </w:r>
      <w:r w:rsidR="00D304F3">
        <w:t>assistance</w:t>
      </w:r>
      <w:r w:rsidR="004811A2">
        <w:t xml:space="preserve">. The MTR Team recommends there are well-understood criteria that targets </w:t>
      </w:r>
      <w:r w:rsidR="009F5BA8">
        <w:t xml:space="preserve">program </w:t>
      </w:r>
      <w:r w:rsidR="004811A2">
        <w:t xml:space="preserve">support at activities that enable the requesting organisation to achieve </w:t>
      </w:r>
      <w:r w:rsidR="009F5BA8">
        <w:t xml:space="preserve">their </w:t>
      </w:r>
      <w:r w:rsidR="004811A2">
        <w:t xml:space="preserve">core functions. </w:t>
      </w:r>
      <w:r w:rsidR="00D304F3">
        <w:t xml:space="preserve">This dispels any concern that relationships and flexibility distort </w:t>
      </w:r>
      <w:r w:rsidR="009903AE">
        <w:t>decision-making</w:t>
      </w:r>
      <w:r w:rsidR="00D304F3">
        <w:t xml:space="preserve"> to </w:t>
      </w:r>
      <w:r w:rsidR="00F501BC">
        <w:t>the end goal</w:t>
      </w:r>
      <w:r w:rsidR="009903AE">
        <w:t xml:space="preserve"> of </w:t>
      </w:r>
      <w:r w:rsidR="007F49F5">
        <w:t>access to justice.</w:t>
      </w:r>
    </w:p>
    <w:p w14:paraId="71D3EEF1" w14:textId="64C49800" w:rsidR="00117C13" w:rsidRPr="00694AA2" w:rsidRDefault="00117C13" w:rsidP="00DE7911">
      <w:pPr>
        <w:spacing w:line="276" w:lineRule="auto"/>
        <w:ind w:left="-448" w:right="-448"/>
        <w:jc w:val="both"/>
        <w:rPr>
          <w:b/>
          <w:color w:val="002060"/>
          <w:u w:val="single"/>
        </w:rPr>
      </w:pPr>
      <w:r w:rsidRPr="00694AA2">
        <w:rPr>
          <w:b/>
          <w:color w:val="002060"/>
          <w:u w:val="single"/>
        </w:rPr>
        <w:lastRenderedPageBreak/>
        <w:t>Balance of support across the justice system</w:t>
      </w:r>
      <w:r w:rsidR="008548FF">
        <w:rPr>
          <w:b/>
          <w:color w:val="002060"/>
          <w:u w:val="single"/>
        </w:rPr>
        <w:t xml:space="preserve"> in the context of </w:t>
      </w:r>
      <w:r w:rsidR="00A47050">
        <w:rPr>
          <w:b/>
          <w:color w:val="002060"/>
          <w:u w:val="single"/>
        </w:rPr>
        <w:t xml:space="preserve">SIG’s </w:t>
      </w:r>
      <w:r w:rsidR="008548FF">
        <w:rPr>
          <w:b/>
          <w:color w:val="002060"/>
          <w:u w:val="single"/>
        </w:rPr>
        <w:t>RSIPF expansion</w:t>
      </w:r>
    </w:p>
    <w:p w14:paraId="4532F328" w14:textId="0BFFDD28" w:rsidR="00D14517" w:rsidRDefault="00D14517" w:rsidP="00DE7911">
      <w:pPr>
        <w:spacing w:line="276" w:lineRule="auto"/>
        <w:ind w:left="-448" w:right="-448"/>
        <w:jc w:val="both"/>
        <w:rPr>
          <w:b/>
          <w:color w:val="002060"/>
        </w:rPr>
      </w:pPr>
      <w:r>
        <w:rPr>
          <w:b/>
          <w:color w:val="002060"/>
        </w:rPr>
        <w:t>Findings</w:t>
      </w:r>
    </w:p>
    <w:p w14:paraId="68783298" w14:textId="5FECCB35" w:rsidR="00F01DD3" w:rsidRDefault="0057246D" w:rsidP="00F01DD3">
      <w:pPr>
        <w:spacing w:line="276" w:lineRule="auto"/>
        <w:ind w:left="-448" w:right="-448"/>
        <w:jc w:val="both"/>
      </w:pPr>
      <w:r>
        <w:t xml:space="preserve">There is a need </w:t>
      </w:r>
      <w:r w:rsidR="001226EF">
        <w:t xml:space="preserve">to </w:t>
      </w:r>
      <w:r>
        <w:t xml:space="preserve">ensure </w:t>
      </w:r>
      <w:r w:rsidR="007A4D93">
        <w:t xml:space="preserve">that </w:t>
      </w:r>
      <w:r>
        <w:t>program support</w:t>
      </w:r>
      <w:r w:rsidR="001226EF">
        <w:t xml:space="preserve"> </w:t>
      </w:r>
      <w:r>
        <w:t xml:space="preserve">is </w:t>
      </w:r>
      <w:r w:rsidR="00694AA2">
        <w:t>strategically</w:t>
      </w:r>
      <w:r w:rsidR="00694AA2" w:rsidRPr="0057246D">
        <w:t xml:space="preserve"> </w:t>
      </w:r>
      <w:r w:rsidR="001226EF" w:rsidRPr="0057246D">
        <w:t xml:space="preserve">balanced across the </w:t>
      </w:r>
      <w:r>
        <w:t xml:space="preserve">justice </w:t>
      </w:r>
      <w:r w:rsidR="001226EF" w:rsidRPr="0057246D">
        <w:t>system</w:t>
      </w:r>
      <w:r w:rsidR="007A4D93">
        <w:t>.</w:t>
      </w:r>
      <w:r w:rsidR="007A4D93">
        <w:rPr>
          <w:b/>
          <w:color w:val="002060"/>
        </w:rPr>
        <w:t xml:space="preserve"> </w:t>
      </w:r>
      <w:r w:rsidR="00694AA2">
        <w:t>CSSI</w:t>
      </w:r>
      <w:r w:rsidR="0063730F">
        <w:t xml:space="preserve"> and</w:t>
      </w:r>
      <w:r w:rsidR="00F501BC">
        <w:t xml:space="preserve"> </w:t>
      </w:r>
      <w:r w:rsidR="0063730F">
        <w:t xml:space="preserve">Police Prosecution Department </w:t>
      </w:r>
      <w:r w:rsidR="00AF4F24">
        <w:t xml:space="preserve">(PPD) </w:t>
      </w:r>
      <w:r w:rsidR="00F501BC">
        <w:t xml:space="preserve">are two areas </w:t>
      </w:r>
      <w:r w:rsidR="00BB4191" w:rsidRPr="00BB4191">
        <w:t>which appear impacted by an acute lack of attention in the context of the proposed expansion of the Royal Solomon Islands Police Force (RSIPF). Yet they are very</w:t>
      </w:r>
      <w:r w:rsidR="00BB4191">
        <w:t xml:space="preserve"> </w:t>
      </w:r>
      <w:r w:rsidR="002F2BCD">
        <w:t xml:space="preserve">aligned in terms of function and history. </w:t>
      </w:r>
      <w:r w:rsidR="00694AA2">
        <w:t>CSSI</w:t>
      </w:r>
      <w:proofErr w:type="gramStart"/>
      <w:r w:rsidR="008A7E1D">
        <w:t>,</w:t>
      </w:r>
      <w:r w:rsidR="007D1891">
        <w:t xml:space="preserve"> </w:t>
      </w:r>
      <w:r w:rsidR="008A7E1D">
        <w:t>in particular,</w:t>
      </w:r>
      <w:r w:rsidR="002F2BCD">
        <w:t xml:space="preserve"> experienced</w:t>
      </w:r>
      <w:proofErr w:type="gramEnd"/>
      <w:r w:rsidR="002F2BCD">
        <w:t xml:space="preserve"> strong support </w:t>
      </w:r>
      <w:r w:rsidR="006E2A12">
        <w:t>through</w:t>
      </w:r>
      <w:r w:rsidR="007A4D93">
        <w:t xml:space="preserve"> the Regional Assistance Mission to Solomon Islands</w:t>
      </w:r>
      <w:r w:rsidR="006E2A12">
        <w:t xml:space="preserve"> </w:t>
      </w:r>
      <w:r w:rsidR="007A4D93">
        <w:t>(</w:t>
      </w:r>
      <w:r w:rsidR="002F2BCD">
        <w:t>RAMSI</w:t>
      </w:r>
      <w:r w:rsidR="007A4D93">
        <w:t>)</w:t>
      </w:r>
      <w:r w:rsidR="002F2BCD">
        <w:t xml:space="preserve"> in terms of facilities and Advisers, given the</w:t>
      </w:r>
      <w:r w:rsidR="008A7E1D">
        <w:t xml:space="preserve"> increase in</w:t>
      </w:r>
      <w:r w:rsidR="002F2BCD">
        <w:t xml:space="preserve"> inmates during </w:t>
      </w:r>
      <w:r w:rsidR="008A7E1D">
        <w:t>that time</w:t>
      </w:r>
      <w:r w:rsidR="002F2BCD">
        <w:t>.</w:t>
      </w:r>
      <w:r w:rsidR="001226EF">
        <w:t xml:space="preserve"> </w:t>
      </w:r>
      <w:r w:rsidR="00DE7911">
        <w:t>But</w:t>
      </w:r>
      <w:r w:rsidR="007A4D93">
        <w:t xml:space="preserve"> this</w:t>
      </w:r>
      <w:r w:rsidR="002F2BCD">
        <w:t xml:space="preserve"> support has fallen dramatically since the</w:t>
      </w:r>
      <w:r w:rsidR="008A7E1D">
        <w:t xml:space="preserve"> end of RAMSI</w:t>
      </w:r>
      <w:r w:rsidR="002F2BCD">
        <w:t>, leaving a service responsible for the care and well-being of inmates in rapidly deteriorating facilities, which periodically attracts the radar of human rights bodies</w:t>
      </w:r>
      <w:r w:rsidR="001405B8">
        <w:t xml:space="preserve">. </w:t>
      </w:r>
      <w:r w:rsidR="00694AA2">
        <w:t>R</w:t>
      </w:r>
      <w:r w:rsidR="001405B8">
        <w:t>ehabilitation of inmates is a critical aspect of Corrections and consideration is needed to ensure a range of options are available, as well as preparing inmates for reintegration into society</w:t>
      </w:r>
      <w:r w:rsidR="00694AA2">
        <w:t xml:space="preserve">, including support to limit </w:t>
      </w:r>
      <w:r w:rsidR="005270F2">
        <w:t>recidivism</w:t>
      </w:r>
      <w:r w:rsidR="00F01DD3">
        <w:t>. (Note the program’s focus for CSSI is on supporting the development of leadership and technical capability and succession planning</w:t>
      </w:r>
      <w:r w:rsidR="00BA178A">
        <w:t xml:space="preserve">, though </w:t>
      </w:r>
      <w:r w:rsidR="00F01DD3">
        <w:t>the program still supports CSSI with its priority infrastructure needs.)</w:t>
      </w:r>
    </w:p>
    <w:p w14:paraId="340007C9" w14:textId="34405326" w:rsidR="00D14517" w:rsidRDefault="00870A10" w:rsidP="00DE7911">
      <w:pPr>
        <w:spacing w:line="276" w:lineRule="auto"/>
        <w:ind w:left="-448" w:right="-448"/>
        <w:jc w:val="both"/>
        <w:rPr>
          <w:b/>
          <w:color w:val="002060"/>
        </w:rPr>
      </w:pPr>
      <w:r>
        <w:t xml:space="preserve">Both </w:t>
      </w:r>
      <w:r w:rsidR="00BB4191">
        <w:t>CSSI and PPD</w:t>
      </w:r>
      <w:r w:rsidR="00694AA2">
        <w:t xml:space="preserve"> </w:t>
      </w:r>
      <w:r>
        <w:t xml:space="preserve">will be directly impacted by any expansion of </w:t>
      </w:r>
      <w:r w:rsidR="00FC388A">
        <w:t>p</w:t>
      </w:r>
      <w:r>
        <w:t xml:space="preserve">olice numbers, and both will be affected by the downstream effects of more charges, more prosecutions, more cases and more </w:t>
      </w:r>
      <w:r w:rsidR="00FC388A">
        <w:t>inmates</w:t>
      </w:r>
      <w:r>
        <w:t xml:space="preserve"> thus increasing the passage of people through their doors. In anticipation of such</w:t>
      </w:r>
      <w:r w:rsidR="008314E1">
        <w:t xml:space="preserve"> </w:t>
      </w:r>
      <w:r>
        <w:t xml:space="preserve">impact, further attention will be needed to ensure the two organisations can withstand the weight of </w:t>
      </w:r>
      <w:r w:rsidR="008314E1">
        <w:t>such and are fit for purpose.</w:t>
      </w:r>
    </w:p>
    <w:p w14:paraId="456F19FE" w14:textId="5B29363A" w:rsidR="0041288A" w:rsidRDefault="008314E1" w:rsidP="0041288A">
      <w:pPr>
        <w:spacing w:line="276" w:lineRule="auto"/>
        <w:ind w:left="-448" w:right="-448"/>
        <w:jc w:val="both"/>
      </w:pPr>
      <w:r>
        <w:t xml:space="preserve">Between the two </w:t>
      </w:r>
      <w:r w:rsidR="00694AA2">
        <w:t xml:space="preserve">institutions </w:t>
      </w:r>
      <w:r>
        <w:t xml:space="preserve">stands </w:t>
      </w:r>
      <w:r w:rsidR="00694AA2">
        <w:t>t</w:t>
      </w:r>
      <w:r>
        <w:t xml:space="preserve">he Magistrates Court whose Judges will decide </w:t>
      </w:r>
      <w:r w:rsidR="005270F2">
        <w:t>any</w:t>
      </w:r>
      <w:r>
        <w:t xml:space="preserve"> charges and have the power to impose </w:t>
      </w:r>
      <w:r w:rsidR="0082622F">
        <w:t>custodial sentences</w:t>
      </w:r>
      <w:r>
        <w:t xml:space="preserve">. </w:t>
      </w:r>
      <w:r w:rsidR="00481786">
        <w:t xml:space="preserve">The MTR Team heard </w:t>
      </w:r>
      <w:r>
        <w:t>anecdotes of charges of family and sexual violence being downgraded by</w:t>
      </w:r>
      <w:r w:rsidR="00481786">
        <w:t xml:space="preserve"> police</w:t>
      </w:r>
      <w:r>
        <w:t xml:space="preserve"> prosecutors to common assaul</w:t>
      </w:r>
      <w:r w:rsidR="0082622F">
        <w:t xml:space="preserve">t, attracting a lower sentence and avoiding the ‘no drop’ policy. (The ‘no drop’ policy </w:t>
      </w:r>
      <w:r w:rsidR="00351694">
        <w:t xml:space="preserve">means that family and sexual violence charges cannot be </w:t>
      </w:r>
      <w:r w:rsidR="005270F2">
        <w:t>withdrawn</w:t>
      </w:r>
      <w:r w:rsidR="00351694">
        <w:t xml:space="preserve"> when requested by a victim, often in response to pressure from the charged person or other family members.</w:t>
      </w:r>
      <w:r w:rsidR="005270F2">
        <w:t>)</w:t>
      </w:r>
      <w:r w:rsidR="00351694">
        <w:t xml:space="preserve"> </w:t>
      </w:r>
      <w:r>
        <w:t xml:space="preserve">This highlights the need for ongoing training to be consistent with the </w:t>
      </w:r>
      <w:r w:rsidR="004668F4">
        <w:t xml:space="preserve">country’s </w:t>
      </w:r>
      <w:r>
        <w:t xml:space="preserve">commitment to </w:t>
      </w:r>
      <w:r w:rsidR="00481786">
        <w:t>respond effectively to</w:t>
      </w:r>
      <w:r>
        <w:t xml:space="preserve"> family and sexual violence, RSIPF’s commitment </w:t>
      </w:r>
      <w:r w:rsidR="004668F4">
        <w:t>to those values for its organisation</w:t>
      </w:r>
      <w:r w:rsidR="005270F2">
        <w:t xml:space="preserve"> and the excellent work being undertaken by the DPP with the </w:t>
      </w:r>
      <w:proofErr w:type="spellStart"/>
      <w:r w:rsidR="00694AA2">
        <w:t>Pikinini</w:t>
      </w:r>
      <w:proofErr w:type="spellEnd"/>
      <w:r w:rsidR="00694AA2">
        <w:t xml:space="preserve"> Video</w:t>
      </w:r>
      <w:r w:rsidR="005270F2">
        <w:t>.</w:t>
      </w:r>
    </w:p>
    <w:p w14:paraId="3169B646" w14:textId="1122C891" w:rsidR="0041288A" w:rsidRDefault="0041288A" w:rsidP="0041288A">
      <w:pPr>
        <w:spacing w:line="276" w:lineRule="auto"/>
        <w:ind w:left="-448" w:right="-448"/>
        <w:jc w:val="both"/>
      </w:pPr>
      <w:r>
        <w:t xml:space="preserve">The </w:t>
      </w:r>
      <w:r w:rsidR="002B7C37">
        <w:t xml:space="preserve">entire </w:t>
      </w:r>
      <w:r>
        <w:t>law and justice system</w:t>
      </w:r>
      <w:r w:rsidR="002B7C37">
        <w:t>, particularly</w:t>
      </w:r>
      <w:r>
        <w:t xml:space="preserve"> PPD</w:t>
      </w:r>
      <w:r w:rsidR="002B7C37">
        <w:t xml:space="preserve">, </w:t>
      </w:r>
      <w:r>
        <w:t>Office of the Director of Public Prosecutions (ODPP),</w:t>
      </w:r>
      <w:r w:rsidR="0084724A">
        <w:t xml:space="preserve"> Public Solicitor’s Office (</w:t>
      </w:r>
      <w:r>
        <w:t>PSO</w:t>
      </w:r>
      <w:r w:rsidR="0084724A">
        <w:t>)</w:t>
      </w:r>
      <w:r>
        <w:t xml:space="preserve">, the </w:t>
      </w:r>
      <w:r w:rsidR="002B7C37">
        <w:t>J</w:t>
      </w:r>
      <w:r>
        <w:t>udiciary and CSSI, will be directly impacted by any expansion of police numbers</w:t>
      </w:r>
      <w:r w:rsidR="002B7C37">
        <w:t>. Indeed, they</w:t>
      </w:r>
      <w:r>
        <w:t xml:space="preserve"> will be affected by the downstream effects of more charges, more prosecutions, more cases and more inmates</w:t>
      </w:r>
      <w:r w:rsidR="009D6487">
        <w:t>, thereby</w:t>
      </w:r>
      <w:r>
        <w:t xml:space="preserve"> increasing the passage of people through their doors. In anticipation of such impact, further attention will be needed to ensure organisations can withstand the weight of such and are fit for purpose.</w:t>
      </w:r>
    </w:p>
    <w:p w14:paraId="5FF6C317" w14:textId="77777777" w:rsidR="00DE7911" w:rsidRDefault="00D14517" w:rsidP="00DE7911">
      <w:pPr>
        <w:spacing w:line="276" w:lineRule="auto"/>
        <w:ind w:left="-448" w:right="-448"/>
        <w:jc w:val="both"/>
        <w:rPr>
          <w:b/>
          <w:color w:val="002060"/>
        </w:rPr>
      </w:pPr>
      <w:r>
        <w:rPr>
          <w:b/>
          <w:color w:val="002060"/>
        </w:rPr>
        <w:t>Recommendation:</w:t>
      </w:r>
    </w:p>
    <w:p w14:paraId="0A603E1B" w14:textId="09A51EA5" w:rsidR="00D14517" w:rsidRDefault="00DE7911" w:rsidP="00DE7911">
      <w:pPr>
        <w:spacing w:line="276" w:lineRule="auto"/>
        <w:ind w:left="-448" w:right="-448"/>
        <w:jc w:val="both"/>
      </w:pPr>
      <w:r w:rsidRPr="00462867">
        <w:rPr>
          <w:b/>
          <w:u w:val="single"/>
        </w:rPr>
        <w:t xml:space="preserve">Recommendation </w:t>
      </w:r>
      <w:r w:rsidR="004C5FDC">
        <w:rPr>
          <w:b/>
          <w:u w:val="single"/>
        </w:rPr>
        <w:t>3</w:t>
      </w:r>
      <w:r w:rsidRPr="00462867">
        <w:rPr>
          <w:b/>
        </w:rPr>
        <w:t xml:space="preserve">. </w:t>
      </w:r>
      <w:r>
        <w:rPr>
          <w:b/>
        </w:rPr>
        <w:t xml:space="preserve">Ensure that program support is </w:t>
      </w:r>
      <w:r w:rsidR="00C701C6">
        <w:rPr>
          <w:b/>
        </w:rPr>
        <w:t xml:space="preserve">strategically </w:t>
      </w:r>
      <w:r>
        <w:rPr>
          <w:b/>
        </w:rPr>
        <w:t>balanced across the justice system</w:t>
      </w:r>
      <w:r w:rsidR="008A3C3B">
        <w:rPr>
          <w:b/>
        </w:rPr>
        <w:t xml:space="preserve">: </w:t>
      </w:r>
      <w:r w:rsidR="008A3C3B">
        <w:rPr>
          <w:bCs/>
        </w:rPr>
        <w:t>Co</w:t>
      </w:r>
      <w:r w:rsidR="007B38CF">
        <w:rPr>
          <w:rFonts w:ascii="Calibri" w:hAnsi="Calibri" w:cs="Calibri"/>
        </w:rPr>
        <w:t>nsideration should be given to</w:t>
      </w:r>
      <w:r>
        <w:rPr>
          <w:rFonts w:ascii="Calibri" w:hAnsi="Calibri" w:cs="Calibri"/>
        </w:rPr>
        <w:t xml:space="preserve"> t</w:t>
      </w:r>
      <w:r w:rsidR="007B38CF">
        <w:t xml:space="preserve">he agencies impacted by any increase in police numbers </w:t>
      </w:r>
      <w:r w:rsidR="00D0317A">
        <w:t>including</w:t>
      </w:r>
      <w:r w:rsidR="007B38CF">
        <w:t xml:space="preserve"> Police Prosecutions, Office of the Director of Police Prosecutions, Public Solicitor’s Office, Magistrates Court</w:t>
      </w:r>
      <w:r w:rsidR="00F713DE">
        <w:t>, High  Court</w:t>
      </w:r>
      <w:r w:rsidR="007B38CF">
        <w:t xml:space="preserve"> and </w:t>
      </w:r>
      <w:r w:rsidR="00C701C6">
        <w:t>CSSI</w:t>
      </w:r>
      <w:r w:rsidR="007B38CF">
        <w:t xml:space="preserve">, to </w:t>
      </w:r>
      <w:r w:rsidR="005270F2">
        <w:t>assess</w:t>
      </w:r>
      <w:r w:rsidR="007B38CF">
        <w:t xml:space="preserve"> </w:t>
      </w:r>
      <w:r w:rsidR="00892B04">
        <w:t xml:space="preserve">their capacity, training and infrastructure needs so they are fit for purpose once the downstream effects of more </w:t>
      </w:r>
      <w:r w:rsidR="007B38CF">
        <w:t>p</w:t>
      </w:r>
      <w:r w:rsidR="00892B04">
        <w:t>olice present themselves</w:t>
      </w:r>
      <w:r>
        <w:t>.</w:t>
      </w:r>
      <w:r w:rsidR="007B38CF">
        <w:t>.</w:t>
      </w:r>
    </w:p>
    <w:p w14:paraId="1E6879CB" w14:textId="33827AF6" w:rsidR="008A3C3B" w:rsidRPr="008A3C3B" w:rsidRDefault="008A3C3B" w:rsidP="00DE7911">
      <w:pPr>
        <w:spacing w:line="276" w:lineRule="auto"/>
        <w:ind w:left="-448" w:right="-448"/>
        <w:jc w:val="both"/>
        <w:rPr>
          <w:rFonts w:ascii="Calibri" w:hAnsi="Calibri" w:cs="Calibri"/>
          <w:bCs/>
        </w:rPr>
      </w:pPr>
      <w:r>
        <w:rPr>
          <w:bCs/>
        </w:rPr>
        <w:t xml:space="preserve">The modelling exercise to understand the downstream impacts of RSIPF expansion on the justice system (already included in the ASIPJ workplan for 2025) presents a strategic opportunity </w:t>
      </w:r>
      <w:r w:rsidR="00580603">
        <w:rPr>
          <w:bCs/>
        </w:rPr>
        <w:t>for engagement</w:t>
      </w:r>
      <w:r w:rsidR="006E7F5F">
        <w:rPr>
          <w:bCs/>
        </w:rPr>
        <w:t xml:space="preserve"> and forward planning</w:t>
      </w:r>
      <w:r w:rsidR="00580603">
        <w:rPr>
          <w:bCs/>
        </w:rPr>
        <w:t xml:space="preserve"> on this issue. The methodology used</w:t>
      </w:r>
      <w:r w:rsidR="006E7F5F">
        <w:rPr>
          <w:bCs/>
        </w:rPr>
        <w:t xml:space="preserve"> for the modelling</w:t>
      </w:r>
      <w:r w:rsidR="00580603">
        <w:rPr>
          <w:bCs/>
        </w:rPr>
        <w:t xml:space="preserve"> will be key: a participatory approach that brings together key police and justice stakeholders, including </w:t>
      </w:r>
      <w:r w:rsidR="006E7F5F">
        <w:rPr>
          <w:bCs/>
        </w:rPr>
        <w:t xml:space="preserve">SIG policing and justice sector leads, </w:t>
      </w:r>
      <w:r w:rsidR="00580603">
        <w:rPr>
          <w:bCs/>
        </w:rPr>
        <w:t>AFP, DFAT and ASIPJ leadership</w:t>
      </w:r>
      <w:r w:rsidR="002A4B68">
        <w:rPr>
          <w:bCs/>
        </w:rPr>
        <w:t xml:space="preserve"> is recommended</w:t>
      </w:r>
      <w:r w:rsidR="00580603">
        <w:rPr>
          <w:bCs/>
        </w:rPr>
        <w:t>.</w:t>
      </w:r>
    </w:p>
    <w:p w14:paraId="5952A2B6" w14:textId="6E3695DB" w:rsidR="00D14517" w:rsidRDefault="00D14517"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lastRenderedPageBreak/>
        <w:t>Civil society engagement and support for vulnerable groups</w:t>
      </w:r>
    </w:p>
    <w:p w14:paraId="4984ACEC" w14:textId="77777777" w:rsidR="00D14517" w:rsidRDefault="00D14517" w:rsidP="00DE7911">
      <w:pPr>
        <w:spacing w:line="276" w:lineRule="auto"/>
        <w:ind w:left="-448" w:right="-448"/>
        <w:jc w:val="both"/>
        <w:rPr>
          <w:b/>
          <w:color w:val="002060"/>
        </w:rPr>
      </w:pPr>
      <w:r>
        <w:rPr>
          <w:b/>
          <w:color w:val="002060"/>
        </w:rPr>
        <w:t>Finding:</w:t>
      </w:r>
    </w:p>
    <w:p w14:paraId="7E70611A" w14:textId="018BCF55" w:rsidR="004668F4" w:rsidRDefault="007114BA" w:rsidP="00DE7911">
      <w:pPr>
        <w:spacing w:line="276" w:lineRule="auto"/>
        <w:ind w:left="-448" w:right="-448"/>
        <w:jc w:val="both"/>
      </w:pPr>
      <w:r>
        <w:t xml:space="preserve">The MTR Team did </w:t>
      </w:r>
      <w:r w:rsidR="004668F4" w:rsidRPr="00391BCC">
        <w:t>not find a defined path for civil society</w:t>
      </w:r>
      <w:r w:rsidR="009770E9">
        <w:t xml:space="preserve"> organisations </w:t>
      </w:r>
      <w:r w:rsidR="004668F4" w:rsidRPr="00391BCC">
        <w:t xml:space="preserve">to </w:t>
      </w:r>
      <w:r w:rsidR="004668F4">
        <w:t>access ASIPJ support</w:t>
      </w:r>
      <w:r w:rsidR="009770E9">
        <w:t xml:space="preserve">. </w:t>
      </w:r>
    </w:p>
    <w:p w14:paraId="0B8C5FA4" w14:textId="77777777" w:rsidR="00D14517" w:rsidRDefault="00D14517" w:rsidP="00DE7911">
      <w:pPr>
        <w:spacing w:line="276" w:lineRule="auto"/>
        <w:ind w:left="-448" w:right="-448"/>
        <w:jc w:val="both"/>
        <w:rPr>
          <w:b/>
          <w:color w:val="002060"/>
        </w:rPr>
      </w:pPr>
      <w:r>
        <w:rPr>
          <w:b/>
          <w:color w:val="002060"/>
        </w:rPr>
        <w:t>Recommendation:</w:t>
      </w:r>
    </w:p>
    <w:p w14:paraId="3226C74E" w14:textId="1034D58A" w:rsidR="000F0765" w:rsidRDefault="008C3D47" w:rsidP="000F0765">
      <w:pPr>
        <w:spacing w:line="276" w:lineRule="auto"/>
        <w:ind w:left="-448" w:right="-448"/>
        <w:jc w:val="both"/>
      </w:pPr>
      <w:r w:rsidRPr="00462867">
        <w:rPr>
          <w:b/>
          <w:u w:val="single"/>
        </w:rPr>
        <w:t xml:space="preserve">Recommendation </w:t>
      </w:r>
      <w:r w:rsidR="00554D0A">
        <w:rPr>
          <w:b/>
          <w:u w:val="single"/>
        </w:rPr>
        <w:t>4</w:t>
      </w:r>
      <w:r w:rsidRPr="00462867">
        <w:rPr>
          <w:b/>
        </w:rPr>
        <w:t xml:space="preserve">. </w:t>
      </w:r>
      <w:r>
        <w:rPr>
          <w:b/>
        </w:rPr>
        <w:t xml:space="preserve">Enhance </w:t>
      </w:r>
      <w:r w:rsidR="002868D4">
        <w:rPr>
          <w:b/>
        </w:rPr>
        <w:t xml:space="preserve">pathways for </w:t>
      </w:r>
      <w:r>
        <w:rPr>
          <w:b/>
        </w:rPr>
        <w:t xml:space="preserve">civil society </w:t>
      </w:r>
      <w:r w:rsidR="002868D4">
        <w:rPr>
          <w:b/>
        </w:rPr>
        <w:t>organisation</w:t>
      </w:r>
      <w:r w:rsidR="00773407">
        <w:rPr>
          <w:b/>
        </w:rPr>
        <w:t>s</w:t>
      </w:r>
      <w:r w:rsidR="002868D4">
        <w:rPr>
          <w:b/>
        </w:rPr>
        <w:t xml:space="preserve"> to seek </w:t>
      </w:r>
      <w:r w:rsidR="00773407">
        <w:rPr>
          <w:b/>
        </w:rPr>
        <w:t>program support</w:t>
      </w:r>
      <w:r>
        <w:rPr>
          <w:b/>
        </w:rPr>
        <w:t xml:space="preserve">. </w:t>
      </w:r>
      <w:r w:rsidR="000F0765">
        <w:t>There is a need to ensure that civil society organisations (including grassroots bodies) supporting the justice needs of vulnerable groups have access and confidence to seek support and assistance from ASIPJ as and when required.</w:t>
      </w:r>
    </w:p>
    <w:p w14:paraId="45B5CA6D" w14:textId="7518AE23" w:rsidR="00D14517" w:rsidRDefault="00D14517"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Emerging and pressing issues</w:t>
      </w:r>
    </w:p>
    <w:p w14:paraId="6071FC32" w14:textId="77777777" w:rsidR="000F0765" w:rsidRDefault="00D14517" w:rsidP="000F0765">
      <w:pPr>
        <w:spacing w:line="276" w:lineRule="auto"/>
        <w:ind w:left="-448" w:right="-448"/>
        <w:jc w:val="both"/>
        <w:rPr>
          <w:b/>
          <w:color w:val="002060"/>
        </w:rPr>
      </w:pPr>
      <w:r>
        <w:rPr>
          <w:b/>
          <w:color w:val="002060"/>
        </w:rPr>
        <w:t>Finding:</w:t>
      </w:r>
    </w:p>
    <w:p w14:paraId="6EE265AA" w14:textId="0FE4F89D" w:rsidR="000F0765" w:rsidRPr="000F0765" w:rsidRDefault="000F0765" w:rsidP="000F0765">
      <w:pPr>
        <w:spacing w:line="276" w:lineRule="auto"/>
        <w:ind w:left="-448" w:right="-448"/>
        <w:jc w:val="both"/>
        <w:rPr>
          <w:b/>
          <w:color w:val="002060"/>
        </w:rPr>
      </w:pPr>
      <w:r>
        <w:t>The ongoing need for the justice sector to address emerging issues including climate change, artificial intelligence, cyber security and crime, people trafficking and the proliferation of drug imports and transshipment in the Pacific region is pressing and urgent and will impact on the justice sector and the program in some form. Australia is already supporting the sector on cybercrime legislation (through another Australian aid program) and transnational crime (ASIPJ is providing support to update the Dangerous Drugs Act).</w:t>
      </w:r>
    </w:p>
    <w:p w14:paraId="43904BB8" w14:textId="77777777" w:rsidR="00D14517" w:rsidRDefault="00D14517" w:rsidP="00DE7911">
      <w:pPr>
        <w:spacing w:line="276" w:lineRule="auto"/>
        <w:ind w:left="-448" w:right="-448"/>
        <w:jc w:val="both"/>
        <w:rPr>
          <w:b/>
          <w:color w:val="002060"/>
        </w:rPr>
      </w:pPr>
      <w:r>
        <w:rPr>
          <w:b/>
          <w:color w:val="002060"/>
        </w:rPr>
        <w:t>Recommendation:</w:t>
      </w:r>
    </w:p>
    <w:p w14:paraId="70DB88F6" w14:textId="7AF671A6" w:rsidR="00336AB1" w:rsidRDefault="00295787" w:rsidP="000F0765">
      <w:pPr>
        <w:spacing w:line="276" w:lineRule="auto"/>
        <w:ind w:left="-448" w:right="-448"/>
        <w:jc w:val="both"/>
      </w:pPr>
      <w:r w:rsidRPr="00462867">
        <w:rPr>
          <w:b/>
          <w:u w:val="single"/>
        </w:rPr>
        <w:t xml:space="preserve">Recommendation </w:t>
      </w:r>
      <w:r w:rsidR="00554D0A">
        <w:rPr>
          <w:b/>
          <w:u w:val="single"/>
        </w:rPr>
        <w:t>5</w:t>
      </w:r>
      <w:r w:rsidRPr="00462867">
        <w:rPr>
          <w:b/>
        </w:rPr>
        <w:t xml:space="preserve">. </w:t>
      </w:r>
      <w:r>
        <w:rPr>
          <w:b/>
        </w:rPr>
        <w:t xml:space="preserve">Support the sector to plan and prepare for emerging and pressing issues. </w:t>
      </w:r>
      <w:r w:rsidR="00336AB1">
        <w:t xml:space="preserve">In a further phase of the program, </w:t>
      </w:r>
      <w:r w:rsidR="00827DDE">
        <w:t xml:space="preserve">there is opportunity for </w:t>
      </w:r>
      <w:r w:rsidR="00336AB1">
        <w:t>ASIPJ</w:t>
      </w:r>
      <w:r w:rsidR="00827DDE">
        <w:t xml:space="preserve"> to </w:t>
      </w:r>
      <w:r w:rsidR="00D0576B">
        <w:t xml:space="preserve">support the sector to plan and prepare, </w:t>
      </w:r>
      <w:r w:rsidR="00601709">
        <w:t xml:space="preserve">in a measured and strategic way, </w:t>
      </w:r>
      <w:r w:rsidR="00D0576B">
        <w:t xml:space="preserve">starting with linking the sector into existing DFAT and other relevant </w:t>
      </w:r>
      <w:r w:rsidR="006D2DF4">
        <w:t xml:space="preserve">development </w:t>
      </w:r>
      <w:r w:rsidR="00D0576B">
        <w:t>initiatives.</w:t>
      </w:r>
      <w:r w:rsidR="000F0765">
        <w:t xml:space="preserve"> There are other Australian aid programs in Solomon Islands/the Pacific region (for example, security, cyber, climate) with synergies to ASIPJ – it will be important to capitalise on these links and ensure strategic coherence across Australia’s assistance.</w:t>
      </w:r>
    </w:p>
    <w:p w14:paraId="78F8A925" w14:textId="46902436" w:rsidR="005D5558" w:rsidRDefault="005D5558" w:rsidP="00DE7911">
      <w:pPr>
        <w:pStyle w:val="Heading2"/>
        <w:spacing w:after="240" w:line="276" w:lineRule="auto"/>
        <w:ind w:hanging="446"/>
        <w:jc w:val="both"/>
        <w:rPr>
          <w:rFonts w:asciiTheme="minorHAnsi" w:hAnsiTheme="minorHAnsi"/>
          <w:b/>
          <w:bCs/>
          <w:color w:val="002060"/>
          <w:sz w:val="24"/>
          <w:szCs w:val="24"/>
        </w:rPr>
      </w:pPr>
      <w:bookmarkStart w:id="25" w:name="_Toc197077520"/>
      <w:r>
        <w:rPr>
          <w:rFonts w:asciiTheme="minorHAnsi" w:hAnsiTheme="minorHAnsi"/>
          <w:b/>
          <w:bCs/>
          <w:color w:val="002060"/>
          <w:sz w:val="24"/>
          <w:szCs w:val="24"/>
        </w:rPr>
        <w:t>Effectiveness</w:t>
      </w:r>
      <w:bookmarkEnd w:id="25"/>
      <w:r>
        <w:rPr>
          <w:rFonts w:asciiTheme="minorHAnsi" w:hAnsiTheme="minorHAnsi"/>
          <w:b/>
          <w:bCs/>
          <w:color w:val="002060"/>
          <w:sz w:val="24"/>
          <w:szCs w:val="24"/>
        </w:rPr>
        <w:t xml:space="preserve"> </w:t>
      </w:r>
    </w:p>
    <w:p w14:paraId="767DDFA2" w14:textId="3C4200B9" w:rsidR="005D5558" w:rsidRDefault="005D5558"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Progress against outcomes</w:t>
      </w:r>
    </w:p>
    <w:p w14:paraId="65DFF95E" w14:textId="77777777" w:rsidR="005D5558" w:rsidRDefault="005D5558" w:rsidP="00DE7911">
      <w:pPr>
        <w:spacing w:line="276" w:lineRule="auto"/>
        <w:ind w:left="-448" w:right="-448"/>
        <w:jc w:val="both"/>
        <w:rPr>
          <w:b/>
          <w:color w:val="002060"/>
        </w:rPr>
      </w:pPr>
      <w:r>
        <w:rPr>
          <w:b/>
          <w:color w:val="002060"/>
        </w:rPr>
        <w:t>Findings:</w:t>
      </w:r>
      <w:bookmarkEnd w:id="23"/>
    </w:p>
    <w:p w14:paraId="1767791D" w14:textId="0C8EF0DA" w:rsidR="00E30042" w:rsidRDefault="00F43C31" w:rsidP="00C65BA1">
      <w:pPr>
        <w:spacing w:line="276" w:lineRule="auto"/>
        <w:ind w:left="-448" w:right="-448"/>
        <w:jc w:val="both"/>
      </w:pPr>
      <w:r w:rsidRPr="00161443">
        <w:t xml:space="preserve">The program is now widely considered to be </w:t>
      </w:r>
      <w:r w:rsidRPr="00653571">
        <w:t>progressing well</w:t>
      </w:r>
      <w:r w:rsidR="0017635B" w:rsidRPr="00653571">
        <w:t xml:space="preserve">; </w:t>
      </w:r>
      <w:r w:rsidR="00E973C2">
        <w:t xml:space="preserve">program </w:t>
      </w:r>
      <w:r w:rsidRPr="00161443">
        <w:t>document</w:t>
      </w:r>
      <w:r w:rsidR="00E973C2">
        <w:t>ation and</w:t>
      </w:r>
      <w:r w:rsidRPr="00161443">
        <w:t xml:space="preserve"> consultations </w:t>
      </w:r>
      <w:r w:rsidR="00E973C2">
        <w:t xml:space="preserve">provided </w:t>
      </w:r>
      <w:r w:rsidRPr="00161443">
        <w:t>many</w:t>
      </w:r>
      <w:r w:rsidR="00E973C2">
        <w:t xml:space="preserve"> </w:t>
      </w:r>
      <w:r w:rsidRPr="00161443">
        <w:t xml:space="preserve">success stories. </w:t>
      </w:r>
      <w:r w:rsidR="00652BD0">
        <w:t xml:space="preserve">For example, </w:t>
      </w:r>
      <w:r w:rsidR="00C65BA1" w:rsidRPr="00C65BA1">
        <w:t>ASIPJ</w:t>
      </w:r>
      <w:r w:rsidR="00E30042">
        <w:t>’s 2024 Annual Program Performance Report</w:t>
      </w:r>
      <w:r w:rsidR="00C701C6">
        <w:t xml:space="preserve"> aptly</w:t>
      </w:r>
      <w:r w:rsidR="00E30042">
        <w:t xml:space="preserve"> provides </w:t>
      </w:r>
      <w:r w:rsidR="00506E59">
        <w:t xml:space="preserve">many </w:t>
      </w:r>
      <w:r w:rsidR="00E30042">
        <w:t>noteworthy examples, as follows:</w:t>
      </w:r>
    </w:p>
    <w:p w14:paraId="7A0EADF8" w14:textId="00749C27" w:rsidR="00E30042" w:rsidRPr="00E30042" w:rsidRDefault="00E30042" w:rsidP="00E30042">
      <w:pPr>
        <w:spacing w:line="240" w:lineRule="auto"/>
        <w:ind w:left="720" w:right="-448"/>
        <w:jc w:val="both"/>
        <w:rPr>
          <w:sz w:val="20"/>
          <w:szCs w:val="20"/>
        </w:rPr>
      </w:pPr>
      <w:r w:rsidRPr="00E30042">
        <w:rPr>
          <w:sz w:val="20"/>
          <w:szCs w:val="20"/>
        </w:rPr>
        <w:t>An unprecedented seven Cabinet papers were</w:t>
      </w:r>
      <w:r w:rsidR="00506E59">
        <w:rPr>
          <w:sz w:val="20"/>
          <w:szCs w:val="20"/>
        </w:rPr>
        <w:t xml:space="preserve">… </w:t>
      </w:r>
      <w:r w:rsidRPr="00E30042">
        <w:rPr>
          <w:sz w:val="20"/>
          <w:szCs w:val="20"/>
        </w:rPr>
        <w:t>drafted and submitted under the program’s support, contributing to key policy and legislative discussions. Significantly, 2024 progress on review of agency mandates delivers one of the eight priorities for the MJLA under the 100 Days Priorities Program. It has also been identified as ‘the most significant constitutional reform process since independence’.</w:t>
      </w:r>
    </w:p>
    <w:p w14:paraId="2035065F" w14:textId="0FCE93C8" w:rsidR="00E30042" w:rsidRPr="00E30042" w:rsidRDefault="00E30042" w:rsidP="00E30042">
      <w:pPr>
        <w:spacing w:line="240" w:lineRule="auto"/>
        <w:ind w:left="720" w:right="-448"/>
        <w:jc w:val="both"/>
        <w:rPr>
          <w:sz w:val="20"/>
          <w:szCs w:val="20"/>
        </w:rPr>
      </w:pPr>
      <w:r w:rsidRPr="00E30042">
        <w:rPr>
          <w:sz w:val="20"/>
          <w:szCs w:val="20"/>
        </w:rPr>
        <w:t>ASIPJ's support for institutional reforms has led to significant shifts in the capacity of justice agencies to perform their core functions</w:t>
      </w:r>
      <w:r w:rsidR="005F0253">
        <w:rPr>
          <w:sz w:val="20"/>
          <w:szCs w:val="20"/>
        </w:rPr>
        <w:t xml:space="preserve">. </w:t>
      </w:r>
      <w:r w:rsidRPr="00E30042">
        <w:rPr>
          <w:sz w:val="20"/>
          <w:szCs w:val="20"/>
        </w:rPr>
        <w:t xml:space="preserve">ODPP and CSSI demonstrated improved strategic planning and operational oversight. The Justice Information Management System (JIMS) has been fully operationalized at CSSI </w:t>
      </w:r>
      <w:proofErr w:type="spellStart"/>
      <w:r w:rsidRPr="00E30042">
        <w:rPr>
          <w:sz w:val="20"/>
          <w:szCs w:val="20"/>
        </w:rPr>
        <w:t>Tetere</w:t>
      </w:r>
      <w:proofErr w:type="spellEnd"/>
      <w:r w:rsidRPr="00E30042">
        <w:rPr>
          <w:sz w:val="20"/>
          <w:szCs w:val="20"/>
        </w:rPr>
        <w:t xml:space="preserve">, enhancing prisoner management and reporting capabilities. The system also supports the judiciary through an e-Filing service launched in January 2025. The Legislative Drafting Division (LDD) at the Attorney General’s Chambers (AGC) has increased its capacity to respond to legislative demands, supported by mentoring and </w:t>
      </w:r>
      <w:r w:rsidRPr="00E30042">
        <w:rPr>
          <w:sz w:val="20"/>
          <w:szCs w:val="20"/>
        </w:rPr>
        <w:lastRenderedPageBreak/>
        <w:t xml:space="preserve">training programs. The Legal Digital Reprint and Consolidation Project (LDRCP) provided access to updated legislation, significantly improving legal clarity and accessibility. </w:t>
      </w:r>
    </w:p>
    <w:p w14:paraId="65ACFACE" w14:textId="30E540F1" w:rsidR="00A32F84" w:rsidRPr="00E30042" w:rsidRDefault="00E30042" w:rsidP="00E30042">
      <w:pPr>
        <w:spacing w:line="240" w:lineRule="auto"/>
        <w:ind w:left="720" w:right="-448"/>
        <w:jc w:val="both"/>
        <w:rPr>
          <w:sz w:val="20"/>
          <w:szCs w:val="20"/>
        </w:rPr>
      </w:pPr>
      <w:r w:rsidRPr="00E30042">
        <w:rPr>
          <w:sz w:val="20"/>
          <w:szCs w:val="20"/>
        </w:rPr>
        <w:t xml:space="preserve">ASIPJ facilitated the implementation of the Family Protection Act (FPA) through strengthened prosecutorial guidelines, training programs, and judicial reforms. ODPP launched the </w:t>
      </w:r>
      <w:proofErr w:type="spellStart"/>
      <w:r w:rsidRPr="00E30042">
        <w:rPr>
          <w:sz w:val="20"/>
          <w:szCs w:val="20"/>
        </w:rPr>
        <w:t>Pikinini</w:t>
      </w:r>
      <w:proofErr w:type="spellEnd"/>
      <w:r w:rsidRPr="00E30042">
        <w:rPr>
          <w:sz w:val="20"/>
          <w:szCs w:val="20"/>
        </w:rPr>
        <w:t xml:space="preserve"> Video, enhancing engagement with child witnesses and improving trauma-informed prosecution practices. The Solomon Islands Women Lawyers Association (SIWLA) was established, marking a milestone in gender equity within the justice sector. Magistrate Courts updated their Bench Book to improve the handling of FPA protection orders, while the </w:t>
      </w:r>
      <w:r w:rsidR="0084724A">
        <w:rPr>
          <w:sz w:val="20"/>
          <w:szCs w:val="20"/>
        </w:rPr>
        <w:t xml:space="preserve">… </w:t>
      </w:r>
      <w:r w:rsidRPr="00E30042">
        <w:rPr>
          <w:sz w:val="20"/>
          <w:szCs w:val="20"/>
        </w:rPr>
        <w:t>PSO reinvigorated its legal clinic for people with disabilities. More than 570 justice personnel participated in professional development initiatives, including continuing legal education (CLE) and leadership training programs</w:t>
      </w:r>
      <w:r w:rsidR="00506E59">
        <w:rPr>
          <w:sz w:val="20"/>
          <w:szCs w:val="20"/>
        </w:rPr>
        <w:t>…</w:t>
      </w:r>
      <w:r w:rsidRPr="00E30042">
        <w:rPr>
          <w:sz w:val="20"/>
          <w:szCs w:val="20"/>
        </w:rPr>
        <w:t xml:space="preserve"> </w:t>
      </w:r>
      <w:r w:rsidR="00506E59">
        <w:rPr>
          <w:sz w:val="20"/>
          <w:szCs w:val="20"/>
        </w:rPr>
        <w:t>[E]</w:t>
      </w:r>
      <w:proofErr w:type="spellStart"/>
      <w:r w:rsidRPr="00E30042">
        <w:rPr>
          <w:sz w:val="20"/>
          <w:szCs w:val="20"/>
        </w:rPr>
        <w:t>leven</w:t>
      </w:r>
      <w:proofErr w:type="spellEnd"/>
      <w:r w:rsidRPr="00E30042">
        <w:rPr>
          <w:sz w:val="20"/>
          <w:szCs w:val="20"/>
        </w:rPr>
        <w:t xml:space="preserve"> court circuits were supported, expanding access to formal justice services in remote areas. Family and sexual violence awareness campaigns and community outreach programs improved public engagement with justice services</w:t>
      </w:r>
      <w:r w:rsidR="00C65BA1" w:rsidRPr="00C65BA1">
        <w:t>.</w:t>
      </w:r>
      <w:r w:rsidR="00A32F84">
        <w:rPr>
          <w:rStyle w:val="FootnoteReference"/>
        </w:rPr>
        <w:footnoteReference w:id="2"/>
      </w:r>
      <w:r w:rsidR="00C65BA1" w:rsidRPr="00C65BA1">
        <w:t xml:space="preserve"> </w:t>
      </w:r>
    </w:p>
    <w:p w14:paraId="10F92014" w14:textId="64D1B585" w:rsidR="00554D0A" w:rsidRDefault="00554D0A" w:rsidP="00554D0A">
      <w:pPr>
        <w:spacing w:line="276" w:lineRule="auto"/>
        <w:ind w:left="-448" w:right="-448"/>
        <w:jc w:val="both"/>
      </w:pPr>
      <w:r>
        <w:t>Because the program is now progressing well, it is appropriate and prudent to maintain the same high-level program structure.</w:t>
      </w:r>
    </w:p>
    <w:p w14:paraId="5E8809F6" w14:textId="7CB398C8" w:rsidR="005D5558" w:rsidRDefault="00E973C2" w:rsidP="00DE7911">
      <w:pPr>
        <w:spacing w:line="276" w:lineRule="auto"/>
        <w:ind w:left="-448" w:right="-448"/>
        <w:jc w:val="both"/>
        <w:rPr>
          <w:b/>
          <w:color w:val="002060"/>
        </w:rPr>
      </w:pPr>
      <w:r>
        <w:t xml:space="preserve">However, </w:t>
      </w:r>
      <w:r w:rsidR="00653571">
        <w:t>the program has faced significant</w:t>
      </w:r>
      <w:r w:rsidR="004F4D00">
        <w:t xml:space="preserve"> challenges</w:t>
      </w:r>
      <w:r w:rsidR="00653571">
        <w:t xml:space="preserve"> </w:t>
      </w:r>
      <w:r w:rsidR="004F4D00">
        <w:t>(</w:t>
      </w:r>
      <w:r w:rsidR="00653571">
        <w:t>changes and delays</w:t>
      </w:r>
      <w:r w:rsidR="004F4D00">
        <w:t>)</w:t>
      </w:r>
      <w:r w:rsidR="00653571">
        <w:t xml:space="preserve"> that have greatly impacted on the extent of progress towards program outcomes. </w:t>
      </w:r>
      <w:r w:rsidR="004F4D00">
        <w:t xml:space="preserve">Challenges include substantial </w:t>
      </w:r>
      <w:r w:rsidR="00B74F50">
        <w:t xml:space="preserve">(approximately 40%) </w:t>
      </w:r>
      <w:r w:rsidR="004F4D00">
        <w:t>budget reduction</w:t>
      </w:r>
      <w:r w:rsidR="00B74F50">
        <w:t>, reduced personnel</w:t>
      </w:r>
      <w:r w:rsidR="00E4485D">
        <w:t>,</w:t>
      </w:r>
      <w:r w:rsidR="00B74F50">
        <w:t xml:space="preserve"> and delays</w:t>
      </w:r>
      <w:r w:rsidR="005368AA">
        <w:t xml:space="preserve"> to implementation</w:t>
      </w:r>
      <w:r w:rsidR="00B74F50">
        <w:t xml:space="preserve"> due to: </w:t>
      </w:r>
      <w:r w:rsidRPr="00161443">
        <w:t xml:space="preserve">COVID-19 pandemic, program reprofiling and design refresh process, Pacific Games and Solomon Islands General Elections. </w:t>
      </w:r>
    </w:p>
    <w:p w14:paraId="59BDF72B" w14:textId="30704807" w:rsidR="002E5E10" w:rsidRDefault="005C00E5" w:rsidP="00DE7911">
      <w:pPr>
        <w:spacing w:line="276" w:lineRule="auto"/>
        <w:ind w:left="-448" w:right="-448"/>
        <w:jc w:val="both"/>
      </w:pPr>
      <w:r w:rsidRPr="008D5720">
        <w:t xml:space="preserve">The terms of reference for the MTR charge the Review Team with assessing ASIPJ’s progress against intermediate and end-of-program outcomes. </w:t>
      </w:r>
      <w:r w:rsidRPr="00DC0280">
        <w:t>While ASIPJ is now progressing well, the extent of progress should not be overstated where some two years of implementation were lost amidst those challenges</w:t>
      </w:r>
      <w:r w:rsidR="002E5E10">
        <w:t>.</w:t>
      </w:r>
    </w:p>
    <w:p w14:paraId="25A90D3C" w14:textId="5FFABBFD" w:rsidR="005D5558" w:rsidRDefault="005D5558"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Melanesian twinning and locally led development</w:t>
      </w:r>
    </w:p>
    <w:p w14:paraId="77697AF0" w14:textId="77777777" w:rsidR="005D5558" w:rsidRDefault="005D5558" w:rsidP="00DE7911">
      <w:pPr>
        <w:spacing w:line="276" w:lineRule="auto"/>
        <w:ind w:left="-448" w:right="-448"/>
        <w:jc w:val="both"/>
        <w:rPr>
          <w:b/>
          <w:color w:val="002060"/>
        </w:rPr>
      </w:pPr>
      <w:r>
        <w:rPr>
          <w:b/>
          <w:color w:val="002060"/>
        </w:rPr>
        <w:t>Findings:</w:t>
      </w:r>
    </w:p>
    <w:p w14:paraId="344C2180" w14:textId="0633E11E" w:rsidR="005D5558" w:rsidRDefault="00923661" w:rsidP="00DE7911">
      <w:pPr>
        <w:spacing w:line="276" w:lineRule="auto"/>
        <w:ind w:left="-448" w:right="-448"/>
        <w:jc w:val="both"/>
        <w:rPr>
          <w:b/>
          <w:color w:val="002060"/>
        </w:rPr>
      </w:pPr>
      <w:r>
        <w:t>Melanesian twinning arrangements</w:t>
      </w:r>
      <w:r w:rsidR="008C08DA">
        <w:t>, for example with the Public Solicitor’s Office in PNG and Legal Aid Commission Fiji,</w:t>
      </w:r>
      <w:r>
        <w:t xml:space="preserve"> are </w:t>
      </w:r>
      <w:r w:rsidR="008C08DA">
        <w:t>inspired</w:t>
      </w:r>
      <w:r w:rsidR="003B43F8">
        <w:t xml:space="preserve"> because</w:t>
      </w:r>
      <w:r w:rsidR="008C08DA">
        <w:t xml:space="preserve"> </w:t>
      </w:r>
      <w:r w:rsidR="003B43F8">
        <w:t>t</w:t>
      </w:r>
      <w:r>
        <w:t xml:space="preserve">hese arrangements leverage </w:t>
      </w:r>
      <w:r w:rsidR="003B43F8">
        <w:t xml:space="preserve">the </w:t>
      </w:r>
      <w:r w:rsidR="005270F2">
        <w:t xml:space="preserve">unique </w:t>
      </w:r>
      <w:r>
        <w:t>Melanesian connections and affinities</w:t>
      </w:r>
      <w:r w:rsidR="003B43F8">
        <w:t xml:space="preserve"> between the Melanesian </w:t>
      </w:r>
      <w:r w:rsidR="005270F2">
        <w:t xml:space="preserve">group of </w:t>
      </w:r>
      <w:r w:rsidR="003B43F8">
        <w:t>countries</w:t>
      </w:r>
      <w:r w:rsidR="00931238">
        <w:t>. Twinning</w:t>
      </w:r>
      <w:r w:rsidR="007239AE">
        <w:t xml:space="preserve"> participants</w:t>
      </w:r>
      <w:r w:rsidR="00931238">
        <w:t xml:space="preserve"> interviewed by the Review Team</w:t>
      </w:r>
      <w:r w:rsidR="007239AE">
        <w:t xml:space="preserve"> </w:t>
      </w:r>
      <w:r w:rsidR="00931238">
        <w:t xml:space="preserve">reflected </w:t>
      </w:r>
      <w:r w:rsidR="007239AE">
        <w:t>on their appreciation of the positive</w:t>
      </w:r>
      <w:r w:rsidR="00931238">
        <w:t xml:space="preserve"> and </w:t>
      </w:r>
      <w:r w:rsidR="007239AE">
        <w:t xml:space="preserve">reciprocal relationship and </w:t>
      </w:r>
      <w:r w:rsidR="003B43F8">
        <w:t xml:space="preserve">the </w:t>
      </w:r>
      <w:r w:rsidR="00C81974">
        <w:t>value of</w:t>
      </w:r>
      <w:r w:rsidR="007239AE">
        <w:t xml:space="preserve"> troubleshoot</w:t>
      </w:r>
      <w:r w:rsidR="00C81974">
        <w:t>ing</w:t>
      </w:r>
      <w:r w:rsidR="007239AE">
        <w:t xml:space="preserve"> shared challenges</w:t>
      </w:r>
      <w:r>
        <w:t>. The</w:t>
      </w:r>
      <w:r w:rsidR="007239AE">
        <w:t>se arrangements</w:t>
      </w:r>
      <w:r>
        <w:t xml:space="preserve"> are impactful</w:t>
      </w:r>
      <w:r w:rsidR="00C81974">
        <w:t xml:space="preserve"> and are a</w:t>
      </w:r>
      <w:r w:rsidR="003B43F8">
        <w:t xml:space="preserve"> </w:t>
      </w:r>
      <w:r w:rsidR="00E76F50">
        <w:t>working example</w:t>
      </w:r>
      <w:r w:rsidR="00C81974">
        <w:t xml:space="preserve"> of</w:t>
      </w:r>
      <w:r>
        <w:t xml:space="preserve"> sector ownership of program support</w:t>
      </w:r>
      <w:r w:rsidR="00C81974">
        <w:t>.</w:t>
      </w:r>
    </w:p>
    <w:p w14:paraId="54F4BA65" w14:textId="77777777" w:rsidR="005D5558" w:rsidRDefault="00B8400B" w:rsidP="00DE7911">
      <w:pPr>
        <w:spacing w:line="276" w:lineRule="auto"/>
        <w:ind w:left="-448" w:right="-448"/>
        <w:jc w:val="both"/>
        <w:rPr>
          <w:b/>
          <w:color w:val="002060"/>
        </w:rPr>
      </w:pPr>
      <w:r>
        <w:t>M</w:t>
      </w:r>
      <w:r w:rsidR="00C81974">
        <w:t>elanesian twinning arrangements</w:t>
      </w:r>
      <w:r w:rsidR="000E0712">
        <w:t xml:space="preserve"> are </w:t>
      </w:r>
      <w:r w:rsidR="003B43F8">
        <w:t xml:space="preserve">also </w:t>
      </w:r>
      <w:r w:rsidR="000E0712">
        <w:t xml:space="preserve">reported </w:t>
      </w:r>
      <w:r w:rsidR="00C81974">
        <w:t>to be more sustainabl</w:t>
      </w:r>
      <w:r w:rsidR="00120B0A">
        <w:t>e</w:t>
      </w:r>
      <w:r w:rsidR="000E0712">
        <w:t xml:space="preserve"> than previous twinning arrangements with Australian and New Zealand institution</w:t>
      </w:r>
      <w:r w:rsidR="00DE0DAB">
        <w:t>s</w:t>
      </w:r>
      <w:r w:rsidR="000E0712">
        <w:t xml:space="preserve">. There is evidence </w:t>
      </w:r>
      <w:r w:rsidR="00923661">
        <w:t>of lasting connections and</w:t>
      </w:r>
      <w:r w:rsidR="0014782F">
        <w:t xml:space="preserve"> ongoing</w:t>
      </w:r>
      <w:r w:rsidR="00923661">
        <w:t xml:space="preserve"> collaboration </w:t>
      </w:r>
      <w:r w:rsidR="0014782F">
        <w:t xml:space="preserve">across </w:t>
      </w:r>
      <w:r w:rsidR="006D2DF4">
        <w:t xml:space="preserve">Melanesian </w:t>
      </w:r>
      <w:r w:rsidR="0014782F">
        <w:t>countries</w:t>
      </w:r>
      <w:r w:rsidR="000E0712">
        <w:t xml:space="preserve"> in support of </w:t>
      </w:r>
      <w:r w:rsidR="00923661">
        <w:t xml:space="preserve">ongoing sharing of good practices and </w:t>
      </w:r>
      <w:r w:rsidR="00357868">
        <w:t>troubleshooting</w:t>
      </w:r>
      <w:r w:rsidR="00923661">
        <w:t>.</w:t>
      </w:r>
      <w:r w:rsidR="001E1BAD">
        <w:t xml:space="preserve"> </w:t>
      </w:r>
      <w:r>
        <w:t xml:space="preserve">The model is an excellent alternative and/or complement to </w:t>
      </w:r>
      <w:r w:rsidR="006D2DF4">
        <w:t>A</w:t>
      </w:r>
      <w:r>
        <w:t>dviser support.</w:t>
      </w:r>
    </w:p>
    <w:p w14:paraId="000616B4" w14:textId="37957070" w:rsidR="005D5558" w:rsidRDefault="001E1BAD" w:rsidP="00DE7911">
      <w:pPr>
        <w:spacing w:line="276" w:lineRule="auto"/>
        <w:ind w:left="-448" w:right="-448"/>
        <w:jc w:val="both"/>
        <w:rPr>
          <w:b/>
          <w:color w:val="002060"/>
        </w:rPr>
      </w:pPr>
      <w:r>
        <w:t>ASIPJ</w:t>
      </w:r>
      <w:r w:rsidR="00357868">
        <w:t>’s</w:t>
      </w:r>
      <w:r>
        <w:t xml:space="preserve"> support</w:t>
      </w:r>
      <w:r w:rsidR="00357868">
        <w:t xml:space="preserve"> for Melanesian twinning</w:t>
      </w:r>
      <w:r>
        <w:t xml:space="preserve"> is considered effective with the program simply </w:t>
      </w:r>
      <w:r w:rsidR="00E91972">
        <w:t>“</w:t>
      </w:r>
      <w:r>
        <w:t>getting behind</w:t>
      </w:r>
      <w:r w:rsidR="00E91972">
        <w:t>”</w:t>
      </w:r>
      <w:r>
        <w:t xml:space="preserve"> and financially backing these initiatives where requested.</w:t>
      </w:r>
      <w:r w:rsidR="00923661">
        <w:t xml:space="preserve"> </w:t>
      </w:r>
    </w:p>
    <w:p w14:paraId="60E5C03B" w14:textId="3FF64DD8" w:rsidR="003478A6" w:rsidRDefault="003478A6" w:rsidP="00554D0A">
      <w:pPr>
        <w:spacing w:line="276" w:lineRule="auto"/>
        <w:ind w:left="-448" w:right="-448"/>
        <w:jc w:val="both"/>
      </w:pPr>
      <w:r>
        <w:t xml:space="preserve">The appointment of a highly effective Melanesian </w:t>
      </w:r>
      <w:r w:rsidR="00362121">
        <w:t>T</w:t>
      </w:r>
      <w:r>
        <w:t xml:space="preserve">eam </w:t>
      </w:r>
      <w:r w:rsidR="00362121">
        <w:t>L</w:t>
      </w:r>
      <w:r>
        <w:t>eader</w:t>
      </w:r>
      <w:r w:rsidR="00362121">
        <w:t xml:space="preserve"> for ASIPJ</w:t>
      </w:r>
      <w:r>
        <w:t xml:space="preserve"> </w:t>
      </w:r>
      <w:r w:rsidR="000A4FD6">
        <w:t xml:space="preserve">has also </w:t>
      </w:r>
      <w:r w:rsidR="00B8400B">
        <w:t>been well received by key program stakeholders</w:t>
      </w:r>
      <w:r w:rsidR="00DE0DAB">
        <w:t xml:space="preserve">, with </w:t>
      </w:r>
      <w:r w:rsidR="003B43F8">
        <w:t xml:space="preserve">a natural affinity for the Solomon Island context shown by the Team </w:t>
      </w:r>
      <w:r w:rsidR="006D2DF4">
        <w:t>L</w:t>
      </w:r>
      <w:r w:rsidR="003B43F8">
        <w:t xml:space="preserve">eader coupled with his many years </w:t>
      </w:r>
      <w:r w:rsidR="00E757B4">
        <w:t xml:space="preserve">of relevant experience </w:t>
      </w:r>
      <w:r w:rsidR="003B43F8">
        <w:t>in P</w:t>
      </w:r>
      <w:r w:rsidR="00114E80">
        <w:t>apua New Guinea</w:t>
      </w:r>
      <w:r w:rsidR="003B43F8">
        <w:t>, Vanuatu and Fiji</w:t>
      </w:r>
      <w:r w:rsidR="009B4436" w:rsidRPr="00705417">
        <w:t>.</w:t>
      </w:r>
      <w:r w:rsidR="00E76F50">
        <w:t xml:space="preserve"> </w:t>
      </w:r>
      <w:r w:rsidR="009B4436">
        <w:t xml:space="preserve">This </w:t>
      </w:r>
      <w:r w:rsidR="00B8400B">
        <w:t xml:space="preserve">has facilitated strong </w:t>
      </w:r>
      <w:r w:rsidR="00B8400B">
        <w:lastRenderedPageBreak/>
        <w:t>relationships between the program and sector which has, in turn, facilitated</w:t>
      </w:r>
      <w:r w:rsidR="00362121">
        <w:t xml:space="preserve"> meaningful</w:t>
      </w:r>
      <w:r w:rsidR="00B8400B">
        <w:t xml:space="preserve"> stakeholder engagement</w:t>
      </w:r>
      <w:r w:rsidR="009B4436">
        <w:t>, mutual respect</w:t>
      </w:r>
      <w:r w:rsidR="00362121">
        <w:t xml:space="preserve"> and </w:t>
      </w:r>
      <w:r w:rsidR="00B8400B">
        <w:t>trust.</w:t>
      </w:r>
      <w:r w:rsidR="00362121">
        <w:t xml:space="preserve"> </w:t>
      </w:r>
      <w:r w:rsidR="00BD44DD">
        <w:t>Also</w:t>
      </w:r>
      <w:r w:rsidR="00E76F50">
        <w:t xml:space="preserve">, </w:t>
      </w:r>
      <w:r w:rsidR="009B4436">
        <w:t xml:space="preserve">the recruitment of </w:t>
      </w:r>
      <w:r w:rsidR="00362121">
        <w:t xml:space="preserve">two </w:t>
      </w:r>
      <w:r w:rsidR="009B4436">
        <w:t xml:space="preserve">highly </w:t>
      </w:r>
      <w:r w:rsidR="00362121">
        <w:t>experienced and well</w:t>
      </w:r>
      <w:r w:rsidR="00D16D58">
        <w:t>-</w:t>
      </w:r>
      <w:r w:rsidR="00362121">
        <w:t>regarded</w:t>
      </w:r>
      <w:r w:rsidR="00E76F50">
        <w:t xml:space="preserve"> </w:t>
      </w:r>
      <w:r w:rsidR="00BD44DD">
        <w:t xml:space="preserve">Solomon Islands </w:t>
      </w:r>
      <w:r w:rsidR="009B4436">
        <w:t>citizens</w:t>
      </w:r>
      <w:r w:rsidR="00BD44DD">
        <w:t xml:space="preserve"> </w:t>
      </w:r>
      <w:r w:rsidR="00D16D58">
        <w:t>further help</w:t>
      </w:r>
      <w:r w:rsidR="009B4436">
        <w:t>s</w:t>
      </w:r>
      <w:r w:rsidR="00D16D58">
        <w:t xml:space="preserve"> to build </w:t>
      </w:r>
      <w:r w:rsidR="009B4436">
        <w:t xml:space="preserve">broad </w:t>
      </w:r>
      <w:r w:rsidR="00D16D58">
        <w:t xml:space="preserve">trust in ASIPJ </w:t>
      </w:r>
      <w:r w:rsidR="00DE0DAB">
        <w:t xml:space="preserve">as well as </w:t>
      </w:r>
      <w:r w:rsidR="009B4436">
        <w:t xml:space="preserve">enhancing the quality and relevance of outcomes and avoiding the risk of any social or cultural </w:t>
      </w:r>
      <w:r w:rsidR="009B4436" w:rsidRPr="00391BCC">
        <w:rPr>
          <w:i/>
          <w:iCs/>
        </w:rPr>
        <w:t>faux pas</w:t>
      </w:r>
      <w:r w:rsidR="009B4436">
        <w:rPr>
          <w:i/>
          <w:iCs/>
        </w:rPr>
        <w:t xml:space="preserve"> </w:t>
      </w:r>
      <w:r w:rsidR="009B4436" w:rsidRPr="00391BCC">
        <w:t>in the delivery of their functions</w:t>
      </w:r>
      <w:r w:rsidR="009B4436" w:rsidRPr="009B4436">
        <w:t>.</w:t>
      </w:r>
      <w:r w:rsidR="00E76F50">
        <w:t xml:space="preserve"> </w:t>
      </w:r>
      <w:r w:rsidR="00DE0DAB">
        <w:t>T</w:t>
      </w:r>
      <w:r w:rsidR="00D16D58">
        <w:t>hese roles</w:t>
      </w:r>
      <w:r w:rsidR="00DE0DAB">
        <w:t xml:space="preserve"> are remunerated as international advisers in </w:t>
      </w:r>
      <w:r w:rsidR="009B4436">
        <w:t xml:space="preserve">fair </w:t>
      </w:r>
      <w:r w:rsidR="00DE0DAB">
        <w:t>recognition of the value of their expertise.</w:t>
      </w:r>
      <w:r w:rsidR="00554D0A">
        <w:t xml:space="preserve"> It will be important to continue to ensure that the Program Team has strong Solomon Islands and Melanesian representation in key roles.</w:t>
      </w:r>
    </w:p>
    <w:p w14:paraId="64D67104" w14:textId="3B392DED" w:rsidR="005D5558" w:rsidRDefault="005D5558" w:rsidP="00DE7911">
      <w:pPr>
        <w:spacing w:line="276" w:lineRule="auto"/>
        <w:ind w:left="-448" w:right="-448"/>
        <w:jc w:val="both"/>
        <w:rPr>
          <w:b/>
          <w:color w:val="002060"/>
        </w:rPr>
      </w:pPr>
      <w:r>
        <w:rPr>
          <w:b/>
          <w:color w:val="002060"/>
        </w:rPr>
        <w:t>Recommendations:</w:t>
      </w:r>
    </w:p>
    <w:p w14:paraId="63538D86" w14:textId="4B223F76" w:rsidR="004B7A83" w:rsidRDefault="00314594" w:rsidP="00314594">
      <w:pPr>
        <w:spacing w:line="276" w:lineRule="auto"/>
        <w:ind w:left="-448" w:right="-448"/>
        <w:jc w:val="both"/>
      </w:pPr>
      <w:r w:rsidRPr="00462867">
        <w:rPr>
          <w:b/>
          <w:u w:val="single"/>
        </w:rPr>
        <w:t xml:space="preserve">Recommendation </w:t>
      </w:r>
      <w:r w:rsidR="00554D0A">
        <w:rPr>
          <w:b/>
          <w:u w:val="single"/>
        </w:rPr>
        <w:t>6</w:t>
      </w:r>
      <w:r w:rsidRPr="00462867">
        <w:rPr>
          <w:b/>
        </w:rPr>
        <w:t xml:space="preserve">. </w:t>
      </w:r>
      <w:r w:rsidR="00422C2D">
        <w:rPr>
          <w:b/>
        </w:rPr>
        <w:t>E</w:t>
      </w:r>
      <w:r>
        <w:rPr>
          <w:b/>
        </w:rPr>
        <w:t>xpand Melanesian twinning opportunities</w:t>
      </w:r>
      <w:r w:rsidR="00422C2D">
        <w:rPr>
          <w:b/>
        </w:rPr>
        <w:t xml:space="preserve"> </w:t>
      </w:r>
      <w:r w:rsidR="002328E8">
        <w:rPr>
          <w:b/>
        </w:rPr>
        <w:t>across SIG</w:t>
      </w:r>
      <w:r w:rsidR="00422C2D">
        <w:rPr>
          <w:b/>
        </w:rPr>
        <w:t xml:space="preserve"> Justice sector agencies</w:t>
      </w:r>
      <w:r>
        <w:rPr>
          <w:b/>
        </w:rPr>
        <w:t xml:space="preserve">. </w:t>
      </w:r>
      <w:r w:rsidR="007239AE">
        <w:t xml:space="preserve">In a further phase of the program, Melanesian twinning should </w:t>
      </w:r>
      <w:r w:rsidR="009B4436">
        <w:t xml:space="preserve">be encouraged to </w:t>
      </w:r>
      <w:r w:rsidR="007239AE">
        <w:t xml:space="preserve">continue to provide this </w:t>
      </w:r>
      <w:r w:rsidR="009B4436">
        <w:t xml:space="preserve">invaluable and effective </w:t>
      </w:r>
      <w:r w:rsidR="007239AE">
        <w:t>opportunity to as many parts of the justice sector as possible</w:t>
      </w:r>
      <w:r>
        <w:t>.</w:t>
      </w:r>
    </w:p>
    <w:p w14:paraId="3E7A5909" w14:textId="7806320B" w:rsidR="0014782F" w:rsidRDefault="00314594" w:rsidP="00314594">
      <w:pPr>
        <w:spacing w:line="276" w:lineRule="auto"/>
        <w:ind w:left="-448" w:right="-448"/>
        <w:jc w:val="both"/>
      </w:pPr>
      <w:r>
        <w:rPr>
          <w:b/>
          <w:u w:val="single"/>
        </w:rPr>
        <w:t xml:space="preserve">Recommendation </w:t>
      </w:r>
      <w:r w:rsidR="00554D0A">
        <w:rPr>
          <w:b/>
          <w:u w:val="single"/>
        </w:rPr>
        <w:t>7</w:t>
      </w:r>
      <w:r>
        <w:rPr>
          <w:b/>
        </w:rPr>
        <w:t xml:space="preserve">. </w:t>
      </w:r>
      <w:r w:rsidR="00422C2D">
        <w:rPr>
          <w:b/>
        </w:rPr>
        <w:t>Extend</w:t>
      </w:r>
      <w:r>
        <w:rPr>
          <w:b/>
        </w:rPr>
        <w:t xml:space="preserve"> Melanesian twinning arrangements to non-state organisations.</w:t>
      </w:r>
      <w:r>
        <w:t xml:space="preserve"> </w:t>
      </w:r>
      <w:r w:rsidR="00F0469C">
        <w:t>Ex</w:t>
      </w:r>
      <w:r w:rsidR="007239AE">
        <w:t>tend</w:t>
      </w:r>
      <w:r w:rsidR="00F0469C">
        <w:t>ing</w:t>
      </w:r>
      <w:r w:rsidR="007239AE">
        <w:t xml:space="preserve"> </w:t>
      </w:r>
      <w:r w:rsidR="00651BC8">
        <w:t>twinning arrangements</w:t>
      </w:r>
      <w:r w:rsidR="007239AE">
        <w:t xml:space="preserve"> to </w:t>
      </w:r>
      <w:r w:rsidR="00931238">
        <w:t xml:space="preserve">non-state </w:t>
      </w:r>
      <w:r w:rsidR="007239AE">
        <w:t>organisations such as the Women and Young Lawyers Associations as well as legal clinics/community legal centres</w:t>
      </w:r>
      <w:r w:rsidR="00F0469C">
        <w:t xml:space="preserve"> </w:t>
      </w:r>
      <w:r w:rsidR="00C45DB0">
        <w:t xml:space="preserve">will </w:t>
      </w:r>
      <w:r w:rsidR="00F0469C">
        <w:t xml:space="preserve">likely </w:t>
      </w:r>
      <w:r w:rsidR="00C45DB0">
        <w:t>reap similar benefits and synergies</w:t>
      </w:r>
      <w:r w:rsidR="00F0469C">
        <w:t>.</w:t>
      </w:r>
    </w:p>
    <w:p w14:paraId="3BC770A3" w14:textId="5D3E07CC" w:rsidR="005D5558" w:rsidRDefault="005D5558"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Monitoring, Evaluation, Research and Learning (MERL)</w:t>
      </w:r>
    </w:p>
    <w:p w14:paraId="052D9DDC" w14:textId="77777777" w:rsidR="005D5558" w:rsidRDefault="005D5558" w:rsidP="00DE7911">
      <w:pPr>
        <w:spacing w:line="276" w:lineRule="auto"/>
        <w:ind w:left="-448" w:right="-448"/>
        <w:jc w:val="both"/>
        <w:rPr>
          <w:b/>
          <w:color w:val="002060"/>
        </w:rPr>
      </w:pPr>
      <w:r>
        <w:rPr>
          <w:b/>
          <w:color w:val="002060"/>
        </w:rPr>
        <w:t>Findings:</w:t>
      </w:r>
    </w:p>
    <w:p w14:paraId="49603925" w14:textId="47BAF09C" w:rsidR="005D5558" w:rsidRDefault="00120B0A" w:rsidP="00DE7911">
      <w:pPr>
        <w:spacing w:line="276" w:lineRule="auto"/>
        <w:ind w:left="-448" w:right="-448"/>
        <w:jc w:val="both"/>
        <w:rPr>
          <w:b/>
          <w:color w:val="002060"/>
        </w:rPr>
      </w:pPr>
      <w:r>
        <w:t>The MERL system is fit-for-purpose</w:t>
      </w:r>
      <w:r w:rsidR="005D4B8C">
        <w:t xml:space="preserve"> and supports information needs </w:t>
      </w:r>
      <w:r w:rsidR="00D27794">
        <w:t>for sound program management. Also, consultations confirmed that the program logic contains a well-articulated, clear strategic intent for the program</w:t>
      </w:r>
      <w:r w:rsidR="00685787">
        <w:t>, particularly</w:t>
      </w:r>
      <w:r w:rsidR="00D27794">
        <w:t xml:space="preserve"> through</w:t>
      </w:r>
      <w:r w:rsidR="00685787">
        <w:t xml:space="preserve"> its inclusion of a small number of clearly articulated intermediate and</w:t>
      </w:r>
      <w:r w:rsidR="00D27794">
        <w:t xml:space="preserve"> end-of-program outcomes</w:t>
      </w:r>
      <w:r w:rsidR="00685787">
        <w:t>. The program logic was refined and simplified through the Design Refresh.</w:t>
      </w:r>
      <w:r w:rsidR="008829F1">
        <w:t xml:space="preserve"> The program logic may not need to be amended in a further phase of the program, subject to SIG and program priorities.</w:t>
      </w:r>
    </w:p>
    <w:p w14:paraId="3C3F06F0" w14:textId="22950151" w:rsidR="00685787" w:rsidRDefault="00685787" w:rsidP="00DE7911">
      <w:pPr>
        <w:spacing w:line="276" w:lineRule="auto"/>
        <w:ind w:left="-448" w:right="-448"/>
        <w:jc w:val="both"/>
      </w:pPr>
      <w:r>
        <w:t xml:space="preserve">The MERL system does not seek to measure the end user’s experience of accessing justice in Solomon Islands. While </w:t>
      </w:r>
      <w:r w:rsidR="00D279F8">
        <w:t xml:space="preserve">noting </w:t>
      </w:r>
      <w:r>
        <w:t xml:space="preserve">the central focus of the program is on </w:t>
      </w:r>
      <w:r w:rsidR="00D279F8">
        <w:t xml:space="preserve">building the justice delivery capacity of </w:t>
      </w:r>
      <w:r>
        <w:t xml:space="preserve">SIG justice sector agencies, </w:t>
      </w:r>
      <w:r w:rsidR="00D279F8">
        <w:t>it is important to know if and how this is enhancing access to justice and if change is occurring.</w:t>
      </w:r>
    </w:p>
    <w:p w14:paraId="1F73BCF6" w14:textId="77777777" w:rsidR="005D5558" w:rsidRDefault="005D5558" w:rsidP="00DE7911">
      <w:pPr>
        <w:spacing w:line="276" w:lineRule="auto"/>
        <w:ind w:left="-448" w:right="-448"/>
        <w:jc w:val="both"/>
        <w:rPr>
          <w:b/>
          <w:color w:val="002060"/>
        </w:rPr>
      </w:pPr>
      <w:r>
        <w:rPr>
          <w:b/>
          <w:color w:val="002060"/>
        </w:rPr>
        <w:t>Recommendations:</w:t>
      </w:r>
    </w:p>
    <w:p w14:paraId="1ACCD89D" w14:textId="7CB76770" w:rsidR="002A2971" w:rsidRDefault="00B04E8F" w:rsidP="00B04E8F">
      <w:pPr>
        <w:spacing w:line="276" w:lineRule="auto"/>
        <w:ind w:left="-448" w:right="-448"/>
        <w:jc w:val="both"/>
        <w:rPr>
          <w:rFonts w:ascii="Calibri" w:hAnsi="Calibri" w:cs="Calibri"/>
        </w:rPr>
      </w:pPr>
      <w:r>
        <w:rPr>
          <w:b/>
          <w:u w:val="single"/>
        </w:rPr>
        <w:t xml:space="preserve">Recommendation </w:t>
      </w:r>
      <w:r w:rsidR="008829F1">
        <w:rPr>
          <w:b/>
          <w:u w:val="single"/>
        </w:rPr>
        <w:t>8</w:t>
      </w:r>
      <w:r>
        <w:rPr>
          <w:b/>
        </w:rPr>
        <w:t>. Measure the end user’s experience of accessing justice.</w:t>
      </w:r>
      <w:r>
        <w:t xml:space="preserve"> </w:t>
      </w:r>
      <w:r w:rsidR="00D279F8" w:rsidRPr="00B04E8F">
        <w:rPr>
          <w:rFonts w:ascii="Calibri" w:hAnsi="Calibri" w:cs="Calibri"/>
        </w:rPr>
        <w:t>Measure the end user’s experience of accessing justice, including in targeted provincial locations</w:t>
      </w:r>
      <w:r w:rsidR="005E6B1C">
        <w:rPr>
          <w:rFonts w:ascii="Calibri" w:hAnsi="Calibri" w:cs="Calibri"/>
        </w:rPr>
        <w:t xml:space="preserve"> </w:t>
      </w:r>
      <w:r w:rsidR="005E6B1C" w:rsidRPr="005E6B1C">
        <w:rPr>
          <w:rFonts w:ascii="Calibri" w:hAnsi="Calibri" w:cs="Calibri"/>
        </w:rPr>
        <w:t>(subject to the implementation of Recommendation 2)</w:t>
      </w:r>
      <w:r w:rsidR="00D279F8" w:rsidRPr="00B04E8F">
        <w:rPr>
          <w:rFonts w:ascii="Calibri" w:hAnsi="Calibri" w:cs="Calibri"/>
        </w:rPr>
        <w:t>.</w:t>
      </w:r>
      <w:r w:rsidR="005E6B1C">
        <w:rPr>
          <w:rFonts w:ascii="Calibri" w:hAnsi="Calibri" w:cs="Calibri"/>
        </w:rPr>
        <w:t xml:space="preserve"> </w:t>
      </w:r>
      <w:r w:rsidR="00D279F8" w:rsidRPr="00B04E8F">
        <w:rPr>
          <w:rFonts w:ascii="Calibri" w:hAnsi="Calibri" w:cs="Calibri"/>
        </w:rPr>
        <w:t>This should be done in a collaborative way with sector representatives and civil society</w:t>
      </w:r>
      <w:r w:rsidR="00BD44DD" w:rsidRPr="00B04E8F">
        <w:rPr>
          <w:rFonts w:ascii="Calibri" w:hAnsi="Calibri" w:cs="Calibri"/>
        </w:rPr>
        <w:t xml:space="preserve">, </w:t>
      </w:r>
      <w:r w:rsidR="00D279F8" w:rsidRPr="00B04E8F">
        <w:rPr>
          <w:rFonts w:ascii="Calibri" w:hAnsi="Calibri" w:cs="Calibri"/>
        </w:rPr>
        <w:t xml:space="preserve">for example, Solomon Islands National University. The </w:t>
      </w:r>
      <w:r w:rsidR="000E25D8" w:rsidRPr="00B04E8F">
        <w:rPr>
          <w:rFonts w:ascii="Calibri" w:hAnsi="Calibri" w:cs="Calibri"/>
        </w:rPr>
        <w:t>methodology itself may be a powerful community engagement and legal education tool.</w:t>
      </w:r>
    </w:p>
    <w:p w14:paraId="23082282" w14:textId="77777777" w:rsidR="002A2971" w:rsidRDefault="002A2971">
      <w:pPr>
        <w:rPr>
          <w:rFonts w:ascii="Calibri" w:hAnsi="Calibri" w:cs="Calibri"/>
        </w:rPr>
      </w:pPr>
      <w:r>
        <w:rPr>
          <w:rFonts w:ascii="Calibri" w:hAnsi="Calibri" w:cs="Calibri"/>
        </w:rPr>
        <w:br w:type="page"/>
      </w:r>
    </w:p>
    <w:p w14:paraId="50053218" w14:textId="1BBCEF51" w:rsidR="006D01B3" w:rsidRDefault="006D01B3" w:rsidP="00DE7911">
      <w:pPr>
        <w:pStyle w:val="Heading2"/>
        <w:spacing w:after="240" w:line="276" w:lineRule="auto"/>
        <w:ind w:hanging="446"/>
        <w:jc w:val="both"/>
        <w:rPr>
          <w:rFonts w:asciiTheme="minorHAnsi" w:hAnsiTheme="minorHAnsi"/>
          <w:b/>
          <w:bCs/>
          <w:color w:val="002060"/>
          <w:sz w:val="24"/>
          <w:szCs w:val="24"/>
        </w:rPr>
      </w:pPr>
      <w:bookmarkStart w:id="26" w:name="_Toc197077521"/>
      <w:r>
        <w:rPr>
          <w:rFonts w:asciiTheme="minorHAnsi" w:hAnsiTheme="minorHAnsi"/>
          <w:b/>
          <w:bCs/>
          <w:color w:val="002060"/>
          <w:sz w:val="24"/>
          <w:szCs w:val="24"/>
        </w:rPr>
        <w:t>Efficiency</w:t>
      </w:r>
      <w:bookmarkEnd w:id="26"/>
    </w:p>
    <w:p w14:paraId="2249D154" w14:textId="20643B68" w:rsidR="00180B47" w:rsidRDefault="00180B47"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Program governance</w:t>
      </w:r>
    </w:p>
    <w:p w14:paraId="04F04036" w14:textId="77777777" w:rsidR="00180B47" w:rsidRDefault="00180B47" w:rsidP="00DE7911">
      <w:pPr>
        <w:spacing w:line="276" w:lineRule="auto"/>
        <w:ind w:left="-448" w:right="-448"/>
        <w:jc w:val="both"/>
        <w:rPr>
          <w:b/>
          <w:color w:val="002060"/>
        </w:rPr>
      </w:pPr>
      <w:r>
        <w:rPr>
          <w:b/>
          <w:color w:val="002060"/>
        </w:rPr>
        <w:t>Findings:</w:t>
      </w:r>
    </w:p>
    <w:p w14:paraId="15A9EB40" w14:textId="4507A76B" w:rsidR="0033517F" w:rsidRDefault="00180B47" w:rsidP="0033517F">
      <w:pPr>
        <w:spacing w:line="276" w:lineRule="auto"/>
        <w:ind w:left="-448" w:right="-448"/>
        <w:jc w:val="both"/>
        <w:rPr>
          <w:rFonts w:ascii="Calibri" w:hAnsi="Calibri" w:cs="Calibri"/>
        </w:rPr>
      </w:pPr>
      <w:r>
        <w:rPr>
          <w:rFonts w:ascii="Calibri" w:hAnsi="Calibri" w:cs="Calibri"/>
        </w:rPr>
        <w:t xml:space="preserve">The </w:t>
      </w:r>
      <w:r w:rsidRPr="001219D1">
        <w:rPr>
          <w:rFonts w:ascii="Calibri" w:hAnsi="Calibri" w:cs="Calibri"/>
        </w:rPr>
        <w:t>PRG</w:t>
      </w:r>
      <w:r>
        <w:rPr>
          <w:rFonts w:ascii="Calibri" w:hAnsi="Calibri" w:cs="Calibri"/>
        </w:rPr>
        <w:t xml:space="preserve"> is working well as a high-level mechanism for advice,</w:t>
      </w:r>
      <w:r w:rsidRPr="00D00F0C">
        <w:rPr>
          <w:rFonts w:ascii="Calibri" w:hAnsi="Calibri" w:cs="Calibri"/>
        </w:rPr>
        <w:t xml:space="preserve"> cross-sector collaboration</w:t>
      </w:r>
      <w:r>
        <w:rPr>
          <w:rFonts w:ascii="Calibri" w:hAnsi="Calibri" w:cs="Calibri"/>
        </w:rPr>
        <w:t xml:space="preserve">, direction setting and decision making for the program. </w:t>
      </w:r>
      <w:r w:rsidR="0033517F">
        <w:rPr>
          <w:rFonts w:ascii="Calibri" w:hAnsi="Calibri" w:cs="Calibri"/>
        </w:rPr>
        <w:t>The PRG approves annual work plans and budgets, having authority and oversight over procedural requests and approvals processes.</w:t>
      </w:r>
    </w:p>
    <w:p w14:paraId="321B75DC" w14:textId="316DE60E" w:rsidR="00180B47" w:rsidRDefault="00180B47" w:rsidP="0033517F">
      <w:pPr>
        <w:spacing w:line="276" w:lineRule="auto"/>
        <w:ind w:left="-448" w:right="-448"/>
        <w:jc w:val="both"/>
        <w:rPr>
          <w:rFonts w:ascii="Calibri" w:hAnsi="Calibri" w:cs="Calibri"/>
        </w:rPr>
      </w:pPr>
      <w:r>
        <w:rPr>
          <w:rFonts w:ascii="Calibri" w:hAnsi="Calibri" w:cs="Calibri"/>
        </w:rPr>
        <w:t>With only four members – Chief Justice; Attorney General; Permanent Secretary for Justice and Legal Affairs; and Permanent Secretary for Police, National Security and Correctional Services – the PRG operates in a streamlined and strategic way.</w:t>
      </w:r>
      <w:r w:rsidR="0033517F">
        <w:rPr>
          <w:rFonts w:ascii="Calibri" w:hAnsi="Calibri" w:cs="Calibri"/>
        </w:rPr>
        <w:t xml:space="preserve"> </w:t>
      </w:r>
      <w:r w:rsidR="00255C08">
        <w:rPr>
          <w:rFonts w:ascii="Calibri" w:hAnsi="Calibri" w:cs="Calibri"/>
        </w:rPr>
        <w:t>However, a</w:t>
      </w:r>
      <w:r>
        <w:rPr>
          <w:rFonts w:ascii="Calibri" w:hAnsi="Calibri" w:cs="Calibri"/>
        </w:rPr>
        <w:t>s the heads of justice agencies are not members of the PRG, there is a missed opportunity to have their voices heard and their input into decision-making in a systematic and coordinated way.</w:t>
      </w:r>
    </w:p>
    <w:p w14:paraId="28E54D34" w14:textId="77777777" w:rsidR="00180B47" w:rsidRDefault="00180B47" w:rsidP="00DE7911">
      <w:pPr>
        <w:spacing w:line="276" w:lineRule="auto"/>
        <w:ind w:left="-448" w:right="-448"/>
        <w:jc w:val="both"/>
        <w:rPr>
          <w:b/>
          <w:color w:val="002060"/>
        </w:rPr>
      </w:pPr>
      <w:r>
        <w:rPr>
          <w:b/>
          <w:color w:val="002060"/>
        </w:rPr>
        <w:t>Recommendations:</w:t>
      </w:r>
    </w:p>
    <w:p w14:paraId="2D3851DF" w14:textId="37F69333" w:rsidR="00180B47" w:rsidRPr="00255C08" w:rsidRDefault="00255C08" w:rsidP="00255C08">
      <w:pPr>
        <w:spacing w:line="276" w:lineRule="auto"/>
        <w:ind w:left="-448" w:right="-448"/>
        <w:jc w:val="both"/>
      </w:pPr>
      <w:r>
        <w:rPr>
          <w:b/>
          <w:u w:val="single"/>
        </w:rPr>
        <w:t xml:space="preserve">Recommendation </w:t>
      </w:r>
      <w:r w:rsidR="00A0473E">
        <w:rPr>
          <w:b/>
          <w:u w:val="single"/>
        </w:rPr>
        <w:t>9</w:t>
      </w:r>
      <w:r>
        <w:rPr>
          <w:b/>
        </w:rPr>
        <w:t>. Broaden input into PRG decision-making:</w:t>
      </w:r>
      <w:r>
        <w:t xml:space="preserve"> </w:t>
      </w:r>
      <w:r w:rsidR="00180B47">
        <w:rPr>
          <w:rFonts w:ascii="Calibri" w:hAnsi="Calibri" w:cs="Calibri"/>
        </w:rPr>
        <w:t>Coinciding with a new phase of the program, the architecture around the PRG be enhanced as follows:</w:t>
      </w:r>
    </w:p>
    <w:p w14:paraId="64A999CC" w14:textId="77777777" w:rsidR="00180B47" w:rsidRDefault="00180B47" w:rsidP="00DE7911">
      <w:pPr>
        <w:pStyle w:val="ListParagraph"/>
        <w:numPr>
          <w:ilvl w:val="0"/>
          <w:numId w:val="20"/>
        </w:numPr>
        <w:spacing w:before="240" w:line="276" w:lineRule="auto"/>
        <w:jc w:val="both"/>
        <w:rPr>
          <w:rFonts w:ascii="Calibri" w:hAnsi="Calibri" w:cs="Calibri"/>
        </w:rPr>
      </w:pPr>
      <w:r>
        <w:rPr>
          <w:rFonts w:ascii="Calibri" w:hAnsi="Calibri" w:cs="Calibri"/>
        </w:rPr>
        <w:t xml:space="preserve">Maintain a small PRG as the primary SIG governance body for the program </w:t>
      </w:r>
    </w:p>
    <w:p w14:paraId="597E1361" w14:textId="28AD20FB" w:rsidR="00180B47" w:rsidRDefault="00180B47" w:rsidP="00DE7911">
      <w:pPr>
        <w:pStyle w:val="ListParagraph"/>
        <w:numPr>
          <w:ilvl w:val="0"/>
          <w:numId w:val="20"/>
        </w:numPr>
        <w:spacing w:before="240" w:line="276" w:lineRule="auto"/>
        <w:jc w:val="both"/>
        <w:rPr>
          <w:rFonts w:ascii="Calibri" w:hAnsi="Calibri" w:cs="Calibri"/>
        </w:rPr>
      </w:pPr>
      <w:r>
        <w:rPr>
          <w:rFonts w:ascii="Calibri" w:hAnsi="Calibri" w:cs="Calibri"/>
        </w:rPr>
        <w:t xml:space="preserve">Create a pre-PRG meeting of the heads of justice agencies to provide targeted input to the decisions being considered at each PRG meeting, to further streamline </w:t>
      </w:r>
      <w:r w:rsidR="00C45DB0">
        <w:rPr>
          <w:rFonts w:ascii="Calibri" w:hAnsi="Calibri" w:cs="Calibri"/>
        </w:rPr>
        <w:t>decision-making</w:t>
      </w:r>
      <w:r>
        <w:rPr>
          <w:rFonts w:ascii="Calibri" w:hAnsi="Calibri" w:cs="Calibri"/>
        </w:rPr>
        <w:t xml:space="preserve"> and execution</w:t>
      </w:r>
      <w:r w:rsidR="00F0469C">
        <w:rPr>
          <w:rFonts w:ascii="Calibri" w:hAnsi="Calibri" w:cs="Calibri"/>
        </w:rPr>
        <w:t>.</w:t>
      </w:r>
      <w:r>
        <w:rPr>
          <w:rFonts w:ascii="Calibri" w:hAnsi="Calibri" w:cs="Calibri"/>
        </w:rPr>
        <w:t xml:space="preserve"> </w:t>
      </w:r>
    </w:p>
    <w:p w14:paraId="0D5BD06E" w14:textId="202FB4FC" w:rsidR="00180B47" w:rsidRPr="00180B47" w:rsidRDefault="00180B47" w:rsidP="00DE7911">
      <w:pPr>
        <w:pStyle w:val="ListParagraph"/>
        <w:numPr>
          <w:ilvl w:val="0"/>
          <w:numId w:val="20"/>
        </w:numPr>
        <w:spacing w:before="240" w:line="276" w:lineRule="auto"/>
        <w:jc w:val="both"/>
        <w:rPr>
          <w:rFonts w:ascii="Calibri" w:hAnsi="Calibri" w:cs="Calibri"/>
        </w:rPr>
      </w:pPr>
      <w:r>
        <w:rPr>
          <w:rFonts w:ascii="Calibri" w:hAnsi="Calibri" w:cs="Calibri"/>
        </w:rPr>
        <w:t>Provide opportunity for civil society input into the pre-PRG deliberations</w:t>
      </w:r>
      <w:r w:rsidR="00C45DB0">
        <w:rPr>
          <w:rFonts w:ascii="Calibri" w:hAnsi="Calibri" w:cs="Calibri"/>
        </w:rPr>
        <w:t>,</w:t>
      </w:r>
      <w:r>
        <w:rPr>
          <w:rFonts w:ascii="Calibri" w:hAnsi="Calibri" w:cs="Calibri"/>
        </w:rPr>
        <w:t xml:space="preserve"> so that the PRG has the benefit of wider community views before program decisions are made.</w:t>
      </w:r>
    </w:p>
    <w:p w14:paraId="20B7B569" w14:textId="7E305065" w:rsidR="00315CA2" w:rsidRDefault="00315CA2"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Program</w:t>
      </w:r>
      <w:r w:rsidR="00180B47">
        <w:rPr>
          <w:rFonts w:asciiTheme="minorHAnsi" w:hAnsiTheme="minorHAnsi"/>
          <w:b/>
          <w:color w:val="002060"/>
          <w:sz w:val="22"/>
          <w:szCs w:val="22"/>
          <w:u w:val="single"/>
        </w:rPr>
        <w:t xml:space="preserve"> management</w:t>
      </w:r>
    </w:p>
    <w:p w14:paraId="75F486E7" w14:textId="77777777" w:rsidR="00315CA2" w:rsidRDefault="00315CA2" w:rsidP="00DE7911">
      <w:pPr>
        <w:spacing w:line="276" w:lineRule="auto"/>
        <w:ind w:left="-448" w:right="-448"/>
        <w:jc w:val="both"/>
        <w:rPr>
          <w:b/>
          <w:color w:val="002060"/>
        </w:rPr>
      </w:pPr>
      <w:r>
        <w:rPr>
          <w:b/>
          <w:color w:val="002060"/>
        </w:rPr>
        <w:t>Findings:</w:t>
      </w:r>
    </w:p>
    <w:p w14:paraId="6032CAB2" w14:textId="77777777" w:rsidR="00067B3F" w:rsidRDefault="001D0004" w:rsidP="00DE7911">
      <w:pPr>
        <w:spacing w:line="276" w:lineRule="auto"/>
        <w:ind w:left="-448" w:right="-448"/>
        <w:jc w:val="both"/>
        <w:rPr>
          <w:b/>
          <w:color w:val="002060"/>
        </w:rPr>
      </w:pPr>
      <w:r>
        <w:rPr>
          <w:rFonts w:ascii="Calibri" w:hAnsi="Calibri" w:cs="Calibri"/>
        </w:rPr>
        <w:t xml:space="preserve">The performance of the managing </w:t>
      </w:r>
      <w:r w:rsidR="009B4436">
        <w:rPr>
          <w:rFonts w:ascii="Calibri" w:hAnsi="Calibri" w:cs="Calibri"/>
        </w:rPr>
        <w:t xml:space="preserve">contractor </w:t>
      </w:r>
      <w:r>
        <w:rPr>
          <w:rFonts w:ascii="Calibri" w:hAnsi="Calibri" w:cs="Calibri"/>
        </w:rPr>
        <w:t>is assessed as strong, with the personnel engaged for key positions in program management regarded as particularly high performing.</w:t>
      </w:r>
      <w:r w:rsidR="00315CA2">
        <w:rPr>
          <w:b/>
          <w:color w:val="002060"/>
        </w:rPr>
        <w:t xml:space="preserve"> </w:t>
      </w:r>
    </w:p>
    <w:p w14:paraId="11EA7DE1" w14:textId="2EA7CCCB" w:rsidR="001D0004" w:rsidRPr="00255C08" w:rsidRDefault="001D0004" w:rsidP="00255C08">
      <w:pPr>
        <w:spacing w:line="276" w:lineRule="auto"/>
        <w:ind w:left="-448" w:right="-448"/>
        <w:jc w:val="both"/>
        <w:rPr>
          <w:b/>
          <w:color w:val="002060"/>
        </w:rPr>
      </w:pPr>
      <w:r>
        <w:rPr>
          <w:rFonts w:ascii="Calibri" w:hAnsi="Calibri" w:cs="Calibri"/>
        </w:rPr>
        <w:t>However, t</w:t>
      </w:r>
      <w:r w:rsidRPr="00D00F0C">
        <w:rPr>
          <w:rFonts w:ascii="Calibri" w:hAnsi="Calibri" w:cs="Calibri"/>
        </w:rPr>
        <w:t xml:space="preserve">he </w:t>
      </w:r>
      <w:r>
        <w:rPr>
          <w:rFonts w:ascii="Calibri" w:hAnsi="Calibri" w:cs="Calibri"/>
        </w:rPr>
        <w:t>c</w:t>
      </w:r>
      <w:r w:rsidRPr="00D00F0C">
        <w:rPr>
          <w:rFonts w:ascii="Calibri" w:hAnsi="Calibri" w:cs="Calibri"/>
        </w:rPr>
        <w:t>onsortium arrangement has introduced inefficiencies that have thwarted the team’s ability to deliver with the limited resources they have</w:t>
      </w:r>
      <w:r w:rsidR="00255C08">
        <w:rPr>
          <w:rFonts w:ascii="Calibri" w:hAnsi="Calibri" w:cs="Calibri"/>
        </w:rPr>
        <w:t>. First</w:t>
      </w:r>
      <w:r w:rsidR="00255C08" w:rsidRPr="00C45DB0">
        <w:rPr>
          <w:rFonts w:ascii="Calibri" w:hAnsi="Calibri" w:cs="Calibri"/>
        </w:rPr>
        <w:t xml:space="preserve">, </w:t>
      </w:r>
      <w:r w:rsidR="00255C08" w:rsidRPr="006F4FDB">
        <w:t>h</w:t>
      </w:r>
      <w:r w:rsidRPr="00C45DB0">
        <w:rPr>
          <w:rFonts w:ascii="Calibri" w:hAnsi="Calibri" w:cs="Calibri"/>
        </w:rPr>
        <w:t>aving</w:t>
      </w:r>
      <w:r w:rsidRPr="00255C08">
        <w:rPr>
          <w:rFonts w:ascii="Calibri" w:hAnsi="Calibri" w:cs="Calibri"/>
        </w:rPr>
        <w:t xml:space="preserve"> the managing contractor (Deloitte) and primary sub-contractor (A</w:t>
      </w:r>
      <w:r w:rsidR="002F3472" w:rsidRPr="00255C08">
        <w:rPr>
          <w:rFonts w:ascii="Calibri" w:hAnsi="Calibri" w:cs="Calibri"/>
        </w:rPr>
        <w:t xml:space="preserve">dam Smith </w:t>
      </w:r>
      <w:r w:rsidRPr="00255C08">
        <w:rPr>
          <w:rFonts w:ascii="Calibri" w:hAnsi="Calibri" w:cs="Calibri"/>
        </w:rPr>
        <w:t>I</w:t>
      </w:r>
      <w:r w:rsidR="002F3472" w:rsidRPr="00255C08">
        <w:rPr>
          <w:rFonts w:ascii="Calibri" w:hAnsi="Calibri" w:cs="Calibri"/>
        </w:rPr>
        <w:t>nternational (ASI)</w:t>
      </w:r>
      <w:r w:rsidRPr="00255C08">
        <w:rPr>
          <w:rFonts w:ascii="Calibri" w:hAnsi="Calibri" w:cs="Calibri"/>
        </w:rPr>
        <w:t xml:space="preserve">) with different systems and processes creates additional work for the </w:t>
      </w:r>
      <w:r w:rsidR="00FD229C" w:rsidRPr="00255C08">
        <w:rPr>
          <w:rFonts w:ascii="Calibri" w:hAnsi="Calibri" w:cs="Calibri"/>
        </w:rPr>
        <w:t xml:space="preserve">post refresh </w:t>
      </w:r>
      <w:r w:rsidRPr="00255C08">
        <w:rPr>
          <w:rFonts w:ascii="Calibri" w:hAnsi="Calibri" w:cs="Calibri"/>
        </w:rPr>
        <w:t>team and delays in time-critical processes such as procurement and invoicing</w:t>
      </w:r>
      <w:r w:rsidR="00255C08" w:rsidRPr="00255C08">
        <w:t>. Second, t</w:t>
      </w:r>
      <w:r w:rsidRPr="00255C08">
        <w:rPr>
          <w:rFonts w:ascii="Calibri" w:hAnsi="Calibri" w:cs="Calibri"/>
        </w:rPr>
        <w:t xml:space="preserve">he specific global footprint, responsibilities and </w:t>
      </w:r>
      <w:r w:rsidR="002F3472" w:rsidRPr="00255C08">
        <w:rPr>
          <w:rFonts w:ascii="Calibri" w:hAnsi="Calibri" w:cs="Calibri"/>
        </w:rPr>
        <w:t>time zones</w:t>
      </w:r>
      <w:r w:rsidRPr="00255C08">
        <w:rPr>
          <w:rFonts w:ascii="Calibri" w:hAnsi="Calibri" w:cs="Calibri"/>
        </w:rPr>
        <w:t xml:space="preserve"> of the primary sub-contractor (ASI) – </w:t>
      </w:r>
      <w:r w:rsidR="002F3472" w:rsidRPr="00255C08">
        <w:rPr>
          <w:rFonts w:ascii="Calibri" w:hAnsi="Calibri" w:cs="Calibri"/>
        </w:rPr>
        <w:t>i.e.</w:t>
      </w:r>
      <w:r w:rsidRPr="00255C08">
        <w:rPr>
          <w:rFonts w:ascii="Calibri" w:hAnsi="Calibri" w:cs="Calibri"/>
        </w:rPr>
        <w:t xml:space="preserve"> program management in Thailand, finance in Pakistan, legal in the UK – creates insurmountable challenges for the program operations team in delivering important and time critical outputs</w:t>
      </w:r>
      <w:r w:rsidR="00255C08">
        <w:rPr>
          <w:b/>
          <w:color w:val="002060"/>
        </w:rPr>
        <w:t xml:space="preserve">. </w:t>
      </w:r>
      <w:r w:rsidR="00255C08" w:rsidRPr="00255C08">
        <w:rPr>
          <w:bCs/>
        </w:rPr>
        <w:t>Third, t</w:t>
      </w:r>
      <w:r w:rsidRPr="00255C08">
        <w:rPr>
          <w:rFonts w:ascii="Calibri" w:hAnsi="Calibri" w:cs="Calibri"/>
          <w:bCs/>
        </w:rPr>
        <w:t>he pro</w:t>
      </w:r>
      <w:r w:rsidRPr="00255C08">
        <w:rPr>
          <w:rFonts w:ascii="Calibri" w:hAnsi="Calibri" w:cs="Calibri"/>
        </w:rPr>
        <w:t>gram operations team has delivered outstanding service in these difficult circumstances</w:t>
      </w:r>
      <w:r w:rsidR="00FD229C" w:rsidRPr="00255C08">
        <w:rPr>
          <w:rFonts w:ascii="Calibri" w:hAnsi="Calibri" w:cs="Calibri"/>
        </w:rPr>
        <w:t>,</w:t>
      </w:r>
      <w:r w:rsidRPr="00255C08">
        <w:rPr>
          <w:rFonts w:ascii="Calibri" w:hAnsi="Calibri" w:cs="Calibri"/>
        </w:rPr>
        <w:t xml:space="preserve"> but often with a high human cost and reputational damage</w:t>
      </w:r>
      <w:r w:rsidR="002F3472" w:rsidRPr="00255C08">
        <w:rPr>
          <w:rFonts w:ascii="Calibri" w:hAnsi="Calibri" w:cs="Calibri"/>
        </w:rPr>
        <w:t>.</w:t>
      </w:r>
    </w:p>
    <w:p w14:paraId="774893D3" w14:textId="77777777" w:rsidR="00067B3F" w:rsidRDefault="00067B3F" w:rsidP="00DE7911">
      <w:pPr>
        <w:spacing w:line="276" w:lineRule="auto"/>
        <w:ind w:left="-448" w:right="-448"/>
        <w:jc w:val="both"/>
        <w:rPr>
          <w:b/>
          <w:color w:val="002060"/>
        </w:rPr>
      </w:pPr>
      <w:r>
        <w:rPr>
          <w:b/>
          <w:color w:val="002060"/>
        </w:rPr>
        <w:t>Recommendations:</w:t>
      </w:r>
    </w:p>
    <w:p w14:paraId="45E0ED5E" w14:textId="35D03914" w:rsidR="005C5B88" w:rsidRDefault="005C5B88" w:rsidP="005C5B88">
      <w:pPr>
        <w:spacing w:line="276" w:lineRule="auto"/>
        <w:ind w:left="-448" w:right="-448"/>
        <w:jc w:val="both"/>
      </w:pPr>
      <w:r>
        <w:rPr>
          <w:b/>
          <w:u w:val="single"/>
        </w:rPr>
        <w:t>Recommendation 1</w:t>
      </w:r>
      <w:r w:rsidR="00A0473E">
        <w:rPr>
          <w:b/>
          <w:u w:val="single"/>
        </w:rPr>
        <w:t>0</w:t>
      </w:r>
      <w:r>
        <w:rPr>
          <w:b/>
        </w:rPr>
        <w:t>. Move to a single, streamlined contracting arrangement:</w:t>
      </w:r>
      <w:r>
        <w:t xml:space="preserve"> </w:t>
      </w:r>
      <w:r w:rsidR="001D0004">
        <w:rPr>
          <w:rFonts w:ascii="Calibri" w:hAnsi="Calibri" w:cs="Calibri"/>
        </w:rPr>
        <w:t xml:space="preserve">In the next phase of the </w:t>
      </w:r>
      <w:r w:rsidR="002F3472">
        <w:rPr>
          <w:rFonts w:ascii="Calibri" w:hAnsi="Calibri" w:cs="Calibri"/>
        </w:rPr>
        <w:t>p</w:t>
      </w:r>
      <w:r w:rsidR="001D0004">
        <w:rPr>
          <w:rFonts w:ascii="Calibri" w:hAnsi="Calibri" w:cs="Calibri"/>
        </w:rPr>
        <w:t>rogram</w:t>
      </w:r>
      <w:r w:rsidR="001D0004" w:rsidRPr="00D00F0C">
        <w:rPr>
          <w:rFonts w:ascii="Calibri" w:hAnsi="Calibri" w:cs="Calibri"/>
        </w:rPr>
        <w:t xml:space="preserve">, there should be a single, streamlined contracting arrangement that </w:t>
      </w:r>
      <w:r w:rsidR="001D0004">
        <w:rPr>
          <w:rFonts w:ascii="Calibri" w:hAnsi="Calibri" w:cs="Calibri"/>
        </w:rPr>
        <w:t>facilitates and does not interrupt the work of the</w:t>
      </w:r>
      <w:r w:rsidR="001D0004" w:rsidRPr="00D00F0C">
        <w:rPr>
          <w:rFonts w:ascii="Calibri" w:hAnsi="Calibri" w:cs="Calibri"/>
        </w:rPr>
        <w:t xml:space="preserve"> </w:t>
      </w:r>
      <w:r w:rsidR="001D0004">
        <w:rPr>
          <w:rFonts w:ascii="Calibri" w:hAnsi="Calibri" w:cs="Calibri"/>
        </w:rPr>
        <w:t>high-performing</w:t>
      </w:r>
      <w:r w:rsidR="001D0004" w:rsidRPr="00D00F0C">
        <w:rPr>
          <w:rFonts w:ascii="Calibri" w:hAnsi="Calibri" w:cs="Calibri"/>
        </w:rPr>
        <w:t xml:space="preserve"> team</w:t>
      </w:r>
      <w:r>
        <w:rPr>
          <w:rFonts w:ascii="Calibri" w:hAnsi="Calibri" w:cs="Calibri"/>
        </w:rPr>
        <w:t xml:space="preserve">. </w:t>
      </w:r>
      <w:r w:rsidR="001D0004" w:rsidRPr="005C5B88">
        <w:rPr>
          <w:rFonts w:ascii="Calibri" w:hAnsi="Calibri" w:cs="Calibri"/>
        </w:rPr>
        <w:t xml:space="preserve">The contracting arrangement will need to remove </w:t>
      </w:r>
      <w:r w:rsidR="00FD229C" w:rsidRPr="005C5B88">
        <w:rPr>
          <w:rFonts w:ascii="Calibri" w:hAnsi="Calibri" w:cs="Calibri"/>
        </w:rPr>
        <w:t>‘</w:t>
      </w:r>
      <w:r w:rsidR="001D0004" w:rsidRPr="005C5B88">
        <w:rPr>
          <w:rFonts w:ascii="Calibri" w:hAnsi="Calibri" w:cs="Calibri"/>
        </w:rPr>
        <w:t>double handling</w:t>
      </w:r>
      <w:r w:rsidR="00FD229C" w:rsidRPr="005C5B88">
        <w:rPr>
          <w:rFonts w:ascii="Calibri" w:hAnsi="Calibri" w:cs="Calibri"/>
        </w:rPr>
        <w:t>’</w:t>
      </w:r>
      <w:r w:rsidR="001D0004" w:rsidRPr="005C5B88">
        <w:rPr>
          <w:rFonts w:ascii="Calibri" w:hAnsi="Calibri" w:cs="Calibri"/>
        </w:rPr>
        <w:t xml:space="preserve"> and inefficiencies that have arisen from multiple systems, processes and time</w:t>
      </w:r>
      <w:r w:rsidR="002F3472" w:rsidRPr="005C5B88">
        <w:rPr>
          <w:rFonts w:ascii="Calibri" w:hAnsi="Calibri" w:cs="Calibri"/>
        </w:rPr>
        <w:t>-</w:t>
      </w:r>
      <w:r w:rsidR="001D0004" w:rsidRPr="005C5B88">
        <w:rPr>
          <w:rFonts w:ascii="Calibri" w:hAnsi="Calibri" w:cs="Calibri"/>
        </w:rPr>
        <w:t>zones</w:t>
      </w:r>
      <w:r>
        <w:t xml:space="preserve">. </w:t>
      </w:r>
      <w:r w:rsidR="001D0004" w:rsidRPr="005C5B88">
        <w:rPr>
          <w:rFonts w:ascii="Calibri" w:hAnsi="Calibri" w:cs="Calibri"/>
        </w:rPr>
        <w:t xml:space="preserve">DFAT should negotiate a new </w:t>
      </w:r>
      <w:r w:rsidR="001D0004" w:rsidRPr="005C5B88">
        <w:rPr>
          <w:rFonts w:ascii="Calibri" w:hAnsi="Calibri" w:cs="Calibri"/>
        </w:rPr>
        <w:lastRenderedPageBreak/>
        <w:t>head contract with the managing contractor with new arrangements for program management support, with accountability for improved efficiency resting with the managing contractor</w:t>
      </w:r>
      <w:r>
        <w:rPr>
          <w:rFonts w:ascii="Calibri" w:hAnsi="Calibri" w:cs="Calibri"/>
        </w:rPr>
        <w:t>.</w:t>
      </w:r>
      <w:r w:rsidR="001D0004" w:rsidRPr="005C5B88">
        <w:rPr>
          <w:rFonts w:ascii="Calibri" w:hAnsi="Calibri" w:cs="Calibri"/>
        </w:rPr>
        <w:t xml:space="preserve">  </w:t>
      </w:r>
    </w:p>
    <w:p w14:paraId="50CAA318" w14:textId="3711EDEA" w:rsidR="00C84A07" w:rsidRPr="005C5B88" w:rsidRDefault="001D0004" w:rsidP="005C5B88">
      <w:pPr>
        <w:spacing w:line="276" w:lineRule="auto"/>
        <w:ind w:left="-448" w:right="-448"/>
        <w:jc w:val="both"/>
      </w:pPr>
      <w:r>
        <w:rPr>
          <w:rFonts w:ascii="Calibri" w:hAnsi="Calibri" w:cs="Calibri"/>
        </w:rPr>
        <w:t>Note that while the</w:t>
      </w:r>
      <w:r w:rsidR="00D079C4">
        <w:rPr>
          <w:rFonts w:ascii="Calibri" w:hAnsi="Calibri" w:cs="Calibri"/>
        </w:rPr>
        <w:t xml:space="preserve"> Review</w:t>
      </w:r>
      <w:r>
        <w:rPr>
          <w:rFonts w:ascii="Calibri" w:hAnsi="Calibri" w:cs="Calibri"/>
        </w:rPr>
        <w:t xml:space="preserve"> Team did consider the option of</w:t>
      </w:r>
      <w:r w:rsidRPr="00014E19">
        <w:rPr>
          <w:rFonts w:ascii="Calibri" w:hAnsi="Calibri" w:cs="Calibri"/>
        </w:rPr>
        <w:t xml:space="preserve"> a new approach to the market for the managing contractor role</w:t>
      </w:r>
      <w:r>
        <w:rPr>
          <w:rFonts w:ascii="Calibri" w:hAnsi="Calibri" w:cs="Calibri"/>
        </w:rPr>
        <w:t>, it concluded that it would not be advisable or necessary in this case given: 1) the time delay and disruption this would bring to the positive momentum under way; and 2) the option for a contract extension in the current contract with the managing contractor meaning a further procurement process is not required.</w:t>
      </w:r>
    </w:p>
    <w:p w14:paraId="6FE35450" w14:textId="3E7E494F" w:rsidR="00067B3F" w:rsidRDefault="00067B3F"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Program delivery</w:t>
      </w:r>
    </w:p>
    <w:p w14:paraId="09473F3D" w14:textId="77777777" w:rsidR="00067B3F" w:rsidRDefault="00067B3F" w:rsidP="00DE7911">
      <w:pPr>
        <w:spacing w:line="276" w:lineRule="auto"/>
        <w:ind w:left="-448" w:right="-448"/>
        <w:jc w:val="both"/>
        <w:rPr>
          <w:b/>
          <w:color w:val="002060"/>
        </w:rPr>
      </w:pPr>
      <w:r>
        <w:rPr>
          <w:b/>
          <w:color w:val="002060"/>
        </w:rPr>
        <w:t>Findings:</w:t>
      </w:r>
    </w:p>
    <w:p w14:paraId="7543C1EA" w14:textId="2C993707" w:rsidR="005C5B88" w:rsidRPr="007E2F05" w:rsidRDefault="001D0004" w:rsidP="007F6AAC">
      <w:pPr>
        <w:spacing w:line="276" w:lineRule="auto"/>
        <w:ind w:left="-448" w:right="-448"/>
        <w:jc w:val="both"/>
        <w:rPr>
          <w:rFonts w:ascii="Calibri" w:hAnsi="Calibri" w:cs="Calibri"/>
        </w:rPr>
      </w:pPr>
      <w:r w:rsidRPr="00A64E7E">
        <w:rPr>
          <w:rFonts w:ascii="Calibri" w:hAnsi="Calibri" w:cs="Calibri"/>
        </w:rPr>
        <w:t>Since the reduction in program budget</w:t>
      </w:r>
      <w:r w:rsidR="00E63B48">
        <w:rPr>
          <w:rFonts w:ascii="Calibri" w:hAnsi="Calibri" w:cs="Calibri"/>
        </w:rPr>
        <w:t xml:space="preserve"> and </w:t>
      </w:r>
      <w:r w:rsidR="005C5B88">
        <w:rPr>
          <w:rFonts w:ascii="Calibri" w:hAnsi="Calibri" w:cs="Calibri"/>
        </w:rPr>
        <w:t>D</w:t>
      </w:r>
      <w:r w:rsidR="00E63B48" w:rsidRPr="00A64E7E">
        <w:rPr>
          <w:rFonts w:ascii="Calibri" w:hAnsi="Calibri" w:cs="Calibri"/>
        </w:rPr>
        <w:t xml:space="preserve">esign </w:t>
      </w:r>
      <w:r w:rsidR="005C5B88">
        <w:rPr>
          <w:rFonts w:ascii="Calibri" w:hAnsi="Calibri" w:cs="Calibri"/>
        </w:rPr>
        <w:t>R</w:t>
      </w:r>
      <w:r w:rsidR="00E63B48" w:rsidRPr="00A64E7E">
        <w:rPr>
          <w:rFonts w:ascii="Calibri" w:hAnsi="Calibri" w:cs="Calibri"/>
        </w:rPr>
        <w:t>efresh</w:t>
      </w:r>
      <w:r w:rsidRPr="00A64E7E">
        <w:rPr>
          <w:rFonts w:ascii="Calibri" w:hAnsi="Calibri" w:cs="Calibri"/>
        </w:rPr>
        <w:t xml:space="preserve"> the </w:t>
      </w:r>
      <w:r w:rsidR="00D15FC8">
        <w:rPr>
          <w:rFonts w:ascii="Calibri" w:hAnsi="Calibri" w:cs="Calibri"/>
        </w:rPr>
        <w:t>P</w:t>
      </w:r>
      <w:r w:rsidRPr="00A64E7E">
        <w:rPr>
          <w:rFonts w:ascii="Calibri" w:hAnsi="Calibri" w:cs="Calibri"/>
        </w:rPr>
        <w:t xml:space="preserve">rogram </w:t>
      </w:r>
      <w:r w:rsidR="00D15FC8">
        <w:rPr>
          <w:rFonts w:ascii="Calibri" w:hAnsi="Calibri" w:cs="Calibri"/>
        </w:rPr>
        <w:t>Te</w:t>
      </w:r>
      <w:r w:rsidRPr="00A64E7E">
        <w:rPr>
          <w:rFonts w:ascii="Calibri" w:hAnsi="Calibri" w:cs="Calibri"/>
        </w:rPr>
        <w:t>am</w:t>
      </w:r>
      <w:r w:rsidR="00CE41C8">
        <w:rPr>
          <w:rFonts w:ascii="Calibri" w:hAnsi="Calibri" w:cs="Calibri"/>
        </w:rPr>
        <w:t xml:space="preserve"> </w:t>
      </w:r>
      <w:r w:rsidRPr="00A64E7E">
        <w:rPr>
          <w:rFonts w:ascii="Calibri" w:hAnsi="Calibri" w:cs="Calibri"/>
        </w:rPr>
        <w:t xml:space="preserve">has demonstrated </w:t>
      </w:r>
      <w:r>
        <w:rPr>
          <w:rFonts w:ascii="Calibri" w:hAnsi="Calibri" w:cs="Calibri"/>
        </w:rPr>
        <w:t>impressive capacity to deliver “more with less</w:t>
      </w:r>
      <w:r w:rsidR="005C5B88">
        <w:rPr>
          <w:rFonts w:ascii="Calibri" w:hAnsi="Calibri" w:cs="Calibri"/>
        </w:rPr>
        <w:t xml:space="preserve">”. </w:t>
      </w:r>
      <w:r w:rsidRPr="005C5B88">
        <w:rPr>
          <w:rFonts w:ascii="Calibri" w:hAnsi="Calibri" w:cs="Calibri"/>
        </w:rPr>
        <w:t>The move away from</w:t>
      </w:r>
      <w:r w:rsidR="00E63B48" w:rsidRPr="005C5B88">
        <w:rPr>
          <w:rFonts w:ascii="Calibri" w:hAnsi="Calibri" w:cs="Calibri"/>
        </w:rPr>
        <w:t xml:space="preserve"> a predominantly</w:t>
      </w:r>
      <w:r w:rsidRPr="005C5B88">
        <w:rPr>
          <w:rFonts w:ascii="Calibri" w:hAnsi="Calibri" w:cs="Calibri"/>
        </w:rPr>
        <w:t xml:space="preserve"> adviser-based model to a responsive, catalytic activity-based approach has delivered good value for money by supporting professional development, </w:t>
      </w:r>
      <w:r w:rsidR="00C45DB0">
        <w:rPr>
          <w:rFonts w:ascii="Calibri" w:hAnsi="Calibri" w:cs="Calibri"/>
        </w:rPr>
        <w:t xml:space="preserve">timely </w:t>
      </w:r>
      <w:r w:rsidRPr="005C5B88">
        <w:rPr>
          <w:rFonts w:ascii="Calibri" w:hAnsi="Calibri" w:cs="Calibri"/>
        </w:rPr>
        <w:t>procurement of goods and services, research and learning, and partnership broking, while still having capacity for a mixture of embedded and short-term Technical Advisers</w:t>
      </w:r>
      <w:r w:rsidR="005C5B88">
        <w:rPr>
          <w:b/>
          <w:color w:val="002060"/>
        </w:rPr>
        <w:t>.</w:t>
      </w:r>
      <w:r w:rsidR="00012729">
        <w:rPr>
          <w:b/>
          <w:color w:val="002060"/>
        </w:rPr>
        <w:t xml:space="preserve"> </w:t>
      </w:r>
      <w:r w:rsidR="00012729" w:rsidRPr="006F4FDB">
        <w:rPr>
          <w:bCs/>
        </w:rPr>
        <w:t xml:space="preserve">The </w:t>
      </w:r>
      <w:r w:rsidR="006F4FDB" w:rsidRPr="006F4FDB">
        <w:rPr>
          <w:bCs/>
        </w:rPr>
        <w:t>MTR T</w:t>
      </w:r>
      <w:r w:rsidR="00012729" w:rsidRPr="006F4FDB">
        <w:rPr>
          <w:bCs/>
        </w:rPr>
        <w:t xml:space="preserve">eam heard </w:t>
      </w:r>
      <w:r w:rsidR="00C931EC" w:rsidRPr="006F4FDB">
        <w:rPr>
          <w:bCs/>
        </w:rPr>
        <w:t xml:space="preserve">that the </w:t>
      </w:r>
      <w:r w:rsidR="00012729" w:rsidRPr="006F4FDB">
        <w:rPr>
          <w:bCs/>
        </w:rPr>
        <w:t xml:space="preserve">advisers </w:t>
      </w:r>
      <w:r w:rsidR="00C931EC" w:rsidRPr="006F4FDB">
        <w:rPr>
          <w:bCs/>
        </w:rPr>
        <w:t xml:space="preserve">currently </w:t>
      </w:r>
      <w:r w:rsidR="00012729" w:rsidRPr="006F4FDB">
        <w:rPr>
          <w:bCs/>
        </w:rPr>
        <w:t>in place are appreciated by</w:t>
      </w:r>
      <w:r w:rsidR="00C931EC" w:rsidRPr="006F4FDB">
        <w:rPr>
          <w:bCs/>
        </w:rPr>
        <w:t xml:space="preserve"> their SIG </w:t>
      </w:r>
      <w:r w:rsidR="006F4FDB" w:rsidRPr="006F4FDB">
        <w:rPr>
          <w:bCs/>
        </w:rPr>
        <w:t>counterparts but</w:t>
      </w:r>
      <w:r w:rsidR="00BB51A5" w:rsidRPr="006F4FDB">
        <w:rPr>
          <w:bCs/>
        </w:rPr>
        <w:t xml:space="preserve"> </w:t>
      </w:r>
      <w:r w:rsidR="00427107" w:rsidRPr="006F4FDB">
        <w:rPr>
          <w:bCs/>
        </w:rPr>
        <w:t xml:space="preserve">notes the high cost to the budget of each adviser and the potential alternative uses of these funds for more demand-driven, catalytic activities. Regular review of the </w:t>
      </w:r>
      <w:r w:rsidR="004D2D66" w:rsidRPr="006F4FDB">
        <w:rPr>
          <w:bCs/>
        </w:rPr>
        <w:t xml:space="preserve">value of all adviser positions and alternative ways of </w:t>
      </w:r>
      <w:r w:rsidR="00EA471C" w:rsidRPr="006F4FDB">
        <w:rPr>
          <w:bCs/>
        </w:rPr>
        <w:t>harnessing their skills would be prudent.</w:t>
      </w:r>
      <w:r w:rsidR="007F6AAC">
        <w:rPr>
          <w:bCs/>
        </w:rPr>
        <w:t xml:space="preserve"> In a further phase of the program, the shift to a </w:t>
      </w:r>
      <w:r w:rsidR="007F6AAC">
        <w:rPr>
          <w:rFonts w:ascii="Calibri" w:hAnsi="Calibri" w:cs="Calibri"/>
        </w:rPr>
        <w:t xml:space="preserve">more </w:t>
      </w:r>
      <w:r w:rsidR="007F6AAC" w:rsidRPr="003A5230">
        <w:rPr>
          <w:rFonts w:ascii="Calibri" w:hAnsi="Calibri" w:cs="Calibri"/>
        </w:rPr>
        <w:t xml:space="preserve">flexible and responsive approach </w:t>
      </w:r>
      <w:r w:rsidR="007F6AAC">
        <w:rPr>
          <w:rFonts w:ascii="Calibri" w:hAnsi="Calibri" w:cs="Calibri"/>
        </w:rPr>
        <w:t xml:space="preserve">could be </w:t>
      </w:r>
      <w:r w:rsidR="007F6AAC" w:rsidRPr="003A5230">
        <w:rPr>
          <w:rFonts w:ascii="Calibri" w:hAnsi="Calibri" w:cs="Calibri"/>
        </w:rPr>
        <w:t>continue</w:t>
      </w:r>
      <w:r w:rsidR="007F6AAC">
        <w:rPr>
          <w:rFonts w:ascii="Calibri" w:hAnsi="Calibri" w:cs="Calibri"/>
        </w:rPr>
        <w:t xml:space="preserve">d </w:t>
      </w:r>
      <w:proofErr w:type="gramStart"/>
      <w:r w:rsidR="007F6AAC">
        <w:rPr>
          <w:rFonts w:ascii="Calibri" w:hAnsi="Calibri" w:cs="Calibri"/>
        </w:rPr>
        <w:t>in order</w:t>
      </w:r>
      <w:r w:rsidR="007F6AAC" w:rsidRPr="003A5230">
        <w:rPr>
          <w:rFonts w:ascii="Calibri" w:hAnsi="Calibri" w:cs="Calibri"/>
        </w:rPr>
        <w:t xml:space="preserve"> to</w:t>
      </w:r>
      <w:proofErr w:type="gramEnd"/>
      <w:r w:rsidR="007F6AAC" w:rsidRPr="003A5230">
        <w:rPr>
          <w:rFonts w:ascii="Calibri" w:hAnsi="Calibri" w:cs="Calibri"/>
        </w:rPr>
        <w:t xml:space="preserve"> provide catalytic support to as many parts of the justice sector as possible</w:t>
      </w:r>
      <w:r w:rsidR="007F6AAC">
        <w:rPr>
          <w:rFonts w:ascii="Calibri" w:hAnsi="Calibri" w:cs="Calibri"/>
        </w:rPr>
        <w:t>.</w:t>
      </w:r>
    </w:p>
    <w:p w14:paraId="096A6A5D" w14:textId="2288E3A2" w:rsidR="00702AFE" w:rsidRPr="00702AFE" w:rsidRDefault="001D0004" w:rsidP="00702AFE">
      <w:pPr>
        <w:spacing w:line="276" w:lineRule="auto"/>
        <w:ind w:left="-448" w:right="-448"/>
        <w:jc w:val="both"/>
        <w:rPr>
          <w:rFonts w:ascii="Calibri" w:hAnsi="Calibri" w:cs="Calibri"/>
        </w:rPr>
      </w:pPr>
      <w:r w:rsidRPr="005C5B88">
        <w:rPr>
          <w:rFonts w:ascii="Calibri" w:hAnsi="Calibri" w:cs="Calibri"/>
        </w:rPr>
        <w:t>Twinning with Melanesian neighbours and Australia (High Court and Federal Court) has been a game changer that has cost relatively little for the beneficial relationships that have formed and show positive signs of continuing. With some of the funding being provided from outside the aid budget to Solomon Islands</w:t>
      </w:r>
      <w:r w:rsidR="00702AFE">
        <w:rPr>
          <w:rFonts w:ascii="Calibri" w:hAnsi="Calibri" w:cs="Calibri"/>
        </w:rPr>
        <w:t xml:space="preserve">, </w:t>
      </w:r>
      <w:r w:rsidRPr="005C5B88">
        <w:rPr>
          <w:rFonts w:ascii="Calibri" w:hAnsi="Calibri" w:cs="Calibri"/>
        </w:rPr>
        <w:t>Melanesian twinning has provided an unexpected efficiency boost.</w:t>
      </w:r>
      <w:r w:rsidR="00702AFE">
        <w:rPr>
          <w:rFonts w:ascii="Calibri" w:hAnsi="Calibri" w:cs="Calibri"/>
        </w:rPr>
        <w:t xml:space="preserve"> (Specifically, Papua New Guinea’s Public Solicitor’s Office has self-funded exchanges and the Australia-Papua New Guinea Law and Justice Partnership have provided funding.)</w:t>
      </w:r>
    </w:p>
    <w:p w14:paraId="1912F976" w14:textId="641AA73F" w:rsidR="00067B3F" w:rsidRDefault="00067B3F" w:rsidP="00DE7911">
      <w:pPr>
        <w:spacing w:line="276" w:lineRule="auto"/>
        <w:ind w:left="-448" w:right="-448"/>
        <w:jc w:val="both"/>
        <w:rPr>
          <w:b/>
          <w:color w:val="002060"/>
        </w:rPr>
      </w:pPr>
      <w:r>
        <w:rPr>
          <w:b/>
          <w:color w:val="002060"/>
        </w:rPr>
        <w:t>Recommendations:</w:t>
      </w:r>
    </w:p>
    <w:p w14:paraId="5D37B1F9" w14:textId="63B48D66" w:rsidR="001D0004" w:rsidRPr="00C134B5" w:rsidRDefault="003A5230" w:rsidP="003A5230">
      <w:pPr>
        <w:spacing w:line="276" w:lineRule="auto"/>
        <w:ind w:left="-448" w:right="-448"/>
        <w:jc w:val="both"/>
        <w:rPr>
          <w:rFonts w:ascii="Calibri" w:hAnsi="Calibri" w:cs="Calibri"/>
        </w:rPr>
      </w:pPr>
      <w:r>
        <w:rPr>
          <w:b/>
          <w:u w:val="single"/>
        </w:rPr>
        <w:t>Recommendation 1</w:t>
      </w:r>
      <w:r w:rsidR="007F6AAC">
        <w:rPr>
          <w:b/>
          <w:u w:val="single"/>
        </w:rPr>
        <w:t>1</w:t>
      </w:r>
      <w:r>
        <w:rPr>
          <w:b/>
        </w:rPr>
        <w:t>. Review the case for each adviser role:</w:t>
      </w:r>
      <w:r>
        <w:t xml:space="preserve"> </w:t>
      </w:r>
      <w:r w:rsidR="001D0004" w:rsidRPr="00C134B5">
        <w:rPr>
          <w:rFonts w:ascii="Calibri" w:hAnsi="Calibri" w:cs="Calibri"/>
        </w:rPr>
        <w:t>At the end of 2025, serious consideration should be given to each adviser role and the case for continuation either as long-term, short-term or remote (or a variation of one of more model).</w:t>
      </w:r>
    </w:p>
    <w:p w14:paraId="47F90F6B" w14:textId="52C51C56" w:rsidR="00932B87" w:rsidRDefault="00932B87" w:rsidP="00DE7911">
      <w:pPr>
        <w:pStyle w:val="Heading2"/>
        <w:spacing w:after="240" w:line="276" w:lineRule="auto"/>
        <w:ind w:hanging="446"/>
        <w:jc w:val="both"/>
        <w:rPr>
          <w:rFonts w:asciiTheme="minorHAnsi" w:hAnsiTheme="minorHAnsi"/>
          <w:b/>
          <w:bCs/>
          <w:color w:val="002060"/>
          <w:sz w:val="24"/>
          <w:szCs w:val="24"/>
        </w:rPr>
      </w:pPr>
      <w:bookmarkStart w:id="27" w:name="_Toc197077522"/>
      <w:r>
        <w:rPr>
          <w:rFonts w:asciiTheme="minorHAnsi" w:hAnsiTheme="minorHAnsi"/>
          <w:b/>
          <w:bCs/>
          <w:color w:val="002060"/>
          <w:sz w:val="24"/>
          <w:szCs w:val="24"/>
        </w:rPr>
        <w:t>Sustainability</w:t>
      </w:r>
      <w:bookmarkEnd w:id="27"/>
    </w:p>
    <w:p w14:paraId="38D15736" w14:textId="35C418AF" w:rsidR="00932B87" w:rsidRDefault="00932B87"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Leadership and change makers</w:t>
      </w:r>
    </w:p>
    <w:p w14:paraId="7BF503C5" w14:textId="7F9D5D0F" w:rsidR="009657BC" w:rsidRDefault="00932B87" w:rsidP="007F6AAC">
      <w:pPr>
        <w:spacing w:line="276" w:lineRule="auto"/>
        <w:ind w:left="-448" w:right="-448"/>
        <w:jc w:val="both"/>
        <w:rPr>
          <w:b/>
          <w:color w:val="002060"/>
        </w:rPr>
      </w:pPr>
      <w:r>
        <w:rPr>
          <w:b/>
          <w:color w:val="002060"/>
        </w:rPr>
        <w:t>Findings:</w:t>
      </w:r>
    </w:p>
    <w:p w14:paraId="7DE9CBB4" w14:textId="25D996A8" w:rsidR="002E5E10" w:rsidRDefault="00EF0C54" w:rsidP="00DE7911">
      <w:pPr>
        <w:spacing w:line="276" w:lineRule="auto"/>
        <w:ind w:left="-448" w:right="-448"/>
        <w:jc w:val="both"/>
      </w:pPr>
      <w:r>
        <w:t>Leaders in the justice sector have formed a cohort of</w:t>
      </w:r>
      <w:r w:rsidR="008F0780">
        <w:t xml:space="preserve"> talented, energetic</w:t>
      </w:r>
      <w:r>
        <w:t xml:space="preserve"> people who are committed to progress and development, but there is a need to support and enhance their capacity to do so</w:t>
      </w:r>
      <w:r w:rsidR="00C45DB0">
        <w:t xml:space="preserve"> and</w:t>
      </w:r>
      <w:r w:rsidR="00EA419F">
        <w:t xml:space="preserve"> achieve the core functions of their respective roles</w:t>
      </w:r>
      <w:r>
        <w:t>.</w:t>
      </w:r>
      <w:r w:rsidR="00F8300A">
        <w:t xml:space="preserve"> The</w:t>
      </w:r>
      <w:r w:rsidR="008A3EB8">
        <w:t xml:space="preserve"> justice sector has change makers in place who are receiving and valuing support. The ability of the program to respond to their personal development needs a</w:t>
      </w:r>
      <w:r w:rsidR="00EA419F">
        <w:t>s well as</w:t>
      </w:r>
      <w:r w:rsidR="008A3EB8">
        <w:t xml:space="preserve"> the needs of their agenc</w:t>
      </w:r>
      <w:r w:rsidR="003A5230">
        <w:t>ies</w:t>
      </w:r>
      <w:r w:rsidR="008A3EB8">
        <w:t xml:space="preserve"> is transformative</w:t>
      </w:r>
      <w:r w:rsidR="008F0780">
        <w:t xml:space="preserve">, including through the Maxwell </w:t>
      </w:r>
      <w:r w:rsidR="00DE7C0C">
        <w:t>L</w:t>
      </w:r>
      <w:r w:rsidR="008F0780">
        <w:t xml:space="preserve">eadership </w:t>
      </w:r>
      <w:r w:rsidR="00DE7C0C">
        <w:t>P</w:t>
      </w:r>
      <w:r w:rsidR="008F0780">
        <w:t>rogram and DISC</w:t>
      </w:r>
      <w:r w:rsidR="00DE7C0C">
        <w:t xml:space="preserve"> Assessment</w:t>
      </w:r>
      <w:r w:rsidR="008F0780">
        <w:t xml:space="preserve"> </w:t>
      </w:r>
      <w:r w:rsidR="00DE7C0C">
        <w:t>T</w:t>
      </w:r>
      <w:r w:rsidR="008F0780">
        <w:t>ool.</w:t>
      </w:r>
      <w:r w:rsidR="00C45DB0">
        <w:t xml:space="preserve"> </w:t>
      </w:r>
    </w:p>
    <w:p w14:paraId="3FF076E7" w14:textId="672FDE6A" w:rsidR="008F0780" w:rsidRPr="008F0780" w:rsidRDefault="007F6AAC" w:rsidP="007F6AAC">
      <w:pPr>
        <w:spacing w:line="276" w:lineRule="auto"/>
        <w:ind w:left="-448" w:right="-448"/>
        <w:jc w:val="both"/>
      </w:pPr>
      <w:r>
        <w:t xml:space="preserve">In a further phase, </w:t>
      </w:r>
      <w:r w:rsidRPr="007E2F05">
        <w:rPr>
          <w:bCs/>
        </w:rPr>
        <w:t>the</w:t>
      </w:r>
      <w:r>
        <w:rPr>
          <w:b/>
          <w:color w:val="002060"/>
        </w:rPr>
        <w:t xml:space="preserve"> </w:t>
      </w:r>
      <w:r w:rsidR="008A3EB8">
        <w:t xml:space="preserve">program should continue to identify and support leadership in current and emerging </w:t>
      </w:r>
      <w:r w:rsidR="008A3EB8" w:rsidRPr="008F0780">
        <w:t>leaders across the justice system</w:t>
      </w:r>
      <w:r w:rsidR="003A5230">
        <w:t xml:space="preserve">. </w:t>
      </w:r>
      <w:r w:rsidR="005B76A1">
        <w:t>T</w:t>
      </w:r>
      <w:r w:rsidR="008F0780" w:rsidRPr="008F0780">
        <w:t xml:space="preserve">raining and tools focused on development of individual leadership and </w:t>
      </w:r>
      <w:r w:rsidR="008F0780" w:rsidRPr="008F0780">
        <w:lastRenderedPageBreak/>
        <w:t>management skills should continue to be supported</w:t>
      </w:r>
      <w:r w:rsidR="00EA419F">
        <w:t xml:space="preserve"> as well as the positive impact which this will have on their current functions and duties.</w:t>
      </w:r>
    </w:p>
    <w:p w14:paraId="0084350D" w14:textId="5847DE7C" w:rsidR="00A36ADD" w:rsidRDefault="00A36ADD"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Cost-sharing</w:t>
      </w:r>
    </w:p>
    <w:p w14:paraId="730D979B" w14:textId="77777777" w:rsidR="00A36ADD" w:rsidRDefault="00A36ADD" w:rsidP="00DE7911">
      <w:pPr>
        <w:spacing w:line="276" w:lineRule="auto"/>
        <w:ind w:left="-448" w:right="-448"/>
        <w:jc w:val="both"/>
        <w:rPr>
          <w:b/>
          <w:color w:val="002060"/>
        </w:rPr>
      </w:pPr>
      <w:r>
        <w:rPr>
          <w:b/>
          <w:color w:val="002060"/>
        </w:rPr>
        <w:t>Finding:</w:t>
      </w:r>
    </w:p>
    <w:p w14:paraId="32836E86" w14:textId="10962FCA" w:rsidR="008D5A44" w:rsidRDefault="008D5A44" w:rsidP="00DE7911">
      <w:pPr>
        <w:spacing w:line="276" w:lineRule="auto"/>
        <w:ind w:left="-448" w:right="-448"/>
        <w:jc w:val="both"/>
      </w:pPr>
      <w:r>
        <w:t>There is a clear expectation</w:t>
      </w:r>
      <w:r w:rsidR="00BD44DD">
        <w:t xml:space="preserve"> (</w:t>
      </w:r>
      <w:r w:rsidR="00EA419F">
        <w:t xml:space="preserve">and </w:t>
      </w:r>
      <w:r w:rsidR="00BD44DD">
        <w:t xml:space="preserve">articulated by </w:t>
      </w:r>
      <w:r w:rsidR="005B76A1">
        <w:t>many</w:t>
      </w:r>
      <w:r w:rsidR="00BD44DD">
        <w:t xml:space="preserve"> Solomon Islanders interviewed for the MTR</w:t>
      </w:r>
      <w:r w:rsidR="00EA419F">
        <w:t xml:space="preserve"> as a matter of pride</w:t>
      </w:r>
      <w:r w:rsidR="00BD44DD">
        <w:t>)</w:t>
      </w:r>
      <w:r>
        <w:t xml:space="preserve"> for SIG to lead and contribute</w:t>
      </w:r>
      <w:r w:rsidR="007458DA">
        <w:t xml:space="preserve"> to all aspects of justice delivery,</w:t>
      </w:r>
      <w:r>
        <w:t xml:space="preserve"> and a corresponding appetite for sharing of costs between the sector and ASIPJ. </w:t>
      </w:r>
    </w:p>
    <w:p w14:paraId="2A5C775E" w14:textId="76FD0472" w:rsidR="00A36ADD" w:rsidRDefault="00A36ADD" w:rsidP="00DE7911">
      <w:pPr>
        <w:spacing w:line="276" w:lineRule="auto"/>
        <w:ind w:left="-448" w:right="-448"/>
        <w:jc w:val="both"/>
        <w:rPr>
          <w:b/>
          <w:color w:val="002060"/>
        </w:rPr>
      </w:pPr>
      <w:r>
        <w:rPr>
          <w:b/>
          <w:color w:val="002060"/>
        </w:rPr>
        <w:t>Recommendations</w:t>
      </w:r>
      <w:r w:rsidR="005B76A1">
        <w:rPr>
          <w:b/>
          <w:color w:val="002060"/>
        </w:rPr>
        <w:t>:</w:t>
      </w:r>
    </w:p>
    <w:p w14:paraId="1006068D" w14:textId="0C87D122" w:rsidR="007458DA" w:rsidRPr="00F02A73" w:rsidRDefault="005B76A1" w:rsidP="005B76A1">
      <w:pPr>
        <w:spacing w:line="276" w:lineRule="auto"/>
        <w:ind w:left="-448" w:right="-448"/>
        <w:jc w:val="both"/>
      </w:pPr>
      <w:r>
        <w:rPr>
          <w:b/>
          <w:u w:val="single"/>
        </w:rPr>
        <w:t>Recommendation 1</w:t>
      </w:r>
      <w:r w:rsidR="007F6AAC">
        <w:rPr>
          <w:b/>
          <w:u w:val="single"/>
        </w:rPr>
        <w:t>2</w:t>
      </w:r>
      <w:r>
        <w:rPr>
          <w:b/>
        </w:rPr>
        <w:t>. Seek to share costs with SIG:</w:t>
      </w:r>
      <w:r>
        <w:t xml:space="preserve"> The program should </w:t>
      </w:r>
      <w:r w:rsidR="00F02A73">
        <w:t xml:space="preserve">seek to share costs with justice sector agencies </w:t>
      </w:r>
      <w:r w:rsidR="007458DA">
        <w:t>to</w:t>
      </w:r>
      <w:r w:rsidR="00F02A73">
        <w:t xml:space="preserve"> build ownership</w:t>
      </w:r>
      <w:r w:rsidR="007458DA">
        <w:t xml:space="preserve"> of the assistance provided</w:t>
      </w:r>
      <w:r w:rsidR="00CA5E90">
        <w:t xml:space="preserve">, thereby </w:t>
      </w:r>
      <w:r w:rsidR="007458DA">
        <w:t>helping to ensure that the benefits last</w:t>
      </w:r>
      <w:r>
        <w:t xml:space="preserve">. </w:t>
      </w:r>
      <w:r w:rsidR="00F100E5">
        <w:t xml:space="preserve">The size of the financial </w:t>
      </w:r>
      <w:r w:rsidR="00011A11">
        <w:t>co-</w:t>
      </w:r>
      <w:r w:rsidR="00F100E5">
        <w:t>contribution should be determined according to that which can be afforded rather than application of a rigid set percentage amount for all cost-sharing.</w:t>
      </w:r>
    </w:p>
    <w:p w14:paraId="0D9C3189" w14:textId="0BC004E1" w:rsidR="00A36ADD" w:rsidRDefault="00A36ADD" w:rsidP="00DE7911">
      <w:pPr>
        <w:pStyle w:val="Heading3"/>
        <w:spacing w:before="0" w:after="240" w:line="276" w:lineRule="auto"/>
        <w:ind w:hanging="446"/>
        <w:jc w:val="both"/>
        <w:rPr>
          <w:rFonts w:asciiTheme="minorHAnsi" w:hAnsiTheme="minorHAnsi"/>
          <w:b/>
          <w:color w:val="002060"/>
          <w:sz w:val="22"/>
          <w:szCs w:val="22"/>
          <w:u w:val="single"/>
        </w:rPr>
      </w:pPr>
      <w:r>
        <w:rPr>
          <w:rFonts w:asciiTheme="minorHAnsi" w:hAnsiTheme="minorHAnsi"/>
          <w:b/>
          <w:color w:val="002060"/>
          <w:sz w:val="22"/>
          <w:szCs w:val="22"/>
          <w:u w:val="single"/>
        </w:rPr>
        <w:t>Justice Information Management System (JIMS)</w:t>
      </w:r>
    </w:p>
    <w:p w14:paraId="06AEA17C" w14:textId="77777777" w:rsidR="00A36ADD" w:rsidRDefault="00A36ADD" w:rsidP="00DE7911">
      <w:pPr>
        <w:spacing w:line="276" w:lineRule="auto"/>
        <w:ind w:left="-448" w:right="-448"/>
        <w:jc w:val="both"/>
        <w:rPr>
          <w:b/>
          <w:color w:val="002060"/>
        </w:rPr>
      </w:pPr>
      <w:r>
        <w:rPr>
          <w:b/>
          <w:color w:val="002060"/>
        </w:rPr>
        <w:t>Findings:</w:t>
      </w:r>
    </w:p>
    <w:p w14:paraId="7B02070C" w14:textId="0D3BBC5E" w:rsidR="00637A95" w:rsidRDefault="00F43CE9" w:rsidP="00DE7911">
      <w:pPr>
        <w:spacing w:line="276" w:lineRule="auto"/>
        <w:ind w:left="-448" w:right="-448"/>
        <w:jc w:val="both"/>
      </w:pPr>
      <w:r>
        <w:t>Consultations revealed varying levels of enthusiasm, uptake</w:t>
      </w:r>
      <w:r w:rsidR="007E2F05">
        <w:t xml:space="preserve"> </w:t>
      </w:r>
      <w:r>
        <w:t>and implementation of JIMS across policing and justice sector institutions</w:t>
      </w:r>
      <w:r w:rsidR="00ED0DC3">
        <w:t xml:space="preserve">, and </w:t>
      </w:r>
      <w:r w:rsidR="00A36889">
        <w:t>across different geographic areas</w:t>
      </w:r>
      <w:r>
        <w:t>. Consultations showed that for those agencies utilising JIMS, it is a helpful tool for case management, planning, and resourcing. However, for JIMS to work properly, it requires good uptake across every policing and justice sector institution</w:t>
      </w:r>
      <w:r w:rsidR="00D2704B" w:rsidRPr="00D2704B">
        <w:t xml:space="preserve"> </w:t>
      </w:r>
      <w:r w:rsidR="00D2704B">
        <w:t>by individuals and teams holding critical information and data that needs to be captured for the system-wide benefits to be realised</w:t>
      </w:r>
      <w:r>
        <w:t xml:space="preserve">. </w:t>
      </w:r>
      <w:r w:rsidR="00A36889">
        <w:t xml:space="preserve">If uptake is limited, there will be data gaps that </w:t>
      </w:r>
      <w:r w:rsidR="00B34E0D">
        <w:t>could</w:t>
      </w:r>
      <w:r w:rsidR="00A36889">
        <w:t xml:space="preserve"> </w:t>
      </w:r>
      <w:r w:rsidR="00AE710E">
        <w:t xml:space="preserve">lead to a lack of trust in the reliability of data and </w:t>
      </w:r>
      <w:r w:rsidR="00A36889">
        <w:t>call into question the system’s usefulness</w:t>
      </w:r>
      <w:r w:rsidR="00AE710E">
        <w:t>,</w:t>
      </w:r>
      <w:r w:rsidR="00A36889">
        <w:t xml:space="preserve"> with the risk that this would further limit uptake.</w:t>
      </w:r>
      <w:r>
        <w:t xml:space="preserve"> The ASIPJ team is already addressing this through targeted work with </w:t>
      </w:r>
      <w:r w:rsidR="00F5209C">
        <w:t>“</w:t>
      </w:r>
      <w:r>
        <w:t>super users</w:t>
      </w:r>
      <w:r w:rsidR="00F5209C">
        <w:t>”</w:t>
      </w:r>
      <w:r>
        <w:t xml:space="preserve"> </w:t>
      </w:r>
      <w:r w:rsidR="00E64D44">
        <w:t xml:space="preserve">– technically-skilled individuals in key roles - </w:t>
      </w:r>
      <w:r>
        <w:t xml:space="preserve">within justice sector institutions to build ownership, encourage uptake and support the sustainability of JIMS. An additional avenue to deal with the issues of trust and sustainability would be through formal oversight responsibility for </w:t>
      </w:r>
      <w:r w:rsidR="0099586B">
        <w:t xml:space="preserve">the consistent rollout of JIMS </w:t>
      </w:r>
      <w:r>
        <w:t xml:space="preserve">the proper handling and use of information in the JIMS system resting with a senior person within SIG. ASIPJ could help by linking SIG with a similar function in Australia for advice and support.  </w:t>
      </w:r>
    </w:p>
    <w:p w14:paraId="225AF9CF" w14:textId="66703DDC" w:rsidR="00A36ADD" w:rsidRDefault="00A36ADD" w:rsidP="00DE7911">
      <w:pPr>
        <w:spacing w:line="276" w:lineRule="auto"/>
        <w:ind w:left="-448" w:right="-448"/>
        <w:jc w:val="both"/>
        <w:rPr>
          <w:b/>
          <w:color w:val="002060"/>
        </w:rPr>
      </w:pPr>
      <w:r>
        <w:rPr>
          <w:b/>
          <w:color w:val="002060"/>
        </w:rPr>
        <w:t>Recommendations:</w:t>
      </w:r>
    </w:p>
    <w:p w14:paraId="14CF74DD" w14:textId="05F3687A" w:rsidR="005B76A1" w:rsidRDefault="005B76A1" w:rsidP="005B76A1">
      <w:pPr>
        <w:spacing w:line="276" w:lineRule="auto"/>
        <w:ind w:left="-448" w:right="-448"/>
        <w:jc w:val="both"/>
      </w:pPr>
      <w:r>
        <w:rPr>
          <w:b/>
          <w:u w:val="single"/>
        </w:rPr>
        <w:t xml:space="preserve">Recommendation </w:t>
      </w:r>
      <w:r w:rsidR="007F6AAC">
        <w:rPr>
          <w:b/>
          <w:u w:val="single"/>
        </w:rPr>
        <w:t>13</w:t>
      </w:r>
      <w:r>
        <w:rPr>
          <w:b/>
        </w:rPr>
        <w:t xml:space="preserve">. </w:t>
      </w:r>
      <w:r w:rsidR="00DF2185">
        <w:rPr>
          <w:b/>
        </w:rPr>
        <w:t xml:space="preserve">Commit to </w:t>
      </w:r>
      <w:r w:rsidR="0057282C">
        <w:rPr>
          <w:b/>
        </w:rPr>
        <w:t xml:space="preserve">further </w:t>
      </w:r>
      <w:r>
        <w:rPr>
          <w:b/>
        </w:rPr>
        <w:t>significant and sustained support for JIMS:</w:t>
      </w:r>
      <w:r>
        <w:t xml:space="preserve"> </w:t>
      </w:r>
      <w:r w:rsidR="004B04CF">
        <w:t xml:space="preserve">To </w:t>
      </w:r>
      <w:r w:rsidR="00782F39">
        <w:t xml:space="preserve">build on </w:t>
      </w:r>
      <w:r w:rsidR="004B04CF">
        <w:t>the program’s significant investment in JIMS over the past ten years, i</w:t>
      </w:r>
      <w:r w:rsidR="0035084B" w:rsidRPr="005B76A1">
        <w:rPr>
          <w:rFonts w:ascii="Calibri" w:hAnsi="Calibri" w:cs="Calibri"/>
        </w:rPr>
        <w:t>n a further phase of the program</w:t>
      </w:r>
      <w:r w:rsidR="00BD44DD">
        <w:t xml:space="preserve">, </w:t>
      </w:r>
      <w:r w:rsidR="0035084B">
        <w:t xml:space="preserve">ASIPJ should </w:t>
      </w:r>
      <w:r w:rsidR="004B04CF">
        <w:t>continue its</w:t>
      </w:r>
      <w:r w:rsidR="0035084B">
        <w:t xml:space="preserve"> significant and sustained support for JIMS</w:t>
      </w:r>
      <w:r w:rsidR="00DE7C0C">
        <w:t>,</w:t>
      </w:r>
      <w:r w:rsidR="00EA419F">
        <w:t xml:space="preserve"> </w:t>
      </w:r>
      <w:r w:rsidR="00FE21A6">
        <w:t>w</w:t>
      </w:r>
      <w:r w:rsidR="001D5D8F">
        <w:t>ith</w:t>
      </w:r>
      <w:r w:rsidR="00FE21A6">
        <w:t xml:space="preserve"> technical improvements and</w:t>
      </w:r>
      <w:r w:rsidR="00EA419F">
        <w:t xml:space="preserve"> bugs resolved.</w:t>
      </w:r>
    </w:p>
    <w:p w14:paraId="4BAE4BFC" w14:textId="3F1F32A4" w:rsidR="002A2971" w:rsidRDefault="005B76A1" w:rsidP="002A2971">
      <w:pPr>
        <w:spacing w:line="276" w:lineRule="auto"/>
        <w:ind w:left="-448" w:right="-448"/>
        <w:jc w:val="both"/>
      </w:pPr>
      <w:r>
        <w:rPr>
          <w:b/>
          <w:u w:val="single"/>
        </w:rPr>
        <w:t xml:space="preserve">Recommendation </w:t>
      </w:r>
      <w:r w:rsidR="007F6AAC">
        <w:rPr>
          <w:b/>
          <w:u w:val="single"/>
        </w:rPr>
        <w:t>14</w:t>
      </w:r>
      <w:r>
        <w:rPr>
          <w:b/>
        </w:rPr>
        <w:t>. Establish a formal oversight</w:t>
      </w:r>
      <w:r w:rsidR="007E0736">
        <w:rPr>
          <w:b/>
        </w:rPr>
        <w:t xml:space="preserve"> responsibility for JIMS within SIG</w:t>
      </w:r>
      <w:r>
        <w:rPr>
          <w:b/>
        </w:rPr>
        <w:t>:</w:t>
      </w:r>
      <w:r>
        <w:t xml:space="preserve"> </w:t>
      </w:r>
      <w:r w:rsidR="004B04CF">
        <w:t>Establishing a formal oversight</w:t>
      </w:r>
      <w:r w:rsidR="00782F39">
        <w:t xml:space="preserve"> responsibility within SIG</w:t>
      </w:r>
      <w:r w:rsidR="004B04CF">
        <w:t xml:space="preserve"> </w:t>
      </w:r>
      <w:r w:rsidR="00E95D42">
        <w:t xml:space="preserve">would </w:t>
      </w:r>
      <w:r w:rsidR="00D72225">
        <w:t xml:space="preserve">support the consistent rollout of JIMS and </w:t>
      </w:r>
      <w:r w:rsidR="004B04CF">
        <w:t xml:space="preserve">help to increase </w:t>
      </w:r>
      <w:r w:rsidR="007E2F05">
        <w:t xml:space="preserve">uptake and trust in the </w:t>
      </w:r>
      <w:r w:rsidR="00D12DF2">
        <w:t>reliability</w:t>
      </w:r>
      <w:r w:rsidR="007E2F05">
        <w:t xml:space="preserve"> of data</w:t>
      </w:r>
      <w:r w:rsidR="004B04CF">
        <w:t>.</w:t>
      </w:r>
    </w:p>
    <w:p w14:paraId="2AE6A282" w14:textId="77777777" w:rsidR="002A2971" w:rsidRDefault="002A2971">
      <w:r>
        <w:br w:type="page"/>
      </w:r>
    </w:p>
    <w:p w14:paraId="08941247" w14:textId="50FF6643" w:rsidR="00665FE3" w:rsidRDefault="00665FE3" w:rsidP="00DE7911">
      <w:pPr>
        <w:pStyle w:val="Heading2"/>
        <w:spacing w:after="240" w:line="276" w:lineRule="auto"/>
        <w:ind w:hanging="446"/>
        <w:jc w:val="both"/>
        <w:rPr>
          <w:rFonts w:asciiTheme="minorHAnsi" w:hAnsiTheme="minorHAnsi"/>
          <w:b/>
          <w:bCs/>
          <w:color w:val="002060"/>
          <w:sz w:val="24"/>
          <w:szCs w:val="24"/>
        </w:rPr>
      </w:pPr>
      <w:bookmarkStart w:id="28" w:name="_Toc197077523"/>
      <w:r>
        <w:rPr>
          <w:rFonts w:asciiTheme="minorHAnsi" w:hAnsiTheme="minorHAnsi"/>
          <w:b/>
          <w:bCs/>
          <w:color w:val="002060"/>
          <w:sz w:val="24"/>
          <w:szCs w:val="24"/>
        </w:rPr>
        <w:t>The Case for Increasing ASIPJ’s Budget</w:t>
      </w:r>
      <w:bookmarkEnd w:id="28"/>
    </w:p>
    <w:p w14:paraId="5A75614D" w14:textId="7EC07BEC" w:rsidR="00665FE3" w:rsidRDefault="001409D2" w:rsidP="00DE7911">
      <w:pPr>
        <w:spacing w:line="276" w:lineRule="auto"/>
        <w:ind w:left="-448" w:right="-448"/>
        <w:jc w:val="both"/>
      </w:pPr>
      <w:r w:rsidRPr="008954B3">
        <w:t xml:space="preserve">Consultations revealed a clear valuing of sustained Australian </w:t>
      </w:r>
      <w:r w:rsidR="00E0646F">
        <w:t>G</w:t>
      </w:r>
      <w:r w:rsidRPr="008954B3">
        <w:t xml:space="preserve">overnment support to the law and justice sector and a strong desire for ASIPJ to continue beyond 2025. </w:t>
      </w:r>
      <w:r>
        <w:t>Overall, the program is now progressing well and there is momentum</w:t>
      </w:r>
      <w:r w:rsidR="00F41F0F">
        <w:t xml:space="preserve">, </w:t>
      </w:r>
      <w:r>
        <w:t>traction</w:t>
      </w:r>
      <w:r w:rsidR="00F41F0F">
        <w:t xml:space="preserve"> and results</w:t>
      </w:r>
      <w:r>
        <w:t xml:space="preserve">; relationships and trust are evident and there is enthusiasm for ASIPJ’s support; and there are change makers in the sector and program with vision, energy and influence. So, it is timely and </w:t>
      </w:r>
      <w:r w:rsidRPr="001409D2">
        <w:rPr>
          <w:rFonts w:cstheme="minorHAnsi"/>
        </w:rPr>
        <w:t>there is opportunity for DFAT to elevate</w:t>
      </w:r>
      <w:r>
        <w:t xml:space="preserve"> ASIPJ in priority across its assistance to Solomon Islands. </w:t>
      </w:r>
      <w:r w:rsidR="00B951BC">
        <w:t>In fact, without increased support for the justice sector, the Australian Government’s past investment in RAMSI and</w:t>
      </w:r>
      <w:r w:rsidR="004F41AE">
        <w:t xml:space="preserve"> any</w:t>
      </w:r>
      <w:r w:rsidR="00B951BC">
        <w:t xml:space="preserve"> future investment in </w:t>
      </w:r>
      <w:r w:rsidR="004F41AE">
        <w:t xml:space="preserve">SIG’s </w:t>
      </w:r>
      <w:r w:rsidR="00B951BC">
        <w:t>RSIPF expansion will not achieve the sustained benefits expected</w:t>
      </w:r>
      <w:r w:rsidR="00665FE3">
        <w:t>.</w:t>
      </w:r>
    </w:p>
    <w:p w14:paraId="7E21FD79" w14:textId="2CB5B281" w:rsidR="00665FE3" w:rsidRDefault="001226EF" w:rsidP="00DE7911">
      <w:pPr>
        <w:spacing w:line="276" w:lineRule="auto"/>
        <w:ind w:left="-448" w:right="-448"/>
        <w:jc w:val="both"/>
        <w:rPr>
          <w:b/>
          <w:color w:val="002060"/>
        </w:rPr>
      </w:pPr>
      <w:r>
        <w:t xml:space="preserve">There is demand for increased </w:t>
      </w:r>
      <w:r w:rsidRPr="007C324B">
        <w:t>program support and</w:t>
      </w:r>
      <w:r>
        <w:t xml:space="preserve"> a strong rationale for Australian government to consider this given: </w:t>
      </w:r>
      <w:r w:rsidRPr="00F41F0F">
        <w:t>(</w:t>
      </w:r>
      <w:proofErr w:type="spellStart"/>
      <w:r w:rsidRPr="00F41F0F">
        <w:t>i</w:t>
      </w:r>
      <w:proofErr w:type="spellEnd"/>
      <w:r w:rsidRPr="00F41F0F">
        <w:t>) program momentum and traction that now exists with significant opportunities for impact, (ii) strong relationships and</w:t>
      </w:r>
      <w:r w:rsidR="007C324B" w:rsidRPr="00F41F0F">
        <w:t xml:space="preserve"> existence of a cohort of leaders and</w:t>
      </w:r>
      <w:r w:rsidRPr="00F41F0F">
        <w:t xml:space="preserve"> agents of change</w:t>
      </w:r>
      <w:r w:rsidR="00F41F0F" w:rsidRPr="00F41F0F">
        <w:t>,</w:t>
      </w:r>
      <w:r w:rsidRPr="00F41F0F">
        <w:t xml:space="preserve"> (iii) </w:t>
      </w:r>
      <w:r w:rsidR="004F41AE">
        <w:t xml:space="preserve">SIG’s </w:t>
      </w:r>
      <w:r w:rsidRPr="00F41F0F">
        <w:t>plann</w:t>
      </w:r>
      <w:r w:rsidR="007C324B" w:rsidRPr="00F41F0F">
        <w:t>ed</w:t>
      </w:r>
      <w:r w:rsidRPr="00F41F0F">
        <w:t xml:space="preserve"> RSIPF expansion and the </w:t>
      </w:r>
      <w:r w:rsidR="007C324B" w:rsidRPr="00F41F0F">
        <w:t xml:space="preserve">downstream </w:t>
      </w:r>
      <w:r w:rsidRPr="00F41F0F">
        <w:t>impacts on the justice sector</w:t>
      </w:r>
      <w:r w:rsidR="00F41F0F" w:rsidRPr="00F41F0F">
        <w:t>,</w:t>
      </w:r>
      <w:r w:rsidRPr="00F41F0F">
        <w:t xml:space="preserve"> (iv) RAMSI legacy</w:t>
      </w:r>
      <w:r w:rsidR="00F41F0F">
        <w:t xml:space="preserve"> that has left an expectation of large-scale, ongoing support</w:t>
      </w:r>
      <w:r w:rsidR="0054006B">
        <w:t xml:space="preserve">; </w:t>
      </w:r>
      <w:r w:rsidR="0051061E">
        <w:t xml:space="preserve">and </w:t>
      </w:r>
      <w:r w:rsidR="0054006B">
        <w:t>(v) Solomon Islands has placed justice</w:t>
      </w:r>
      <w:r w:rsidR="00D52B39">
        <w:t xml:space="preserve"> (and sharing of how justice is approached in the region)</w:t>
      </w:r>
      <w:r w:rsidR="0054006B">
        <w:t xml:space="preserve"> on the agenda for the upcoming Pacific Islands Leaders Meeting, to be held in Honiara in September 2025</w:t>
      </w:r>
      <w:r w:rsidR="0051061E">
        <w:t>. T</w:t>
      </w:r>
      <w:r w:rsidR="00D52B39">
        <w:t xml:space="preserve">his presents an opportunity to showcase Australia’s </w:t>
      </w:r>
      <w:r w:rsidR="007802DE">
        <w:t>long running</w:t>
      </w:r>
      <w:r w:rsidR="00D52B39">
        <w:t xml:space="preserve"> and innovative assistance to the sector. </w:t>
      </w:r>
    </w:p>
    <w:p w14:paraId="23BF897C" w14:textId="1E935A39" w:rsidR="007802DE" w:rsidRDefault="00F41F0F" w:rsidP="007802DE">
      <w:pPr>
        <w:spacing w:line="276" w:lineRule="auto"/>
        <w:ind w:left="-448" w:right="-448"/>
        <w:jc w:val="both"/>
        <w:rPr>
          <w:b/>
          <w:color w:val="002060"/>
        </w:rPr>
      </w:pPr>
      <w:r>
        <w:t>The following factors give rise to a need for increased program expenditure</w:t>
      </w:r>
      <w:r w:rsidRPr="00F511D5">
        <w:t>:</w:t>
      </w:r>
      <w:r w:rsidR="00BD174A" w:rsidRPr="00F511D5">
        <w:rPr>
          <w:b/>
        </w:rPr>
        <w:t xml:space="preserve"> </w:t>
      </w:r>
      <w:r w:rsidR="00BD174A" w:rsidRPr="00F511D5">
        <w:rPr>
          <w:bCs/>
        </w:rPr>
        <w:t>first, p</w:t>
      </w:r>
      <w:r w:rsidRPr="00F511D5">
        <w:t xml:space="preserve">lanned </w:t>
      </w:r>
      <w:r>
        <w:t>growth in the size of the RSIPF from its current size of 1</w:t>
      </w:r>
      <w:r w:rsidR="00F511D5">
        <w:t>,</w:t>
      </w:r>
      <w:r>
        <w:t>500 to</w:t>
      </w:r>
      <w:r w:rsidR="00F511D5">
        <w:t xml:space="preserve"> 3,000</w:t>
      </w:r>
      <w:r>
        <w:t xml:space="preserve"> </w:t>
      </w:r>
      <w:r w:rsidR="00F511D5">
        <w:t xml:space="preserve">(or potentially </w:t>
      </w:r>
      <w:r>
        <w:t>5000</w:t>
      </w:r>
      <w:r w:rsidR="00F511D5">
        <w:t xml:space="preserve"> </w:t>
      </w:r>
      <w:r w:rsidR="00F511D5">
        <w:rPr>
          <w:rFonts w:cstheme="minorHAnsi"/>
        </w:rPr>
        <w:t>–</w:t>
      </w:r>
      <w:r w:rsidR="00F511D5">
        <w:t xml:space="preserve"> </w:t>
      </w:r>
      <w:r w:rsidR="00321D20">
        <w:t>a</w:t>
      </w:r>
      <w:r w:rsidR="00F511D5">
        <w:t xml:space="preserve"> figure conveyed to the Review Team)</w:t>
      </w:r>
      <w:r>
        <w:t xml:space="preserve"> by 2032 will have significant downstream impacts</w:t>
      </w:r>
      <w:r w:rsidR="00E71B9F">
        <w:t xml:space="preserve">, including substantial costs, </w:t>
      </w:r>
      <w:r>
        <w:t>for the whole justice system</w:t>
      </w:r>
      <w:r w:rsidR="009A2A42">
        <w:t>.</w:t>
      </w:r>
      <w:r>
        <w:t xml:space="preserve"> </w:t>
      </w:r>
      <w:r w:rsidR="005C01CA">
        <w:t>This is felt particularly deeply in prosecutions, corrections and court</w:t>
      </w:r>
      <w:r w:rsidR="00BD174A">
        <w:t xml:space="preserve"> function</w:t>
      </w:r>
      <w:r w:rsidR="005C01CA">
        <w:t xml:space="preserve">s where an expected increase in police activity (especially arrests) would overwhelm current arrangements. </w:t>
      </w:r>
      <w:r w:rsidR="001226EF" w:rsidRPr="00E1494B">
        <w:t>In response, there is an imperative and opportunity for increased resourcing for ASIPJ in its next phase.</w:t>
      </w:r>
      <w:r w:rsidR="001226EF">
        <w:t xml:space="preserve"> </w:t>
      </w:r>
      <w:r w:rsidR="00462146">
        <w:t>There is a need for planning and engagement on the ramifications of the</w:t>
      </w:r>
      <w:r w:rsidR="00BD174A">
        <w:t xml:space="preserve"> RSIPF</w:t>
      </w:r>
      <w:r w:rsidR="00462146">
        <w:t xml:space="preserve"> </w:t>
      </w:r>
      <w:r w:rsidR="00BD174A">
        <w:t>increase</w:t>
      </w:r>
      <w:r w:rsidR="00462146">
        <w:t>, and for subsequent support for the required growth in the justice system. In addition to the practical considerations, there is an ethical dimension at play for Australia to consider the consequences of its policing assistance</w:t>
      </w:r>
      <w:r w:rsidR="00EF5680">
        <w:t xml:space="preserve">. There is also reputational </w:t>
      </w:r>
      <w:r w:rsidR="00910B30">
        <w:t xml:space="preserve">risk to consider </w:t>
      </w:r>
      <w:r w:rsidR="00DE7C0C">
        <w:t>if</w:t>
      </w:r>
      <w:r w:rsidR="00910B30">
        <w:t xml:space="preserve"> Australian assistance is seen</w:t>
      </w:r>
      <w:r w:rsidR="00DE7C0C">
        <w:t>,</w:t>
      </w:r>
      <w:r w:rsidR="00910B30">
        <w:t xml:space="preserve"> </w:t>
      </w:r>
      <w:r w:rsidR="00EF5680">
        <w:t>in the future</w:t>
      </w:r>
      <w:r w:rsidR="00DE7C0C">
        <w:t>,</w:t>
      </w:r>
      <w:r w:rsidR="00EF5680">
        <w:t xml:space="preserve"> to have been unbalanced and therefore not as effective as it could</w:t>
      </w:r>
      <w:r w:rsidR="00DE7C0C">
        <w:t xml:space="preserve"> have</w:t>
      </w:r>
      <w:r w:rsidR="00EF5680">
        <w:t xml:space="preserve"> been</w:t>
      </w:r>
      <w:r w:rsidR="00DE7C0C">
        <w:t>.</w:t>
      </w:r>
    </w:p>
    <w:p w14:paraId="44447E57" w14:textId="77777777" w:rsidR="007802DE" w:rsidRDefault="007802DE" w:rsidP="007802DE">
      <w:pPr>
        <w:spacing w:line="276" w:lineRule="auto"/>
        <w:ind w:left="-448" w:right="-448"/>
        <w:jc w:val="both"/>
        <w:rPr>
          <w:b/>
          <w:color w:val="002060"/>
        </w:rPr>
      </w:pPr>
      <w:r w:rsidRPr="007802DE">
        <w:rPr>
          <w:bCs/>
        </w:rPr>
        <w:t xml:space="preserve">Second, </w:t>
      </w:r>
      <w:r w:rsidR="00E71B9F" w:rsidRPr="007802DE">
        <w:rPr>
          <w:bCs/>
        </w:rPr>
        <w:t>ASIPJ is successful</w:t>
      </w:r>
      <w:r w:rsidR="00E71B9F" w:rsidRPr="007802DE">
        <w:t xml:space="preserve"> </w:t>
      </w:r>
      <w:r w:rsidR="00E71B9F">
        <w:t xml:space="preserve">at creating spaces for GEDSI outcomes and there is evidence of progress. </w:t>
      </w:r>
      <w:r w:rsidR="00CC050A">
        <w:t xml:space="preserve">To capitalise on momentum as well as the significant need in Solomon Islands, the Review </w:t>
      </w:r>
      <w:r w:rsidR="005A2954">
        <w:t>T</w:t>
      </w:r>
      <w:r w:rsidR="00CC050A">
        <w:t>eam recommends increased spending on GEDSI</w:t>
      </w:r>
      <w:r w:rsidR="00462146">
        <w:t xml:space="preserve"> as part of the proposed increased resourcing for ASIPJ, </w:t>
      </w:r>
      <w:r w:rsidR="00CC050A">
        <w:t>both through allocation of a greater proportion of program funding to GEDSI as well as an overall growth in budget. Substantial donor spending on GEDSI is justified on the basis that (</w:t>
      </w:r>
      <w:proofErr w:type="spellStart"/>
      <w:r w:rsidR="00CC050A">
        <w:t>i</w:t>
      </w:r>
      <w:proofErr w:type="spellEnd"/>
      <w:r w:rsidR="00CC050A">
        <w:t xml:space="preserve">) there is limited SIG funding for GEDSI outcomes, (ii) significant need, particularly </w:t>
      </w:r>
      <w:r w:rsidR="005A2954">
        <w:t xml:space="preserve">the </w:t>
      </w:r>
      <w:r w:rsidR="00CC050A">
        <w:t xml:space="preserve">high incidence of gender-based violence and limited justice services for survivors of violence as well as people with disability, (iii) ASIPJ is achieving traction on GEDSI, so it is opportune to continue. It is also recommended that ASIPJ, through DFAT, links more closely with DFAT’s Gender Equality investment.  </w:t>
      </w:r>
    </w:p>
    <w:p w14:paraId="3C424A9C" w14:textId="77777777" w:rsidR="00645F2D" w:rsidRDefault="007802DE" w:rsidP="00645F2D">
      <w:pPr>
        <w:spacing w:line="276" w:lineRule="auto"/>
        <w:ind w:left="-448" w:right="-448"/>
        <w:jc w:val="both"/>
      </w:pPr>
      <w:r>
        <w:rPr>
          <w:bCs/>
        </w:rPr>
        <w:t xml:space="preserve">Third, </w:t>
      </w:r>
      <w:r>
        <w:t>r</w:t>
      </w:r>
      <w:r w:rsidR="00962C3F">
        <w:t xml:space="preserve">equests for infrastructure and equipment need to be considered seriously. This was a key issue and priority raised in consultations with sector representatives. While ASIPJ’s current budget does not allow for infrastructure expenditure, a future phase of the program will require an infrastructure and equipment strategy as deterioration continues and increased policing places pressure on the justice system. Again, this is related to the expansion of the RSIPF which </w:t>
      </w:r>
      <w:r w:rsidR="00AD5F8C">
        <w:t>the MTR Team</w:t>
      </w:r>
      <w:r w:rsidR="00962C3F">
        <w:t xml:space="preserve"> understand</w:t>
      </w:r>
      <w:r w:rsidR="00AD5F8C">
        <w:t>s</w:t>
      </w:r>
      <w:r w:rsidR="00962C3F">
        <w:t xml:space="preserve"> will have a strong focus on new infrastructure</w:t>
      </w:r>
      <w:r w:rsidR="00AD5F8C">
        <w:t>.</w:t>
      </w:r>
      <w:r w:rsidR="00962C3F">
        <w:t xml:space="preserve"> </w:t>
      </w:r>
      <w:r w:rsidR="00AD5F8C">
        <w:t>W</w:t>
      </w:r>
      <w:r w:rsidR="00962C3F">
        <w:t>ithout related infrastructure improvements in other parts of the justice system, the return on the investment in RSIPF infrastructure will be constrained.</w:t>
      </w:r>
    </w:p>
    <w:p w14:paraId="50D170BB" w14:textId="4D8BCFDC" w:rsidR="00571AAB" w:rsidRDefault="00571AAB" w:rsidP="00645F2D">
      <w:pPr>
        <w:spacing w:line="276" w:lineRule="auto"/>
        <w:ind w:left="-448" w:right="-448"/>
        <w:jc w:val="both"/>
      </w:pPr>
      <w:r>
        <w:lastRenderedPageBreak/>
        <w:t xml:space="preserve">Fourth, if the program is seriously committed to really improving provincial access to justice, significant budget </w:t>
      </w:r>
      <w:r w:rsidR="00E01D62">
        <w:t xml:space="preserve">increase </w:t>
      </w:r>
      <w:r>
        <w:t>will be required for real change.</w:t>
      </w:r>
    </w:p>
    <w:p w14:paraId="1D1BBA51" w14:textId="58561907" w:rsidR="000A61F3" w:rsidRDefault="000A61F3" w:rsidP="00645F2D">
      <w:pPr>
        <w:spacing w:line="276" w:lineRule="auto"/>
        <w:ind w:left="-448" w:right="-448"/>
        <w:jc w:val="both"/>
      </w:pPr>
      <w:r>
        <w:t>In the event of a significant budget increase</w:t>
      </w:r>
      <w:r w:rsidR="00571AAB">
        <w:t>, further program design</w:t>
      </w:r>
      <w:r w:rsidR="001F1AA7">
        <w:t xml:space="preserve"> work</w:t>
      </w:r>
      <w:r w:rsidR="00571AAB">
        <w:t xml:space="preserve"> may be required</w:t>
      </w:r>
      <w:r w:rsidR="00916BE5">
        <w:t>.</w:t>
      </w:r>
    </w:p>
    <w:p w14:paraId="58CED005" w14:textId="167A71E4" w:rsidR="003409D1" w:rsidRDefault="00645F2D" w:rsidP="00D5236C">
      <w:pPr>
        <w:spacing w:line="276" w:lineRule="auto"/>
        <w:ind w:left="-448" w:right="-448"/>
        <w:jc w:val="both"/>
      </w:pPr>
      <w:r>
        <w:t xml:space="preserve">Note, however, that an increase in ASIPJ budget would need to be considered in the context of SIG priorities and may have implications for other Australian aid programs in Solomon Islands. </w:t>
      </w:r>
    </w:p>
    <w:p w14:paraId="7A5BCC52" w14:textId="77777777" w:rsidR="0084655F" w:rsidRDefault="0084655F" w:rsidP="0084655F">
      <w:pPr>
        <w:spacing w:line="276" w:lineRule="auto"/>
        <w:ind w:left="-448" w:right="-448"/>
        <w:jc w:val="both"/>
        <w:rPr>
          <w:b/>
          <w:color w:val="002060"/>
        </w:rPr>
      </w:pPr>
      <w:r>
        <w:rPr>
          <w:b/>
          <w:color w:val="002060"/>
        </w:rPr>
        <w:t>Recommendations:</w:t>
      </w:r>
    </w:p>
    <w:p w14:paraId="2EBA5608" w14:textId="444FC1DC" w:rsidR="0084655F" w:rsidRDefault="0084655F" w:rsidP="0084655F">
      <w:pPr>
        <w:spacing w:line="276" w:lineRule="auto"/>
        <w:ind w:left="-448" w:right="-448"/>
        <w:jc w:val="both"/>
      </w:pPr>
      <w:r>
        <w:rPr>
          <w:b/>
          <w:u w:val="single"/>
        </w:rPr>
        <w:t xml:space="preserve">Recommendation </w:t>
      </w:r>
      <w:r w:rsidR="00872EC6">
        <w:rPr>
          <w:b/>
          <w:u w:val="single"/>
        </w:rPr>
        <w:t>15</w:t>
      </w:r>
      <w:r>
        <w:rPr>
          <w:b/>
        </w:rPr>
        <w:t xml:space="preserve">. </w:t>
      </w:r>
      <w:r w:rsidR="00B51821">
        <w:rPr>
          <w:b/>
        </w:rPr>
        <w:t>Increase ASIPJ’s budget</w:t>
      </w:r>
      <w:r>
        <w:rPr>
          <w:b/>
        </w:rPr>
        <w:t>:</w:t>
      </w:r>
      <w:r>
        <w:t xml:space="preserve"> </w:t>
      </w:r>
      <w:r w:rsidR="00B51821">
        <w:t>In response to the above-listed factors, increase ASIPJ budget</w:t>
      </w:r>
      <w:r>
        <w:t>.</w:t>
      </w:r>
    </w:p>
    <w:p w14:paraId="67D53B96" w14:textId="28026592" w:rsidR="0084655F" w:rsidRPr="007802DE" w:rsidRDefault="0084655F" w:rsidP="0084655F">
      <w:pPr>
        <w:spacing w:line="276" w:lineRule="auto"/>
        <w:ind w:left="-448" w:right="-448"/>
        <w:jc w:val="both"/>
        <w:rPr>
          <w:b/>
          <w:color w:val="002060"/>
        </w:rPr>
      </w:pPr>
      <w:r>
        <w:rPr>
          <w:b/>
          <w:u w:val="single"/>
        </w:rPr>
        <w:t xml:space="preserve">Recommendation </w:t>
      </w:r>
      <w:r w:rsidR="00872EC6">
        <w:rPr>
          <w:b/>
          <w:u w:val="single"/>
        </w:rPr>
        <w:t>16</w:t>
      </w:r>
      <w:r>
        <w:rPr>
          <w:b/>
        </w:rPr>
        <w:t xml:space="preserve">. </w:t>
      </w:r>
      <w:r w:rsidR="00B51821">
        <w:rPr>
          <w:b/>
        </w:rPr>
        <w:t>Develop an infrastructure and equipment strategy for ASIPJ</w:t>
      </w:r>
      <w:r>
        <w:rPr>
          <w:b/>
        </w:rPr>
        <w:t>:</w:t>
      </w:r>
      <w:r>
        <w:t xml:space="preserve"> </w:t>
      </w:r>
      <w:r w:rsidR="00B51821">
        <w:t>A future phase of the program will require an infrastructure and equipment strategy as deterioration continues and increased policing places pressure on the justice system.</w:t>
      </w:r>
    </w:p>
    <w:p w14:paraId="6D6F5FD1" w14:textId="26094259" w:rsidR="00665FE3" w:rsidRDefault="00665FE3" w:rsidP="00DE7911">
      <w:pPr>
        <w:pStyle w:val="Heading2"/>
        <w:spacing w:after="240" w:line="276" w:lineRule="auto"/>
        <w:ind w:hanging="446"/>
        <w:jc w:val="both"/>
        <w:rPr>
          <w:rFonts w:asciiTheme="minorHAnsi" w:hAnsiTheme="minorHAnsi"/>
          <w:b/>
          <w:bCs/>
          <w:color w:val="002060"/>
          <w:sz w:val="24"/>
          <w:szCs w:val="24"/>
        </w:rPr>
      </w:pPr>
      <w:bookmarkStart w:id="29" w:name="_Toc197077524"/>
      <w:r>
        <w:rPr>
          <w:rFonts w:asciiTheme="minorHAnsi" w:hAnsiTheme="minorHAnsi"/>
          <w:b/>
          <w:bCs/>
          <w:color w:val="002060"/>
          <w:sz w:val="24"/>
          <w:szCs w:val="24"/>
        </w:rPr>
        <w:t>First Nations Participation and Engagement</w:t>
      </w:r>
      <w:bookmarkEnd w:id="29"/>
    </w:p>
    <w:p w14:paraId="76BCA454" w14:textId="77777777" w:rsidR="00665FE3" w:rsidRDefault="00665FE3" w:rsidP="00DE7911">
      <w:pPr>
        <w:spacing w:line="276" w:lineRule="auto"/>
        <w:ind w:left="-448" w:right="-448"/>
        <w:jc w:val="both"/>
        <w:rPr>
          <w:b/>
          <w:color w:val="002060"/>
        </w:rPr>
      </w:pPr>
      <w:r>
        <w:rPr>
          <w:b/>
          <w:color w:val="002060"/>
        </w:rPr>
        <w:t>Findings:</w:t>
      </w:r>
    </w:p>
    <w:p w14:paraId="003084C6" w14:textId="062B687F" w:rsidR="00665FE3" w:rsidRDefault="00B34BAC" w:rsidP="00DE7911">
      <w:pPr>
        <w:spacing w:line="276" w:lineRule="auto"/>
        <w:ind w:left="-448" w:right="-448"/>
        <w:jc w:val="both"/>
        <w:rPr>
          <w:b/>
          <w:color w:val="002060"/>
        </w:rPr>
      </w:pPr>
      <w:r>
        <w:t>The inclusion of a First Nations component in ASIPJ is a positive initiative that has the potential to create enduring relationships and bring two-way learnings for the benefit of both the Solomon Islands</w:t>
      </w:r>
      <w:r w:rsidR="00321D20">
        <w:t>,</w:t>
      </w:r>
      <w:r>
        <w:t xml:space="preserve"> and First Nations communities in Australia. The expected focus over the remainder of 2025 on reintegration of prisoners back into the community has great potential and feedback from this can help inform planning for the next phase of ASIPJ. </w:t>
      </w:r>
    </w:p>
    <w:p w14:paraId="3D941681" w14:textId="190A1917" w:rsidR="00C34142" w:rsidRDefault="00B34BAC" w:rsidP="00C34142">
      <w:pPr>
        <w:spacing w:line="276" w:lineRule="auto"/>
        <w:ind w:left="-448" w:right="-448"/>
        <w:jc w:val="both"/>
      </w:pPr>
      <w:r>
        <w:t xml:space="preserve">An area of potential enhanced engagement is with community legal centres </w:t>
      </w:r>
      <w:r w:rsidR="00C34142">
        <w:t xml:space="preserve">(CLCs) </w:t>
      </w:r>
      <w:r>
        <w:t>in Australia to support the interest in Solomon Islands for their own network of community legal centres. Some initial connections have been made with the Inala Community Legal Service in Queensland and could be further developed in the next phase of ASIPJ.</w:t>
      </w:r>
      <w:r w:rsidR="00C34142">
        <w:t xml:space="preserve"> Ninti One has also identified two</w:t>
      </w:r>
      <w:r w:rsidR="008F4A51">
        <w:t xml:space="preserve"> </w:t>
      </w:r>
      <w:r w:rsidR="00C34142">
        <w:t xml:space="preserve">First Nations gender-based violence specialist CLCs, Queensland Indigenous Family Violence Legal Service (QIFVLS) and </w:t>
      </w:r>
      <w:proofErr w:type="spellStart"/>
      <w:r w:rsidR="00C34142">
        <w:t>Djirra</w:t>
      </w:r>
      <w:proofErr w:type="spellEnd"/>
      <w:r w:rsidR="00C34142">
        <w:t xml:space="preserve">, which may also offer valuable expertise </w:t>
      </w:r>
      <w:r w:rsidR="00065658">
        <w:t xml:space="preserve">and instruction </w:t>
      </w:r>
      <w:r w:rsidR="00C34142">
        <w:t>around providing culturally safe, accessible</w:t>
      </w:r>
      <w:r w:rsidR="00321D20">
        <w:t>,</w:t>
      </w:r>
      <w:r w:rsidR="00C34142">
        <w:t xml:space="preserve"> and respectful legal support to survivors of gender-based violence. </w:t>
      </w:r>
      <w:r w:rsidR="00065658">
        <w:t>Where ASIPJ engages with CLCs in Australia, care must be taken around</w:t>
      </w:r>
      <w:r w:rsidR="00321D20">
        <w:t>,</w:t>
      </w:r>
      <w:r w:rsidR="00065658">
        <w:t xml:space="preserve"> and consideration given to cultural load and not overburdening or overloading, without compensation, already under-resourced CLCs.</w:t>
      </w:r>
    </w:p>
    <w:p w14:paraId="23861AC3" w14:textId="77777777" w:rsidR="00665FE3" w:rsidRDefault="00665FE3" w:rsidP="00DE7911">
      <w:pPr>
        <w:spacing w:line="276" w:lineRule="auto"/>
        <w:ind w:left="-448" w:right="-448"/>
        <w:jc w:val="both"/>
        <w:rPr>
          <w:b/>
          <w:color w:val="002060"/>
        </w:rPr>
      </w:pPr>
      <w:r>
        <w:rPr>
          <w:b/>
          <w:color w:val="002060"/>
        </w:rPr>
        <w:t>Recommendation:</w:t>
      </w:r>
      <w:bookmarkEnd w:id="24"/>
    </w:p>
    <w:p w14:paraId="39E678FE" w14:textId="20873F1A" w:rsidR="00DB5DE7" w:rsidRDefault="00A854F4" w:rsidP="00A854F4">
      <w:pPr>
        <w:spacing w:line="276" w:lineRule="auto"/>
        <w:ind w:left="-448" w:right="-448"/>
        <w:jc w:val="both"/>
      </w:pPr>
      <w:r>
        <w:rPr>
          <w:b/>
          <w:u w:val="single"/>
        </w:rPr>
        <w:t xml:space="preserve">Recommendation </w:t>
      </w:r>
      <w:r w:rsidR="00872EC6">
        <w:rPr>
          <w:b/>
          <w:u w:val="single"/>
        </w:rPr>
        <w:t>17</w:t>
      </w:r>
      <w:r>
        <w:rPr>
          <w:b/>
        </w:rPr>
        <w:t xml:space="preserve">. Increase links </w:t>
      </w:r>
      <w:r w:rsidR="0051061E">
        <w:rPr>
          <w:b/>
        </w:rPr>
        <w:t>with community legal centres</w:t>
      </w:r>
      <w:r>
        <w:rPr>
          <w:b/>
        </w:rPr>
        <w:t xml:space="preserve"> in Australia:</w:t>
      </w:r>
      <w:r>
        <w:t xml:space="preserve"> </w:t>
      </w:r>
      <w:r w:rsidR="00652CFA">
        <w:t>Explore linking with</w:t>
      </w:r>
      <w:r w:rsidR="00485146">
        <w:t xml:space="preserve"> the peak body for </w:t>
      </w:r>
      <w:r w:rsidR="00C34142">
        <w:t>CLCs</w:t>
      </w:r>
      <w:r w:rsidR="00485146">
        <w:t xml:space="preserve"> in Australia,</w:t>
      </w:r>
      <w:r w:rsidR="00652CFA">
        <w:t xml:space="preserve"> Community Legal Centres Australia</w:t>
      </w:r>
      <w:r w:rsidR="00485146">
        <w:t xml:space="preserve">. Such a collaboration may offer an </w:t>
      </w:r>
      <w:r w:rsidR="00652CFA">
        <w:t>additional way</w:t>
      </w:r>
      <w:r w:rsidR="008F4A51">
        <w:t xml:space="preserve"> (beyond Ninti One)</w:t>
      </w:r>
      <w:r w:rsidR="00652CFA">
        <w:t xml:space="preserve"> to </w:t>
      </w:r>
      <w:r w:rsidR="00485146">
        <w:t>connect</w:t>
      </w:r>
      <w:r w:rsidR="005B5CDC">
        <w:t xml:space="preserve"> effectively</w:t>
      </w:r>
      <w:r w:rsidR="00485146">
        <w:t xml:space="preserve"> with</w:t>
      </w:r>
      <w:r w:rsidR="005B5CDC">
        <w:t xml:space="preserve"> the large network and range of community legal centres operating in Australia</w:t>
      </w:r>
      <w:r w:rsidR="00C34142">
        <w:t xml:space="preserve"> (approximately 160 community legal centres in Australia)</w:t>
      </w:r>
      <w:r w:rsidR="005B5CDC">
        <w:t xml:space="preserve">, and to expose relevant actors in Solomon Islands to different models of </w:t>
      </w:r>
      <w:r w:rsidR="008F4A51">
        <w:t xml:space="preserve">community </w:t>
      </w:r>
      <w:r w:rsidR="005B5CDC">
        <w:t xml:space="preserve">justice delivery and support for access to justice. </w:t>
      </w:r>
    </w:p>
    <w:p w14:paraId="7349BFCA" w14:textId="77777777" w:rsidR="00665FE3" w:rsidRDefault="00665FE3" w:rsidP="00DE7911">
      <w:pPr>
        <w:spacing w:line="276" w:lineRule="auto"/>
        <w:ind w:left="-448" w:right="-448"/>
        <w:jc w:val="both"/>
        <w:rPr>
          <w:b/>
          <w:color w:val="002060"/>
        </w:rPr>
      </w:pPr>
      <w:r>
        <w:rPr>
          <w:b/>
          <w:bCs/>
          <w:color w:val="002060"/>
          <w:sz w:val="24"/>
          <w:szCs w:val="24"/>
        </w:rPr>
        <w:t>Conclusion</w:t>
      </w:r>
    </w:p>
    <w:p w14:paraId="55C010F0" w14:textId="0CABA329" w:rsidR="00C84A07" w:rsidRDefault="00C84A07" w:rsidP="00D5236C">
      <w:pPr>
        <w:spacing w:line="276" w:lineRule="auto"/>
        <w:ind w:left="-448" w:right="-448"/>
        <w:jc w:val="both"/>
      </w:pPr>
      <w:r>
        <w:t>The</w:t>
      </w:r>
      <w:r w:rsidRPr="00C84A07">
        <w:t xml:space="preserve"> positive nature of the findings of this independent </w:t>
      </w:r>
      <w:r>
        <w:t>MTR r</w:t>
      </w:r>
      <w:r w:rsidRPr="00C84A07">
        <w:t>eport reflects a program which is meeting its objectives, forming sustainable pathways for the future, and making a real time difference.</w:t>
      </w:r>
      <w:r w:rsidR="00D5236C">
        <w:rPr>
          <w:b/>
          <w:color w:val="002060"/>
        </w:rPr>
        <w:t xml:space="preserve"> </w:t>
      </w:r>
      <w:r w:rsidRPr="00C84A07">
        <w:t>In such a context, the recommendations in th</w:t>
      </w:r>
      <w:r>
        <w:t>is</w:t>
      </w:r>
      <w:r w:rsidRPr="00C84A07">
        <w:t xml:space="preserve"> report simply seek to ensure the achievements continue</w:t>
      </w:r>
      <w:r>
        <w:t xml:space="preserve"> and </w:t>
      </w:r>
      <w:r w:rsidRPr="00C84A07">
        <w:t>any practical constraints are addressed and eliminated</w:t>
      </w:r>
      <w:r>
        <w:t>.</w:t>
      </w:r>
      <w:r w:rsidR="00FD186C">
        <w:t xml:space="preserve"> </w:t>
      </w:r>
      <w:r>
        <w:t>Recommendations are also intended to support</w:t>
      </w:r>
      <w:r w:rsidRPr="00C84A07">
        <w:t xml:space="preserve"> </w:t>
      </w:r>
      <w:r w:rsidR="00321D20">
        <w:t xml:space="preserve">the </w:t>
      </w:r>
      <w:r>
        <w:t>continuous</w:t>
      </w:r>
      <w:r w:rsidRPr="00C84A07">
        <w:t xml:space="preserve"> check of activities against </w:t>
      </w:r>
      <w:r w:rsidR="00321D20">
        <w:t xml:space="preserve">each agencies </w:t>
      </w:r>
      <w:r w:rsidRPr="00C84A07">
        <w:t>core priorities</w:t>
      </w:r>
      <w:r>
        <w:t>,</w:t>
      </w:r>
      <w:r w:rsidRPr="00C84A07">
        <w:t xml:space="preserve"> ensuring</w:t>
      </w:r>
      <w:r w:rsidR="007C4920">
        <w:t xml:space="preserve"> </w:t>
      </w:r>
      <w:r w:rsidRPr="00C84A07">
        <w:t xml:space="preserve">balance and </w:t>
      </w:r>
      <w:r w:rsidR="00321D20">
        <w:t xml:space="preserve">a </w:t>
      </w:r>
      <w:r w:rsidRPr="00C84A07">
        <w:t>consistency of care and attention to those priorities across the whole sector, and reflected in better outcomes for the end users of the sector's activities and services. </w:t>
      </w:r>
    </w:p>
    <w:p w14:paraId="55971987" w14:textId="77777777" w:rsidR="008E4966" w:rsidRPr="00D5236C" w:rsidRDefault="008E4966" w:rsidP="00D5236C">
      <w:pPr>
        <w:spacing w:line="276" w:lineRule="auto"/>
        <w:ind w:left="-448" w:right="-448"/>
        <w:jc w:val="both"/>
        <w:rPr>
          <w:b/>
          <w:color w:val="002060"/>
        </w:rPr>
      </w:pPr>
    </w:p>
    <w:p w14:paraId="6CB80359" w14:textId="2F0D2311" w:rsidR="006E4B72" w:rsidRPr="006E4B72" w:rsidRDefault="00665FE3" w:rsidP="00DE7911">
      <w:pPr>
        <w:pStyle w:val="Heading1"/>
        <w:spacing w:before="0" w:line="276" w:lineRule="auto"/>
        <w:ind w:left="-446"/>
        <w:jc w:val="both"/>
        <w:rPr>
          <w:rFonts w:asciiTheme="minorHAnsi" w:hAnsiTheme="minorHAnsi"/>
          <w:b/>
          <w:color w:val="002060"/>
          <w:sz w:val="28"/>
          <w:szCs w:val="28"/>
        </w:rPr>
      </w:pPr>
      <w:bookmarkStart w:id="30" w:name="_Toc197077525"/>
      <w:r>
        <w:rPr>
          <w:rFonts w:asciiTheme="minorHAnsi" w:hAnsiTheme="minorHAnsi"/>
          <w:b/>
          <w:color w:val="002060"/>
          <w:sz w:val="28"/>
          <w:szCs w:val="28"/>
        </w:rPr>
        <w:t>ANNEX 1: TERMS OF REFERENCE</w:t>
      </w:r>
      <w:bookmarkEnd w:id="30"/>
    </w:p>
    <w:p w14:paraId="5C4BD06F" w14:textId="27C453A9" w:rsidR="006E4B72" w:rsidRPr="006E4B72" w:rsidRDefault="00C623B0" w:rsidP="00DE7911">
      <w:pPr>
        <w:spacing w:line="276" w:lineRule="auto"/>
        <w:ind w:left="-448" w:right="-448"/>
        <w:jc w:val="both"/>
      </w:pPr>
      <w:r>
        <w:t xml:space="preserve">Available </w:t>
      </w:r>
      <w:r w:rsidR="006E4B72">
        <w:t xml:space="preserve">as a separate attachment. </w:t>
      </w:r>
    </w:p>
    <w:p w14:paraId="20569CC8" w14:textId="639A7CA2" w:rsidR="00665FE3" w:rsidRDefault="00665FE3" w:rsidP="00DE7911">
      <w:pPr>
        <w:pStyle w:val="Heading1"/>
        <w:spacing w:before="0" w:line="276" w:lineRule="auto"/>
        <w:ind w:left="-446"/>
        <w:jc w:val="both"/>
        <w:rPr>
          <w:rFonts w:asciiTheme="minorHAnsi" w:hAnsiTheme="minorHAnsi"/>
          <w:b/>
          <w:color w:val="002060"/>
          <w:sz w:val="28"/>
          <w:szCs w:val="28"/>
        </w:rPr>
      </w:pPr>
      <w:bookmarkStart w:id="31" w:name="_Toc197077526"/>
      <w:r>
        <w:rPr>
          <w:rFonts w:asciiTheme="minorHAnsi" w:hAnsiTheme="minorHAnsi"/>
          <w:b/>
          <w:color w:val="002060"/>
          <w:sz w:val="28"/>
          <w:szCs w:val="28"/>
        </w:rPr>
        <w:t>ANNEX 2: MTR PLAN</w:t>
      </w:r>
      <w:bookmarkEnd w:id="31"/>
    </w:p>
    <w:p w14:paraId="2ED0AA2E" w14:textId="58A22B61" w:rsidR="006E4B72" w:rsidRPr="006E4B72" w:rsidRDefault="00E20079" w:rsidP="00DE7911">
      <w:pPr>
        <w:spacing w:line="276" w:lineRule="auto"/>
        <w:ind w:left="-448" w:right="-448"/>
        <w:jc w:val="both"/>
      </w:pPr>
      <w:r>
        <w:t>Available</w:t>
      </w:r>
      <w:r w:rsidR="006E4B72">
        <w:t xml:space="preserve"> as a separate attachment. </w:t>
      </w:r>
    </w:p>
    <w:p w14:paraId="630F1163" w14:textId="18CD7D92" w:rsidR="00665FE3" w:rsidRDefault="00665FE3" w:rsidP="00DE7911">
      <w:pPr>
        <w:pStyle w:val="Heading1"/>
        <w:spacing w:before="0" w:line="276" w:lineRule="auto"/>
        <w:ind w:left="-446"/>
        <w:jc w:val="both"/>
        <w:rPr>
          <w:rFonts w:asciiTheme="minorHAnsi" w:hAnsiTheme="minorHAnsi"/>
          <w:b/>
          <w:color w:val="002060"/>
          <w:sz w:val="28"/>
          <w:szCs w:val="28"/>
        </w:rPr>
      </w:pPr>
      <w:bookmarkStart w:id="32" w:name="_Toc197077527"/>
      <w:r>
        <w:rPr>
          <w:rFonts w:asciiTheme="minorHAnsi" w:hAnsiTheme="minorHAnsi"/>
          <w:b/>
          <w:color w:val="002060"/>
          <w:sz w:val="28"/>
          <w:szCs w:val="28"/>
        </w:rPr>
        <w:t>ANNEX 3: INTERVIEW GUIDE</w:t>
      </w:r>
      <w:bookmarkEnd w:id="32"/>
    </w:p>
    <w:p w14:paraId="083295F2" w14:textId="3B9FB03E" w:rsidR="00C01AB3" w:rsidRDefault="00C623B0" w:rsidP="00DE7911">
      <w:pPr>
        <w:spacing w:line="276" w:lineRule="auto"/>
        <w:ind w:left="-448" w:right="-448"/>
        <w:jc w:val="both"/>
      </w:pPr>
      <w:r>
        <w:t>Available</w:t>
      </w:r>
      <w:r w:rsidR="00C01AB3">
        <w:t xml:space="preserve"> as a separate attachment. </w:t>
      </w:r>
    </w:p>
    <w:p w14:paraId="0303D145" w14:textId="68D911DF" w:rsidR="005F0253" w:rsidRDefault="005F0253" w:rsidP="005F0253">
      <w:pPr>
        <w:pStyle w:val="Heading1"/>
        <w:spacing w:before="0" w:line="276" w:lineRule="auto"/>
        <w:ind w:left="-446"/>
        <w:jc w:val="both"/>
        <w:rPr>
          <w:rFonts w:asciiTheme="minorHAnsi" w:hAnsiTheme="minorHAnsi"/>
          <w:b/>
          <w:color w:val="002060"/>
          <w:sz w:val="28"/>
          <w:szCs w:val="28"/>
        </w:rPr>
      </w:pPr>
      <w:bookmarkStart w:id="33" w:name="_Toc197077528"/>
      <w:r>
        <w:rPr>
          <w:rFonts w:asciiTheme="minorHAnsi" w:hAnsiTheme="minorHAnsi"/>
          <w:b/>
          <w:color w:val="002060"/>
          <w:sz w:val="28"/>
          <w:szCs w:val="28"/>
        </w:rPr>
        <w:t xml:space="preserve">ANNEX </w:t>
      </w:r>
      <w:r w:rsidR="00C623B0">
        <w:rPr>
          <w:rFonts w:asciiTheme="minorHAnsi" w:hAnsiTheme="minorHAnsi"/>
          <w:b/>
          <w:color w:val="002060"/>
          <w:sz w:val="28"/>
          <w:szCs w:val="28"/>
        </w:rPr>
        <w:t>4</w:t>
      </w:r>
      <w:r>
        <w:rPr>
          <w:rFonts w:asciiTheme="minorHAnsi" w:hAnsiTheme="minorHAnsi"/>
          <w:b/>
          <w:color w:val="002060"/>
          <w:sz w:val="28"/>
          <w:szCs w:val="28"/>
        </w:rPr>
        <w:t>: LIST OF INDIVIDUALS AND ORGANISATIONS CONSULTED</w:t>
      </w:r>
      <w:bookmarkEnd w:id="33"/>
    </w:p>
    <w:p w14:paraId="447FFAD7" w14:textId="56A3C8B7" w:rsidR="005F0253" w:rsidRPr="006E4B72" w:rsidRDefault="00C623B0" w:rsidP="005F0253">
      <w:pPr>
        <w:spacing w:line="276" w:lineRule="auto"/>
        <w:ind w:left="-448" w:right="-448"/>
        <w:jc w:val="both"/>
      </w:pPr>
      <w:r>
        <w:t>Available</w:t>
      </w:r>
      <w:r w:rsidR="005F0253">
        <w:t xml:space="preserve"> as a separate attachment. </w:t>
      </w:r>
    </w:p>
    <w:p w14:paraId="04D1E326" w14:textId="77777777" w:rsidR="005F0253" w:rsidRPr="006E4B72" w:rsidRDefault="005F0253" w:rsidP="00DE7911">
      <w:pPr>
        <w:spacing w:line="276" w:lineRule="auto"/>
        <w:ind w:left="-448" w:right="-448"/>
        <w:jc w:val="both"/>
      </w:pPr>
    </w:p>
    <w:p w14:paraId="5B771168" w14:textId="52F314A9" w:rsidR="00C84A07" w:rsidRPr="00C6776B" w:rsidRDefault="00C84A07" w:rsidP="002E5E10">
      <w:pPr>
        <w:spacing w:before="240" w:line="276" w:lineRule="auto"/>
        <w:jc w:val="both"/>
      </w:pPr>
    </w:p>
    <w:sectPr w:rsidR="00C84A07" w:rsidRPr="00C677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BC92F" w14:textId="77777777" w:rsidR="00E50B5F" w:rsidRDefault="00E50B5F" w:rsidP="000A14B6">
      <w:pPr>
        <w:spacing w:after="0" w:line="240" w:lineRule="auto"/>
      </w:pPr>
      <w:r>
        <w:separator/>
      </w:r>
    </w:p>
  </w:endnote>
  <w:endnote w:type="continuationSeparator" w:id="0">
    <w:p w14:paraId="4FD486B3" w14:textId="77777777" w:rsidR="00E50B5F" w:rsidRDefault="00E50B5F" w:rsidP="000A14B6">
      <w:pPr>
        <w:spacing w:after="0" w:line="240" w:lineRule="auto"/>
      </w:pPr>
      <w:r>
        <w:continuationSeparator/>
      </w:r>
    </w:p>
  </w:endnote>
  <w:endnote w:type="continuationNotice" w:id="1">
    <w:p w14:paraId="6E5797E0" w14:textId="77777777" w:rsidR="00E50B5F" w:rsidRDefault="00E50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563774"/>
      <w:docPartObj>
        <w:docPartGallery w:val="Page Numbers (Bottom of Page)"/>
        <w:docPartUnique/>
      </w:docPartObj>
    </w:sdtPr>
    <w:sdtEndPr>
      <w:rPr>
        <w:noProof/>
      </w:rPr>
    </w:sdtEndPr>
    <w:sdtContent>
      <w:p w14:paraId="2ECDA024" w14:textId="77777777" w:rsidR="000A14B6" w:rsidRDefault="000A14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55B66" w14:textId="77777777" w:rsidR="000A14B6" w:rsidRDefault="000A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49CF" w14:textId="77777777" w:rsidR="00E50B5F" w:rsidRDefault="00E50B5F" w:rsidP="000A14B6">
      <w:pPr>
        <w:spacing w:after="0" w:line="240" w:lineRule="auto"/>
      </w:pPr>
      <w:r>
        <w:separator/>
      </w:r>
    </w:p>
  </w:footnote>
  <w:footnote w:type="continuationSeparator" w:id="0">
    <w:p w14:paraId="5EC28782" w14:textId="77777777" w:rsidR="00E50B5F" w:rsidRDefault="00E50B5F" w:rsidP="000A14B6">
      <w:pPr>
        <w:spacing w:after="0" w:line="240" w:lineRule="auto"/>
      </w:pPr>
      <w:r>
        <w:continuationSeparator/>
      </w:r>
    </w:p>
  </w:footnote>
  <w:footnote w:type="continuationNotice" w:id="1">
    <w:p w14:paraId="7F3AE4B3" w14:textId="77777777" w:rsidR="00E50B5F" w:rsidRDefault="00E50B5F">
      <w:pPr>
        <w:spacing w:after="0" w:line="240" w:lineRule="auto"/>
      </w:pPr>
    </w:p>
  </w:footnote>
  <w:footnote w:id="2">
    <w:p w14:paraId="0A8674D0" w14:textId="60C1D758" w:rsidR="00A32F84" w:rsidRDefault="00A32F84" w:rsidP="00E30042">
      <w:pPr>
        <w:pStyle w:val="FootnoteText"/>
        <w:jc w:val="both"/>
      </w:pPr>
      <w:r>
        <w:rPr>
          <w:rStyle w:val="FootnoteReference"/>
        </w:rPr>
        <w:footnoteRef/>
      </w:r>
      <w:r>
        <w:t xml:space="preserve"> Text is drawn from the 2024 ASIPJ Annual Program Performance Report. The ASIPJ Annual Program Performance Reports are detailed, quality reports providing in-depth reporting on program progress, including tracking of progress towards outcomes. This MTR report is not intended to replicate or reproduce information contained in those annual 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67C"/>
    <w:multiLevelType w:val="hybridMultilevel"/>
    <w:tmpl w:val="13DAE21C"/>
    <w:lvl w:ilvl="0" w:tplc="0C09000F">
      <w:start w:val="1"/>
      <w:numFmt w:val="decimal"/>
      <w:lvlText w:val="%1."/>
      <w:lvlJc w:val="left"/>
      <w:pPr>
        <w:ind w:left="272" w:hanging="360"/>
      </w:pPr>
    </w:lvl>
    <w:lvl w:ilvl="1" w:tplc="0C090019" w:tentative="1">
      <w:start w:val="1"/>
      <w:numFmt w:val="lowerLetter"/>
      <w:lvlText w:val="%2."/>
      <w:lvlJc w:val="left"/>
      <w:pPr>
        <w:ind w:left="992" w:hanging="360"/>
      </w:pPr>
    </w:lvl>
    <w:lvl w:ilvl="2" w:tplc="0C09001B" w:tentative="1">
      <w:start w:val="1"/>
      <w:numFmt w:val="lowerRoman"/>
      <w:lvlText w:val="%3."/>
      <w:lvlJc w:val="right"/>
      <w:pPr>
        <w:ind w:left="1712" w:hanging="180"/>
      </w:pPr>
    </w:lvl>
    <w:lvl w:ilvl="3" w:tplc="0C09000F" w:tentative="1">
      <w:start w:val="1"/>
      <w:numFmt w:val="decimal"/>
      <w:lvlText w:val="%4."/>
      <w:lvlJc w:val="left"/>
      <w:pPr>
        <w:ind w:left="2432" w:hanging="360"/>
      </w:pPr>
    </w:lvl>
    <w:lvl w:ilvl="4" w:tplc="0C090019" w:tentative="1">
      <w:start w:val="1"/>
      <w:numFmt w:val="lowerLetter"/>
      <w:lvlText w:val="%5."/>
      <w:lvlJc w:val="left"/>
      <w:pPr>
        <w:ind w:left="3152" w:hanging="360"/>
      </w:pPr>
    </w:lvl>
    <w:lvl w:ilvl="5" w:tplc="0C09001B" w:tentative="1">
      <w:start w:val="1"/>
      <w:numFmt w:val="lowerRoman"/>
      <w:lvlText w:val="%6."/>
      <w:lvlJc w:val="right"/>
      <w:pPr>
        <w:ind w:left="3872" w:hanging="180"/>
      </w:pPr>
    </w:lvl>
    <w:lvl w:ilvl="6" w:tplc="0C09000F" w:tentative="1">
      <w:start w:val="1"/>
      <w:numFmt w:val="decimal"/>
      <w:lvlText w:val="%7."/>
      <w:lvlJc w:val="left"/>
      <w:pPr>
        <w:ind w:left="4592" w:hanging="360"/>
      </w:pPr>
    </w:lvl>
    <w:lvl w:ilvl="7" w:tplc="0C090019" w:tentative="1">
      <w:start w:val="1"/>
      <w:numFmt w:val="lowerLetter"/>
      <w:lvlText w:val="%8."/>
      <w:lvlJc w:val="left"/>
      <w:pPr>
        <w:ind w:left="5312" w:hanging="360"/>
      </w:pPr>
    </w:lvl>
    <w:lvl w:ilvl="8" w:tplc="0C09001B" w:tentative="1">
      <w:start w:val="1"/>
      <w:numFmt w:val="lowerRoman"/>
      <w:lvlText w:val="%9."/>
      <w:lvlJc w:val="right"/>
      <w:pPr>
        <w:ind w:left="6032" w:hanging="180"/>
      </w:pPr>
    </w:lvl>
  </w:abstractNum>
  <w:abstractNum w:abstractNumId="1" w15:restartNumberingAfterBreak="0">
    <w:nsid w:val="10F65222"/>
    <w:multiLevelType w:val="hybridMultilevel"/>
    <w:tmpl w:val="7A467696"/>
    <w:lvl w:ilvl="0" w:tplc="801887A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4159B9"/>
    <w:multiLevelType w:val="multilevel"/>
    <w:tmpl w:val="B1D4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03FA0"/>
    <w:multiLevelType w:val="hybridMultilevel"/>
    <w:tmpl w:val="23CEE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14E37"/>
    <w:multiLevelType w:val="hybridMultilevel"/>
    <w:tmpl w:val="B9B88238"/>
    <w:lvl w:ilvl="0" w:tplc="0C090001">
      <w:start w:val="1"/>
      <w:numFmt w:val="bullet"/>
      <w:lvlText w:val=""/>
      <w:lvlJc w:val="left"/>
      <w:pPr>
        <w:ind w:left="274" w:hanging="360"/>
      </w:pPr>
      <w:rPr>
        <w:rFonts w:ascii="Symbol" w:hAnsi="Symbol" w:hint="default"/>
      </w:rPr>
    </w:lvl>
    <w:lvl w:ilvl="1" w:tplc="0C090003" w:tentative="1">
      <w:start w:val="1"/>
      <w:numFmt w:val="bullet"/>
      <w:lvlText w:val="o"/>
      <w:lvlJc w:val="left"/>
      <w:pPr>
        <w:ind w:left="994" w:hanging="360"/>
      </w:pPr>
      <w:rPr>
        <w:rFonts w:ascii="Courier New" w:hAnsi="Courier New" w:cs="Courier New" w:hint="default"/>
      </w:rPr>
    </w:lvl>
    <w:lvl w:ilvl="2" w:tplc="0C090005" w:tentative="1">
      <w:start w:val="1"/>
      <w:numFmt w:val="bullet"/>
      <w:lvlText w:val=""/>
      <w:lvlJc w:val="left"/>
      <w:pPr>
        <w:ind w:left="1714" w:hanging="360"/>
      </w:pPr>
      <w:rPr>
        <w:rFonts w:ascii="Wingdings" w:hAnsi="Wingdings" w:hint="default"/>
      </w:rPr>
    </w:lvl>
    <w:lvl w:ilvl="3" w:tplc="0C090001" w:tentative="1">
      <w:start w:val="1"/>
      <w:numFmt w:val="bullet"/>
      <w:lvlText w:val=""/>
      <w:lvlJc w:val="left"/>
      <w:pPr>
        <w:ind w:left="2434" w:hanging="360"/>
      </w:pPr>
      <w:rPr>
        <w:rFonts w:ascii="Symbol" w:hAnsi="Symbol" w:hint="default"/>
      </w:rPr>
    </w:lvl>
    <w:lvl w:ilvl="4" w:tplc="0C090003" w:tentative="1">
      <w:start w:val="1"/>
      <w:numFmt w:val="bullet"/>
      <w:lvlText w:val="o"/>
      <w:lvlJc w:val="left"/>
      <w:pPr>
        <w:ind w:left="3154" w:hanging="360"/>
      </w:pPr>
      <w:rPr>
        <w:rFonts w:ascii="Courier New" w:hAnsi="Courier New" w:cs="Courier New" w:hint="default"/>
      </w:rPr>
    </w:lvl>
    <w:lvl w:ilvl="5" w:tplc="0C090005" w:tentative="1">
      <w:start w:val="1"/>
      <w:numFmt w:val="bullet"/>
      <w:lvlText w:val=""/>
      <w:lvlJc w:val="left"/>
      <w:pPr>
        <w:ind w:left="3874" w:hanging="360"/>
      </w:pPr>
      <w:rPr>
        <w:rFonts w:ascii="Wingdings" w:hAnsi="Wingdings" w:hint="default"/>
      </w:rPr>
    </w:lvl>
    <w:lvl w:ilvl="6" w:tplc="0C090001" w:tentative="1">
      <w:start w:val="1"/>
      <w:numFmt w:val="bullet"/>
      <w:lvlText w:val=""/>
      <w:lvlJc w:val="left"/>
      <w:pPr>
        <w:ind w:left="4594" w:hanging="360"/>
      </w:pPr>
      <w:rPr>
        <w:rFonts w:ascii="Symbol" w:hAnsi="Symbol" w:hint="default"/>
      </w:rPr>
    </w:lvl>
    <w:lvl w:ilvl="7" w:tplc="0C090003" w:tentative="1">
      <w:start w:val="1"/>
      <w:numFmt w:val="bullet"/>
      <w:lvlText w:val="o"/>
      <w:lvlJc w:val="left"/>
      <w:pPr>
        <w:ind w:left="5314" w:hanging="360"/>
      </w:pPr>
      <w:rPr>
        <w:rFonts w:ascii="Courier New" w:hAnsi="Courier New" w:cs="Courier New" w:hint="default"/>
      </w:rPr>
    </w:lvl>
    <w:lvl w:ilvl="8" w:tplc="0C090005" w:tentative="1">
      <w:start w:val="1"/>
      <w:numFmt w:val="bullet"/>
      <w:lvlText w:val=""/>
      <w:lvlJc w:val="left"/>
      <w:pPr>
        <w:ind w:left="6034" w:hanging="360"/>
      </w:pPr>
      <w:rPr>
        <w:rFonts w:ascii="Wingdings" w:hAnsi="Wingdings" w:hint="default"/>
      </w:rPr>
    </w:lvl>
  </w:abstractNum>
  <w:abstractNum w:abstractNumId="5" w15:restartNumberingAfterBreak="0">
    <w:nsid w:val="1C9C4791"/>
    <w:multiLevelType w:val="hybridMultilevel"/>
    <w:tmpl w:val="B642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95972"/>
    <w:multiLevelType w:val="hybridMultilevel"/>
    <w:tmpl w:val="F6641A2C"/>
    <w:lvl w:ilvl="0" w:tplc="A84620DC">
      <w:start w:val="1"/>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7" w15:restartNumberingAfterBreak="0">
    <w:nsid w:val="1FAE7E16"/>
    <w:multiLevelType w:val="hybridMultilevel"/>
    <w:tmpl w:val="E78C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F675B"/>
    <w:multiLevelType w:val="hybridMultilevel"/>
    <w:tmpl w:val="0F7ECC80"/>
    <w:lvl w:ilvl="0" w:tplc="02141AE4">
      <w:start w:val="1"/>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 w15:restartNumberingAfterBreak="0">
    <w:nsid w:val="285C155E"/>
    <w:multiLevelType w:val="hybridMultilevel"/>
    <w:tmpl w:val="0E70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80294"/>
    <w:multiLevelType w:val="hybridMultilevel"/>
    <w:tmpl w:val="E3D2B64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E2327F2"/>
    <w:multiLevelType w:val="hybridMultilevel"/>
    <w:tmpl w:val="65D6312C"/>
    <w:lvl w:ilvl="0" w:tplc="0C09000F">
      <w:start w:val="1"/>
      <w:numFmt w:val="decimal"/>
      <w:lvlText w:val="%1."/>
      <w:lvlJc w:val="left"/>
      <w:pPr>
        <w:ind w:left="272" w:hanging="360"/>
      </w:pPr>
    </w:lvl>
    <w:lvl w:ilvl="1" w:tplc="0C090019" w:tentative="1">
      <w:start w:val="1"/>
      <w:numFmt w:val="lowerLetter"/>
      <w:lvlText w:val="%2."/>
      <w:lvlJc w:val="left"/>
      <w:pPr>
        <w:ind w:left="992" w:hanging="360"/>
      </w:pPr>
    </w:lvl>
    <w:lvl w:ilvl="2" w:tplc="0C09001B" w:tentative="1">
      <w:start w:val="1"/>
      <w:numFmt w:val="lowerRoman"/>
      <w:lvlText w:val="%3."/>
      <w:lvlJc w:val="right"/>
      <w:pPr>
        <w:ind w:left="1712" w:hanging="180"/>
      </w:pPr>
    </w:lvl>
    <w:lvl w:ilvl="3" w:tplc="0C09000F" w:tentative="1">
      <w:start w:val="1"/>
      <w:numFmt w:val="decimal"/>
      <w:lvlText w:val="%4."/>
      <w:lvlJc w:val="left"/>
      <w:pPr>
        <w:ind w:left="2432" w:hanging="360"/>
      </w:pPr>
    </w:lvl>
    <w:lvl w:ilvl="4" w:tplc="0C090019" w:tentative="1">
      <w:start w:val="1"/>
      <w:numFmt w:val="lowerLetter"/>
      <w:lvlText w:val="%5."/>
      <w:lvlJc w:val="left"/>
      <w:pPr>
        <w:ind w:left="3152" w:hanging="360"/>
      </w:pPr>
    </w:lvl>
    <w:lvl w:ilvl="5" w:tplc="0C09001B" w:tentative="1">
      <w:start w:val="1"/>
      <w:numFmt w:val="lowerRoman"/>
      <w:lvlText w:val="%6."/>
      <w:lvlJc w:val="right"/>
      <w:pPr>
        <w:ind w:left="3872" w:hanging="180"/>
      </w:pPr>
    </w:lvl>
    <w:lvl w:ilvl="6" w:tplc="0C09000F" w:tentative="1">
      <w:start w:val="1"/>
      <w:numFmt w:val="decimal"/>
      <w:lvlText w:val="%7."/>
      <w:lvlJc w:val="left"/>
      <w:pPr>
        <w:ind w:left="4592" w:hanging="360"/>
      </w:pPr>
    </w:lvl>
    <w:lvl w:ilvl="7" w:tplc="0C090019" w:tentative="1">
      <w:start w:val="1"/>
      <w:numFmt w:val="lowerLetter"/>
      <w:lvlText w:val="%8."/>
      <w:lvlJc w:val="left"/>
      <w:pPr>
        <w:ind w:left="5312" w:hanging="360"/>
      </w:pPr>
    </w:lvl>
    <w:lvl w:ilvl="8" w:tplc="0C09001B" w:tentative="1">
      <w:start w:val="1"/>
      <w:numFmt w:val="lowerRoman"/>
      <w:lvlText w:val="%9."/>
      <w:lvlJc w:val="right"/>
      <w:pPr>
        <w:ind w:left="6032" w:hanging="180"/>
      </w:pPr>
    </w:lvl>
  </w:abstractNum>
  <w:abstractNum w:abstractNumId="12" w15:restartNumberingAfterBreak="0">
    <w:nsid w:val="311F301F"/>
    <w:multiLevelType w:val="hybridMultilevel"/>
    <w:tmpl w:val="A85E92C4"/>
    <w:lvl w:ilvl="0" w:tplc="D8C6C282">
      <w:start w:val="1"/>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375E5235"/>
    <w:multiLevelType w:val="multilevel"/>
    <w:tmpl w:val="140C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238D2"/>
    <w:multiLevelType w:val="hybridMultilevel"/>
    <w:tmpl w:val="C26062B4"/>
    <w:lvl w:ilvl="0" w:tplc="8E305A0A">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5" w15:restartNumberingAfterBreak="0">
    <w:nsid w:val="3AFE6AC8"/>
    <w:multiLevelType w:val="hybridMultilevel"/>
    <w:tmpl w:val="B4EC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CB00C4"/>
    <w:multiLevelType w:val="hybridMultilevel"/>
    <w:tmpl w:val="E37CC006"/>
    <w:lvl w:ilvl="0" w:tplc="83A4CA34">
      <w:start w:val="1"/>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7" w15:restartNumberingAfterBreak="0">
    <w:nsid w:val="44967EC8"/>
    <w:multiLevelType w:val="hybridMultilevel"/>
    <w:tmpl w:val="3E0A910C"/>
    <w:lvl w:ilvl="0" w:tplc="FACE575E">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8" w15:restartNumberingAfterBreak="0">
    <w:nsid w:val="4E3F1EF6"/>
    <w:multiLevelType w:val="hybridMultilevel"/>
    <w:tmpl w:val="5428097C"/>
    <w:lvl w:ilvl="0" w:tplc="EE2250C6">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9" w15:restartNumberingAfterBreak="0">
    <w:nsid w:val="4F972A92"/>
    <w:multiLevelType w:val="hybridMultilevel"/>
    <w:tmpl w:val="9ECC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685B1A"/>
    <w:multiLevelType w:val="hybridMultilevel"/>
    <w:tmpl w:val="6CE4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D30B2"/>
    <w:multiLevelType w:val="hybridMultilevel"/>
    <w:tmpl w:val="2C4E26BC"/>
    <w:lvl w:ilvl="0" w:tplc="A76E93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1078E"/>
    <w:multiLevelType w:val="hybridMultilevel"/>
    <w:tmpl w:val="F2983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743220"/>
    <w:multiLevelType w:val="hybridMultilevel"/>
    <w:tmpl w:val="78609272"/>
    <w:lvl w:ilvl="0" w:tplc="4DDEC8B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BD0515"/>
    <w:multiLevelType w:val="hybridMultilevel"/>
    <w:tmpl w:val="60E8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483B7F"/>
    <w:multiLevelType w:val="hybridMultilevel"/>
    <w:tmpl w:val="10E46C36"/>
    <w:lvl w:ilvl="0" w:tplc="E02A3BA8">
      <w:start w:val="1"/>
      <w:numFmt w:val="decimal"/>
      <w:lvlText w:val="%1."/>
      <w:lvlJc w:val="left"/>
      <w:pPr>
        <w:ind w:left="-88" w:hanging="360"/>
      </w:pPr>
      <w:rPr>
        <w:rFonts w:hint="default"/>
      </w:rPr>
    </w:lvl>
    <w:lvl w:ilvl="1" w:tplc="0C090019" w:tentative="1">
      <w:start w:val="1"/>
      <w:numFmt w:val="lowerLetter"/>
      <w:lvlText w:val="%2."/>
      <w:lvlJc w:val="left"/>
      <w:pPr>
        <w:ind w:left="632" w:hanging="360"/>
      </w:pPr>
    </w:lvl>
    <w:lvl w:ilvl="2" w:tplc="0C09001B" w:tentative="1">
      <w:start w:val="1"/>
      <w:numFmt w:val="lowerRoman"/>
      <w:lvlText w:val="%3."/>
      <w:lvlJc w:val="right"/>
      <w:pPr>
        <w:ind w:left="1352" w:hanging="180"/>
      </w:pPr>
    </w:lvl>
    <w:lvl w:ilvl="3" w:tplc="0C09000F" w:tentative="1">
      <w:start w:val="1"/>
      <w:numFmt w:val="decimal"/>
      <w:lvlText w:val="%4."/>
      <w:lvlJc w:val="left"/>
      <w:pPr>
        <w:ind w:left="2072" w:hanging="360"/>
      </w:pPr>
    </w:lvl>
    <w:lvl w:ilvl="4" w:tplc="0C090019" w:tentative="1">
      <w:start w:val="1"/>
      <w:numFmt w:val="lowerLetter"/>
      <w:lvlText w:val="%5."/>
      <w:lvlJc w:val="left"/>
      <w:pPr>
        <w:ind w:left="2792" w:hanging="360"/>
      </w:pPr>
    </w:lvl>
    <w:lvl w:ilvl="5" w:tplc="0C09001B" w:tentative="1">
      <w:start w:val="1"/>
      <w:numFmt w:val="lowerRoman"/>
      <w:lvlText w:val="%6."/>
      <w:lvlJc w:val="right"/>
      <w:pPr>
        <w:ind w:left="3512" w:hanging="180"/>
      </w:pPr>
    </w:lvl>
    <w:lvl w:ilvl="6" w:tplc="0C09000F" w:tentative="1">
      <w:start w:val="1"/>
      <w:numFmt w:val="decimal"/>
      <w:lvlText w:val="%7."/>
      <w:lvlJc w:val="left"/>
      <w:pPr>
        <w:ind w:left="4232" w:hanging="360"/>
      </w:pPr>
    </w:lvl>
    <w:lvl w:ilvl="7" w:tplc="0C090019" w:tentative="1">
      <w:start w:val="1"/>
      <w:numFmt w:val="lowerLetter"/>
      <w:lvlText w:val="%8."/>
      <w:lvlJc w:val="left"/>
      <w:pPr>
        <w:ind w:left="4952" w:hanging="360"/>
      </w:pPr>
    </w:lvl>
    <w:lvl w:ilvl="8" w:tplc="0C09001B" w:tentative="1">
      <w:start w:val="1"/>
      <w:numFmt w:val="lowerRoman"/>
      <w:lvlText w:val="%9."/>
      <w:lvlJc w:val="right"/>
      <w:pPr>
        <w:ind w:left="5672" w:hanging="180"/>
      </w:pPr>
    </w:lvl>
  </w:abstractNum>
  <w:abstractNum w:abstractNumId="26" w15:restartNumberingAfterBreak="0">
    <w:nsid w:val="70356F7D"/>
    <w:multiLevelType w:val="hybridMultilevel"/>
    <w:tmpl w:val="BF245198"/>
    <w:lvl w:ilvl="0" w:tplc="1412728C">
      <w:start w:val="5"/>
      <w:numFmt w:val="bullet"/>
      <w:lvlText w:val="-"/>
      <w:lvlJc w:val="left"/>
      <w:pPr>
        <w:ind w:left="1434" w:hanging="360"/>
      </w:pPr>
      <w:rPr>
        <w:rFonts w:ascii="Calibri" w:eastAsiaTheme="minorHAnsi" w:hAnsi="Calibri" w:cs="Calibri"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7" w15:restartNumberingAfterBreak="0">
    <w:nsid w:val="740A7E06"/>
    <w:multiLevelType w:val="hybridMultilevel"/>
    <w:tmpl w:val="F4227D72"/>
    <w:lvl w:ilvl="0" w:tplc="0C09000F">
      <w:start w:val="1"/>
      <w:numFmt w:val="decimal"/>
      <w:lvlText w:val="%1."/>
      <w:lvlJc w:val="left"/>
      <w:pPr>
        <w:ind w:left="274" w:hanging="360"/>
      </w:p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abstractNum w:abstractNumId="28" w15:restartNumberingAfterBreak="0">
    <w:nsid w:val="773342B7"/>
    <w:multiLevelType w:val="hybridMultilevel"/>
    <w:tmpl w:val="9F56464E"/>
    <w:lvl w:ilvl="0" w:tplc="AFB2E00C">
      <w:start w:val="1"/>
      <w:numFmt w:val="decimal"/>
      <w:lvlText w:val="%1."/>
      <w:lvlJc w:val="left"/>
      <w:pPr>
        <w:ind w:left="274" w:hanging="360"/>
      </w:pPr>
      <w:rPr>
        <w:rFonts w:asciiTheme="minorHAnsi" w:hAnsiTheme="minorHAnsi" w:cstheme="minorHAnsi" w:hint="default"/>
        <w:b w:val="0"/>
        <w:bCs w:val="0"/>
        <w:color w:val="auto"/>
      </w:rPr>
    </w:lvl>
    <w:lvl w:ilvl="1" w:tplc="0C090019" w:tentative="1">
      <w:start w:val="1"/>
      <w:numFmt w:val="lowerLetter"/>
      <w:lvlText w:val="%2."/>
      <w:lvlJc w:val="left"/>
      <w:pPr>
        <w:ind w:left="994" w:hanging="360"/>
      </w:pPr>
    </w:lvl>
    <w:lvl w:ilvl="2" w:tplc="0C09001B" w:tentative="1">
      <w:start w:val="1"/>
      <w:numFmt w:val="lowerRoman"/>
      <w:lvlText w:val="%3."/>
      <w:lvlJc w:val="right"/>
      <w:pPr>
        <w:ind w:left="1714" w:hanging="180"/>
      </w:pPr>
    </w:lvl>
    <w:lvl w:ilvl="3" w:tplc="0C09000F" w:tentative="1">
      <w:start w:val="1"/>
      <w:numFmt w:val="decimal"/>
      <w:lvlText w:val="%4."/>
      <w:lvlJc w:val="left"/>
      <w:pPr>
        <w:ind w:left="2434" w:hanging="360"/>
      </w:pPr>
    </w:lvl>
    <w:lvl w:ilvl="4" w:tplc="0C090019" w:tentative="1">
      <w:start w:val="1"/>
      <w:numFmt w:val="lowerLetter"/>
      <w:lvlText w:val="%5."/>
      <w:lvlJc w:val="left"/>
      <w:pPr>
        <w:ind w:left="3154" w:hanging="360"/>
      </w:pPr>
    </w:lvl>
    <w:lvl w:ilvl="5" w:tplc="0C09001B" w:tentative="1">
      <w:start w:val="1"/>
      <w:numFmt w:val="lowerRoman"/>
      <w:lvlText w:val="%6."/>
      <w:lvlJc w:val="right"/>
      <w:pPr>
        <w:ind w:left="3874" w:hanging="180"/>
      </w:pPr>
    </w:lvl>
    <w:lvl w:ilvl="6" w:tplc="0C09000F" w:tentative="1">
      <w:start w:val="1"/>
      <w:numFmt w:val="decimal"/>
      <w:lvlText w:val="%7."/>
      <w:lvlJc w:val="left"/>
      <w:pPr>
        <w:ind w:left="4594" w:hanging="360"/>
      </w:pPr>
    </w:lvl>
    <w:lvl w:ilvl="7" w:tplc="0C090019" w:tentative="1">
      <w:start w:val="1"/>
      <w:numFmt w:val="lowerLetter"/>
      <w:lvlText w:val="%8."/>
      <w:lvlJc w:val="left"/>
      <w:pPr>
        <w:ind w:left="5314" w:hanging="360"/>
      </w:pPr>
    </w:lvl>
    <w:lvl w:ilvl="8" w:tplc="0C09001B" w:tentative="1">
      <w:start w:val="1"/>
      <w:numFmt w:val="lowerRoman"/>
      <w:lvlText w:val="%9."/>
      <w:lvlJc w:val="right"/>
      <w:pPr>
        <w:ind w:left="6034" w:hanging="180"/>
      </w:pPr>
    </w:lvl>
  </w:abstractNum>
  <w:abstractNum w:abstractNumId="29" w15:restartNumberingAfterBreak="0">
    <w:nsid w:val="77F138C6"/>
    <w:multiLevelType w:val="hybridMultilevel"/>
    <w:tmpl w:val="542A2B2C"/>
    <w:lvl w:ilvl="0" w:tplc="AD3429A6">
      <w:start w:val="1"/>
      <w:numFmt w:val="bullet"/>
      <w:lvlText w:val="-"/>
      <w:lvlJc w:val="left"/>
      <w:pPr>
        <w:ind w:left="1074" w:hanging="360"/>
      </w:pPr>
      <w:rPr>
        <w:rFonts w:ascii="Calibri" w:eastAsiaTheme="minorHAnsi" w:hAnsi="Calibri" w:cs="Calibri"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0" w15:restartNumberingAfterBreak="0">
    <w:nsid w:val="783D111D"/>
    <w:multiLevelType w:val="multilevel"/>
    <w:tmpl w:val="5FD6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23CF2"/>
    <w:multiLevelType w:val="hybridMultilevel"/>
    <w:tmpl w:val="9EA0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5620754">
    <w:abstractNumId w:val="9"/>
  </w:num>
  <w:num w:numId="2" w16cid:durableId="998121207">
    <w:abstractNumId w:val="31"/>
  </w:num>
  <w:num w:numId="3" w16cid:durableId="1391687015">
    <w:abstractNumId w:val="7"/>
  </w:num>
  <w:num w:numId="4" w16cid:durableId="1871602550">
    <w:abstractNumId w:val="26"/>
  </w:num>
  <w:num w:numId="5" w16cid:durableId="827137086">
    <w:abstractNumId w:val="3"/>
  </w:num>
  <w:num w:numId="6" w16cid:durableId="1255356147">
    <w:abstractNumId w:val="20"/>
  </w:num>
  <w:num w:numId="7" w16cid:durableId="916673394">
    <w:abstractNumId w:val="18"/>
  </w:num>
  <w:num w:numId="8" w16cid:durableId="844976553">
    <w:abstractNumId w:val="17"/>
  </w:num>
  <w:num w:numId="9" w16cid:durableId="1994798915">
    <w:abstractNumId w:val="30"/>
  </w:num>
  <w:num w:numId="10" w16cid:durableId="1463887357">
    <w:abstractNumId w:val="13"/>
  </w:num>
  <w:num w:numId="11" w16cid:durableId="50807210">
    <w:abstractNumId w:val="2"/>
  </w:num>
  <w:num w:numId="12" w16cid:durableId="159008140">
    <w:abstractNumId w:val="14"/>
  </w:num>
  <w:num w:numId="13" w16cid:durableId="67651027">
    <w:abstractNumId w:val="12"/>
  </w:num>
  <w:num w:numId="14" w16cid:durableId="2085838753">
    <w:abstractNumId w:val="8"/>
  </w:num>
  <w:num w:numId="15" w16cid:durableId="1407997522">
    <w:abstractNumId w:val="29"/>
  </w:num>
  <w:num w:numId="16" w16cid:durableId="653144925">
    <w:abstractNumId w:val="16"/>
  </w:num>
  <w:num w:numId="17" w16cid:durableId="792597943">
    <w:abstractNumId w:val="19"/>
  </w:num>
  <w:num w:numId="18" w16cid:durableId="1701855702">
    <w:abstractNumId w:val="24"/>
  </w:num>
  <w:num w:numId="19" w16cid:durableId="1651908468">
    <w:abstractNumId w:val="6"/>
  </w:num>
  <w:num w:numId="20" w16cid:durableId="600651066">
    <w:abstractNumId w:val="1"/>
  </w:num>
  <w:num w:numId="21" w16cid:durableId="159740823">
    <w:abstractNumId w:val="23"/>
  </w:num>
  <w:num w:numId="22" w16cid:durableId="1542208716">
    <w:abstractNumId w:val="5"/>
  </w:num>
  <w:num w:numId="23" w16cid:durableId="522787763">
    <w:abstractNumId w:val="21"/>
  </w:num>
  <w:num w:numId="24" w16cid:durableId="1589537567">
    <w:abstractNumId w:val="4"/>
  </w:num>
  <w:num w:numId="25" w16cid:durableId="1747915572">
    <w:abstractNumId w:val="28"/>
  </w:num>
  <w:num w:numId="26" w16cid:durableId="346490887">
    <w:abstractNumId w:val="15"/>
  </w:num>
  <w:num w:numId="27" w16cid:durableId="556744553">
    <w:abstractNumId w:val="10"/>
  </w:num>
  <w:num w:numId="28" w16cid:durableId="1459912687">
    <w:abstractNumId w:val="22"/>
  </w:num>
  <w:num w:numId="29" w16cid:durableId="1326083859">
    <w:abstractNumId w:val="27"/>
  </w:num>
  <w:num w:numId="30" w16cid:durableId="1714571928">
    <w:abstractNumId w:val="25"/>
  </w:num>
  <w:num w:numId="31" w16cid:durableId="267197618">
    <w:abstractNumId w:val="0"/>
  </w:num>
  <w:num w:numId="32" w16cid:durableId="1545946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4A"/>
    <w:rsid w:val="00001D6C"/>
    <w:rsid w:val="000041CF"/>
    <w:rsid w:val="000050EC"/>
    <w:rsid w:val="00007799"/>
    <w:rsid w:val="00011A11"/>
    <w:rsid w:val="00012729"/>
    <w:rsid w:val="00016801"/>
    <w:rsid w:val="0001743F"/>
    <w:rsid w:val="000222D9"/>
    <w:rsid w:val="00030F4A"/>
    <w:rsid w:val="00032E6A"/>
    <w:rsid w:val="00034519"/>
    <w:rsid w:val="00034FD4"/>
    <w:rsid w:val="000417C8"/>
    <w:rsid w:val="00043301"/>
    <w:rsid w:val="00045EEF"/>
    <w:rsid w:val="00046DC6"/>
    <w:rsid w:val="000522C5"/>
    <w:rsid w:val="000524BC"/>
    <w:rsid w:val="000553C6"/>
    <w:rsid w:val="000560E4"/>
    <w:rsid w:val="0005672A"/>
    <w:rsid w:val="00060CAD"/>
    <w:rsid w:val="00062B42"/>
    <w:rsid w:val="0006455A"/>
    <w:rsid w:val="000653DB"/>
    <w:rsid w:val="00065658"/>
    <w:rsid w:val="00066983"/>
    <w:rsid w:val="0006770F"/>
    <w:rsid w:val="00067B3F"/>
    <w:rsid w:val="00070F1E"/>
    <w:rsid w:val="00076A07"/>
    <w:rsid w:val="00081AD9"/>
    <w:rsid w:val="00082A3C"/>
    <w:rsid w:val="00083364"/>
    <w:rsid w:val="000876EC"/>
    <w:rsid w:val="00087C7D"/>
    <w:rsid w:val="000A14B6"/>
    <w:rsid w:val="000A256C"/>
    <w:rsid w:val="000A3734"/>
    <w:rsid w:val="000A4FD6"/>
    <w:rsid w:val="000A61F3"/>
    <w:rsid w:val="000A6E36"/>
    <w:rsid w:val="000A71D1"/>
    <w:rsid w:val="000B05F0"/>
    <w:rsid w:val="000B1DF9"/>
    <w:rsid w:val="000B47BE"/>
    <w:rsid w:val="000B62A3"/>
    <w:rsid w:val="000B7EF9"/>
    <w:rsid w:val="000C23CE"/>
    <w:rsid w:val="000C25FF"/>
    <w:rsid w:val="000C2E47"/>
    <w:rsid w:val="000C58BA"/>
    <w:rsid w:val="000C67E8"/>
    <w:rsid w:val="000D3301"/>
    <w:rsid w:val="000D43C0"/>
    <w:rsid w:val="000E0072"/>
    <w:rsid w:val="000E0712"/>
    <w:rsid w:val="000E25D8"/>
    <w:rsid w:val="000E2ABD"/>
    <w:rsid w:val="000E36D5"/>
    <w:rsid w:val="000E5B87"/>
    <w:rsid w:val="000F0765"/>
    <w:rsid w:val="000F0F0E"/>
    <w:rsid w:val="000F149C"/>
    <w:rsid w:val="000F5372"/>
    <w:rsid w:val="00105630"/>
    <w:rsid w:val="00105ADB"/>
    <w:rsid w:val="00106DD4"/>
    <w:rsid w:val="0011013F"/>
    <w:rsid w:val="00110AC7"/>
    <w:rsid w:val="00110AE9"/>
    <w:rsid w:val="001118E0"/>
    <w:rsid w:val="00114E80"/>
    <w:rsid w:val="0011599D"/>
    <w:rsid w:val="00117C13"/>
    <w:rsid w:val="00120B0A"/>
    <w:rsid w:val="00121222"/>
    <w:rsid w:val="001226EF"/>
    <w:rsid w:val="00123CCE"/>
    <w:rsid w:val="00126335"/>
    <w:rsid w:val="001265BF"/>
    <w:rsid w:val="00130C51"/>
    <w:rsid w:val="00130FE8"/>
    <w:rsid w:val="0013114A"/>
    <w:rsid w:val="00140039"/>
    <w:rsid w:val="001405B8"/>
    <w:rsid w:val="001409D2"/>
    <w:rsid w:val="00145CB4"/>
    <w:rsid w:val="00146917"/>
    <w:rsid w:val="0014782F"/>
    <w:rsid w:val="001525AE"/>
    <w:rsid w:val="00153269"/>
    <w:rsid w:val="001557AD"/>
    <w:rsid w:val="00157CAD"/>
    <w:rsid w:val="00161443"/>
    <w:rsid w:val="00162547"/>
    <w:rsid w:val="001639BF"/>
    <w:rsid w:val="00174842"/>
    <w:rsid w:val="0017635B"/>
    <w:rsid w:val="00180B47"/>
    <w:rsid w:val="00183B0B"/>
    <w:rsid w:val="001918B1"/>
    <w:rsid w:val="00196BE9"/>
    <w:rsid w:val="001A0C6C"/>
    <w:rsid w:val="001A3E2C"/>
    <w:rsid w:val="001B395D"/>
    <w:rsid w:val="001B414B"/>
    <w:rsid w:val="001B5A23"/>
    <w:rsid w:val="001B7F35"/>
    <w:rsid w:val="001C094E"/>
    <w:rsid w:val="001C1F54"/>
    <w:rsid w:val="001C20E2"/>
    <w:rsid w:val="001C2DF8"/>
    <w:rsid w:val="001C3EAF"/>
    <w:rsid w:val="001D0004"/>
    <w:rsid w:val="001D2738"/>
    <w:rsid w:val="001D5D8F"/>
    <w:rsid w:val="001E0599"/>
    <w:rsid w:val="001E15E1"/>
    <w:rsid w:val="001E1BAD"/>
    <w:rsid w:val="001E1F44"/>
    <w:rsid w:val="001E263F"/>
    <w:rsid w:val="001E4824"/>
    <w:rsid w:val="001F1AA7"/>
    <w:rsid w:val="001F24D5"/>
    <w:rsid w:val="001F28BB"/>
    <w:rsid w:val="001F3047"/>
    <w:rsid w:val="001F40BC"/>
    <w:rsid w:val="002053FA"/>
    <w:rsid w:val="002101D2"/>
    <w:rsid w:val="002133F6"/>
    <w:rsid w:val="002159C4"/>
    <w:rsid w:val="00220455"/>
    <w:rsid w:val="00224E5E"/>
    <w:rsid w:val="002328E8"/>
    <w:rsid w:val="00234C13"/>
    <w:rsid w:val="00234F03"/>
    <w:rsid w:val="00235356"/>
    <w:rsid w:val="00237821"/>
    <w:rsid w:val="002404C0"/>
    <w:rsid w:val="00241645"/>
    <w:rsid w:val="00254855"/>
    <w:rsid w:val="00255C08"/>
    <w:rsid w:val="00265225"/>
    <w:rsid w:val="00265481"/>
    <w:rsid w:val="00277999"/>
    <w:rsid w:val="002828C7"/>
    <w:rsid w:val="002868D4"/>
    <w:rsid w:val="00291F53"/>
    <w:rsid w:val="00294813"/>
    <w:rsid w:val="00295204"/>
    <w:rsid w:val="00295787"/>
    <w:rsid w:val="002976C4"/>
    <w:rsid w:val="002A066A"/>
    <w:rsid w:val="002A2971"/>
    <w:rsid w:val="002A4B68"/>
    <w:rsid w:val="002A6F33"/>
    <w:rsid w:val="002B0D89"/>
    <w:rsid w:val="002B6BB4"/>
    <w:rsid w:val="002B7C37"/>
    <w:rsid w:val="002C3D1A"/>
    <w:rsid w:val="002C3F62"/>
    <w:rsid w:val="002C68B6"/>
    <w:rsid w:val="002C6ACA"/>
    <w:rsid w:val="002C769B"/>
    <w:rsid w:val="002D58AB"/>
    <w:rsid w:val="002E17CE"/>
    <w:rsid w:val="002E45BB"/>
    <w:rsid w:val="002E4CBA"/>
    <w:rsid w:val="002E52DC"/>
    <w:rsid w:val="002E5E10"/>
    <w:rsid w:val="002E7075"/>
    <w:rsid w:val="002F2BCD"/>
    <w:rsid w:val="002F3425"/>
    <w:rsid w:val="002F3472"/>
    <w:rsid w:val="002F52F1"/>
    <w:rsid w:val="002F7854"/>
    <w:rsid w:val="00300CE3"/>
    <w:rsid w:val="003041B2"/>
    <w:rsid w:val="00305365"/>
    <w:rsid w:val="00305D5D"/>
    <w:rsid w:val="003062A0"/>
    <w:rsid w:val="003110CA"/>
    <w:rsid w:val="003136A8"/>
    <w:rsid w:val="0031418E"/>
    <w:rsid w:val="00314594"/>
    <w:rsid w:val="00315CA2"/>
    <w:rsid w:val="00321CEB"/>
    <w:rsid w:val="00321D20"/>
    <w:rsid w:val="00330C4C"/>
    <w:rsid w:val="0033181D"/>
    <w:rsid w:val="0033517F"/>
    <w:rsid w:val="00336AB1"/>
    <w:rsid w:val="00337150"/>
    <w:rsid w:val="00340727"/>
    <w:rsid w:val="003409D1"/>
    <w:rsid w:val="00341550"/>
    <w:rsid w:val="003417AA"/>
    <w:rsid w:val="00343999"/>
    <w:rsid w:val="003458F4"/>
    <w:rsid w:val="00346148"/>
    <w:rsid w:val="00347333"/>
    <w:rsid w:val="003478A6"/>
    <w:rsid w:val="0035084B"/>
    <w:rsid w:val="00351694"/>
    <w:rsid w:val="00351D5F"/>
    <w:rsid w:val="0035254F"/>
    <w:rsid w:val="003570C6"/>
    <w:rsid w:val="00357868"/>
    <w:rsid w:val="00362121"/>
    <w:rsid w:val="00375E75"/>
    <w:rsid w:val="00391BCC"/>
    <w:rsid w:val="0039320C"/>
    <w:rsid w:val="00394643"/>
    <w:rsid w:val="003946DA"/>
    <w:rsid w:val="003A1B09"/>
    <w:rsid w:val="003A3274"/>
    <w:rsid w:val="003A5230"/>
    <w:rsid w:val="003B0042"/>
    <w:rsid w:val="003B1596"/>
    <w:rsid w:val="003B43F8"/>
    <w:rsid w:val="003B4C72"/>
    <w:rsid w:val="003C3E72"/>
    <w:rsid w:val="003C4689"/>
    <w:rsid w:val="003C4D9B"/>
    <w:rsid w:val="003C530C"/>
    <w:rsid w:val="003C573D"/>
    <w:rsid w:val="003D55BA"/>
    <w:rsid w:val="003E08AD"/>
    <w:rsid w:val="003E165A"/>
    <w:rsid w:val="003F3762"/>
    <w:rsid w:val="003F61AE"/>
    <w:rsid w:val="00401AAE"/>
    <w:rsid w:val="00403155"/>
    <w:rsid w:val="00403D75"/>
    <w:rsid w:val="00404220"/>
    <w:rsid w:val="00404A3B"/>
    <w:rsid w:val="00412794"/>
    <w:rsid w:val="0041288A"/>
    <w:rsid w:val="00415814"/>
    <w:rsid w:val="00417A99"/>
    <w:rsid w:val="00421815"/>
    <w:rsid w:val="00422C2D"/>
    <w:rsid w:val="00424DD9"/>
    <w:rsid w:val="004255EC"/>
    <w:rsid w:val="00427107"/>
    <w:rsid w:val="00433312"/>
    <w:rsid w:val="004339CF"/>
    <w:rsid w:val="00434681"/>
    <w:rsid w:val="00435B4C"/>
    <w:rsid w:val="004423B1"/>
    <w:rsid w:val="00446ED2"/>
    <w:rsid w:val="00447490"/>
    <w:rsid w:val="00451F7B"/>
    <w:rsid w:val="00452EF5"/>
    <w:rsid w:val="0045505B"/>
    <w:rsid w:val="00455E13"/>
    <w:rsid w:val="0045725B"/>
    <w:rsid w:val="00457302"/>
    <w:rsid w:val="00462146"/>
    <w:rsid w:val="00462867"/>
    <w:rsid w:val="004634AA"/>
    <w:rsid w:val="0046540F"/>
    <w:rsid w:val="004662EF"/>
    <w:rsid w:val="004668F4"/>
    <w:rsid w:val="00466F73"/>
    <w:rsid w:val="00467A32"/>
    <w:rsid w:val="004811A2"/>
    <w:rsid w:val="00481786"/>
    <w:rsid w:val="00483BB6"/>
    <w:rsid w:val="00485146"/>
    <w:rsid w:val="004859F9"/>
    <w:rsid w:val="00490275"/>
    <w:rsid w:val="00490670"/>
    <w:rsid w:val="00490A62"/>
    <w:rsid w:val="0049256B"/>
    <w:rsid w:val="00495A90"/>
    <w:rsid w:val="004A0B44"/>
    <w:rsid w:val="004A54BE"/>
    <w:rsid w:val="004A6680"/>
    <w:rsid w:val="004A73C8"/>
    <w:rsid w:val="004A752C"/>
    <w:rsid w:val="004B04CF"/>
    <w:rsid w:val="004B0766"/>
    <w:rsid w:val="004B0D17"/>
    <w:rsid w:val="004B18E8"/>
    <w:rsid w:val="004B314F"/>
    <w:rsid w:val="004B7A83"/>
    <w:rsid w:val="004C24F9"/>
    <w:rsid w:val="004C2592"/>
    <w:rsid w:val="004C4ABA"/>
    <w:rsid w:val="004C5FDC"/>
    <w:rsid w:val="004C63E2"/>
    <w:rsid w:val="004D2D66"/>
    <w:rsid w:val="004D4BCF"/>
    <w:rsid w:val="004D5DC5"/>
    <w:rsid w:val="004D6B7B"/>
    <w:rsid w:val="004E07E6"/>
    <w:rsid w:val="004E4A45"/>
    <w:rsid w:val="004F155C"/>
    <w:rsid w:val="004F1F4F"/>
    <w:rsid w:val="004F41AE"/>
    <w:rsid w:val="004F4D00"/>
    <w:rsid w:val="00504E3F"/>
    <w:rsid w:val="0050681D"/>
    <w:rsid w:val="00506E59"/>
    <w:rsid w:val="0051061E"/>
    <w:rsid w:val="005111AE"/>
    <w:rsid w:val="00512175"/>
    <w:rsid w:val="00512591"/>
    <w:rsid w:val="0051309D"/>
    <w:rsid w:val="00513CCE"/>
    <w:rsid w:val="005141E5"/>
    <w:rsid w:val="00522887"/>
    <w:rsid w:val="00523500"/>
    <w:rsid w:val="00524E87"/>
    <w:rsid w:val="00525C3D"/>
    <w:rsid w:val="00526126"/>
    <w:rsid w:val="005270F2"/>
    <w:rsid w:val="005272B2"/>
    <w:rsid w:val="00535450"/>
    <w:rsid w:val="005368AA"/>
    <w:rsid w:val="0054006B"/>
    <w:rsid w:val="00543FD5"/>
    <w:rsid w:val="00547540"/>
    <w:rsid w:val="00554A73"/>
    <w:rsid w:val="00554C27"/>
    <w:rsid w:val="00554D0A"/>
    <w:rsid w:val="0056288A"/>
    <w:rsid w:val="00562D7C"/>
    <w:rsid w:val="00564909"/>
    <w:rsid w:val="005719E6"/>
    <w:rsid w:val="00571AAB"/>
    <w:rsid w:val="0057246D"/>
    <w:rsid w:val="0057282C"/>
    <w:rsid w:val="00580603"/>
    <w:rsid w:val="00582C9C"/>
    <w:rsid w:val="00591167"/>
    <w:rsid w:val="005912DC"/>
    <w:rsid w:val="00592B09"/>
    <w:rsid w:val="005937D2"/>
    <w:rsid w:val="005A0B17"/>
    <w:rsid w:val="005A2954"/>
    <w:rsid w:val="005A7C1A"/>
    <w:rsid w:val="005B19F1"/>
    <w:rsid w:val="005B4ACD"/>
    <w:rsid w:val="005B5CDC"/>
    <w:rsid w:val="005B7580"/>
    <w:rsid w:val="005B76A1"/>
    <w:rsid w:val="005C00E5"/>
    <w:rsid w:val="005C01CA"/>
    <w:rsid w:val="005C5B88"/>
    <w:rsid w:val="005C5C13"/>
    <w:rsid w:val="005C7E17"/>
    <w:rsid w:val="005D24DF"/>
    <w:rsid w:val="005D4B8C"/>
    <w:rsid w:val="005D5558"/>
    <w:rsid w:val="005D55A4"/>
    <w:rsid w:val="005D7EC4"/>
    <w:rsid w:val="005E091D"/>
    <w:rsid w:val="005E093F"/>
    <w:rsid w:val="005E204F"/>
    <w:rsid w:val="005E6B1C"/>
    <w:rsid w:val="005F0253"/>
    <w:rsid w:val="005F55C0"/>
    <w:rsid w:val="006004A4"/>
    <w:rsid w:val="00601709"/>
    <w:rsid w:val="00602923"/>
    <w:rsid w:val="00605174"/>
    <w:rsid w:val="00606EB6"/>
    <w:rsid w:val="006123FE"/>
    <w:rsid w:val="00617CE7"/>
    <w:rsid w:val="00633382"/>
    <w:rsid w:val="0063730F"/>
    <w:rsid w:val="0063777D"/>
    <w:rsid w:val="00637A95"/>
    <w:rsid w:val="006438BE"/>
    <w:rsid w:val="006449E1"/>
    <w:rsid w:val="00645F2D"/>
    <w:rsid w:val="00645F8F"/>
    <w:rsid w:val="00646894"/>
    <w:rsid w:val="006478BF"/>
    <w:rsid w:val="006514D0"/>
    <w:rsid w:val="00651BC8"/>
    <w:rsid w:val="00652337"/>
    <w:rsid w:val="00652BD0"/>
    <w:rsid w:val="00652CFA"/>
    <w:rsid w:val="00653571"/>
    <w:rsid w:val="00654733"/>
    <w:rsid w:val="00654E30"/>
    <w:rsid w:val="0065766C"/>
    <w:rsid w:val="00663D43"/>
    <w:rsid w:val="00665FE3"/>
    <w:rsid w:val="00671584"/>
    <w:rsid w:val="00676B4F"/>
    <w:rsid w:val="00677637"/>
    <w:rsid w:val="00685787"/>
    <w:rsid w:val="00685AA7"/>
    <w:rsid w:val="00685DFA"/>
    <w:rsid w:val="00694AA2"/>
    <w:rsid w:val="00695DC2"/>
    <w:rsid w:val="006A0CFF"/>
    <w:rsid w:val="006A35C3"/>
    <w:rsid w:val="006A737C"/>
    <w:rsid w:val="006A765A"/>
    <w:rsid w:val="006A78DC"/>
    <w:rsid w:val="006B0333"/>
    <w:rsid w:val="006B1AD8"/>
    <w:rsid w:val="006B56B2"/>
    <w:rsid w:val="006C09AC"/>
    <w:rsid w:val="006C3F4E"/>
    <w:rsid w:val="006C3F8E"/>
    <w:rsid w:val="006C48D1"/>
    <w:rsid w:val="006D01B3"/>
    <w:rsid w:val="006D0446"/>
    <w:rsid w:val="006D0F50"/>
    <w:rsid w:val="006D22E1"/>
    <w:rsid w:val="006D2DF4"/>
    <w:rsid w:val="006D3421"/>
    <w:rsid w:val="006D3EF8"/>
    <w:rsid w:val="006D42E1"/>
    <w:rsid w:val="006D4B34"/>
    <w:rsid w:val="006D6FDA"/>
    <w:rsid w:val="006E2A12"/>
    <w:rsid w:val="006E4B72"/>
    <w:rsid w:val="006E54ED"/>
    <w:rsid w:val="006E6ECC"/>
    <w:rsid w:val="006E7F5F"/>
    <w:rsid w:val="006F10FC"/>
    <w:rsid w:val="006F3C5F"/>
    <w:rsid w:val="006F4FDB"/>
    <w:rsid w:val="006F7793"/>
    <w:rsid w:val="00702AFE"/>
    <w:rsid w:val="00702E9E"/>
    <w:rsid w:val="00705417"/>
    <w:rsid w:val="007101CC"/>
    <w:rsid w:val="007114BA"/>
    <w:rsid w:val="00722E09"/>
    <w:rsid w:val="007239AE"/>
    <w:rsid w:val="007250EF"/>
    <w:rsid w:val="00725BF3"/>
    <w:rsid w:val="007336FD"/>
    <w:rsid w:val="00735DD1"/>
    <w:rsid w:val="00735EE1"/>
    <w:rsid w:val="007369FE"/>
    <w:rsid w:val="0074184E"/>
    <w:rsid w:val="007458DA"/>
    <w:rsid w:val="00746256"/>
    <w:rsid w:val="00746F64"/>
    <w:rsid w:val="00750B13"/>
    <w:rsid w:val="00750EA2"/>
    <w:rsid w:val="00755B02"/>
    <w:rsid w:val="00761F63"/>
    <w:rsid w:val="007655CD"/>
    <w:rsid w:val="00765675"/>
    <w:rsid w:val="00771CB3"/>
    <w:rsid w:val="00773407"/>
    <w:rsid w:val="00777499"/>
    <w:rsid w:val="00777AFD"/>
    <w:rsid w:val="00777EAF"/>
    <w:rsid w:val="007802DE"/>
    <w:rsid w:val="007805D9"/>
    <w:rsid w:val="007820C6"/>
    <w:rsid w:val="00782F39"/>
    <w:rsid w:val="00783C20"/>
    <w:rsid w:val="00783CA2"/>
    <w:rsid w:val="00784F9F"/>
    <w:rsid w:val="00785B2D"/>
    <w:rsid w:val="00787201"/>
    <w:rsid w:val="0079092F"/>
    <w:rsid w:val="007952C1"/>
    <w:rsid w:val="007962F9"/>
    <w:rsid w:val="00796F5F"/>
    <w:rsid w:val="00797BA4"/>
    <w:rsid w:val="007A0410"/>
    <w:rsid w:val="007A097B"/>
    <w:rsid w:val="007A4D93"/>
    <w:rsid w:val="007A7DA1"/>
    <w:rsid w:val="007B2F10"/>
    <w:rsid w:val="007B38CF"/>
    <w:rsid w:val="007B4B27"/>
    <w:rsid w:val="007B50C6"/>
    <w:rsid w:val="007B5B4E"/>
    <w:rsid w:val="007B62C7"/>
    <w:rsid w:val="007C1597"/>
    <w:rsid w:val="007C324B"/>
    <w:rsid w:val="007C4920"/>
    <w:rsid w:val="007C6BED"/>
    <w:rsid w:val="007D1891"/>
    <w:rsid w:val="007D2042"/>
    <w:rsid w:val="007D6094"/>
    <w:rsid w:val="007D64B0"/>
    <w:rsid w:val="007E0736"/>
    <w:rsid w:val="007E184F"/>
    <w:rsid w:val="007E2F05"/>
    <w:rsid w:val="007E4E07"/>
    <w:rsid w:val="007F28E0"/>
    <w:rsid w:val="007F49F5"/>
    <w:rsid w:val="007F4BF7"/>
    <w:rsid w:val="007F67FC"/>
    <w:rsid w:val="007F6AAC"/>
    <w:rsid w:val="007F7DAE"/>
    <w:rsid w:val="0080297A"/>
    <w:rsid w:val="00804BE4"/>
    <w:rsid w:val="00804FD7"/>
    <w:rsid w:val="00811579"/>
    <w:rsid w:val="00813DFC"/>
    <w:rsid w:val="008201E4"/>
    <w:rsid w:val="00820526"/>
    <w:rsid w:val="00820E67"/>
    <w:rsid w:val="00820F73"/>
    <w:rsid w:val="00820FFA"/>
    <w:rsid w:val="00824A3F"/>
    <w:rsid w:val="0082622F"/>
    <w:rsid w:val="0082778A"/>
    <w:rsid w:val="00827A90"/>
    <w:rsid w:val="00827DDE"/>
    <w:rsid w:val="00830619"/>
    <w:rsid w:val="008314E1"/>
    <w:rsid w:val="00834EB9"/>
    <w:rsid w:val="00837136"/>
    <w:rsid w:val="00842F56"/>
    <w:rsid w:val="00844F53"/>
    <w:rsid w:val="0084655F"/>
    <w:rsid w:val="0084724A"/>
    <w:rsid w:val="00852A6D"/>
    <w:rsid w:val="008548FF"/>
    <w:rsid w:val="00870A10"/>
    <w:rsid w:val="00871451"/>
    <w:rsid w:val="00872EC6"/>
    <w:rsid w:val="008738FE"/>
    <w:rsid w:val="008747CB"/>
    <w:rsid w:val="008829F1"/>
    <w:rsid w:val="008865EF"/>
    <w:rsid w:val="00887476"/>
    <w:rsid w:val="0089012F"/>
    <w:rsid w:val="008921CF"/>
    <w:rsid w:val="00892B04"/>
    <w:rsid w:val="00894752"/>
    <w:rsid w:val="008954B3"/>
    <w:rsid w:val="008959C4"/>
    <w:rsid w:val="008970D1"/>
    <w:rsid w:val="00897C1E"/>
    <w:rsid w:val="008A3113"/>
    <w:rsid w:val="008A3B36"/>
    <w:rsid w:val="008A3C3B"/>
    <w:rsid w:val="008A3EB8"/>
    <w:rsid w:val="008A7E1D"/>
    <w:rsid w:val="008B0E2A"/>
    <w:rsid w:val="008B6649"/>
    <w:rsid w:val="008B786D"/>
    <w:rsid w:val="008B79A9"/>
    <w:rsid w:val="008C0528"/>
    <w:rsid w:val="008C08DA"/>
    <w:rsid w:val="008C1898"/>
    <w:rsid w:val="008C37AE"/>
    <w:rsid w:val="008C3D47"/>
    <w:rsid w:val="008C40B8"/>
    <w:rsid w:val="008D3587"/>
    <w:rsid w:val="008D5720"/>
    <w:rsid w:val="008D5A44"/>
    <w:rsid w:val="008D5F98"/>
    <w:rsid w:val="008E4966"/>
    <w:rsid w:val="008E52DE"/>
    <w:rsid w:val="008F0780"/>
    <w:rsid w:val="008F2810"/>
    <w:rsid w:val="008F4A51"/>
    <w:rsid w:val="008F6EF3"/>
    <w:rsid w:val="009047EB"/>
    <w:rsid w:val="00904E66"/>
    <w:rsid w:val="00905AC3"/>
    <w:rsid w:val="00910B30"/>
    <w:rsid w:val="0091171C"/>
    <w:rsid w:val="00913580"/>
    <w:rsid w:val="00916BE5"/>
    <w:rsid w:val="009218E5"/>
    <w:rsid w:val="00923661"/>
    <w:rsid w:val="0092432A"/>
    <w:rsid w:val="00925787"/>
    <w:rsid w:val="00931238"/>
    <w:rsid w:val="00931A98"/>
    <w:rsid w:val="00932B87"/>
    <w:rsid w:val="00933007"/>
    <w:rsid w:val="00944A10"/>
    <w:rsid w:val="00951860"/>
    <w:rsid w:val="009549B3"/>
    <w:rsid w:val="00956DE1"/>
    <w:rsid w:val="00957F1D"/>
    <w:rsid w:val="00960983"/>
    <w:rsid w:val="009628A7"/>
    <w:rsid w:val="00962C3F"/>
    <w:rsid w:val="009657BC"/>
    <w:rsid w:val="0096635C"/>
    <w:rsid w:val="00974AAD"/>
    <w:rsid w:val="009770E9"/>
    <w:rsid w:val="00982048"/>
    <w:rsid w:val="00986ACC"/>
    <w:rsid w:val="00986F13"/>
    <w:rsid w:val="009903AE"/>
    <w:rsid w:val="00991734"/>
    <w:rsid w:val="009943A5"/>
    <w:rsid w:val="00994C7B"/>
    <w:rsid w:val="0099586B"/>
    <w:rsid w:val="009A1A94"/>
    <w:rsid w:val="009A267F"/>
    <w:rsid w:val="009A2A42"/>
    <w:rsid w:val="009A4E91"/>
    <w:rsid w:val="009A77FF"/>
    <w:rsid w:val="009A7E7C"/>
    <w:rsid w:val="009B0A09"/>
    <w:rsid w:val="009B1C9A"/>
    <w:rsid w:val="009B3BF9"/>
    <w:rsid w:val="009B4436"/>
    <w:rsid w:val="009B4FD3"/>
    <w:rsid w:val="009B7890"/>
    <w:rsid w:val="009C1064"/>
    <w:rsid w:val="009C1D72"/>
    <w:rsid w:val="009C6057"/>
    <w:rsid w:val="009C6D0D"/>
    <w:rsid w:val="009D542B"/>
    <w:rsid w:val="009D6487"/>
    <w:rsid w:val="009E7A48"/>
    <w:rsid w:val="009E7F46"/>
    <w:rsid w:val="009F0237"/>
    <w:rsid w:val="009F48FA"/>
    <w:rsid w:val="009F520E"/>
    <w:rsid w:val="009F5BA8"/>
    <w:rsid w:val="009F6FDC"/>
    <w:rsid w:val="00A03168"/>
    <w:rsid w:val="00A0473E"/>
    <w:rsid w:val="00A0571B"/>
    <w:rsid w:val="00A12016"/>
    <w:rsid w:val="00A1332E"/>
    <w:rsid w:val="00A14529"/>
    <w:rsid w:val="00A21956"/>
    <w:rsid w:val="00A22FCD"/>
    <w:rsid w:val="00A2312D"/>
    <w:rsid w:val="00A23F8D"/>
    <w:rsid w:val="00A2457A"/>
    <w:rsid w:val="00A24B93"/>
    <w:rsid w:val="00A24E83"/>
    <w:rsid w:val="00A27FF2"/>
    <w:rsid w:val="00A32F84"/>
    <w:rsid w:val="00A3501A"/>
    <w:rsid w:val="00A36889"/>
    <w:rsid w:val="00A36ADD"/>
    <w:rsid w:val="00A405CC"/>
    <w:rsid w:val="00A40BC7"/>
    <w:rsid w:val="00A41E26"/>
    <w:rsid w:val="00A4227A"/>
    <w:rsid w:val="00A45B97"/>
    <w:rsid w:val="00A468D1"/>
    <w:rsid w:val="00A47050"/>
    <w:rsid w:val="00A478F9"/>
    <w:rsid w:val="00A47D05"/>
    <w:rsid w:val="00A723E3"/>
    <w:rsid w:val="00A76726"/>
    <w:rsid w:val="00A820C8"/>
    <w:rsid w:val="00A851C2"/>
    <w:rsid w:val="00A85223"/>
    <w:rsid w:val="00A854F4"/>
    <w:rsid w:val="00A90922"/>
    <w:rsid w:val="00A909B9"/>
    <w:rsid w:val="00A94BB8"/>
    <w:rsid w:val="00A9589C"/>
    <w:rsid w:val="00A95B09"/>
    <w:rsid w:val="00A96EC6"/>
    <w:rsid w:val="00AA4342"/>
    <w:rsid w:val="00AA7C17"/>
    <w:rsid w:val="00AB34FA"/>
    <w:rsid w:val="00AC2A62"/>
    <w:rsid w:val="00AC31D3"/>
    <w:rsid w:val="00AC4E38"/>
    <w:rsid w:val="00AD2AE8"/>
    <w:rsid w:val="00AD4B8F"/>
    <w:rsid w:val="00AD5A59"/>
    <w:rsid w:val="00AD5F8C"/>
    <w:rsid w:val="00AD7617"/>
    <w:rsid w:val="00AD7821"/>
    <w:rsid w:val="00AE0A30"/>
    <w:rsid w:val="00AE2B53"/>
    <w:rsid w:val="00AE51EE"/>
    <w:rsid w:val="00AE5F0E"/>
    <w:rsid w:val="00AE710E"/>
    <w:rsid w:val="00AF2367"/>
    <w:rsid w:val="00AF4F24"/>
    <w:rsid w:val="00AF6670"/>
    <w:rsid w:val="00AF67CC"/>
    <w:rsid w:val="00AF757F"/>
    <w:rsid w:val="00AF7B01"/>
    <w:rsid w:val="00B04E8F"/>
    <w:rsid w:val="00B10B82"/>
    <w:rsid w:val="00B1149B"/>
    <w:rsid w:val="00B1470A"/>
    <w:rsid w:val="00B14CD9"/>
    <w:rsid w:val="00B15DCA"/>
    <w:rsid w:val="00B17A95"/>
    <w:rsid w:val="00B31801"/>
    <w:rsid w:val="00B34BAC"/>
    <w:rsid w:val="00B34E0D"/>
    <w:rsid w:val="00B35F04"/>
    <w:rsid w:val="00B4293B"/>
    <w:rsid w:val="00B4317E"/>
    <w:rsid w:val="00B43386"/>
    <w:rsid w:val="00B44C2C"/>
    <w:rsid w:val="00B45303"/>
    <w:rsid w:val="00B453D4"/>
    <w:rsid w:val="00B46B62"/>
    <w:rsid w:val="00B50364"/>
    <w:rsid w:val="00B51821"/>
    <w:rsid w:val="00B53259"/>
    <w:rsid w:val="00B55EF4"/>
    <w:rsid w:val="00B573B1"/>
    <w:rsid w:val="00B60DD4"/>
    <w:rsid w:val="00B61D66"/>
    <w:rsid w:val="00B70A6D"/>
    <w:rsid w:val="00B70CE2"/>
    <w:rsid w:val="00B70EB4"/>
    <w:rsid w:val="00B74F50"/>
    <w:rsid w:val="00B74F6A"/>
    <w:rsid w:val="00B7607A"/>
    <w:rsid w:val="00B770D9"/>
    <w:rsid w:val="00B8334A"/>
    <w:rsid w:val="00B8400B"/>
    <w:rsid w:val="00B9125A"/>
    <w:rsid w:val="00B9464A"/>
    <w:rsid w:val="00B951BC"/>
    <w:rsid w:val="00B96F01"/>
    <w:rsid w:val="00BA00B9"/>
    <w:rsid w:val="00BA178A"/>
    <w:rsid w:val="00BA4553"/>
    <w:rsid w:val="00BB3B45"/>
    <w:rsid w:val="00BB4191"/>
    <w:rsid w:val="00BB49D4"/>
    <w:rsid w:val="00BB51A5"/>
    <w:rsid w:val="00BC1B6D"/>
    <w:rsid w:val="00BC21BB"/>
    <w:rsid w:val="00BC4DAE"/>
    <w:rsid w:val="00BC55B0"/>
    <w:rsid w:val="00BC5AA0"/>
    <w:rsid w:val="00BC74F9"/>
    <w:rsid w:val="00BC7F71"/>
    <w:rsid w:val="00BD01B3"/>
    <w:rsid w:val="00BD12F7"/>
    <w:rsid w:val="00BD174A"/>
    <w:rsid w:val="00BD3724"/>
    <w:rsid w:val="00BD3BB6"/>
    <w:rsid w:val="00BD44DD"/>
    <w:rsid w:val="00BE0694"/>
    <w:rsid w:val="00BE0D41"/>
    <w:rsid w:val="00BE15BA"/>
    <w:rsid w:val="00BE3861"/>
    <w:rsid w:val="00BE57A9"/>
    <w:rsid w:val="00BE5B18"/>
    <w:rsid w:val="00C01AB3"/>
    <w:rsid w:val="00C03F92"/>
    <w:rsid w:val="00C11EB6"/>
    <w:rsid w:val="00C12990"/>
    <w:rsid w:val="00C134B5"/>
    <w:rsid w:val="00C170E8"/>
    <w:rsid w:val="00C31CD6"/>
    <w:rsid w:val="00C32331"/>
    <w:rsid w:val="00C34142"/>
    <w:rsid w:val="00C45DB0"/>
    <w:rsid w:val="00C46810"/>
    <w:rsid w:val="00C46ED0"/>
    <w:rsid w:val="00C471AA"/>
    <w:rsid w:val="00C47EC9"/>
    <w:rsid w:val="00C5146C"/>
    <w:rsid w:val="00C52C03"/>
    <w:rsid w:val="00C532A8"/>
    <w:rsid w:val="00C54789"/>
    <w:rsid w:val="00C55CE3"/>
    <w:rsid w:val="00C57254"/>
    <w:rsid w:val="00C57B86"/>
    <w:rsid w:val="00C623B0"/>
    <w:rsid w:val="00C62727"/>
    <w:rsid w:val="00C63C6C"/>
    <w:rsid w:val="00C65BA1"/>
    <w:rsid w:val="00C667D1"/>
    <w:rsid w:val="00C6776B"/>
    <w:rsid w:val="00C6780C"/>
    <w:rsid w:val="00C701C6"/>
    <w:rsid w:val="00C741C4"/>
    <w:rsid w:val="00C81974"/>
    <w:rsid w:val="00C83BA6"/>
    <w:rsid w:val="00C84A07"/>
    <w:rsid w:val="00C856AA"/>
    <w:rsid w:val="00C8671E"/>
    <w:rsid w:val="00C86DE3"/>
    <w:rsid w:val="00C86F71"/>
    <w:rsid w:val="00C90692"/>
    <w:rsid w:val="00C931EC"/>
    <w:rsid w:val="00CA1A10"/>
    <w:rsid w:val="00CA2270"/>
    <w:rsid w:val="00CA2FAD"/>
    <w:rsid w:val="00CA5E90"/>
    <w:rsid w:val="00CA78FA"/>
    <w:rsid w:val="00CB0774"/>
    <w:rsid w:val="00CB5CCC"/>
    <w:rsid w:val="00CC050A"/>
    <w:rsid w:val="00CC7FE0"/>
    <w:rsid w:val="00CD0620"/>
    <w:rsid w:val="00CD23AB"/>
    <w:rsid w:val="00CD2861"/>
    <w:rsid w:val="00CD2ACB"/>
    <w:rsid w:val="00CD4B0A"/>
    <w:rsid w:val="00CD4EFD"/>
    <w:rsid w:val="00CE41C8"/>
    <w:rsid w:val="00CE7059"/>
    <w:rsid w:val="00CE77CB"/>
    <w:rsid w:val="00CF4668"/>
    <w:rsid w:val="00D0317A"/>
    <w:rsid w:val="00D0576B"/>
    <w:rsid w:val="00D06582"/>
    <w:rsid w:val="00D079C4"/>
    <w:rsid w:val="00D110A2"/>
    <w:rsid w:val="00D114E0"/>
    <w:rsid w:val="00D114FF"/>
    <w:rsid w:val="00D11A33"/>
    <w:rsid w:val="00D12D0D"/>
    <w:rsid w:val="00D12DF2"/>
    <w:rsid w:val="00D13C48"/>
    <w:rsid w:val="00D14517"/>
    <w:rsid w:val="00D15FC8"/>
    <w:rsid w:val="00D16CA0"/>
    <w:rsid w:val="00D16D58"/>
    <w:rsid w:val="00D210AA"/>
    <w:rsid w:val="00D224C4"/>
    <w:rsid w:val="00D2704B"/>
    <w:rsid w:val="00D274A4"/>
    <w:rsid w:val="00D27794"/>
    <w:rsid w:val="00D279F8"/>
    <w:rsid w:val="00D304F3"/>
    <w:rsid w:val="00D309A6"/>
    <w:rsid w:val="00D316A5"/>
    <w:rsid w:val="00D34B00"/>
    <w:rsid w:val="00D3632F"/>
    <w:rsid w:val="00D41F73"/>
    <w:rsid w:val="00D45A60"/>
    <w:rsid w:val="00D4666D"/>
    <w:rsid w:val="00D47399"/>
    <w:rsid w:val="00D5236C"/>
    <w:rsid w:val="00D52B39"/>
    <w:rsid w:val="00D53223"/>
    <w:rsid w:val="00D55101"/>
    <w:rsid w:val="00D57CFE"/>
    <w:rsid w:val="00D6068E"/>
    <w:rsid w:val="00D63940"/>
    <w:rsid w:val="00D67BB7"/>
    <w:rsid w:val="00D72225"/>
    <w:rsid w:val="00D754A3"/>
    <w:rsid w:val="00D7738C"/>
    <w:rsid w:val="00D800C2"/>
    <w:rsid w:val="00D87C18"/>
    <w:rsid w:val="00D910F1"/>
    <w:rsid w:val="00D97F6D"/>
    <w:rsid w:val="00DB2C05"/>
    <w:rsid w:val="00DB5DE7"/>
    <w:rsid w:val="00DC4387"/>
    <w:rsid w:val="00DC47CB"/>
    <w:rsid w:val="00DC4EB7"/>
    <w:rsid w:val="00DD0BD6"/>
    <w:rsid w:val="00DD10CD"/>
    <w:rsid w:val="00DD2E15"/>
    <w:rsid w:val="00DD5510"/>
    <w:rsid w:val="00DD68C8"/>
    <w:rsid w:val="00DE0DAB"/>
    <w:rsid w:val="00DE3AB8"/>
    <w:rsid w:val="00DE4059"/>
    <w:rsid w:val="00DE5D07"/>
    <w:rsid w:val="00DE7911"/>
    <w:rsid w:val="00DE7C0C"/>
    <w:rsid w:val="00DF1A6C"/>
    <w:rsid w:val="00DF205C"/>
    <w:rsid w:val="00DF2185"/>
    <w:rsid w:val="00DF2B12"/>
    <w:rsid w:val="00DF454D"/>
    <w:rsid w:val="00DF7452"/>
    <w:rsid w:val="00DF7843"/>
    <w:rsid w:val="00DF7C13"/>
    <w:rsid w:val="00E01D62"/>
    <w:rsid w:val="00E01F4E"/>
    <w:rsid w:val="00E04794"/>
    <w:rsid w:val="00E0646F"/>
    <w:rsid w:val="00E07733"/>
    <w:rsid w:val="00E079C4"/>
    <w:rsid w:val="00E10262"/>
    <w:rsid w:val="00E111BF"/>
    <w:rsid w:val="00E1494B"/>
    <w:rsid w:val="00E1541B"/>
    <w:rsid w:val="00E176E3"/>
    <w:rsid w:val="00E20079"/>
    <w:rsid w:val="00E2224F"/>
    <w:rsid w:val="00E2383E"/>
    <w:rsid w:val="00E24E9A"/>
    <w:rsid w:val="00E30042"/>
    <w:rsid w:val="00E3070F"/>
    <w:rsid w:val="00E31619"/>
    <w:rsid w:val="00E330FD"/>
    <w:rsid w:val="00E3509F"/>
    <w:rsid w:val="00E3591E"/>
    <w:rsid w:val="00E366B4"/>
    <w:rsid w:val="00E37A32"/>
    <w:rsid w:val="00E44015"/>
    <w:rsid w:val="00E4485D"/>
    <w:rsid w:val="00E50B5F"/>
    <w:rsid w:val="00E624FF"/>
    <w:rsid w:val="00E6385C"/>
    <w:rsid w:val="00E63B48"/>
    <w:rsid w:val="00E64D44"/>
    <w:rsid w:val="00E65A92"/>
    <w:rsid w:val="00E70EE0"/>
    <w:rsid w:val="00E71B9F"/>
    <w:rsid w:val="00E757B4"/>
    <w:rsid w:val="00E76F50"/>
    <w:rsid w:val="00E81FCA"/>
    <w:rsid w:val="00E836F3"/>
    <w:rsid w:val="00E91972"/>
    <w:rsid w:val="00E95A0B"/>
    <w:rsid w:val="00E95D42"/>
    <w:rsid w:val="00E969E3"/>
    <w:rsid w:val="00E973C2"/>
    <w:rsid w:val="00EA419F"/>
    <w:rsid w:val="00EA471C"/>
    <w:rsid w:val="00EA49ED"/>
    <w:rsid w:val="00EA5B9D"/>
    <w:rsid w:val="00EA746B"/>
    <w:rsid w:val="00EB6427"/>
    <w:rsid w:val="00EB6ADE"/>
    <w:rsid w:val="00EC2BA3"/>
    <w:rsid w:val="00EC2FA0"/>
    <w:rsid w:val="00EC3397"/>
    <w:rsid w:val="00EC5C8A"/>
    <w:rsid w:val="00EC5DB1"/>
    <w:rsid w:val="00ED0260"/>
    <w:rsid w:val="00ED0DC3"/>
    <w:rsid w:val="00ED2B05"/>
    <w:rsid w:val="00ED39A7"/>
    <w:rsid w:val="00ED48DD"/>
    <w:rsid w:val="00ED4B11"/>
    <w:rsid w:val="00ED6DB7"/>
    <w:rsid w:val="00ED7E61"/>
    <w:rsid w:val="00EF0C54"/>
    <w:rsid w:val="00EF2256"/>
    <w:rsid w:val="00EF489F"/>
    <w:rsid w:val="00EF5680"/>
    <w:rsid w:val="00EF75E1"/>
    <w:rsid w:val="00F01151"/>
    <w:rsid w:val="00F01685"/>
    <w:rsid w:val="00F01DD3"/>
    <w:rsid w:val="00F024D4"/>
    <w:rsid w:val="00F02A73"/>
    <w:rsid w:val="00F02D06"/>
    <w:rsid w:val="00F0469C"/>
    <w:rsid w:val="00F100E5"/>
    <w:rsid w:val="00F110E6"/>
    <w:rsid w:val="00F11279"/>
    <w:rsid w:val="00F12109"/>
    <w:rsid w:val="00F15EA7"/>
    <w:rsid w:val="00F21FDC"/>
    <w:rsid w:val="00F270E4"/>
    <w:rsid w:val="00F27C22"/>
    <w:rsid w:val="00F31273"/>
    <w:rsid w:val="00F31276"/>
    <w:rsid w:val="00F32A40"/>
    <w:rsid w:val="00F36828"/>
    <w:rsid w:val="00F4029A"/>
    <w:rsid w:val="00F41F0F"/>
    <w:rsid w:val="00F423AF"/>
    <w:rsid w:val="00F42BD8"/>
    <w:rsid w:val="00F43C31"/>
    <w:rsid w:val="00F43CE9"/>
    <w:rsid w:val="00F46E65"/>
    <w:rsid w:val="00F501BC"/>
    <w:rsid w:val="00F511D5"/>
    <w:rsid w:val="00F5209C"/>
    <w:rsid w:val="00F5325D"/>
    <w:rsid w:val="00F53A92"/>
    <w:rsid w:val="00F56D56"/>
    <w:rsid w:val="00F572BA"/>
    <w:rsid w:val="00F635F6"/>
    <w:rsid w:val="00F63C88"/>
    <w:rsid w:val="00F64521"/>
    <w:rsid w:val="00F70685"/>
    <w:rsid w:val="00F713DE"/>
    <w:rsid w:val="00F72903"/>
    <w:rsid w:val="00F7397D"/>
    <w:rsid w:val="00F778A8"/>
    <w:rsid w:val="00F77D09"/>
    <w:rsid w:val="00F82D15"/>
    <w:rsid w:val="00F8300A"/>
    <w:rsid w:val="00F854AF"/>
    <w:rsid w:val="00F86528"/>
    <w:rsid w:val="00F8698D"/>
    <w:rsid w:val="00F92AE9"/>
    <w:rsid w:val="00F95F49"/>
    <w:rsid w:val="00FA3436"/>
    <w:rsid w:val="00FA7E79"/>
    <w:rsid w:val="00FB02DC"/>
    <w:rsid w:val="00FB0354"/>
    <w:rsid w:val="00FB193D"/>
    <w:rsid w:val="00FB34BE"/>
    <w:rsid w:val="00FB7620"/>
    <w:rsid w:val="00FC1CA5"/>
    <w:rsid w:val="00FC388A"/>
    <w:rsid w:val="00FC39B3"/>
    <w:rsid w:val="00FC4370"/>
    <w:rsid w:val="00FC603E"/>
    <w:rsid w:val="00FD012B"/>
    <w:rsid w:val="00FD10D0"/>
    <w:rsid w:val="00FD186C"/>
    <w:rsid w:val="00FD1BFE"/>
    <w:rsid w:val="00FD229C"/>
    <w:rsid w:val="00FD2897"/>
    <w:rsid w:val="00FD40BD"/>
    <w:rsid w:val="00FD66C9"/>
    <w:rsid w:val="00FD6BAE"/>
    <w:rsid w:val="00FE21A6"/>
    <w:rsid w:val="00FE4496"/>
    <w:rsid w:val="00FE471E"/>
    <w:rsid w:val="00FE62E7"/>
    <w:rsid w:val="00FF66F5"/>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3E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4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4B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eastAsia="ja-JP"/>
      <w14:ligatures w14:val="none"/>
    </w:rPr>
  </w:style>
  <w:style w:type="paragraph" w:styleId="Heading3">
    <w:name w:val="heading 3"/>
    <w:basedOn w:val="Normal"/>
    <w:next w:val="Normal"/>
    <w:link w:val="Heading3Char"/>
    <w:uiPriority w:val="9"/>
    <w:unhideWhenUsed/>
    <w:qFormat/>
    <w:rsid w:val="000A14B6"/>
    <w:pPr>
      <w:keepNext/>
      <w:keepLines/>
      <w:spacing w:before="40" w:after="0"/>
      <w:outlineLvl w:val="2"/>
    </w:pPr>
    <w:rPr>
      <w:rFonts w:asciiTheme="majorHAnsi" w:eastAsiaTheme="majorEastAsia" w:hAnsiTheme="majorHAnsi" w:cstheme="majorBidi"/>
      <w:color w:val="1F3763" w:themeColor="accent1" w:themeShade="7F"/>
      <w:kern w:val="0"/>
      <w:sz w:val="24"/>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030F4A"/>
    <w:pPr>
      <w:ind w:left="720"/>
      <w:contextualSpacing/>
    </w:pPr>
  </w:style>
  <w:style w:type="character" w:styleId="CommentReference">
    <w:name w:val="annotation reference"/>
    <w:basedOn w:val="DefaultParagraphFont"/>
    <w:uiPriority w:val="99"/>
    <w:semiHidden/>
    <w:unhideWhenUsed/>
    <w:rsid w:val="00DC47CB"/>
    <w:rPr>
      <w:sz w:val="16"/>
      <w:szCs w:val="16"/>
    </w:rPr>
  </w:style>
  <w:style w:type="paragraph" w:styleId="CommentText">
    <w:name w:val="annotation text"/>
    <w:basedOn w:val="Normal"/>
    <w:link w:val="CommentTextChar"/>
    <w:uiPriority w:val="99"/>
    <w:unhideWhenUsed/>
    <w:rsid w:val="00DC47CB"/>
    <w:pPr>
      <w:spacing w:line="240" w:lineRule="auto"/>
    </w:pPr>
    <w:rPr>
      <w:sz w:val="20"/>
      <w:szCs w:val="20"/>
    </w:rPr>
  </w:style>
  <w:style w:type="character" w:customStyle="1" w:styleId="CommentTextChar">
    <w:name w:val="Comment Text Char"/>
    <w:basedOn w:val="DefaultParagraphFont"/>
    <w:link w:val="CommentText"/>
    <w:uiPriority w:val="99"/>
    <w:rsid w:val="00DC47CB"/>
    <w:rPr>
      <w:sz w:val="20"/>
      <w:szCs w:val="20"/>
    </w:rPr>
  </w:style>
  <w:style w:type="paragraph" w:styleId="CommentSubject">
    <w:name w:val="annotation subject"/>
    <w:basedOn w:val="CommentText"/>
    <w:next w:val="CommentText"/>
    <w:link w:val="CommentSubjectChar"/>
    <w:uiPriority w:val="99"/>
    <w:semiHidden/>
    <w:unhideWhenUsed/>
    <w:rsid w:val="00DC47CB"/>
    <w:rPr>
      <w:b/>
      <w:bCs/>
    </w:rPr>
  </w:style>
  <w:style w:type="character" w:customStyle="1" w:styleId="CommentSubjectChar">
    <w:name w:val="Comment Subject Char"/>
    <w:basedOn w:val="CommentTextChar"/>
    <w:link w:val="CommentSubject"/>
    <w:uiPriority w:val="99"/>
    <w:semiHidden/>
    <w:rsid w:val="00DC47CB"/>
    <w:rPr>
      <w:b/>
      <w:bCs/>
      <w:sz w:val="20"/>
      <w:szCs w:val="20"/>
    </w:rPr>
  </w:style>
  <w:style w:type="paragraph" w:styleId="Revision">
    <w:name w:val="Revision"/>
    <w:hidden/>
    <w:uiPriority w:val="99"/>
    <w:semiHidden/>
    <w:rsid w:val="00AD5A59"/>
    <w:pPr>
      <w:spacing w:after="0" w:line="240" w:lineRule="auto"/>
    </w:pPr>
  </w:style>
  <w:style w:type="paragraph" w:styleId="Title">
    <w:name w:val="Title"/>
    <w:basedOn w:val="Normal"/>
    <w:next w:val="Normal"/>
    <w:link w:val="TitleChar"/>
    <w:uiPriority w:val="10"/>
    <w:qFormat/>
    <w:rsid w:val="00B573B1"/>
    <w:pPr>
      <w:pBdr>
        <w:bottom w:val="single" w:sz="8" w:space="4" w:color="4F81BD"/>
      </w:pBdr>
      <w:spacing w:after="300" w:line="240" w:lineRule="auto"/>
      <w:contextualSpacing/>
      <w:jc w:val="both"/>
    </w:pPr>
    <w:rPr>
      <w:rFonts w:ascii="Cambria" w:eastAsia="Calibri" w:hAnsi="Cambria" w:cs="Times New Roman"/>
      <w:color w:val="17365D"/>
      <w:spacing w:val="5"/>
      <w:kern w:val="28"/>
      <w:sz w:val="52"/>
      <w:szCs w:val="52"/>
      <w:lang w:eastAsia="en-AU"/>
      <w14:ligatures w14:val="none"/>
    </w:rPr>
  </w:style>
  <w:style w:type="character" w:customStyle="1" w:styleId="TitleChar">
    <w:name w:val="Title Char"/>
    <w:basedOn w:val="DefaultParagraphFont"/>
    <w:link w:val="Title"/>
    <w:uiPriority w:val="10"/>
    <w:rsid w:val="00B573B1"/>
    <w:rPr>
      <w:rFonts w:ascii="Cambria" w:eastAsia="Calibri" w:hAnsi="Cambria" w:cs="Times New Roman"/>
      <w:color w:val="17365D"/>
      <w:spacing w:val="5"/>
      <w:kern w:val="28"/>
      <w:sz w:val="52"/>
      <w:szCs w:val="52"/>
      <w:lang w:eastAsia="en-AU"/>
      <w14:ligatures w14:val="none"/>
    </w:rPr>
  </w:style>
  <w:style w:type="character" w:customStyle="1" w:styleId="Heading1Char">
    <w:name w:val="Heading 1 Char"/>
    <w:basedOn w:val="DefaultParagraphFont"/>
    <w:link w:val="Heading1"/>
    <w:uiPriority w:val="9"/>
    <w:rsid w:val="000A14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A14B6"/>
    <w:pPr>
      <w:outlineLvl w:val="9"/>
    </w:pPr>
    <w:rPr>
      <w:kern w:val="0"/>
      <w:lang w:val="en-US"/>
      <w14:ligatures w14:val="none"/>
    </w:rPr>
  </w:style>
  <w:style w:type="character" w:customStyle="1" w:styleId="Heading2Char">
    <w:name w:val="Heading 2 Char"/>
    <w:basedOn w:val="DefaultParagraphFont"/>
    <w:link w:val="Heading2"/>
    <w:uiPriority w:val="9"/>
    <w:rsid w:val="000A14B6"/>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3Char">
    <w:name w:val="Heading 3 Char"/>
    <w:basedOn w:val="DefaultParagraphFont"/>
    <w:link w:val="Heading3"/>
    <w:uiPriority w:val="9"/>
    <w:rsid w:val="000A14B6"/>
    <w:rPr>
      <w:rFonts w:asciiTheme="majorHAnsi" w:eastAsiaTheme="majorEastAsia" w:hAnsiTheme="majorHAnsi" w:cstheme="majorBidi"/>
      <w:color w:val="1F3763" w:themeColor="accent1" w:themeShade="7F"/>
      <w:kern w:val="0"/>
      <w:sz w:val="24"/>
      <w:szCs w:val="24"/>
      <w:lang w:val="en-US" w:eastAsia="ja-JP"/>
      <w14:ligatures w14:val="none"/>
    </w:rPr>
  </w:style>
  <w:style w:type="paragraph" w:styleId="Footer">
    <w:name w:val="footer"/>
    <w:basedOn w:val="Normal"/>
    <w:link w:val="FooterChar"/>
    <w:uiPriority w:val="99"/>
    <w:unhideWhenUsed/>
    <w:rsid w:val="000A14B6"/>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0A14B6"/>
    <w:rPr>
      <w:kern w:val="0"/>
      <w:lang w:val="en-US"/>
      <w14:ligatures w14:val="none"/>
    </w:r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0A14B6"/>
  </w:style>
  <w:style w:type="paragraph" w:styleId="FootnoteText">
    <w:name w:val="footnote text"/>
    <w:basedOn w:val="Normal"/>
    <w:link w:val="FootnoteTextChar"/>
    <w:uiPriority w:val="99"/>
    <w:unhideWhenUsed/>
    <w:rsid w:val="000A14B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0A14B6"/>
    <w:rPr>
      <w:kern w:val="0"/>
      <w:sz w:val="20"/>
      <w:szCs w:val="20"/>
      <w14:ligatures w14:val="none"/>
    </w:rPr>
  </w:style>
  <w:style w:type="character" w:styleId="FootnoteReference">
    <w:name w:val="footnote reference"/>
    <w:aliases w:val="Footnote text,Footnotes refss,Ref,de nota al pie,ftref,16 Point,Superscript 6 Point,BVI fnr"/>
    <w:basedOn w:val="DefaultParagraphFont"/>
    <w:uiPriority w:val="99"/>
    <w:unhideWhenUsed/>
    <w:qFormat/>
    <w:rsid w:val="000A14B6"/>
    <w:rPr>
      <w:vertAlign w:val="superscript"/>
    </w:rPr>
  </w:style>
  <w:style w:type="character" w:customStyle="1" w:styleId="normaltextrun">
    <w:name w:val="normaltextrun"/>
    <w:basedOn w:val="DefaultParagraphFont"/>
    <w:rsid w:val="000A14B6"/>
  </w:style>
  <w:style w:type="character" w:customStyle="1" w:styleId="eop">
    <w:name w:val="eop"/>
    <w:basedOn w:val="DefaultParagraphFont"/>
    <w:rsid w:val="000A14B6"/>
  </w:style>
  <w:style w:type="paragraph" w:styleId="TOC1">
    <w:name w:val="toc 1"/>
    <w:basedOn w:val="Normal"/>
    <w:next w:val="Normal"/>
    <w:autoRedefine/>
    <w:uiPriority w:val="39"/>
    <w:unhideWhenUsed/>
    <w:rsid w:val="000A14B6"/>
    <w:pPr>
      <w:spacing w:after="100"/>
    </w:pPr>
  </w:style>
  <w:style w:type="paragraph" w:styleId="TOC2">
    <w:name w:val="toc 2"/>
    <w:basedOn w:val="Normal"/>
    <w:next w:val="Normal"/>
    <w:autoRedefine/>
    <w:uiPriority w:val="39"/>
    <w:unhideWhenUsed/>
    <w:rsid w:val="000A14B6"/>
    <w:pPr>
      <w:spacing w:after="100"/>
      <w:ind w:left="220"/>
    </w:pPr>
  </w:style>
  <w:style w:type="paragraph" w:styleId="TOC3">
    <w:name w:val="toc 3"/>
    <w:basedOn w:val="Normal"/>
    <w:next w:val="Normal"/>
    <w:autoRedefine/>
    <w:uiPriority w:val="39"/>
    <w:unhideWhenUsed/>
    <w:rsid w:val="000A14B6"/>
    <w:pPr>
      <w:spacing w:after="100"/>
      <w:ind w:left="440"/>
    </w:pPr>
  </w:style>
  <w:style w:type="character" w:styleId="Hyperlink">
    <w:name w:val="Hyperlink"/>
    <w:basedOn w:val="DefaultParagraphFont"/>
    <w:uiPriority w:val="99"/>
    <w:unhideWhenUsed/>
    <w:rsid w:val="000A14B6"/>
    <w:rPr>
      <w:color w:val="0563C1" w:themeColor="hyperlink"/>
      <w:u w:val="single"/>
    </w:rPr>
  </w:style>
  <w:style w:type="paragraph" w:styleId="Header">
    <w:name w:val="header"/>
    <w:basedOn w:val="Normal"/>
    <w:link w:val="HeaderChar"/>
    <w:uiPriority w:val="99"/>
    <w:unhideWhenUsed/>
    <w:rsid w:val="00543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57101">
      <w:bodyDiv w:val="1"/>
      <w:marLeft w:val="0"/>
      <w:marRight w:val="0"/>
      <w:marTop w:val="0"/>
      <w:marBottom w:val="0"/>
      <w:divBdr>
        <w:top w:val="none" w:sz="0" w:space="0" w:color="auto"/>
        <w:left w:val="none" w:sz="0" w:space="0" w:color="auto"/>
        <w:bottom w:val="none" w:sz="0" w:space="0" w:color="auto"/>
        <w:right w:val="none" w:sz="0" w:space="0" w:color="auto"/>
      </w:divBdr>
      <w:divsChild>
        <w:div w:id="1404253124">
          <w:marLeft w:val="0"/>
          <w:marRight w:val="0"/>
          <w:marTop w:val="0"/>
          <w:marBottom w:val="0"/>
          <w:divBdr>
            <w:top w:val="none" w:sz="0" w:space="0" w:color="auto"/>
            <w:left w:val="none" w:sz="0" w:space="0" w:color="auto"/>
            <w:bottom w:val="none" w:sz="0" w:space="0" w:color="auto"/>
            <w:right w:val="none" w:sz="0" w:space="0" w:color="auto"/>
          </w:divBdr>
        </w:div>
        <w:div w:id="2090468350">
          <w:marLeft w:val="0"/>
          <w:marRight w:val="0"/>
          <w:marTop w:val="0"/>
          <w:marBottom w:val="0"/>
          <w:divBdr>
            <w:top w:val="none" w:sz="0" w:space="0" w:color="auto"/>
            <w:left w:val="none" w:sz="0" w:space="0" w:color="auto"/>
            <w:bottom w:val="none" w:sz="0" w:space="0" w:color="auto"/>
            <w:right w:val="none" w:sz="0" w:space="0" w:color="auto"/>
          </w:divBdr>
        </w:div>
        <w:div w:id="542639755">
          <w:marLeft w:val="0"/>
          <w:marRight w:val="0"/>
          <w:marTop w:val="0"/>
          <w:marBottom w:val="0"/>
          <w:divBdr>
            <w:top w:val="none" w:sz="0" w:space="0" w:color="auto"/>
            <w:left w:val="none" w:sz="0" w:space="0" w:color="auto"/>
            <w:bottom w:val="none" w:sz="0" w:space="0" w:color="auto"/>
            <w:right w:val="none" w:sz="0" w:space="0" w:color="auto"/>
          </w:divBdr>
        </w:div>
      </w:divsChild>
    </w:div>
    <w:div w:id="638923466">
      <w:bodyDiv w:val="1"/>
      <w:marLeft w:val="0"/>
      <w:marRight w:val="0"/>
      <w:marTop w:val="0"/>
      <w:marBottom w:val="0"/>
      <w:divBdr>
        <w:top w:val="none" w:sz="0" w:space="0" w:color="auto"/>
        <w:left w:val="none" w:sz="0" w:space="0" w:color="auto"/>
        <w:bottom w:val="none" w:sz="0" w:space="0" w:color="auto"/>
        <w:right w:val="none" w:sz="0" w:space="0" w:color="auto"/>
      </w:divBdr>
      <w:divsChild>
        <w:div w:id="1718624526">
          <w:marLeft w:val="0"/>
          <w:marRight w:val="0"/>
          <w:marTop w:val="0"/>
          <w:marBottom w:val="0"/>
          <w:divBdr>
            <w:top w:val="none" w:sz="0" w:space="0" w:color="auto"/>
            <w:left w:val="none" w:sz="0" w:space="0" w:color="auto"/>
            <w:bottom w:val="none" w:sz="0" w:space="0" w:color="auto"/>
            <w:right w:val="none" w:sz="0" w:space="0" w:color="auto"/>
          </w:divBdr>
        </w:div>
        <w:div w:id="733822115">
          <w:marLeft w:val="0"/>
          <w:marRight w:val="0"/>
          <w:marTop w:val="0"/>
          <w:marBottom w:val="0"/>
          <w:divBdr>
            <w:top w:val="none" w:sz="0" w:space="0" w:color="auto"/>
            <w:left w:val="none" w:sz="0" w:space="0" w:color="auto"/>
            <w:bottom w:val="none" w:sz="0" w:space="0" w:color="auto"/>
            <w:right w:val="none" w:sz="0" w:space="0" w:color="auto"/>
          </w:divBdr>
        </w:div>
        <w:div w:id="159528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A49C-247C-4024-B688-915090AF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7930</Words>
  <Characters>45659</Characters>
  <Application>Microsoft Office Word</Application>
  <DocSecurity>0</DocSecurity>
  <Lines>684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Solomon Islands Partnership for Justice Mid-Term Review</dc:title>
  <dc:subject/>
  <dc:creator/>
  <cp:keywords>[SEC=OFFICIAL]</cp:keywords>
  <dc:description/>
  <cp:lastModifiedBy/>
  <cp:revision>1</cp:revision>
  <dcterms:created xsi:type="dcterms:W3CDTF">2025-07-03T01:50:00Z</dcterms:created>
  <dcterms:modified xsi:type="dcterms:W3CDTF">2025-07-03T01:51:00Z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v=2022.1;a=SHA256;h=FEDEFD00C730816CBB0846E2C3ED3A18E095D161A303949D8E446B5931B5873D</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2025-05-05T00:31:40Z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Originating_FileId">
    <vt:lpwstr>D67C6900197F43E99DA0D4C41B01B017</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6172C3565EEDE833445C8A9A9F0B0396</vt:lpwstr>
  </property>
  <property fmtid="{D5CDD505-2E9C-101B-9397-08002B2CF9AE}" pid="24" name="PM_Hash_Salt">
    <vt:lpwstr>42000A528DF808C9597783973019EB9A</vt:lpwstr>
  </property>
  <property fmtid="{D5CDD505-2E9C-101B-9397-08002B2CF9AE}" pid="25" name="PM_Hash_SHA1">
    <vt:lpwstr>726B1916A41F68D0FAC1628727363A0C9134353E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