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4EF580E" w14:textId="77777777"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121991D3" wp14:editId="79FC10A8">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56180866" wp14:editId="73070532">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14:paraId="0D11CD68" w14:textId="77777777" w:rsidR="003D352D" w:rsidRDefault="003D352D" w:rsidP="00D146A2"/>
    <w:p w14:paraId="7F01CAB8" w14:textId="77777777" w:rsidR="003D352D" w:rsidRDefault="003D352D" w:rsidP="00D146A2"/>
    <w:p w14:paraId="02CB010A" w14:textId="77777777" w:rsidR="003D352D" w:rsidRDefault="003D352D" w:rsidP="00D146A2"/>
    <w:p w14:paraId="40F38A6A" w14:textId="77777777" w:rsidR="003D352D" w:rsidRDefault="003D352D" w:rsidP="00D146A2"/>
    <w:p w14:paraId="5A11DDAC" w14:textId="77777777" w:rsidR="003D352D" w:rsidRDefault="003D352D" w:rsidP="00D146A2"/>
    <w:p w14:paraId="7A72062B" w14:textId="77777777" w:rsidR="003D352D" w:rsidRDefault="003D352D" w:rsidP="00D146A2"/>
    <w:p w14:paraId="0363950A" w14:textId="77777777" w:rsidR="003D352D" w:rsidRDefault="003D352D" w:rsidP="00D146A2"/>
    <w:p w14:paraId="1E594606" w14:textId="77777777" w:rsidR="003D352D" w:rsidRDefault="003D352D" w:rsidP="00D146A2"/>
    <w:p w14:paraId="61E02028" w14:textId="77777777" w:rsidR="003D352D" w:rsidRDefault="003D352D" w:rsidP="00D146A2"/>
    <w:p w14:paraId="6E3E7F69" w14:textId="77777777" w:rsidR="003D352D" w:rsidRDefault="003D352D" w:rsidP="00D146A2"/>
    <w:p w14:paraId="6EAADA06" w14:textId="77777777" w:rsidR="003D352D" w:rsidRDefault="003D352D" w:rsidP="00D146A2"/>
    <w:p w14:paraId="2B7B1430" w14:textId="77777777" w:rsidR="003D352D" w:rsidRDefault="003D352D" w:rsidP="00D146A2"/>
    <w:p w14:paraId="2BC24098" w14:textId="77777777" w:rsidR="003D352D" w:rsidRDefault="003D352D" w:rsidP="00D146A2"/>
    <w:p w14:paraId="5634C1D0" w14:textId="77777777" w:rsidR="003D352D" w:rsidRDefault="0047704B" w:rsidP="0047704B">
      <w:pPr>
        <w:tabs>
          <w:tab w:val="left" w:pos="6405"/>
        </w:tabs>
      </w:pPr>
      <w:r>
        <w:tab/>
      </w:r>
    </w:p>
    <w:p w14:paraId="40FC240D" w14:textId="77777777" w:rsidR="003D352D" w:rsidRDefault="003D352D" w:rsidP="00D146A2"/>
    <w:p w14:paraId="23FFD83F" w14:textId="77777777" w:rsidR="003D352D" w:rsidRPr="0059146A" w:rsidRDefault="003D352D" w:rsidP="0059146A"/>
    <w:p w14:paraId="2917B457" w14:textId="77777777" w:rsidR="003D352D" w:rsidRPr="0059146A" w:rsidRDefault="003D352D" w:rsidP="0059146A"/>
    <w:p w14:paraId="0D6E4413" w14:textId="77777777" w:rsidR="003D352D" w:rsidRPr="0059146A" w:rsidRDefault="003D352D" w:rsidP="0059146A"/>
    <w:p w14:paraId="5A3657E7" w14:textId="77777777" w:rsidR="003D352D" w:rsidRPr="0059146A" w:rsidRDefault="003D352D" w:rsidP="0059146A"/>
    <w:p w14:paraId="71D7324D" w14:textId="77777777" w:rsidR="003D352D" w:rsidRPr="0059146A" w:rsidRDefault="003D352D" w:rsidP="0059146A"/>
    <w:p w14:paraId="67B197B3" w14:textId="77777777" w:rsidR="003D352D" w:rsidRPr="0059146A" w:rsidRDefault="003D352D" w:rsidP="0059146A"/>
    <w:p w14:paraId="2315A53E" w14:textId="77777777" w:rsidR="00A56F14" w:rsidRPr="0059146A" w:rsidRDefault="00A56F14" w:rsidP="00A56F14"/>
    <w:p w14:paraId="1070EEA1" w14:textId="77777777" w:rsidR="00A56F14" w:rsidRPr="0059146A" w:rsidRDefault="00A56F14" w:rsidP="0059146A"/>
    <w:p w14:paraId="577F4551" w14:textId="77777777" w:rsidR="00A56F14" w:rsidRDefault="00A56F14" w:rsidP="0059146A"/>
    <w:p w14:paraId="4893226C" w14:textId="77777777" w:rsidR="0059146A" w:rsidRDefault="0059146A" w:rsidP="0059146A"/>
    <w:p w14:paraId="4F9C5596" w14:textId="77777777"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3E305C">
        <w:rPr>
          <w:spacing w:val="-20"/>
          <w:sz w:val="60"/>
        </w:rPr>
        <w:t>6</w:t>
      </w:r>
      <w:r>
        <w:rPr>
          <w:spacing w:val="-20"/>
          <w:sz w:val="60"/>
        </w:rPr>
        <w:t>-1</w:t>
      </w:r>
      <w:r w:rsidR="003E305C">
        <w:rPr>
          <w:spacing w:val="-20"/>
          <w:sz w:val="60"/>
        </w:rPr>
        <w:t>7</w:t>
      </w:r>
    </w:p>
    <w:p w14:paraId="3B8C38DA" w14:textId="77777777" w:rsidR="0059146A" w:rsidRPr="0047704B" w:rsidRDefault="00350CC9" w:rsidP="0047704B">
      <w:pPr>
        <w:tabs>
          <w:tab w:val="left" w:pos="6750"/>
        </w:tabs>
        <w:rPr>
          <w:sz w:val="40"/>
        </w:rPr>
        <w:sectPr w:rsidR="0059146A" w:rsidRPr="0047704B"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ASEAN and Mekong Program</w:t>
      </w:r>
      <w:r w:rsidR="0047704B">
        <w:rPr>
          <w:sz w:val="40"/>
        </w:rPr>
        <w:t xml:space="preserve">   </w:t>
      </w:r>
      <w:r w:rsidR="0047704B">
        <w:rPr>
          <w:sz w:val="40"/>
        </w:rPr>
        <w:tab/>
      </w:r>
      <w:r w:rsidR="0059146A">
        <w:rPr>
          <w:sz w:val="40"/>
        </w:rPr>
        <w:br/>
      </w:r>
      <w:r w:rsidR="0059146A" w:rsidRPr="0059146A">
        <w:rPr>
          <w:sz w:val="24"/>
        </w:rPr>
        <w:t>September 201</w:t>
      </w:r>
      <w:r w:rsidR="003E305C">
        <w:rPr>
          <w:sz w:val="24"/>
        </w:rPr>
        <w:t>7</w:t>
      </w:r>
    </w:p>
    <w:p w14:paraId="0D6DE97A" w14:textId="77777777" w:rsidR="0086415F" w:rsidRDefault="00A774D4" w:rsidP="0086415F">
      <w:pPr>
        <w:pStyle w:val="Subtitle"/>
        <w:shd w:val="clear" w:color="auto" w:fill="EEF5E7" w:themeFill="accent3" w:themeFillTint="33"/>
        <w:rPr>
          <w:b/>
          <w:sz w:val="24"/>
        </w:rPr>
      </w:pPr>
      <w:r w:rsidRPr="00A774D4">
        <w:rPr>
          <w:b/>
          <w:sz w:val="24"/>
        </w:rPr>
        <w:lastRenderedPageBreak/>
        <w:t xml:space="preserve">Key Messages  </w:t>
      </w:r>
    </w:p>
    <w:p w14:paraId="4CA29E79" w14:textId="77777777" w:rsidR="00F16EC5" w:rsidRDefault="00C72FE7" w:rsidP="003E091B">
      <w:pPr>
        <w:pStyle w:val="Subtitle"/>
        <w:shd w:val="clear" w:color="auto" w:fill="EEF5E7" w:themeFill="accent3" w:themeFillTint="33"/>
        <w:spacing w:line="240" w:lineRule="auto"/>
        <w:rPr>
          <w:rFonts w:eastAsiaTheme="minorHAnsi" w:cstheme="minorBidi"/>
          <w:bCs w:val="0"/>
          <w:iCs w:val="0"/>
          <w:caps w:val="0"/>
          <w:color w:val="auto"/>
          <w:spacing w:val="0"/>
          <w:kern w:val="0"/>
          <w:sz w:val="22"/>
          <w:szCs w:val="22"/>
          <w:lang w:val="en-AU"/>
        </w:rPr>
      </w:pPr>
      <w:r>
        <w:rPr>
          <w:rFonts w:eastAsiaTheme="minorHAnsi" w:cstheme="minorBidi"/>
          <w:bCs w:val="0"/>
          <w:iCs w:val="0"/>
          <w:caps w:val="0"/>
          <w:color w:val="auto"/>
          <w:spacing w:val="0"/>
          <w:kern w:val="0"/>
          <w:sz w:val="22"/>
          <w:szCs w:val="22"/>
          <w:lang w:val="en-AU"/>
        </w:rPr>
        <w:t xml:space="preserve">- </w:t>
      </w:r>
      <w:r w:rsidR="00F16EC5">
        <w:rPr>
          <w:rFonts w:eastAsiaTheme="minorHAnsi" w:cstheme="minorBidi"/>
          <w:bCs w:val="0"/>
          <w:iCs w:val="0"/>
          <w:caps w:val="0"/>
          <w:color w:val="auto"/>
          <w:spacing w:val="0"/>
          <w:kern w:val="0"/>
          <w:sz w:val="22"/>
          <w:szCs w:val="22"/>
          <w:lang w:val="en-AU"/>
        </w:rPr>
        <w:t>Investments implemented as part of the ASEAN and Mekong Program are on track and broadly achieving their goals.</w:t>
      </w:r>
    </w:p>
    <w:p w14:paraId="15A667CB" w14:textId="77777777" w:rsidR="00B01D48" w:rsidRDefault="00F16EC5" w:rsidP="003E091B">
      <w:pPr>
        <w:pStyle w:val="Subtitle"/>
        <w:shd w:val="clear" w:color="auto" w:fill="EEF5E7" w:themeFill="accent3" w:themeFillTint="33"/>
        <w:spacing w:line="240" w:lineRule="auto"/>
        <w:rPr>
          <w:rFonts w:eastAsiaTheme="minorHAnsi" w:cstheme="minorBidi"/>
          <w:bCs w:val="0"/>
          <w:iCs w:val="0"/>
          <w:caps w:val="0"/>
          <w:color w:val="auto"/>
          <w:spacing w:val="0"/>
          <w:kern w:val="0"/>
          <w:sz w:val="22"/>
          <w:szCs w:val="22"/>
          <w:lang w:val="en-AU"/>
        </w:rPr>
      </w:pPr>
      <w:r>
        <w:rPr>
          <w:rFonts w:eastAsiaTheme="minorHAnsi" w:cstheme="minorBidi"/>
          <w:bCs w:val="0"/>
          <w:iCs w:val="0"/>
          <w:caps w:val="0"/>
          <w:color w:val="auto"/>
          <w:spacing w:val="0"/>
          <w:kern w:val="0"/>
          <w:sz w:val="22"/>
          <w:szCs w:val="22"/>
          <w:lang w:val="en-AU"/>
        </w:rPr>
        <w:t xml:space="preserve">- </w:t>
      </w:r>
      <w:r w:rsidR="00B01D48">
        <w:rPr>
          <w:rFonts w:eastAsiaTheme="minorHAnsi" w:cstheme="minorBidi"/>
          <w:bCs w:val="0"/>
          <w:iCs w:val="0"/>
          <w:caps w:val="0"/>
          <w:color w:val="auto"/>
          <w:spacing w:val="0"/>
          <w:kern w:val="0"/>
          <w:sz w:val="22"/>
          <w:szCs w:val="22"/>
          <w:lang w:val="en-AU"/>
        </w:rPr>
        <w:t xml:space="preserve">ASEAN </w:t>
      </w:r>
      <w:r w:rsidR="005B1433">
        <w:rPr>
          <w:rFonts w:eastAsiaTheme="minorHAnsi" w:cstheme="minorBidi"/>
          <w:bCs w:val="0"/>
          <w:iCs w:val="0"/>
          <w:caps w:val="0"/>
          <w:color w:val="auto"/>
          <w:spacing w:val="0"/>
          <w:kern w:val="0"/>
          <w:sz w:val="22"/>
          <w:szCs w:val="22"/>
          <w:lang w:val="en-AU"/>
        </w:rPr>
        <w:t xml:space="preserve">plays a key regional </w:t>
      </w:r>
      <w:r w:rsidR="00B01D48">
        <w:rPr>
          <w:rFonts w:eastAsiaTheme="minorHAnsi" w:cstheme="minorBidi"/>
          <w:bCs w:val="0"/>
          <w:iCs w:val="0"/>
          <w:caps w:val="0"/>
          <w:color w:val="auto"/>
          <w:spacing w:val="0"/>
          <w:kern w:val="0"/>
          <w:sz w:val="22"/>
          <w:szCs w:val="22"/>
          <w:lang w:val="en-AU"/>
        </w:rPr>
        <w:t>role</w:t>
      </w:r>
      <w:r w:rsidR="005B1433">
        <w:rPr>
          <w:rFonts w:eastAsiaTheme="minorHAnsi" w:cstheme="minorBidi"/>
          <w:bCs w:val="0"/>
          <w:iCs w:val="0"/>
          <w:caps w:val="0"/>
          <w:color w:val="auto"/>
          <w:spacing w:val="0"/>
          <w:kern w:val="0"/>
          <w:sz w:val="22"/>
          <w:szCs w:val="22"/>
          <w:lang w:val="en-AU"/>
        </w:rPr>
        <w:t xml:space="preserve"> in building a politically cohesive, econo</w:t>
      </w:r>
      <w:r w:rsidR="003E091B">
        <w:rPr>
          <w:rFonts w:eastAsiaTheme="minorHAnsi" w:cstheme="minorBidi"/>
          <w:bCs w:val="0"/>
          <w:iCs w:val="0"/>
          <w:caps w:val="0"/>
          <w:color w:val="auto"/>
          <w:spacing w:val="0"/>
          <w:kern w:val="0"/>
          <w:sz w:val="22"/>
          <w:szCs w:val="22"/>
          <w:lang w:val="en-AU"/>
        </w:rPr>
        <w:t xml:space="preserve">mically integrated and socially </w:t>
      </w:r>
      <w:r w:rsidR="005B1433">
        <w:rPr>
          <w:rFonts w:eastAsiaTheme="minorHAnsi" w:cstheme="minorBidi"/>
          <w:bCs w:val="0"/>
          <w:iCs w:val="0"/>
          <w:caps w:val="0"/>
          <w:color w:val="auto"/>
          <w:spacing w:val="0"/>
          <w:kern w:val="0"/>
          <w:sz w:val="22"/>
          <w:szCs w:val="22"/>
          <w:lang w:val="en-AU"/>
        </w:rPr>
        <w:t>responsible Southeast</w:t>
      </w:r>
      <w:r w:rsidR="00B8616D">
        <w:rPr>
          <w:rFonts w:eastAsiaTheme="minorHAnsi" w:cstheme="minorBidi"/>
          <w:bCs w:val="0"/>
          <w:iCs w:val="0"/>
          <w:caps w:val="0"/>
          <w:color w:val="auto"/>
          <w:spacing w:val="0"/>
          <w:kern w:val="0"/>
          <w:sz w:val="22"/>
          <w:szCs w:val="22"/>
          <w:lang w:val="en-AU"/>
        </w:rPr>
        <w:t xml:space="preserve"> Asia</w:t>
      </w:r>
      <w:r w:rsidR="005B1433">
        <w:rPr>
          <w:rFonts w:eastAsiaTheme="minorHAnsi" w:cstheme="minorBidi"/>
          <w:bCs w:val="0"/>
          <w:iCs w:val="0"/>
          <w:caps w:val="0"/>
          <w:color w:val="auto"/>
          <w:spacing w:val="0"/>
          <w:kern w:val="0"/>
          <w:sz w:val="22"/>
          <w:szCs w:val="22"/>
          <w:lang w:val="en-AU"/>
        </w:rPr>
        <w:t>.</w:t>
      </w:r>
    </w:p>
    <w:p w14:paraId="2BE89670" w14:textId="77777777" w:rsidR="005B1433" w:rsidRDefault="00B01D48" w:rsidP="0086415F">
      <w:pPr>
        <w:pStyle w:val="Subtitle"/>
        <w:shd w:val="clear" w:color="auto" w:fill="EEF5E7" w:themeFill="accent3" w:themeFillTint="33"/>
        <w:spacing w:line="240" w:lineRule="auto"/>
        <w:rPr>
          <w:rFonts w:eastAsiaTheme="minorHAnsi" w:cstheme="minorBidi"/>
          <w:bCs w:val="0"/>
          <w:iCs w:val="0"/>
          <w:caps w:val="0"/>
          <w:color w:val="auto"/>
          <w:spacing w:val="0"/>
          <w:kern w:val="0"/>
          <w:sz w:val="22"/>
          <w:szCs w:val="22"/>
          <w:lang w:val="en-AU"/>
        </w:rPr>
      </w:pPr>
      <w:r>
        <w:rPr>
          <w:rFonts w:eastAsiaTheme="minorHAnsi" w:cstheme="minorBidi"/>
          <w:bCs w:val="0"/>
          <w:iCs w:val="0"/>
          <w:caps w:val="0"/>
          <w:color w:val="auto"/>
          <w:spacing w:val="0"/>
          <w:kern w:val="0"/>
          <w:sz w:val="22"/>
          <w:szCs w:val="22"/>
          <w:lang w:val="en-AU"/>
        </w:rPr>
        <w:t xml:space="preserve">- </w:t>
      </w:r>
      <w:r w:rsidR="002F11A0">
        <w:rPr>
          <w:rFonts w:eastAsiaTheme="minorHAnsi" w:cstheme="minorBidi"/>
          <w:bCs w:val="0"/>
          <w:iCs w:val="0"/>
          <w:caps w:val="0"/>
          <w:color w:val="auto"/>
          <w:spacing w:val="0"/>
          <w:kern w:val="0"/>
          <w:sz w:val="22"/>
          <w:szCs w:val="22"/>
          <w:lang w:val="en-AU"/>
        </w:rPr>
        <w:t>Our aid program supports i</w:t>
      </w:r>
      <w:r w:rsidR="00781195">
        <w:rPr>
          <w:rFonts w:eastAsiaTheme="minorHAnsi" w:cstheme="minorBidi"/>
          <w:bCs w:val="0"/>
          <w:iCs w:val="0"/>
          <w:caps w:val="0"/>
          <w:color w:val="auto"/>
          <w:spacing w:val="0"/>
          <w:kern w:val="0"/>
          <w:sz w:val="22"/>
          <w:szCs w:val="22"/>
          <w:lang w:val="en-AU"/>
        </w:rPr>
        <w:t xml:space="preserve">nclusive regional </w:t>
      </w:r>
      <w:r w:rsidR="005B1433">
        <w:rPr>
          <w:rFonts w:eastAsiaTheme="minorHAnsi" w:cstheme="minorBidi"/>
          <w:bCs w:val="0"/>
          <w:iCs w:val="0"/>
          <w:caps w:val="0"/>
          <w:color w:val="auto"/>
          <w:spacing w:val="0"/>
          <w:kern w:val="0"/>
          <w:sz w:val="22"/>
          <w:szCs w:val="22"/>
          <w:lang w:val="en-AU"/>
        </w:rPr>
        <w:t xml:space="preserve">economic </w:t>
      </w:r>
      <w:r w:rsidR="00781195">
        <w:rPr>
          <w:rFonts w:eastAsiaTheme="minorHAnsi" w:cstheme="minorBidi"/>
          <w:bCs w:val="0"/>
          <w:iCs w:val="0"/>
          <w:caps w:val="0"/>
          <w:color w:val="auto"/>
          <w:spacing w:val="0"/>
          <w:kern w:val="0"/>
          <w:sz w:val="22"/>
          <w:szCs w:val="22"/>
          <w:lang w:val="en-AU"/>
        </w:rPr>
        <w:t>growth and cooperation; the governance of water resou</w:t>
      </w:r>
      <w:r w:rsidR="00EA42FD">
        <w:rPr>
          <w:rFonts w:eastAsiaTheme="minorHAnsi" w:cstheme="minorBidi"/>
          <w:bCs w:val="0"/>
          <w:iCs w:val="0"/>
          <w:caps w:val="0"/>
          <w:color w:val="auto"/>
          <w:spacing w:val="0"/>
          <w:kern w:val="0"/>
          <w:sz w:val="22"/>
          <w:szCs w:val="22"/>
          <w:lang w:val="en-AU"/>
        </w:rPr>
        <w:t>rces in the Mekong sub-</w:t>
      </w:r>
      <w:r w:rsidR="002F11A0">
        <w:rPr>
          <w:rFonts w:eastAsiaTheme="minorHAnsi" w:cstheme="minorBidi"/>
          <w:bCs w:val="0"/>
          <w:iCs w:val="0"/>
          <w:caps w:val="0"/>
          <w:color w:val="auto"/>
          <w:spacing w:val="0"/>
          <w:kern w:val="0"/>
          <w:sz w:val="22"/>
          <w:szCs w:val="22"/>
          <w:lang w:val="en-AU"/>
        </w:rPr>
        <w:t xml:space="preserve">region; and </w:t>
      </w:r>
      <w:r w:rsidR="00B8616D">
        <w:rPr>
          <w:rFonts w:eastAsiaTheme="minorHAnsi" w:cstheme="minorBidi"/>
          <w:bCs w:val="0"/>
          <w:iCs w:val="0"/>
          <w:caps w:val="0"/>
          <w:color w:val="auto"/>
          <w:spacing w:val="0"/>
          <w:kern w:val="0"/>
          <w:sz w:val="22"/>
          <w:szCs w:val="22"/>
          <w:lang w:val="en-AU"/>
        </w:rPr>
        <w:t xml:space="preserve">improved </w:t>
      </w:r>
      <w:r w:rsidR="002F11A0">
        <w:rPr>
          <w:rFonts w:eastAsiaTheme="minorHAnsi" w:cstheme="minorBidi"/>
          <w:bCs w:val="0"/>
          <w:iCs w:val="0"/>
          <w:caps w:val="0"/>
          <w:color w:val="auto"/>
          <w:spacing w:val="0"/>
          <w:kern w:val="0"/>
          <w:sz w:val="22"/>
          <w:szCs w:val="22"/>
          <w:lang w:val="en-AU"/>
        </w:rPr>
        <w:t>responses</w:t>
      </w:r>
      <w:r w:rsidR="00781195">
        <w:rPr>
          <w:rFonts w:eastAsiaTheme="minorHAnsi" w:cstheme="minorBidi"/>
          <w:bCs w:val="0"/>
          <w:iCs w:val="0"/>
          <w:caps w:val="0"/>
          <w:color w:val="auto"/>
          <w:spacing w:val="0"/>
          <w:kern w:val="0"/>
          <w:sz w:val="22"/>
          <w:szCs w:val="22"/>
          <w:lang w:val="en-AU"/>
        </w:rPr>
        <w:t xml:space="preserve"> to the transboundary challenges of people trafficking and exploitation of migrant workers</w:t>
      </w:r>
      <w:r w:rsidR="00B8616D">
        <w:rPr>
          <w:rFonts w:eastAsiaTheme="minorHAnsi" w:cstheme="minorBidi"/>
          <w:bCs w:val="0"/>
          <w:iCs w:val="0"/>
          <w:caps w:val="0"/>
          <w:color w:val="auto"/>
          <w:spacing w:val="0"/>
          <w:kern w:val="0"/>
          <w:sz w:val="22"/>
          <w:szCs w:val="22"/>
          <w:lang w:val="en-AU"/>
        </w:rPr>
        <w:t>. A</w:t>
      </w:r>
      <w:r w:rsidR="002F11A0">
        <w:rPr>
          <w:rFonts w:eastAsiaTheme="minorHAnsi" w:cstheme="minorBidi"/>
          <w:bCs w:val="0"/>
          <w:iCs w:val="0"/>
          <w:caps w:val="0"/>
          <w:color w:val="auto"/>
          <w:spacing w:val="0"/>
          <w:kern w:val="0"/>
          <w:sz w:val="22"/>
          <w:szCs w:val="22"/>
          <w:lang w:val="en-AU"/>
        </w:rPr>
        <w:t>ll</w:t>
      </w:r>
      <w:r w:rsidR="00781195">
        <w:rPr>
          <w:rFonts w:eastAsiaTheme="minorHAnsi" w:cstheme="minorBidi"/>
          <w:bCs w:val="0"/>
          <w:iCs w:val="0"/>
          <w:caps w:val="0"/>
          <w:color w:val="auto"/>
          <w:spacing w:val="0"/>
          <w:kern w:val="0"/>
          <w:sz w:val="22"/>
          <w:szCs w:val="22"/>
          <w:lang w:val="en-AU"/>
        </w:rPr>
        <w:t xml:space="preserve"> remain key priorities for ASEAN Member States.</w:t>
      </w:r>
      <w:r w:rsidR="0086415F">
        <w:rPr>
          <w:rFonts w:eastAsiaTheme="minorHAnsi" w:cstheme="minorBidi"/>
          <w:bCs w:val="0"/>
          <w:iCs w:val="0"/>
          <w:caps w:val="0"/>
          <w:color w:val="auto"/>
          <w:spacing w:val="0"/>
          <w:kern w:val="0"/>
          <w:sz w:val="22"/>
          <w:szCs w:val="22"/>
          <w:lang w:val="en-AU"/>
        </w:rPr>
        <w:t xml:space="preserve">                </w:t>
      </w:r>
    </w:p>
    <w:p w14:paraId="14E0094D" w14:textId="77777777" w:rsidR="003E091B" w:rsidRDefault="00C72FE7" w:rsidP="003E091B">
      <w:pPr>
        <w:pStyle w:val="Subtitle"/>
        <w:shd w:val="clear" w:color="auto" w:fill="EEF5E7" w:themeFill="accent3" w:themeFillTint="33"/>
        <w:spacing w:line="240" w:lineRule="auto"/>
        <w:rPr>
          <w:rFonts w:eastAsiaTheme="minorHAnsi" w:cstheme="minorBidi"/>
          <w:bCs w:val="0"/>
          <w:iCs w:val="0"/>
          <w:caps w:val="0"/>
          <w:color w:val="auto"/>
          <w:spacing w:val="0"/>
          <w:kern w:val="0"/>
          <w:sz w:val="22"/>
          <w:szCs w:val="22"/>
          <w:lang w:val="en-AU"/>
        </w:rPr>
      </w:pPr>
      <w:r>
        <w:rPr>
          <w:rFonts w:eastAsiaTheme="minorHAnsi" w:cstheme="minorBidi"/>
          <w:bCs w:val="0"/>
          <w:iCs w:val="0"/>
          <w:caps w:val="0"/>
          <w:color w:val="auto"/>
          <w:spacing w:val="0"/>
          <w:kern w:val="0"/>
          <w:sz w:val="22"/>
          <w:szCs w:val="22"/>
          <w:lang w:val="en-AU"/>
        </w:rPr>
        <w:t xml:space="preserve">- </w:t>
      </w:r>
      <w:r w:rsidR="00B01D48" w:rsidRPr="00B01D48">
        <w:rPr>
          <w:rFonts w:eastAsiaTheme="minorHAnsi" w:cstheme="minorBidi"/>
          <w:bCs w:val="0"/>
          <w:iCs w:val="0"/>
          <w:caps w:val="0"/>
          <w:color w:val="auto"/>
          <w:spacing w:val="0"/>
          <w:kern w:val="0"/>
          <w:sz w:val="22"/>
          <w:szCs w:val="22"/>
          <w:lang w:val="en-AU"/>
        </w:rPr>
        <w:t xml:space="preserve">The ASEAN and Mekong Program is </w:t>
      </w:r>
      <w:r w:rsidR="00234AB0">
        <w:rPr>
          <w:rFonts w:eastAsiaTheme="minorHAnsi" w:cstheme="minorBidi"/>
          <w:bCs w:val="0"/>
          <w:iCs w:val="0"/>
          <w:caps w:val="0"/>
          <w:color w:val="auto"/>
          <w:spacing w:val="0"/>
          <w:kern w:val="0"/>
          <w:sz w:val="22"/>
          <w:szCs w:val="22"/>
          <w:lang w:val="en-AU"/>
        </w:rPr>
        <w:t>appreciated b</w:t>
      </w:r>
      <w:r w:rsidR="00B01D48" w:rsidRPr="00B01D48">
        <w:rPr>
          <w:rFonts w:eastAsiaTheme="minorHAnsi" w:cstheme="minorBidi"/>
          <w:bCs w:val="0"/>
          <w:iCs w:val="0"/>
          <w:caps w:val="0"/>
          <w:color w:val="auto"/>
          <w:spacing w:val="0"/>
          <w:kern w:val="0"/>
          <w:sz w:val="22"/>
          <w:szCs w:val="22"/>
          <w:lang w:val="en-AU"/>
        </w:rPr>
        <w:t xml:space="preserve">y ASEAN and its member States </w:t>
      </w:r>
      <w:r w:rsidR="00234AB0">
        <w:rPr>
          <w:rFonts w:eastAsiaTheme="minorHAnsi" w:cstheme="minorBidi"/>
          <w:bCs w:val="0"/>
          <w:iCs w:val="0"/>
          <w:caps w:val="0"/>
          <w:color w:val="auto"/>
          <w:spacing w:val="0"/>
          <w:kern w:val="0"/>
          <w:sz w:val="22"/>
          <w:szCs w:val="22"/>
          <w:lang w:val="en-AU"/>
        </w:rPr>
        <w:t xml:space="preserve">for its collaborative </w:t>
      </w:r>
      <w:r>
        <w:rPr>
          <w:rFonts w:eastAsiaTheme="minorHAnsi" w:cstheme="minorBidi"/>
          <w:bCs w:val="0"/>
          <w:iCs w:val="0"/>
          <w:caps w:val="0"/>
          <w:color w:val="auto"/>
          <w:spacing w:val="0"/>
          <w:kern w:val="0"/>
          <w:sz w:val="22"/>
          <w:szCs w:val="22"/>
          <w:lang w:val="en-AU"/>
        </w:rPr>
        <w:t xml:space="preserve">and innovative </w:t>
      </w:r>
      <w:r w:rsidR="00234AB0">
        <w:rPr>
          <w:rFonts w:eastAsiaTheme="minorHAnsi" w:cstheme="minorBidi"/>
          <w:bCs w:val="0"/>
          <w:iCs w:val="0"/>
          <w:caps w:val="0"/>
          <w:color w:val="auto"/>
          <w:spacing w:val="0"/>
          <w:kern w:val="0"/>
          <w:sz w:val="22"/>
          <w:szCs w:val="22"/>
          <w:lang w:val="en-AU"/>
        </w:rPr>
        <w:t>approach to addre</w:t>
      </w:r>
      <w:r w:rsidR="0086415F">
        <w:rPr>
          <w:rFonts w:eastAsiaTheme="minorHAnsi" w:cstheme="minorBidi"/>
          <w:bCs w:val="0"/>
          <w:iCs w:val="0"/>
          <w:caps w:val="0"/>
          <w:color w:val="auto"/>
          <w:spacing w:val="0"/>
          <w:kern w:val="0"/>
          <w:sz w:val="22"/>
          <w:szCs w:val="22"/>
          <w:lang w:val="en-AU"/>
        </w:rPr>
        <w:t>s</w:t>
      </w:r>
      <w:r w:rsidR="00234AB0">
        <w:rPr>
          <w:rFonts w:eastAsiaTheme="minorHAnsi" w:cstheme="minorBidi"/>
          <w:bCs w:val="0"/>
          <w:iCs w:val="0"/>
          <w:caps w:val="0"/>
          <w:color w:val="auto"/>
          <w:spacing w:val="0"/>
          <w:kern w:val="0"/>
          <w:sz w:val="22"/>
          <w:szCs w:val="22"/>
          <w:lang w:val="en-AU"/>
        </w:rPr>
        <w:t>sing key regional challenges</w:t>
      </w:r>
      <w:r w:rsidR="0086415F">
        <w:rPr>
          <w:rFonts w:eastAsiaTheme="minorHAnsi" w:cstheme="minorBidi"/>
          <w:bCs w:val="0"/>
          <w:iCs w:val="0"/>
          <w:caps w:val="0"/>
          <w:color w:val="auto"/>
          <w:spacing w:val="0"/>
          <w:kern w:val="0"/>
          <w:sz w:val="22"/>
          <w:szCs w:val="22"/>
          <w:lang w:val="en-AU"/>
        </w:rPr>
        <w:t>.</w:t>
      </w:r>
      <w:r>
        <w:rPr>
          <w:rFonts w:eastAsiaTheme="minorHAnsi" w:cstheme="minorBidi"/>
          <w:bCs w:val="0"/>
          <w:iCs w:val="0"/>
          <w:caps w:val="0"/>
          <w:color w:val="auto"/>
          <w:spacing w:val="0"/>
          <w:kern w:val="0"/>
          <w:sz w:val="22"/>
          <w:szCs w:val="22"/>
          <w:lang w:val="en-AU"/>
        </w:rPr>
        <w:t xml:space="preserve"> </w:t>
      </w:r>
    </w:p>
    <w:p w14:paraId="71D194CE" w14:textId="77777777" w:rsidR="00F16EC5" w:rsidRDefault="003E091B" w:rsidP="00F16EC5">
      <w:pPr>
        <w:pStyle w:val="Subtitle"/>
        <w:shd w:val="clear" w:color="auto" w:fill="EEF5E7" w:themeFill="accent3" w:themeFillTint="33"/>
        <w:spacing w:line="240" w:lineRule="auto"/>
        <w:rPr>
          <w:rFonts w:eastAsiaTheme="minorHAnsi" w:cstheme="minorBidi"/>
          <w:bCs w:val="0"/>
          <w:iCs w:val="0"/>
          <w:caps w:val="0"/>
          <w:color w:val="auto"/>
          <w:spacing w:val="0"/>
          <w:kern w:val="0"/>
          <w:sz w:val="22"/>
          <w:szCs w:val="22"/>
          <w:lang w:val="en-AU"/>
        </w:rPr>
      </w:pPr>
      <w:r>
        <w:rPr>
          <w:rFonts w:eastAsiaTheme="minorHAnsi" w:cstheme="minorBidi"/>
          <w:bCs w:val="0"/>
          <w:iCs w:val="0"/>
          <w:caps w:val="0"/>
          <w:color w:val="auto"/>
          <w:spacing w:val="0"/>
          <w:kern w:val="0"/>
          <w:sz w:val="22"/>
          <w:szCs w:val="22"/>
          <w:lang w:val="en-AU"/>
        </w:rPr>
        <w:t xml:space="preserve">- </w:t>
      </w:r>
      <w:r w:rsidR="00F16EC5">
        <w:rPr>
          <w:rFonts w:eastAsiaTheme="minorHAnsi" w:cstheme="minorBidi"/>
          <w:bCs w:val="0"/>
          <w:iCs w:val="0"/>
          <w:caps w:val="0"/>
          <w:color w:val="auto"/>
          <w:spacing w:val="0"/>
          <w:kern w:val="0"/>
          <w:sz w:val="22"/>
          <w:szCs w:val="22"/>
          <w:lang w:val="en-AU"/>
        </w:rPr>
        <w:t>The announcement of the historic ASEAN-Australia Special Summit in March 2018 reflects the strength of the ASEAN-Australia Strategic Partnership and our longstanding commitment to Southeast Asia.</w:t>
      </w:r>
    </w:p>
    <w:p w14:paraId="6188CBC0" w14:textId="77777777" w:rsidR="003B563F" w:rsidRDefault="003B563F" w:rsidP="00B438D3">
      <w:pPr>
        <w:pStyle w:val="Subtitle"/>
        <w:rPr>
          <w:sz w:val="28"/>
          <w:szCs w:val="28"/>
        </w:rPr>
      </w:pPr>
    </w:p>
    <w:p w14:paraId="4E034165" w14:textId="19E42C6B" w:rsidR="005B5769" w:rsidRPr="003F1811" w:rsidRDefault="005B5769" w:rsidP="00B438D3">
      <w:pPr>
        <w:pStyle w:val="Subtitle"/>
        <w:rPr>
          <w:sz w:val="28"/>
          <w:szCs w:val="28"/>
        </w:rPr>
      </w:pPr>
      <w:r w:rsidRPr="003F1811">
        <w:rPr>
          <w:sz w:val="28"/>
          <w:szCs w:val="28"/>
        </w:rPr>
        <w:t>Summary</w:t>
      </w:r>
    </w:p>
    <w:p w14:paraId="6DF09B07" w14:textId="77777777" w:rsidR="000305D5" w:rsidRDefault="0071519A" w:rsidP="0071519A">
      <w:pPr>
        <w:rPr>
          <w:color w:val="auto"/>
          <w:lang w:val="en-AU"/>
        </w:rPr>
      </w:pPr>
      <w:bookmarkStart w:id="1" w:name="_MailEndCompose"/>
      <w:r w:rsidRPr="0071519A">
        <w:rPr>
          <w:color w:val="auto"/>
          <w:lang w:val="en-AU"/>
        </w:rPr>
        <w:t xml:space="preserve">Australia has a clear national interest in a </w:t>
      </w:r>
      <w:r w:rsidR="0086415F" w:rsidRPr="0071519A">
        <w:rPr>
          <w:color w:val="auto"/>
          <w:lang w:val="en-AU"/>
        </w:rPr>
        <w:t>prosperous</w:t>
      </w:r>
      <w:r w:rsidR="0086415F">
        <w:rPr>
          <w:color w:val="auto"/>
          <w:lang w:val="en-AU"/>
        </w:rPr>
        <w:t xml:space="preserve">, peaceful and secure Southeast Asia </w:t>
      </w:r>
      <w:r w:rsidRPr="0071519A">
        <w:rPr>
          <w:color w:val="auto"/>
          <w:lang w:val="en-AU"/>
        </w:rPr>
        <w:t xml:space="preserve">region. </w:t>
      </w:r>
    </w:p>
    <w:p w14:paraId="4278457E" w14:textId="1FB6467B" w:rsidR="0086415F" w:rsidRDefault="0086415F" w:rsidP="0071519A">
      <w:pPr>
        <w:rPr>
          <w:color w:val="auto"/>
          <w:lang w:val="en-AU"/>
        </w:rPr>
      </w:pPr>
      <w:r>
        <w:rPr>
          <w:color w:val="auto"/>
          <w:lang w:val="en-AU"/>
        </w:rPr>
        <w:t xml:space="preserve">Since the signing of the 1967 ASEAN Declaration, Australia has been at the forefront of political, economic and </w:t>
      </w:r>
      <w:r w:rsidR="00B7100F">
        <w:rPr>
          <w:color w:val="auto"/>
          <w:lang w:val="en-AU"/>
        </w:rPr>
        <w:t>people-to-people engagement with ASEAN. In</w:t>
      </w:r>
      <w:r>
        <w:rPr>
          <w:color w:val="auto"/>
          <w:lang w:val="en-AU"/>
        </w:rPr>
        <w:t xml:space="preserve"> 1974, Australia became ASEAN’s first Dialogue partner. And at the 40</w:t>
      </w:r>
      <w:r w:rsidRPr="0086415F">
        <w:rPr>
          <w:color w:val="auto"/>
          <w:vertAlign w:val="superscript"/>
          <w:lang w:val="en-AU"/>
        </w:rPr>
        <w:t>th</w:t>
      </w:r>
      <w:r>
        <w:rPr>
          <w:color w:val="auto"/>
          <w:lang w:val="en-AU"/>
        </w:rPr>
        <w:t xml:space="preserve"> Anniversary Commemorative Summit in Myanmar in November 2014, Australia and ASEAN </w:t>
      </w:r>
      <w:r w:rsidR="00F16EC5">
        <w:rPr>
          <w:color w:val="auto"/>
          <w:lang w:val="en-AU"/>
        </w:rPr>
        <w:t>elevated the relationship to</w:t>
      </w:r>
      <w:r>
        <w:rPr>
          <w:color w:val="auto"/>
          <w:lang w:val="en-AU"/>
        </w:rPr>
        <w:t xml:space="preserve"> a Strategic Partnership. </w:t>
      </w:r>
    </w:p>
    <w:p w14:paraId="1B0EC69F" w14:textId="77777777" w:rsidR="0071519A" w:rsidRPr="0071519A" w:rsidRDefault="00B7100F" w:rsidP="0071519A">
      <w:pPr>
        <w:rPr>
          <w:color w:val="auto"/>
          <w:lang w:val="en-AU"/>
        </w:rPr>
      </w:pPr>
      <w:r>
        <w:rPr>
          <w:color w:val="auto"/>
          <w:lang w:val="en-AU"/>
        </w:rPr>
        <w:t>Australia’s ASEAN and Mekong Program supports the shared vision of ASEAN</w:t>
      </w:r>
      <w:r w:rsidR="00F16EC5">
        <w:rPr>
          <w:color w:val="auto"/>
          <w:lang w:val="en-AU"/>
        </w:rPr>
        <w:t xml:space="preserve"> Member States</w:t>
      </w:r>
      <w:r>
        <w:rPr>
          <w:color w:val="auto"/>
          <w:lang w:val="en-AU"/>
        </w:rPr>
        <w:t xml:space="preserve"> to realise a politically </w:t>
      </w:r>
      <w:r w:rsidR="00AF6437" w:rsidRPr="00AF6437">
        <w:rPr>
          <w:color w:val="auto"/>
          <w:lang w:val="en-AU"/>
        </w:rPr>
        <w:t>co</w:t>
      </w:r>
      <w:r w:rsidR="00AF6437">
        <w:rPr>
          <w:color w:val="auto"/>
          <w:lang w:val="en-AU"/>
        </w:rPr>
        <w:t>hesive, economically integrated and</w:t>
      </w:r>
      <w:r w:rsidR="00AF6437" w:rsidRPr="00AF6437">
        <w:rPr>
          <w:color w:val="auto"/>
          <w:lang w:val="en-AU"/>
        </w:rPr>
        <w:t xml:space="preserve"> socially responsible</w:t>
      </w:r>
      <w:r w:rsidR="00AF6437">
        <w:rPr>
          <w:color w:val="auto"/>
          <w:lang w:val="en-AU"/>
        </w:rPr>
        <w:t xml:space="preserve"> community</w:t>
      </w:r>
      <w:r w:rsidR="00F16EC5">
        <w:rPr>
          <w:color w:val="auto"/>
          <w:lang w:val="en-AU"/>
        </w:rPr>
        <w:t xml:space="preserve"> in Southeast Asia</w:t>
      </w:r>
      <w:r>
        <w:rPr>
          <w:color w:val="auto"/>
          <w:lang w:val="en-AU"/>
        </w:rPr>
        <w:t xml:space="preserve">. </w:t>
      </w:r>
      <w:bookmarkEnd w:id="1"/>
      <w:r w:rsidR="00B8616D">
        <w:rPr>
          <w:color w:val="auto"/>
          <w:lang w:val="en-AU"/>
        </w:rPr>
        <w:t xml:space="preserve"> </w:t>
      </w:r>
    </w:p>
    <w:p w14:paraId="20E67F0E" w14:textId="390D552D" w:rsidR="00094964" w:rsidRPr="000305D5" w:rsidRDefault="00F16EC5" w:rsidP="00FC5FC4">
      <w:pPr>
        <w:rPr>
          <w:color w:val="auto"/>
          <w:lang w:val="en-AU"/>
        </w:rPr>
      </w:pPr>
      <w:r w:rsidRPr="00F16EC5">
        <w:rPr>
          <w:color w:val="auto"/>
          <w:lang w:val="en-AU"/>
        </w:rPr>
        <w:t>Investments implemented as part of the ASEAN and Mekong Program are on track and broadly achieving their goals.</w:t>
      </w:r>
      <w:r>
        <w:rPr>
          <w:color w:val="auto"/>
          <w:lang w:val="en-AU"/>
        </w:rPr>
        <w:t xml:space="preserve"> </w:t>
      </w:r>
      <w:r w:rsidR="00E0682F">
        <w:rPr>
          <w:color w:val="auto"/>
        </w:rPr>
        <w:t>The P</w:t>
      </w:r>
      <w:r w:rsidR="00094964">
        <w:rPr>
          <w:color w:val="auto"/>
        </w:rPr>
        <w:t>rogram</w:t>
      </w:r>
      <w:r w:rsidR="00494924">
        <w:rPr>
          <w:color w:val="auto"/>
        </w:rPr>
        <w:t xml:space="preserve"> </w:t>
      </w:r>
      <w:r w:rsidR="002F11A0">
        <w:rPr>
          <w:color w:val="auto"/>
        </w:rPr>
        <w:t>benefits from o</w:t>
      </w:r>
      <w:r w:rsidR="00094964">
        <w:rPr>
          <w:color w:val="auto"/>
        </w:rPr>
        <w:t>ur long-standing partnership with ASEAN</w:t>
      </w:r>
      <w:r w:rsidR="00831FA2">
        <w:rPr>
          <w:color w:val="auto"/>
        </w:rPr>
        <w:t>,</w:t>
      </w:r>
      <w:r w:rsidR="00494924">
        <w:rPr>
          <w:color w:val="auto"/>
        </w:rPr>
        <w:t xml:space="preserve"> </w:t>
      </w:r>
      <w:r w:rsidR="002F11A0">
        <w:rPr>
          <w:color w:val="auto"/>
        </w:rPr>
        <w:t xml:space="preserve">recognition of our technical expertise </w:t>
      </w:r>
      <w:r w:rsidR="00494924">
        <w:rPr>
          <w:color w:val="auto"/>
        </w:rPr>
        <w:t>and a record of</w:t>
      </w:r>
      <w:r w:rsidR="00094964">
        <w:rPr>
          <w:color w:val="auto"/>
        </w:rPr>
        <w:t xml:space="preserve"> cooperative</w:t>
      </w:r>
      <w:r w:rsidR="00844774">
        <w:rPr>
          <w:color w:val="auto"/>
        </w:rPr>
        <w:t xml:space="preserve"> achievement</w:t>
      </w:r>
      <w:r w:rsidR="00CF5C58">
        <w:rPr>
          <w:color w:val="auto"/>
        </w:rPr>
        <w:t xml:space="preserve"> in working through ASEAN systems</w:t>
      </w:r>
      <w:r w:rsidR="00B8616D">
        <w:rPr>
          <w:color w:val="auto"/>
        </w:rPr>
        <w:t>.</w:t>
      </w:r>
      <w:r w:rsidR="00494924">
        <w:rPr>
          <w:color w:val="auto"/>
        </w:rPr>
        <w:t xml:space="preserve"> </w:t>
      </w:r>
      <w:r w:rsidR="00B8616D">
        <w:rPr>
          <w:color w:val="auto"/>
        </w:rPr>
        <w:t>All of which creates strong relationships for Australia with ASEAN partners</w:t>
      </w:r>
      <w:r>
        <w:rPr>
          <w:color w:val="auto"/>
        </w:rPr>
        <w:t xml:space="preserve">. </w:t>
      </w:r>
      <w:r w:rsidR="009242E8">
        <w:rPr>
          <w:color w:val="auto"/>
        </w:rPr>
        <w:t xml:space="preserve">The program has </w:t>
      </w:r>
      <w:r w:rsidR="00B8616D">
        <w:rPr>
          <w:color w:val="auto"/>
        </w:rPr>
        <w:t xml:space="preserve">significant impact despite the relatively small scale of some investments. </w:t>
      </w:r>
    </w:p>
    <w:p w14:paraId="45A505E4" w14:textId="77777777" w:rsidR="007E6026" w:rsidRDefault="006C7D16" w:rsidP="007E6026">
      <w:pPr>
        <w:rPr>
          <w:color w:val="auto"/>
        </w:rPr>
      </w:pPr>
      <w:r>
        <w:rPr>
          <w:color w:val="auto"/>
        </w:rPr>
        <w:t xml:space="preserve">The Program’s </w:t>
      </w:r>
      <w:r w:rsidR="00844774" w:rsidRPr="000305D5" w:rsidDel="00844774">
        <w:rPr>
          <w:b/>
          <w:color w:val="auto"/>
        </w:rPr>
        <w:t>economic investments</w:t>
      </w:r>
      <w:r w:rsidR="00844774" w:rsidDel="00844774">
        <w:rPr>
          <w:color w:val="auto"/>
        </w:rPr>
        <w:t xml:space="preserve"> focus on </w:t>
      </w:r>
      <w:r w:rsidR="00844774">
        <w:rPr>
          <w:color w:val="auto"/>
        </w:rPr>
        <w:t xml:space="preserve">enhancing </w:t>
      </w:r>
      <w:r w:rsidR="00AE480D">
        <w:rPr>
          <w:color w:val="auto"/>
        </w:rPr>
        <w:t xml:space="preserve">regional economic integration and </w:t>
      </w:r>
      <w:r w:rsidR="00844774">
        <w:rPr>
          <w:color w:val="auto"/>
        </w:rPr>
        <w:t>connectivity (AADCPII and GMS</w:t>
      </w:r>
      <w:r w:rsidR="009A4F4C">
        <w:rPr>
          <w:color w:val="auto"/>
        </w:rPr>
        <w:t xml:space="preserve"> </w:t>
      </w:r>
      <w:r w:rsidR="00844774">
        <w:rPr>
          <w:color w:val="auto"/>
        </w:rPr>
        <w:t>TTF)</w:t>
      </w:r>
      <w:r>
        <w:rPr>
          <w:rStyle w:val="FootnoteReference"/>
          <w:color w:val="auto"/>
        </w:rPr>
        <w:footnoteReference w:id="1"/>
      </w:r>
      <w:r w:rsidR="00424A38">
        <w:rPr>
          <w:color w:val="auto"/>
        </w:rPr>
        <w:t>;</w:t>
      </w:r>
      <w:r w:rsidR="00844774">
        <w:rPr>
          <w:color w:val="auto"/>
        </w:rPr>
        <w:t xml:space="preserve"> supporting the implementation of F</w:t>
      </w:r>
      <w:r w:rsidR="00F600FA">
        <w:rPr>
          <w:color w:val="auto"/>
        </w:rPr>
        <w:t xml:space="preserve">ree </w:t>
      </w:r>
      <w:r w:rsidR="00844774">
        <w:rPr>
          <w:color w:val="auto"/>
        </w:rPr>
        <w:t>T</w:t>
      </w:r>
      <w:r w:rsidR="00F600FA">
        <w:rPr>
          <w:color w:val="auto"/>
        </w:rPr>
        <w:t>rade Agreement</w:t>
      </w:r>
      <w:r w:rsidR="00844774">
        <w:rPr>
          <w:color w:val="auto"/>
        </w:rPr>
        <w:t xml:space="preserve"> commitments (AECSP)</w:t>
      </w:r>
      <w:r>
        <w:rPr>
          <w:rStyle w:val="FootnoteReference"/>
          <w:color w:val="auto"/>
        </w:rPr>
        <w:footnoteReference w:id="2"/>
      </w:r>
      <w:r w:rsidR="00424A38">
        <w:rPr>
          <w:color w:val="auto"/>
        </w:rPr>
        <w:t>;</w:t>
      </w:r>
      <w:r w:rsidR="00844774">
        <w:rPr>
          <w:color w:val="auto"/>
        </w:rPr>
        <w:t xml:space="preserve"> supporting policy making on water, food </w:t>
      </w:r>
      <w:r w:rsidR="00FD66B6">
        <w:rPr>
          <w:color w:val="auto"/>
        </w:rPr>
        <w:t xml:space="preserve">and environmental </w:t>
      </w:r>
      <w:r w:rsidR="00844774">
        <w:rPr>
          <w:color w:val="auto"/>
        </w:rPr>
        <w:t>security (GMWRP)</w:t>
      </w:r>
      <w:r>
        <w:rPr>
          <w:rStyle w:val="FootnoteReference"/>
          <w:color w:val="auto"/>
        </w:rPr>
        <w:footnoteReference w:id="3"/>
      </w:r>
      <w:r w:rsidR="002F11A0">
        <w:rPr>
          <w:color w:val="auto"/>
        </w:rPr>
        <w:t xml:space="preserve"> and economic policy (ERIA)</w:t>
      </w:r>
      <w:r w:rsidR="002F11A0">
        <w:rPr>
          <w:rStyle w:val="FootnoteReference"/>
          <w:color w:val="auto"/>
        </w:rPr>
        <w:footnoteReference w:id="4"/>
      </w:r>
      <w:r w:rsidR="00424A38">
        <w:rPr>
          <w:color w:val="auto"/>
        </w:rPr>
        <w:t>;</w:t>
      </w:r>
      <w:r w:rsidR="00844774">
        <w:rPr>
          <w:color w:val="auto"/>
        </w:rPr>
        <w:t xml:space="preserve"> </w:t>
      </w:r>
      <w:r w:rsidR="00D55FCC">
        <w:rPr>
          <w:color w:val="auto"/>
        </w:rPr>
        <w:t xml:space="preserve">improving </w:t>
      </w:r>
      <w:r w:rsidR="00844774" w:rsidDel="00844774">
        <w:rPr>
          <w:color w:val="auto"/>
        </w:rPr>
        <w:t>access to financ</w:t>
      </w:r>
      <w:r w:rsidR="00844774">
        <w:rPr>
          <w:color w:val="auto"/>
        </w:rPr>
        <w:t xml:space="preserve">ial services </w:t>
      </w:r>
      <w:r w:rsidR="00B53064">
        <w:rPr>
          <w:color w:val="auto"/>
        </w:rPr>
        <w:t>for low income men and women in ASEAN</w:t>
      </w:r>
      <w:r w:rsidR="00844774">
        <w:rPr>
          <w:color w:val="auto"/>
        </w:rPr>
        <w:t xml:space="preserve"> (SHIFT)</w:t>
      </w:r>
      <w:r>
        <w:rPr>
          <w:rStyle w:val="FootnoteReference"/>
          <w:color w:val="auto"/>
        </w:rPr>
        <w:footnoteReference w:id="5"/>
      </w:r>
      <w:r w:rsidR="00424A38">
        <w:rPr>
          <w:color w:val="auto"/>
        </w:rPr>
        <w:t>;</w:t>
      </w:r>
      <w:r w:rsidR="00B7100F">
        <w:rPr>
          <w:color w:val="auto"/>
        </w:rPr>
        <w:t xml:space="preserve"> </w:t>
      </w:r>
      <w:r w:rsidR="00CF5C58">
        <w:rPr>
          <w:color w:val="auto"/>
        </w:rPr>
        <w:t>support</w:t>
      </w:r>
      <w:r w:rsidR="00D55FCC">
        <w:rPr>
          <w:color w:val="auto"/>
        </w:rPr>
        <w:t>ing</w:t>
      </w:r>
      <w:r w:rsidR="00CF5C58">
        <w:rPr>
          <w:color w:val="auto"/>
        </w:rPr>
        <w:t xml:space="preserve"> entrepreneurship, </w:t>
      </w:r>
      <w:r w:rsidR="00844774">
        <w:rPr>
          <w:color w:val="auto"/>
        </w:rPr>
        <w:t xml:space="preserve">innovation </w:t>
      </w:r>
      <w:r w:rsidR="00CF5C58">
        <w:rPr>
          <w:color w:val="auto"/>
        </w:rPr>
        <w:t xml:space="preserve">and economic policy making </w:t>
      </w:r>
      <w:r w:rsidR="00844774">
        <w:rPr>
          <w:color w:val="auto"/>
        </w:rPr>
        <w:t>(MBI)</w:t>
      </w:r>
      <w:r>
        <w:rPr>
          <w:rStyle w:val="FootnoteReference"/>
          <w:color w:val="auto"/>
        </w:rPr>
        <w:footnoteReference w:id="6"/>
      </w:r>
      <w:r w:rsidR="00424A38">
        <w:rPr>
          <w:color w:val="auto"/>
        </w:rPr>
        <w:t xml:space="preserve">; </w:t>
      </w:r>
      <w:r w:rsidR="00B53064">
        <w:rPr>
          <w:color w:val="auto"/>
        </w:rPr>
        <w:t xml:space="preserve">and building </w:t>
      </w:r>
      <w:r w:rsidR="00424A38">
        <w:rPr>
          <w:color w:val="auto"/>
        </w:rPr>
        <w:t xml:space="preserve">the </w:t>
      </w:r>
      <w:r w:rsidR="00B53064">
        <w:rPr>
          <w:color w:val="auto"/>
        </w:rPr>
        <w:t>capacity of women’s economic rights in ASEAN (WEL ASEAN)</w:t>
      </w:r>
      <w:r w:rsidR="00B53064">
        <w:rPr>
          <w:rStyle w:val="FootnoteReference"/>
          <w:color w:val="auto"/>
        </w:rPr>
        <w:footnoteReference w:id="7"/>
      </w:r>
      <w:r w:rsidR="00B53064">
        <w:rPr>
          <w:color w:val="auto"/>
        </w:rPr>
        <w:t>.</w:t>
      </w:r>
      <w:r w:rsidR="00844774">
        <w:rPr>
          <w:color w:val="auto"/>
        </w:rPr>
        <w:t xml:space="preserve"> </w:t>
      </w:r>
    </w:p>
    <w:p w14:paraId="66DFD271" w14:textId="77777777" w:rsidR="00FD66B6" w:rsidRDefault="00FD66B6" w:rsidP="00844774">
      <w:pPr>
        <w:rPr>
          <w:color w:val="auto"/>
        </w:rPr>
      </w:pPr>
      <w:r>
        <w:rPr>
          <w:color w:val="auto"/>
        </w:rPr>
        <w:t xml:space="preserve">The </w:t>
      </w:r>
      <w:r w:rsidR="001042E0">
        <w:rPr>
          <w:color w:val="auto"/>
        </w:rPr>
        <w:t xml:space="preserve">GMWRP </w:t>
      </w:r>
      <w:r>
        <w:rPr>
          <w:color w:val="auto"/>
        </w:rPr>
        <w:t>play</w:t>
      </w:r>
      <w:r w:rsidR="00E0682F">
        <w:rPr>
          <w:color w:val="auto"/>
        </w:rPr>
        <w:t>s</w:t>
      </w:r>
      <w:r>
        <w:rPr>
          <w:color w:val="auto"/>
        </w:rPr>
        <w:t xml:space="preserve"> a significant role across the Mekong </w:t>
      </w:r>
      <w:r w:rsidR="00BA5C97">
        <w:rPr>
          <w:color w:val="auto"/>
        </w:rPr>
        <w:t xml:space="preserve">sub-region in improving the </w:t>
      </w:r>
      <w:r w:rsidR="00BA5C97" w:rsidRPr="000305D5">
        <w:rPr>
          <w:b/>
          <w:color w:val="auto"/>
        </w:rPr>
        <w:t xml:space="preserve">governance </w:t>
      </w:r>
      <w:r w:rsidR="00234AB0" w:rsidRPr="000305D5">
        <w:rPr>
          <w:b/>
          <w:color w:val="auto"/>
        </w:rPr>
        <w:t xml:space="preserve">of </w:t>
      </w:r>
      <w:r w:rsidR="00BA5C97" w:rsidRPr="000305D5">
        <w:rPr>
          <w:b/>
          <w:color w:val="auto"/>
        </w:rPr>
        <w:t>water</w:t>
      </w:r>
      <w:r w:rsidR="00BA5C97">
        <w:rPr>
          <w:color w:val="auto"/>
        </w:rPr>
        <w:t xml:space="preserve"> sharing and infrastructure (mainly hydropower dam) development, including to </w:t>
      </w:r>
      <w:r w:rsidR="00950EF5">
        <w:rPr>
          <w:color w:val="auto"/>
        </w:rPr>
        <w:t xml:space="preserve">better </w:t>
      </w:r>
      <w:r w:rsidR="00BA5C97">
        <w:rPr>
          <w:color w:val="auto"/>
        </w:rPr>
        <w:t>manage environmental and transboundary impacts. Water remains a vital resource for economic develo</w:t>
      </w:r>
      <w:r w:rsidR="00424A38">
        <w:rPr>
          <w:color w:val="auto"/>
        </w:rPr>
        <w:t>pment across the Greater Mekong</w:t>
      </w:r>
      <w:r w:rsidR="00BA5C97">
        <w:rPr>
          <w:color w:val="auto"/>
        </w:rPr>
        <w:t xml:space="preserve"> and is an important source of electricity for </w:t>
      </w:r>
      <w:r w:rsidR="00B7100F">
        <w:rPr>
          <w:color w:val="auto"/>
        </w:rPr>
        <w:t xml:space="preserve">fast </w:t>
      </w:r>
      <w:r w:rsidR="00BA5C97">
        <w:rPr>
          <w:color w:val="auto"/>
        </w:rPr>
        <w:t xml:space="preserve">growing </w:t>
      </w:r>
      <w:r w:rsidR="00424A38">
        <w:rPr>
          <w:color w:val="auto"/>
        </w:rPr>
        <w:t xml:space="preserve">ASEAN </w:t>
      </w:r>
      <w:r w:rsidR="00B7100F">
        <w:rPr>
          <w:color w:val="auto"/>
        </w:rPr>
        <w:t xml:space="preserve">Member States. </w:t>
      </w:r>
      <w:r>
        <w:rPr>
          <w:color w:val="auto"/>
        </w:rPr>
        <w:t xml:space="preserve"> </w:t>
      </w:r>
    </w:p>
    <w:p w14:paraId="3399385B" w14:textId="77777777" w:rsidR="00094964" w:rsidRDefault="00844774" w:rsidP="00844774">
      <w:pPr>
        <w:rPr>
          <w:color w:val="auto"/>
        </w:rPr>
      </w:pPr>
      <w:r w:rsidDel="00844774">
        <w:rPr>
          <w:color w:val="auto"/>
        </w:rPr>
        <w:t xml:space="preserve">Our </w:t>
      </w:r>
      <w:r w:rsidR="00B47D02">
        <w:rPr>
          <w:color w:val="auto"/>
        </w:rPr>
        <w:t xml:space="preserve">flagship </w:t>
      </w:r>
      <w:r w:rsidR="00A15087" w:rsidRPr="000305D5">
        <w:rPr>
          <w:b/>
          <w:color w:val="auto"/>
        </w:rPr>
        <w:t>counter</w:t>
      </w:r>
      <w:r w:rsidRPr="000305D5" w:rsidDel="00844774">
        <w:rPr>
          <w:b/>
          <w:color w:val="auto"/>
        </w:rPr>
        <w:t>-trafficking</w:t>
      </w:r>
      <w:r w:rsidR="00234AB0">
        <w:rPr>
          <w:color w:val="auto"/>
        </w:rPr>
        <w:t xml:space="preserve"> (AA</w:t>
      </w:r>
      <w:r w:rsidR="002C71A7">
        <w:rPr>
          <w:color w:val="auto"/>
        </w:rPr>
        <w:t>P</w:t>
      </w:r>
      <w:r w:rsidR="00862BB7">
        <w:rPr>
          <w:color w:val="auto"/>
        </w:rPr>
        <w:t>TIP)</w:t>
      </w:r>
      <w:r w:rsidR="006C7D16">
        <w:rPr>
          <w:rStyle w:val="FootnoteReference"/>
          <w:color w:val="auto"/>
        </w:rPr>
        <w:footnoteReference w:id="8"/>
      </w:r>
      <w:r w:rsidRPr="005D5F7D" w:rsidDel="00844774">
        <w:rPr>
          <w:color w:val="auto"/>
        </w:rPr>
        <w:t xml:space="preserve"> and </w:t>
      </w:r>
      <w:r w:rsidRPr="000305D5" w:rsidDel="00844774">
        <w:rPr>
          <w:b/>
          <w:color w:val="auto"/>
        </w:rPr>
        <w:t>safe migration</w:t>
      </w:r>
      <w:r w:rsidR="00862BB7">
        <w:rPr>
          <w:color w:val="auto"/>
        </w:rPr>
        <w:t xml:space="preserve"> (TRIANGLE in ASEAN)</w:t>
      </w:r>
      <w:r w:rsidR="006C7D16">
        <w:rPr>
          <w:rStyle w:val="FootnoteReference"/>
          <w:color w:val="auto"/>
        </w:rPr>
        <w:footnoteReference w:id="9"/>
      </w:r>
      <w:r w:rsidRPr="005D5F7D" w:rsidDel="00844774">
        <w:rPr>
          <w:color w:val="auto"/>
        </w:rPr>
        <w:t xml:space="preserve"> investments </w:t>
      </w:r>
      <w:r w:rsidDel="00844774">
        <w:rPr>
          <w:color w:val="auto"/>
        </w:rPr>
        <w:t xml:space="preserve">support effective </w:t>
      </w:r>
      <w:r w:rsidR="00862BB7">
        <w:rPr>
          <w:color w:val="auto"/>
        </w:rPr>
        <w:t xml:space="preserve">regional responses to cross-border governance challenges, </w:t>
      </w:r>
      <w:r w:rsidDel="00844774">
        <w:rPr>
          <w:color w:val="auto"/>
        </w:rPr>
        <w:t>human rights</w:t>
      </w:r>
      <w:r w:rsidR="00EF0036">
        <w:rPr>
          <w:color w:val="auto"/>
        </w:rPr>
        <w:t xml:space="preserve"> issues and</w:t>
      </w:r>
      <w:r w:rsidR="00862BB7">
        <w:rPr>
          <w:color w:val="auto"/>
        </w:rPr>
        <w:t xml:space="preserve"> stable and </w:t>
      </w:r>
      <w:r w:rsidR="00862BB7">
        <w:rPr>
          <w:color w:val="auto"/>
        </w:rPr>
        <w:lastRenderedPageBreak/>
        <w:t xml:space="preserve">inclusive growth. </w:t>
      </w:r>
      <w:r w:rsidDel="00844774">
        <w:rPr>
          <w:color w:val="auto"/>
        </w:rPr>
        <w:t xml:space="preserve">This work </w:t>
      </w:r>
      <w:r w:rsidR="00D55FCC">
        <w:rPr>
          <w:color w:val="auto"/>
        </w:rPr>
        <w:t xml:space="preserve">has gained </w:t>
      </w:r>
      <w:r w:rsidR="00B7100F">
        <w:rPr>
          <w:color w:val="auto"/>
        </w:rPr>
        <w:t xml:space="preserve">recent prominence following </w:t>
      </w:r>
      <w:r w:rsidR="00862BB7">
        <w:rPr>
          <w:color w:val="auto"/>
        </w:rPr>
        <w:t xml:space="preserve">the entry into force of </w:t>
      </w:r>
      <w:r w:rsidR="00B7100F">
        <w:rPr>
          <w:color w:val="auto"/>
        </w:rPr>
        <w:t xml:space="preserve">the </w:t>
      </w:r>
      <w:r w:rsidR="00862BB7">
        <w:rPr>
          <w:color w:val="auto"/>
        </w:rPr>
        <w:t>ASEAN</w:t>
      </w:r>
      <w:r w:rsidR="00B33872">
        <w:rPr>
          <w:color w:val="auto"/>
        </w:rPr>
        <w:t xml:space="preserve"> trafficking convention </w:t>
      </w:r>
      <w:r w:rsidR="009E20A4">
        <w:rPr>
          <w:color w:val="auto"/>
        </w:rPr>
        <w:t>(ACTIP)</w:t>
      </w:r>
      <w:r w:rsidR="00B33872">
        <w:rPr>
          <w:rStyle w:val="FootnoteReference"/>
          <w:color w:val="auto"/>
        </w:rPr>
        <w:footnoteReference w:id="10"/>
      </w:r>
      <w:r w:rsidR="00862BB7">
        <w:rPr>
          <w:color w:val="auto"/>
        </w:rPr>
        <w:t xml:space="preserve"> </w:t>
      </w:r>
      <w:r w:rsidR="00B7100F">
        <w:rPr>
          <w:color w:val="auto"/>
        </w:rPr>
        <w:t xml:space="preserve">in March 2017 </w:t>
      </w:r>
      <w:r w:rsidR="00862BB7">
        <w:rPr>
          <w:color w:val="auto"/>
        </w:rPr>
        <w:t xml:space="preserve">and </w:t>
      </w:r>
      <w:r w:rsidR="00234AB0">
        <w:rPr>
          <w:color w:val="auto"/>
        </w:rPr>
        <w:t>renewed regional and global efforts to combat trafficking and modern slavery</w:t>
      </w:r>
      <w:r w:rsidR="00831FA2">
        <w:rPr>
          <w:color w:val="auto"/>
        </w:rPr>
        <w:t xml:space="preserve">. </w:t>
      </w:r>
    </w:p>
    <w:p w14:paraId="1813C5D7" w14:textId="77777777" w:rsidR="00C9795F" w:rsidRPr="00A90032" w:rsidRDefault="00C9795F" w:rsidP="00A90032">
      <w:pPr>
        <w:rPr>
          <w:color w:val="auto"/>
        </w:rPr>
      </w:pPr>
      <w:r w:rsidRPr="003E091B">
        <w:rPr>
          <w:color w:val="auto"/>
        </w:rPr>
        <w:t xml:space="preserve">Looking forward the Program will </w:t>
      </w:r>
      <w:r w:rsidR="00D55FCC" w:rsidRPr="003E091B">
        <w:rPr>
          <w:color w:val="auto"/>
        </w:rPr>
        <w:t xml:space="preserve">implement </w:t>
      </w:r>
      <w:r w:rsidRPr="003E091B">
        <w:rPr>
          <w:color w:val="auto"/>
        </w:rPr>
        <w:t>key areas of cooperation to be announced at the historic ASEAN-Austral</w:t>
      </w:r>
      <w:r w:rsidR="003E091B" w:rsidRPr="003E091B">
        <w:rPr>
          <w:color w:val="auto"/>
        </w:rPr>
        <w:t>ia Special Summit in March 2018 to further</w:t>
      </w:r>
      <w:r w:rsidR="003E091B">
        <w:rPr>
          <w:color w:val="auto"/>
        </w:rPr>
        <w:t xml:space="preserve"> advance our strategic partnership with ASEAN. </w:t>
      </w:r>
    </w:p>
    <w:p w14:paraId="49998739" w14:textId="77777777" w:rsidR="00184F1E" w:rsidRPr="003F1811" w:rsidDel="00844774" w:rsidRDefault="00184F1E" w:rsidP="0016376A">
      <w:pPr>
        <w:pStyle w:val="Subtitle"/>
        <w:rPr>
          <w:sz w:val="28"/>
          <w:szCs w:val="28"/>
        </w:rPr>
      </w:pPr>
      <w:r w:rsidRPr="003F1811" w:rsidDel="00844774">
        <w:rPr>
          <w:sz w:val="28"/>
          <w:szCs w:val="28"/>
        </w:rPr>
        <w:t>Expenditure</w:t>
      </w:r>
      <w:r w:rsidR="00921A79" w:rsidRPr="003F1811" w:rsidDel="00844774">
        <w:rPr>
          <w:sz w:val="28"/>
          <w:szCs w:val="28"/>
        </w:rPr>
        <w:t xml:space="preserve">  </w:t>
      </w:r>
    </w:p>
    <w:p w14:paraId="21E55F70" w14:textId="77777777" w:rsidR="00184F1E" w:rsidRPr="00DF23E9" w:rsidRDefault="007B7F29" w:rsidP="00184F1E">
      <w:pPr>
        <w:rPr>
          <w:color w:val="auto"/>
        </w:rPr>
      </w:pPr>
      <w:r w:rsidRPr="00DF23E9">
        <w:rPr>
          <w:color w:val="auto"/>
        </w:rPr>
        <w:t xml:space="preserve">The ASEAN and Mekong Program’s </w:t>
      </w:r>
      <w:r w:rsidR="00F22746" w:rsidRPr="00DF23E9">
        <w:rPr>
          <w:color w:val="auto"/>
        </w:rPr>
        <w:t>expenditure was $33.55m</w:t>
      </w:r>
      <w:r w:rsidR="00DA1C50" w:rsidRPr="00DF23E9">
        <w:rPr>
          <w:color w:val="auto"/>
        </w:rPr>
        <w:t xml:space="preserve"> in 2016-17</w:t>
      </w:r>
      <w:r w:rsidR="0016376A">
        <w:rPr>
          <w:color w:val="auto"/>
        </w:rPr>
        <w:t xml:space="preserve"> with $19.85m (59% of total ODA) to objective 1: Enabling regional economic cooperation and inclusive growth; and, $13.7m (41% of total ODA) to objective 2: Strengthening regional responses to trafficking and the exploitation of migrant workers. </w:t>
      </w:r>
    </w:p>
    <w:p w14:paraId="778B1B55" w14:textId="77777777" w:rsidR="0016376A" w:rsidRDefault="0016376A" w:rsidP="0016376A">
      <w:pPr>
        <w:pStyle w:val="Subtitle"/>
      </w:pPr>
    </w:p>
    <w:p w14:paraId="2EA48F4E" w14:textId="77777777" w:rsidR="005B5769" w:rsidRPr="003F1811" w:rsidRDefault="005B5769" w:rsidP="0016376A">
      <w:pPr>
        <w:pStyle w:val="Subtitle"/>
        <w:rPr>
          <w:sz w:val="28"/>
          <w:szCs w:val="28"/>
        </w:rPr>
      </w:pPr>
      <w:r w:rsidRPr="003F1811">
        <w:rPr>
          <w:sz w:val="28"/>
          <w:szCs w:val="28"/>
        </w:rPr>
        <w:t>Performance against Strategic Objectives</w:t>
      </w:r>
    </w:p>
    <w:tbl>
      <w:tblPr>
        <w:tblStyle w:val="APPR"/>
        <w:tblW w:w="5000" w:type="pct"/>
        <w:tblLook w:val="0000" w:firstRow="0" w:lastRow="0" w:firstColumn="0" w:lastColumn="0" w:noHBand="0" w:noVBand="0"/>
      </w:tblPr>
      <w:tblGrid>
        <w:gridCol w:w="5849"/>
        <w:gridCol w:w="1126"/>
        <w:gridCol w:w="430"/>
        <w:gridCol w:w="1195"/>
        <w:gridCol w:w="1038"/>
      </w:tblGrid>
      <w:tr w:rsidR="002A4A0E" w:rsidRPr="00812509" w14:paraId="32803328" w14:textId="77777777" w:rsidTr="00184F1E">
        <w:trPr>
          <w:cnfStyle w:val="000000010000" w:firstRow="0" w:lastRow="0" w:firstColumn="0" w:lastColumn="0" w:oddVBand="0" w:evenVBand="0" w:oddHBand="0" w:evenHBand="1" w:firstRowFirstColumn="0" w:firstRowLastColumn="0" w:lastRowFirstColumn="0" w:lastRowLastColumn="0"/>
          <w:trHeight w:val="651"/>
        </w:trPr>
        <w:tc>
          <w:tcPr>
            <w:tcW w:w="5807" w:type="dxa"/>
          </w:tcPr>
          <w:p w14:paraId="7A1A6DE3" w14:textId="77777777" w:rsidR="002A4A0E" w:rsidRPr="00812509" w:rsidRDefault="002A4A0E" w:rsidP="00E65105">
            <w:pPr>
              <w:pStyle w:val="TableTextColumnHeading"/>
            </w:pPr>
            <w:r w:rsidRPr="00812509">
              <w:rPr>
                <w:noProof/>
              </w:rPr>
              <w:drawing>
                <wp:anchor distT="0" distB="0" distL="114300" distR="114300" simplePos="0" relativeHeight="251674624" behindDoc="0" locked="0" layoutInCell="1" allowOverlap="1" wp14:anchorId="61B00F73" wp14:editId="3A4D91E8">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098" w:type="dxa"/>
          </w:tcPr>
          <w:p w14:paraId="62F69366" w14:textId="77777777" w:rsidR="002A4A0E" w:rsidRPr="00812509" w:rsidRDefault="002A4A0E" w:rsidP="00E65105">
            <w:pPr>
              <w:pStyle w:val="TableTextColumnHeading"/>
            </w:pPr>
            <w:r w:rsidRPr="00812509">
              <w:t>Previous Rating</w:t>
            </w:r>
          </w:p>
        </w:tc>
        <w:tc>
          <w:tcPr>
            <w:tcW w:w="402" w:type="dxa"/>
          </w:tcPr>
          <w:p w14:paraId="2881ACAA" w14:textId="77777777" w:rsidR="002A4A0E" w:rsidRPr="00812509" w:rsidRDefault="002A4A0E" w:rsidP="00E65105">
            <w:pPr>
              <w:pStyle w:val="TableTextColumnHeading"/>
            </w:pPr>
          </w:p>
        </w:tc>
        <w:tc>
          <w:tcPr>
            <w:tcW w:w="1167" w:type="dxa"/>
          </w:tcPr>
          <w:p w14:paraId="11C9ABDC" w14:textId="77777777" w:rsidR="002A4A0E" w:rsidRPr="00812509" w:rsidRDefault="002A4A0E" w:rsidP="00E65105">
            <w:pPr>
              <w:pStyle w:val="TableTextColumnHeading"/>
            </w:pPr>
            <w:r w:rsidRPr="00812509">
              <w:t>Current Rating</w:t>
            </w:r>
          </w:p>
        </w:tc>
        <w:tc>
          <w:tcPr>
            <w:tcW w:w="996" w:type="dxa"/>
          </w:tcPr>
          <w:p w14:paraId="00D2CFF2" w14:textId="77777777" w:rsidR="002A4A0E" w:rsidRPr="002A4A0E" w:rsidRDefault="002A4A0E" w:rsidP="00E65105">
            <w:pPr>
              <w:pStyle w:val="TableTextColumnHeading"/>
            </w:pPr>
          </w:p>
        </w:tc>
      </w:tr>
      <w:tr w:rsidR="00D34AB2" w:rsidRPr="00812509" w14:paraId="6E4F8966" w14:textId="77777777" w:rsidTr="00C12981">
        <w:trPr>
          <w:cnfStyle w:val="000000010000" w:firstRow="0" w:lastRow="0" w:firstColumn="0" w:lastColumn="0" w:oddVBand="0" w:evenVBand="0" w:oddHBand="0" w:evenHBand="1" w:firstRowFirstColumn="0" w:firstRowLastColumn="0" w:lastRowFirstColumn="0" w:lastRowLastColumn="0"/>
        </w:trPr>
        <w:tc>
          <w:tcPr>
            <w:tcW w:w="5807" w:type="dxa"/>
          </w:tcPr>
          <w:p w14:paraId="7B3760DE" w14:textId="77777777" w:rsidR="00D34AB2" w:rsidRPr="00812509" w:rsidRDefault="00D34AB2" w:rsidP="00D34AB2">
            <w:pPr>
              <w:pStyle w:val="TableTextEntries"/>
              <w:rPr>
                <w:rFonts w:asciiTheme="minorHAnsi" w:hAnsiTheme="minorHAnsi"/>
              </w:rPr>
            </w:pPr>
            <w:r w:rsidRPr="00812509">
              <w:rPr>
                <w:rFonts w:asciiTheme="minorHAnsi" w:hAnsiTheme="minorHAnsi"/>
              </w:rPr>
              <w:t>Objective 1</w:t>
            </w:r>
            <w:r>
              <w:rPr>
                <w:rFonts w:asciiTheme="minorHAnsi" w:hAnsiTheme="minorHAnsi"/>
              </w:rPr>
              <w:t xml:space="preserve"> Enabling regional economic cooperation and inclusive growth</w:t>
            </w:r>
          </w:p>
        </w:tc>
        <w:tc>
          <w:tcPr>
            <w:tcW w:w="1098" w:type="dxa"/>
            <w:shd w:val="clear" w:color="auto" w:fill="72AF2F"/>
            <w:noWrap/>
          </w:tcPr>
          <w:p w14:paraId="168C1A1A" w14:textId="77777777" w:rsidR="00D34AB2" w:rsidRPr="00812509" w:rsidRDefault="00D34AB2" w:rsidP="00D34AB2">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17D21377" w14:textId="77777777" w:rsidR="00D34AB2" w:rsidRPr="00812509" w:rsidRDefault="00D34AB2" w:rsidP="00D34AB2">
            <w:pPr>
              <w:pStyle w:val="TableTextEntries"/>
              <w:jc w:val="center"/>
              <w:rPr>
                <w:rFonts w:asciiTheme="minorHAnsi" w:hAnsiTheme="minorHAnsi"/>
                <w:color w:val="FFFFFF" w:themeColor="background1"/>
              </w:rPr>
            </w:pPr>
          </w:p>
        </w:tc>
        <w:tc>
          <w:tcPr>
            <w:tcW w:w="1167" w:type="dxa"/>
            <w:shd w:val="clear" w:color="auto" w:fill="72AF2F"/>
            <w:noWrap/>
          </w:tcPr>
          <w:p w14:paraId="714182A9" w14:textId="77777777" w:rsidR="00D34AB2" w:rsidRPr="00812509" w:rsidRDefault="00D34AB2" w:rsidP="00D34AB2">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996" w:type="dxa"/>
            <w:shd w:val="clear" w:color="auto" w:fill="auto"/>
          </w:tcPr>
          <w:p w14:paraId="793E83B4" w14:textId="77777777" w:rsidR="00D34AB2" w:rsidRPr="002A4A0E" w:rsidRDefault="00D34AB2" w:rsidP="00D34AB2">
            <w:pPr>
              <w:pStyle w:val="TableTextEntries"/>
              <w:jc w:val="center"/>
              <w:rPr>
                <w:rFonts w:asciiTheme="minorHAnsi" w:hAnsiTheme="minorHAnsi"/>
                <w:color w:val="FFFFFF" w:themeColor="background1"/>
              </w:rPr>
            </w:pPr>
          </w:p>
        </w:tc>
      </w:tr>
      <w:tr w:rsidR="00AE29F3" w:rsidRPr="00812509" w14:paraId="009702BE" w14:textId="77777777" w:rsidTr="00D03225">
        <w:trPr>
          <w:cnfStyle w:val="000000010000" w:firstRow="0" w:lastRow="0" w:firstColumn="0" w:lastColumn="0" w:oddVBand="0" w:evenVBand="0" w:oddHBand="0" w:evenHBand="1" w:firstRowFirstColumn="0" w:firstRowLastColumn="0" w:lastRowFirstColumn="0" w:lastRowLastColumn="0"/>
          <w:trHeight w:val="406"/>
        </w:trPr>
        <w:tc>
          <w:tcPr>
            <w:tcW w:w="5807" w:type="dxa"/>
          </w:tcPr>
          <w:p w14:paraId="7C56F561" w14:textId="77777777" w:rsidR="00AE29F3" w:rsidRPr="00812509" w:rsidRDefault="00AE29F3" w:rsidP="00AE29F3">
            <w:pPr>
              <w:pStyle w:val="TableTextEntries"/>
              <w:rPr>
                <w:rFonts w:asciiTheme="minorHAnsi" w:hAnsiTheme="minorHAnsi"/>
              </w:rPr>
            </w:pPr>
            <w:r w:rsidRPr="00812509">
              <w:rPr>
                <w:rFonts w:asciiTheme="minorHAnsi" w:hAnsiTheme="minorHAnsi"/>
              </w:rPr>
              <w:t>Objective 2</w:t>
            </w:r>
            <w:r>
              <w:rPr>
                <w:rFonts w:asciiTheme="minorHAnsi" w:hAnsiTheme="minorHAnsi"/>
              </w:rPr>
              <w:t xml:space="preserve"> Strengthening regional responses to traf</w:t>
            </w:r>
            <w:r w:rsidR="00953815">
              <w:rPr>
                <w:rFonts w:asciiTheme="minorHAnsi" w:hAnsiTheme="minorHAnsi"/>
              </w:rPr>
              <w:t xml:space="preserve">ficking and the exploitation of </w:t>
            </w:r>
            <w:r>
              <w:rPr>
                <w:rFonts w:asciiTheme="minorHAnsi" w:hAnsiTheme="minorHAnsi"/>
              </w:rPr>
              <w:t>migrant workers</w:t>
            </w:r>
          </w:p>
        </w:tc>
        <w:tc>
          <w:tcPr>
            <w:tcW w:w="1098" w:type="dxa"/>
            <w:shd w:val="clear" w:color="auto" w:fill="7FB64D" w:themeFill="accent3" w:themeFillShade="BF"/>
            <w:noWrap/>
          </w:tcPr>
          <w:p w14:paraId="2F1076A9" w14:textId="77777777" w:rsidR="00AE29F3" w:rsidRPr="00812509" w:rsidRDefault="00AE29F3" w:rsidP="00AE29F3">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402" w:type="dxa"/>
          </w:tcPr>
          <w:p w14:paraId="25A504F1" w14:textId="77777777" w:rsidR="00AE29F3" w:rsidRPr="00812509" w:rsidRDefault="00AE29F3" w:rsidP="00AE29F3">
            <w:pPr>
              <w:pStyle w:val="TableTextEntries"/>
              <w:jc w:val="center"/>
              <w:rPr>
                <w:rFonts w:asciiTheme="minorHAnsi" w:hAnsiTheme="minorHAnsi"/>
                <w:color w:val="FFFFFF" w:themeColor="background1"/>
              </w:rPr>
            </w:pPr>
          </w:p>
        </w:tc>
        <w:tc>
          <w:tcPr>
            <w:tcW w:w="1167" w:type="dxa"/>
            <w:shd w:val="clear" w:color="auto" w:fill="72AF2F"/>
            <w:noWrap/>
          </w:tcPr>
          <w:p w14:paraId="46BB5955" w14:textId="77777777" w:rsidR="00AE29F3" w:rsidRPr="00812509" w:rsidRDefault="00AE29F3" w:rsidP="00AE29F3">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996" w:type="dxa"/>
            <w:shd w:val="clear" w:color="auto" w:fill="auto"/>
          </w:tcPr>
          <w:p w14:paraId="1C5EEC2C" w14:textId="77777777" w:rsidR="00AE29F3" w:rsidRPr="002A4A0E" w:rsidRDefault="00AE29F3" w:rsidP="00AE29F3">
            <w:pPr>
              <w:pStyle w:val="TableTextEntries"/>
              <w:jc w:val="center"/>
              <w:rPr>
                <w:rFonts w:asciiTheme="minorHAnsi" w:hAnsiTheme="minorHAnsi"/>
                <w:color w:val="FFFFFF" w:themeColor="background1"/>
              </w:rPr>
            </w:pPr>
          </w:p>
        </w:tc>
      </w:tr>
    </w:tbl>
    <w:p w14:paraId="3C50F3B0" w14:textId="7B31300B" w:rsidR="005B5769" w:rsidRDefault="006A55C8" w:rsidP="0090614E">
      <w:pPr>
        <w:pStyle w:val="Note"/>
        <w:jc w:val="left"/>
        <w:rPr>
          <w:rFonts w:asciiTheme="minorHAnsi" w:hAnsiTheme="minorHAnsi"/>
          <w:sz w:val="16"/>
        </w:rPr>
      </w:pPr>
      <w:r>
        <w:rPr>
          <w:rFonts w:asciiTheme="minorHAnsi" w:hAnsiTheme="minorHAnsi"/>
          <w:sz w:val="16"/>
        </w:rPr>
        <w:t xml:space="preserve">Note: </w:t>
      </w:r>
      <w:r w:rsidR="0090614E">
        <w:rPr>
          <w:rFonts w:asciiTheme="minorHAnsi" w:hAnsiTheme="minorHAnsi"/>
          <w:sz w:val="16"/>
        </w:rPr>
        <w:br/>
      </w:r>
      <w:r w:rsidR="005B5769" w:rsidRPr="00812509">
        <w:rPr>
          <w:rFonts w:asciiTheme="minorHAnsi" w:hAnsiTheme="minorHAnsi"/>
          <w:color w:val="72AF2F"/>
          <w:sz w:val="16"/>
        </w:rPr>
        <w:sym w:font="Webdings" w:char="F067"/>
      </w:r>
      <w:r w:rsidR="005B5769" w:rsidRPr="00812509">
        <w:rPr>
          <w:rFonts w:asciiTheme="minorHAnsi" w:hAnsiTheme="minorHAnsi"/>
          <w:sz w:val="16"/>
        </w:rPr>
        <w:t> </w:t>
      </w:r>
      <w:r w:rsidR="005B5769" w:rsidRPr="00812509">
        <w:rPr>
          <w:rFonts w:asciiTheme="minorHAnsi" w:hAnsiTheme="minorHAnsi"/>
          <w:sz w:val="16"/>
        </w:rPr>
        <w:t xml:space="preserve"> </w:t>
      </w:r>
      <w:r w:rsidR="005B5769" w:rsidRPr="0090614E">
        <w:rPr>
          <w:rFonts w:asciiTheme="minorHAnsi" w:hAnsiTheme="minorHAnsi"/>
          <w:b/>
          <w:sz w:val="16"/>
        </w:rPr>
        <w:t>Green</w:t>
      </w:r>
      <w:r w:rsidR="005B5769" w:rsidRPr="00812509">
        <w:rPr>
          <w:rFonts w:asciiTheme="minorHAnsi" w:hAnsiTheme="minorHAnsi"/>
          <w:sz w:val="16"/>
        </w:rPr>
        <w:t>. Progress is as expected at this stage of implementation and it is likely that the objective will be achieved. Standard program manag</w:t>
      </w:r>
      <w:r w:rsidR="00D34AB2">
        <w:rPr>
          <w:rFonts w:asciiTheme="minorHAnsi" w:hAnsiTheme="minorHAnsi"/>
          <w:sz w:val="16"/>
        </w:rPr>
        <w:t>ement practices are sufficient.</w:t>
      </w:r>
      <w:r w:rsidR="0090614E">
        <w:rPr>
          <w:rFonts w:asciiTheme="minorHAnsi" w:hAnsiTheme="minorHAnsi"/>
          <w:sz w:val="16"/>
        </w:rPr>
        <w:br/>
      </w:r>
      <w:r w:rsidR="00D34AB2">
        <w:rPr>
          <w:rFonts w:asciiTheme="minorHAnsi" w:hAnsiTheme="minorHAnsi"/>
          <w:sz w:val="16"/>
        </w:rPr>
        <w:t xml:space="preserve"> </w:t>
      </w:r>
      <w:r w:rsidR="005B5769" w:rsidRPr="00812509">
        <w:rPr>
          <w:rFonts w:asciiTheme="minorHAnsi" w:hAnsiTheme="minorHAnsi"/>
          <w:color w:val="E36C0A"/>
          <w:sz w:val="16"/>
        </w:rPr>
        <w:sym w:font="Webdings" w:char="F067"/>
      </w:r>
      <w:r w:rsidR="005B5769" w:rsidRPr="00812509">
        <w:rPr>
          <w:rFonts w:asciiTheme="minorHAnsi" w:hAnsiTheme="minorHAnsi"/>
          <w:sz w:val="16"/>
        </w:rPr>
        <w:t> </w:t>
      </w:r>
      <w:r w:rsidR="005B5769" w:rsidRPr="00812509">
        <w:rPr>
          <w:rFonts w:asciiTheme="minorHAnsi" w:hAnsiTheme="minorHAnsi"/>
          <w:sz w:val="16"/>
        </w:rPr>
        <w:t xml:space="preserve"> </w:t>
      </w:r>
      <w:r w:rsidR="005B5769" w:rsidRPr="0090614E">
        <w:rPr>
          <w:rFonts w:asciiTheme="minorHAnsi" w:hAnsiTheme="minorHAnsi"/>
          <w:b/>
          <w:sz w:val="16"/>
        </w:rPr>
        <w:t>Amber</w:t>
      </w:r>
      <w:r w:rsidR="005B5769" w:rsidRPr="00812509">
        <w:rPr>
          <w:rFonts w:asciiTheme="minorHAnsi" w:hAnsiTheme="minorHAnsi"/>
          <w:sz w:val="16"/>
        </w:rPr>
        <w:t>. Progress is somewhat less than expected at this stage of implementation and restorative action will be necessary if the objective is to be achieved. Close performance monitoring is recommended.</w:t>
      </w:r>
      <w:r w:rsidR="00D34AB2">
        <w:rPr>
          <w:rFonts w:asciiTheme="minorHAnsi" w:hAnsiTheme="minorHAnsi"/>
          <w:sz w:val="16"/>
        </w:rPr>
        <w:t xml:space="preserve"> </w:t>
      </w:r>
      <w:r w:rsidR="0090614E">
        <w:rPr>
          <w:rFonts w:asciiTheme="minorHAnsi" w:hAnsiTheme="minorHAnsi"/>
          <w:sz w:val="16"/>
        </w:rPr>
        <w:br/>
      </w:r>
      <w:r w:rsidR="005B5769" w:rsidRPr="00812509">
        <w:rPr>
          <w:rFonts w:asciiTheme="minorHAnsi" w:hAnsiTheme="minorHAnsi"/>
          <w:color w:val="FF0000"/>
          <w:sz w:val="16"/>
        </w:rPr>
        <w:sym w:font="Webdings" w:char="F067"/>
      </w:r>
      <w:r w:rsidR="005B5769" w:rsidRPr="00812509">
        <w:rPr>
          <w:rFonts w:asciiTheme="minorHAnsi" w:hAnsiTheme="minorHAnsi"/>
          <w:sz w:val="16"/>
        </w:rPr>
        <w:t> </w:t>
      </w:r>
      <w:r w:rsidR="005B5769" w:rsidRPr="00812509">
        <w:rPr>
          <w:rFonts w:asciiTheme="minorHAnsi" w:hAnsiTheme="minorHAnsi"/>
          <w:sz w:val="16"/>
        </w:rPr>
        <w:t xml:space="preserve"> </w:t>
      </w:r>
      <w:r w:rsidR="005B5769" w:rsidRPr="0090614E">
        <w:rPr>
          <w:rFonts w:asciiTheme="minorHAnsi" w:hAnsiTheme="minorHAnsi"/>
          <w:b/>
          <w:sz w:val="16"/>
        </w:rPr>
        <w:t>Red</w:t>
      </w:r>
      <w:r w:rsidR="005B5769" w:rsidRPr="00812509">
        <w:rPr>
          <w:rFonts w:asciiTheme="minorHAnsi" w:hAnsiTheme="minorHAnsi"/>
          <w:sz w:val="16"/>
        </w:rPr>
        <w:t>. Progress is significantly less than expected at this stage of implementation and the objective is not likely to be met given available resources and priorities. Recasting the objective may be required.</w:t>
      </w:r>
    </w:p>
    <w:p w14:paraId="08A1776A" w14:textId="77777777" w:rsidR="00D34AB2" w:rsidRDefault="005B5769" w:rsidP="00D34AB2">
      <w:pPr>
        <w:pStyle w:val="Note"/>
      </w:pPr>
      <w:r w:rsidRPr="00C4114C">
        <w:t xml:space="preserve">  </w:t>
      </w:r>
    </w:p>
    <w:p w14:paraId="356EDF98" w14:textId="77777777" w:rsidR="00695730" w:rsidRPr="003F1811" w:rsidRDefault="00695730" w:rsidP="0016376A">
      <w:pPr>
        <w:pStyle w:val="Subtitle"/>
        <w:rPr>
          <w:sz w:val="28"/>
          <w:szCs w:val="28"/>
        </w:rPr>
      </w:pPr>
      <w:r w:rsidRPr="003F1811">
        <w:rPr>
          <w:sz w:val="28"/>
          <w:szCs w:val="28"/>
        </w:rPr>
        <w:t>Objective 1.</w:t>
      </w:r>
      <w:r w:rsidR="00D36FA9" w:rsidRPr="003F1811">
        <w:rPr>
          <w:sz w:val="28"/>
          <w:szCs w:val="28"/>
        </w:rPr>
        <w:t xml:space="preserve"> Enabling regional economic cooperation</w:t>
      </w:r>
      <w:r w:rsidR="00781195" w:rsidRPr="003F1811">
        <w:rPr>
          <w:sz w:val="28"/>
          <w:szCs w:val="28"/>
        </w:rPr>
        <w:t xml:space="preserve"> </w:t>
      </w:r>
      <w:r w:rsidR="00D36FA9" w:rsidRPr="003F1811">
        <w:rPr>
          <w:sz w:val="28"/>
          <w:szCs w:val="28"/>
        </w:rPr>
        <w:t>and inclusive growth.</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967"/>
        <w:gridCol w:w="992"/>
        <w:gridCol w:w="1134"/>
        <w:gridCol w:w="1134"/>
        <w:gridCol w:w="992"/>
        <w:gridCol w:w="2268"/>
      </w:tblGrid>
      <w:tr w:rsidR="000941A9" w:rsidRPr="003A53B2" w14:paraId="4A10B4DB" w14:textId="77777777" w:rsidTr="00781195">
        <w:tc>
          <w:tcPr>
            <w:tcW w:w="1727" w:type="dxa"/>
          </w:tcPr>
          <w:p w14:paraId="7984ABFF" w14:textId="77777777" w:rsidR="000941A9" w:rsidRPr="003A53B2" w:rsidRDefault="000941A9" w:rsidP="00695730">
            <w:pPr>
              <w:suppressAutoHyphens w:val="0"/>
              <w:spacing w:before="80" w:after="80" w:line="240" w:lineRule="auto"/>
              <w:jc w:val="center"/>
              <w:rPr>
                <w:rFonts w:asciiTheme="majorHAnsi" w:eastAsiaTheme="majorEastAsia" w:hAnsiTheme="majorHAnsi" w:cstheme="majorBidi"/>
                <w:caps/>
                <w:sz w:val="32"/>
                <w:szCs w:val="32"/>
              </w:rPr>
            </w:pPr>
            <w:r w:rsidRPr="003A53B2">
              <w:rPr>
                <w:rFonts w:asciiTheme="majorHAnsi" w:eastAsiaTheme="majorEastAsia" w:hAnsiTheme="majorHAnsi" w:cstheme="majorBidi"/>
                <w:caps/>
                <w:noProof/>
                <w:sz w:val="32"/>
                <w:szCs w:val="32"/>
                <w:lang w:val="en-AU" w:eastAsia="en-AU"/>
              </w:rPr>
              <w:drawing>
                <wp:inline distT="0" distB="0" distL="0" distR="0" wp14:anchorId="4CE35709" wp14:editId="488EC15F">
                  <wp:extent cx="800100" cy="50639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4496" cy="515503"/>
                          </a:xfrm>
                          <a:prstGeom prst="rect">
                            <a:avLst/>
                          </a:prstGeom>
                        </pic:spPr>
                      </pic:pic>
                    </a:graphicData>
                  </a:graphic>
                </wp:inline>
              </w:drawing>
            </w:r>
          </w:p>
        </w:tc>
        <w:tc>
          <w:tcPr>
            <w:tcW w:w="967" w:type="dxa"/>
          </w:tcPr>
          <w:p w14:paraId="71C75769" w14:textId="77777777" w:rsidR="000941A9" w:rsidRPr="003A53B2" w:rsidRDefault="000941A9" w:rsidP="0008642B">
            <w:pPr>
              <w:suppressAutoHyphens w:val="0"/>
              <w:spacing w:before="160" w:after="80" w:line="240" w:lineRule="auto"/>
              <w:jc w:val="center"/>
              <w:rPr>
                <w:rFonts w:asciiTheme="majorHAnsi" w:eastAsiaTheme="majorEastAsia" w:hAnsiTheme="majorHAnsi" w:cstheme="majorBidi"/>
                <w:caps/>
                <w:sz w:val="32"/>
                <w:szCs w:val="32"/>
              </w:rPr>
            </w:pPr>
            <w:r w:rsidRPr="003A53B2">
              <w:rPr>
                <w:rFonts w:asciiTheme="majorHAnsi" w:eastAsiaTheme="majorEastAsia" w:hAnsiTheme="majorHAnsi" w:cstheme="majorBidi"/>
                <w:caps/>
                <w:noProof/>
                <w:sz w:val="32"/>
                <w:szCs w:val="32"/>
                <w:lang w:val="en-AU" w:eastAsia="en-AU"/>
              </w:rPr>
              <w:drawing>
                <wp:inline distT="0" distB="0" distL="0" distR="0" wp14:anchorId="279D2FD5" wp14:editId="5440BB72">
                  <wp:extent cx="43815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pic:spPr>
                      </pic:pic>
                    </a:graphicData>
                  </a:graphic>
                </wp:inline>
              </w:drawing>
            </w:r>
            <w:r w:rsidRPr="003A53B2">
              <w:rPr>
                <w:rFonts w:asciiTheme="majorHAnsi" w:eastAsiaTheme="majorEastAsia" w:hAnsiTheme="majorHAnsi" w:cstheme="majorBidi"/>
                <w:caps/>
                <w:sz w:val="32"/>
                <w:szCs w:val="32"/>
              </w:rPr>
              <w:t xml:space="preserve"> </w:t>
            </w:r>
          </w:p>
        </w:tc>
        <w:tc>
          <w:tcPr>
            <w:tcW w:w="992" w:type="dxa"/>
          </w:tcPr>
          <w:p w14:paraId="07714811" w14:textId="77777777" w:rsidR="000941A9" w:rsidRPr="003A53B2" w:rsidRDefault="0008642B" w:rsidP="00695730">
            <w:pPr>
              <w:suppressAutoHyphens w:val="0"/>
              <w:spacing w:before="160" w:after="80" w:line="240" w:lineRule="auto"/>
              <w:jc w:val="center"/>
              <w:rPr>
                <w:rFonts w:asciiTheme="majorHAnsi" w:eastAsiaTheme="majorEastAsia" w:hAnsiTheme="majorHAnsi" w:cstheme="majorBidi"/>
                <w:caps/>
                <w:sz w:val="32"/>
                <w:szCs w:val="32"/>
              </w:rPr>
            </w:pPr>
            <w:r w:rsidRPr="003A53B2">
              <w:rPr>
                <w:noProof/>
                <w:sz w:val="32"/>
                <w:szCs w:val="32"/>
                <w:lang w:val="en-AU" w:eastAsia="en-AU"/>
              </w:rPr>
              <w:drawing>
                <wp:inline distT="0" distB="0" distL="0" distR="0" wp14:anchorId="5263DFAD" wp14:editId="5C88D2D4">
                  <wp:extent cx="428625" cy="4286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8971" cy="428971"/>
                          </a:xfrm>
                          <a:prstGeom prst="rect">
                            <a:avLst/>
                          </a:prstGeom>
                        </pic:spPr>
                      </pic:pic>
                    </a:graphicData>
                  </a:graphic>
                </wp:inline>
              </w:drawing>
            </w:r>
          </w:p>
        </w:tc>
        <w:tc>
          <w:tcPr>
            <w:tcW w:w="1134" w:type="dxa"/>
          </w:tcPr>
          <w:p w14:paraId="1FE65D77" w14:textId="77777777" w:rsidR="000941A9" w:rsidRPr="003A53B2" w:rsidRDefault="000941A9" w:rsidP="003A53B2">
            <w:pPr>
              <w:suppressAutoHyphens w:val="0"/>
              <w:spacing w:before="160" w:after="80" w:line="240" w:lineRule="auto"/>
              <w:jc w:val="center"/>
              <w:rPr>
                <w:noProof/>
                <w:sz w:val="32"/>
                <w:szCs w:val="32"/>
                <w:lang w:val="en-AU" w:eastAsia="en-AU"/>
              </w:rPr>
            </w:pPr>
            <w:r w:rsidRPr="003A53B2">
              <w:rPr>
                <w:noProof/>
                <w:sz w:val="32"/>
                <w:szCs w:val="32"/>
                <w:lang w:val="en-AU" w:eastAsia="en-AU"/>
              </w:rPr>
              <w:drawing>
                <wp:inline distT="0" distB="0" distL="0" distR="0" wp14:anchorId="080CE6D6" wp14:editId="72004EB8">
                  <wp:extent cx="447675" cy="4476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8036" cy="448036"/>
                          </a:xfrm>
                          <a:prstGeom prst="rect">
                            <a:avLst/>
                          </a:prstGeom>
                        </pic:spPr>
                      </pic:pic>
                    </a:graphicData>
                  </a:graphic>
                </wp:inline>
              </w:drawing>
            </w:r>
          </w:p>
        </w:tc>
        <w:tc>
          <w:tcPr>
            <w:tcW w:w="1134" w:type="dxa"/>
          </w:tcPr>
          <w:p w14:paraId="639C54ED" w14:textId="77777777" w:rsidR="000941A9" w:rsidRPr="003A53B2" w:rsidRDefault="0008642B" w:rsidP="003A53B2">
            <w:pPr>
              <w:suppressAutoHyphens w:val="0"/>
              <w:spacing w:before="160" w:after="80" w:line="240" w:lineRule="auto"/>
              <w:jc w:val="center"/>
              <w:rPr>
                <w:rFonts w:asciiTheme="majorHAnsi" w:eastAsiaTheme="majorEastAsia" w:hAnsiTheme="majorHAnsi" w:cstheme="majorBidi"/>
                <w:caps/>
                <w:sz w:val="32"/>
                <w:szCs w:val="32"/>
              </w:rPr>
            </w:pPr>
            <w:r>
              <w:rPr>
                <w:noProof/>
                <w:lang w:val="en-AU" w:eastAsia="en-AU"/>
              </w:rPr>
              <w:drawing>
                <wp:inline distT="0" distB="0" distL="0" distR="0" wp14:anchorId="10D8E4C7" wp14:editId="6BCD6A8D">
                  <wp:extent cx="428625" cy="4286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8969" cy="428969"/>
                          </a:xfrm>
                          <a:prstGeom prst="rect">
                            <a:avLst/>
                          </a:prstGeom>
                        </pic:spPr>
                      </pic:pic>
                    </a:graphicData>
                  </a:graphic>
                </wp:inline>
              </w:drawing>
            </w:r>
          </w:p>
        </w:tc>
        <w:tc>
          <w:tcPr>
            <w:tcW w:w="992" w:type="dxa"/>
          </w:tcPr>
          <w:p w14:paraId="7F72F8DC" w14:textId="77777777" w:rsidR="000941A9" w:rsidRDefault="0008642B" w:rsidP="00695730">
            <w:pPr>
              <w:suppressAutoHyphens w:val="0"/>
              <w:spacing w:before="160" w:after="80" w:line="240" w:lineRule="auto"/>
              <w:jc w:val="center"/>
              <w:rPr>
                <w:noProof/>
                <w:lang w:val="en-AU" w:eastAsia="en-AU"/>
              </w:rPr>
            </w:pPr>
            <w:r>
              <w:rPr>
                <w:noProof/>
                <w:lang w:val="en-AU" w:eastAsia="en-AU"/>
              </w:rPr>
              <w:drawing>
                <wp:inline distT="0" distB="0" distL="0" distR="0" wp14:anchorId="427D8F45" wp14:editId="65EE2135">
                  <wp:extent cx="428625" cy="428625"/>
                  <wp:effectExtent l="0" t="0" r="9525" b="9525"/>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2268" w:type="dxa"/>
          </w:tcPr>
          <w:p w14:paraId="78C21E48" w14:textId="77777777" w:rsidR="000941A9" w:rsidRPr="003A53B2" w:rsidRDefault="0008642B" w:rsidP="00695730">
            <w:pPr>
              <w:suppressAutoHyphens w:val="0"/>
              <w:spacing w:before="160" w:after="80" w:line="240" w:lineRule="auto"/>
              <w:jc w:val="center"/>
              <w:rPr>
                <w:rFonts w:asciiTheme="majorHAnsi" w:eastAsiaTheme="majorEastAsia" w:hAnsiTheme="majorHAnsi" w:cstheme="majorBidi"/>
                <w:caps/>
                <w:sz w:val="32"/>
                <w:szCs w:val="32"/>
              </w:rPr>
            </w:pPr>
            <w:r>
              <w:rPr>
                <w:noProof/>
                <w:lang w:val="en-AU" w:eastAsia="en-AU"/>
              </w:rPr>
              <w:drawing>
                <wp:inline distT="0" distB="0" distL="0" distR="0" wp14:anchorId="7B7CD19B" wp14:editId="7E8221F6">
                  <wp:extent cx="428625" cy="4286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8971" cy="428971"/>
                          </a:xfrm>
                          <a:prstGeom prst="rect">
                            <a:avLst/>
                          </a:prstGeom>
                        </pic:spPr>
                      </pic:pic>
                    </a:graphicData>
                  </a:graphic>
                </wp:inline>
              </w:drawing>
            </w:r>
            <w:r>
              <w:rPr>
                <w:rFonts w:asciiTheme="majorHAnsi" w:eastAsiaTheme="majorEastAsia" w:hAnsiTheme="majorHAnsi" w:cstheme="majorBidi"/>
                <w:caps/>
                <w:sz w:val="32"/>
                <w:szCs w:val="32"/>
              </w:rPr>
              <w:t xml:space="preserve">    </w:t>
            </w:r>
            <w:r>
              <w:rPr>
                <w:noProof/>
                <w:lang w:val="en-AU" w:eastAsia="en-AU"/>
              </w:rPr>
              <w:drawing>
                <wp:inline distT="0" distB="0" distL="0" distR="0" wp14:anchorId="615DE7E8" wp14:editId="6A968DC3">
                  <wp:extent cx="438150" cy="438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8502" cy="438502"/>
                          </a:xfrm>
                          <a:prstGeom prst="rect">
                            <a:avLst/>
                          </a:prstGeom>
                        </pic:spPr>
                      </pic:pic>
                    </a:graphicData>
                  </a:graphic>
                </wp:inline>
              </w:drawing>
            </w:r>
            <w:r>
              <w:rPr>
                <w:rFonts w:asciiTheme="majorHAnsi" w:eastAsiaTheme="majorEastAsia" w:hAnsiTheme="majorHAnsi" w:cstheme="majorBidi"/>
                <w:caps/>
                <w:sz w:val="32"/>
                <w:szCs w:val="32"/>
              </w:rPr>
              <w:t xml:space="preserve"> </w:t>
            </w:r>
          </w:p>
        </w:tc>
      </w:tr>
    </w:tbl>
    <w:p w14:paraId="7DF70368" w14:textId="77777777" w:rsidR="00EE5DAD" w:rsidRDefault="00C9795F" w:rsidP="00094623">
      <w:pPr>
        <w:rPr>
          <w:color w:val="auto"/>
        </w:rPr>
      </w:pPr>
      <w:r w:rsidRPr="00B002EA">
        <w:rPr>
          <w:color w:val="auto"/>
        </w:rPr>
        <w:t>All</w:t>
      </w:r>
      <w:r w:rsidRPr="00781195">
        <w:rPr>
          <w:color w:val="auto"/>
        </w:rPr>
        <w:t xml:space="preserve"> investments reported below </w:t>
      </w:r>
      <w:r w:rsidR="00F16EC5" w:rsidRPr="00781195">
        <w:rPr>
          <w:color w:val="auto"/>
        </w:rPr>
        <w:t>are broadly on track to meet performance expectations (see Annex B)</w:t>
      </w:r>
      <w:r w:rsidR="00F16EC5">
        <w:rPr>
          <w:color w:val="auto"/>
        </w:rPr>
        <w:t xml:space="preserve">, </w:t>
      </w:r>
      <w:r w:rsidRPr="00781195">
        <w:rPr>
          <w:color w:val="auto"/>
        </w:rPr>
        <w:t>have been assessed as effective (see Annex D), a</w:t>
      </w:r>
      <w:r w:rsidR="00424A38">
        <w:rPr>
          <w:color w:val="auto"/>
        </w:rPr>
        <w:t>nd a</w:t>
      </w:r>
      <w:r w:rsidRPr="00781195">
        <w:rPr>
          <w:color w:val="auto"/>
        </w:rPr>
        <w:t xml:space="preserve">re delivering on work plans </w:t>
      </w:r>
      <w:r w:rsidR="00B47D02" w:rsidRPr="00781195">
        <w:rPr>
          <w:color w:val="auto"/>
        </w:rPr>
        <w:t>agreed with partners</w:t>
      </w:r>
      <w:r w:rsidRPr="00781195">
        <w:rPr>
          <w:color w:val="auto"/>
        </w:rPr>
        <w:t>.</w:t>
      </w:r>
      <w:r>
        <w:rPr>
          <w:color w:val="auto"/>
        </w:rPr>
        <w:t xml:space="preserve"> </w:t>
      </w:r>
    </w:p>
    <w:p w14:paraId="084AA26C" w14:textId="77777777" w:rsidR="000C0AFF" w:rsidRDefault="00C9795F" w:rsidP="00754F04">
      <w:pPr>
        <w:rPr>
          <w:color w:val="auto"/>
        </w:rPr>
      </w:pPr>
      <w:r>
        <w:rPr>
          <w:color w:val="auto"/>
        </w:rPr>
        <w:t xml:space="preserve">Investments </w:t>
      </w:r>
      <w:r w:rsidR="002F11A0">
        <w:rPr>
          <w:color w:val="auto"/>
        </w:rPr>
        <w:t xml:space="preserve">under </w:t>
      </w:r>
      <w:r>
        <w:rPr>
          <w:color w:val="auto"/>
        </w:rPr>
        <w:t xml:space="preserve">this </w:t>
      </w:r>
      <w:r w:rsidRPr="00094623">
        <w:rPr>
          <w:color w:val="auto"/>
        </w:rPr>
        <w:t xml:space="preserve">objective </w:t>
      </w:r>
      <w:r>
        <w:rPr>
          <w:color w:val="auto"/>
        </w:rPr>
        <w:t xml:space="preserve">will </w:t>
      </w:r>
      <w:r w:rsidR="00F67D32">
        <w:rPr>
          <w:color w:val="auto"/>
        </w:rPr>
        <w:t xml:space="preserve">contribute to </w:t>
      </w:r>
      <w:r w:rsidR="00A8548A">
        <w:rPr>
          <w:color w:val="auto"/>
        </w:rPr>
        <w:t>SDGs 1, 5,</w:t>
      </w:r>
      <w:r w:rsidR="00F67D32">
        <w:rPr>
          <w:color w:val="auto"/>
        </w:rPr>
        <w:t xml:space="preserve"> </w:t>
      </w:r>
      <w:r w:rsidR="00A8548A">
        <w:rPr>
          <w:color w:val="auto"/>
        </w:rPr>
        <w:t>6</w:t>
      </w:r>
      <w:r w:rsidR="00676E6A">
        <w:rPr>
          <w:color w:val="auto"/>
        </w:rPr>
        <w:t xml:space="preserve">, </w:t>
      </w:r>
      <w:r w:rsidR="00B8616D">
        <w:rPr>
          <w:color w:val="auto"/>
        </w:rPr>
        <w:t xml:space="preserve">7, </w:t>
      </w:r>
      <w:r w:rsidR="00676E6A">
        <w:rPr>
          <w:color w:val="auto"/>
        </w:rPr>
        <w:t>8</w:t>
      </w:r>
      <w:r w:rsidR="00754F04">
        <w:rPr>
          <w:color w:val="auto"/>
        </w:rPr>
        <w:t xml:space="preserve">, </w:t>
      </w:r>
      <w:r w:rsidR="00A8548A">
        <w:rPr>
          <w:color w:val="auto"/>
        </w:rPr>
        <w:t>10</w:t>
      </w:r>
      <w:r w:rsidR="00754F04">
        <w:rPr>
          <w:color w:val="auto"/>
        </w:rPr>
        <w:t xml:space="preserve"> and 13</w:t>
      </w:r>
      <w:r w:rsidR="00A8548A">
        <w:rPr>
          <w:color w:val="auto"/>
        </w:rPr>
        <w:t xml:space="preserve"> </w:t>
      </w:r>
      <w:r w:rsidR="006A55D6">
        <w:rPr>
          <w:color w:val="auto"/>
        </w:rPr>
        <w:t xml:space="preserve">by </w:t>
      </w:r>
      <w:r w:rsidR="00831FA2">
        <w:rPr>
          <w:color w:val="auto"/>
        </w:rPr>
        <w:t>advancing ASEAN’s</w:t>
      </w:r>
      <w:r w:rsidR="00520E28" w:rsidRPr="00094623">
        <w:rPr>
          <w:color w:val="auto"/>
        </w:rPr>
        <w:t xml:space="preserve"> </w:t>
      </w:r>
      <w:r w:rsidR="00F4358E">
        <w:rPr>
          <w:color w:val="auto"/>
        </w:rPr>
        <w:t xml:space="preserve">regional </w:t>
      </w:r>
      <w:r w:rsidR="00520E28" w:rsidRPr="00094623">
        <w:rPr>
          <w:color w:val="auto"/>
        </w:rPr>
        <w:t>economic integration agenda and reduc</w:t>
      </w:r>
      <w:r w:rsidR="006A55D6">
        <w:rPr>
          <w:color w:val="auto"/>
        </w:rPr>
        <w:t>ing</w:t>
      </w:r>
      <w:r w:rsidR="00520E28" w:rsidRPr="00094623">
        <w:rPr>
          <w:color w:val="auto"/>
        </w:rPr>
        <w:t xml:space="preserve"> inequality within and among ASEAN countries</w:t>
      </w:r>
      <w:r w:rsidR="00094623">
        <w:rPr>
          <w:color w:val="auto"/>
        </w:rPr>
        <w:t xml:space="preserve">; </w:t>
      </w:r>
      <w:r w:rsidR="00F67D32">
        <w:rPr>
          <w:color w:val="auto"/>
        </w:rPr>
        <w:t>promoting</w:t>
      </w:r>
      <w:r w:rsidR="0051165A" w:rsidRPr="00094623">
        <w:rPr>
          <w:color w:val="auto"/>
        </w:rPr>
        <w:t xml:space="preserve"> sustained, inclusive and sustainable economic growth</w:t>
      </w:r>
      <w:r w:rsidR="00520E28" w:rsidRPr="00094623">
        <w:rPr>
          <w:color w:val="auto"/>
        </w:rPr>
        <w:t>; and</w:t>
      </w:r>
      <w:r w:rsidR="0051165A" w:rsidRPr="00094623">
        <w:rPr>
          <w:color w:val="auto"/>
        </w:rPr>
        <w:t xml:space="preserve"> </w:t>
      </w:r>
      <w:r w:rsidR="006A55D6">
        <w:rPr>
          <w:color w:val="auto"/>
        </w:rPr>
        <w:t xml:space="preserve">improving sustainable </w:t>
      </w:r>
      <w:r w:rsidR="0051165A" w:rsidRPr="00094623">
        <w:rPr>
          <w:color w:val="auto"/>
        </w:rPr>
        <w:t xml:space="preserve">water </w:t>
      </w:r>
      <w:r w:rsidR="006A55D6">
        <w:rPr>
          <w:color w:val="auto"/>
        </w:rPr>
        <w:t>resource</w:t>
      </w:r>
      <w:r w:rsidR="00520E28" w:rsidRPr="00094623">
        <w:rPr>
          <w:color w:val="auto"/>
        </w:rPr>
        <w:t xml:space="preserve"> </w:t>
      </w:r>
      <w:r w:rsidR="006A55D6">
        <w:rPr>
          <w:color w:val="auto"/>
        </w:rPr>
        <w:t xml:space="preserve">management </w:t>
      </w:r>
      <w:r w:rsidR="00520E28" w:rsidRPr="00094623">
        <w:rPr>
          <w:color w:val="auto"/>
        </w:rPr>
        <w:t>in the Mekong</w:t>
      </w:r>
      <w:r w:rsidR="006A55D6">
        <w:rPr>
          <w:color w:val="auto"/>
        </w:rPr>
        <w:t>.</w:t>
      </w:r>
      <w:r w:rsidR="00520E28" w:rsidRPr="00094623">
        <w:rPr>
          <w:color w:val="auto"/>
        </w:rPr>
        <w:t xml:space="preserve"> </w:t>
      </w:r>
    </w:p>
    <w:p w14:paraId="3245C39B" w14:textId="77777777" w:rsidR="000C0AFF" w:rsidRDefault="00B8616D" w:rsidP="00754F04">
      <w:pPr>
        <w:rPr>
          <w:color w:val="auto"/>
        </w:rPr>
      </w:pPr>
      <w:r>
        <w:rPr>
          <w:color w:val="auto"/>
        </w:rPr>
        <w:t>Support for w</w:t>
      </w:r>
      <w:r w:rsidR="0051165A" w:rsidRPr="00094623">
        <w:rPr>
          <w:color w:val="auto"/>
        </w:rPr>
        <w:t xml:space="preserve">omen’s full and effective </w:t>
      </w:r>
      <w:r w:rsidR="00A06642" w:rsidRPr="00094623">
        <w:rPr>
          <w:color w:val="auto"/>
        </w:rPr>
        <w:t>participation</w:t>
      </w:r>
      <w:r w:rsidR="0051165A" w:rsidRPr="00094623">
        <w:rPr>
          <w:color w:val="auto"/>
        </w:rPr>
        <w:t xml:space="preserve"> and leadership</w:t>
      </w:r>
      <w:r w:rsidR="00A06642" w:rsidRPr="00094623">
        <w:rPr>
          <w:color w:val="auto"/>
        </w:rPr>
        <w:t xml:space="preserve"> at all levels of decision-making in political, economic and public life</w:t>
      </w:r>
      <w:r w:rsidR="00520E28" w:rsidRPr="00094623">
        <w:rPr>
          <w:color w:val="auto"/>
        </w:rPr>
        <w:t xml:space="preserve"> </w:t>
      </w:r>
      <w:r>
        <w:rPr>
          <w:color w:val="auto"/>
        </w:rPr>
        <w:t>is a cross-cutting theme of our work</w:t>
      </w:r>
      <w:r w:rsidR="00A06642" w:rsidRPr="00094623">
        <w:rPr>
          <w:color w:val="auto"/>
        </w:rPr>
        <w:t xml:space="preserve">. </w:t>
      </w:r>
      <w:r w:rsidR="0009389C" w:rsidRPr="00D355C4">
        <w:rPr>
          <w:color w:val="auto"/>
        </w:rPr>
        <w:t>Influencing ASEAN counterparts to mainstream gender equality remains an ongoing challenge for the program.</w:t>
      </w:r>
    </w:p>
    <w:p w14:paraId="396DD7E4" w14:textId="77777777" w:rsidR="00580620" w:rsidRDefault="00754F04" w:rsidP="00754F04">
      <w:pPr>
        <w:rPr>
          <w:color w:val="auto"/>
        </w:rPr>
      </w:pPr>
      <w:r>
        <w:rPr>
          <w:color w:val="auto"/>
        </w:rPr>
        <w:t xml:space="preserve">Although growth trajectories across ASEAN as a whole are strong, there is significant variation </w:t>
      </w:r>
      <w:r w:rsidR="00424A38">
        <w:rPr>
          <w:color w:val="auto"/>
        </w:rPr>
        <w:t xml:space="preserve">among </w:t>
      </w:r>
      <w:r>
        <w:rPr>
          <w:color w:val="auto"/>
        </w:rPr>
        <w:t xml:space="preserve">countries in terms of level of development and </w:t>
      </w:r>
      <w:r w:rsidR="00B8616D">
        <w:rPr>
          <w:color w:val="auto"/>
        </w:rPr>
        <w:t xml:space="preserve">the </w:t>
      </w:r>
      <w:r>
        <w:rPr>
          <w:color w:val="auto"/>
        </w:rPr>
        <w:t>growth challenges</w:t>
      </w:r>
      <w:r w:rsidR="00B8616D">
        <w:rPr>
          <w:color w:val="auto"/>
        </w:rPr>
        <w:t xml:space="preserve"> they face</w:t>
      </w:r>
      <w:r>
        <w:rPr>
          <w:color w:val="auto"/>
        </w:rPr>
        <w:t xml:space="preserve">. Five of the ten member </w:t>
      </w:r>
      <w:r>
        <w:rPr>
          <w:color w:val="auto"/>
        </w:rPr>
        <w:lastRenderedPageBreak/>
        <w:t xml:space="preserve">states (the Philippines, Vietnam, Myanmar, Lao PDR and Cambodia) have an annual GDP per capita below </w:t>
      </w:r>
      <w:r w:rsidR="006A55D6">
        <w:rPr>
          <w:color w:val="auto"/>
        </w:rPr>
        <w:t>USD 10,000</w:t>
      </w:r>
      <w:r>
        <w:rPr>
          <w:color w:val="auto"/>
        </w:rPr>
        <w:t xml:space="preserve">. </w:t>
      </w:r>
      <w:r w:rsidR="00F16EC5">
        <w:rPr>
          <w:color w:val="auto"/>
        </w:rPr>
        <w:t>There is also significant ongoing inequality within and between states</w:t>
      </w:r>
      <w:r w:rsidR="000305D5">
        <w:rPr>
          <w:color w:val="auto"/>
        </w:rPr>
        <w:t>.</w:t>
      </w:r>
      <w:r>
        <w:rPr>
          <w:color w:val="auto"/>
        </w:rPr>
        <w:t xml:space="preserve"> </w:t>
      </w:r>
      <w:r w:rsidR="0016376A">
        <w:rPr>
          <w:color w:val="auto"/>
        </w:rPr>
        <w:t xml:space="preserve">To </w:t>
      </w:r>
      <w:r>
        <w:rPr>
          <w:color w:val="auto"/>
        </w:rPr>
        <w:t>address these challenges, the Program focusses on activities that benefit all ASEAN members</w:t>
      </w:r>
      <w:r w:rsidR="000C0AFF">
        <w:rPr>
          <w:color w:val="auto"/>
        </w:rPr>
        <w:t xml:space="preserve">, while also </w:t>
      </w:r>
      <w:r w:rsidR="0016376A">
        <w:rPr>
          <w:color w:val="auto"/>
        </w:rPr>
        <w:t>tailor</w:t>
      </w:r>
      <w:r w:rsidR="000C0AFF">
        <w:rPr>
          <w:color w:val="auto"/>
        </w:rPr>
        <w:t>ing</w:t>
      </w:r>
      <w:r w:rsidR="0016376A">
        <w:rPr>
          <w:color w:val="auto"/>
        </w:rPr>
        <w:t xml:space="preserve"> responses</w:t>
      </w:r>
      <w:r>
        <w:rPr>
          <w:color w:val="auto"/>
        </w:rPr>
        <w:t xml:space="preserve"> to </w:t>
      </w:r>
      <w:r w:rsidR="000C0AFF">
        <w:rPr>
          <w:color w:val="auto"/>
        </w:rPr>
        <w:t xml:space="preserve">specific </w:t>
      </w:r>
      <w:r>
        <w:rPr>
          <w:color w:val="auto"/>
        </w:rPr>
        <w:t>country circumstances.          </w:t>
      </w:r>
    </w:p>
    <w:p w14:paraId="460023B7" w14:textId="69943953" w:rsidR="006A55D6" w:rsidRDefault="006A55D6" w:rsidP="00333A69">
      <w:pPr>
        <w:rPr>
          <w:color w:val="auto"/>
        </w:rPr>
      </w:pPr>
      <w:r>
        <w:rPr>
          <w:color w:val="auto"/>
        </w:rPr>
        <w:t>A</w:t>
      </w:r>
      <w:r w:rsidR="00B8616D">
        <w:rPr>
          <w:color w:val="auto"/>
        </w:rPr>
        <w:t xml:space="preserve">n important characteristic </w:t>
      </w:r>
      <w:r>
        <w:rPr>
          <w:color w:val="auto"/>
        </w:rPr>
        <w:t xml:space="preserve">of our economic investments is that they are </w:t>
      </w:r>
      <w:r w:rsidR="002F11A0">
        <w:rPr>
          <w:color w:val="auto"/>
        </w:rPr>
        <w:t>largely</w:t>
      </w:r>
      <w:r>
        <w:rPr>
          <w:color w:val="auto"/>
        </w:rPr>
        <w:t xml:space="preserve"> demand driven and support implementation of the AEC</w:t>
      </w:r>
      <w:r>
        <w:rPr>
          <w:rStyle w:val="FootnoteReference"/>
          <w:color w:val="auto"/>
        </w:rPr>
        <w:footnoteReference w:id="11"/>
      </w:r>
      <w:r w:rsidR="00B8616D">
        <w:rPr>
          <w:color w:val="auto"/>
        </w:rPr>
        <w:t>. However, this means</w:t>
      </w:r>
      <w:r>
        <w:rPr>
          <w:color w:val="auto"/>
        </w:rPr>
        <w:t xml:space="preserve"> the impact of the investments to some extent depends on progress</w:t>
      </w:r>
      <w:r w:rsidR="000C0AFF">
        <w:rPr>
          <w:color w:val="auto"/>
        </w:rPr>
        <w:t xml:space="preserve"> in realising the AEC</w:t>
      </w:r>
      <w:r>
        <w:rPr>
          <w:color w:val="auto"/>
        </w:rPr>
        <w:t xml:space="preserve">. </w:t>
      </w:r>
    </w:p>
    <w:p w14:paraId="0E66EDD0" w14:textId="76C45558" w:rsidR="0009389C" w:rsidRDefault="00533889" w:rsidP="00333A69">
      <w:pPr>
        <w:rPr>
          <w:color w:val="auto"/>
        </w:rPr>
      </w:pPr>
      <w:r>
        <w:rPr>
          <w:color w:val="auto"/>
        </w:rPr>
        <w:t xml:space="preserve">In support of ASEAN’s economic integration </w:t>
      </w:r>
      <w:r w:rsidR="000C6590">
        <w:rPr>
          <w:color w:val="auto"/>
        </w:rPr>
        <w:t>goals</w:t>
      </w:r>
      <w:r>
        <w:rPr>
          <w:color w:val="auto"/>
        </w:rPr>
        <w:t xml:space="preserve">, </w:t>
      </w:r>
      <w:r w:rsidR="00AD0EA2">
        <w:rPr>
          <w:color w:val="auto"/>
        </w:rPr>
        <w:t xml:space="preserve">in 2016-17 </w:t>
      </w:r>
      <w:r w:rsidRPr="00D355C4">
        <w:rPr>
          <w:bCs/>
          <w:color w:val="auto"/>
        </w:rPr>
        <w:t>AADCP II</w:t>
      </w:r>
      <w:r w:rsidRPr="00D355C4">
        <w:rPr>
          <w:color w:val="auto"/>
        </w:rPr>
        <w:t xml:space="preserve"> </w:t>
      </w:r>
      <w:r w:rsidR="006A55D6" w:rsidRPr="00D355C4">
        <w:rPr>
          <w:color w:val="auto"/>
        </w:rPr>
        <w:t xml:space="preserve">contributed to </w:t>
      </w:r>
      <w:r w:rsidRPr="00D355C4">
        <w:rPr>
          <w:color w:val="auto"/>
        </w:rPr>
        <w:t>the development of the Master Plan on ASEAN Connectivity 2025</w:t>
      </w:r>
      <w:r w:rsidR="009242E8">
        <w:rPr>
          <w:color w:val="auto"/>
        </w:rPr>
        <w:t xml:space="preserve"> (MPAC 2025)</w:t>
      </w:r>
      <w:r w:rsidRPr="00D355C4">
        <w:rPr>
          <w:color w:val="auto"/>
        </w:rPr>
        <w:t xml:space="preserve">, </w:t>
      </w:r>
      <w:r w:rsidR="006A55D6" w:rsidRPr="00D355C4">
        <w:rPr>
          <w:color w:val="auto"/>
        </w:rPr>
        <w:t>which provides a framework</w:t>
      </w:r>
      <w:r w:rsidRPr="00D355C4">
        <w:rPr>
          <w:color w:val="auto"/>
        </w:rPr>
        <w:t xml:space="preserve"> to improve </w:t>
      </w:r>
      <w:r w:rsidR="0009389C" w:rsidRPr="00D355C4">
        <w:rPr>
          <w:color w:val="auto"/>
        </w:rPr>
        <w:t>people-to-people</w:t>
      </w:r>
      <w:r w:rsidRPr="00D355C4">
        <w:rPr>
          <w:color w:val="auto"/>
        </w:rPr>
        <w:t>, institut</w:t>
      </w:r>
      <w:r w:rsidR="006A55D6" w:rsidRPr="00D355C4">
        <w:rPr>
          <w:color w:val="auto"/>
        </w:rPr>
        <w:t xml:space="preserve">ional and infrastructure links </w:t>
      </w:r>
      <w:r w:rsidRPr="00D355C4">
        <w:rPr>
          <w:color w:val="auto"/>
        </w:rPr>
        <w:t>across ASEAN</w:t>
      </w:r>
      <w:r w:rsidR="00AD0EA2">
        <w:rPr>
          <w:color w:val="auto"/>
        </w:rPr>
        <w:t xml:space="preserve">. </w:t>
      </w:r>
      <w:r w:rsidR="00424A38">
        <w:rPr>
          <w:color w:val="auto"/>
        </w:rPr>
        <w:t xml:space="preserve">AADCP II </w:t>
      </w:r>
      <w:r w:rsidR="00AD0EA2">
        <w:rPr>
          <w:color w:val="auto"/>
        </w:rPr>
        <w:t>also supported</w:t>
      </w:r>
      <w:r w:rsidRPr="00D355C4">
        <w:rPr>
          <w:color w:val="auto"/>
        </w:rPr>
        <w:t xml:space="preserve"> the development and implementation of the third Work Plan for the Initiative for ASEAN Integration</w:t>
      </w:r>
      <w:r w:rsidR="009242E8">
        <w:rPr>
          <w:color w:val="auto"/>
        </w:rPr>
        <w:t xml:space="preserve"> (IAI 3)</w:t>
      </w:r>
      <w:r w:rsidRPr="00D355C4">
        <w:rPr>
          <w:color w:val="auto"/>
        </w:rPr>
        <w:t xml:space="preserve">, ASEAN’s primary vehicle for narrowing the development gap among its Member States. </w:t>
      </w:r>
      <w:r w:rsidR="009242E8">
        <w:rPr>
          <w:color w:val="auto"/>
        </w:rPr>
        <w:t xml:space="preserve">ASEAN Leaders welcomed our support for both MPAC 2025 and IAI 3 at their 2016 Summit. </w:t>
      </w:r>
      <w:r w:rsidR="009242E8" w:rsidRPr="00D355C4">
        <w:rPr>
          <w:color w:val="auto"/>
        </w:rPr>
        <w:t xml:space="preserve">    </w:t>
      </w:r>
      <w:r w:rsidRPr="00D355C4">
        <w:rPr>
          <w:color w:val="auto"/>
        </w:rPr>
        <w:t xml:space="preserve">   </w:t>
      </w:r>
    </w:p>
    <w:p w14:paraId="1DBDFF3C" w14:textId="77777777" w:rsidR="0009389C" w:rsidRDefault="0009389C" w:rsidP="00333A69">
      <w:pPr>
        <w:rPr>
          <w:color w:val="auto"/>
        </w:rPr>
      </w:pPr>
      <w:r>
        <w:rPr>
          <w:color w:val="auto"/>
        </w:rPr>
        <w:t xml:space="preserve">To </w:t>
      </w:r>
      <w:r w:rsidR="00424A38">
        <w:rPr>
          <w:color w:val="auto"/>
        </w:rPr>
        <w:t xml:space="preserve">advance </w:t>
      </w:r>
      <w:r>
        <w:rPr>
          <w:color w:val="auto"/>
        </w:rPr>
        <w:t xml:space="preserve">ASEAN’s efforts to promote the free flow of goods, services, and investments, </w:t>
      </w:r>
      <w:r w:rsidR="00424A38">
        <w:rPr>
          <w:color w:val="auto"/>
        </w:rPr>
        <w:t xml:space="preserve">in 2016-17 </w:t>
      </w:r>
      <w:r>
        <w:rPr>
          <w:color w:val="auto"/>
        </w:rPr>
        <w:t xml:space="preserve">AECSP has continued to assist </w:t>
      </w:r>
      <w:r w:rsidR="00424A38">
        <w:rPr>
          <w:color w:val="auto"/>
        </w:rPr>
        <w:t xml:space="preserve">ASEAN </w:t>
      </w:r>
      <w:r>
        <w:rPr>
          <w:color w:val="auto"/>
        </w:rPr>
        <w:t>Member States to maximise the implementation and benefits</w:t>
      </w:r>
      <w:r w:rsidR="00533889" w:rsidRPr="00D355C4">
        <w:rPr>
          <w:color w:val="auto"/>
        </w:rPr>
        <w:t xml:space="preserve"> of AANZFTA, which ASEAN regards as its most comprehensive FTA.  In an indication of </w:t>
      </w:r>
      <w:r w:rsidR="00424A38">
        <w:rPr>
          <w:color w:val="auto"/>
        </w:rPr>
        <w:t xml:space="preserve">this investment’s </w:t>
      </w:r>
      <w:r w:rsidR="00533889" w:rsidRPr="00D355C4">
        <w:rPr>
          <w:color w:val="auto"/>
        </w:rPr>
        <w:t xml:space="preserve">level of influence, </w:t>
      </w:r>
      <w:r w:rsidR="006A55D6" w:rsidRPr="00D355C4">
        <w:rPr>
          <w:color w:val="auto"/>
        </w:rPr>
        <w:t xml:space="preserve">ASEAN </w:t>
      </w:r>
      <w:r w:rsidR="00533889" w:rsidRPr="00D355C4">
        <w:rPr>
          <w:color w:val="auto"/>
        </w:rPr>
        <w:t>Ministers</w:t>
      </w:r>
      <w:r w:rsidR="00AD0EA2">
        <w:rPr>
          <w:color w:val="auto"/>
        </w:rPr>
        <w:t xml:space="preserve"> </w:t>
      </w:r>
      <w:r w:rsidR="00424A38">
        <w:rPr>
          <w:color w:val="auto"/>
        </w:rPr>
        <w:t xml:space="preserve">have </w:t>
      </w:r>
      <w:r w:rsidR="00AD0EA2">
        <w:rPr>
          <w:color w:val="auto"/>
        </w:rPr>
        <w:t xml:space="preserve">noted its importance </w:t>
      </w:r>
      <w:r w:rsidR="00424A38">
        <w:rPr>
          <w:color w:val="auto"/>
        </w:rPr>
        <w:t xml:space="preserve">towards </w:t>
      </w:r>
      <w:r w:rsidR="00AD0EA2">
        <w:rPr>
          <w:color w:val="auto"/>
        </w:rPr>
        <w:t xml:space="preserve">meeting their </w:t>
      </w:r>
      <w:r w:rsidR="00533889">
        <w:rPr>
          <w:color w:val="auto"/>
        </w:rPr>
        <w:t xml:space="preserve">regional economic integration </w:t>
      </w:r>
      <w:r w:rsidR="00AD0EA2">
        <w:rPr>
          <w:color w:val="auto"/>
        </w:rPr>
        <w:t>goals</w:t>
      </w:r>
      <w:r w:rsidR="00533889">
        <w:rPr>
          <w:color w:val="auto"/>
        </w:rPr>
        <w:t>. AECSP’s Competition Law Implementation Project</w:t>
      </w:r>
      <w:r w:rsidR="00A26F01">
        <w:rPr>
          <w:color w:val="auto"/>
        </w:rPr>
        <w:t xml:space="preserve"> (CLIP)</w:t>
      </w:r>
      <w:r w:rsidR="00533889">
        <w:rPr>
          <w:color w:val="auto"/>
        </w:rPr>
        <w:t xml:space="preserve"> has supported Cambodia, Lao PDR, Myanmar and the Philippines in their development and implementation of competition laws, creating strong links between Australian and ASEAN competition authorities to promote open, competitive markets </w:t>
      </w:r>
      <w:r w:rsidR="009B427E">
        <w:rPr>
          <w:color w:val="auto"/>
        </w:rPr>
        <w:t xml:space="preserve">that help share </w:t>
      </w:r>
      <w:r w:rsidR="00533889">
        <w:rPr>
          <w:color w:val="auto"/>
        </w:rPr>
        <w:t>the benefits of economic integration</w:t>
      </w:r>
      <w:r w:rsidR="009B427E">
        <w:rPr>
          <w:color w:val="auto"/>
        </w:rPr>
        <w:t>.</w:t>
      </w:r>
      <w:r w:rsidR="00533889">
        <w:rPr>
          <w:color w:val="auto"/>
        </w:rPr>
        <w:t xml:space="preserve"> </w:t>
      </w:r>
    </w:p>
    <w:p w14:paraId="1CF55CE4" w14:textId="5C4F9F8E" w:rsidR="00533889" w:rsidRPr="00533889" w:rsidRDefault="009B427E" w:rsidP="00333A69">
      <w:pPr>
        <w:rPr>
          <w:color w:val="auto"/>
        </w:rPr>
      </w:pPr>
      <w:r>
        <w:rPr>
          <w:color w:val="auto"/>
        </w:rPr>
        <w:t>I</w:t>
      </w:r>
      <w:r w:rsidR="00533889">
        <w:rPr>
          <w:color w:val="auto"/>
        </w:rPr>
        <w:t>n 2017-18, key priorit</w:t>
      </w:r>
      <w:r w:rsidR="00424A38">
        <w:rPr>
          <w:color w:val="auto"/>
        </w:rPr>
        <w:t>ies</w:t>
      </w:r>
      <w:r w:rsidR="00533889">
        <w:rPr>
          <w:color w:val="auto"/>
        </w:rPr>
        <w:t xml:space="preserve"> for AECSP will be supporting the AANZFTA General Review</w:t>
      </w:r>
      <w:r w:rsidR="00533889" w:rsidRPr="00533889">
        <w:rPr>
          <w:color w:val="auto"/>
        </w:rPr>
        <w:t>,</w:t>
      </w:r>
      <w:r w:rsidR="00533889">
        <w:rPr>
          <w:color w:val="FF0000"/>
        </w:rPr>
        <w:t xml:space="preserve"> </w:t>
      </w:r>
      <w:r w:rsidR="00533889" w:rsidRPr="00533889">
        <w:rPr>
          <w:color w:val="auto"/>
        </w:rPr>
        <w:t xml:space="preserve">commencing planning for AESCP’s successor program and </w:t>
      </w:r>
      <w:r w:rsidR="00424A38">
        <w:rPr>
          <w:color w:val="auto"/>
        </w:rPr>
        <w:t>improving</w:t>
      </w:r>
      <w:r w:rsidR="00533889" w:rsidRPr="00533889">
        <w:rPr>
          <w:color w:val="auto"/>
        </w:rPr>
        <w:t xml:space="preserve"> gender inclusion. </w:t>
      </w:r>
    </w:p>
    <w:p w14:paraId="0BF9643C" w14:textId="77777777" w:rsidR="00533889" w:rsidRPr="00D355C4" w:rsidRDefault="00533889" w:rsidP="00333A69">
      <w:pPr>
        <w:rPr>
          <w:color w:val="auto"/>
        </w:rPr>
      </w:pPr>
      <w:r w:rsidRPr="00533889">
        <w:rPr>
          <w:color w:val="auto"/>
        </w:rPr>
        <w:t xml:space="preserve">Complementing our flagship economic partnerships with ASEAN, we make a small contribution to </w:t>
      </w:r>
      <w:r w:rsidRPr="00D355C4">
        <w:rPr>
          <w:color w:val="auto"/>
        </w:rPr>
        <w:t>ERIA</w:t>
      </w:r>
      <w:r w:rsidR="00B72D46" w:rsidRPr="00D355C4">
        <w:rPr>
          <w:rStyle w:val="FootnoteReference"/>
          <w:color w:val="auto"/>
        </w:rPr>
        <w:footnoteReference w:id="12"/>
      </w:r>
      <w:r w:rsidRPr="00D355C4">
        <w:rPr>
          <w:color w:val="auto"/>
        </w:rPr>
        <w:t xml:space="preserve"> to help build economic policy-making capacity in Cambodia, Vietnam, Laos and Myanmar and </w:t>
      </w:r>
      <w:r w:rsidR="0086798A" w:rsidRPr="00D355C4">
        <w:rPr>
          <w:color w:val="auto"/>
        </w:rPr>
        <w:t>advance</w:t>
      </w:r>
      <w:r w:rsidRPr="00D355C4">
        <w:rPr>
          <w:color w:val="auto"/>
        </w:rPr>
        <w:t xml:space="preserve"> our joint interests in economic integration in Southeast Asia. </w:t>
      </w:r>
    </w:p>
    <w:p w14:paraId="7986F742" w14:textId="303B2800" w:rsidR="007C65FB" w:rsidRPr="00D355C4" w:rsidRDefault="00004836" w:rsidP="00333A69">
      <w:pPr>
        <w:rPr>
          <w:color w:val="auto"/>
        </w:rPr>
      </w:pPr>
      <w:r w:rsidRPr="00D355C4">
        <w:rPr>
          <w:rFonts w:eastAsia="Times New Roman"/>
          <w:color w:val="auto"/>
        </w:rPr>
        <w:t xml:space="preserve">To support </w:t>
      </w:r>
      <w:r w:rsidR="005144FB" w:rsidRPr="00D355C4">
        <w:rPr>
          <w:rFonts w:eastAsia="Times New Roman"/>
          <w:color w:val="auto"/>
        </w:rPr>
        <w:t xml:space="preserve">narrowing the development gap </w:t>
      </w:r>
      <w:r w:rsidR="00F7443B" w:rsidRPr="00D355C4">
        <w:rPr>
          <w:rFonts w:eastAsia="Times New Roman"/>
          <w:color w:val="auto"/>
        </w:rPr>
        <w:t>between Member States</w:t>
      </w:r>
      <w:r w:rsidR="0086798A" w:rsidRPr="00D355C4">
        <w:rPr>
          <w:rFonts w:eastAsia="Times New Roman"/>
          <w:color w:val="auto"/>
        </w:rPr>
        <w:t>,</w:t>
      </w:r>
      <w:r w:rsidRPr="00D355C4">
        <w:rPr>
          <w:rFonts w:eastAsia="Times New Roman"/>
          <w:color w:val="auto"/>
        </w:rPr>
        <w:t xml:space="preserve"> </w:t>
      </w:r>
      <w:r w:rsidR="005144FB" w:rsidRPr="00D355C4">
        <w:rPr>
          <w:rFonts w:eastAsia="Times New Roman"/>
          <w:color w:val="auto"/>
        </w:rPr>
        <w:t xml:space="preserve">MBI has </w:t>
      </w:r>
      <w:r w:rsidR="00C7476A" w:rsidRPr="00D355C4">
        <w:rPr>
          <w:color w:val="auto"/>
        </w:rPr>
        <w:t>improved the business enabling environment for SMEs</w:t>
      </w:r>
      <w:r w:rsidR="005144FB" w:rsidRPr="00D355C4">
        <w:rPr>
          <w:rStyle w:val="FootnoteReference"/>
          <w:color w:val="auto"/>
        </w:rPr>
        <w:footnoteReference w:id="13"/>
      </w:r>
      <w:r w:rsidR="00333A69" w:rsidRPr="00D355C4">
        <w:rPr>
          <w:color w:val="auto"/>
        </w:rPr>
        <w:t xml:space="preserve">, </w:t>
      </w:r>
      <w:r w:rsidR="00A26F01">
        <w:rPr>
          <w:color w:val="auto"/>
        </w:rPr>
        <w:t>particularly those led by</w:t>
      </w:r>
      <w:r w:rsidR="00333A69" w:rsidRPr="00D355C4">
        <w:rPr>
          <w:color w:val="auto"/>
        </w:rPr>
        <w:t xml:space="preserve"> women and young entrepreneurs</w:t>
      </w:r>
      <w:r w:rsidR="00C15915">
        <w:rPr>
          <w:color w:val="auto"/>
        </w:rPr>
        <w:t xml:space="preserve">. Examples of </w:t>
      </w:r>
      <w:r w:rsidR="00424A38">
        <w:rPr>
          <w:color w:val="auto"/>
        </w:rPr>
        <w:t xml:space="preserve">MBI’s </w:t>
      </w:r>
      <w:r w:rsidR="00C15915">
        <w:rPr>
          <w:color w:val="auto"/>
        </w:rPr>
        <w:t>work include</w:t>
      </w:r>
      <w:r w:rsidR="00C7476A" w:rsidRPr="00D355C4">
        <w:rPr>
          <w:color w:val="auto"/>
        </w:rPr>
        <w:t xml:space="preserve"> facilitating public/private dialogues </w:t>
      </w:r>
      <w:r w:rsidR="00333A69" w:rsidRPr="00D355C4">
        <w:rPr>
          <w:color w:val="auto"/>
        </w:rPr>
        <w:t>across Cambodia, Laos, Myanmar and Vietnam,</w:t>
      </w:r>
      <w:r w:rsidR="00333A69" w:rsidRPr="00D355C4">
        <w:rPr>
          <w:iCs/>
          <w:color w:val="auto"/>
        </w:rPr>
        <w:t xml:space="preserve"> resulting in changes to business policy/regulation; testing alternative financing models for start-ups and entrepreneurs; and stimulating more effective business development services with a particular focus on innovation.</w:t>
      </w:r>
      <w:r w:rsidR="00333A69" w:rsidRPr="00D355C4">
        <w:rPr>
          <w:color w:val="auto"/>
        </w:rPr>
        <w:t xml:space="preserve"> </w:t>
      </w:r>
      <w:r w:rsidR="00C7476A" w:rsidRPr="00D355C4">
        <w:rPr>
          <w:color w:val="auto"/>
        </w:rPr>
        <w:t xml:space="preserve">The SHIFT Challenge </w:t>
      </w:r>
      <w:r w:rsidR="0050158B" w:rsidRPr="00D355C4">
        <w:rPr>
          <w:color w:val="auto"/>
        </w:rPr>
        <w:t>F</w:t>
      </w:r>
      <w:r w:rsidR="00C7476A" w:rsidRPr="00D355C4">
        <w:rPr>
          <w:color w:val="auto"/>
        </w:rPr>
        <w:t xml:space="preserve">und </w:t>
      </w:r>
      <w:r w:rsidR="0050158B" w:rsidRPr="00D355C4">
        <w:rPr>
          <w:color w:val="auto"/>
        </w:rPr>
        <w:t>Facility increased financial inclusion</w:t>
      </w:r>
      <w:r w:rsidR="005144FB" w:rsidRPr="00D355C4">
        <w:rPr>
          <w:color w:val="auto"/>
        </w:rPr>
        <w:t xml:space="preserve"> </w:t>
      </w:r>
      <w:r w:rsidR="00B53064">
        <w:rPr>
          <w:color w:val="auto"/>
        </w:rPr>
        <w:t xml:space="preserve">through innovative private sector projects, </w:t>
      </w:r>
      <w:r w:rsidR="0050158B" w:rsidRPr="00D355C4">
        <w:rPr>
          <w:color w:val="auto"/>
        </w:rPr>
        <w:t xml:space="preserve">with over 630,000 beneficiaries (46 per cent being women) </w:t>
      </w:r>
      <w:r w:rsidR="00A26F01">
        <w:rPr>
          <w:color w:val="auto"/>
        </w:rPr>
        <w:t>given access to improved</w:t>
      </w:r>
      <w:r w:rsidR="00A26F01" w:rsidRPr="00D355C4">
        <w:rPr>
          <w:color w:val="auto"/>
        </w:rPr>
        <w:t xml:space="preserve"> </w:t>
      </w:r>
      <w:r w:rsidR="0050158B" w:rsidRPr="00D355C4">
        <w:rPr>
          <w:color w:val="auto"/>
        </w:rPr>
        <w:t>financial services</w:t>
      </w:r>
      <w:r w:rsidR="00C15915">
        <w:rPr>
          <w:color w:val="auto"/>
        </w:rPr>
        <w:t xml:space="preserve">. SHIFT’s </w:t>
      </w:r>
      <w:r w:rsidR="00E9158F" w:rsidRPr="00D355C4">
        <w:rPr>
          <w:color w:val="auto"/>
        </w:rPr>
        <w:t xml:space="preserve">goal </w:t>
      </w:r>
      <w:r w:rsidR="0086798A" w:rsidRPr="00D355C4">
        <w:rPr>
          <w:color w:val="auto"/>
        </w:rPr>
        <w:t xml:space="preserve">of </w:t>
      </w:r>
      <w:r w:rsidR="00E9158F" w:rsidRPr="00D355C4">
        <w:rPr>
          <w:color w:val="auto"/>
        </w:rPr>
        <w:t>reach</w:t>
      </w:r>
      <w:r w:rsidR="0086798A" w:rsidRPr="00D355C4">
        <w:rPr>
          <w:color w:val="auto"/>
        </w:rPr>
        <w:t xml:space="preserve">ing </w:t>
      </w:r>
      <w:r w:rsidR="00C7476A" w:rsidRPr="00D355C4">
        <w:rPr>
          <w:color w:val="auto"/>
        </w:rPr>
        <w:t xml:space="preserve">800,000 </w:t>
      </w:r>
      <w:r w:rsidR="00C15915">
        <w:rPr>
          <w:color w:val="auto"/>
        </w:rPr>
        <w:t xml:space="preserve">beneficiaries </w:t>
      </w:r>
      <w:r w:rsidR="00C7476A" w:rsidRPr="00D355C4">
        <w:rPr>
          <w:color w:val="auto"/>
        </w:rPr>
        <w:t>by 2020</w:t>
      </w:r>
      <w:r w:rsidR="0086798A" w:rsidRPr="00D355C4">
        <w:rPr>
          <w:color w:val="auto"/>
        </w:rPr>
        <w:t xml:space="preserve"> is</w:t>
      </w:r>
      <w:r w:rsidR="00E9158F" w:rsidRPr="00D355C4">
        <w:rPr>
          <w:color w:val="auto"/>
        </w:rPr>
        <w:t xml:space="preserve"> well on track</w:t>
      </w:r>
      <w:r w:rsidR="00B53064">
        <w:rPr>
          <w:color w:val="auto"/>
        </w:rPr>
        <w:t xml:space="preserve"> with the launch of a third challenge fund window on remittances. </w:t>
      </w:r>
      <w:r w:rsidR="00F7443B" w:rsidRPr="00D355C4">
        <w:rPr>
          <w:color w:val="auto"/>
        </w:rPr>
        <w:t>The G</w:t>
      </w:r>
      <w:r w:rsidR="005144FB" w:rsidRPr="00D355C4">
        <w:rPr>
          <w:color w:val="auto"/>
        </w:rPr>
        <w:t>MS</w:t>
      </w:r>
      <w:r w:rsidR="0086798A" w:rsidRPr="00D355C4">
        <w:rPr>
          <w:color w:val="auto"/>
        </w:rPr>
        <w:t xml:space="preserve"> TT</w:t>
      </w:r>
      <w:r w:rsidR="005144FB" w:rsidRPr="00D355C4">
        <w:rPr>
          <w:color w:val="auto"/>
        </w:rPr>
        <w:t>F</w:t>
      </w:r>
      <w:r w:rsidR="00F7443B" w:rsidRPr="00D355C4">
        <w:rPr>
          <w:color w:val="auto"/>
        </w:rPr>
        <w:t xml:space="preserve"> program has made considerable progress overall, however, in the past year a variety of factors</w:t>
      </w:r>
      <w:r w:rsidR="003B563F">
        <w:rPr>
          <w:color w:val="auto"/>
        </w:rPr>
        <w:t>, including delays in member states reaching agreement on legal process,</w:t>
      </w:r>
      <w:r w:rsidR="003B563F" w:rsidRPr="00D355C4">
        <w:rPr>
          <w:color w:val="auto"/>
        </w:rPr>
        <w:t xml:space="preserve"> have</w:t>
      </w:r>
      <w:r w:rsidR="00F7443B" w:rsidRPr="00D355C4">
        <w:rPr>
          <w:color w:val="auto"/>
        </w:rPr>
        <w:t xml:space="preserve"> delayed implementation</w:t>
      </w:r>
      <w:r w:rsidR="00A26F01">
        <w:rPr>
          <w:color w:val="auto"/>
        </w:rPr>
        <w:t>.</w:t>
      </w:r>
      <w:r w:rsidR="00F7443B" w:rsidRPr="00D355C4">
        <w:t xml:space="preserve"> </w:t>
      </w:r>
    </w:p>
    <w:p w14:paraId="49C89849" w14:textId="77777777" w:rsidR="0009389C" w:rsidRDefault="005049DF" w:rsidP="005049DF">
      <w:pPr>
        <w:rPr>
          <w:color w:val="auto"/>
        </w:rPr>
      </w:pPr>
      <w:r w:rsidRPr="00D355C4">
        <w:rPr>
          <w:color w:val="auto"/>
        </w:rPr>
        <w:t xml:space="preserve">Through GMWRP we have continued to advance the sustainable development and management of </w:t>
      </w:r>
      <w:r w:rsidR="00424A38">
        <w:rPr>
          <w:color w:val="auto"/>
        </w:rPr>
        <w:t xml:space="preserve">the region’s </w:t>
      </w:r>
      <w:r w:rsidRPr="00D355C4">
        <w:rPr>
          <w:color w:val="auto"/>
        </w:rPr>
        <w:t>water resources. This investment has supported complex analysis of</w:t>
      </w:r>
      <w:r w:rsidRPr="00FB2AB6">
        <w:rPr>
          <w:color w:val="auto"/>
        </w:rPr>
        <w:t xml:space="preserve"> the consequences of human development </w:t>
      </w:r>
      <w:r w:rsidR="00C15915">
        <w:rPr>
          <w:color w:val="auto"/>
        </w:rPr>
        <w:t xml:space="preserve">and climate change </w:t>
      </w:r>
      <w:r w:rsidRPr="00FB2AB6">
        <w:rPr>
          <w:color w:val="auto"/>
        </w:rPr>
        <w:t>on water resources</w:t>
      </w:r>
      <w:r w:rsidR="00C15915">
        <w:rPr>
          <w:color w:val="auto"/>
        </w:rPr>
        <w:t xml:space="preserve">. </w:t>
      </w:r>
      <w:r w:rsidRPr="00FB2AB6">
        <w:rPr>
          <w:color w:val="auto"/>
        </w:rPr>
        <w:t xml:space="preserve"> With our support</w:t>
      </w:r>
      <w:r w:rsidR="00E75DA3">
        <w:rPr>
          <w:color w:val="auto"/>
        </w:rPr>
        <w:t>,</w:t>
      </w:r>
      <w:r w:rsidRPr="00FB2AB6">
        <w:rPr>
          <w:color w:val="auto"/>
        </w:rPr>
        <w:t xml:space="preserve"> the MRC</w:t>
      </w:r>
      <w:r>
        <w:rPr>
          <w:rStyle w:val="FootnoteReference"/>
          <w:color w:val="auto"/>
        </w:rPr>
        <w:footnoteReference w:id="14"/>
      </w:r>
      <w:r w:rsidRPr="00FB2AB6">
        <w:rPr>
          <w:color w:val="auto"/>
        </w:rPr>
        <w:t xml:space="preserve"> has </w:t>
      </w:r>
      <w:r>
        <w:rPr>
          <w:color w:val="auto"/>
        </w:rPr>
        <w:t xml:space="preserve">completed a major administrative restructure </w:t>
      </w:r>
      <w:r w:rsidRPr="00FB2AB6">
        <w:rPr>
          <w:color w:val="auto"/>
        </w:rPr>
        <w:t>and is now a leaner and more effective organisation</w:t>
      </w:r>
      <w:r>
        <w:rPr>
          <w:color w:val="auto"/>
        </w:rPr>
        <w:t xml:space="preserve">: the Secretariat has </w:t>
      </w:r>
      <w:r>
        <w:rPr>
          <w:color w:val="auto"/>
        </w:rPr>
        <w:lastRenderedPageBreak/>
        <w:t xml:space="preserve">downsized </w:t>
      </w:r>
      <w:r w:rsidRPr="003E1E71">
        <w:rPr>
          <w:color w:val="auto"/>
        </w:rPr>
        <w:t xml:space="preserve">its staff </w:t>
      </w:r>
      <w:r w:rsidR="00C7185E">
        <w:rPr>
          <w:color w:val="auto"/>
        </w:rPr>
        <w:t>to focus on</w:t>
      </w:r>
      <w:r w:rsidRPr="003E1E71">
        <w:rPr>
          <w:color w:val="auto"/>
        </w:rPr>
        <w:t xml:space="preserve"> its core functions</w:t>
      </w:r>
      <w:r w:rsidR="00C15915">
        <w:rPr>
          <w:color w:val="auto"/>
        </w:rPr>
        <w:t>,</w:t>
      </w:r>
      <w:r>
        <w:rPr>
          <w:color w:val="auto"/>
        </w:rPr>
        <w:t xml:space="preserve"> and while efforts need to be maintained, it has improved planning and reporting abilities as illustrated by the </w:t>
      </w:r>
      <w:r w:rsidR="00C15915">
        <w:rPr>
          <w:color w:val="auto"/>
        </w:rPr>
        <w:t xml:space="preserve">better </w:t>
      </w:r>
      <w:r>
        <w:rPr>
          <w:color w:val="auto"/>
        </w:rPr>
        <w:t xml:space="preserve">quality of annual workplans and reports. </w:t>
      </w:r>
    </w:p>
    <w:p w14:paraId="2F87055B" w14:textId="22AE02D6" w:rsidR="0009389C" w:rsidRDefault="005049DF" w:rsidP="005049DF">
      <w:pPr>
        <w:rPr>
          <w:color w:val="auto"/>
        </w:rPr>
      </w:pPr>
      <w:r w:rsidRPr="00FB2AB6">
        <w:rPr>
          <w:color w:val="auto"/>
        </w:rPr>
        <w:t xml:space="preserve">With Australia’s assistance, the MRC has professionally implemented </w:t>
      </w:r>
      <w:r w:rsidR="00A26F01">
        <w:rPr>
          <w:color w:val="auto"/>
        </w:rPr>
        <w:t xml:space="preserve">a </w:t>
      </w:r>
      <w:r w:rsidRPr="00FB2AB6">
        <w:rPr>
          <w:color w:val="auto"/>
        </w:rPr>
        <w:t xml:space="preserve">multi-stakeholder, inter-governmental assessment of the proposed Pak Beng hydropower project – the third </w:t>
      </w:r>
      <w:r w:rsidR="00C15915">
        <w:rPr>
          <w:color w:val="auto"/>
        </w:rPr>
        <w:t xml:space="preserve">project </w:t>
      </w:r>
      <w:r w:rsidRPr="00FB2AB6">
        <w:rPr>
          <w:color w:val="auto"/>
        </w:rPr>
        <w:t xml:space="preserve">submitted by Laos for regional consideration. </w:t>
      </w:r>
      <w:r w:rsidR="00165C71">
        <w:rPr>
          <w:color w:val="auto"/>
        </w:rPr>
        <w:t xml:space="preserve">For the first time, all four MRC member countries were able to issue an official statement calling on Laos to make “all reasonable efforts” to address potential adverse transboundry impacts – a positive outcome not reached for the first two mainstream hydropower projects that went through the same MRC consultation process (Xayaburi and Don Sahong).  </w:t>
      </w:r>
      <w:r>
        <w:rPr>
          <w:color w:val="auto"/>
        </w:rPr>
        <w:t xml:space="preserve">Going forward, the MRC will </w:t>
      </w:r>
      <w:r w:rsidR="00165C71">
        <w:rPr>
          <w:color w:val="auto"/>
        </w:rPr>
        <w:t xml:space="preserve">benefit from greater engagement </w:t>
      </w:r>
      <w:r>
        <w:rPr>
          <w:color w:val="auto"/>
        </w:rPr>
        <w:t xml:space="preserve">with </w:t>
      </w:r>
      <w:r w:rsidR="00165C71">
        <w:rPr>
          <w:color w:val="auto"/>
        </w:rPr>
        <w:t xml:space="preserve">other </w:t>
      </w:r>
      <w:r>
        <w:rPr>
          <w:color w:val="auto"/>
        </w:rPr>
        <w:t>relevant regional forums</w:t>
      </w:r>
      <w:r w:rsidR="00165C71">
        <w:rPr>
          <w:color w:val="auto"/>
        </w:rPr>
        <w:t>,</w:t>
      </w:r>
      <w:r>
        <w:rPr>
          <w:color w:val="auto"/>
        </w:rPr>
        <w:t xml:space="preserve"> such as ASEAN and </w:t>
      </w:r>
      <w:r w:rsidR="00C7185E">
        <w:rPr>
          <w:color w:val="auto"/>
        </w:rPr>
        <w:t xml:space="preserve">the </w:t>
      </w:r>
      <w:r>
        <w:rPr>
          <w:color w:val="auto"/>
        </w:rPr>
        <w:t>Lancang-Mekong Cooperation</w:t>
      </w:r>
      <w:r w:rsidR="00C7185E">
        <w:rPr>
          <w:color w:val="auto"/>
        </w:rPr>
        <w:t xml:space="preserve"> mechanism</w:t>
      </w:r>
      <w:r>
        <w:rPr>
          <w:color w:val="auto"/>
        </w:rPr>
        <w:t xml:space="preserve">. </w:t>
      </w:r>
      <w:r w:rsidR="00165C71">
        <w:rPr>
          <w:color w:val="auto"/>
        </w:rPr>
        <w:t>Bilaterally, e</w:t>
      </w:r>
      <w:r w:rsidRPr="00FB2AB6">
        <w:rPr>
          <w:color w:val="auto"/>
        </w:rPr>
        <w:t>xtensive Australian technical support has helpe</w:t>
      </w:r>
      <w:r>
        <w:rPr>
          <w:color w:val="auto"/>
        </w:rPr>
        <w:t>d Laos finalise a new water law</w:t>
      </w:r>
      <w:r w:rsidRPr="00FB2AB6">
        <w:rPr>
          <w:color w:val="auto"/>
        </w:rPr>
        <w:t xml:space="preserve"> and adopt a new method for assessing the cumulative impact of multiple hydropower projects on one river system. </w:t>
      </w:r>
    </w:p>
    <w:p w14:paraId="69E54FEB" w14:textId="0FE62122" w:rsidR="005049DF" w:rsidRDefault="005049DF" w:rsidP="005049DF">
      <w:pPr>
        <w:rPr>
          <w:color w:val="auto"/>
        </w:rPr>
      </w:pPr>
      <w:r>
        <w:rPr>
          <w:color w:val="auto"/>
        </w:rPr>
        <w:t xml:space="preserve">A recent evaluation highlighted </w:t>
      </w:r>
      <w:r w:rsidRPr="00FB2AB6">
        <w:rPr>
          <w:color w:val="auto"/>
        </w:rPr>
        <w:t>the complex management arrangement</w:t>
      </w:r>
      <w:r w:rsidR="00165C71">
        <w:rPr>
          <w:color w:val="auto"/>
        </w:rPr>
        <w:t>s</w:t>
      </w:r>
      <w:r w:rsidRPr="00FB2AB6">
        <w:rPr>
          <w:color w:val="auto"/>
        </w:rPr>
        <w:t xml:space="preserve"> in place to oversee the </w:t>
      </w:r>
      <w:r w:rsidR="00165C71">
        <w:rPr>
          <w:color w:val="auto"/>
        </w:rPr>
        <w:t xml:space="preserve">program’s numerous </w:t>
      </w:r>
      <w:r>
        <w:rPr>
          <w:color w:val="auto"/>
        </w:rPr>
        <w:t>implementing partners.</w:t>
      </w:r>
      <w:r w:rsidRPr="00FB2AB6">
        <w:rPr>
          <w:color w:val="auto"/>
        </w:rPr>
        <w:t xml:space="preserve"> </w:t>
      </w:r>
      <w:r w:rsidR="009242E8" w:rsidRPr="009242E8">
        <w:rPr>
          <w:color w:val="auto"/>
        </w:rPr>
        <w:t xml:space="preserve">The review also highlighted the challenges in demonstrating policy influence in the complex regional water resources sector. </w:t>
      </w:r>
      <w:r w:rsidR="00316724" w:rsidRPr="00FB2AB6">
        <w:rPr>
          <w:color w:val="auto"/>
        </w:rPr>
        <w:t xml:space="preserve">Through the development of the next iteration of the </w:t>
      </w:r>
      <w:r w:rsidR="005A2D69">
        <w:rPr>
          <w:color w:val="auto"/>
        </w:rPr>
        <w:t>water program</w:t>
      </w:r>
      <w:r w:rsidR="00316724" w:rsidRPr="00FB2AB6">
        <w:rPr>
          <w:color w:val="auto"/>
        </w:rPr>
        <w:t xml:space="preserve">, </w:t>
      </w:r>
      <w:r w:rsidR="00316724">
        <w:rPr>
          <w:color w:val="auto"/>
        </w:rPr>
        <w:t>we</w:t>
      </w:r>
      <w:r w:rsidR="00316724" w:rsidRPr="00FB2AB6">
        <w:rPr>
          <w:color w:val="auto"/>
        </w:rPr>
        <w:t xml:space="preserve"> will consider ways to streamline and simplify the </w:t>
      </w:r>
      <w:r w:rsidR="00C7185E">
        <w:rPr>
          <w:color w:val="auto"/>
        </w:rPr>
        <w:t xml:space="preserve">investment’s </w:t>
      </w:r>
      <w:r w:rsidR="00316724" w:rsidRPr="00FB2AB6">
        <w:rPr>
          <w:color w:val="auto"/>
        </w:rPr>
        <w:t>management structure</w:t>
      </w:r>
      <w:r w:rsidR="009242E8">
        <w:rPr>
          <w:color w:val="auto"/>
        </w:rPr>
        <w:t>, while maintaining a focus on tangible outcomes</w:t>
      </w:r>
      <w:r w:rsidR="00316724" w:rsidRPr="00FB2AB6">
        <w:rPr>
          <w:color w:val="auto"/>
        </w:rPr>
        <w:t>.</w:t>
      </w:r>
      <w:r w:rsidR="00316724">
        <w:rPr>
          <w:color w:val="auto"/>
        </w:rPr>
        <w:t xml:space="preserve"> </w:t>
      </w:r>
    </w:p>
    <w:p w14:paraId="1D37DEBD" w14:textId="77777777" w:rsidR="0016376A" w:rsidRPr="0016376A" w:rsidRDefault="0016376A" w:rsidP="0016376A">
      <w:pPr>
        <w:rPr>
          <w:color w:val="auto"/>
        </w:rPr>
      </w:pPr>
    </w:p>
    <w:p w14:paraId="0368AF83" w14:textId="77777777" w:rsidR="009D044D" w:rsidRPr="003F1811" w:rsidRDefault="000B382A" w:rsidP="0016376A">
      <w:pPr>
        <w:pStyle w:val="Subtitle"/>
        <w:rPr>
          <w:sz w:val="28"/>
          <w:szCs w:val="28"/>
        </w:rPr>
      </w:pPr>
      <w:r w:rsidRPr="003F1811">
        <w:rPr>
          <w:sz w:val="28"/>
          <w:szCs w:val="28"/>
        </w:rPr>
        <w:t>O</w:t>
      </w:r>
      <w:r w:rsidR="009D044D" w:rsidRPr="003F1811">
        <w:rPr>
          <w:sz w:val="28"/>
          <w:szCs w:val="28"/>
        </w:rPr>
        <w:t>bjective 2. Strengthening regional responses to trafficking</w:t>
      </w:r>
      <w:r w:rsidR="004C79D5" w:rsidRPr="003F1811">
        <w:rPr>
          <w:sz w:val="28"/>
          <w:szCs w:val="28"/>
        </w:rPr>
        <w:t xml:space="preserve"> </w:t>
      </w:r>
      <w:r w:rsidR="009D044D" w:rsidRPr="003F1811">
        <w:rPr>
          <w:sz w:val="28"/>
          <w:szCs w:val="28"/>
        </w:rPr>
        <w:t>and the expoitation of migrant workers.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201"/>
        <w:gridCol w:w="1228"/>
        <w:gridCol w:w="1182"/>
        <w:gridCol w:w="1657"/>
        <w:gridCol w:w="1415"/>
        <w:gridCol w:w="1179"/>
      </w:tblGrid>
      <w:tr w:rsidR="009D044D" w:rsidRPr="00A805D6" w14:paraId="419BFED6" w14:textId="77777777" w:rsidTr="00E70BEF">
        <w:tc>
          <w:tcPr>
            <w:tcW w:w="1776" w:type="dxa"/>
          </w:tcPr>
          <w:p w14:paraId="6221E691" w14:textId="77777777" w:rsidR="009D044D" w:rsidRPr="00A805D6" w:rsidRDefault="009D044D" w:rsidP="00A805D6">
            <w:pPr>
              <w:rPr>
                <w:color w:val="auto"/>
              </w:rPr>
            </w:pPr>
            <w:r w:rsidRPr="00A805D6">
              <w:rPr>
                <w:noProof/>
                <w:color w:val="auto"/>
                <w:lang w:val="en-AU" w:eastAsia="en-AU"/>
              </w:rPr>
              <w:drawing>
                <wp:inline distT="0" distB="0" distL="0" distR="0" wp14:anchorId="2CC973EB" wp14:editId="4770BE6F">
                  <wp:extent cx="848497" cy="537023"/>
                  <wp:effectExtent l="0" t="0" r="889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74960" cy="553772"/>
                          </a:xfrm>
                          <a:prstGeom prst="rect">
                            <a:avLst/>
                          </a:prstGeom>
                        </pic:spPr>
                      </pic:pic>
                    </a:graphicData>
                  </a:graphic>
                </wp:inline>
              </w:drawing>
            </w:r>
          </w:p>
        </w:tc>
        <w:tc>
          <w:tcPr>
            <w:tcW w:w="1201" w:type="dxa"/>
          </w:tcPr>
          <w:p w14:paraId="4997286F" w14:textId="77777777" w:rsidR="009D044D" w:rsidRPr="00A805D6" w:rsidRDefault="009D044D" w:rsidP="00A805D6">
            <w:pPr>
              <w:rPr>
                <w:color w:val="auto"/>
              </w:rPr>
            </w:pPr>
            <w:r w:rsidRPr="00A805D6">
              <w:rPr>
                <w:noProof/>
                <w:color w:val="auto"/>
                <w:lang w:val="en-AU" w:eastAsia="en-AU"/>
              </w:rPr>
              <w:drawing>
                <wp:inline distT="0" distB="0" distL="0" distR="0" wp14:anchorId="4B468DC7" wp14:editId="6CB9E2E2">
                  <wp:extent cx="502508" cy="50250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963" cy="504963"/>
                          </a:xfrm>
                          <a:prstGeom prst="rect">
                            <a:avLst/>
                          </a:prstGeom>
                          <a:noFill/>
                        </pic:spPr>
                      </pic:pic>
                    </a:graphicData>
                  </a:graphic>
                </wp:inline>
              </w:drawing>
            </w:r>
            <w:r w:rsidRPr="00A805D6">
              <w:rPr>
                <w:color w:val="auto"/>
              </w:rPr>
              <w:t xml:space="preserve"> </w:t>
            </w:r>
          </w:p>
        </w:tc>
        <w:tc>
          <w:tcPr>
            <w:tcW w:w="1228" w:type="dxa"/>
          </w:tcPr>
          <w:p w14:paraId="46F70968" w14:textId="77777777" w:rsidR="009D044D" w:rsidRPr="00A805D6" w:rsidRDefault="009D044D" w:rsidP="00A805D6">
            <w:pPr>
              <w:rPr>
                <w:color w:val="auto"/>
              </w:rPr>
            </w:pPr>
            <w:r w:rsidRPr="00A805D6">
              <w:rPr>
                <w:noProof/>
                <w:color w:val="auto"/>
                <w:lang w:val="en-AU" w:eastAsia="en-AU"/>
              </w:rPr>
              <w:drawing>
                <wp:inline distT="0" distB="0" distL="0" distR="0" wp14:anchorId="3241DEE8" wp14:editId="241125DA">
                  <wp:extent cx="502285" cy="50228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3824" cy="503824"/>
                          </a:xfrm>
                          <a:prstGeom prst="rect">
                            <a:avLst/>
                          </a:prstGeom>
                        </pic:spPr>
                      </pic:pic>
                    </a:graphicData>
                  </a:graphic>
                </wp:inline>
              </w:drawing>
            </w:r>
          </w:p>
        </w:tc>
        <w:tc>
          <w:tcPr>
            <w:tcW w:w="1182" w:type="dxa"/>
          </w:tcPr>
          <w:p w14:paraId="0E30C7E1" w14:textId="77777777" w:rsidR="009D044D" w:rsidRPr="00A805D6" w:rsidRDefault="009D044D" w:rsidP="00A805D6">
            <w:pPr>
              <w:rPr>
                <w:color w:val="auto"/>
              </w:rPr>
            </w:pPr>
            <w:r w:rsidRPr="00A805D6">
              <w:rPr>
                <w:noProof/>
                <w:color w:val="auto"/>
                <w:lang w:val="en-AU" w:eastAsia="en-AU"/>
              </w:rPr>
              <w:drawing>
                <wp:inline distT="0" distB="0" distL="0" distR="0" wp14:anchorId="40E5DF2E" wp14:editId="4DAFD063">
                  <wp:extent cx="487148" cy="487148"/>
                  <wp:effectExtent l="0" t="0" r="8255" b="8255"/>
                  <wp:docPr id="58" name="Picture 58"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7354" cy="487354"/>
                          </a:xfrm>
                          <a:prstGeom prst="rect">
                            <a:avLst/>
                          </a:prstGeom>
                          <a:noFill/>
                          <a:ln>
                            <a:noFill/>
                          </a:ln>
                        </pic:spPr>
                      </pic:pic>
                    </a:graphicData>
                  </a:graphic>
                </wp:inline>
              </w:drawing>
            </w:r>
          </w:p>
        </w:tc>
        <w:tc>
          <w:tcPr>
            <w:tcW w:w="1657" w:type="dxa"/>
          </w:tcPr>
          <w:p w14:paraId="0070C833" w14:textId="77777777" w:rsidR="009D044D" w:rsidRPr="00A805D6" w:rsidRDefault="009D044D" w:rsidP="00A805D6">
            <w:pPr>
              <w:rPr>
                <w:color w:val="auto"/>
              </w:rPr>
            </w:pPr>
            <w:r w:rsidRPr="00A805D6">
              <w:rPr>
                <w:noProof/>
                <w:color w:val="auto"/>
                <w:lang w:val="en-AU" w:eastAsia="en-AU"/>
              </w:rPr>
              <w:drawing>
                <wp:inline distT="0" distB="0" distL="0" distR="0" wp14:anchorId="6CDA3649" wp14:editId="0A6183F0">
                  <wp:extent cx="487045" cy="487045"/>
                  <wp:effectExtent l="0" t="0" r="8255"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9033" cy="489033"/>
                          </a:xfrm>
                          <a:prstGeom prst="rect">
                            <a:avLst/>
                          </a:prstGeom>
                        </pic:spPr>
                      </pic:pic>
                    </a:graphicData>
                  </a:graphic>
                </wp:inline>
              </w:drawing>
            </w:r>
          </w:p>
        </w:tc>
        <w:tc>
          <w:tcPr>
            <w:tcW w:w="1415" w:type="dxa"/>
          </w:tcPr>
          <w:p w14:paraId="01BD0E9E" w14:textId="77777777" w:rsidR="009D044D" w:rsidRPr="00A805D6" w:rsidRDefault="009D044D" w:rsidP="00A805D6">
            <w:pPr>
              <w:rPr>
                <w:color w:val="auto"/>
              </w:rPr>
            </w:pPr>
          </w:p>
        </w:tc>
        <w:tc>
          <w:tcPr>
            <w:tcW w:w="1179" w:type="dxa"/>
          </w:tcPr>
          <w:p w14:paraId="4CE67ED1" w14:textId="77777777" w:rsidR="009D044D" w:rsidRPr="00A805D6" w:rsidRDefault="009D044D" w:rsidP="00A805D6">
            <w:pPr>
              <w:rPr>
                <w:color w:val="auto"/>
              </w:rPr>
            </w:pPr>
          </w:p>
        </w:tc>
      </w:tr>
    </w:tbl>
    <w:p w14:paraId="5BA12EC7" w14:textId="77777777" w:rsidR="00AB2B5F" w:rsidRDefault="004E7B48" w:rsidP="004E7B48">
      <w:pPr>
        <w:rPr>
          <w:color w:val="auto"/>
        </w:rPr>
      </w:pPr>
      <w:r>
        <w:rPr>
          <w:color w:val="auto"/>
        </w:rPr>
        <w:t xml:space="preserve">Investments </w:t>
      </w:r>
      <w:r w:rsidR="00570680">
        <w:rPr>
          <w:color w:val="auto"/>
        </w:rPr>
        <w:t xml:space="preserve">under </w:t>
      </w:r>
      <w:r>
        <w:rPr>
          <w:color w:val="auto"/>
        </w:rPr>
        <w:t>this objective will contribute to SDGs 1,</w:t>
      </w:r>
      <w:r w:rsidR="00316724">
        <w:rPr>
          <w:color w:val="auto"/>
        </w:rPr>
        <w:t xml:space="preserve"> </w:t>
      </w:r>
      <w:r>
        <w:rPr>
          <w:color w:val="auto"/>
        </w:rPr>
        <w:t>5,</w:t>
      </w:r>
      <w:r w:rsidR="00316724">
        <w:rPr>
          <w:color w:val="auto"/>
        </w:rPr>
        <w:t xml:space="preserve"> </w:t>
      </w:r>
      <w:r>
        <w:rPr>
          <w:color w:val="auto"/>
        </w:rPr>
        <w:t>8 and 10 by undertaking effective measures to combat human trafficking, protect labour rights and promote safe and secure working environments for migrant workers</w:t>
      </w:r>
      <w:r w:rsidR="00727505">
        <w:rPr>
          <w:color w:val="auto"/>
        </w:rPr>
        <w:t>.</w:t>
      </w:r>
      <w:r>
        <w:rPr>
          <w:color w:val="auto"/>
        </w:rPr>
        <w:t xml:space="preserve">  </w:t>
      </w:r>
    </w:p>
    <w:p w14:paraId="13F928DE" w14:textId="32AD6A44" w:rsidR="00AB2B5F" w:rsidRDefault="00AB2B5F" w:rsidP="004E7B48">
      <w:pPr>
        <w:rPr>
          <w:color w:val="auto"/>
        </w:rPr>
      </w:pPr>
      <w:r>
        <w:rPr>
          <w:color w:val="auto"/>
        </w:rPr>
        <w:t xml:space="preserve">Progress reports for AAPTIP and TRIANGLE in ASEAN show they are delivering on annual work plans and are broadly on track to meet performance expectations.   </w:t>
      </w:r>
    </w:p>
    <w:p w14:paraId="188C4058" w14:textId="518C71DE" w:rsidR="004E7B48" w:rsidRDefault="004E7B48" w:rsidP="004E7B48">
      <w:pPr>
        <w:rPr>
          <w:color w:val="auto"/>
        </w:rPr>
      </w:pPr>
      <w:r>
        <w:rPr>
          <w:color w:val="auto"/>
        </w:rPr>
        <w:t>Both investments support workers to migrate in an orderly, safe and regular way so that they can seek employment opportunities and remit their wages safely. Women’s full and effective participation and equal opportunities for leadership at all levels of decision-making in political</w:t>
      </w:r>
      <w:r w:rsidR="00570680">
        <w:rPr>
          <w:color w:val="auto"/>
        </w:rPr>
        <w:t xml:space="preserve">, economic and public life are </w:t>
      </w:r>
      <w:r>
        <w:rPr>
          <w:color w:val="auto"/>
        </w:rPr>
        <w:t>promot</w:t>
      </w:r>
      <w:r w:rsidR="00570680">
        <w:rPr>
          <w:color w:val="auto"/>
        </w:rPr>
        <w:t>ed</w:t>
      </w:r>
      <w:r>
        <w:rPr>
          <w:color w:val="auto"/>
        </w:rPr>
        <w:t xml:space="preserve"> through this work. </w:t>
      </w:r>
    </w:p>
    <w:p w14:paraId="5FDCF852" w14:textId="77777777" w:rsidR="00316724" w:rsidRDefault="004E7B48" w:rsidP="0088065B">
      <w:pPr>
        <w:rPr>
          <w:color w:val="auto"/>
        </w:rPr>
      </w:pPr>
      <w:r w:rsidRPr="00C15915">
        <w:rPr>
          <w:bCs/>
          <w:color w:val="auto"/>
        </w:rPr>
        <w:t>AAPTIP</w:t>
      </w:r>
      <w:r w:rsidRPr="00C15915">
        <w:rPr>
          <w:color w:val="auto"/>
        </w:rPr>
        <w:t xml:space="preserve"> </w:t>
      </w:r>
      <w:r w:rsidR="00570680" w:rsidRPr="00C15915">
        <w:rPr>
          <w:color w:val="auto"/>
        </w:rPr>
        <w:t>fac</w:t>
      </w:r>
      <w:r w:rsidR="00570680">
        <w:rPr>
          <w:color w:val="auto"/>
        </w:rPr>
        <w:t xml:space="preserve">ilitated </w:t>
      </w:r>
      <w:r w:rsidR="00B53064">
        <w:rPr>
          <w:color w:val="auto"/>
        </w:rPr>
        <w:t>eight</w:t>
      </w:r>
      <w:r w:rsidR="00564DEC">
        <w:rPr>
          <w:color w:val="auto"/>
        </w:rPr>
        <w:t xml:space="preserve"> transnational investigative c</w:t>
      </w:r>
      <w:r>
        <w:rPr>
          <w:color w:val="auto"/>
        </w:rPr>
        <w:t>ooperation partnerships among major human trafficking source, transit and destination countries.</w:t>
      </w:r>
      <w:r w:rsidR="00B53064">
        <w:rPr>
          <w:color w:val="auto"/>
        </w:rPr>
        <w:t xml:space="preserve"> These partnerships enabled information and criminal intelligence exchange in th</w:t>
      </w:r>
      <w:r w:rsidR="00E64DAC">
        <w:rPr>
          <w:color w:val="auto"/>
        </w:rPr>
        <w:t>e pursuit of traffickers, leading</w:t>
      </w:r>
      <w:r w:rsidR="00B53064">
        <w:rPr>
          <w:color w:val="auto"/>
        </w:rPr>
        <w:t xml:space="preserve"> to the rescue of victims, arrests and prosecutions</w:t>
      </w:r>
      <w:r w:rsidR="00426C14">
        <w:rPr>
          <w:color w:val="auto"/>
        </w:rPr>
        <w:t xml:space="preserve">. </w:t>
      </w:r>
      <w:r w:rsidR="00426C14" w:rsidRPr="00426C14">
        <w:rPr>
          <w:color w:val="auto"/>
        </w:rPr>
        <w:t xml:space="preserve">AAPTIP’s long-term capacity building support to Thai prosecutors and investigators </w:t>
      </w:r>
      <w:r w:rsidR="00C7185E">
        <w:rPr>
          <w:color w:val="auto"/>
        </w:rPr>
        <w:t>contributed directly to a large number of</w:t>
      </w:r>
      <w:r w:rsidR="00426C14" w:rsidRPr="00426C14">
        <w:rPr>
          <w:color w:val="auto"/>
        </w:rPr>
        <w:t xml:space="preserve"> recent </w:t>
      </w:r>
      <w:r w:rsidR="00316724">
        <w:rPr>
          <w:color w:val="auto"/>
        </w:rPr>
        <w:t xml:space="preserve">high-profile </w:t>
      </w:r>
      <w:r w:rsidR="00426C14" w:rsidRPr="00426C14">
        <w:rPr>
          <w:color w:val="auto"/>
        </w:rPr>
        <w:t>convictions of traffickers in Thailand</w:t>
      </w:r>
      <w:r w:rsidR="00B53064">
        <w:rPr>
          <w:color w:val="auto"/>
        </w:rPr>
        <w:t xml:space="preserve">. </w:t>
      </w:r>
    </w:p>
    <w:p w14:paraId="3B2F5375" w14:textId="674D92CD" w:rsidR="0088065B" w:rsidRDefault="00316724" w:rsidP="0088065B">
      <w:pPr>
        <w:rPr>
          <w:color w:val="auto"/>
          <w:lang w:val="en-AU"/>
        </w:rPr>
      </w:pPr>
      <w:r>
        <w:rPr>
          <w:color w:val="auto"/>
        </w:rPr>
        <w:t xml:space="preserve">The recent ratification of ACTIP, for which Australia provided technical advice, gave fresh impetus to our work on trafficking in 2016-17. </w:t>
      </w:r>
      <w:r w:rsidR="004E7B48">
        <w:rPr>
          <w:color w:val="auto"/>
        </w:rPr>
        <w:t xml:space="preserve">AAPTIP </w:t>
      </w:r>
      <w:r w:rsidR="00E92D03">
        <w:rPr>
          <w:color w:val="auto"/>
        </w:rPr>
        <w:t xml:space="preserve">is working in close partnerships to </w:t>
      </w:r>
      <w:r w:rsidR="004E7B48">
        <w:rPr>
          <w:color w:val="auto"/>
        </w:rPr>
        <w:t>support ASEAN’s development of an implementation plan and monitoring an</w:t>
      </w:r>
      <w:r w:rsidR="00C15915">
        <w:rPr>
          <w:color w:val="auto"/>
        </w:rPr>
        <w:t>d reporting mechanism for ACTIP -</w:t>
      </w:r>
      <w:r w:rsidR="004E7B48">
        <w:rPr>
          <w:color w:val="auto"/>
        </w:rPr>
        <w:t xml:space="preserve"> the ‘ASEAN Bohol ACTIP Work </w:t>
      </w:r>
      <w:r w:rsidR="004E7B48">
        <w:rPr>
          <w:color w:val="auto"/>
        </w:rPr>
        <w:lastRenderedPageBreak/>
        <w:t>plan, 2017-2020’</w:t>
      </w:r>
      <w:r>
        <w:rPr>
          <w:color w:val="auto"/>
        </w:rPr>
        <w:t>, showing its ability to successfully influence policy</w:t>
      </w:r>
      <w:r w:rsidR="004E7B48">
        <w:rPr>
          <w:color w:val="auto"/>
        </w:rPr>
        <w:t>.  The ASEAN-COMMIT</w:t>
      </w:r>
      <w:r w:rsidR="004E7B48">
        <w:rPr>
          <w:rStyle w:val="FootnoteReference"/>
          <w:color w:val="auto"/>
        </w:rPr>
        <w:footnoteReference w:id="15"/>
      </w:r>
      <w:r w:rsidR="004E7B48">
        <w:rPr>
          <w:color w:val="auto"/>
        </w:rPr>
        <w:t xml:space="preserve"> V</w:t>
      </w:r>
      <w:r w:rsidR="0088065B">
        <w:rPr>
          <w:color w:val="auto"/>
        </w:rPr>
        <w:t>ictim Identification Indicators were</w:t>
      </w:r>
      <w:r>
        <w:rPr>
          <w:color w:val="auto"/>
        </w:rPr>
        <w:t xml:space="preserve"> also</w:t>
      </w:r>
      <w:r w:rsidR="004E7B48">
        <w:rPr>
          <w:color w:val="auto"/>
        </w:rPr>
        <w:t xml:space="preserve"> jointly developed by AAPTIP</w:t>
      </w:r>
      <w:r w:rsidR="0088065B">
        <w:rPr>
          <w:color w:val="auto"/>
        </w:rPr>
        <w:t>, ILO</w:t>
      </w:r>
      <w:r w:rsidR="00B72D46">
        <w:rPr>
          <w:rStyle w:val="FootnoteReference"/>
          <w:color w:val="auto"/>
        </w:rPr>
        <w:footnoteReference w:id="16"/>
      </w:r>
      <w:r w:rsidR="0088065B">
        <w:rPr>
          <w:color w:val="auto"/>
        </w:rPr>
        <w:t xml:space="preserve">, </w:t>
      </w:r>
      <w:r w:rsidR="004E7B48">
        <w:rPr>
          <w:color w:val="auto"/>
        </w:rPr>
        <w:t>UN-ACT</w:t>
      </w:r>
      <w:r w:rsidR="004E7B48">
        <w:rPr>
          <w:rStyle w:val="FootnoteReference"/>
          <w:color w:val="auto"/>
        </w:rPr>
        <w:footnoteReference w:id="17"/>
      </w:r>
      <w:r w:rsidR="004E7B48">
        <w:rPr>
          <w:color w:val="auto"/>
        </w:rPr>
        <w:t xml:space="preserve"> </w:t>
      </w:r>
      <w:r w:rsidR="0088065B">
        <w:rPr>
          <w:color w:val="auto"/>
        </w:rPr>
        <w:t>and IOM</w:t>
      </w:r>
      <w:r w:rsidR="0088065B">
        <w:rPr>
          <w:rStyle w:val="FootnoteReference"/>
          <w:color w:val="auto"/>
        </w:rPr>
        <w:footnoteReference w:id="18"/>
      </w:r>
      <w:r w:rsidR="0088065B">
        <w:rPr>
          <w:color w:val="auto"/>
        </w:rPr>
        <w:t xml:space="preserve"> </w:t>
      </w:r>
      <w:r w:rsidR="004E7B48">
        <w:rPr>
          <w:color w:val="auto"/>
        </w:rPr>
        <w:t xml:space="preserve">and endorsed by the </w:t>
      </w:r>
      <w:r w:rsidR="0088065B">
        <w:rPr>
          <w:color w:val="auto"/>
        </w:rPr>
        <w:t>Greater Mekong Sub</w:t>
      </w:r>
      <w:r w:rsidR="001044CC">
        <w:rPr>
          <w:color w:val="auto"/>
        </w:rPr>
        <w:t>-</w:t>
      </w:r>
      <w:r w:rsidR="0088065B">
        <w:rPr>
          <w:color w:val="auto"/>
        </w:rPr>
        <w:t>region Ministers and ASEAN</w:t>
      </w:r>
      <w:r w:rsidR="00B72D46">
        <w:rPr>
          <w:color w:val="auto"/>
        </w:rPr>
        <w:t>’</w:t>
      </w:r>
      <w:r w:rsidR="0088065B">
        <w:rPr>
          <w:color w:val="auto"/>
        </w:rPr>
        <w:t xml:space="preserve">s </w:t>
      </w:r>
      <w:r w:rsidR="004E7B48">
        <w:rPr>
          <w:color w:val="auto"/>
        </w:rPr>
        <w:t>SOMTC</w:t>
      </w:r>
      <w:r w:rsidR="004E7B48">
        <w:rPr>
          <w:rStyle w:val="FootnoteReference"/>
          <w:color w:val="auto"/>
        </w:rPr>
        <w:footnoteReference w:id="19"/>
      </w:r>
      <w:r w:rsidR="004C0605">
        <w:rPr>
          <w:color w:val="auto"/>
        </w:rPr>
        <w:t>. The indicators</w:t>
      </w:r>
      <w:r w:rsidR="004E7B48">
        <w:rPr>
          <w:color w:val="auto"/>
        </w:rPr>
        <w:t xml:space="preserve"> </w:t>
      </w:r>
      <w:r w:rsidR="0088065B">
        <w:rPr>
          <w:color w:val="auto"/>
        </w:rPr>
        <w:t>met demands for a common set of victim identification guidelines for use across the region by law enforcement, labour inspectors and social welfare officials. This need was especially u</w:t>
      </w:r>
      <w:r w:rsidR="004C0605">
        <w:rPr>
          <w:color w:val="auto"/>
        </w:rPr>
        <w:t>rgent given the ACTIP provision</w:t>
      </w:r>
      <w:r w:rsidR="0088065B">
        <w:rPr>
          <w:color w:val="auto"/>
        </w:rPr>
        <w:t xml:space="preserve"> that a person identified </w:t>
      </w:r>
      <w:r w:rsidR="004C0605">
        <w:rPr>
          <w:color w:val="auto"/>
        </w:rPr>
        <w:t xml:space="preserve">as a victim </w:t>
      </w:r>
      <w:r w:rsidR="0088065B">
        <w:rPr>
          <w:color w:val="auto"/>
        </w:rPr>
        <w:t xml:space="preserve">in one signatory country is to be taken </w:t>
      </w:r>
      <w:r w:rsidR="00A02592">
        <w:rPr>
          <w:color w:val="auto"/>
        </w:rPr>
        <w:t>as a victim in all countries.  AAPTIP tracer studies indicate that</w:t>
      </w:r>
      <w:r w:rsidR="00C7185E">
        <w:rPr>
          <w:color w:val="auto"/>
        </w:rPr>
        <w:t xml:space="preserve"> </w:t>
      </w:r>
      <w:r w:rsidR="00A02592">
        <w:rPr>
          <w:color w:val="auto"/>
        </w:rPr>
        <w:t>new skills and knowledge</w:t>
      </w:r>
      <w:r>
        <w:rPr>
          <w:color w:val="auto"/>
        </w:rPr>
        <w:t xml:space="preserve"> acquired through AAPTIP capacity building programs</w:t>
      </w:r>
      <w:r w:rsidR="00A02592">
        <w:rPr>
          <w:color w:val="auto"/>
        </w:rPr>
        <w:t xml:space="preserve"> are being applied in the workplace by regional law enforcement o</w:t>
      </w:r>
      <w:r w:rsidR="00E92D03">
        <w:rPr>
          <w:color w:val="auto"/>
        </w:rPr>
        <w:t xml:space="preserve">fficers, prosecutors and judges. These results will be captured in a new performance benchmark </w:t>
      </w:r>
      <w:r w:rsidR="00A02592">
        <w:rPr>
          <w:color w:val="auto"/>
        </w:rPr>
        <w:t>(see annex B).</w:t>
      </w:r>
    </w:p>
    <w:p w14:paraId="21A17809" w14:textId="77777777" w:rsidR="0088065B" w:rsidRDefault="0088065B" w:rsidP="0088065B">
      <w:pPr>
        <w:rPr>
          <w:color w:val="auto"/>
        </w:rPr>
      </w:pPr>
      <w:r>
        <w:rPr>
          <w:color w:val="auto"/>
        </w:rPr>
        <w:t xml:space="preserve">The Mid-Term Review of AAPTIP </w:t>
      </w:r>
      <w:r w:rsidR="00C15915">
        <w:rPr>
          <w:color w:val="auto"/>
        </w:rPr>
        <w:t xml:space="preserve">completed in 2016 </w:t>
      </w:r>
      <w:r>
        <w:rPr>
          <w:color w:val="auto"/>
        </w:rPr>
        <w:t xml:space="preserve">noted three key </w:t>
      </w:r>
      <w:r w:rsidR="00C7185E">
        <w:rPr>
          <w:color w:val="auto"/>
        </w:rPr>
        <w:t xml:space="preserve">challenges </w:t>
      </w:r>
      <w:r w:rsidR="00A02592">
        <w:rPr>
          <w:color w:val="auto"/>
        </w:rPr>
        <w:t>for managing the current phase of the program</w:t>
      </w:r>
      <w:r>
        <w:rPr>
          <w:color w:val="auto"/>
        </w:rPr>
        <w:t xml:space="preserve">: under-utilisation of its national staff in program implementation; the need for increased focus </w:t>
      </w:r>
      <w:r w:rsidR="00316724">
        <w:rPr>
          <w:color w:val="auto"/>
        </w:rPr>
        <w:t>on</w:t>
      </w:r>
      <w:r>
        <w:rPr>
          <w:color w:val="auto"/>
        </w:rPr>
        <w:t xml:space="preserve"> victim support; and, the slow rate of program expenditure. All three issues are being addressed</w:t>
      </w:r>
      <w:r w:rsidR="004C0605">
        <w:rPr>
          <w:color w:val="auto"/>
        </w:rPr>
        <w:t>:</w:t>
      </w:r>
      <w:r>
        <w:rPr>
          <w:color w:val="auto"/>
        </w:rPr>
        <w:t xml:space="preserve"> </w:t>
      </w:r>
    </w:p>
    <w:p w14:paraId="4A86C484" w14:textId="77777777" w:rsidR="0088065B" w:rsidRDefault="0088065B" w:rsidP="0088065B">
      <w:pPr>
        <w:pStyle w:val="ListParagraph"/>
        <w:numPr>
          <w:ilvl w:val="0"/>
          <w:numId w:val="54"/>
        </w:numPr>
        <w:suppressAutoHyphens w:val="0"/>
        <w:rPr>
          <w:color w:val="auto"/>
        </w:rPr>
      </w:pPr>
      <w:r>
        <w:rPr>
          <w:color w:val="auto"/>
        </w:rPr>
        <w:t xml:space="preserve">AAPTIP Country Program Coordinators are </w:t>
      </w:r>
      <w:r w:rsidR="00316724">
        <w:rPr>
          <w:color w:val="auto"/>
        </w:rPr>
        <w:t xml:space="preserve">now </w:t>
      </w:r>
      <w:r>
        <w:rPr>
          <w:color w:val="auto"/>
        </w:rPr>
        <w:t>more actively engaged in the coordination and delivery of activities</w:t>
      </w:r>
      <w:r w:rsidR="00316724">
        <w:rPr>
          <w:color w:val="auto"/>
        </w:rPr>
        <w:t xml:space="preserve"> and strategic program leadership</w:t>
      </w:r>
      <w:r>
        <w:rPr>
          <w:color w:val="auto"/>
        </w:rPr>
        <w:t xml:space="preserve"> (for example championing gender issues and undertaking relevant organisational review work). </w:t>
      </w:r>
    </w:p>
    <w:p w14:paraId="2F2DCE3A" w14:textId="77777777" w:rsidR="0088065B" w:rsidRDefault="0088065B" w:rsidP="0088065B">
      <w:pPr>
        <w:pStyle w:val="ListParagraph"/>
        <w:numPr>
          <w:ilvl w:val="0"/>
          <w:numId w:val="54"/>
        </w:numPr>
        <w:suppressAutoHyphens w:val="0"/>
        <w:rPr>
          <w:color w:val="auto"/>
        </w:rPr>
      </w:pPr>
      <w:r>
        <w:rPr>
          <w:color w:val="auto"/>
        </w:rPr>
        <w:t>analytical, planning and reporting tools have a stronger and clearer victim-support/impact focus. Importantly, a Victim Support S</w:t>
      </w:r>
      <w:r w:rsidR="00B72D46">
        <w:rPr>
          <w:color w:val="auto"/>
        </w:rPr>
        <w:t>trategy is under</w:t>
      </w:r>
      <w:r w:rsidR="004E07C2">
        <w:rPr>
          <w:color w:val="auto"/>
        </w:rPr>
        <w:t xml:space="preserve"> </w:t>
      </w:r>
      <w:r w:rsidR="00B72D46">
        <w:rPr>
          <w:color w:val="auto"/>
        </w:rPr>
        <w:t>development with completion expected</w:t>
      </w:r>
      <w:r>
        <w:rPr>
          <w:color w:val="auto"/>
        </w:rPr>
        <w:t xml:space="preserve"> in September 2017.</w:t>
      </w:r>
      <w:r w:rsidR="00B72D46">
        <w:rPr>
          <w:color w:val="auto"/>
        </w:rPr>
        <w:t xml:space="preserve"> The 2016-</w:t>
      </w:r>
      <w:r>
        <w:rPr>
          <w:color w:val="auto"/>
        </w:rPr>
        <w:t xml:space="preserve">17 Annual Progress Report reported </w:t>
      </w:r>
      <w:r w:rsidR="00316724">
        <w:rPr>
          <w:color w:val="auto"/>
        </w:rPr>
        <w:t xml:space="preserve">good </w:t>
      </w:r>
      <w:r>
        <w:rPr>
          <w:color w:val="auto"/>
        </w:rPr>
        <w:t xml:space="preserve">progress towards achieving outcomes for victims. </w:t>
      </w:r>
    </w:p>
    <w:p w14:paraId="0B4D4B7C" w14:textId="77777777" w:rsidR="0088065B" w:rsidRPr="0088065B" w:rsidRDefault="00426C14" w:rsidP="004E7B48">
      <w:pPr>
        <w:pStyle w:val="ListParagraph"/>
        <w:numPr>
          <w:ilvl w:val="0"/>
          <w:numId w:val="54"/>
        </w:numPr>
        <w:suppressAutoHyphens w:val="0"/>
        <w:rPr>
          <w:color w:val="auto"/>
        </w:rPr>
      </w:pPr>
      <w:r>
        <w:rPr>
          <w:color w:val="auto"/>
        </w:rPr>
        <w:t>a</w:t>
      </w:r>
      <w:r w:rsidR="0088065B">
        <w:rPr>
          <w:color w:val="auto"/>
        </w:rPr>
        <w:t xml:space="preserve"> review of country capacity to deliver scheduled outputs </w:t>
      </w:r>
      <w:r w:rsidR="004E07C2">
        <w:rPr>
          <w:color w:val="auto"/>
        </w:rPr>
        <w:t xml:space="preserve">has </w:t>
      </w:r>
      <w:r w:rsidR="0088065B">
        <w:rPr>
          <w:color w:val="auto"/>
        </w:rPr>
        <w:t xml:space="preserve">steadily </w:t>
      </w:r>
      <w:r w:rsidR="004E07C2">
        <w:rPr>
          <w:color w:val="auto"/>
        </w:rPr>
        <w:t xml:space="preserve">resulted in </w:t>
      </w:r>
      <w:r w:rsidR="0088065B">
        <w:rPr>
          <w:color w:val="auto"/>
        </w:rPr>
        <w:t xml:space="preserve">improved expenditure. AAPTIP now has comprehensive planning and reporting tools to manage expenditure against planned activities (primarily through the Master Activity Plan and regular financial forecasting and expenditure reporting). A red-tape review has also resulted in </w:t>
      </w:r>
      <w:r w:rsidR="004E07C2">
        <w:rPr>
          <w:color w:val="auto"/>
        </w:rPr>
        <w:t>lower</w:t>
      </w:r>
      <w:r w:rsidR="00316724">
        <w:rPr>
          <w:color w:val="auto"/>
        </w:rPr>
        <w:t>ed</w:t>
      </w:r>
      <w:r w:rsidR="004E07C2">
        <w:rPr>
          <w:color w:val="auto"/>
        </w:rPr>
        <w:t xml:space="preserve"> </w:t>
      </w:r>
      <w:r w:rsidR="0088065B">
        <w:rPr>
          <w:color w:val="auto"/>
        </w:rPr>
        <w:t xml:space="preserve">administrative </w:t>
      </w:r>
      <w:r w:rsidR="004E07C2">
        <w:rPr>
          <w:color w:val="auto"/>
        </w:rPr>
        <w:t>burdens</w:t>
      </w:r>
      <w:r w:rsidR="0088065B">
        <w:rPr>
          <w:color w:val="auto"/>
        </w:rPr>
        <w:t>.</w:t>
      </w:r>
    </w:p>
    <w:p w14:paraId="2F55814E" w14:textId="77777777" w:rsidR="00A02592" w:rsidRPr="00A02592" w:rsidRDefault="00A02592" w:rsidP="00C15915">
      <w:pPr>
        <w:rPr>
          <w:color w:val="auto"/>
        </w:rPr>
      </w:pPr>
      <w:r w:rsidRPr="00503300">
        <w:rPr>
          <w:color w:val="auto"/>
        </w:rPr>
        <w:t xml:space="preserve">Broader </w:t>
      </w:r>
      <w:r w:rsidRPr="0062512F">
        <w:rPr>
          <w:color w:val="auto"/>
        </w:rPr>
        <w:t xml:space="preserve">issues related to the focus and approach of </w:t>
      </w:r>
      <w:r w:rsidR="00B33872">
        <w:rPr>
          <w:color w:val="auto"/>
        </w:rPr>
        <w:t>AAPTIP</w:t>
      </w:r>
      <w:r w:rsidRPr="00B21C88">
        <w:rPr>
          <w:color w:val="auto"/>
        </w:rPr>
        <w:t xml:space="preserve"> were </w:t>
      </w:r>
      <w:r w:rsidRPr="00503300">
        <w:rPr>
          <w:color w:val="auto"/>
        </w:rPr>
        <w:t xml:space="preserve">also </w:t>
      </w:r>
      <w:r w:rsidRPr="0062512F">
        <w:rPr>
          <w:color w:val="auto"/>
        </w:rPr>
        <w:t xml:space="preserve">identified </w:t>
      </w:r>
      <w:r w:rsidR="00316724">
        <w:rPr>
          <w:color w:val="auto"/>
        </w:rPr>
        <w:t xml:space="preserve">in the Review </w:t>
      </w:r>
      <w:r w:rsidRPr="0062512F">
        <w:rPr>
          <w:color w:val="auto"/>
        </w:rPr>
        <w:t xml:space="preserve">and </w:t>
      </w:r>
      <w:r>
        <w:rPr>
          <w:color w:val="auto"/>
        </w:rPr>
        <w:t>will be comprehensively</w:t>
      </w:r>
      <w:r w:rsidRPr="0062512F">
        <w:rPr>
          <w:color w:val="auto"/>
        </w:rPr>
        <w:t xml:space="preserve"> addressed in the design of the </w:t>
      </w:r>
      <w:r w:rsidR="00C7185E">
        <w:rPr>
          <w:color w:val="auto"/>
        </w:rPr>
        <w:t xml:space="preserve">investment’s </w:t>
      </w:r>
      <w:r w:rsidRPr="0062512F">
        <w:rPr>
          <w:color w:val="auto"/>
        </w:rPr>
        <w:t xml:space="preserve">next phase. </w:t>
      </w:r>
      <w:r w:rsidRPr="00A02592">
        <w:rPr>
          <w:color w:val="auto"/>
        </w:rPr>
        <w:t>These include, new approaches (beyond training) to challenge entrenched gender roles and attitudes withi</w:t>
      </w:r>
      <w:r w:rsidR="00E64DAC">
        <w:rPr>
          <w:color w:val="auto"/>
        </w:rPr>
        <w:t xml:space="preserve">n the criminal justice sector, </w:t>
      </w:r>
      <w:r w:rsidRPr="00A02592">
        <w:rPr>
          <w:color w:val="auto"/>
        </w:rPr>
        <w:t>strategic activities for advocacy and influence, and more robust monitoring and reporting of performance.</w:t>
      </w:r>
    </w:p>
    <w:p w14:paraId="7E4E5C15" w14:textId="35E988A2" w:rsidR="004C0605" w:rsidRPr="004C0605" w:rsidRDefault="00316724" w:rsidP="00C15915">
      <w:pPr>
        <w:rPr>
          <w:color w:val="auto"/>
          <w:lang w:val="en-AU"/>
        </w:rPr>
      </w:pPr>
      <w:r>
        <w:rPr>
          <w:color w:val="auto"/>
        </w:rPr>
        <w:t xml:space="preserve">The reporting period aligned with the extended inception phase of TRIANGLE in ASEAN, during which we </w:t>
      </w:r>
      <w:r w:rsidR="004C0605" w:rsidRPr="004C0605">
        <w:rPr>
          <w:color w:val="auto"/>
        </w:rPr>
        <w:t xml:space="preserve">worked with </w:t>
      </w:r>
      <w:r w:rsidR="004567F0">
        <w:rPr>
          <w:color w:val="auto"/>
        </w:rPr>
        <w:t xml:space="preserve">the </w:t>
      </w:r>
      <w:r w:rsidR="004C0605" w:rsidRPr="004C0605">
        <w:rPr>
          <w:color w:val="auto"/>
        </w:rPr>
        <w:t>I</w:t>
      </w:r>
      <w:r w:rsidR="00762C2F">
        <w:rPr>
          <w:color w:val="auto"/>
        </w:rPr>
        <w:t>LO</w:t>
      </w:r>
      <w:r w:rsidR="004C0605" w:rsidRPr="004C0605">
        <w:rPr>
          <w:color w:val="auto"/>
        </w:rPr>
        <w:t xml:space="preserve"> to align TRIANGLE in ASEAN more closely with ASEAN processes and </w:t>
      </w:r>
      <w:r w:rsidR="00C15915">
        <w:rPr>
          <w:color w:val="auto"/>
        </w:rPr>
        <w:t xml:space="preserve">to develop </w:t>
      </w:r>
      <w:r w:rsidR="004C0605" w:rsidRPr="004C0605">
        <w:rPr>
          <w:color w:val="auto"/>
        </w:rPr>
        <w:t>strengthened partnerships with ASEAN bodies</w:t>
      </w:r>
      <w:r w:rsidR="00C15915">
        <w:rPr>
          <w:color w:val="auto"/>
        </w:rPr>
        <w:t>. For example,</w:t>
      </w:r>
      <w:r w:rsidR="004C0605" w:rsidRPr="004C0605">
        <w:rPr>
          <w:color w:val="auto"/>
        </w:rPr>
        <w:t xml:space="preserve"> </w:t>
      </w:r>
      <w:r w:rsidR="00E92D03">
        <w:rPr>
          <w:color w:val="auto"/>
        </w:rPr>
        <w:t>ensuring</w:t>
      </w:r>
      <w:r w:rsidR="005C67C6">
        <w:rPr>
          <w:color w:val="auto"/>
        </w:rPr>
        <w:t xml:space="preserve"> </w:t>
      </w:r>
      <w:r w:rsidR="004C0605" w:rsidRPr="004C0605">
        <w:rPr>
          <w:color w:val="auto"/>
        </w:rPr>
        <w:t xml:space="preserve">agreement with the </w:t>
      </w:r>
      <w:r w:rsidR="00762C2F">
        <w:rPr>
          <w:color w:val="auto"/>
        </w:rPr>
        <w:t>ACMW</w:t>
      </w:r>
      <w:r w:rsidR="00762C2F">
        <w:rPr>
          <w:rStyle w:val="FootnoteReference"/>
          <w:color w:val="auto"/>
        </w:rPr>
        <w:footnoteReference w:id="20"/>
      </w:r>
      <w:r w:rsidR="004C0605" w:rsidRPr="004C0605">
        <w:rPr>
          <w:color w:val="auto"/>
        </w:rPr>
        <w:t xml:space="preserve"> to deliver activities that align with their Work Plan. To create efficiencies, we are </w:t>
      </w:r>
      <w:r w:rsidR="00C7185E">
        <w:rPr>
          <w:color w:val="auto"/>
        </w:rPr>
        <w:t xml:space="preserve">now </w:t>
      </w:r>
      <w:r w:rsidR="004C0605" w:rsidRPr="004C0605">
        <w:rPr>
          <w:color w:val="auto"/>
        </w:rPr>
        <w:t xml:space="preserve">partnering with the Government of Canada to jointly fund TRIANGLE in ASEAN. These cooperative efforts are expected to </w:t>
      </w:r>
      <w:r w:rsidR="00C7185E">
        <w:rPr>
          <w:color w:val="auto"/>
        </w:rPr>
        <w:t xml:space="preserve">improve </w:t>
      </w:r>
      <w:r w:rsidR="004C0605" w:rsidRPr="004C0605">
        <w:rPr>
          <w:color w:val="auto"/>
        </w:rPr>
        <w:t>aid effectiveness in the longer-term; however, th</w:t>
      </w:r>
      <w:r w:rsidR="004567F0">
        <w:rPr>
          <w:color w:val="auto"/>
        </w:rPr>
        <w:t>e transition</w:t>
      </w:r>
      <w:r w:rsidR="004C0605" w:rsidRPr="004C0605">
        <w:rPr>
          <w:color w:val="auto"/>
        </w:rPr>
        <w:t xml:space="preserve"> has also contributed to some delays in finalising key deliverables</w:t>
      </w:r>
      <w:r w:rsidR="004567F0">
        <w:rPr>
          <w:color w:val="auto"/>
        </w:rPr>
        <w:t xml:space="preserve"> in </w:t>
      </w:r>
      <w:r w:rsidR="004C0605" w:rsidRPr="004C0605">
        <w:rPr>
          <w:color w:val="auto"/>
        </w:rPr>
        <w:t>the inception period</w:t>
      </w:r>
      <w:r w:rsidR="004C0605">
        <w:t xml:space="preserve">.  </w:t>
      </w:r>
    </w:p>
    <w:p w14:paraId="1F2F8E29" w14:textId="102143AC" w:rsidR="004E7B48" w:rsidRDefault="004E7B48" w:rsidP="004E7B48">
      <w:pPr>
        <w:rPr>
          <w:color w:val="auto"/>
        </w:rPr>
      </w:pPr>
      <w:r>
        <w:rPr>
          <w:color w:val="auto"/>
        </w:rPr>
        <w:t>During the transition from</w:t>
      </w:r>
      <w:r w:rsidR="005C67C6">
        <w:rPr>
          <w:color w:val="auto"/>
        </w:rPr>
        <w:t xml:space="preserve"> our previous labour mobility investment, </w:t>
      </w:r>
      <w:r w:rsidRPr="00C15915">
        <w:rPr>
          <w:bCs/>
          <w:color w:val="auto"/>
        </w:rPr>
        <w:t>GMS</w:t>
      </w:r>
      <w:r w:rsidRPr="00C15915">
        <w:rPr>
          <w:rStyle w:val="FootnoteReference"/>
          <w:bCs/>
          <w:color w:val="auto"/>
        </w:rPr>
        <w:footnoteReference w:id="21"/>
      </w:r>
      <w:r w:rsidRPr="00C15915">
        <w:rPr>
          <w:bCs/>
          <w:color w:val="auto"/>
        </w:rPr>
        <w:t xml:space="preserve"> TRIANGLE</w:t>
      </w:r>
      <w:r w:rsidR="005C67C6">
        <w:rPr>
          <w:bCs/>
          <w:color w:val="auto"/>
        </w:rPr>
        <w:t>,</w:t>
      </w:r>
      <w:r w:rsidRPr="00C15915">
        <w:rPr>
          <w:bCs/>
          <w:color w:val="auto"/>
        </w:rPr>
        <w:t xml:space="preserve"> to TRIANGLE in ASEAN</w:t>
      </w:r>
      <w:r w:rsidR="00426C14">
        <w:rPr>
          <w:bCs/>
          <w:color w:val="auto"/>
        </w:rPr>
        <w:t>,</w:t>
      </w:r>
      <w:r>
        <w:rPr>
          <w:b/>
          <w:bCs/>
          <w:color w:val="auto"/>
        </w:rPr>
        <w:t xml:space="preserve"> </w:t>
      </w:r>
      <w:r>
        <w:rPr>
          <w:color w:val="auto"/>
        </w:rPr>
        <w:t xml:space="preserve">service delivery to migrants through </w:t>
      </w:r>
      <w:r w:rsidR="00C7185E">
        <w:rPr>
          <w:color w:val="auto"/>
        </w:rPr>
        <w:t xml:space="preserve">Migrant Resource Centres </w:t>
      </w:r>
      <w:r>
        <w:rPr>
          <w:color w:val="auto"/>
        </w:rPr>
        <w:t xml:space="preserve">was </w:t>
      </w:r>
      <w:r w:rsidR="000676F4">
        <w:rPr>
          <w:color w:val="auto"/>
        </w:rPr>
        <w:t>main</w:t>
      </w:r>
      <w:r>
        <w:rPr>
          <w:color w:val="auto"/>
        </w:rPr>
        <w:t>tain</w:t>
      </w:r>
      <w:r w:rsidR="004366C7">
        <w:rPr>
          <w:color w:val="auto"/>
        </w:rPr>
        <w:t>ed, providing</w:t>
      </w:r>
      <w:r>
        <w:rPr>
          <w:color w:val="auto"/>
        </w:rPr>
        <w:t xml:space="preserve"> potential migrants with the means to acce</w:t>
      </w:r>
      <w:r w:rsidR="004366C7">
        <w:rPr>
          <w:color w:val="auto"/>
        </w:rPr>
        <w:t>ss information on how to migrate</w:t>
      </w:r>
      <w:r>
        <w:rPr>
          <w:color w:val="auto"/>
        </w:rPr>
        <w:t xml:space="preserve"> safely and </w:t>
      </w:r>
      <w:r w:rsidR="00E92D03">
        <w:rPr>
          <w:color w:val="auto"/>
        </w:rPr>
        <w:t>through regular channels</w:t>
      </w:r>
      <w:r>
        <w:rPr>
          <w:color w:val="auto"/>
        </w:rPr>
        <w:t xml:space="preserve">. </w:t>
      </w:r>
      <w:r w:rsidR="00B02725">
        <w:rPr>
          <w:color w:val="auto"/>
        </w:rPr>
        <w:t xml:space="preserve">The </w:t>
      </w:r>
      <w:r w:rsidR="00B02725">
        <w:rPr>
          <w:color w:val="auto"/>
        </w:rPr>
        <w:lastRenderedPageBreak/>
        <w:t xml:space="preserve">following results were in line with expectations outlined in </w:t>
      </w:r>
      <w:r w:rsidR="00E92D03">
        <w:rPr>
          <w:color w:val="auto"/>
        </w:rPr>
        <w:t xml:space="preserve">the </w:t>
      </w:r>
      <w:r w:rsidR="00B02725">
        <w:rPr>
          <w:color w:val="auto"/>
        </w:rPr>
        <w:t xml:space="preserve">performance framework, </w:t>
      </w:r>
      <w:r w:rsidR="008A2825">
        <w:rPr>
          <w:color w:val="auto"/>
        </w:rPr>
        <w:t>workplans</w:t>
      </w:r>
      <w:r w:rsidR="00B02725">
        <w:rPr>
          <w:color w:val="auto"/>
        </w:rPr>
        <w:t xml:space="preserve"> and partnership agreements</w:t>
      </w:r>
      <w:r w:rsidR="005C67C6">
        <w:rPr>
          <w:color w:val="auto"/>
        </w:rPr>
        <w:t>:</w:t>
      </w:r>
    </w:p>
    <w:p w14:paraId="7E6D9089" w14:textId="77777777" w:rsidR="004E7B48" w:rsidRDefault="004567F0" w:rsidP="004E7B48">
      <w:pPr>
        <w:pStyle w:val="ListParagraph"/>
        <w:numPr>
          <w:ilvl w:val="0"/>
          <w:numId w:val="53"/>
        </w:numPr>
        <w:suppressAutoHyphens w:val="0"/>
        <w:rPr>
          <w:color w:val="auto"/>
        </w:rPr>
      </w:pPr>
      <w:r>
        <w:rPr>
          <w:color w:val="auto"/>
        </w:rPr>
        <w:t>a</w:t>
      </w:r>
      <w:r w:rsidR="004E7B48">
        <w:rPr>
          <w:color w:val="auto"/>
        </w:rPr>
        <w:t xml:space="preserve"> total of 13,360 (M=7871/W=5489) migrant workers were provided support services; </w:t>
      </w:r>
    </w:p>
    <w:p w14:paraId="4C4EC936" w14:textId="77777777" w:rsidR="004E7B48" w:rsidRDefault="000676F4" w:rsidP="004E7B48">
      <w:pPr>
        <w:pStyle w:val="ListParagraph"/>
        <w:numPr>
          <w:ilvl w:val="0"/>
          <w:numId w:val="53"/>
        </w:numPr>
        <w:suppressAutoHyphens w:val="0"/>
        <w:rPr>
          <w:color w:val="auto"/>
        </w:rPr>
      </w:pPr>
      <w:r>
        <w:rPr>
          <w:color w:val="auto"/>
        </w:rPr>
        <w:t>t</w:t>
      </w:r>
      <w:r w:rsidR="004E7B48">
        <w:rPr>
          <w:color w:val="auto"/>
        </w:rPr>
        <w:t xml:space="preserve">echnical advice was provided on policy or legislation in all six partner countries; </w:t>
      </w:r>
    </w:p>
    <w:p w14:paraId="0589F6C3" w14:textId="77777777" w:rsidR="004E7B48" w:rsidRDefault="004E7B48" w:rsidP="004E7B48">
      <w:pPr>
        <w:pStyle w:val="ListParagraph"/>
        <w:numPr>
          <w:ilvl w:val="0"/>
          <w:numId w:val="53"/>
        </w:numPr>
        <w:suppressAutoHyphens w:val="0"/>
        <w:rPr>
          <w:color w:val="auto"/>
        </w:rPr>
      </w:pPr>
      <w:r>
        <w:rPr>
          <w:color w:val="auto"/>
        </w:rPr>
        <w:t xml:space="preserve">759 (M=330/W=429) migrant workers were provided with financial literacy training in Cambodia, Myanmar and Thailand; and </w:t>
      </w:r>
    </w:p>
    <w:p w14:paraId="18CC37A9" w14:textId="77777777" w:rsidR="004E7B48" w:rsidRDefault="000676F4" w:rsidP="004E7B48">
      <w:pPr>
        <w:pStyle w:val="ListParagraph"/>
        <w:numPr>
          <w:ilvl w:val="0"/>
          <w:numId w:val="53"/>
        </w:numPr>
        <w:suppressAutoHyphens w:val="0"/>
        <w:rPr>
          <w:color w:val="auto"/>
        </w:rPr>
      </w:pPr>
      <w:r>
        <w:rPr>
          <w:color w:val="auto"/>
        </w:rPr>
        <w:t>t</w:t>
      </w:r>
      <w:r w:rsidR="004E7B48">
        <w:rPr>
          <w:color w:val="auto"/>
        </w:rPr>
        <w:t xml:space="preserve">he ASEAN Forum on Migrant Labour in October 2016 was supported. </w:t>
      </w:r>
    </w:p>
    <w:p w14:paraId="6D80174C" w14:textId="77777777" w:rsidR="004366C7" w:rsidRPr="004366C7" w:rsidRDefault="00426C14" w:rsidP="004366C7">
      <w:pPr>
        <w:rPr>
          <w:color w:val="auto"/>
        </w:rPr>
      </w:pPr>
      <w:r>
        <w:rPr>
          <w:color w:val="auto"/>
        </w:rPr>
        <w:t>Two n</w:t>
      </w:r>
      <w:r w:rsidR="004366C7" w:rsidRPr="004366C7">
        <w:rPr>
          <w:color w:val="auto"/>
        </w:rPr>
        <w:t>ew performance benchmark</w:t>
      </w:r>
      <w:r>
        <w:rPr>
          <w:color w:val="auto"/>
        </w:rPr>
        <w:t>s for TRIANGLE in ASEAN have</w:t>
      </w:r>
      <w:r w:rsidR="004366C7" w:rsidRPr="004366C7">
        <w:rPr>
          <w:color w:val="auto"/>
        </w:rPr>
        <w:t xml:space="preserve"> been adopted in this APPR to reflect the valuable services provided by MRCs</w:t>
      </w:r>
      <w:r w:rsidR="004366C7">
        <w:rPr>
          <w:rStyle w:val="FootnoteReference"/>
          <w:color w:val="auto"/>
        </w:rPr>
        <w:footnoteReference w:id="22"/>
      </w:r>
      <w:r w:rsidR="004366C7" w:rsidRPr="004366C7">
        <w:rPr>
          <w:color w:val="auto"/>
        </w:rPr>
        <w:t xml:space="preserve"> </w:t>
      </w:r>
      <w:r>
        <w:rPr>
          <w:color w:val="auto"/>
        </w:rPr>
        <w:t xml:space="preserve">and achievements </w:t>
      </w:r>
      <w:r w:rsidR="00C7185E">
        <w:rPr>
          <w:color w:val="auto"/>
        </w:rPr>
        <w:t xml:space="preserve">in policy influence </w:t>
      </w:r>
      <w:r w:rsidR="004366C7" w:rsidRPr="004366C7">
        <w:rPr>
          <w:color w:val="auto"/>
        </w:rPr>
        <w:t>(see Annex B).</w:t>
      </w:r>
    </w:p>
    <w:p w14:paraId="660AB4B2" w14:textId="77777777" w:rsidR="00C7185E" w:rsidRDefault="00C7185E" w:rsidP="00B33872">
      <w:pPr>
        <w:pStyle w:val="Subtitle"/>
        <w:spacing w:before="0"/>
        <w:rPr>
          <w:sz w:val="28"/>
          <w:szCs w:val="28"/>
        </w:rPr>
      </w:pPr>
    </w:p>
    <w:p w14:paraId="43C2F4B2" w14:textId="77777777" w:rsidR="005B5769" w:rsidRPr="003F1811" w:rsidRDefault="005B5769" w:rsidP="00B33872">
      <w:pPr>
        <w:pStyle w:val="Subtitle"/>
        <w:spacing w:before="0"/>
        <w:rPr>
          <w:sz w:val="28"/>
          <w:szCs w:val="28"/>
        </w:rPr>
      </w:pPr>
      <w:r w:rsidRPr="003F1811">
        <w:rPr>
          <w:sz w:val="28"/>
          <w:szCs w:val="28"/>
        </w:rPr>
        <w:t>Mutual Obligations</w:t>
      </w:r>
      <w:r w:rsidR="003577BA" w:rsidRPr="003F1811">
        <w:rPr>
          <w:sz w:val="28"/>
          <w:szCs w:val="28"/>
        </w:rPr>
        <w:t xml:space="preserve"> </w:t>
      </w:r>
    </w:p>
    <w:p w14:paraId="293216F3" w14:textId="77777777" w:rsidR="00E64DAC" w:rsidRDefault="00AC1253" w:rsidP="00B33872">
      <w:pPr>
        <w:spacing w:before="0"/>
        <w:rPr>
          <w:color w:val="auto"/>
        </w:rPr>
      </w:pPr>
      <w:r w:rsidRPr="00AC1253">
        <w:rPr>
          <w:color w:val="auto"/>
        </w:rPr>
        <w:t>A</w:t>
      </w:r>
      <w:r w:rsidR="002D03EC" w:rsidRPr="00AC1253">
        <w:rPr>
          <w:color w:val="auto"/>
        </w:rPr>
        <w:t>ustralia’s engagement with ASEAN is governed by the ASEAN-Australia Strategic Partnership (2014) and associated Plan of Action</w:t>
      </w:r>
      <w:r w:rsidR="001D69F7">
        <w:rPr>
          <w:color w:val="auto"/>
        </w:rPr>
        <w:t xml:space="preserve"> (POA)</w:t>
      </w:r>
      <w:r w:rsidR="002D03EC" w:rsidRPr="00AC1253">
        <w:rPr>
          <w:color w:val="auto"/>
        </w:rPr>
        <w:t xml:space="preserve">, which is divided into areas of cooperation under ASEAN’s three pillars (Political-Security, Economic, Socio-Cultural). </w:t>
      </w:r>
    </w:p>
    <w:p w14:paraId="01A72A4B" w14:textId="672DE9AF" w:rsidR="00E64DAC" w:rsidRDefault="002D03EC" w:rsidP="00B33872">
      <w:pPr>
        <w:spacing w:before="0"/>
        <w:rPr>
          <w:color w:val="auto"/>
        </w:rPr>
      </w:pPr>
      <w:r w:rsidRPr="00AC1253">
        <w:rPr>
          <w:color w:val="auto"/>
        </w:rPr>
        <w:t>Australia works directly with ASE</w:t>
      </w:r>
      <w:r w:rsidR="008E70E5">
        <w:rPr>
          <w:color w:val="auto"/>
        </w:rPr>
        <w:t>C</w:t>
      </w:r>
      <w:r w:rsidR="00E92D03">
        <w:rPr>
          <w:rStyle w:val="FootnoteReference"/>
          <w:color w:val="auto"/>
        </w:rPr>
        <w:footnoteReference w:id="23"/>
      </w:r>
      <w:r w:rsidRPr="00AC1253">
        <w:rPr>
          <w:color w:val="auto"/>
        </w:rPr>
        <w:t xml:space="preserve"> to implement AADCP II and AECSP in support of the A</w:t>
      </w:r>
      <w:r w:rsidR="008E70E5">
        <w:rPr>
          <w:color w:val="auto"/>
        </w:rPr>
        <w:t>EC</w:t>
      </w:r>
      <w:r w:rsidRPr="00AC1253">
        <w:rPr>
          <w:color w:val="auto"/>
        </w:rPr>
        <w:t xml:space="preserve">. ASEAN’s obligations under AADCP II are outlined in a program-level funding agreement, with the accountability of partners tracked and reported through the annual Joint Planning and Review Committee. </w:t>
      </w:r>
    </w:p>
    <w:p w14:paraId="050E33B3" w14:textId="77777777" w:rsidR="002D03EC" w:rsidRPr="00AC1253" w:rsidRDefault="00C7185E" w:rsidP="00B33872">
      <w:pPr>
        <w:spacing w:before="0"/>
        <w:rPr>
          <w:color w:val="auto"/>
        </w:rPr>
      </w:pPr>
      <w:r>
        <w:rPr>
          <w:color w:val="auto"/>
        </w:rPr>
        <w:t>One</w:t>
      </w:r>
      <w:r w:rsidR="00444DEE">
        <w:rPr>
          <w:color w:val="auto"/>
        </w:rPr>
        <w:t xml:space="preserve"> of AANZFTA’s innovations was to incorporate economic cooperation as an integral part of the FTA. AECSP projects </w:t>
      </w:r>
      <w:r w:rsidR="005C67C6">
        <w:rPr>
          <w:color w:val="auto"/>
        </w:rPr>
        <w:t xml:space="preserve">are </w:t>
      </w:r>
      <w:r w:rsidR="00444DEE">
        <w:rPr>
          <w:color w:val="auto"/>
        </w:rPr>
        <w:t xml:space="preserve">overseen by </w:t>
      </w:r>
      <w:r w:rsidR="002D03EC" w:rsidRPr="00AC1253">
        <w:rPr>
          <w:color w:val="auto"/>
        </w:rPr>
        <w:t>AANZFTA</w:t>
      </w:r>
      <w:r w:rsidR="00444DEE">
        <w:rPr>
          <w:color w:val="auto"/>
        </w:rPr>
        <w:t>’s</w:t>
      </w:r>
      <w:r w:rsidR="002E558A">
        <w:rPr>
          <w:color w:val="auto"/>
        </w:rPr>
        <w:t xml:space="preserve"> </w:t>
      </w:r>
      <w:r w:rsidR="00E70BEF">
        <w:rPr>
          <w:color w:val="auto"/>
        </w:rPr>
        <w:t>Joint C</w:t>
      </w:r>
      <w:r w:rsidR="002E558A">
        <w:rPr>
          <w:color w:val="auto"/>
        </w:rPr>
        <w:t>ommittee</w:t>
      </w:r>
      <w:r w:rsidR="005C67C6">
        <w:rPr>
          <w:color w:val="auto"/>
        </w:rPr>
        <w:t>, chaired by</w:t>
      </w:r>
      <w:r w:rsidR="002D03EC" w:rsidRPr="00AC1253">
        <w:rPr>
          <w:color w:val="auto"/>
        </w:rPr>
        <w:t xml:space="preserve"> Australia</w:t>
      </w:r>
      <w:r w:rsidR="005C67C6">
        <w:rPr>
          <w:color w:val="auto"/>
        </w:rPr>
        <w:t xml:space="preserve"> </w:t>
      </w:r>
      <w:r w:rsidR="00AB5F46">
        <w:rPr>
          <w:color w:val="auto"/>
        </w:rPr>
        <w:t xml:space="preserve">New Zealand and Brunei </w:t>
      </w:r>
      <w:r>
        <w:rPr>
          <w:color w:val="auto"/>
        </w:rPr>
        <w:t>(</w:t>
      </w:r>
      <w:r w:rsidR="00AB5F46">
        <w:rPr>
          <w:color w:val="auto"/>
        </w:rPr>
        <w:t>representing ASEAN</w:t>
      </w:r>
      <w:r>
        <w:rPr>
          <w:color w:val="auto"/>
        </w:rPr>
        <w:t>)</w:t>
      </w:r>
      <w:r w:rsidR="005C67C6">
        <w:rPr>
          <w:color w:val="auto"/>
        </w:rPr>
        <w:t xml:space="preserve">. Through the development of AECSP projects </w:t>
      </w:r>
      <w:r w:rsidR="002D03EC" w:rsidRPr="00AC1253">
        <w:rPr>
          <w:color w:val="auto"/>
        </w:rPr>
        <w:t xml:space="preserve">Australia </w:t>
      </w:r>
      <w:r w:rsidR="005C67C6">
        <w:rPr>
          <w:color w:val="auto"/>
        </w:rPr>
        <w:t>can</w:t>
      </w:r>
      <w:r w:rsidR="002D03EC" w:rsidRPr="00AC1253">
        <w:rPr>
          <w:color w:val="auto"/>
        </w:rPr>
        <w:t xml:space="preserve"> influence the regional </w:t>
      </w:r>
      <w:r w:rsidR="00EF1F07">
        <w:rPr>
          <w:color w:val="auto"/>
        </w:rPr>
        <w:t xml:space="preserve">economic integration </w:t>
      </w:r>
      <w:r w:rsidR="002D03EC" w:rsidRPr="00AC1253">
        <w:rPr>
          <w:color w:val="auto"/>
        </w:rPr>
        <w:t>agenda</w:t>
      </w:r>
      <w:r w:rsidR="00E70BEF">
        <w:rPr>
          <w:color w:val="auto"/>
        </w:rPr>
        <w:t xml:space="preserve"> </w:t>
      </w:r>
      <w:r w:rsidR="00533889">
        <w:rPr>
          <w:color w:val="auto"/>
        </w:rPr>
        <w:t xml:space="preserve">by working directly with ASEAN sub-committees </w:t>
      </w:r>
      <w:r w:rsidR="005C67C6">
        <w:rPr>
          <w:color w:val="auto"/>
        </w:rPr>
        <w:t>responsible for</w:t>
      </w:r>
      <w:r w:rsidR="00533889">
        <w:rPr>
          <w:color w:val="auto"/>
        </w:rPr>
        <w:t xml:space="preserve"> cross-regional sectoral polic</w:t>
      </w:r>
      <w:r w:rsidR="005C67C6">
        <w:rPr>
          <w:color w:val="auto"/>
        </w:rPr>
        <w:t>ies</w:t>
      </w:r>
      <w:r w:rsidR="00533889">
        <w:rPr>
          <w:color w:val="auto"/>
        </w:rPr>
        <w:t xml:space="preserve"> such as competition law, e-commerce and rules of origin. </w:t>
      </w:r>
      <w:r w:rsidR="002D03EC" w:rsidRPr="00AC1253">
        <w:rPr>
          <w:color w:val="auto"/>
        </w:rPr>
        <w:t xml:space="preserve"> </w:t>
      </w:r>
      <w:r w:rsidR="004366C7">
        <w:rPr>
          <w:color w:val="auto"/>
        </w:rPr>
        <w:t>This structure also creates strong connections between ASEAN and Australian officials working on specific issues, which is of long-term benefit to the relationship.</w:t>
      </w:r>
    </w:p>
    <w:p w14:paraId="0CE21334" w14:textId="02637046" w:rsidR="004712C8" w:rsidRPr="008A2825" w:rsidRDefault="007C7747" w:rsidP="001E24F5">
      <w:r>
        <w:rPr>
          <w:color w:val="auto"/>
        </w:rPr>
        <w:t xml:space="preserve">We </w:t>
      </w:r>
      <w:r w:rsidR="00635D28">
        <w:rPr>
          <w:color w:val="auto"/>
        </w:rPr>
        <w:t xml:space="preserve">were </w:t>
      </w:r>
      <w:r>
        <w:rPr>
          <w:color w:val="auto"/>
        </w:rPr>
        <w:t>able to use a small flexible mechanism</w:t>
      </w:r>
      <w:r w:rsidR="00C7185E">
        <w:rPr>
          <w:color w:val="auto"/>
        </w:rPr>
        <w:t xml:space="preserve">, the Southeast Asia Discretionary Fund, </w:t>
      </w:r>
      <w:r>
        <w:rPr>
          <w:color w:val="auto"/>
        </w:rPr>
        <w:t xml:space="preserve">within the Program to </w:t>
      </w:r>
      <w:r w:rsidR="00C7185E">
        <w:rPr>
          <w:color w:val="auto"/>
        </w:rPr>
        <w:t xml:space="preserve">advance </w:t>
      </w:r>
      <w:r>
        <w:rPr>
          <w:color w:val="auto"/>
        </w:rPr>
        <w:t>o</w:t>
      </w:r>
      <w:r w:rsidR="00990A79">
        <w:rPr>
          <w:color w:val="auto"/>
        </w:rPr>
        <w:t>ther commitments under the POA</w:t>
      </w:r>
      <w:r w:rsidR="00635D28">
        <w:rPr>
          <w:color w:val="auto"/>
        </w:rPr>
        <w:t>. F</w:t>
      </w:r>
      <w:r w:rsidR="00990A79">
        <w:rPr>
          <w:color w:val="auto"/>
        </w:rPr>
        <w:t>or example</w:t>
      </w:r>
      <w:r w:rsidR="00635D28">
        <w:rPr>
          <w:color w:val="auto"/>
        </w:rPr>
        <w:t>,</w:t>
      </w:r>
      <w:r w:rsidR="00990A79">
        <w:rPr>
          <w:color w:val="auto"/>
        </w:rPr>
        <w:t xml:space="preserve"> support was </w:t>
      </w:r>
      <w:r>
        <w:rPr>
          <w:color w:val="auto"/>
        </w:rPr>
        <w:t xml:space="preserve">provided </w:t>
      </w:r>
      <w:r w:rsidR="00990A79">
        <w:rPr>
          <w:color w:val="auto"/>
        </w:rPr>
        <w:t xml:space="preserve">to </w:t>
      </w:r>
      <w:r w:rsidR="00165B31">
        <w:rPr>
          <w:color w:val="auto"/>
        </w:rPr>
        <w:t>AICHR</w:t>
      </w:r>
      <w:r w:rsidR="00165B31">
        <w:rPr>
          <w:rStyle w:val="FootnoteReference"/>
          <w:color w:val="auto"/>
        </w:rPr>
        <w:footnoteReference w:id="24"/>
      </w:r>
      <w:r w:rsidR="00165B31">
        <w:rPr>
          <w:color w:val="auto"/>
        </w:rPr>
        <w:t xml:space="preserve"> for </w:t>
      </w:r>
      <w:r>
        <w:rPr>
          <w:color w:val="auto"/>
        </w:rPr>
        <w:t>Disabled People’s Organisations to participate in ASEAN policy making</w:t>
      </w:r>
      <w:r w:rsidR="005C67C6">
        <w:rPr>
          <w:color w:val="auto"/>
        </w:rPr>
        <w:t xml:space="preserve"> and, to strengthen </w:t>
      </w:r>
      <w:r w:rsidR="00165B31">
        <w:rPr>
          <w:color w:val="auto"/>
        </w:rPr>
        <w:t>human rights in ASEAN.</w:t>
      </w:r>
      <w:r w:rsidR="005C67C6" w:rsidRPr="00AC1253">
        <w:rPr>
          <w:color w:val="auto"/>
        </w:rPr>
        <w:t xml:space="preserve"> Australia </w:t>
      </w:r>
      <w:r w:rsidR="005C67C6">
        <w:rPr>
          <w:color w:val="auto"/>
        </w:rPr>
        <w:t>held an inaugural</w:t>
      </w:r>
      <w:r w:rsidR="005C67C6" w:rsidRPr="00AC1253">
        <w:rPr>
          <w:color w:val="auto"/>
        </w:rPr>
        <w:t xml:space="preserve"> dialogue with the </w:t>
      </w:r>
      <w:r w:rsidR="00165B31">
        <w:rPr>
          <w:color w:val="auto"/>
        </w:rPr>
        <w:t xml:space="preserve">AICHR </w:t>
      </w:r>
      <w:r w:rsidR="005C67C6" w:rsidRPr="00AC1253">
        <w:rPr>
          <w:color w:val="auto"/>
        </w:rPr>
        <w:t>in early 2017.</w:t>
      </w:r>
    </w:p>
    <w:p w14:paraId="58076134" w14:textId="77777777" w:rsidR="00FB2AB6" w:rsidRDefault="005D42D6" w:rsidP="00FB2AB6">
      <w:pPr>
        <w:rPr>
          <w:color w:val="auto"/>
        </w:rPr>
      </w:pPr>
      <w:r>
        <w:rPr>
          <w:color w:val="auto"/>
        </w:rPr>
        <w:t xml:space="preserve">The GMWRP </w:t>
      </w:r>
      <w:r w:rsidR="00FB2AB6">
        <w:rPr>
          <w:color w:val="auto"/>
        </w:rPr>
        <w:t>enjoys a high level of cooperation with Greater Mekong governments and institutions</w:t>
      </w:r>
      <w:r w:rsidR="004366C7">
        <w:rPr>
          <w:color w:val="auto"/>
        </w:rPr>
        <w:t xml:space="preserve">, </w:t>
      </w:r>
      <w:r w:rsidR="00C7185E">
        <w:rPr>
          <w:color w:val="auto"/>
        </w:rPr>
        <w:t xml:space="preserve">giving </w:t>
      </w:r>
      <w:r w:rsidR="004366C7">
        <w:rPr>
          <w:color w:val="auto"/>
        </w:rPr>
        <w:t xml:space="preserve">us </w:t>
      </w:r>
      <w:r w:rsidR="00C7185E">
        <w:rPr>
          <w:color w:val="auto"/>
        </w:rPr>
        <w:t xml:space="preserve">the capacity </w:t>
      </w:r>
      <w:r w:rsidR="004366C7">
        <w:rPr>
          <w:color w:val="auto"/>
        </w:rPr>
        <w:t xml:space="preserve">to shape outcomes. </w:t>
      </w:r>
      <w:r w:rsidR="00FB2AB6">
        <w:rPr>
          <w:color w:val="auto"/>
        </w:rPr>
        <w:t>The MRC, for example, is giving priority to ‘whole of system’ analysis of the impact of water infrastructure developments under its strategic plan 2016-20 – as advocated by Australia</w:t>
      </w:r>
      <w:r>
        <w:rPr>
          <w:color w:val="auto"/>
        </w:rPr>
        <w:t>.</w:t>
      </w:r>
      <w:r w:rsidR="00FB2AB6">
        <w:rPr>
          <w:color w:val="auto"/>
        </w:rPr>
        <w:t xml:space="preserve"> </w:t>
      </w:r>
    </w:p>
    <w:p w14:paraId="2E28E203" w14:textId="4E3121A0" w:rsidR="007C7747" w:rsidRPr="009242E8" w:rsidRDefault="001E24F5" w:rsidP="003F1811">
      <w:pPr>
        <w:rPr>
          <w:color w:val="auto"/>
        </w:rPr>
      </w:pPr>
      <w:r w:rsidRPr="00FE74A8">
        <w:rPr>
          <w:color w:val="auto"/>
        </w:rPr>
        <w:t xml:space="preserve">Australia’s partnerships with countries implementing AAPTIP and TRIANGLE in ASEAN are governed by </w:t>
      </w:r>
      <w:r w:rsidR="00737CB9">
        <w:rPr>
          <w:color w:val="auto"/>
        </w:rPr>
        <w:t>national-level Memoranda of Subsidiary Arrangements and a Memorandum of Understanding with the ILO respectively</w:t>
      </w:r>
      <w:r w:rsidRPr="00FE74A8">
        <w:rPr>
          <w:color w:val="auto"/>
        </w:rPr>
        <w:t>. Activities delivered under the</w:t>
      </w:r>
      <w:r w:rsidR="009572D3">
        <w:rPr>
          <w:color w:val="auto"/>
        </w:rPr>
        <w:t xml:space="preserve"> AAPTIP</w:t>
      </w:r>
      <w:r w:rsidRPr="00FE74A8">
        <w:rPr>
          <w:color w:val="auto"/>
        </w:rPr>
        <w:t xml:space="preserve"> agreements support </w:t>
      </w:r>
      <w:r w:rsidR="00737CB9">
        <w:rPr>
          <w:color w:val="auto"/>
        </w:rPr>
        <w:t xml:space="preserve">ASEAN </w:t>
      </w:r>
      <w:r w:rsidRPr="00FE74A8">
        <w:rPr>
          <w:color w:val="auto"/>
        </w:rPr>
        <w:t>Member States to meet their mutual obligations under</w:t>
      </w:r>
      <w:r w:rsidR="003F1811">
        <w:rPr>
          <w:color w:val="auto"/>
        </w:rPr>
        <w:t xml:space="preserve"> ACTIP.</w:t>
      </w:r>
      <w:r w:rsidR="009242E8">
        <w:rPr>
          <w:color w:val="auto"/>
        </w:rPr>
        <w:t xml:space="preserve"> </w:t>
      </w:r>
      <w:r w:rsidR="009242E8" w:rsidRPr="009242E8">
        <w:rPr>
          <w:color w:val="auto"/>
        </w:rPr>
        <w:t>Over the last 12 months, ASEAN Mission (Bangkok) has worked with implementing partners to align our investments more closely with ASEAN bodies and policy frameworks.</w:t>
      </w:r>
    </w:p>
    <w:p w14:paraId="71735C23" w14:textId="77777777" w:rsidR="003F1811" w:rsidRDefault="005C67C6" w:rsidP="003F1811">
      <w:pPr>
        <w:rPr>
          <w:color w:val="auto"/>
        </w:rPr>
      </w:pPr>
      <w:r w:rsidRPr="005A2D69">
        <w:rPr>
          <w:color w:val="auto"/>
        </w:rPr>
        <w:t>Broadly, the ASEAN and Mekong Program</w:t>
      </w:r>
      <w:r w:rsidR="004366C7" w:rsidRPr="005A2D69">
        <w:rPr>
          <w:color w:val="auto"/>
        </w:rPr>
        <w:t xml:space="preserve"> fills an important place between Australia’s bilateral and multilateral investments for Southeast Asia. A challenge is to ensure that all three levels of our contribution are appropriately joined up to tell </w:t>
      </w:r>
      <w:r w:rsidR="00635D28" w:rsidRPr="005A2D69">
        <w:rPr>
          <w:color w:val="auto"/>
        </w:rPr>
        <w:t xml:space="preserve">the full </w:t>
      </w:r>
      <w:r w:rsidR="004366C7" w:rsidRPr="005A2D69">
        <w:rPr>
          <w:color w:val="auto"/>
        </w:rPr>
        <w:t>Austr</w:t>
      </w:r>
      <w:r w:rsidR="00B33872" w:rsidRPr="005A2D69">
        <w:rPr>
          <w:color w:val="auto"/>
        </w:rPr>
        <w:t>alian aid story in the region.</w:t>
      </w:r>
      <w:r w:rsidR="00B33872">
        <w:rPr>
          <w:color w:val="auto"/>
        </w:rPr>
        <w:t xml:space="preserve"> </w:t>
      </w:r>
    </w:p>
    <w:p w14:paraId="71A29CC1" w14:textId="77777777" w:rsidR="00B33872" w:rsidRPr="003F1811" w:rsidRDefault="00B33872" w:rsidP="003F1811">
      <w:pPr>
        <w:rPr>
          <w:color w:val="auto"/>
        </w:rPr>
      </w:pPr>
    </w:p>
    <w:p w14:paraId="066483A4" w14:textId="77777777" w:rsidR="005B5769" w:rsidRPr="003F1811" w:rsidRDefault="005B5769" w:rsidP="003F1811">
      <w:pPr>
        <w:pStyle w:val="Subtitle"/>
        <w:rPr>
          <w:sz w:val="28"/>
          <w:szCs w:val="28"/>
        </w:rPr>
      </w:pPr>
      <w:r w:rsidRPr="003F1811">
        <w:rPr>
          <w:sz w:val="28"/>
          <w:szCs w:val="28"/>
        </w:rPr>
        <w:t>Program Quality</w:t>
      </w:r>
      <w:r w:rsidR="00973715" w:rsidRPr="003F1811">
        <w:rPr>
          <w:sz w:val="28"/>
          <w:szCs w:val="28"/>
        </w:rPr>
        <w:t xml:space="preserve"> </w:t>
      </w:r>
    </w:p>
    <w:p w14:paraId="591AD0DE" w14:textId="19A23021" w:rsidR="001C70C5" w:rsidRPr="00A5359E" w:rsidRDefault="001C70C5" w:rsidP="003577BA">
      <w:pPr>
        <w:spacing w:before="240" w:line="240" w:lineRule="auto"/>
        <w:rPr>
          <w:rFonts w:eastAsia="Times New Roman"/>
          <w:color w:val="auto"/>
        </w:rPr>
      </w:pPr>
      <w:r w:rsidRPr="00A5359E">
        <w:rPr>
          <w:rFonts w:eastAsia="Times New Roman"/>
          <w:color w:val="auto"/>
        </w:rPr>
        <w:t>Significant resources were allocated to quality and effectiveness of aid delivery in 2016-17.</w:t>
      </w:r>
      <w:r w:rsidR="009572D3" w:rsidRPr="009572D3">
        <w:rPr>
          <w:rFonts w:eastAsia="Times New Roman"/>
          <w:color w:val="auto"/>
        </w:rPr>
        <w:t xml:space="preserve"> </w:t>
      </w:r>
      <w:r w:rsidR="007C7747">
        <w:rPr>
          <w:rFonts w:eastAsia="Times New Roman"/>
          <w:color w:val="auto"/>
        </w:rPr>
        <w:t xml:space="preserve">Aid Quality Checks (AQCs) </w:t>
      </w:r>
      <w:r w:rsidR="00017ED1">
        <w:rPr>
          <w:rFonts w:eastAsia="Times New Roman"/>
          <w:color w:val="auto"/>
        </w:rPr>
        <w:t>were undertaken on 13 investments</w:t>
      </w:r>
      <w:r w:rsidR="00FB2AB6">
        <w:rPr>
          <w:rFonts w:eastAsia="Times New Roman"/>
          <w:color w:val="auto"/>
        </w:rPr>
        <w:t>.</w:t>
      </w:r>
      <w:r w:rsidRPr="00A5359E">
        <w:rPr>
          <w:rFonts w:eastAsia="Times New Roman"/>
          <w:color w:val="auto"/>
        </w:rPr>
        <w:t xml:space="preserve"> The </w:t>
      </w:r>
      <w:r w:rsidR="00737CB9">
        <w:rPr>
          <w:rFonts w:eastAsia="Times New Roman"/>
          <w:color w:val="auto"/>
        </w:rPr>
        <w:t>P</w:t>
      </w:r>
      <w:r w:rsidRPr="00A5359E">
        <w:rPr>
          <w:rFonts w:eastAsia="Times New Roman"/>
          <w:color w:val="auto"/>
        </w:rPr>
        <w:t xml:space="preserve">rogram has made </w:t>
      </w:r>
      <w:r w:rsidR="00907039" w:rsidRPr="00A5359E">
        <w:rPr>
          <w:rFonts w:eastAsia="Times New Roman"/>
          <w:color w:val="auto"/>
        </w:rPr>
        <w:t xml:space="preserve">considerable </w:t>
      </w:r>
      <w:r w:rsidRPr="00A5359E">
        <w:rPr>
          <w:rFonts w:eastAsia="Times New Roman"/>
          <w:color w:val="auto"/>
        </w:rPr>
        <w:t>progress in strengthening quality and effectiveness of aid delivery</w:t>
      </w:r>
      <w:r w:rsidR="00907039" w:rsidRPr="00A5359E">
        <w:rPr>
          <w:rFonts w:eastAsia="Times New Roman"/>
          <w:color w:val="auto"/>
        </w:rPr>
        <w:t>,</w:t>
      </w:r>
      <w:r w:rsidRPr="00A5359E">
        <w:rPr>
          <w:rFonts w:eastAsia="Times New Roman"/>
          <w:color w:val="auto"/>
        </w:rPr>
        <w:t xml:space="preserve"> including through </w:t>
      </w:r>
      <w:r w:rsidR="00907039" w:rsidRPr="00A5359E">
        <w:rPr>
          <w:rFonts w:eastAsia="Times New Roman"/>
          <w:color w:val="auto"/>
        </w:rPr>
        <w:t xml:space="preserve">closer oversight of partners and </w:t>
      </w:r>
      <w:r w:rsidR="004366C7">
        <w:rPr>
          <w:rFonts w:eastAsia="Times New Roman"/>
          <w:color w:val="auto"/>
        </w:rPr>
        <w:t xml:space="preserve">by </w:t>
      </w:r>
      <w:r w:rsidR="004D785A" w:rsidRPr="00A5359E">
        <w:rPr>
          <w:rFonts w:eastAsia="Times New Roman"/>
          <w:color w:val="auto"/>
        </w:rPr>
        <w:t>contracting</w:t>
      </w:r>
      <w:r w:rsidR="004366C7">
        <w:rPr>
          <w:rFonts w:eastAsia="Times New Roman"/>
          <w:color w:val="auto"/>
        </w:rPr>
        <w:t>-in</w:t>
      </w:r>
      <w:r w:rsidR="004D785A" w:rsidRPr="00A5359E">
        <w:rPr>
          <w:rFonts w:eastAsia="Times New Roman"/>
          <w:color w:val="auto"/>
        </w:rPr>
        <w:t xml:space="preserve"> technical expertise </w:t>
      </w:r>
      <w:r w:rsidR="004366C7">
        <w:rPr>
          <w:rFonts w:eastAsia="Times New Roman"/>
          <w:color w:val="auto"/>
        </w:rPr>
        <w:t xml:space="preserve">via </w:t>
      </w:r>
      <w:r w:rsidR="004D785A" w:rsidRPr="00A5359E">
        <w:rPr>
          <w:rFonts w:eastAsia="Times New Roman"/>
          <w:color w:val="auto"/>
        </w:rPr>
        <w:t>a Quality Investment Support Service</w:t>
      </w:r>
      <w:r w:rsidR="00533889">
        <w:rPr>
          <w:rFonts w:eastAsia="Times New Roman"/>
          <w:color w:val="auto"/>
        </w:rPr>
        <w:t xml:space="preserve"> managed by </w:t>
      </w:r>
      <w:r w:rsidR="00737CB9">
        <w:rPr>
          <w:rFonts w:eastAsia="Times New Roman"/>
          <w:color w:val="auto"/>
        </w:rPr>
        <w:t xml:space="preserve">the consultancy </w:t>
      </w:r>
      <w:r w:rsidR="00533889">
        <w:rPr>
          <w:rFonts w:eastAsia="Times New Roman"/>
          <w:color w:val="auto"/>
        </w:rPr>
        <w:t>Clear Horizons</w:t>
      </w:r>
      <w:r w:rsidRPr="00A5359E">
        <w:rPr>
          <w:rFonts w:eastAsia="Times New Roman"/>
          <w:color w:val="auto"/>
        </w:rPr>
        <w:t xml:space="preserve">.  </w:t>
      </w:r>
      <w:r w:rsidR="00FB2AB6">
        <w:rPr>
          <w:rFonts w:eastAsia="Times New Roman"/>
          <w:color w:val="auto"/>
        </w:rPr>
        <w:t xml:space="preserve">An example is </w:t>
      </w:r>
      <w:r w:rsidR="004366C7">
        <w:rPr>
          <w:rFonts w:eastAsia="Times New Roman"/>
          <w:color w:val="auto"/>
        </w:rPr>
        <w:t>a r</w:t>
      </w:r>
      <w:r w:rsidR="00FB2AB6">
        <w:rPr>
          <w:rFonts w:eastAsia="Times New Roman"/>
          <w:color w:val="auto"/>
        </w:rPr>
        <w:t xml:space="preserve">eview </w:t>
      </w:r>
      <w:r w:rsidR="004366C7">
        <w:rPr>
          <w:rFonts w:eastAsia="Times New Roman"/>
          <w:color w:val="auto"/>
        </w:rPr>
        <w:t xml:space="preserve">undertaken </w:t>
      </w:r>
      <w:r w:rsidR="00FB2AB6">
        <w:rPr>
          <w:rFonts w:eastAsia="Times New Roman"/>
          <w:color w:val="auto"/>
        </w:rPr>
        <w:t xml:space="preserve">of the </w:t>
      </w:r>
      <w:r w:rsidR="00B33872">
        <w:rPr>
          <w:rFonts w:eastAsia="Times New Roman"/>
          <w:color w:val="auto"/>
        </w:rPr>
        <w:t>Program’s Performance</w:t>
      </w:r>
      <w:r w:rsidR="00FB2AB6">
        <w:rPr>
          <w:rFonts w:eastAsia="Times New Roman"/>
          <w:color w:val="auto"/>
        </w:rPr>
        <w:t xml:space="preserve"> Assessment Framework and performance benchmarks</w:t>
      </w:r>
      <w:r w:rsidR="007C7747">
        <w:rPr>
          <w:rFonts w:eastAsia="Times New Roman"/>
          <w:color w:val="auto"/>
        </w:rPr>
        <w:t>,</w:t>
      </w:r>
      <w:r w:rsidR="00FB2AB6">
        <w:rPr>
          <w:rFonts w:eastAsia="Times New Roman"/>
          <w:color w:val="auto"/>
        </w:rPr>
        <w:t xml:space="preserve"> the findings of </w:t>
      </w:r>
      <w:r w:rsidR="007C7747">
        <w:rPr>
          <w:rFonts w:eastAsia="Times New Roman"/>
          <w:color w:val="auto"/>
        </w:rPr>
        <w:t xml:space="preserve">which </w:t>
      </w:r>
      <w:r w:rsidR="00E92D03">
        <w:rPr>
          <w:rFonts w:eastAsia="Times New Roman"/>
          <w:color w:val="auto"/>
        </w:rPr>
        <w:t xml:space="preserve">have led to new and revised performance benchmarks and </w:t>
      </w:r>
      <w:r w:rsidR="007C7747">
        <w:rPr>
          <w:rFonts w:eastAsia="Times New Roman"/>
          <w:color w:val="auto"/>
        </w:rPr>
        <w:t xml:space="preserve">will </w:t>
      </w:r>
      <w:r w:rsidR="00FB2AB6">
        <w:rPr>
          <w:rFonts w:eastAsia="Times New Roman"/>
          <w:color w:val="auto"/>
        </w:rPr>
        <w:t>inform the preparation of the n</w:t>
      </w:r>
      <w:r w:rsidR="007C7747">
        <w:rPr>
          <w:rFonts w:eastAsia="Times New Roman"/>
          <w:color w:val="auto"/>
        </w:rPr>
        <w:t xml:space="preserve">ext </w:t>
      </w:r>
      <w:r w:rsidR="00FB2AB6">
        <w:rPr>
          <w:rFonts w:eastAsia="Times New Roman"/>
          <w:color w:val="auto"/>
        </w:rPr>
        <w:t xml:space="preserve">Aid Investment Plan. </w:t>
      </w:r>
      <w:r w:rsidR="00FB2AB6" w:rsidRPr="00A5359E">
        <w:rPr>
          <w:rFonts w:eastAsia="Times New Roman"/>
          <w:color w:val="auto"/>
        </w:rPr>
        <w:t xml:space="preserve"> </w:t>
      </w:r>
    </w:p>
    <w:p w14:paraId="74CBA784" w14:textId="77777777" w:rsidR="00B02725" w:rsidRPr="00B33872" w:rsidRDefault="007C7747" w:rsidP="00B33872">
      <w:pPr>
        <w:rPr>
          <w:color w:val="auto"/>
        </w:rPr>
      </w:pPr>
      <w:r>
        <w:rPr>
          <w:rFonts w:eastAsia="Times New Roman"/>
          <w:color w:val="auto"/>
        </w:rPr>
        <w:t xml:space="preserve">AQC ratings showed </w:t>
      </w:r>
      <w:r w:rsidR="001C70C5" w:rsidRPr="00A5359E">
        <w:rPr>
          <w:rFonts w:eastAsia="Times New Roman"/>
          <w:color w:val="auto"/>
        </w:rPr>
        <w:t>no in</w:t>
      </w:r>
      <w:r w:rsidR="00A62EE6" w:rsidRPr="00A5359E">
        <w:rPr>
          <w:rFonts w:eastAsia="Times New Roman"/>
          <w:color w:val="auto"/>
        </w:rPr>
        <w:t>vestments requiring improvement and</w:t>
      </w:r>
      <w:r w:rsidR="001C70C5" w:rsidRPr="00A5359E">
        <w:rPr>
          <w:rFonts w:eastAsia="Times New Roman"/>
          <w:color w:val="auto"/>
        </w:rPr>
        <w:t xml:space="preserve"> </w:t>
      </w:r>
      <w:r>
        <w:rPr>
          <w:rFonts w:eastAsia="Times New Roman"/>
          <w:color w:val="auto"/>
        </w:rPr>
        <w:t xml:space="preserve">ratings </w:t>
      </w:r>
      <w:r w:rsidR="001C70C5" w:rsidRPr="00A5359E">
        <w:rPr>
          <w:rFonts w:eastAsia="Times New Roman"/>
          <w:color w:val="auto"/>
        </w:rPr>
        <w:t>overall remained satisfactory</w:t>
      </w:r>
      <w:r>
        <w:rPr>
          <w:rFonts w:eastAsia="Times New Roman"/>
          <w:color w:val="auto"/>
        </w:rPr>
        <w:t>,</w:t>
      </w:r>
      <w:r w:rsidR="001C70C5" w:rsidRPr="00A5359E">
        <w:rPr>
          <w:rFonts w:eastAsia="Times New Roman"/>
          <w:color w:val="auto"/>
        </w:rPr>
        <w:t xml:space="preserve"> with the investment portfolio </w:t>
      </w:r>
      <w:r>
        <w:rPr>
          <w:rFonts w:eastAsia="Times New Roman"/>
          <w:color w:val="auto"/>
        </w:rPr>
        <w:t xml:space="preserve">rated as </w:t>
      </w:r>
      <w:r w:rsidR="001C70C5" w:rsidRPr="00A5359E">
        <w:rPr>
          <w:rFonts w:eastAsia="Times New Roman"/>
          <w:color w:val="auto"/>
        </w:rPr>
        <w:t xml:space="preserve">highly relevant to </w:t>
      </w:r>
      <w:r w:rsidR="00E071D5" w:rsidRPr="00A5359E">
        <w:rPr>
          <w:rFonts w:eastAsia="Times New Roman"/>
          <w:color w:val="auto"/>
        </w:rPr>
        <w:t>Australian and ASEAN interests</w:t>
      </w:r>
      <w:r w:rsidR="001C70C5" w:rsidRPr="00A5359E">
        <w:rPr>
          <w:rFonts w:eastAsia="Times New Roman"/>
          <w:color w:val="auto"/>
        </w:rPr>
        <w:t xml:space="preserve">. There </w:t>
      </w:r>
      <w:r>
        <w:rPr>
          <w:rFonts w:eastAsia="Times New Roman"/>
          <w:color w:val="auto"/>
        </w:rPr>
        <w:t xml:space="preserve">was </w:t>
      </w:r>
      <w:r w:rsidR="001C70C5" w:rsidRPr="00A5359E">
        <w:rPr>
          <w:rFonts w:eastAsia="Times New Roman"/>
          <w:color w:val="auto"/>
        </w:rPr>
        <w:t xml:space="preserve">a significant improvement in sustainability of investments, </w:t>
      </w:r>
      <w:r w:rsidR="004D785A" w:rsidRPr="00A5359E">
        <w:rPr>
          <w:rFonts w:eastAsia="Times New Roman"/>
          <w:color w:val="auto"/>
        </w:rPr>
        <w:t xml:space="preserve">with </w:t>
      </w:r>
      <w:r w:rsidR="001C70C5" w:rsidRPr="00A5359E">
        <w:rPr>
          <w:rFonts w:eastAsia="Times New Roman"/>
          <w:color w:val="auto"/>
        </w:rPr>
        <w:t xml:space="preserve">slight improvements in monitoring and evaluation and gender equality ratings. </w:t>
      </w:r>
      <w:r>
        <w:rPr>
          <w:rFonts w:eastAsia="Times New Roman"/>
          <w:color w:val="auto"/>
        </w:rPr>
        <w:t>S</w:t>
      </w:r>
      <w:r w:rsidR="001C70C5" w:rsidRPr="00A5359E">
        <w:rPr>
          <w:rFonts w:eastAsia="Times New Roman"/>
          <w:color w:val="auto"/>
        </w:rPr>
        <w:t>ustained focus is required</w:t>
      </w:r>
      <w:r w:rsidR="005C67C6">
        <w:rPr>
          <w:rFonts w:eastAsia="Times New Roman"/>
          <w:color w:val="auto"/>
        </w:rPr>
        <w:t xml:space="preserve"> on </w:t>
      </w:r>
      <w:r w:rsidR="005C67C6" w:rsidRPr="00A5359E">
        <w:rPr>
          <w:rFonts w:eastAsia="Times New Roman"/>
          <w:color w:val="auto"/>
        </w:rPr>
        <w:t xml:space="preserve">effectiveness </w:t>
      </w:r>
      <w:r w:rsidR="005C67C6">
        <w:rPr>
          <w:rFonts w:eastAsia="Times New Roman"/>
          <w:color w:val="auto"/>
        </w:rPr>
        <w:t>and monitoring and evaluation</w:t>
      </w:r>
      <w:r w:rsidR="001C70C5" w:rsidRPr="00A5359E">
        <w:rPr>
          <w:rFonts w:eastAsia="Times New Roman"/>
          <w:color w:val="auto"/>
        </w:rPr>
        <w:t xml:space="preserve"> </w:t>
      </w:r>
      <w:r>
        <w:rPr>
          <w:rFonts w:eastAsia="Times New Roman"/>
          <w:color w:val="auto"/>
        </w:rPr>
        <w:t>to continue the up</w:t>
      </w:r>
      <w:r w:rsidR="001C70C5" w:rsidRPr="00A5359E">
        <w:rPr>
          <w:rFonts w:eastAsia="Times New Roman"/>
          <w:color w:val="auto"/>
        </w:rPr>
        <w:t>ward trajectory of performance</w:t>
      </w:r>
      <w:r w:rsidR="00D4152E" w:rsidRPr="00A5359E">
        <w:rPr>
          <w:rFonts w:eastAsia="Times New Roman"/>
          <w:color w:val="auto"/>
        </w:rPr>
        <w:t xml:space="preserve">.  </w:t>
      </w:r>
      <w:r w:rsidR="001C70C5" w:rsidRPr="00A5359E">
        <w:rPr>
          <w:rFonts w:eastAsia="Times New Roman"/>
          <w:color w:val="auto"/>
        </w:rPr>
        <w:t>The program completed two independent evaluations</w:t>
      </w:r>
      <w:r w:rsidR="005C67C6">
        <w:rPr>
          <w:rFonts w:eastAsia="Times New Roman"/>
          <w:color w:val="auto"/>
        </w:rPr>
        <w:t>,</w:t>
      </w:r>
      <w:r w:rsidR="001C70C5" w:rsidRPr="00A5359E">
        <w:rPr>
          <w:rFonts w:eastAsia="Times New Roman"/>
          <w:color w:val="auto"/>
        </w:rPr>
        <w:t xml:space="preserve"> covering the G</w:t>
      </w:r>
      <w:r>
        <w:rPr>
          <w:rFonts w:eastAsia="Times New Roman"/>
          <w:color w:val="auto"/>
        </w:rPr>
        <w:t>MWRP</w:t>
      </w:r>
      <w:r w:rsidR="001C70C5" w:rsidRPr="00A5359E">
        <w:rPr>
          <w:rFonts w:eastAsia="Times New Roman"/>
          <w:color w:val="auto"/>
        </w:rPr>
        <w:t xml:space="preserve"> and </w:t>
      </w:r>
      <w:r>
        <w:rPr>
          <w:rFonts w:eastAsia="Times New Roman"/>
          <w:color w:val="auto"/>
        </w:rPr>
        <w:t xml:space="preserve">AAPTIP, </w:t>
      </w:r>
      <w:r w:rsidR="001C70C5" w:rsidRPr="00A5359E">
        <w:rPr>
          <w:rFonts w:eastAsia="Times New Roman"/>
          <w:color w:val="auto"/>
        </w:rPr>
        <w:t xml:space="preserve">both of which contributed to </w:t>
      </w:r>
      <w:r>
        <w:rPr>
          <w:rFonts w:eastAsia="Times New Roman"/>
          <w:color w:val="auto"/>
        </w:rPr>
        <w:t xml:space="preserve">the </w:t>
      </w:r>
      <w:r w:rsidR="009C44A5" w:rsidRPr="00A5359E">
        <w:rPr>
          <w:rFonts w:eastAsia="Times New Roman"/>
          <w:color w:val="auto"/>
        </w:rPr>
        <w:t xml:space="preserve">improved effectiveness of </w:t>
      </w:r>
      <w:r w:rsidR="004366C7">
        <w:rPr>
          <w:rFonts w:eastAsia="Times New Roman"/>
          <w:color w:val="auto"/>
        </w:rPr>
        <w:t xml:space="preserve">these </w:t>
      </w:r>
      <w:r w:rsidR="009C44A5" w:rsidRPr="00A5359E">
        <w:rPr>
          <w:rFonts w:eastAsia="Times New Roman"/>
          <w:color w:val="auto"/>
        </w:rPr>
        <w:t xml:space="preserve">programs and </w:t>
      </w:r>
      <w:r w:rsidR="001C70C5" w:rsidRPr="00A5359E">
        <w:rPr>
          <w:rFonts w:eastAsia="Times New Roman"/>
          <w:color w:val="auto"/>
        </w:rPr>
        <w:t>DFAT’s planning</w:t>
      </w:r>
      <w:r w:rsidR="009C44A5" w:rsidRPr="00A5359E">
        <w:rPr>
          <w:rFonts w:eastAsia="Times New Roman"/>
          <w:color w:val="auto"/>
        </w:rPr>
        <w:t xml:space="preserve"> for future </w:t>
      </w:r>
      <w:r w:rsidR="009C44A5" w:rsidRPr="00B33872">
        <w:rPr>
          <w:color w:val="auto"/>
        </w:rPr>
        <w:t>investments</w:t>
      </w:r>
      <w:r w:rsidR="001C70C5" w:rsidRPr="00B33872">
        <w:rPr>
          <w:color w:val="auto"/>
        </w:rPr>
        <w:t>. </w:t>
      </w:r>
      <w:r w:rsidR="00B02725" w:rsidRPr="00B33872">
        <w:rPr>
          <w:color w:val="auto"/>
        </w:rPr>
        <w:t xml:space="preserve"> </w:t>
      </w:r>
    </w:p>
    <w:p w14:paraId="43E66F1C" w14:textId="77777777" w:rsidR="00B02725" w:rsidRPr="00B02725" w:rsidRDefault="00B02725" w:rsidP="00B33872">
      <w:pPr>
        <w:rPr>
          <w:color w:val="auto"/>
        </w:rPr>
      </w:pPr>
      <w:r w:rsidRPr="00B33872">
        <w:rPr>
          <w:color w:val="auto"/>
        </w:rPr>
        <w:t>The Program continues</w:t>
      </w:r>
      <w:r w:rsidRPr="001665AD">
        <w:rPr>
          <w:rFonts w:eastAsia="Times New Roman"/>
          <w:color w:val="auto"/>
        </w:rPr>
        <w:t xml:space="preserve"> to implement two health investments remaining from the regional health portfolio, due for completion in 2019</w:t>
      </w:r>
      <w:r>
        <w:rPr>
          <w:rFonts w:eastAsia="Times New Roman"/>
          <w:color w:val="auto"/>
        </w:rPr>
        <w:t xml:space="preserve"> (STANDZ</w:t>
      </w:r>
      <w:r>
        <w:rPr>
          <w:rStyle w:val="FootnoteReference"/>
          <w:rFonts w:eastAsia="Times New Roman"/>
          <w:color w:val="auto"/>
        </w:rPr>
        <w:footnoteReference w:id="25"/>
      </w:r>
      <w:r>
        <w:rPr>
          <w:rFonts w:eastAsia="Times New Roman"/>
          <w:color w:val="auto"/>
        </w:rPr>
        <w:t xml:space="preserve"> and HPAI LAMP</w:t>
      </w:r>
      <w:r w:rsidRPr="005D42D6">
        <w:rPr>
          <w:rStyle w:val="FootnoteReference"/>
          <w:rFonts w:eastAsia="Times New Roman"/>
          <w:color w:val="auto"/>
        </w:rPr>
        <w:footnoteReference w:id="26"/>
      </w:r>
      <w:r w:rsidRPr="005D42D6">
        <w:rPr>
          <w:rFonts w:eastAsia="Times New Roman"/>
          <w:color w:val="auto"/>
        </w:rPr>
        <w:t xml:space="preserve">).  </w:t>
      </w:r>
      <w:r w:rsidRPr="00B02725">
        <w:rPr>
          <w:rFonts w:eastAsia="Times New Roman"/>
          <w:color w:val="auto"/>
        </w:rPr>
        <w:t xml:space="preserve">Our health investments were included in an Office of Development Effectiveness </w:t>
      </w:r>
      <w:r w:rsidR="00737CB9">
        <w:rPr>
          <w:rFonts w:eastAsia="Times New Roman"/>
          <w:color w:val="auto"/>
        </w:rPr>
        <w:t>e</w:t>
      </w:r>
      <w:r w:rsidRPr="00B02725">
        <w:rPr>
          <w:rFonts w:eastAsia="Times New Roman"/>
          <w:color w:val="auto"/>
        </w:rPr>
        <w:t>valuation that highlighted the</w:t>
      </w:r>
      <w:r w:rsidR="00737CB9">
        <w:rPr>
          <w:rFonts w:eastAsia="Times New Roman"/>
          <w:color w:val="auto"/>
        </w:rPr>
        <w:t xml:space="preserve">ir </w:t>
      </w:r>
      <w:r w:rsidRPr="00B02725">
        <w:rPr>
          <w:rFonts w:eastAsia="Times New Roman"/>
          <w:color w:val="auto"/>
        </w:rPr>
        <w:t>success</w:t>
      </w:r>
      <w:r w:rsidR="00737CB9">
        <w:rPr>
          <w:rFonts w:eastAsia="Times New Roman"/>
          <w:color w:val="auto"/>
        </w:rPr>
        <w:t xml:space="preserve"> as </w:t>
      </w:r>
      <w:r w:rsidRPr="00B02725">
        <w:rPr>
          <w:rFonts w:eastAsia="Times New Roman"/>
          <w:color w:val="auto"/>
        </w:rPr>
        <w:t>model</w:t>
      </w:r>
      <w:r w:rsidR="005C67C6">
        <w:rPr>
          <w:rFonts w:eastAsia="Times New Roman"/>
          <w:color w:val="auto"/>
        </w:rPr>
        <w:t>s</w:t>
      </w:r>
      <w:r w:rsidRPr="00B02725">
        <w:rPr>
          <w:rFonts w:eastAsia="Times New Roman"/>
          <w:color w:val="auto"/>
        </w:rPr>
        <w:t xml:space="preserve"> for regional animal disease control and </w:t>
      </w:r>
      <w:r w:rsidR="00737CB9">
        <w:rPr>
          <w:rFonts w:eastAsia="Times New Roman"/>
          <w:color w:val="auto"/>
        </w:rPr>
        <w:t>a</w:t>
      </w:r>
      <w:r w:rsidRPr="00B02725">
        <w:rPr>
          <w:rFonts w:eastAsia="Times New Roman"/>
          <w:color w:val="auto"/>
        </w:rPr>
        <w:t>id-for-</w:t>
      </w:r>
      <w:r w:rsidR="00737CB9">
        <w:rPr>
          <w:rFonts w:eastAsia="Times New Roman"/>
          <w:color w:val="auto"/>
        </w:rPr>
        <w:t>t</w:t>
      </w:r>
      <w:r w:rsidRPr="00B02725">
        <w:rPr>
          <w:rFonts w:eastAsia="Times New Roman"/>
          <w:color w:val="auto"/>
        </w:rPr>
        <w:t>rade contribution</w:t>
      </w:r>
      <w:r w:rsidR="005C67C6">
        <w:rPr>
          <w:rFonts w:eastAsia="Times New Roman"/>
          <w:color w:val="auto"/>
        </w:rPr>
        <w:t>s</w:t>
      </w:r>
      <w:r w:rsidR="005D42D6">
        <w:rPr>
          <w:rFonts w:eastAsia="Times New Roman"/>
          <w:color w:val="auto"/>
        </w:rPr>
        <w:t>.</w:t>
      </w:r>
      <w:r w:rsidRPr="00B02725">
        <w:rPr>
          <w:rFonts w:eastAsia="Times New Roman"/>
          <w:color w:val="auto"/>
        </w:rPr>
        <w:t xml:space="preserve">  The findings will inform future regional health security investments, which will be a prominent feature of the Government’s future aid, foreign and trade </w:t>
      </w:r>
      <w:r w:rsidRPr="00B02725">
        <w:rPr>
          <w:color w:val="auto"/>
        </w:rPr>
        <w:t>policy.</w:t>
      </w:r>
    </w:p>
    <w:p w14:paraId="7A415E42" w14:textId="77777777" w:rsidR="00211A82" w:rsidRDefault="00A4798C" w:rsidP="00B33872">
      <w:pPr>
        <w:rPr>
          <w:rFonts w:eastAsia="Times New Roman"/>
          <w:color w:val="auto"/>
        </w:rPr>
      </w:pPr>
      <w:r>
        <w:rPr>
          <w:color w:val="auto"/>
        </w:rPr>
        <w:t xml:space="preserve">The </w:t>
      </w:r>
      <w:r w:rsidR="007C7747">
        <w:rPr>
          <w:color w:val="auto"/>
        </w:rPr>
        <w:t xml:space="preserve">Program’s </w:t>
      </w:r>
      <w:r>
        <w:rPr>
          <w:color w:val="auto"/>
        </w:rPr>
        <w:t xml:space="preserve">development of an </w:t>
      </w:r>
      <w:r w:rsidRPr="00B33872">
        <w:rPr>
          <w:color w:val="auto"/>
        </w:rPr>
        <w:t>Equality and Inclusion Strategy</w:t>
      </w:r>
      <w:r w:rsidR="007B65C2" w:rsidRPr="00B33872">
        <w:rPr>
          <w:color w:val="auto"/>
        </w:rPr>
        <w:t xml:space="preserve"> </w:t>
      </w:r>
      <w:r w:rsidR="007C7747" w:rsidRPr="00B33872">
        <w:rPr>
          <w:color w:val="auto"/>
        </w:rPr>
        <w:t xml:space="preserve">highlighted </w:t>
      </w:r>
      <w:r w:rsidR="007B65C2" w:rsidRPr="00B33872">
        <w:rPr>
          <w:color w:val="auto"/>
        </w:rPr>
        <w:t xml:space="preserve">our commitment to an inclusive ASEAN community. </w:t>
      </w:r>
      <w:r w:rsidR="00A5359E" w:rsidRPr="00B33872">
        <w:rPr>
          <w:color w:val="auto"/>
        </w:rPr>
        <w:t>Gender</w:t>
      </w:r>
      <w:r w:rsidR="00A5359E" w:rsidRPr="00A5359E">
        <w:rPr>
          <w:rFonts w:eastAsia="Times New Roman"/>
          <w:color w:val="auto"/>
        </w:rPr>
        <w:t xml:space="preserve"> advisors are routinely used by </w:t>
      </w:r>
      <w:r w:rsidR="007C7747">
        <w:rPr>
          <w:rFonts w:eastAsia="Times New Roman"/>
          <w:color w:val="auto"/>
        </w:rPr>
        <w:t xml:space="preserve">the Program </w:t>
      </w:r>
      <w:r w:rsidR="00A5359E" w:rsidRPr="00A5359E">
        <w:rPr>
          <w:rFonts w:eastAsia="Times New Roman"/>
          <w:color w:val="auto"/>
        </w:rPr>
        <w:t xml:space="preserve">staff and implementing partners. </w:t>
      </w:r>
      <w:r w:rsidR="00211A82">
        <w:rPr>
          <w:rFonts w:eastAsia="Times New Roman"/>
          <w:color w:val="auto"/>
        </w:rPr>
        <w:t xml:space="preserve">In the </w:t>
      </w:r>
      <w:r w:rsidR="00737CB9">
        <w:rPr>
          <w:rFonts w:eastAsia="Times New Roman"/>
          <w:color w:val="auto"/>
        </w:rPr>
        <w:t>2015-16</w:t>
      </w:r>
      <w:r w:rsidR="00211A82">
        <w:rPr>
          <w:rFonts w:eastAsia="Times New Roman"/>
          <w:color w:val="auto"/>
        </w:rPr>
        <w:t xml:space="preserve"> APPR, two investments were </w:t>
      </w:r>
      <w:r w:rsidR="00252596">
        <w:rPr>
          <w:rFonts w:eastAsia="Times New Roman"/>
          <w:color w:val="auto"/>
        </w:rPr>
        <w:t xml:space="preserve">found </w:t>
      </w:r>
      <w:r w:rsidR="00737CB9">
        <w:rPr>
          <w:rFonts w:eastAsia="Times New Roman"/>
          <w:color w:val="auto"/>
        </w:rPr>
        <w:t xml:space="preserve">to be </w:t>
      </w:r>
      <w:r w:rsidR="00211A82">
        <w:rPr>
          <w:rFonts w:eastAsia="Times New Roman"/>
          <w:color w:val="auto"/>
        </w:rPr>
        <w:t>less than adequate on gender equality</w:t>
      </w:r>
      <w:r w:rsidR="00737CB9">
        <w:rPr>
          <w:rFonts w:eastAsia="Times New Roman"/>
          <w:color w:val="auto"/>
        </w:rPr>
        <w:t xml:space="preserve">, whereas by </w:t>
      </w:r>
      <w:r w:rsidR="004366C7">
        <w:rPr>
          <w:color w:val="auto"/>
        </w:rPr>
        <w:t>2016-17</w:t>
      </w:r>
      <w:r w:rsidR="004366C7" w:rsidRPr="0088065B">
        <w:rPr>
          <w:color w:val="auto"/>
        </w:rPr>
        <w:t xml:space="preserve"> </w:t>
      </w:r>
      <w:r w:rsidR="00737CB9">
        <w:rPr>
          <w:color w:val="auto"/>
        </w:rPr>
        <w:t>this had reduced to one</w:t>
      </w:r>
      <w:r w:rsidR="004366C7">
        <w:rPr>
          <w:color w:val="auto"/>
        </w:rPr>
        <w:t xml:space="preserve">. </w:t>
      </w:r>
      <w:r w:rsidR="00737CB9">
        <w:rPr>
          <w:color w:val="auto"/>
        </w:rPr>
        <w:t>While t</w:t>
      </w:r>
      <w:r w:rsidR="004366C7" w:rsidRPr="0088065B">
        <w:rPr>
          <w:color w:val="auto"/>
        </w:rPr>
        <w:t xml:space="preserve">here is still work to be done to ensure all investments are performing well </w:t>
      </w:r>
      <w:r w:rsidR="004366C7">
        <w:rPr>
          <w:color w:val="auto"/>
        </w:rPr>
        <w:t>against this criterion</w:t>
      </w:r>
      <w:r w:rsidR="00737CB9">
        <w:rPr>
          <w:color w:val="auto"/>
        </w:rPr>
        <w:t xml:space="preserve"> some strong advances were made: </w:t>
      </w:r>
      <w:r w:rsidR="00211A82">
        <w:rPr>
          <w:rFonts w:eastAsia="Times New Roman"/>
          <w:color w:val="auto"/>
        </w:rPr>
        <w:t xml:space="preserve"> </w:t>
      </w:r>
    </w:p>
    <w:p w14:paraId="38CA090E" w14:textId="3D54E5C8" w:rsidR="00A5359E" w:rsidRPr="0088065B" w:rsidRDefault="00211A82" w:rsidP="00211A82">
      <w:pPr>
        <w:pStyle w:val="ListParagraph"/>
        <w:numPr>
          <w:ilvl w:val="0"/>
          <w:numId w:val="47"/>
        </w:numPr>
        <w:spacing w:before="0" w:after="120" w:line="240" w:lineRule="auto"/>
        <w:ind w:right="130"/>
        <w:rPr>
          <w:rFonts w:eastAsia="Times New Roman"/>
          <w:color w:val="auto"/>
        </w:rPr>
      </w:pPr>
      <w:r>
        <w:rPr>
          <w:rFonts w:eastAsia="Times New Roman"/>
          <w:color w:val="auto"/>
        </w:rPr>
        <w:t xml:space="preserve">AECSP </w:t>
      </w:r>
      <w:r w:rsidR="007B65C2">
        <w:rPr>
          <w:color w:val="auto"/>
        </w:rPr>
        <w:t>strengthen</w:t>
      </w:r>
      <w:r w:rsidR="008D413F">
        <w:rPr>
          <w:color w:val="auto"/>
        </w:rPr>
        <w:t xml:space="preserve">ed </w:t>
      </w:r>
      <w:r w:rsidR="00A5359E" w:rsidRPr="00211A82">
        <w:rPr>
          <w:color w:val="auto"/>
        </w:rPr>
        <w:t xml:space="preserve">gender </w:t>
      </w:r>
      <w:r w:rsidR="008D413F">
        <w:rPr>
          <w:color w:val="auto"/>
        </w:rPr>
        <w:t xml:space="preserve">mainstreaming </w:t>
      </w:r>
      <w:r w:rsidR="005C67C6">
        <w:rPr>
          <w:color w:val="auto"/>
        </w:rPr>
        <w:t>by introducing</w:t>
      </w:r>
      <w:r w:rsidR="00A5359E" w:rsidRPr="00211A82">
        <w:rPr>
          <w:color w:val="auto"/>
        </w:rPr>
        <w:t xml:space="preserve"> project </w:t>
      </w:r>
      <w:r w:rsidR="00A5359E" w:rsidRPr="0088065B">
        <w:rPr>
          <w:rFonts w:eastAsia="Times New Roman"/>
          <w:color w:val="auto"/>
        </w:rPr>
        <w:t xml:space="preserve">templates </w:t>
      </w:r>
      <w:r w:rsidR="0088065B" w:rsidRPr="0088065B">
        <w:rPr>
          <w:rFonts w:eastAsia="Times New Roman"/>
          <w:color w:val="auto"/>
        </w:rPr>
        <w:t>which require project proponents to specify the gender considera</w:t>
      </w:r>
      <w:r w:rsidR="009242E8">
        <w:rPr>
          <w:rFonts w:eastAsia="Times New Roman"/>
          <w:color w:val="auto"/>
        </w:rPr>
        <w:t xml:space="preserve">tions relevant to their project; </w:t>
      </w:r>
      <w:r w:rsidR="00A5359E" w:rsidRPr="0088065B">
        <w:rPr>
          <w:rFonts w:eastAsia="Times New Roman"/>
          <w:color w:val="auto"/>
        </w:rPr>
        <w:t xml:space="preserve"> </w:t>
      </w:r>
    </w:p>
    <w:p w14:paraId="39CA3A53" w14:textId="77777777" w:rsidR="0088065B" w:rsidRPr="0088065B" w:rsidRDefault="00AC17C2" w:rsidP="00B72D46">
      <w:pPr>
        <w:pStyle w:val="ListParagraph"/>
        <w:numPr>
          <w:ilvl w:val="0"/>
          <w:numId w:val="47"/>
        </w:numPr>
        <w:spacing w:before="0" w:after="120" w:line="240" w:lineRule="auto"/>
        <w:ind w:right="130"/>
        <w:rPr>
          <w:rFonts w:eastAsia="Times New Roman"/>
          <w:color w:val="auto"/>
        </w:rPr>
      </w:pPr>
      <w:r w:rsidRPr="0088065B">
        <w:rPr>
          <w:color w:val="auto"/>
        </w:rPr>
        <w:t>AADCP II ensur</w:t>
      </w:r>
      <w:r w:rsidR="008D413F">
        <w:rPr>
          <w:color w:val="auto"/>
        </w:rPr>
        <w:t>ed</w:t>
      </w:r>
      <w:r w:rsidRPr="0088065B">
        <w:rPr>
          <w:color w:val="auto"/>
        </w:rPr>
        <w:t xml:space="preserve"> that women and marginalised groups were specifically addressed in the IAI</w:t>
      </w:r>
      <w:r w:rsidR="008D413F">
        <w:rPr>
          <w:rStyle w:val="FootnoteReference"/>
          <w:color w:val="auto"/>
        </w:rPr>
        <w:footnoteReference w:id="27"/>
      </w:r>
      <w:r w:rsidRPr="0088065B">
        <w:rPr>
          <w:color w:val="auto"/>
        </w:rPr>
        <w:t xml:space="preserve"> Work </w:t>
      </w:r>
      <w:r w:rsidRPr="0088065B">
        <w:rPr>
          <w:rFonts w:eastAsia="Times New Roman"/>
          <w:color w:val="auto"/>
        </w:rPr>
        <w:t>Plan III</w:t>
      </w:r>
      <w:r w:rsidR="00252596" w:rsidRPr="0088065B">
        <w:rPr>
          <w:rFonts w:eastAsia="Times New Roman"/>
          <w:color w:val="auto"/>
        </w:rPr>
        <w:t xml:space="preserve"> </w:t>
      </w:r>
      <w:r w:rsidR="0088065B" w:rsidRPr="0088065B">
        <w:rPr>
          <w:rFonts w:eastAsia="Times New Roman"/>
          <w:color w:val="auto"/>
        </w:rPr>
        <w:t>including by targeting women and youth for MSME</w:t>
      </w:r>
      <w:r w:rsidR="001D69F7">
        <w:rPr>
          <w:rStyle w:val="FootnoteReference"/>
          <w:rFonts w:eastAsia="Times New Roman"/>
          <w:color w:val="auto"/>
        </w:rPr>
        <w:footnoteReference w:id="28"/>
      </w:r>
      <w:r w:rsidR="0088065B" w:rsidRPr="0088065B">
        <w:rPr>
          <w:rFonts w:eastAsia="Times New Roman"/>
          <w:color w:val="auto"/>
        </w:rPr>
        <w:t xml:space="preserve"> education in financial literacy and entrepreneurship</w:t>
      </w:r>
      <w:r w:rsidR="008D413F">
        <w:rPr>
          <w:rFonts w:eastAsia="Times New Roman"/>
          <w:color w:val="auto"/>
        </w:rPr>
        <w:t>.</w:t>
      </w:r>
      <w:r w:rsidR="0088065B" w:rsidRPr="0088065B">
        <w:rPr>
          <w:rFonts w:eastAsia="Times New Roman"/>
          <w:color w:val="auto"/>
        </w:rPr>
        <w:t xml:space="preserve">  </w:t>
      </w:r>
    </w:p>
    <w:p w14:paraId="1E2C4CA2" w14:textId="77777777" w:rsidR="008612AD" w:rsidRPr="0088065B" w:rsidRDefault="00737CB9" w:rsidP="0088065B">
      <w:pPr>
        <w:spacing w:before="0" w:after="120" w:line="240" w:lineRule="auto"/>
        <w:ind w:right="130"/>
        <w:rPr>
          <w:color w:val="auto"/>
        </w:rPr>
      </w:pPr>
      <w:r>
        <w:rPr>
          <w:color w:val="auto"/>
        </w:rPr>
        <w:t>Further ex</w:t>
      </w:r>
      <w:r w:rsidR="008612AD" w:rsidRPr="0088065B">
        <w:rPr>
          <w:color w:val="auto"/>
        </w:rPr>
        <w:t>amples of good performance include</w:t>
      </w:r>
      <w:r w:rsidR="008D413F">
        <w:rPr>
          <w:color w:val="auto"/>
        </w:rPr>
        <w:t>d</w:t>
      </w:r>
      <w:r w:rsidR="008612AD" w:rsidRPr="0088065B">
        <w:rPr>
          <w:color w:val="auto"/>
        </w:rPr>
        <w:t>:</w:t>
      </w:r>
    </w:p>
    <w:p w14:paraId="2484AB76" w14:textId="7CFFF40F" w:rsidR="008612AD" w:rsidRPr="00F24DD3" w:rsidRDefault="008612AD" w:rsidP="008612AD">
      <w:pPr>
        <w:pStyle w:val="ListParagraph"/>
        <w:numPr>
          <w:ilvl w:val="0"/>
          <w:numId w:val="47"/>
        </w:numPr>
        <w:rPr>
          <w:color w:val="auto"/>
        </w:rPr>
      </w:pPr>
      <w:r w:rsidRPr="00F24DD3">
        <w:rPr>
          <w:color w:val="auto"/>
        </w:rPr>
        <w:t>AAPTIP has trained male and female police in gender responsive approaches to policing</w:t>
      </w:r>
      <w:r w:rsidR="004366C7">
        <w:rPr>
          <w:color w:val="auto"/>
        </w:rPr>
        <w:t xml:space="preserve">. </w:t>
      </w:r>
      <w:r w:rsidR="005D65D9">
        <w:rPr>
          <w:color w:val="auto"/>
        </w:rPr>
        <w:t>AAPTIP has now trained t</w:t>
      </w:r>
      <w:r w:rsidR="005D65D9" w:rsidRPr="00B42990">
        <w:rPr>
          <w:color w:val="auto"/>
        </w:rPr>
        <w:t>wo thirds of all female investigators in Cambodia (a total of 74 women) and held a workshop on Gender Responsive Policing in My</w:t>
      </w:r>
      <w:r w:rsidR="005D65D9">
        <w:rPr>
          <w:color w:val="auto"/>
        </w:rPr>
        <w:t xml:space="preserve">anmar in September 2016, </w:t>
      </w:r>
      <w:r w:rsidR="00737CB9">
        <w:rPr>
          <w:color w:val="auto"/>
        </w:rPr>
        <w:t xml:space="preserve">in which </w:t>
      </w:r>
      <w:r w:rsidR="005D65D9">
        <w:rPr>
          <w:color w:val="auto"/>
        </w:rPr>
        <w:t>both men and women participat</w:t>
      </w:r>
      <w:r w:rsidR="00737CB9">
        <w:rPr>
          <w:color w:val="auto"/>
        </w:rPr>
        <w:t>ed</w:t>
      </w:r>
      <w:r w:rsidR="005D65D9" w:rsidRPr="00B42990">
        <w:rPr>
          <w:color w:val="auto"/>
        </w:rPr>
        <w:t>.</w:t>
      </w:r>
      <w:r w:rsidR="005D65D9">
        <w:rPr>
          <w:color w:val="auto"/>
        </w:rPr>
        <w:t xml:space="preserve"> </w:t>
      </w:r>
      <w:r w:rsidRPr="00F24DD3">
        <w:rPr>
          <w:color w:val="auto"/>
        </w:rPr>
        <w:t xml:space="preserve"> One direct result of Cambodian National Police</w:t>
      </w:r>
      <w:r w:rsidR="005D65D9">
        <w:rPr>
          <w:color w:val="auto"/>
        </w:rPr>
        <w:t xml:space="preserve"> (CNP)</w:t>
      </w:r>
      <w:r w:rsidRPr="00F24DD3">
        <w:rPr>
          <w:color w:val="auto"/>
        </w:rPr>
        <w:t xml:space="preserve"> participation was the approval of the CNP’s ‘Gender Code of Conduct’ for anti-trafficking police. </w:t>
      </w:r>
    </w:p>
    <w:p w14:paraId="10B281B9" w14:textId="77777777" w:rsidR="00FA6ADF" w:rsidRPr="005D42D6" w:rsidRDefault="004366C7" w:rsidP="00FA6ADF">
      <w:pPr>
        <w:pStyle w:val="ListParagraph"/>
        <w:numPr>
          <w:ilvl w:val="0"/>
          <w:numId w:val="47"/>
        </w:numPr>
        <w:spacing w:before="0" w:after="120" w:line="240" w:lineRule="auto"/>
        <w:ind w:right="130"/>
      </w:pPr>
      <w:r>
        <w:rPr>
          <w:color w:val="auto"/>
        </w:rPr>
        <w:t xml:space="preserve">Under the GMWRP, </w:t>
      </w:r>
      <w:r w:rsidR="00FA6ADF">
        <w:rPr>
          <w:color w:val="auto"/>
        </w:rPr>
        <w:t xml:space="preserve">Oxfam’s capacity development </w:t>
      </w:r>
      <w:r w:rsidR="008D413F">
        <w:rPr>
          <w:color w:val="auto"/>
        </w:rPr>
        <w:t xml:space="preserve">created </w:t>
      </w:r>
      <w:r w:rsidR="00FA6ADF">
        <w:rPr>
          <w:color w:val="auto"/>
        </w:rPr>
        <w:t>opportunities for</w:t>
      </w:r>
      <w:r w:rsidR="00FA6ADF" w:rsidRPr="00D05C30">
        <w:rPr>
          <w:color w:val="auto"/>
        </w:rPr>
        <w:t xml:space="preserve"> </w:t>
      </w:r>
      <w:r w:rsidR="00FA6ADF">
        <w:rPr>
          <w:color w:val="auto"/>
        </w:rPr>
        <w:t xml:space="preserve">female community </w:t>
      </w:r>
      <w:r w:rsidR="00FA6ADF" w:rsidRPr="00D05C30">
        <w:rPr>
          <w:color w:val="auto"/>
        </w:rPr>
        <w:t xml:space="preserve">leaders to </w:t>
      </w:r>
      <w:r w:rsidR="00FA6ADF">
        <w:rPr>
          <w:color w:val="auto"/>
        </w:rPr>
        <w:t>better engage</w:t>
      </w:r>
      <w:r w:rsidR="00FA6ADF" w:rsidRPr="00D05C30">
        <w:rPr>
          <w:color w:val="auto"/>
        </w:rPr>
        <w:t xml:space="preserve"> </w:t>
      </w:r>
      <w:r w:rsidR="00FA6ADF">
        <w:rPr>
          <w:color w:val="auto"/>
        </w:rPr>
        <w:t xml:space="preserve">in </w:t>
      </w:r>
      <w:r w:rsidR="00FA6ADF" w:rsidRPr="00D05C30">
        <w:rPr>
          <w:color w:val="auto"/>
        </w:rPr>
        <w:t>water governance issues</w:t>
      </w:r>
      <w:r w:rsidR="00FA6ADF">
        <w:rPr>
          <w:color w:val="auto"/>
        </w:rPr>
        <w:t xml:space="preserve"> </w:t>
      </w:r>
      <w:r w:rsidR="008D413F">
        <w:rPr>
          <w:color w:val="auto"/>
        </w:rPr>
        <w:t xml:space="preserve">and </w:t>
      </w:r>
      <w:r w:rsidR="00FA6ADF">
        <w:rPr>
          <w:color w:val="auto"/>
        </w:rPr>
        <w:t>supported</w:t>
      </w:r>
      <w:r w:rsidR="00FA6ADF" w:rsidRPr="00D05C30">
        <w:rPr>
          <w:color w:val="auto"/>
        </w:rPr>
        <w:t xml:space="preserve"> 1</w:t>
      </w:r>
      <w:r w:rsidR="00FA6ADF">
        <w:rPr>
          <w:color w:val="auto"/>
        </w:rPr>
        <w:t>,</w:t>
      </w:r>
      <w:r w:rsidR="00FA6ADF" w:rsidRPr="00D05C30">
        <w:rPr>
          <w:color w:val="auto"/>
        </w:rPr>
        <w:t>800 people (700 women)</w:t>
      </w:r>
      <w:r>
        <w:rPr>
          <w:color w:val="auto"/>
        </w:rPr>
        <w:t xml:space="preserve"> to </w:t>
      </w:r>
      <w:r>
        <w:rPr>
          <w:color w:val="auto"/>
        </w:rPr>
        <w:lastRenderedPageBreak/>
        <w:t>take these up</w:t>
      </w:r>
      <w:r w:rsidR="00FA6ADF">
        <w:rPr>
          <w:color w:val="auto"/>
        </w:rPr>
        <w:t xml:space="preserve">, leading </w:t>
      </w:r>
      <w:r w:rsidR="00FA6ADF" w:rsidRPr="00D05C30">
        <w:rPr>
          <w:color w:val="auto"/>
        </w:rPr>
        <w:t xml:space="preserve">to </w:t>
      </w:r>
      <w:r w:rsidR="00FA6ADF">
        <w:rPr>
          <w:color w:val="auto"/>
        </w:rPr>
        <w:t xml:space="preserve">increased </w:t>
      </w:r>
      <w:r w:rsidR="00FA6ADF" w:rsidRPr="00D05C30">
        <w:rPr>
          <w:color w:val="auto"/>
        </w:rPr>
        <w:t xml:space="preserve">space for civil society and communities to engage in policy dialogue </w:t>
      </w:r>
      <w:r w:rsidR="00FA6ADF">
        <w:rPr>
          <w:color w:val="auto"/>
        </w:rPr>
        <w:t>and influence</w:t>
      </w:r>
      <w:r w:rsidR="00FA6ADF" w:rsidRPr="00D05C30">
        <w:rPr>
          <w:color w:val="auto"/>
        </w:rPr>
        <w:t xml:space="preserve"> </w:t>
      </w:r>
      <w:r w:rsidR="00FA6ADF">
        <w:rPr>
          <w:color w:val="auto"/>
        </w:rPr>
        <w:t>decision-making</w:t>
      </w:r>
      <w:r w:rsidR="00FA6ADF" w:rsidRPr="00D05C30">
        <w:rPr>
          <w:color w:val="auto"/>
        </w:rPr>
        <w:t xml:space="preserve">. </w:t>
      </w:r>
    </w:p>
    <w:p w14:paraId="2B273DFF" w14:textId="77777777" w:rsidR="005D42D6" w:rsidRPr="005D42D6" w:rsidRDefault="005D42D6" w:rsidP="005D42D6">
      <w:pPr>
        <w:pStyle w:val="ListParagraph"/>
        <w:numPr>
          <w:ilvl w:val="0"/>
          <w:numId w:val="47"/>
        </w:numPr>
        <w:spacing w:before="0" w:after="120" w:line="240" w:lineRule="auto"/>
        <w:ind w:right="130"/>
        <w:rPr>
          <w:color w:val="auto"/>
        </w:rPr>
      </w:pPr>
      <w:r w:rsidRPr="005D42D6">
        <w:rPr>
          <w:color w:val="auto"/>
        </w:rPr>
        <w:t>SHIFT has increased access to financial services for over 290,000 female beneficiaries. Gender strategies have been developed for all target countries and technical support on gender for national financial inclusion strategies has been provided through the ASEAN Working Committee on Financial Inclusion.</w:t>
      </w:r>
    </w:p>
    <w:p w14:paraId="1B82246C" w14:textId="77777777" w:rsidR="00FE50BC" w:rsidRPr="003F1811" w:rsidRDefault="005B5769" w:rsidP="003F1811">
      <w:pPr>
        <w:pStyle w:val="Subtitle"/>
        <w:rPr>
          <w:sz w:val="28"/>
          <w:szCs w:val="28"/>
        </w:rPr>
      </w:pPr>
      <w:r w:rsidRPr="003F1811">
        <w:rPr>
          <w:sz w:val="28"/>
          <w:szCs w:val="28"/>
        </w:rPr>
        <w:t xml:space="preserve">Management </w:t>
      </w:r>
      <w:r w:rsidR="00E65105" w:rsidRPr="003F1811">
        <w:rPr>
          <w:sz w:val="28"/>
          <w:szCs w:val="28"/>
        </w:rPr>
        <w:t>actions</w:t>
      </w:r>
      <w:r w:rsidR="00973715" w:rsidRPr="003F1811">
        <w:rPr>
          <w:sz w:val="28"/>
          <w:szCs w:val="28"/>
        </w:rPr>
        <w:t xml:space="preserve"> </w:t>
      </w:r>
      <w:bookmarkStart w:id="2" w:name="_Toc489796946"/>
    </w:p>
    <w:p w14:paraId="6ABC1355" w14:textId="77777777" w:rsidR="00A90032" w:rsidRDefault="00737CB9" w:rsidP="00A90032">
      <w:pPr>
        <w:rPr>
          <w:color w:val="auto"/>
        </w:rPr>
      </w:pPr>
      <w:r>
        <w:rPr>
          <w:color w:val="auto"/>
        </w:rPr>
        <w:t>Having a</w:t>
      </w:r>
      <w:r w:rsidR="008D413F">
        <w:rPr>
          <w:color w:val="auto"/>
        </w:rPr>
        <w:t xml:space="preserve"> </w:t>
      </w:r>
      <w:r w:rsidR="00A90032">
        <w:rPr>
          <w:color w:val="auto"/>
        </w:rPr>
        <w:t xml:space="preserve">diverse </w:t>
      </w:r>
      <w:r w:rsidR="00050E8F">
        <w:rPr>
          <w:color w:val="auto"/>
        </w:rPr>
        <w:t>portfolio of</w:t>
      </w:r>
      <w:r w:rsidR="00A90032">
        <w:rPr>
          <w:color w:val="auto"/>
        </w:rPr>
        <w:t xml:space="preserve"> investments </w:t>
      </w:r>
      <w:r w:rsidR="00050E8F">
        <w:rPr>
          <w:color w:val="auto"/>
        </w:rPr>
        <w:t xml:space="preserve">delivered through </w:t>
      </w:r>
      <w:r w:rsidR="00A90032">
        <w:rPr>
          <w:color w:val="auto"/>
        </w:rPr>
        <w:t xml:space="preserve">a range of implementing partners in </w:t>
      </w:r>
      <w:r w:rsidR="00C1779E">
        <w:rPr>
          <w:color w:val="auto"/>
        </w:rPr>
        <w:t>multiple countries does present</w:t>
      </w:r>
      <w:r w:rsidR="00A90032">
        <w:rPr>
          <w:color w:val="auto"/>
        </w:rPr>
        <w:t xml:space="preserve"> challenges.  </w:t>
      </w:r>
      <w:r w:rsidR="008D413F">
        <w:rPr>
          <w:color w:val="auto"/>
        </w:rPr>
        <w:t>We have made</w:t>
      </w:r>
      <w:r w:rsidR="00A90032">
        <w:rPr>
          <w:color w:val="auto"/>
        </w:rPr>
        <w:t xml:space="preserve"> significant effort</w:t>
      </w:r>
      <w:r w:rsidR="00F44197">
        <w:rPr>
          <w:color w:val="auto"/>
        </w:rPr>
        <w:t>s</w:t>
      </w:r>
      <w:r w:rsidR="00A90032">
        <w:rPr>
          <w:color w:val="auto"/>
        </w:rPr>
        <w:t xml:space="preserve"> to ensure all new investments contribute to the </w:t>
      </w:r>
      <w:r>
        <w:rPr>
          <w:color w:val="auto"/>
        </w:rPr>
        <w:t xml:space="preserve">overarching </w:t>
      </w:r>
      <w:r w:rsidR="00A90032">
        <w:rPr>
          <w:color w:val="auto"/>
        </w:rPr>
        <w:t>AIP objectives and commun</w:t>
      </w:r>
      <w:r w:rsidR="008D413F">
        <w:rPr>
          <w:color w:val="auto"/>
        </w:rPr>
        <w:t>icate a clear narrative on the P</w:t>
      </w:r>
      <w:r w:rsidR="00A90032">
        <w:rPr>
          <w:color w:val="auto"/>
        </w:rPr>
        <w:t>rogram’s contribution to ASEAN</w:t>
      </w:r>
      <w:r>
        <w:rPr>
          <w:color w:val="auto"/>
        </w:rPr>
        <w:t>’s development goals</w:t>
      </w:r>
      <w:r w:rsidR="00A90032">
        <w:rPr>
          <w:color w:val="auto"/>
        </w:rPr>
        <w:t xml:space="preserve">.  At the same time, the Program </w:t>
      </w:r>
      <w:r w:rsidR="005D42D6">
        <w:rPr>
          <w:color w:val="auto"/>
        </w:rPr>
        <w:t>needed</w:t>
      </w:r>
      <w:r w:rsidR="00FA6ADF">
        <w:rPr>
          <w:color w:val="auto"/>
        </w:rPr>
        <w:t xml:space="preserve"> to </w:t>
      </w:r>
      <w:r w:rsidR="00A90032">
        <w:rPr>
          <w:color w:val="auto"/>
        </w:rPr>
        <w:t>re</w:t>
      </w:r>
      <w:r w:rsidR="00EC1944">
        <w:rPr>
          <w:color w:val="auto"/>
        </w:rPr>
        <w:t>tain</w:t>
      </w:r>
      <w:r w:rsidR="00A90032">
        <w:rPr>
          <w:color w:val="auto"/>
        </w:rPr>
        <w:t xml:space="preserve"> flexibility to respond to emerging priorities defined by the ASEAN-Australia Plan of Action</w:t>
      </w:r>
      <w:r w:rsidR="008D413F">
        <w:rPr>
          <w:color w:val="auto"/>
        </w:rPr>
        <w:t xml:space="preserve"> under our Strategic Partnership</w:t>
      </w:r>
      <w:r w:rsidR="00EC1944">
        <w:rPr>
          <w:color w:val="auto"/>
        </w:rPr>
        <w:t xml:space="preserve"> and the upcoming Special Summit</w:t>
      </w:r>
      <w:r w:rsidR="00C1779E">
        <w:rPr>
          <w:color w:val="auto"/>
        </w:rPr>
        <w:t>.</w:t>
      </w:r>
    </w:p>
    <w:p w14:paraId="4C3E8463" w14:textId="5FC9A796" w:rsidR="00A90032" w:rsidRDefault="00A90032" w:rsidP="00A90032">
      <w:pPr>
        <w:spacing w:before="0" w:after="120" w:line="240" w:lineRule="auto"/>
        <w:ind w:right="130"/>
        <w:rPr>
          <w:color w:val="auto"/>
        </w:rPr>
      </w:pPr>
      <w:r>
        <w:rPr>
          <w:color w:val="auto"/>
        </w:rPr>
        <w:t xml:space="preserve">The Program is performing well and is </w:t>
      </w:r>
      <w:r w:rsidR="00E92D03">
        <w:rPr>
          <w:color w:val="auto"/>
        </w:rPr>
        <w:t>achieving</w:t>
      </w:r>
      <w:r>
        <w:rPr>
          <w:color w:val="auto"/>
        </w:rPr>
        <w:t xml:space="preserve"> </w:t>
      </w:r>
      <w:r w:rsidR="00C1779E">
        <w:rPr>
          <w:color w:val="auto"/>
        </w:rPr>
        <w:t xml:space="preserve">its </w:t>
      </w:r>
      <w:r>
        <w:rPr>
          <w:color w:val="auto"/>
        </w:rPr>
        <w:t xml:space="preserve">performance benchmarks (see Annex B). </w:t>
      </w:r>
    </w:p>
    <w:p w14:paraId="1569A202" w14:textId="77777777" w:rsidR="00E23BB9" w:rsidRPr="00F24DD3" w:rsidRDefault="001F6EEA" w:rsidP="00A90032">
      <w:pPr>
        <w:spacing w:before="0" w:after="120" w:line="240" w:lineRule="auto"/>
        <w:ind w:right="130"/>
        <w:rPr>
          <w:color w:val="auto"/>
        </w:rPr>
      </w:pPr>
      <w:r>
        <w:rPr>
          <w:color w:val="auto"/>
        </w:rPr>
        <w:t>To</w:t>
      </w:r>
      <w:r w:rsidR="001665AD">
        <w:rPr>
          <w:color w:val="auto"/>
        </w:rPr>
        <w:t xml:space="preserve"> continue to strengthen and improve its approach to gender mainstreaming:</w:t>
      </w:r>
      <w:r w:rsidR="00E23BB9">
        <w:rPr>
          <w:color w:val="auto"/>
        </w:rPr>
        <w:t xml:space="preserve"> </w:t>
      </w:r>
    </w:p>
    <w:p w14:paraId="1078EA9D" w14:textId="77777777" w:rsidR="00E23BB9" w:rsidRPr="001665AD" w:rsidRDefault="008D413F" w:rsidP="00E23BB9">
      <w:pPr>
        <w:pStyle w:val="ListParagraph"/>
        <w:numPr>
          <w:ilvl w:val="0"/>
          <w:numId w:val="47"/>
        </w:numPr>
        <w:spacing w:before="0" w:after="120" w:line="240" w:lineRule="auto"/>
        <w:ind w:right="130"/>
        <w:rPr>
          <w:i/>
          <w:color w:val="auto"/>
        </w:rPr>
      </w:pPr>
      <w:r>
        <w:rPr>
          <w:i/>
          <w:color w:val="auto"/>
        </w:rPr>
        <w:t xml:space="preserve">Our </w:t>
      </w:r>
      <w:r w:rsidR="00E23BB9" w:rsidRPr="001665AD">
        <w:rPr>
          <w:i/>
          <w:color w:val="auto"/>
        </w:rPr>
        <w:t>ASEAN Mission will implement the</w:t>
      </w:r>
      <w:r w:rsidR="005D65D9">
        <w:rPr>
          <w:i/>
          <w:color w:val="auto"/>
        </w:rPr>
        <w:t xml:space="preserve"> action items in the</w:t>
      </w:r>
      <w:r w:rsidR="00E23BB9" w:rsidRPr="001665AD">
        <w:rPr>
          <w:i/>
          <w:color w:val="auto"/>
        </w:rPr>
        <w:t xml:space="preserve"> </w:t>
      </w:r>
      <w:r>
        <w:rPr>
          <w:i/>
          <w:color w:val="auto"/>
        </w:rPr>
        <w:t xml:space="preserve">Program’s </w:t>
      </w:r>
      <w:r w:rsidR="00E23BB9" w:rsidRPr="001665AD">
        <w:rPr>
          <w:i/>
          <w:color w:val="auto"/>
        </w:rPr>
        <w:t>Equality a</w:t>
      </w:r>
      <w:r w:rsidR="00C1779E">
        <w:rPr>
          <w:i/>
          <w:color w:val="auto"/>
        </w:rPr>
        <w:t>nd Inclusion Strategy</w:t>
      </w:r>
      <w:r w:rsidR="001665AD" w:rsidRPr="001665AD">
        <w:rPr>
          <w:i/>
          <w:color w:val="auto"/>
        </w:rPr>
        <w:t>;</w:t>
      </w:r>
    </w:p>
    <w:p w14:paraId="09CD523E" w14:textId="77777777" w:rsidR="005D42D6" w:rsidRPr="005D42D6" w:rsidRDefault="005D42D6" w:rsidP="005D42D6">
      <w:pPr>
        <w:spacing w:before="0" w:after="120" w:line="240" w:lineRule="auto"/>
        <w:ind w:right="130"/>
        <w:rPr>
          <w:color w:val="auto"/>
        </w:rPr>
      </w:pPr>
      <w:r w:rsidRPr="005D42D6">
        <w:rPr>
          <w:color w:val="auto"/>
        </w:rPr>
        <w:t>To further strengthen the Program’s performance and quality:</w:t>
      </w:r>
    </w:p>
    <w:p w14:paraId="24D8D9C2" w14:textId="77777777" w:rsidR="005D42D6" w:rsidRPr="005D42D6" w:rsidRDefault="005D42D6" w:rsidP="005D42D6">
      <w:pPr>
        <w:pStyle w:val="ListParagraph"/>
        <w:numPr>
          <w:ilvl w:val="0"/>
          <w:numId w:val="47"/>
        </w:numPr>
        <w:spacing w:before="0" w:after="120" w:line="240" w:lineRule="auto"/>
        <w:ind w:right="130"/>
        <w:rPr>
          <w:color w:val="auto"/>
        </w:rPr>
      </w:pPr>
      <w:r w:rsidRPr="005D42D6">
        <w:rPr>
          <w:i/>
          <w:color w:val="auto"/>
        </w:rPr>
        <w:t>We will use the Quality Investment Support Service to provide technical support to improve design, monitoring, evaluation, and reporting in alignment with DFAT standards and to assist with measuring overall Performance.</w:t>
      </w:r>
    </w:p>
    <w:p w14:paraId="2E26BB06" w14:textId="77777777" w:rsidR="008B3272" w:rsidRPr="008B3272" w:rsidRDefault="008B3272" w:rsidP="008B3272">
      <w:pPr>
        <w:spacing w:before="0" w:after="120" w:line="240" w:lineRule="auto"/>
        <w:ind w:right="130"/>
        <w:rPr>
          <w:color w:val="auto"/>
        </w:rPr>
      </w:pPr>
      <w:r w:rsidRPr="008B3272">
        <w:rPr>
          <w:color w:val="auto"/>
        </w:rPr>
        <w:t>To further refine our investments and deepen our understanding of their performance:</w:t>
      </w:r>
    </w:p>
    <w:p w14:paraId="1EE19CF7" w14:textId="77777777" w:rsidR="008B3272" w:rsidRPr="008B3272" w:rsidRDefault="008B3272" w:rsidP="001665AD">
      <w:pPr>
        <w:pStyle w:val="ListParagraph"/>
        <w:numPr>
          <w:ilvl w:val="0"/>
          <w:numId w:val="47"/>
        </w:numPr>
        <w:spacing w:before="0" w:after="120" w:line="240" w:lineRule="auto"/>
        <w:ind w:right="130"/>
        <w:rPr>
          <w:i/>
          <w:iCs/>
          <w:color w:val="auto"/>
        </w:rPr>
      </w:pPr>
      <w:r>
        <w:rPr>
          <w:i/>
          <w:iCs/>
          <w:color w:val="auto"/>
        </w:rPr>
        <w:t xml:space="preserve">We will complete an internal </w:t>
      </w:r>
      <w:r w:rsidR="00737CB9">
        <w:rPr>
          <w:i/>
          <w:iCs/>
          <w:color w:val="auto"/>
        </w:rPr>
        <w:t>review</w:t>
      </w:r>
      <w:r>
        <w:rPr>
          <w:i/>
          <w:iCs/>
          <w:color w:val="auto"/>
        </w:rPr>
        <w:t xml:space="preserve"> of </w:t>
      </w:r>
      <w:r w:rsidR="00737CB9">
        <w:rPr>
          <w:i/>
          <w:iCs/>
          <w:color w:val="auto"/>
        </w:rPr>
        <w:t xml:space="preserve">economic </w:t>
      </w:r>
      <w:r>
        <w:rPr>
          <w:i/>
          <w:iCs/>
          <w:color w:val="auto"/>
        </w:rPr>
        <w:t>investments, actively monitor implementation of all relevant strategic/program evaluation recommendations and incorporate learning from reviews/evaluations into new designs and plans where appropriate;</w:t>
      </w:r>
    </w:p>
    <w:p w14:paraId="504F63A8" w14:textId="77777777" w:rsidR="00E23BB9" w:rsidRPr="00A90032" w:rsidRDefault="001F6EEA" w:rsidP="00DB39EE">
      <w:pPr>
        <w:spacing w:before="0" w:after="120" w:line="240" w:lineRule="auto"/>
        <w:ind w:right="130"/>
        <w:rPr>
          <w:color w:val="auto"/>
        </w:rPr>
      </w:pPr>
      <w:r>
        <w:rPr>
          <w:color w:val="auto"/>
        </w:rPr>
        <w:t>T</w:t>
      </w:r>
      <w:r w:rsidR="00C1779E">
        <w:rPr>
          <w:color w:val="auto"/>
        </w:rPr>
        <w:t xml:space="preserve">o strengthen </w:t>
      </w:r>
      <w:r w:rsidR="000A6E46">
        <w:rPr>
          <w:color w:val="auto"/>
        </w:rPr>
        <w:t>the Program’s alignment</w:t>
      </w:r>
      <w:r w:rsidR="00DB39EE" w:rsidRPr="00A90032">
        <w:rPr>
          <w:color w:val="auto"/>
        </w:rPr>
        <w:t xml:space="preserve"> with</w:t>
      </w:r>
      <w:r w:rsidR="008B3272">
        <w:rPr>
          <w:color w:val="auto"/>
        </w:rPr>
        <w:t xml:space="preserve"> the goals of </w:t>
      </w:r>
      <w:r w:rsidR="00DB39EE" w:rsidRPr="00A90032">
        <w:rPr>
          <w:color w:val="auto"/>
        </w:rPr>
        <w:t>the Greater Mekong countries in the area of water resources management</w:t>
      </w:r>
      <w:r w:rsidR="00F374F1">
        <w:rPr>
          <w:color w:val="auto"/>
        </w:rPr>
        <w:t xml:space="preserve"> and enhance our ability to affect governance outcomes</w:t>
      </w:r>
      <w:r w:rsidR="00DB39EE" w:rsidRPr="00A90032">
        <w:rPr>
          <w:color w:val="auto"/>
        </w:rPr>
        <w:t>:</w:t>
      </w:r>
    </w:p>
    <w:p w14:paraId="10AEF927" w14:textId="77777777" w:rsidR="00E23BB9" w:rsidRPr="00DB39EE" w:rsidRDefault="001F6EEA" w:rsidP="00E23BB9">
      <w:pPr>
        <w:pStyle w:val="ListParagraph"/>
        <w:numPr>
          <w:ilvl w:val="0"/>
          <w:numId w:val="47"/>
        </w:numPr>
        <w:spacing w:before="0" w:after="120" w:line="240" w:lineRule="auto"/>
        <w:ind w:right="130"/>
        <w:rPr>
          <w:i/>
          <w:color w:val="auto"/>
        </w:rPr>
      </w:pPr>
      <w:r>
        <w:rPr>
          <w:i/>
          <w:color w:val="auto"/>
        </w:rPr>
        <w:t xml:space="preserve">The </w:t>
      </w:r>
      <w:r w:rsidR="000A6E46">
        <w:rPr>
          <w:i/>
          <w:color w:val="auto"/>
        </w:rPr>
        <w:t>P</w:t>
      </w:r>
      <w:r>
        <w:rPr>
          <w:i/>
          <w:color w:val="auto"/>
        </w:rPr>
        <w:t xml:space="preserve">rogram will </w:t>
      </w:r>
      <w:r w:rsidR="000A6E46">
        <w:rPr>
          <w:i/>
          <w:color w:val="auto"/>
        </w:rPr>
        <w:t>step-up engagement with</w:t>
      </w:r>
      <w:r w:rsidR="00E23BB9" w:rsidRPr="00DB39EE">
        <w:rPr>
          <w:i/>
          <w:color w:val="auto"/>
        </w:rPr>
        <w:t xml:space="preserve"> the Mekong countr</w:t>
      </w:r>
      <w:r w:rsidR="000A6E46">
        <w:rPr>
          <w:i/>
          <w:color w:val="auto"/>
        </w:rPr>
        <w:t xml:space="preserve">y governments </w:t>
      </w:r>
      <w:r w:rsidR="00E23BB9" w:rsidRPr="00DB39EE">
        <w:rPr>
          <w:i/>
          <w:color w:val="auto"/>
        </w:rPr>
        <w:t xml:space="preserve">for greater cooperation </w:t>
      </w:r>
      <w:r w:rsidR="00635D28">
        <w:rPr>
          <w:i/>
          <w:color w:val="auto"/>
        </w:rPr>
        <w:t xml:space="preserve">and coordination </w:t>
      </w:r>
      <w:r w:rsidR="00E23BB9" w:rsidRPr="00DB39EE">
        <w:rPr>
          <w:i/>
          <w:color w:val="auto"/>
        </w:rPr>
        <w:t>on</w:t>
      </w:r>
      <w:r w:rsidR="00DB39EE" w:rsidRPr="00DB39EE">
        <w:rPr>
          <w:i/>
          <w:color w:val="auto"/>
        </w:rPr>
        <w:t xml:space="preserve"> water management issues</w:t>
      </w:r>
      <w:r w:rsidR="00C1779E">
        <w:rPr>
          <w:i/>
          <w:color w:val="auto"/>
        </w:rPr>
        <w:t>;</w:t>
      </w:r>
    </w:p>
    <w:p w14:paraId="23990DD5" w14:textId="77777777" w:rsidR="00FA6ADF" w:rsidRDefault="00FA6ADF" w:rsidP="00FA6ADF">
      <w:pPr>
        <w:pStyle w:val="ListParagraph"/>
        <w:spacing w:before="0" w:after="120" w:line="240" w:lineRule="auto"/>
        <w:ind w:left="0" w:right="130"/>
        <w:rPr>
          <w:color w:val="auto"/>
        </w:rPr>
      </w:pPr>
    </w:p>
    <w:p w14:paraId="41B474DA" w14:textId="77777777" w:rsidR="00FA6ADF" w:rsidRDefault="00FA6ADF" w:rsidP="00FA6ADF">
      <w:pPr>
        <w:pStyle w:val="ListParagraph"/>
        <w:spacing w:before="0" w:after="120" w:line="240" w:lineRule="auto"/>
        <w:ind w:left="0" w:right="130"/>
        <w:rPr>
          <w:color w:val="auto"/>
        </w:rPr>
      </w:pPr>
      <w:r>
        <w:rPr>
          <w:color w:val="auto"/>
        </w:rPr>
        <w:t>Recognising the diverse array of actors that influence water resources development outcomes</w:t>
      </w:r>
      <w:r w:rsidR="00C1779E">
        <w:rPr>
          <w:color w:val="auto"/>
        </w:rPr>
        <w:t xml:space="preserve"> </w:t>
      </w:r>
      <w:r w:rsidR="000A6E46">
        <w:rPr>
          <w:color w:val="auto"/>
        </w:rPr>
        <w:t xml:space="preserve">as a challenge </w:t>
      </w:r>
      <w:r w:rsidR="008B3272">
        <w:rPr>
          <w:color w:val="auto"/>
        </w:rPr>
        <w:t>t</w:t>
      </w:r>
      <w:r w:rsidR="000A6E46">
        <w:rPr>
          <w:color w:val="auto"/>
        </w:rPr>
        <w:t>o our influence in the region, we will</w:t>
      </w:r>
      <w:r>
        <w:rPr>
          <w:color w:val="auto"/>
        </w:rPr>
        <w:t>:</w:t>
      </w:r>
    </w:p>
    <w:p w14:paraId="42F3AC2E" w14:textId="77777777" w:rsidR="00FA6ADF" w:rsidRDefault="00FA6ADF" w:rsidP="00FA6ADF">
      <w:pPr>
        <w:pStyle w:val="ListParagraph"/>
        <w:spacing w:before="0" w:after="120" w:line="240" w:lineRule="auto"/>
        <w:ind w:left="0" w:right="130"/>
        <w:rPr>
          <w:color w:val="auto"/>
        </w:rPr>
      </w:pPr>
    </w:p>
    <w:p w14:paraId="19214A83" w14:textId="77777777" w:rsidR="00FA6ADF" w:rsidRPr="00FA6ADF" w:rsidRDefault="000A6E46" w:rsidP="00C1779E">
      <w:pPr>
        <w:pStyle w:val="ListParagraph"/>
        <w:numPr>
          <w:ilvl w:val="0"/>
          <w:numId w:val="47"/>
        </w:numPr>
        <w:spacing w:before="0" w:after="120" w:line="240" w:lineRule="auto"/>
        <w:ind w:right="130"/>
        <w:rPr>
          <w:i/>
          <w:color w:val="auto"/>
        </w:rPr>
      </w:pPr>
      <w:r>
        <w:rPr>
          <w:i/>
          <w:color w:val="auto"/>
        </w:rPr>
        <w:t>Better join up</w:t>
      </w:r>
      <w:r w:rsidR="00FA6ADF" w:rsidRPr="00FA6ADF">
        <w:rPr>
          <w:i/>
          <w:color w:val="auto"/>
        </w:rPr>
        <w:t xml:space="preserve"> </w:t>
      </w:r>
      <w:r w:rsidR="00635D28">
        <w:rPr>
          <w:i/>
          <w:color w:val="auto"/>
        </w:rPr>
        <w:t xml:space="preserve">the </w:t>
      </w:r>
      <w:r w:rsidR="008B3272">
        <w:rPr>
          <w:i/>
          <w:color w:val="auto"/>
        </w:rPr>
        <w:t xml:space="preserve">diverse portfolio of </w:t>
      </w:r>
      <w:r w:rsidR="00FA6ADF" w:rsidRPr="00FA6ADF">
        <w:rPr>
          <w:i/>
          <w:color w:val="auto"/>
        </w:rPr>
        <w:t>support for constructive, inclusive, accountable and informed water gover</w:t>
      </w:r>
      <w:r>
        <w:rPr>
          <w:i/>
          <w:color w:val="auto"/>
        </w:rPr>
        <w:t>nance across the Greater Mekong;</w:t>
      </w:r>
      <w:r w:rsidR="00C1779E">
        <w:rPr>
          <w:i/>
          <w:color w:val="auto"/>
        </w:rPr>
        <w:t xml:space="preserve"> </w:t>
      </w:r>
    </w:p>
    <w:p w14:paraId="2D344959" w14:textId="77777777" w:rsidR="00E23BB9" w:rsidRDefault="00AC2843" w:rsidP="00FA6ADF">
      <w:pPr>
        <w:spacing w:before="0" w:after="120" w:line="240" w:lineRule="auto"/>
        <w:ind w:right="130"/>
        <w:rPr>
          <w:color w:val="auto"/>
        </w:rPr>
      </w:pPr>
      <w:r>
        <w:rPr>
          <w:color w:val="auto"/>
        </w:rPr>
        <w:t>To continue to invest in increasing the visibility of regional program activities</w:t>
      </w:r>
      <w:r w:rsidR="000A6E46">
        <w:rPr>
          <w:color w:val="auto"/>
        </w:rPr>
        <w:t>, including through bilateral relationships,</w:t>
      </w:r>
      <w:r w:rsidR="00C1779E">
        <w:rPr>
          <w:color w:val="auto"/>
        </w:rPr>
        <w:t xml:space="preserve"> we will:</w:t>
      </w:r>
    </w:p>
    <w:p w14:paraId="49EEB94B" w14:textId="77777777" w:rsidR="005D42D6" w:rsidRDefault="00C1779E" w:rsidP="00FA6ADF">
      <w:pPr>
        <w:pStyle w:val="ListParagraph"/>
        <w:numPr>
          <w:ilvl w:val="0"/>
          <w:numId w:val="47"/>
        </w:numPr>
        <w:spacing w:before="0" w:after="120" w:line="240" w:lineRule="auto"/>
        <w:ind w:right="130"/>
        <w:rPr>
          <w:i/>
          <w:color w:val="auto"/>
        </w:rPr>
        <w:sectPr w:rsidR="005D42D6" w:rsidSect="009B5BAC">
          <w:headerReference w:type="first" r:id="rId29"/>
          <w:pgSz w:w="11906" w:h="16838" w:code="9"/>
          <w:pgMar w:top="1952" w:right="1134" w:bottom="851" w:left="1134" w:header="1107" w:footer="567" w:gutter="0"/>
          <w:cols w:space="397"/>
          <w:titlePg/>
          <w:docGrid w:linePitch="360"/>
        </w:sectPr>
      </w:pPr>
      <w:r>
        <w:rPr>
          <w:i/>
          <w:color w:val="auto"/>
        </w:rPr>
        <w:t>Improve</w:t>
      </w:r>
      <w:r w:rsidR="00AC2843" w:rsidRPr="00FA6ADF">
        <w:rPr>
          <w:i/>
          <w:color w:val="auto"/>
        </w:rPr>
        <w:t xml:space="preserve"> reporting and communications including distribution of country fact sheets</w:t>
      </w:r>
      <w:r w:rsidR="000A6E46">
        <w:rPr>
          <w:i/>
          <w:color w:val="auto"/>
        </w:rPr>
        <w:t xml:space="preserve"> to regional posts for use by He</w:t>
      </w:r>
      <w:r w:rsidR="005D42D6">
        <w:rPr>
          <w:i/>
          <w:color w:val="auto"/>
        </w:rPr>
        <w:t>ads of Mission and their staff</w:t>
      </w:r>
      <w:r w:rsidR="00737CB9">
        <w:rPr>
          <w:i/>
          <w:color w:val="auto"/>
        </w:rPr>
        <w:t xml:space="preserve"> and the appointment of contact officers for the Program in relevant bilateral posts</w:t>
      </w:r>
      <w:r w:rsidR="005D42D6">
        <w:rPr>
          <w:i/>
          <w:color w:val="auto"/>
        </w:rPr>
        <w:t>.</w:t>
      </w:r>
      <w:r w:rsidR="00AC2843" w:rsidRPr="00FA6ADF">
        <w:rPr>
          <w:i/>
          <w:color w:val="auto"/>
        </w:rPr>
        <w:t xml:space="preserve"> </w:t>
      </w:r>
    </w:p>
    <w:bookmarkEnd w:id="2"/>
    <w:p w14:paraId="6647438B" w14:textId="77777777" w:rsidR="00AF1B85" w:rsidRPr="003F1811" w:rsidRDefault="005D42D6" w:rsidP="00EA47D1">
      <w:pPr>
        <w:pStyle w:val="Subtitle"/>
        <w:rPr>
          <w:sz w:val="28"/>
          <w:szCs w:val="28"/>
        </w:rPr>
      </w:pPr>
      <w:r>
        <w:rPr>
          <w:sz w:val="28"/>
          <w:szCs w:val="28"/>
        </w:rPr>
        <w:lastRenderedPageBreak/>
        <w:t>A</w:t>
      </w:r>
      <w:r w:rsidR="00AF1B85" w:rsidRPr="003F1811">
        <w:rPr>
          <w:sz w:val="28"/>
          <w:szCs w:val="28"/>
        </w:rPr>
        <w:t>nnex A - Progress in Addressing Management Responses</w:t>
      </w:r>
      <w:r w:rsidR="00F4375E" w:rsidRPr="003F1811">
        <w:rPr>
          <w:sz w:val="28"/>
          <w:szCs w:val="28"/>
        </w:rPr>
        <w:t xml:space="preserve"> </w:t>
      </w:r>
    </w:p>
    <w:tbl>
      <w:tblPr>
        <w:tblStyle w:val="APPR"/>
        <w:tblpPr w:leftFromText="180" w:rightFromText="180" w:vertAnchor="text" w:tblpY="1"/>
        <w:tblW w:w="5200" w:type="pct"/>
        <w:tblLayout w:type="fixed"/>
        <w:tblLook w:val="0000" w:firstRow="0" w:lastRow="0" w:firstColumn="0" w:lastColumn="0" w:noHBand="0" w:noVBand="0"/>
      </w:tblPr>
      <w:tblGrid>
        <w:gridCol w:w="4962"/>
        <w:gridCol w:w="992"/>
        <w:gridCol w:w="7100"/>
        <w:gridCol w:w="1542"/>
      </w:tblGrid>
      <w:tr w:rsidR="00BF332C" w:rsidRPr="00812509" w14:paraId="7A465E97" w14:textId="77777777" w:rsidTr="00314195">
        <w:trPr>
          <w:cnfStyle w:val="000000010000" w:firstRow="0" w:lastRow="0" w:firstColumn="0" w:lastColumn="0" w:oddVBand="0" w:evenVBand="0" w:oddHBand="0" w:evenHBand="1" w:firstRowFirstColumn="0" w:firstRowLastColumn="0" w:lastRowFirstColumn="0" w:lastRowLastColumn="0"/>
        </w:trPr>
        <w:tc>
          <w:tcPr>
            <w:tcW w:w="4920" w:type="dxa"/>
          </w:tcPr>
          <w:p w14:paraId="56F70868" w14:textId="77777777" w:rsidR="00AF1B85" w:rsidRPr="00812509" w:rsidRDefault="00AF1B85" w:rsidP="003E305C">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w:t>
            </w:r>
            <w:r w:rsidR="003E305C">
              <w:rPr>
                <w:rFonts w:asciiTheme="minorHAnsi" w:eastAsia="Times New Roman" w:hAnsiTheme="minorHAnsi"/>
                <w:b/>
                <w:iCs/>
                <w:szCs w:val="17"/>
                <w:lang w:eastAsia="en-US"/>
              </w:rPr>
              <w:t>5</w:t>
            </w:r>
            <w:r w:rsidRPr="00812509">
              <w:rPr>
                <w:rFonts w:asciiTheme="minorHAnsi" w:eastAsia="Times New Roman" w:hAnsiTheme="minorHAnsi"/>
                <w:b/>
                <w:iCs/>
                <w:szCs w:val="17"/>
                <w:lang w:eastAsia="en-US"/>
              </w:rPr>
              <w:t>-1</w:t>
            </w:r>
            <w:r w:rsidR="003E305C">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964" w:type="dxa"/>
          </w:tcPr>
          <w:p w14:paraId="5E0A609C" w14:textId="77777777"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8600" w:type="dxa"/>
            <w:gridSpan w:val="2"/>
            <w:shd w:val="clear" w:color="auto" w:fill="auto"/>
          </w:tcPr>
          <w:p w14:paraId="4F2930EA" w14:textId="77777777" w:rsidR="00AF1B85" w:rsidRPr="00812509" w:rsidRDefault="00AF1B85" w:rsidP="003E305C">
            <w:pPr>
              <w:keepLines/>
              <w:spacing w:before="80" w:after="80" w:line="200" w:lineRule="atLeast"/>
              <w:jc w:val="center"/>
              <w:rPr>
                <w:rFonts w:asciiTheme="minorHAnsi" w:eastAsia="Times New Roman" w:hAnsiTheme="minorHAnsi"/>
                <w:b/>
                <w:iCs/>
                <w:szCs w:val="17"/>
                <w:lang w:eastAsia="en-US"/>
              </w:rPr>
            </w:pPr>
            <w:r w:rsidRPr="00D05C30">
              <w:rPr>
                <w:rFonts w:asciiTheme="minorHAnsi" w:eastAsia="Times New Roman" w:hAnsiTheme="minorHAnsi"/>
                <w:b/>
                <w:iCs/>
                <w:szCs w:val="17"/>
                <w:lang w:eastAsia="en-US"/>
              </w:rPr>
              <w:t>Progress made  in 201</w:t>
            </w:r>
            <w:r w:rsidR="003E305C" w:rsidRPr="00D05C30">
              <w:rPr>
                <w:rFonts w:asciiTheme="minorHAnsi" w:eastAsia="Times New Roman" w:hAnsiTheme="minorHAnsi"/>
                <w:b/>
                <w:iCs/>
                <w:szCs w:val="17"/>
                <w:lang w:eastAsia="en-US"/>
              </w:rPr>
              <w:t>6</w:t>
            </w:r>
            <w:r w:rsidRPr="00D05C30">
              <w:rPr>
                <w:rFonts w:asciiTheme="minorHAnsi" w:eastAsia="Times New Roman" w:hAnsiTheme="minorHAnsi"/>
                <w:b/>
                <w:iCs/>
                <w:szCs w:val="17"/>
                <w:lang w:eastAsia="en-US"/>
              </w:rPr>
              <w:t>-1</w:t>
            </w:r>
            <w:r w:rsidR="003E305C" w:rsidRPr="00D05C30">
              <w:rPr>
                <w:rFonts w:asciiTheme="minorHAnsi" w:eastAsia="Times New Roman" w:hAnsiTheme="minorHAnsi"/>
                <w:b/>
                <w:iCs/>
                <w:szCs w:val="17"/>
                <w:lang w:eastAsia="en-US"/>
              </w:rPr>
              <w:t>7</w:t>
            </w:r>
          </w:p>
        </w:tc>
      </w:tr>
      <w:tr w:rsidR="00BF332C" w:rsidRPr="00812509" w14:paraId="2D5EB92E" w14:textId="77777777" w:rsidTr="00314195">
        <w:trPr>
          <w:cnfStyle w:val="000000010000" w:firstRow="0" w:lastRow="0" w:firstColumn="0" w:lastColumn="0" w:oddVBand="0" w:evenVBand="0" w:oddHBand="0" w:evenHBand="1" w:firstRowFirstColumn="0" w:firstRowLastColumn="0" w:lastRowFirstColumn="0" w:lastRowLastColumn="0"/>
        </w:trPr>
        <w:tc>
          <w:tcPr>
            <w:tcW w:w="4920" w:type="dxa"/>
          </w:tcPr>
          <w:p w14:paraId="78A7C209" w14:textId="77777777" w:rsidR="00AF1B85" w:rsidRPr="002B2525" w:rsidRDefault="00EB2D20" w:rsidP="00EB2D20">
            <w:pPr>
              <w:keepLines/>
              <w:spacing w:before="40" w:after="40" w:line="200" w:lineRule="atLeast"/>
              <w:rPr>
                <w:rFonts w:eastAsia="Times New Roman"/>
                <w:sz w:val="16"/>
                <w:szCs w:val="16"/>
              </w:rPr>
            </w:pPr>
            <w:r w:rsidRPr="002B2525">
              <w:rPr>
                <w:rFonts w:eastAsia="Times New Roman"/>
                <w:sz w:val="16"/>
                <w:szCs w:val="16"/>
              </w:rPr>
              <w:t>Improve the quality of monitoring and evaluation in ASEAN and Mekong Programs to ensure that achievements are being captured and promoted.</w:t>
            </w:r>
          </w:p>
        </w:tc>
        <w:tc>
          <w:tcPr>
            <w:tcW w:w="964" w:type="dxa"/>
            <w:shd w:val="clear" w:color="auto" w:fill="72AF2F"/>
          </w:tcPr>
          <w:p w14:paraId="56CBC4C9" w14:textId="77777777" w:rsidR="00AF1B85" w:rsidRPr="008B539C" w:rsidRDefault="00AF1B85" w:rsidP="00D15A00">
            <w:pPr>
              <w:keepLines/>
              <w:spacing w:before="40" w:after="40" w:line="200" w:lineRule="atLeast"/>
              <w:jc w:val="center"/>
              <w:rPr>
                <w:rFonts w:asciiTheme="minorHAnsi" w:eastAsia="Times New Roman" w:hAnsiTheme="minorHAnsi"/>
                <w:iCs/>
                <w:color w:val="FFFFFF" w:themeColor="background1"/>
                <w:sz w:val="16"/>
                <w:szCs w:val="16"/>
                <w:lang w:eastAsia="en-US"/>
              </w:rPr>
            </w:pPr>
            <w:r w:rsidRPr="008B539C">
              <w:rPr>
                <w:rFonts w:asciiTheme="minorHAnsi" w:eastAsia="Times New Roman" w:hAnsiTheme="minorHAnsi"/>
                <w:iCs/>
                <w:color w:val="FFFFFF" w:themeColor="background1"/>
                <w:sz w:val="16"/>
                <w:szCs w:val="16"/>
                <w:lang w:eastAsia="en-US"/>
              </w:rPr>
              <w:t>Achieved</w:t>
            </w:r>
          </w:p>
        </w:tc>
        <w:tc>
          <w:tcPr>
            <w:tcW w:w="8600" w:type="dxa"/>
            <w:gridSpan w:val="2"/>
          </w:tcPr>
          <w:p w14:paraId="6249340D" w14:textId="77777777" w:rsidR="00AF1B85" w:rsidRPr="008B539C" w:rsidRDefault="002969E5" w:rsidP="002969E5">
            <w:pPr>
              <w:rPr>
                <w:rFonts w:eastAsia="Times New Roman"/>
                <w:sz w:val="16"/>
                <w:szCs w:val="16"/>
              </w:rPr>
            </w:pPr>
            <w:r>
              <w:rPr>
                <w:rFonts w:eastAsia="Times New Roman"/>
                <w:sz w:val="16"/>
                <w:szCs w:val="16"/>
              </w:rPr>
              <w:t xml:space="preserve">An </w:t>
            </w:r>
            <w:r w:rsidR="00A44F60" w:rsidRPr="008B539C">
              <w:rPr>
                <w:rFonts w:eastAsia="Times New Roman"/>
                <w:sz w:val="16"/>
                <w:szCs w:val="16"/>
              </w:rPr>
              <w:t xml:space="preserve">external review of the </w:t>
            </w:r>
            <w:r w:rsidR="001F6EEA">
              <w:rPr>
                <w:rFonts w:eastAsia="Times New Roman"/>
                <w:sz w:val="16"/>
                <w:szCs w:val="16"/>
              </w:rPr>
              <w:t xml:space="preserve">draft </w:t>
            </w:r>
            <w:r>
              <w:rPr>
                <w:rFonts w:eastAsia="Times New Roman"/>
                <w:sz w:val="16"/>
                <w:szCs w:val="16"/>
              </w:rPr>
              <w:t xml:space="preserve">PAF noted that </w:t>
            </w:r>
            <w:r w:rsidR="001F6EEA">
              <w:rPr>
                <w:rFonts w:eastAsia="Times New Roman"/>
                <w:sz w:val="16"/>
                <w:szCs w:val="16"/>
              </w:rPr>
              <w:t>there is</w:t>
            </w:r>
            <w:r w:rsidR="00A44F60" w:rsidRPr="008B539C">
              <w:rPr>
                <w:rFonts w:eastAsia="Times New Roman"/>
                <w:sz w:val="16"/>
                <w:szCs w:val="16"/>
              </w:rPr>
              <w:t xml:space="preserve"> sufficient quality evidence generated to report on the </w:t>
            </w:r>
            <w:r w:rsidR="00F033FF" w:rsidRPr="008B539C">
              <w:rPr>
                <w:rFonts w:eastAsia="Times New Roman"/>
                <w:sz w:val="16"/>
                <w:szCs w:val="16"/>
              </w:rPr>
              <w:t xml:space="preserve">overall </w:t>
            </w:r>
            <w:r w:rsidR="00A44F60" w:rsidRPr="008B539C">
              <w:rPr>
                <w:rFonts w:eastAsia="Times New Roman"/>
                <w:sz w:val="16"/>
                <w:szCs w:val="16"/>
              </w:rPr>
              <w:t>program</w:t>
            </w:r>
            <w:r w:rsidR="00533889">
              <w:rPr>
                <w:rFonts w:eastAsia="Times New Roman"/>
                <w:sz w:val="16"/>
                <w:szCs w:val="16"/>
              </w:rPr>
              <w:t>’</w:t>
            </w:r>
            <w:r w:rsidR="00A44F60" w:rsidRPr="008B539C">
              <w:rPr>
                <w:rFonts w:eastAsia="Times New Roman"/>
                <w:sz w:val="16"/>
                <w:szCs w:val="16"/>
              </w:rPr>
              <w:t>s performance</w:t>
            </w:r>
            <w:r>
              <w:rPr>
                <w:rFonts w:eastAsia="Times New Roman"/>
                <w:sz w:val="16"/>
                <w:szCs w:val="16"/>
              </w:rPr>
              <w:t xml:space="preserve">, but that </w:t>
            </w:r>
            <w:r w:rsidR="001F6EEA">
              <w:rPr>
                <w:rFonts w:eastAsia="Times New Roman"/>
                <w:sz w:val="16"/>
                <w:szCs w:val="16"/>
              </w:rPr>
              <w:t>the size and nature of the program does not warrant further revisions of the PAF at this stage</w:t>
            </w:r>
            <w:r w:rsidR="00A44F60" w:rsidRPr="008B539C">
              <w:rPr>
                <w:rFonts w:eastAsia="Times New Roman"/>
                <w:sz w:val="16"/>
                <w:szCs w:val="16"/>
              </w:rPr>
              <w:t xml:space="preserve">. </w:t>
            </w:r>
            <w:r>
              <w:rPr>
                <w:rFonts w:eastAsia="Times New Roman"/>
                <w:sz w:val="16"/>
                <w:szCs w:val="16"/>
              </w:rPr>
              <w:t xml:space="preserve">The </w:t>
            </w:r>
            <w:r w:rsidR="001F6EEA">
              <w:rPr>
                <w:rFonts w:eastAsia="Times New Roman"/>
                <w:sz w:val="16"/>
                <w:szCs w:val="16"/>
              </w:rPr>
              <w:t xml:space="preserve">need for a </w:t>
            </w:r>
            <w:r w:rsidR="00A44F60" w:rsidRPr="008B539C">
              <w:rPr>
                <w:rFonts w:eastAsia="Times New Roman"/>
                <w:sz w:val="16"/>
                <w:szCs w:val="16"/>
              </w:rPr>
              <w:t xml:space="preserve">PAF </w:t>
            </w:r>
            <w:r>
              <w:rPr>
                <w:rFonts w:eastAsia="Times New Roman"/>
                <w:sz w:val="16"/>
                <w:szCs w:val="16"/>
              </w:rPr>
              <w:t xml:space="preserve">will be revisited during the next AIP drafting </w:t>
            </w:r>
            <w:r w:rsidR="00A44F60" w:rsidRPr="008B539C">
              <w:rPr>
                <w:rFonts w:eastAsia="Times New Roman"/>
                <w:sz w:val="16"/>
                <w:szCs w:val="16"/>
              </w:rPr>
              <w:t xml:space="preserve">process. </w:t>
            </w:r>
            <w:r w:rsidR="001F6EEA">
              <w:rPr>
                <w:rFonts w:eastAsia="Times New Roman"/>
                <w:sz w:val="16"/>
                <w:szCs w:val="16"/>
              </w:rPr>
              <w:t xml:space="preserve">There </w:t>
            </w:r>
            <w:r w:rsidR="00185788">
              <w:rPr>
                <w:rFonts w:eastAsia="Times New Roman"/>
                <w:sz w:val="16"/>
                <w:szCs w:val="16"/>
              </w:rPr>
              <w:t>has</w:t>
            </w:r>
            <w:r w:rsidR="001F6EEA">
              <w:rPr>
                <w:rFonts w:eastAsia="Times New Roman"/>
                <w:sz w:val="16"/>
                <w:szCs w:val="16"/>
              </w:rPr>
              <w:t xml:space="preserve"> been s</w:t>
            </w:r>
            <w:r w:rsidR="00AF50FD" w:rsidRPr="008B539C">
              <w:rPr>
                <w:rFonts w:eastAsia="Times New Roman"/>
                <w:sz w:val="16"/>
                <w:szCs w:val="16"/>
              </w:rPr>
              <w:t xml:space="preserve">ignificant </w:t>
            </w:r>
            <w:r>
              <w:rPr>
                <w:rFonts w:eastAsia="Times New Roman"/>
                <w:sz w:val="16"/>
                <w:szCs w:val="16"/>
              </w:rPr>
              <w:t>improvements to M&amp;E process. W</w:t>
            </w:r>
            <w:r w:rsidR="00533889" w:rsidRPr="008B539C">
              <w:rPr>
                <w:rFonts w:eastAsia="Times New Roman"/>
                <w:sz w:val="16"/>
                <w:szCs w:val="16"/>
              </w:rPr>
              <w:t>e have worked closely with partners</w:t>
            </w:r>
            <w:r w:rsidR="00EA47D1">
              <w:rPr>
                <w:rFonts w:eastAsia="Times New Roman"/>
                <w:sz w:val="16"/>
                <w:szCs w:val="16"/>
              </w:rPr>
              <w:t>’</w:t>
            </w:r>
            <w:r w:rsidR="00533889" w:rsidRPr="008B539C">
              <w:rPr>
                <w:rFonts w:eastAsia="Times New Roman"/>
                <w:sz w:val="16"/>
                <w:szCs w:val="16"/>
              </w:rPr>
              <w:t xml:space="preserve"> (SHIFT, MBI, AAPTIP, TRIANGLE, GMWRP and UN Women) to ensure M&amp;E systems,</w:t>
            </w:r>
            <w:r w:rsidR="00AF50FD" w:rsidRPr="008B539C">
              <w:rPr>
                <w:rFonts w:eastAsia="Times New Roman"/>
                <w:sz w:val="16"/>
                <w:szCs w:val="16"/>
              </w:rPr>
              <w:t xml:space="preserve"> and evaluations met DFAT Quality standards. We have</w:t>
            </w:r>
            <w:r w:rsidR="008E3AC7" w:rsidRPr="008B539C">
              <w:rPr>
                <w:rFonts w:eastAsia="Times New Roman"/>
                <w:sz w:val="16"/>
                <w:szCs w:val="16"/>
              </w:rPr>
              <w:t xml:space="preserve"> increased the number of field visits and participation in key regional meetings to support monitoring o</w:t>
            </w:r>
            <w:r w:rsidR="00300FDC" w:rsidRPr="008B539C">
              <w:rPr>
                <w:rFonts w:eastAsia="Times New Roman"/>
                <w:sz w:val="16"/>
                <w:szCs w:val="16"/>
              </w:rPr>
              <w:t>f</w:t>
            </w:r>
            <w:r w:rsidR="008E3AC7" w:rsidRPr="008B539C">
              <w:rPr>
                <w:rFonts w:eastAsia="Times New Roman"/>
                <w:sz w:val="16"/>
                <w:szCs w:val="16"/>
              </w:rPr>
              <w:t xml:space="preserve"> program activities and data validation of key program indicators.</w:t>
            </w:r>
            <w:r w:rsidR="00A73ECA" w:rsidRPr="008B539C">
              <w:rPr>
                <w:rFonts w:eastAsia="Times New Roman"/>
                <w:sz w:val="16"/>
                <w:szCs w:val="16"/>
              </w:rPr>
              <w:t xml:space="preserve"> </w:t>
            </w:r>
            <w:r w:rsidR="005B15F7" w:rsidRPr="008B539C">
              <w:rPr>
                <w:rFonts w:eastAsia="Times New Roman"/>
                <w:sz w:val="16"/>
                <w:szCs w:val="16"/>
              </w:rPr>
              <w:t xml:space="preserve"> </w:t>
            </w:r>
            <w:r w:rsidR="00D75A11" w:rsidRPr="008B539C">
              <w:rPr>
                <w:rFonts w:eastAsia="Times New Roman"/>
                <w:sz w:val="16"/>
                <w:szCs w:val="16"/>
              </w:rPr>
              <w:t xml:space="preserve"> Partners of GMWRP conducted their programs’ mid-term reviews to evaluate and capture achievements. An independent review on policy dialogue approach was commissioned for the whole of GMWRP</w:t>
            </w:r>
            <w:r w:rsidR="00185788">
              <w:rPr>
                <w:rFonts w:eastAsia="Times New Roman"/>
                <w:sz w:val="16"/>
                <w:szCs w:val="16"/>
              </w:rPr>
              <w:t xml:space="preserve"> and an economic review of the Bangkok based economic programs is </w:t>
            </w:r>
            <w:r w:rsidR="00533889">
              <w:rPr>
                <w:rFonts w:eastAsia="Times New Roman"/>
                <w:sz w:val="16"/>
                <w:szCs w:val="16"/>
              </w:rPr>
              <w:t>underway.</w:t>
            </w:r>
            <w:r w:rsidR="0036148B">
              <w:rPr>
                <w:rFonts w:eastAsia="Times New Roman"/>
                <w:sz w:val="16"/>
                <w:szCs w:val="16"/>
              </w:rPr>
              <w:t xml:space="preserve"> </w:t>
            </w:r>
            <w:r w:rsidR="0036148B">
              <w:rPr>
                <w:rFonts w:eastAsia="Times New Roman"/>
              </w:rPr>
              <w:t xml:space="preserve"> </w:t>
            </w:r>
          </w:p>
        </w:tc>
      </w:tr>
      <w:tr w:rsidR="00BF332C" w:rsidRPr="00812509" w14:paraId="4CCE819E" w14:textId="77777777" w:rsidTr="00314195">
        <w:trPr>
          <w:cnfStyle w:val="000000010000" w:firstRow="0" w:lastRow="0" w:firstColumn="0" w:lastColumn="0" w:oddVBand="0" w:evenVBand="0" w:oddHBand="0" w:evenHBand="1" w:firstRowFirstColumn="0" w:firstRowLastColumn="0" w:lastRowFirstColumn="0" w:lastRowLastColumn="0"/>
        </w:trPr>
        <w:tc>
          <w:tcPr>
            <w:tcW w:w="4920" w:type="dxa"/>
          </w:tcPr>
          <w:p w14:paraId="25F2E71D" w14:textId="77777777" w:rsidR="00EB2D20" w:rsidRPr="002B2525" w:rsidRDefault="00EB2D20" w:rsidP="00D15A00">
            <w:pPr>
              <w:keepLines/>
              <w:spacing w:before="40" w:after="40" w:line="200" w:lineRule="atLeast"/>
              <w:rPr>
                <w:rFonts w:eastAsia="Times New Roman"/>
                <w:sz w:val="16"/>
                <w:szCs w:val="16"/>
              </w:rPr>
            </w:pPr>
            <w:r w:rsidRPr="002B2525">
              <w:rPr>
                <w:rFonts w:eastAsia="Times New Roman"/>
                <w:sz w:val="16"/>
                <w:szCs w:val="16"/>
              </w:rPr>
              <w:t>Raise awareness of the ASEAN and Mekong Program and its importance to our ASEAN interests.</w:t>
            </w:r>
          </w:p>
          <w:p w14:paraId="72990F5C" w14:textId="77777777" w:rsidR="008E3AC7" w:rsidRPr="002B2525" w:rsidRDefault="008E3AC7" w:rsidP="00D15A00">
            <w:pPr>
              <w:keepLines/>
              <w:spacing w:before="40" w:after="40" w:line="200" w:lineRule="atLeast"/>
              <w:rPr>
                <w:rFonts w:eastAsia="Times New Roman"/>
                <w:sz w:val="16"/>
                <w:szCs w:val="16"/>
              </w:rPr>
            </w:pPr>
          </w:p>
          <w:p w14:paraId="74EF35BA" w14:textId="77777777" w:rsidR="008E3AC7" w:rsidRPr="002B2525" w:rsidRDefault="008E3AC7" w:rsidP="00D15A00">
            <w:pPr>
              <w:keepLines/>
              <w:spacing w:before="40" w:after="40" w:line="200" w:lineRule="atLeast"/>
              <w:rPr>
                <w:rFonts w:eastAsia="Times New Roman"/>
                <w:sz w:val="16"/>
                <w:szCs w:val="16"/>
              </w:rPr>
            </w:pPr>
          </w:p>
        </w:tc>
        <w:tc>
          <w:tcPr>
            <w:tcW w:w="964" w:type="dxa"/>
            <w:shd w:val="clear" w:color="auto" w:fill="72AF2F"/>
          </w:tcPr>
          <w:p w14:paraId="17ED23C6" w14:textId="77777777" w:rsidR="00AF1B85" w:rsidRPr="008B539C" w:rsidRDefault="00AF1B85" w:rsidP="00D15A00">
            <w:pPr>
              <w:keepLines/>
              <w:spacing w:before="40" w:after="40" w:line="200" w:lineRule="atLeast"/>
              <w:jc w:val="center"/>
              <w:rPr>
                <w:rFonts w:asciiTheme="minorHAnsi" w:eastAsia="Times New Roman" w:hAnsiTheme="minorHAnsi"/>
                <w:iCs/>
                <w:color w:val="FFFFFF" w:themeColor="background1"/>
                <w:sz w:val="16"/>
                <w:szCs w:val="16"/>
                <w:lang w:eastAsia="en-US"/>
              </w:rPr>
            </w:pPr>
            <w:r w:rsidRPr="008B539C">
              <w:rPr>
                <w:rFonts w:asciiTheme="minorHAnsi" w:eastAsia="Times New Roman" w:hAnsiTheme="minorHAnsi"/>
                <w:iCs/>
                <w:color w:val="FFFFFF" w:themeColor="background1"/>
                <w:sz w:val="16"/>
                <w:szCs w:val="16"/>
                <w:lang w:eastAsia="en-US"/>
              </w:rPr>
              <w:t>Achieved</w:t>
            </w:r>
            <w:r w:rsidRPr="008B539C">
              <w:rPr>
                <w:rFonts w:eastAsia="Times New Roman"/>
                <w:iCs/>
                <w:color w:val="FFFFFF" w:themeColor="background1"/>
                <w:sz w:val="16"/>
                <w:szCs w:val="16"/>
              </w:rPr>
              <w:fldChar w:fldCharType="begin"/>
            </w:r>
            <w:r w:rsidRPr="008B539C">
              <w:rPr>
                <w:rFonts w:asciiTheme="minorHAnsi" w:eastAsia="Times New Roman" w:hAnsiTheme="minorHAnsi"/>
                <w:iCs/>
                <w:color w:val="FFFFFF" w:themeColor="background1"/>
                <w:sz w:val="16"/>
                <w:szCs w:val="16"/>
                <w:lang w:eastAsia="en-US"/>
              </w:rPr>
              <w:instrText xml:space="preserve"> AUTOTEXTLIST  \s "Rating bullet"\t "Right click to choose a rating" \* MERGEFORMAT </w:instrText>
            </w:r>
            <w:r w:rsidRPr="008B539C">
              <w:rPr>
                <w:rFonts w:eastAsia="Times New Roman"/>
                <w:iCs/>
                <w:color w:val="FFFFFF" w:themeColor="background1"/>
                <w:sz w:val="16"/>
                <w:szCs w:val="16"/>
              </w:rPr>
              <w:fldChar w:fldCharType="end"/>
            </w:r>
          </w:p>
        </w:tc>
        <w:tc>
          <w:tcPr>
            <w:tcW w:w="8600" w:type="dxa"/>
            <w:gridSpan w:val="2"/>
          </w:tcPr>
          <w:p w14:paraId="7F821880" w14:textId="26C0A7E1" w:rsidR="00AF1B85" w:rsidRPr="008B539C" w:rsidRDefault="00EA47D1" w:rsidP="00E92D03">
            <w:pPr>
              <w:keepLines/>
              <w:spacing w:before="40" w:after="40" w:line="200" w:lineRule="atLeast"/>
              <w:rPr>
                <w:sz w:val="16"/>
                <w:szCs w:val="16"/>
              </w:rPr>
            </w:pPr>
            <w:r>
              <w:rPr>
                <w:sz w:val="16"/>
                <w:szCs w:val="16"/>
              </w:rPr>
              <w:t xml:space="preserve">A </w:t>
            </w:r>
            <w:r w:rsidR="00AF50FD" w:rsidRPr="008B539C">
              <w:rPr>
                <w:sz w:val="16"/>
                <w:szCs w:val="16"/>
              </w:rPr>
              <w:t>new</w:t>
            </w:r>
            <w:r w:rsidR="008E3AC7" w:rsidRPr="008B539C">
              <w:rPr>
                <w:sz w:val="16"/>
                <w:szCs w:val="16"/>
              </w:rPr>
              <w:t xml:space="preserve"> program brochure </w:t>
            </w:r>
            <w:r w:rsidR="002969E5">
              <w:rPr>
                <w:sz w:val="16"/>
                <w:szCs w:val="16"/>
              </w:rPr>
              <w:t xml:space="preserve">showcasing </w:t>
            </w:r>
            <w:r w:rsidR="008E3AC7" w:rsidRPr="008B539C">
              <w:rPr>
                <w:sz w:val="16"/>
                <w:szCs w:val="16"/>
              </w:rPr>
              <w:t xml:space="preserve">investments, and </w:t>
            </w:r>
            <w:r w:rsidR="00AF50FD" w:rsidRPr="008B539C">
              <w:rPr>
                <w:sz w:val="16"/>
                <w:szCs w:val="16"/>
              </w:rPr>
              <w:t>investment</w:t>
            </w:r>
            <w:r w:rsidR="008E3AC7" w:rsidRPr="008B539C">
              <w:rPr>
                <w:sz w:val="16"/>
                <w:szCs w:val="16"/>
              </w:rPr>
              <w:t xml:space="preserve"> factsheets</w:t>
            </w:r>
            <w:r w:rsidR="00AF50FD" w:rsidRPr="008B539C">
              <w:rPr>
                <w:sz w:val="16"/>
                <w:szCs w:val="16"/>
              </w:rPr>
              <w:t xml:space="preserve"> have been</w:t>
            </w:r>
            <w:r w:rsidR="008E3AC7" w:rsidRPr="008B539C">
              <w:rPr>
                <w:sz w:val="16"/>
                <w:szCs w:val="16"/>
              </w:rPr>
              <w:t xml:space="preserve"> shared widely with </w:t>
            </w:r>
            <w:r w:rsidR="00E92D03">
              <w:rPr>
                <w:sz w:val="16"/>
                <w:szCs w:val="16"/>
              </w:rPr>
              <w:t xml:space="preserve">internal </w:t>
            </w:r>
            <w:r w:rsidR="008E3AC7" w:rsidRPr="008B539C">
              <w:rPr>
                <w:sz w:val="16"/>
                <w:szCs w:val="16"/>
              </w:rPr>
              <w:t>stakeholders</w:t>
            </w:r>
            <w:r w:rsidR="00E92D03">
              <w:rPr>
                <w:sz w:val="16"/>
                <w:szCs w:val="16"/>
              </w:rPr>
              <w:t xml:space="preserve">. </w:t>
            </w:r>
            <w:r w:rsidR="00F374F1">
              <w:rPr>
                <w:sz w:val="16"/>
                <w:szCs w:val="16"/>
              </w:rPr>
              <w:t>We have made ongoing efforts to align our program with ASEAN processes an</w:t>
            </w:r>
            <w:r w:rsidR="00E92D03">
              <w:rPr>
                <w:sz w:val="16"/>
                <w:szCs w:val="16"/>
              </w:rPr>
              <w:t>d</w:t>
            </w:r>
            <w:r w:rsidR="00F374F1">
              <w:rPr>
                <w:sz w:val="16"/>
                <w:szCs w:val="16"/>
              </w:rPr>
              <w:t xml:space="preserve"> bodies, including to reinforce the strengths of our Strategic Partnership.</w:t>
            </w:r>
            <w:r w:rsidR="00E92D03">
              <w:rPr>
                <w:sz w:val="16"/>
                <w:szCs w:val="16"/>
              </w:rPr>
              <w:t xml:space="preserve">  ASEAN partners, including at ministerial level regularly comment on the relevance and value of the programs investments. </w:t>
            </w:r>
          </w:p>
          <w:p w14:paraId="3CF2E1D5" w14:textId="77777777" w:rsidR="008E3AC7" w:rsidRPr="008B539C" w:rsidRDefault="008E3AC7" w:rsidP="00D15A00">
            <w:pPr>
              <w:keepLines/>
              <w:spacing w:before="40" w:after="40" w:line="200" w:lineRule="atLeast"/>
              <w:rPr>
                <w:rFonts w:asciiTheme="minorHAnsi" w:eastAsia="Times New Roman" w:hAnsiTheme="minorHAnsi"/>
                <w:iCs/>
                <w:color w:val="92D050"/>
                <w:sz w:val="16"/>
                <w:szCs w:val="16"/>
                <w:lang w:eastAsia="en-US"/>
              </w:rPr>
            </w:pPr>
          </w:p>
        </w:tc>
      </w:tr>
      <w:tr w:rsidR="00BF332C" w:rsidRPr="00812509" w14:paraId="594A6B77" w14:textId="77777777" w:rsidTr="00314195">
        <w:trPr>
          <w:cnfStyle w:val="000000010000" w:firstRow="0" w:lastRow="0" w:firstColumn="0" w:lastColumn="0" w:oddVBand="0" w:evenVBand="0" w:oddHBand="0" w:evenHBand="1" w:firstRowFirstColumn="0" w:firstRowLastColumn="0" w:lastRowFirstColumn="0" w:lastRowLastColumn="0"/>
        </w:trPr>
        <w:tc>
          <w:tcPr>
            <w:tcW w:w="4920" w:type="dxa"/>
          </w:tcPr>
          <w:p w14:paraId="294F710D" w14:textId="77777777" w:rsidR="00AF1B85" w:rsidRPr="002B2525" w:rsidRDefault="00EB2D20" w:rsidP="00D15A00">
            <w:pPr>
              <w:keepLines/>
              <w:spacing w:before="40" w:after="40" w:line="200" w:lineRule="atLeast"/>
              <w:rPr>
                <w:rFonts w:eastAsia="Times New Roman"/>
                <w:sz w:val="16"/>
                <w:szCs w:val="16"/>
              </w:rPr>
            </w:pPr>
            <w:r w:rsidRPr="002B2525">
              <w:rPr>
                <w:rFonts w:eastAsia="Times New Roman"/>
                <w:sz w:val="16"/>
                <w:szCs w:val="16"/>
              </w:rPr>
              <w:t>Continue to improve gender equality and women’s empowerment, disability inclusion, private sector engagement and innovation.</w:t>
            </w:r>
          </w:p>
        </w:tc>
        <w:tc>
          <w:tcPr>
            <w:tcW w:w="964" w:type="dxa"/>
            <w:shd w:val="clear" w:color="auto" w:fill="72AF2F"/>
          </w:tcPr>
          <w:p w14:paraId="67B0D3B7" w14:textId="77777777" w:rsidR="00AF1B85" w:rsidRPr="008B539C" w:rsidRDefault="00AF1B85" w:rsidP="00D15A00">
            <w:pPr>
              <w:keepLines/>
              <w:spacing w:before="40" w:after="40" w:line="200" w:lineRule="atLeast"/>
              <w:jc w:val="center"/>
              <w:rPr>
                <w:rFonts w:asciiTheme="minorHAnsi" w:eastAsia="Times New Roman" w:hAnsiTheme="minorHAnsi"/>
                <w:iCs/>
                <w:color w:val="FFFFFF" w:themeColor="background1"/>
                <w:sz w:val="16"/>
                <w:szCs w:val="16"/>
                <w:lang w:eastAsia="en-US"/>
              </w:rPr>
            </w:pPr>
            <w:r w:rsidRPr="008B539C">
              <w:rPr>
                <w:rFonts w:asciiTheme="minorHAnsi" w:eastAsia="Times New Roman" w:hAnsiTheme="minorHAnsi"/>
                <w:iCs/>
                <w:color w:val="FFFFFF" w:themeColor="background1"/>
                <w:sz w:val="16"/>
                <w:szCs w:val="16"/>
                <w:lang w:eastAsia="en-US"/>
              </w:rPr>
              <w:t>Achieved</w:t>
            </w:r>
          </w:p>
        </w:tc>
        <w:tc>
          <w:tcPr>
            <w:tcW w:w="8600" w:type="dxa"/>
            <w:gridSpan w:val="2"/>
          </w:tcPr>
          <w:p w14:paraId="05B70513" w14:textId="3970ADE6" w:rsidR="00AF1B85" w:rsidRPr="008B539C" w:rsidRDefault="008E3AC7" w:rsidP="00435E08">
            <w:pPr>
              <w:keepLines/>
              <w:spacing w:before="40" w:after="40" w:line="200" w:lineRule="atLeast"/>
              <w:rPr>
                <w:sz w:val="16"/>
                <w:szCs w:val="16"/>
              </w:rPr>
            </w:pPr>
            <w:r w:rsidRPr="008B539C">
              <w:rPr>
                <w:sz w:val="16"/>
                <w:szCs w:val="16"/>
              </w:rPr>
              <w:t>We continued to en</w:t>
            </w:r>
            <w:r w:rsidR="00AF50FD" w:rsidRPr="008B539C">
              <w:rPr>
                <w:sz w:val="16"/>
                <w:szCs w:val="16"/>
              </w:rPr>
              <w:t xml:space="preserve">sure </w:t>
            </w:r>
            <w:r w:rsidRPr="008B539C">
              <w:rPr>
                <w:sz w:val="16"/>
                <w:szCs w:val="16"/>
              </w:rPr>
              <w:t xml:space="preserve">partners </w:t>
            </w:r>
            <w:r w:rsidR="00A73ECA" w:rsidRPr="008B539C">
              <w:rPr>
                <w:sz w:val="16"/>
                <w:szCs w:val="16"/>
              </w:rPr>
              <w:t>dedicate</w:t>
            </w:r>
            <w:r w:rsidR="00AF50FD" w:rsidRPr="008B539C">
              <w:rPr>
                <w:sz w:val="16"/>
                <w:szCs w:val="16"/>
              </w:rPr>
              <w:t xml:space="preserve"> adequate</w:t>
            </w:r>
            <w:r w:rsidR="00A73ECA" w:rsidRPr="008B539C">
              <w:rPr>
                <w:sz w:val="16"/>
                <w:szCs w:val="16"/>
              </w:rPr>
              <w:t xml:space="preserve"> resources to improving gender equality, </w:t>
            </w:r>
            <w:r w:rsidR="00E92D03">
              <w:rPr>
                <w:sz w:val="16"/>
                <w:szCs w:val="16"/>
              </w:rPr>
              <w:t xml:space="preserve">and to encourage the inclusion of </w:t>
            </w:r>
            <w:r w:rsidRPr="008B539C">
              <w:rPr>
                <w:sz w:val="16"/>
                <w:szCs w:val="16"/>
              </w:rPr>
              <w:t>representatives from disabled people</w:t>
            </w:r>
            <w:r w:rsidR="00A73ECA" w:rsidRPr="008B539C">
              <w:rPr>
                <w:sz w:val="16"/>
                <w:szCs w:val="16"/>
              </w:rPr>
              <w:t>’</w:t>
            </w:r>
            <w:r w:rsidRPr="008B539C">
              <w:rPr>
                <w:sz w:val="16"/>
                <w:szCs w:val="16"/>
              </w:rPr>
              <w:t>s organisation</w:t>
            </w:r>
            <w:r w:rsidR="0032566E" w:rsidRPr="008B539C">
              <w:rPr>
                <w:sz w:val="16"/>
                <w:szCs w:val="16"/>
              </w:rPr>
              <w:t xml:space="preserve"> (DPO)</w:t>
            </w:r>
            <w:r w:rsidRPr="008B539C">
              <w:rPr>
                <w:sz w:val="16"/>
                <w:szCs w:val="16"/>
              </w:rPr>
              <w:t xml:space="preserve"> in planning and program activities, as well as collecting disaggregated data where feasible. </w:t>
            </w:r>
            <w:r w:rsidR="00F374F1">
              <w:rPr>
                <w:sz w:val="16"/>
                <w:szCs w:val="16"/>
              </w:rPr>
              <w:t>We fund</w:t>
            </w:r>
            <w:r w:rsidR="00435E08">
              <w:rPr>
                <w:sz w:val="16"/>
                <w:szCs w:val="16"/>
              </w:rPr>
              <w:t>ed</w:t>
            </w:r>
            <w:r w:rsidR="00F374F1">
              <w:rPr>
                <w:sz w:val="16"/>
                <w:szCs w:val="16"/>
              </w:rPr>
              <w:t xml:space="preserve"> a </w:t>
            </w:r>
            <w:r w:rsidR="0032566E" w:rsidRPr="008B539C">
              <w:rPr>
                <w:sz w:val="16"/>
                <w:szCs w:val="16"/>
              </w:rPr>
              <w:t xml:space="preserve">Disability Rights in ASEAN project </w:t>
            </w:r>
            <w:r w:rsidR="00435E08">
              <w:rPr>
                <w:sz w:val="16"/>
                <w:szCs w:val="16"/>
              </w:rPr>
              <w:t>to support D</w:t>
            </w:r>
            <w:r w:rsidR="0032566E" w:rsidRPr="008B539C">
              <w:rPr>
                <w:sz w:val="16"/>
                <w:szCs w:val="16"/>
              </w:rPr>
              <w:t xml:space="preserve">POs </w:t>
            </w:r>
            <w:r w:rsidR="00EA47D1">
              <w:rPr>
                <w:sz w:val="16"/>
                <w:szCs w:val="16"/>
              </w:rPr>
              <w:t xml:space="preserve">to </w:t>
            </w:r>
            <w:r w:rsidR="0032566E" w:rsidRPr="008B539C">
              <w:rPr>
                <w:sz w:val="16"/>
                <w:szCs w:val="16"/>
              </w:rPr>
              <w:t xml:space="preserve">participate in key activities </w:t>
            </w:r>
            <w:r w:rsidR="00EA47D1">
              <w:rPr>
                <w:sz w:val="16"/>
                <w:szCs w:val="16"/>
              </w:rPr>
              <w:t xml:space="preserve">of </w:t>
            </w:r>
            <w:r w:rsidR="0032566E" w:rsidRPr="008B539C">
              <w:rPr>
                <w:sz w:val="16"/>
                <w:szCs w:val="16"/>
              </w:rPr>
              <w:t>AICHR aimed</w:t>
            </w:r>
            <w:r w:rsidR="00EA47D1">
              <w:rPr>
                <w:sz w:val="16"/>
                <w:szCs w:val="16"/>
              </w:rPr>
              <w:t xml:space="preserve"> at</w:t>
            </w:r>
            <w:r w:rsidR="0032566E" w:rsidRPr="008B539C">
              <w:rPr>
                <w:sz w:val="16"/>
                <w:szCs w:val="16"/>
              </w:rPr>
              <w:t xml:space="preserve"> mainstream</w:t>
            </w:r>
            <w:r w:rsidR="00EA47D1">
              <w:rPr>
                <w:sz w:val="16"/>
                <w:szCs w:val="16"/>
              </w:rPr>
              <w:t>ing</w:t>
            </w:r>
            <w:r w:rsidR="0032566E" w:rsidRPr="008B539C">
              <w:rPr>
                <w:sz w:val="16"/>
                <w:szCs w:val="16"/>
              </w:rPr>
              <w:t xml:space="preserve"> disability rights across ASEAN. </w:t>
            </w:r>
            <w:r w:rsidR="00A73ECA" w:rsidRPr="008B539C">
              <w:rPr>
                <w:sz w:val="16"/>
                <w:szCs w:val="16"/>
              </w:rPr>
              <w:t>MBI</w:t>
            </w:r>
            <w:r w:rsidR="00D75A11" w:rsidRPr="008B539C">
              <w:rPr>
                <w:sz w:val="16"/>
                <w:szCs w:val="16"/>
              </w:rPr>
              <w:t>,</w:t>
            </w:r>
            <w:r w:rsidR="00A73ECA" w:rsidRPr="008B539C">
              <w:rPr>
                <w:sz w:val="16"/>
                <w:szCs w:val="16"/>
              </w:rPr>
              <w:t xml:space="preserve"> SHIFT </w:t>
            </w:r>
            <w:r w:rsidR="00D75A11" w:rsidRPr="008B539C">
              <w:rPr>
                <w:sz w:val="16"/>
                <w:szCs w:val="16"/>
              </w:rPr>
              <w:t xml:space="preserve">and IFC’s Sustainable Hydropower Programs </w:t>
            </w:r>
            <w:r w:rsidR="00A73ECA" w:rsidRPr="008B539C">
              <w:rPr>
                <w:sz w:val="16"/>
                <w:szCs w:val="16"/>
              </w:rPr>
              <w:t xml:space="preserve">are explicitly designed to engage the private sector and support innovation, </w:t>
            </w:r>
            <w:r w:rsidR="002969E5">
              <w:rPr>
                <w:sz w:val="16"/>
                <w:szCs w:val="16"/>
              </w:rPr>
              <w:t xml:space="preserve">while </w:t>
            </w:r>
            <w:r w:rsidR="00A73ECA" w:rsidRPr="008B539C">
              <w:rPr>
                <w:sz w:val="16"/>
                <w:szCs w:val="16"/>
              </w:rPr>
              <w:t>TRIANGLE</w:t>
            </w:r>
            <w:r w:rsidR="002969E5">
              <w:rPr>
                <w:sz w:val="16"/>
                <w:szCs w:val="16"/>
              </w:rPr>
              <w:t xml:space="preserve"> in ASEAN</w:t>
            </w:r>
            <w:r w:rsidR="00A73ECA" w:rsidRPr="008B539C">
              <w:rPr>
                <w:sz w:val="16"/>
                <w:szCs w:val="16"/>
              </w:rPr>
              <w:t xml:space="preserve"> has </w:t>
            </w:r>
            <w:r w:rsidR="00C2342E" w:rsidRPr="008B539C">
              <w:rPr>
                <w:sz w:val="16"/>
                <w:szCs w:val="16"/>
              </w:rPr>
              <w:t>developed</w:t>
            </w:r>
            <w:r w:rsidR="00A73ECA" w:rsidRPr="008B539C">
              <w:rPr>
                <w:sz w:val="16"/>
                <w:szCs w:val="16"/>
              </w:rPr>
              <w:t xml:space="preserve"> a private sector engagement strategy.</w:t>
            </w:r>
          </w:p>
        </w:tc>
      </w:tr>
      <w:tr w:rsidR="00BF332C" w:rsidRPr="00812509" w14:paraId="445ABB43" w14:textId="77777777" w:rsidTr="00314195">
        <w:trPr>
          <w:cnfStyle w:val="000000010000" w:firstRow="0" w:lastRow="0" w:firstColumn="0" w:lastColumn="0" w:oddVBand="0" w:evenVBand="0" w:oddHBand="0" w:evenHBand="1" w:firstRowFirstColumn="0" w:firstRowLastColumn="0" w:lastRowFirstColumn="0" w:lastRowLastColumn="0"/>
        </w:trPr>
        <w:tc>
          <w:tcPr>
            <w:tcW w:w="4920" w:type="dxa"/>
          </w:tcPr>
          <w:p w14:paraId="17098B9A" w14:textId="77777777" w:rsidR="00AF1B85" w:rsidRPr="002B2525" w:rsidRDefault="00EB2D20" w:rsidP="00D15A00">
            <w:pPr>
              <w:keepLines/>
              <w:spacing w:before="40" w:after="40" w:line="200" w:lineRule="atLeast"/>
              <w:rPr>
                <w:rFonts w:eastAsia="Times New Roman"/>
                <w:sz w:val="16"/>
                <w:szCs w:val="16"/>
              </w:rPr>
            </w:pPr>
            <w:r w:rsidRPr="002B2525">
              <w:rPr>
                <w:rFonts w:eastAsia="Times New Roman"/>
                <w:sz w:val="16"/>
                <w:szCs w:val="16"/>
              </w:rPr>
              <w:t>Improve linkages with Australia’s bilateral programs.</w:t>
            </w:r>
          </w:p>
        </w:tc>
        <w:tc>
          <w:tcPr>
            <w:tcW w:w="964" w:type="dxa"/>
            <w:shd w:val="clear" w:color="auto" w:fill="E36C0A"/>
          </w:tcPr>
          <w:p w14:paraId="643D3E7A" w14:textId="77777777" w:rsidR="00AF1B85" w:rsidRPr="008B539C" w:rsidRDefault="00AF1B85" w:rsidP="00D15A00">
            <w:pPr>
              <w:keepLines/>
              <w:spacing w:before="40" w:after="40" w:line="200" w:lineRule="atLeast"/>
              <w:jc w:val="center"/>
              <w:rPr>
                <w:rFonts w:asciiTheme="minorHAnsi" w:eastAsia="Times New Roman" w:hAnsiTheme="minorHAnsi"/>
                <w:iCs/>
                <w:color w:val="FFFFFF" w:themeColor="background1"/>
                <w:sz w:val="16"/>
                <w:szCs w:val="16"/>
                <w:lang w:eastAsia="en-US"/>
              </w:rPr>
            </w:pPr>
            <w:r w:rsidRPr="008B539C">
              <w:rPr>
                <w:rFonts w:asciiTheme="minorHAnsi" w:eastAsia="Times New Roman" w:hAnsiTheme="minorHAnsi"/>
                <w:iCs/>
                <w:color w:val="FFFFFF" w:themeColor="background1"/>
                <w:sz w:val="16"/>
                <w:szCs w:val="16"/>
                <w:lang w:eastAsia="en-US"/>
              </w:rPr>
              <w:t>Partly achieved</w:t>
            </w:r>
          </w:p>
        </w:tc>
        <w:tc>
          <w:tcPr>
            <w:tcW w:w="8600" w:type="dxa"/>
            <w:gridSpan w:val="2"/>
          </w:tcPr>
          <w:p w14:paraId="1C92BC9E" w14:textId="2517174F" w:rsidR="00AF1B85" w:rsidRPr="008B539C" w:rsidRDefault="00BC3BBE" w:rsidP="00435E08">
            <w:pPr>
              <w:keepLines/>
              <w:spacing w:before="40" w:after="40" w:line="200" w:lineRule="atLeast"/>
              <w:rPr>
                <w:sz w:val="16"/>
                <w:szCs w:val="16"/>
              </w:rPr>
            </w:pPr>
            <w:r w:rsidRPr="008B539C">
              <w:rPr>
                <w:sz w:val="16"/>
                <w:szCs w:val="16"/>
              </w:rPr>
              <w:t>Bilateral Posts are actively engaged on topics of mutual interest and</w:t>
            </w:r>
            <w:r w:rsidR="00375E2D" w:rsidRPr="008B539C">
              <w:rPr>
                <w:sz w:val="16"/>
                <w:szCs w:val="16"/>
              </w:rPr>
              <w:t xml:space="preserve"> our programs provide support</w:t>
            </w:r>
            <w:r w:rsidR="00394253" w:rsidRPr="008B539C">
              <w:rPr>
                <w:sz w:val="16"/>
                <w:szCs w:val="16"/>
              </w:rPr>
              <w:t xml:space="preserve"> as needed</w:t>
            </w:r>
            <w:r w:rsidR="00375E2D" w:rsidRPr="008B539C">
              <w:rPr>
                <w:sz w:val="16"/>
                <w:szCs w:val="16"/>
              </w:rPr>
              <w:t xml:space="preserve">: </w:t>
            </w:r>
            <w:r w:rsidR="00394253" w:rsidRPr="008B539C">
              <w:rPr>
                <w:sz w:val="16"/>
                <w:szCs w:val="16"/>
              </w:rPr>
              <w:t xml:space="preserve">for example </w:t>
            </w:r>
            <w:r w:rsidR="00375E2D" w:rsidRPr="008B539C">
              <w:rPr>
                <w:sz w:val="16"/>
                <w:szCs w:val="16"/>
              </w:rPr>
              <w:t>SHIFT supported Yangon Post with their Gender Equality Fund proposal</w:t>
            </w:r>
            <w:r w:rsidR="00C2342E" w:rsidRPr="008B539C">
              <w:rPr>
                <w:sz w:val="16"/>
                <w:szCs w:val="16"/>
              </w:rPr>
              <w:t xml:space="preserve"> and worked closely with Jakarta Post on Disability Rights in ASEAN</w:t>
            </w:r>
            <w:r w:rsidR="00D75A11" w:rsidRPr="008B539C">
              <w:rPr>
                <w:sz w:val="16"/>
                <w:szCs w:val="16"/>
              </w:rPr>
              <w:t>; Hanoi Post is actively engaged with GMWRP in responding to the Government of Vietnam’s request for support on irrigation law implementation. Yangon Post and GMWRP work together closely to oversee the Australian water investments in Myanmar</w:t>
            </w:r>
            <w:r w:rsidR="00375E2D" w:rsidRPr="008B539C">
              <w:rPr>
                <w:sz w:val="16"/>
                <w:szCs w:val="16"/>
              </w:rPr>
              <w:t>. The A</w:t>
            </w:r>
            <w:r w:rsidRPr="008B539C">
              <w:rPr>
                <w:sz w:val="16"/>
                <w:szCs w:val="16"/>
              </w:rPr>
              <w:t>SEAN</w:t>
            </w:r>
            <w:r w:rsidR="00375E2D" w:rsidRPr="008B539C">
              <w:rPr>
                <w:sz w:val="16"/>
                <w:szCs w:val="16"/>
              </w:rPr>
              <w:t xml:space="preserve"> mission regularly</w:t>
            </w:r>
            <w:r w:rsidRPr="008B539C">
              <w:rPr>
                <w:sz w:val="16"/>
                <w:szCs w:val="16"/>
              </w:rPr>
              <w:t xml:space="preserve"> identifies representation opp</w:t>
            </w:r>
            <w:r w:rsidR="00375E2D" w:rsidRPr="008B539C">
              <w:rPr>
                <w:sz w:val="16"/>
                <w:szCs w:val="16"/>
              </w:rPr>
              <w:t>ortunities for bilateral posts and the ASEAN mission’s</w:t>
            </w:r>
            <w:r w:rsidR="00CB76F4" w:rsidRPr="008B539C">
              <w:rPr>
                <w:sz w:val="16"/>
                <w:szCs w:val="16"/>
              </w:rPr>
              <w:t xml:space="preserve"> invest</w:t>
            </w:r>
            <w:r w:rsidR="00AA2AC7" w:rsidRPr="008B539C">
              <w:rPr>
                <w:sz w:val="16"/>
                <w:szCs w:val="16"/>
              </w:rPr>
              <w:t xml:space="preserve">ment factsheets provide posts with relevant information to communicate </w:t>
            </w:r>
            <w:r w:rsidR="00CB76F4" w:rsidRPr="008B539C">
              <w:rPr>
                <w:sz w:val="16"/>
                <w:szCs w:val="16"/>
              </w:rPr>
              <w:t xml:space="preserve">how </w:t>
            </w:r>
            <w:r w:rsidR="00AA2AC7" w:rsidRPr="008B539C">
              <w:rPr>
                <w:sz w:val="16"/>
                <w:szCs w:val="16"/>
              </w:rPr>
              <w:t xml:space="preserve">regional </w:t>
            </w:r>
            <w:r w:rsidR="00CB76F4" w:rsidRPr="008B539C">
              <w:rPr>
                <w:sz w:val="16"/>
                <w:szCs w:val="16"/>
              </w:rPr>
              <w:t>investment</w:t>
            </w:r>
            <w:r w:rsidR="00435E08">
              <w:rPr>
                <w:sz w:val="16"/>
                <w:szCs w:val="16"/>
              </w:rPr>
              <w:t>s are</w:t>
            </w:r>
            <w:r w:rsidRPr="008B539C">
              <w:rPr>
                <w:sz w:val="16"/>
                <w:szCs w:val="16"/>
              </w:rPr>
              <w:t xml:space="preserve"> being</w:t>
            </w:r>
            <w:r w:rsidR="00CB76F4" w:rsidRPr="008B539C">
              <w:rPr>
                <w:sz w:val="16"/>
                <w:szCs w:val="16"/>
              </w:rPr>
              <w:t xml:space="preserve"> implement</w:t>
            </w:r>
            <w:r w:rsidR="00AA2AC7" w:rsidRPr="008B539C">
              <w:rPr>
                <w:sz w:val="16"/>
                <w:szCs w:val="16"/>
              </w:rPr>
              <w:t>ed</w:t>
            </w:r>
            <w:r w:rsidR="00CB76F4" w:rsidRPr="008B539C">
              <w:rPr>
                <w:sz w:val="16"/>
                <w:szCs w:val="16"/>
              </w:rPr>
              <w:t xml:space="preserve"> bilaterally</w:t>
            </w:r>
            <w:r w:rsidR="00AA2AC7" w:rsidRPr="008B539C">
              <w:rPr>
                <w:sz w:val="16"/>
                <w:szCs w:val="16"/>
              </w:rPr>
              <w:t>,</w:t>
            </w:r>
            <w:r w:rsidR="00CB76F4" w:rsidRPr="008B539C">
              <w:rPr>
                <w:sz w:val="16"/>
                <w:szCs w:val="16"/>
              </w:rPr>
              <w:t xml:space="preserve"> and how this links to regional ASEAN programming. </w:t>
            </w:r>
            <w:r w:rsidR="00F374F1">
              <w:rPr>
                <w:sz w:val="16"/>
                <w:szCs w:val="16"/>
              </w:rPr>
              <w:t>This will remain a management action for 2017-18.</w:t>
            </w:r>
          </w:p>
        </w:tc>
      </w:tr>
      <w:tr w:rsidR="00EB2D20" w:rsidRPr="00812509" w14:paraId="78DDC2E7" w14:textId="77777777" w:rsidTr="00314195">
        <w:trPr>
          <w:gridAfter w:val="1"/>
          <w:cnfStyle w:val="000000010000" w:firstRow="0" w:lastRow="0" w:firstColumn="0" w:lastColumn="0" w:oddVBand="0" w:evenVBand="0" w:oddHBand="0" w:evenHBand="1" w:firstRowFirstColumn="0" w:firstRowLastColumn="0" w:lastRowFirstColumn="0" w:lastRowLastColumn="0"/>
          <w:wAfter w:w="1500" w:type="dxa"/>
        </w:trPr>
        <w:tc>
          <w:tcPr>
            <w:tcW w:w="4920" w:type="dxa"/>
          </w:tcPr>
          <w:p w14:paraId="67CEC637" w14:textId="77777777" w:rsidR="00EB2D20" w:rsidRPr="008B539C" w:rsidRDefault="00EB2D20" w:rsidP="00D15A00">
            <w:pPr>
              <w:keepLines/>
              <w:spacing w:before="40" w:after="40" w:line="200" w:lineRule="atLeast"/>
              <w:rPr>
                <w:rFonts w:asciiTheme="minorHAnsi" w:eastAsia="Times New Roman" w:hAnsiTheme="minorHAnsi"/>
                <w:iCs/>
                <w:sz w:val="16"/>
                <w:szCs w:val="16"/>
                <w:lang w:eastAsia="en-US"/>
              </w:rPr>
            </w:pPr>
          </w:p>
        </w:tc>
        <w:tc>
          <w:tcPr>
            <w:tcW w:w="8064" w:type="dxa"/>
            <w:gridSpan w:val="2"/>
          </w:tcPr>
          <w:p w14:paraId="029713C3" w14:textId="77777777" w:rsidR="00EB2D20" w:rsidRPr="008B539C" w:rsidRDefault="00EB2D20" w:rsidP="00D15A00">
            <w:pPr>
              <w:keepLines/>
              <w:spacing w:before="40" w:after="40" w:line="200" w:lineRule="atLeast"/>
              <w:rPr>
                <w:rFonts w:asciiTheme="minorHAnsi" w:eastAsia="Times New Roman" w:hAnsiTheme="minorHAnsi"/>
                <w:iCs/>
                <w:color w:val="409F68" w:themeColor="accent6"/>
                <w:sz w:val="16"/>
                <w:szCs w:val="16"/>
                <w:lang w:eastAsia="en-US"/>
              </w:rPr>
            </w:pPr>
          </w:p>
        </w:tc>
      </w:tr>
    </w:tbl>
    <w:p w14:paraId="6E8B186B"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6934C56B" w14:textId="6F2775E8" w:rsidR="00AF1B85" w:rsidRPr="00812509" w:rsidRDefault="00AF1B85" w:rsidP="0090614E">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r w:rsidR="00D75A11">
        <w:rPr>
          <w:rFonts w:eastAsia="Times New Roman"/>
          <w:b/>
          <w:sz w:val="16"/>
          <w:szCs w:val="14"/>
        </w:rPr>
        <w:t xml:space="preserve"> </w:t>
      </w:r>
      <w:r w:rsidR="0090614E">
        <w:rPr>
          <w:rFonts w:eastAsia="Times New Roman"/>
          <w:b/>
          <w:sz w:val="16"/>
          <w:szCs w:val="14"/>
        </w:rPr>
        <w:br/>
      </w: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28868026" w14:textId="77777777" w:rsidR="00D00802" w:rsidRPr="005934D4" w:rsidRDefault="00AF1B85" w:rsidP="0090614E">
      <w:pPr>
        <w:spacing w:before="20" w:after="20" w:line="180" w:lineRule="atLeast"/>
        <w:rPr>
          <w:rFonts w:eastAsia="Times New Roman"/>
          <w:b/>
          <w:sz w:val="16"/>
          <w:szCs w:val="14"/>
        </w:rPr>
        <w:sectPr w:rsidR="00D00802" w:rsidRPr="005934D4" w:rsidSect="009D04FF">
          <w:pgSz w:w="16838" w:h="11906" w:orient="landscape" w:code="9"/>
          <w:pgMar w:top="1134" w:right="1952" w:bottom="1134" w:left="851" w:header="1107" w:footer="567" w:gutter="0"/>
          <w:cols w:space="397"/>
          <w:titlePg/>
          <w:docGrid w:linePitch="360"/>
        </w:sect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w:t>
      </w:r>
      <w:r w:rsidR="005934D4">
        <w:rPr>
          <w:rFonts w:eastAsia="Times New Roman"/>
          <w:b/>
          <w:sz w:val="16"/>
          <w:szCs w:val="14"/>
        </w:rPr>
        <w:t>ignificantly below expectations</w:t>
      </w:r>
    </w:p>
    <w:p w14:paraId="4AEF0952" w14:textId="77777777" w:rsidR="00184F1E" w:rsidRPr="003F1811" w:rsidRDefault="00184F1E" w:rsidP="003F1811">
      <w:pPr>
        <w:pStyle w:val="Subtitle"/>
        <w:rPr>
          <w:sz w:val="28"/>
          <w:szCs w:val="28"/>
        </w:rPr>
      </w:pPr>
      <w:r w:rsidRPr="003F1811">
        <w:rPr>
          <w:sz w:val="28"/>
          <w:szCs w:val="28"/>
        </w:rPr>
        <w:lastRenderedPageBreak/>
        <w:t>Annex B – PERFORMANCE BENCHMARKS</w:t>
      </w:r>
      <w:r w:rsidR="00BF7CEC" w:rsidRPr="003F1811">
        <w:rPr>
          <w:sz w:val="28"/>
          <w:szCs w:val="28"/>
        </w:rPr>
        <w:t xml:space="preserve"> </w:t>
      </w:r>
      <w:r w:rsidR="00E0682F" w:rsidRPr="003F1811">
        <w:rPr>
          <w:sz w:val="28"/>
          <w:szCs w:val="28"/>
        </w:rPr>
        <w:t xml:space="preserve">- </w:t>
      </w:r>
      <w:r w:rsidRPr="003F1811">
        <w:rPr>
          <w:sz w:val="28"/>
          <w:szCs w:val="28"/>
        </w:rPr>
        <w:t>Progress towards Performance Benchmarks in 2016-17</w:t>
      </w:r>
    </w:p>
    <w:tbl>
      <w:tblPr>
        <w:tblStyle w:val="DFATTable"/>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431"/>
        <w:gridCol w:w="1383"/>
        <w:gridCol w:w="8742"/>
      </w:tblGrid>
      <w:tr w:rsidR="00184F1E" w:rsidRPr="00C61187" w14:paraId="53FACEA8" w14:textId="77777777" w:rsidTr="00564DEC">
        <w:trPr>
          <w:trHeight w:val="369"/>
          <w:tblHeader/>
        </w:trPr>
        <w:tc>
          <w:tcPr>
            <w:tcW w:w="734" w:type="pct"/>
            <w:tcMar>
              <w:top w:w="57" w:type="dxa"/>
              <w:bottom w:w="57" w:type="dxa"/>
            </w:tcMar>
          </w:tcPr>
          <w:p w14:paraId="4F456E9F" w14:textId="77777777" w:rsidR="00184F1E" w:rsidRPr="00880004" w:rsidRDefault="00184F1E" w:rsidP="00A43D45">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826" w:type="pct"/>
          </w:tcPr>
          <w:p w14:paraId="35B1AFD1" w14:textId="77777777" w:rsidR="00184F1E" w:rsidRPr="00880004" w:rsidRDefault="00184F1E" w:rsidP="00A43D45">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70" w:type="pct"/>
          </w:tcPr>
          <w:p w14:paraId="7CB2A789" w14:textId="77777777" w:rsidR="00184F1E" w:rsidRPr="00880004" w:rsidRDefault="00184F1E" w:rsidP="00A43D45">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Pr>
          <w:p w14:paraId="6CD21EF7" w14:textId="77777777" w:rsidR="00184F1E" w:rsidRPr="00880004" w:rsidRDefault="00184F1E" w:rsidP="00A43D45">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Pr>
                <w:rFonts w:asciiTheme="minorHAnsi" w:eastAsia="Times New Roman" w:hAnsiTheme="minorHAnsi"/>
                <w:b/>
                <w:iCs/>
                <w:szCs w:val="17"/>
                <w:lang w:eastAsia="en-US"/>
              </w:rPr>
              <w:t>7</w:t>
            </w:r>
          </w:p>
        </w:tc>
      </w:tr>
      <w:tr w:rsidR="00BF7CEC" w:rsidRPr="00C61187" w14:paraId="2520A090" w14:textId="77777777" w:rsidTr="00564DEC">
        <w:trPr>
          <w:trHeight w:val="1338"/>
        </w:trPr>
        <w:tc>
          <w:tcPr>
            <w:tcW w:w="734" w:type="pct"/>
            <w:tcMar>
              <w:top w:w="57" w:type="dxa"/>
              <w:bottom w:w="57" w:type="dxa"/>
            </w:tcMar>
          </w:tcPr>
          <w:p w14:paraId="57D6F6A5" w14:textId="77777777" w:rsidR="00BF7CEC" w:rsidRPr="001C70C5" w:rsidRDefault="00BF7CEC" w:rsidP="00BF7CEC">
            <w:pPr>
              <w:keepLines/>
              <w:spacing w:before="40" w:after="40" w:line="200" w:lineRule="atLeast"/>
              <w:rPr>
                <w:rFonts w:asciiTheme="minorHAnsi" w:eastAsia="Times New Roman" w:hAnsiTheme="minorHAnsi"/>
                <w:iCs/>
                <w:sz w:val="16"/>
                <w:szCs w:val="16"/>
                <w:lang w:eastAsia="en-US"/>
              </w:rPr>
            </w:pPr>
            <w:r w:rsidRPr="001C70C5">
              <w:rPr>
                <w:rFonts w:asciiTheme="minorHAnsi" w:eastAsia="Times New Roman" w:hAnsiTheme="minorHAnsi"/>
                <w:b/>
                <w:iCs/>
                <w:sz w:val="16"/>
                <w:szCs w:val="16"/>
                <w:lang w:eastAsia="en-US"/>
              </w:rPr>
              <w:t xml:space="preserve">Enabling regional economic cooperation and inclusive growth </w:t>
            </w:r>
          </w:p>
        </w:tc>
        <w:tc>
          <w:tcPr>
            <w:tcW w:w="826" w:type="pct"/>
          </w:tcPr>
          <w:p w14:paraId="6CC0FC31" w14:textId="77777777" w:rsidR="00BF7CEC" w:rsidRPr="008609C3" w:rsidRDefault="00BF7CEC" w:rsidP="00BF7CEC">
            <w:pPr>
              <w:keepLines/>
              <w:spacing w:before="40" w:after="40" w:line="200" w:lineRule="atLeast"/>
              <w:rPr>
                <w:rFonts w:ascii="Franklin Gothic Book" w:hAnsi="Franklin Gothic Book"/>
                <w:sz w:val="16"/>
                <w:szCs w:val="16"/>
              </w:rPr>
            </w:pPr>
            <w:r w:rsidRPr="008609C3">
              <w:rPr>
                <w:rFonts w:ascii="Franklin Gothic Book" w:hAnsi="Franklin Gothic Book"/>
                <w:sz w:val="16"/>
                <w:szCs w:val="16"/>
              </w:rPr>
              <w:t>Australia’s economic research, policy advice and implementation is high quality, timely and supports priority AEC issues</w:t>
            </w:r>
          </w:p>
        </w:tc>
        <w:tc>
          <w:tcPr>
            <w:tcW w:w="470" w:type="pct"/>
            <w:shd w:val="clear" w:color="auto" w:fill="7FB64D" w:themeFill="accent3" w:themeFillShade="BF"/>
          </w:tcPr>
          <w:p w14:paraId="4297E55A" w14:textId="77777777" w:rsidR="00BF7CEC" w:rsidRPr="001C70C5" w:rsidRDefault="00BF7CEC" w:rsidP="00BF7CEC">
            <w:pPr>
              <w:keepLines/>
              <w:spacing w:before="40" w:after="40" w:line="200" w:lineRule="atLeast"/>
              <w:jc w:val="center"/>
              <w:rPr>
                <w:rFonts w:asciiTheme="minorHAnsi" w:eastAsia="Times New Roman" w:hAnsiTheme="minorHAnsi"/>
                <w:iCs/>
                <w:color w:val="FFFFFF" w:themeColor="background1"/>
                <w:sz w:val="16"/>
                <w:szCs w:val="16"/>
                <w:lang w:eastAsia="en-US"/>
              </w:rPr>
            </w:pPr>
            <w:r w:rsidRPr="001C70C5">
              <w:rPr>
                <w:rFonts w:asciiTheme="minorHAnsi" w:eastAsia="Times New Roman" w:hAnsiTheme="minorHAnsi"/>
                <w:iCs/>
                <w:color w:val="FFFFFF" w:themeColor="background1"/>
                <w:sz w:val="16"/>
                <w:szCs w:val="16"/>
                <w:lang w:eastAsia="en-US"/>
              </w:rPr>
              <w:t>Achieved</w:t>
            </w:r>
          </w:p>
        </w:tc>
        <w:tc>
          <w:tcPr>
            <w:tcW w:w="2970" w:type="pct"/>
          </w:tcPr>
          <w:p w14:paraId="584689C8" w14:textId="0242CB74" w:rsidR="00BF7CEC" w:rsidRPr="002B2525" w:rsidRDefault="00D355C4" w:rsidP="009242E8">
            <w:pPr>
              <w:keepLines/>
              <w:spacing w:before="40" w:after="40" w:line="200" w:lineRule="atLeast"/>
              <w:rPr>
                <w:rFonts w:ascii="Franklin Gothic Book" w:hAnsi="Franklin Gothic Book"/>
                <w:sz w:val="16"/>
                <w:szCs w:val="16"/>
              </w:rPr>
            </w:pPr>
            <w:r>
              <w:rPr>
                <w:rFonts w:ascii="Franklin Gothic Book" w:hAnsi="Franklin Gothic Book"/>
                <w:sz w:val="16"/>
                <w:szCs w:val="16"/>
              </w:rPr>
              <w:t xml:space="preserve">AADCP II is meeting its performance benchmark. It supported </w:t>
            </w:r>
            <w:r w:rsidR="0036148B" w:rsidRPr="0036148B">
              <w:rPr>
                <w:rFonts w:ascii="Franklin Gothic Book" w:hAnsi="Franklin Gothic Book"/>
                <w:sz w:val="16"/>
                <w:szCs w:val="16"/>
              </w:rPr>
              <w:t>the development and implementation of the Master Plan on ASEAN Connectivity 2025 and the third Work Plan for the Initiative for ASEAN Integration which were high quality policy frameworks adopted by ASEAN Leaders at their 2016 Summit</w:t>
            </w:r>
            <w:r w:rsidR="00F374F1">
              <w:rPr>
                <w:rFonts w:ascii="Franklin Gothic Book" w:hAnsi="Franklin Gothic Book"/>
                <w:sz w:val="16"/>
                <w:szCs w:val="16"/>
              </w:rPr>
              <w:t xml:space="preserve"> in support of </w:t>
            </w:r>
            <w:r w:rsidR="0036148B" w:rsidRPr="0036148B">
              <w:rPr>
                <w:rFonts w:ascii="Franklin Gothic Book" w:hAnsi="Franklin Gothic Book"/>
                <w:sz w:val="16"/>
                <w:szCs w:val="16"/>
              </w:rPr>
              <w:t>ASEAN's ten year vision for the ASEAN Community These outputs therefore represent a highpoint for the program in terms of supporting priority AEC issues.</w:t>
            </w:r>
            <w:r w:rsidR="0036148B">
              <w:t xml:space="preserve">  </w:t>
            </w:r>
          </w:p>
        </w:tc>
      </w:tr>
      <w:tr w:rsidR="00BF7CEC" w:rsidRPr="00C61187" w14:paraId="77FDED09" w14:textId="77777777" w:rsidTr="00564DEC">
        <w:trPr>
          <w:trHeight w:val="927"/>
        </w:trPr>
        <w:tc>
          <w:tcPr>
            <w:tcW w:w="734" w:type="pct"/>
            <w:tcMar>
              <w:top w:w="57" w:type="dxa"/>
              <w:bottom w:w="57" w:type="dxa"/>
            </w:tcMar>
          </w:tcPr>
          <w:p w14:paraId="6FBC8528" w14:textId="77777777" w:rsidR="00BF7CEC" w:rsidRPr="001C70C5" w:rsidRDefault="00BF7CEC" w:rsidP="00BF7CEC">
            <w:pPr>
              <w:keepLines/>
              <w:spacing w:before="40" w:after="40" w:line="200" w:lineRule="atLeast"/>
              <w:rPr>
                <w:rFonts w:asciiTheme="minorHAnsi" w:eastAsia="Times New Roman" w:hAnsiTheme="minorHAnsi"/>
                <w:b/>
                <w:iCs/>
                <w:sz w:val="16"/>
                <w:szCs w:val="16"/>
                <w:lang w:eastAsia="en-US"/>
              </w:rPr>
            </w:pPr>
          </w:p>
        </w:tc>
        <w:tc>
          <w:tcPr>
            <w:tcW w:w="826" w:type="pct"/>
          </w:tcPr>
          <w:p w14:paraId="2E4D4F5C" w14:textId="77777777" w:rsidR="00BF7CEC" w:rsidRPr="008609C3" w:rsidRDefault="00BF7CEC" w:rsidP="00BF7CEC">
            <w:pPr>
              <w:keepLines/>
              <w:spacing w:before="40" w:after="40" w:line="200" w:lineRule="atLeast"/>
              <w:rPr>
                <w:rFonts w:ascii="Franklin Gothic Book" w:hAnsi="Franklin Gothic Book"/>
                <w:sz w:val="16"/>
                <w:szCs w:val="16"/>
              </w:rPr>
            </w:pPr>
            <w:r w:rsidRPr="008609C3">
              <w:rPr>
                <w:rFonts w:ascii="Franklin Gothic Book" w:hAnsi="Franklin Gothic Book"/>
                <w:sz w:val="16"/>
                <w:szCs w:val="16"/>
              </w:rPr>
              <w:t>Evidence of AECSP capacity building projects supporting AANZFTA implementation</w:t>
            </w:r>
          </w:p>
        </w:tc>
        <w:tc>
          <w:tcPr>
            <w:tcW w:w="470" w:type="pct"/>
            <w:shd w:val="clear" w:color="auto" w:fill="7FB64D" w:themeFill="accent3" w:themeFillShade="BF"/>
          </w:tcPr>
          <w:p w14:paraId="66EA51C3" w14:textId="77777777" w:rsidR="00BF7CEC" w:rsidRPr="001C70C5" w:rsidRDefault="00BF7CEC" w:rsidP="00BF7CEC">
            <w:pPr>
              <w:keepLines/>
              <w:spacing w:before="40" w:after="40" w:line="200" w:lineRule="atLeast"/>
              <w:jc w:val="center"/>
              <w:rPr>
                <w:rFonts w:asciiTheme="minorHAnsi" w:eastAsia="Times New Roman" w:hAnsiTheme="minorHAnsi"/>
                <w:iCs/>
                <w:sz w:val="16"/>
                <w:szCs w:val="16"/>
                <w:lang w:eastAsia="en-US"/>
              </w:rPr>
            </w:pPr>
            <w:r>
              <w:rPr>
                <w:rFonts w:asciiTheme="minorHAnsi" w:eastAsia="Times New Roman" w:hAnsiTheme="minorHAnsi"/>
                <w:iCs/>
                <w:color w:val="FFFFFF" w:themeColor="background1"/>
                <w:sz w:val="16"/>
                <w:szCs w:val="16"/>
                <w:lang w:eastAsia="en-US"/>
              </w:rPr>
              <w:t>A</w:t>
            </w:r>
            <w:r w:rsidRPr="001C70C5">
              <w:rPr>
                <w:rFonts w:asciiTheme="minorHAnsi" w:eastAsia="Times New Roman" w:hAnsiTheme="minorHAnsi"/>
                <w:iCs/>
                <w:color w:val="FFFFFF" w:themeColor="background1"/>
                <w:sz w:val="16"/>
                <w:szCs w:val="16"/>
                <w:lang w:eastAsia="en-US"/>
              </w:rPr>
              <w:t>chieved</w:t>
            </w:r>
          </w:p>
        </w:tc>
        <w:tc>
          <w:tcPr>
            <w:tcW w:w="2970" w:type="pct"/>
          </w:tcPr>
          <w:p w14:paraId="464FA1C5" w14:textId="117981E2" w:rsidR="00BF7CEC" w:rsidRPr="002B2525" w:rsidRDefault="00D355C4" w:rsidP="00635D28">
            <w:pPr>
              <w:keepLines/>
              <w:spacing w:before="40" w:after="40" w:line="200" w:lineRule="atLeast"/>
              <w:rPr>
                <w:rFonts w:ascii="Franklin Gothic Book" w:hAnsi="Franklin Gothic Book"/>
                <w:sz w:val="16"/>
                <w:szCs w:val="16"/>
              </w:rPr>
            </w:pPr>
            <w:r>
              <w:rPr>
                <w:rFonts w:ascii="Franklin Gothic Book" w:hAnsi="Franklin Gothic Book"/>
                <w:sz w:val="16"/>
                <w:szCs w:val="16"/>
              </w:rPr>
              <w:t xml:space="preserve">AECSP is meeting its performance benchmark. It </w:t>
            </w:r>
            <w:r w:rsidR="0036148B" w:rsidRPr="0036148B">
              <w:rPr>
                <w:rFonts w:ascii="Franklin Gothic Book" w:hAnsi="Franklin Gothic Book"/>
                <w:sz w:val="16"/>
                <w:szCs w:val="16"/>
              </w:rPr>
              <w:t>implemented a number of initiatives supporting AANZFTA implementation including the referencing of national education and training qualifications frameworks (NQF) and the ASEAN Regional Diagnostic Network (ARDN), Through the CLIP</w:t>
            </w:r>
            <w:r w:rsidR="003B563F">
              <w:rPr>
                <w:rFonts w:ascii="Franklin Gothic Book" w:hAnsi="Franklin Gothic Book"/>
                <w:sz w:val="16"/>
                <w:szCs w:val="16"/>
              </w:rPr>
              <w:t xml:space="preserve"> II </w:t>
            </w:r>
            <w:r w:rsidR="0036148B" w:rsidRPr="0036148B">
              <w:rPr>
                <w:rFonts w:ascii="Franklin Gothic Book" w:hAnsi="Franklin Gothic Book"/>
                <w:sz w:val="16"/>
                <w:szCs w:val="16"/>
              </w:rPr>
              <w:t xml:space="preserve">program, AECSP </w:t>
            </w:r>
            <w:r w:rsidR="00635D28">
              <w:rPr>
                <w:rFonts w:ascii="Franklin Gothic Book" w:hAnsi="Franklin Gothic Book"/>
                <w:sz w:val="16"/>
                <w:szCs w:val="16"/>
              </w:rPr>
              <w:t>helped</w:t>
            </w:r>
            <w:r w:rsidR="006F7ECC">
              <w:rPr>
                <w:rFonts w:ascii="Franklin Gothic Book" w:hAnsi="Franklin Gothic Book"/>
                <w:sz w:val="16"/>
                <w:szCs w:val="16"/>
              </w:rPr>
              <w:t xml:space="preserve"> </w:t>
            </w:r>
            <w:r w:rsidR="0036148B" w:rsidRPr="0036148B">
              <w:rPr>
                <w:rFonts w:ascii="Franklin Gothic Book" w:hAnsi="Franklin Gothic Book"/>
                <w:sz w:val="16"/>
                <w:szCs w:val="16"/>
              </w:rPr>
              <w:t>ASEAN mee</w:t>
            </w:r>
            <w:r w:rsidR="00635D28">
              <w:rPr>
                <w:rFonts w:ascii="Franklin Gothic Book" w:hAnsi="Franklin Gothic Book"/>
                <w:sz w:val="16"/>
                <w:szCs w:val="16"/>
              </w:rPr>
              <w:t>t its AANZFTA commitments related</w:t>
            </w:r>
            <w:r w:rsidR="0036148B" w:rsidRPr="0036148B">
              <w:rPr>
                <w:rFonts w:ascii="Franklin Gothic Book" w:hAnsi="Franklin Gothic Book"/>
                <w:sz w:val="16"/>
                <w:szCs w:val="16"/>
              </w:rPr>
              <w:t xml:space="preserve"> to competition law and policy. CLIP II assisted Cambodia, Laos and Myanmar to pass competition laws including through technical advice and tailored training. CLIP II also assisted the Ministry of Commerce in Myanmar to establish a new Myanmar Competition Commission and hosted outreach sessions to businesses in Myanmar to explain the new laws.</w:t>
            </w:r>
          </w:p>
        </w:tc>
      </w:tr>
      <w:tr w:rsidR="00BF7CEC" w:rsidRPr="00C61187" w14:paraId="609B6684" w14:textId="77777777" w:rsidTr="00564DEC">
        <w:trPr>
          <w:trHeight w:val="1544"/>
        </w:trPr>
        <w:tc>
          <w:tcPr>
            <w:tcW w:w="734" w:type="pct"/>
            <w:tcMar>
              <w:top w:w="57" w:type="dxa"/>
              <w:bottom w:w="57" w:type="dxa"/>
            </w:tcMar>
          </w:tcPr>
          <w:p w14:paraId="637B76BE" w14:textId="77777777" w:rsidR="00BF7CEC" w:rsidRPr="001C70C5" w:rsidRDefault="00BF7CEC" w:rsidP="00BF7CEC">
            <w:pPr>
              <w:keepLines/>
              <w:spacing w:before="40" w:after="40" w:line="200" w:lineRule="atLeast"/>
              <w:rPr>
                <w:rFonts w:eastAsia="Times New Roman"/>
                <w:b/>
                <w:iCs/>
                <w:sz w:val="16"/>
                <w:szCs w:val="16"/>
              </w:rPr>
            </w:pPr>
          </w:p>
        </w:tc>
        <w:tc>
          <w:tcPr>
            <w:tcW w:w="826" w:type="pct"/>
          </w:tcPr>
          <w:p w14:paraId="12873643" w14:textId="42646BB7" w:rsidR="00BF7CEC" w:rsidRPr="008609C3" w:rsidRDefault="0036148B" w:rsidP="005E0230">
            <w:pPr>
              <w:keepLines/>
              <w:spacing w:before="40" w:after="40" w:line="200" w:lineRule="atLeast"/>
              <w:rPr>
                <w:rFonts w:ascii="Franklin Gothic Book" w:hAnsi="Franklin Gothic Book"/>
                <w:sz w:val="16"/>
                <w:szCs w:val="16"/>
              </w:rPr>
            </w:pPr>
            <w:r w:rsidRPr="0036148B">
              <w:rPr>
                <w:rFonts w:ascii="Franklin Gothic Book" w:hAnsi="Franklin Gothic Book"/>
                <w:sz w:val="16"/>
                <w:szCs w:val="16"/>
              </w:rPr>
              <w:t>Evidence of effective</w:t>
            </w:r>
            <w:r w:rsidRPr="008609C3">
              <w:rPr>
                <w:rFonts w:ascii="Franklin Gothic Book" w:hAnsi="Franklin Gothic Book"/>
                <w:sz w:val="16"/>
                <w:szCs w:val="16"/>
              </w:rPr>
              <w:t xml:space="preserve"> </w:t>
            </w:r>
            <w:r w:rsidRPr="0036148B">
              <w:rPr>
                <w:rFonts w:ascii="Franklin Gothic Book" w:hAnsi="Franklin Gothic Book"/>
                <w:sz w:val="16"/>
                <w:szCs w:val="16"/>
              </w:rPr>
              <w:t>implementation of private sector development regulations, policies and programmes, financing mechanism</w:t>
            </w:r>
            <w:r w:rsidR="00314195">
              <w:rPr>
                <w:rFonts w:ascii="Franklin Gothic Book" w:hAnsi="Franklin Gothic Book"/>
                <w:sz w:val="16"/>
                <w:szCs w:val="16"/>
              </w:rPr>
              <w:t>s</w:t>
            </w:r>
            <w:r w:rsidRPr="0036148B">
              <w:rPr>
                <w:rFonts w:ascii="Franklin Gothic Book" w:hAnsi="Franklin Gothic Book"/>
                <w:sz w:val="16"/>
                <w:szCs w:val="16"/>
              </w:rPr>
              <w:t>, expanded market access and</w:t>
            </w:r>
            <w:r w:rsidR="00314195">
              <w:rPr>
                <w:rFonts w:ascii="Franklin Gothic Book" w:hAnsi="Franklin Gothic Book"/>
                <w:sz w:val="16"/>
                <w:szCs w:val="16"/>
              </w:rPr>
              <w:t xml:space="preserve"> scale</w:t>
            </w:r>
            <w:r w:rsidRPr="0036148B">
              <w:rPr>
                <w:rFonts w:ascii="Franklin Gothic Book" w:hAnsi="Franklin Gothic Book"/>
                <w:sz w:val="16"/>
                <w:szCs w:val="16"/>
              </w:rPr>
              <w:t>-up for SMEs in CLMV, with a particular focus on women led enterprises and young entrepreneurs.</w:t>
            </w:r>
          </w:p>
        </w:tc>
        <w:tc>
          <w:tcPr>
            <w:tcW w:w="470" w:type="pct"/>
            <w:shd w:val="clear" w:color="auto" w:fill="7FB64D" w:themeFill="accent3" w:themeFillShade="BF"/>
          </w:tcPr>
          <w:p w14:paraId="683956A5" w14:textId="77777777" w:rsidR="00BF7CEC" w:rsidRPr="001C70C5" w:rsidRDefault="00BF7CEC" w:rsidP="00BF7CEC">
            <w:pPr>
              <w:keepLines/>
              <w:spacing w:before="40" w:after="40" w:line="200" w:lineRule="atLeast"/>
              <w:jc w:val="center"/>
              <w:rPr>
                <w:rFonts w:eastAsia="Times New Roman"/>
                <w:iCs/>
                <w:color w:val="FFFFFF" w:themeColor="background1"/>
                <w:sz w:val="16"/>
                <w:szCs w:val="16"/>
              </w:rPr>
            </w:pPr>
            <w:r>
              <w:rPr>
                <w:rFonts w:asciiTheme="minorHAnsi" w:eastAsia="Times New Roman" w:hAnsiTheme="minorHAnsi"/>
                <w:iCs/>
                <w:color w:val="FFFFFF" w:themeColor="background1"/>
                <w:sz w:val="16"/>
                <w:szCs w:val="16"/>
                <w:lang w:eastAsia="en-US"/>
              </w:rPr>
              <w:t>A</w:t>
            </w:r>
            <w:r w:rsidRPr="001C70C5">
              <w:rPr>
                <w:rFonts w:asciiTheme="minorHAnsi" w:eastAsia="Times New Roman" w:hAnsiTheme="minorHAnsi"/>
                <w:iCs/>
                <w:color w:val="FFFFFF" w:themeColor="background1"/>
                <w:sz w:val="16"/>
                <w:szCs w:val="16"/>
                <w:lang w:eastAsia="en-US"/>
              </w:rPr>
              <w:t>chieved</w:t>
            </w:r>
          </w:p>
        </w:tc>
        <w:tc>
          <w:tcPr>
            <w:tcW w:w="2970" w:type="pct"/>
          </w:tcPr>
          <w:p w14:paraId="7ABDDB85" w14:textId="243828E4" w:rsidR="00BF7CEC" w:rsidRPr="002B2525" w:rsidRDefault="0036148B" w:rsidP="000070BB">
            <w:pPr>
              <w:keepLines/>
              <w:spacing w:before="40" w:after="40" w:line="200" w:lineRule="atLeast"/>
              <w:rPr>
                <w:rFonts w:ascii="Franklin Gothic Book" w:hAnsi="Franklin Gothic Book"/>
                <w:sz w:val="16"/>
                <w:szCs w:val="16"/>
              </w:rPr>
            </w:pPr>
            <w:r w:rsidRPr="0036148B">
              <w:rPr>
                <w:rFonts w:ascii="Franklin Gothic Book" w:hAnsi="Franklin Gothic Book"/>
                <w:sz w:val="16"/>
                <w:szCs w:val="16"/>
              </w:rPr>
              <w:t xml:space="preserve">MBI improved </w:t>
            </w:r>
            <w:r w:rsidR="00314195">
              <w:rPr>
                <w:rFonts w:ascii="Franklin Gothic Book" w:hAnsi="Franklin Gothic Book"/>
                <w:sz w:val="16"/>
                <w:szCs w:val="16"/>
              </w:rPr>
              <w:t xml:space="preserve">the </w:t>
            </w:r>
            <w:r w:rsidRPr="0036148B">
              <w:rPr>
                <w:rFonts w:ascii="Franklin Gothic Book" w:hAnsi="Franklin Gothic Book"/>
                <w:sz w:val="16"/>
                <w:szCs w:val="16"/>
              </w:rPr>
              <w:t xml:space="preserve">business enabling environment for SMEs in CLMV </w:t>
            </w:r>
            <w:r w:rsidR="00F44197">
              <w:rPr>
                <w:rFonts w:ascii="Franklin Gothic Book" w:hAnsi="Franklin Gothic Book"/>
                <w:sz w:val="16"/>
                <w:szCs w:val="16"/>
              </w:rPr>
              <w:t xml:space="preserve">countries </w:t>
            </w:r>
            <w:r w:rsidRPr="0036148B">
              <w:rPr>
                <w:rFonts w:ascii="Franklin Gothic Book" w:hAnsi="Franklin Gothic Book"/>
                <w:sz w:val="16"/>
                <w:szCs w:val="16"/>
              </w:rPr>
              <w:t xml:space="preserve">by facilitating the change or creation of </w:t>
            </w:r>
            <w:r w:rsidR="00F44197">
              <w:rPr>
                <w:rFonts w:ascii="Franklin Gothic Book" w:hAnsi="Franklin Gothic Book"/>
                <w:sz w:val="16"/>
                <w:szCs w:val="16"/>
              </w:rPr>
              <w:t>7 business regulations/policies;</w:t>
            </w:r>
            <w:r w:rsidRPr="0036148B">
              <w:rPr>
                <w:rFonts w:ascii="Franklin Gothic Book" w:hAnsi="Franklin Gothic Book"/>
                <w:sz w:val="16"/>
                <w:szCs w:val="16"/>
              </w:rPr>
              <w:t xml:space="preserve"> developing 5 public-private dialogue platforms with hi</w:t>
            </w:r>
            <w:r w:rsidR="00F44197">
              <w:rPr>
                <w:rFonts w:ascii="Franklin Gothic Book" w:hAnsi="Franklin Gothic Book"/>
                <w:sz w:val="16"/>
                <w:szCs w:val="16"/>
              </w:rPr>
              <w:t>gh prospects for sustainability;</w:t>
            </w:r>
            <w:r w:rsidRPr="0036148B">
              <w:rPr>
                <w:rFonts w:ascii="Franklin Gothic Book" w:hAnsi="Franklin Gothic Book"/>
                <w:sz w:val="16"/>
                <w:szCs w:val="16"/>
              </w:rPr>
              <w:t xml:space="preserve"> developing 6 scalab</w:t>
            </w:r>
            <w:r w:rsidR="00F44197">
              <w:rPr>
                <w:rFonts w:ascii="Franklin Gothic Book" w:hAnsi="Franklin Gothic Book"/>
                <w:sz w:val="16"/>
                <w:szCs w:val="16"/>
              </w:rPr>
              <w:t>le alternative financing models;</w:t>
            </w:r>
            <w:r w:rsidRPr="0036148B">
              <w:rPr>
                <w:rFonts w:ascii="Franklin Gothic Book" w:hAnsi="Franklin Gothic Book"/>
                <w:sz w:val="16"/>
                <w:szCs w:val="16"/>
              </w:rPr>
              <w:t xml:space="preserve"> 6 scala</w:t>
            </w:r>
            <w:r w:rsidR="00F44197">
              <w:rPr>
                <w:rFonts w:ascii="Franklin Gothic Book" w:hAnsi="Franklin Gothic Book"/>
                <w:sz w:val="16"/>
                <w:szCs w:val="16"/>
              </w:rPr>
              <w:t>ble innovation support programs;</w:t>
            </w:r>
            <w:r w:rsidRPr="0036148B">
              <w:rPr>
                <w:rFonts w:ascii="Franklin Gothic Book" w:hAnsi="Franklin Gothic Book"/>
                <w:sz w:val="16"/>
                <w:szCs w:val="16"/>
              </w:rPr>
              <w:t xml:space="preserve"> and leveraging almost USD 2 million in additional funds. </w:t>
            </w:r>
            <w:r w:rsidR="00F44197">
              <w:rPr>
                <w:rFonts w:ascii="Franklin Gothic Book" w:hAnsi="Franklin Gothic Book"/>
                <w:sz w:val="16"/>
                <w:szCs w:val="16"/>
              </w:rPr>
              <w:t xml:space="preserve">MBI </w:t>
            </w:r>
            <w:r w:rsidRPr="0036148B">
              <w:rPr>
                <w:rFonts w:ascii="Franklin Gothic Book" w:hAnsi="Franklin Gothic Book"/>
                <w:sz w:val="16"/>
                <w:szCs w:val="16"/>
              </w:rPr>
              <w:t>held 11 public/private dialogues and 23 consultations across CLMV with more than 2,500 public and private sector p</w:t>
            </w:r>
            <w:r w:rsidR="00314195">
              <w:rPr>
                <w:rFonts w:ascii="Franklin Gothic Book" w:hAnsi="Franklin Gothic Book"/>
                <w:sz w:val="16"/>
                <w:szCs w:val="16"/>
              </w:rPr>
              <w:t>articipants</w:t>
            </w:r>
            <w:r w:rsidR="00435E08">
              <w:rPr>
                <w:rFonts w:ascii="Franklin Gothic Book" w:hAnsi="Franklin Gothic Book"/>
                <w:sz w:val="16"/>
                <w:szCs w:val="16"/>
              </w:rPr>
              <w:t>.</w:t>
            </w:r>
            <w:r w:rsidRPr="0036148B">
              <w:rPr>
                <w:rFonts w:ascii="Franklin Gothic Book" w:hAnsi="Franklin Gothic Book"/>
                <w:sz w:val="16"/>
                <w:szCs w:val="16"/>
              </w:rPr>
              <w:t xml:space="preserve">  It also promoted alternative financing solutions/initiatives/studies </w:t>
            </w:r>
            <w:r w:rsidR="000070BB">
              <w:rPr>
                <w:rFonts w:ascii="Franklin Gothic Book" w:hAnsi="Franklin Gothic Book"/>
                <w:sz w:val="16"/>
                <w:szCs w:val="16"/>
              </w:rPr>
              <w:t xml:space="preserve">in areas </w:t>
            </w:r>
            <w:r w:rsidRPr="0036148B">
              <w:rPr>
                <w:rFonts w:ascii="Franklin Gothic Book" w:hAnsi="Franklin Gothic Book"/>
                <w:sz w:val="16"/>
                <w:szCs w:val="16"/>
              </w:rPr>
              <w:t>such as angel investment, F</w:t>
            </w:r>
            <w:r w:rsidR="00F44197">
              <w:rPr>
                <w:rFonts w:ascii="Franklin Gothic Book" w:hAnsi="Franklin Gothic Book"/>
                <w:sz w:val="16"/>
                <w:szCs w:val="16"/>
              </w:rPr>
              <w:t>inTech, Cambodian Investor Club,</w:t>
            </w:r>
            <w:r w:rsidRPr="0036148B">
              <w:rPr>
                <w:rFonts w:ascii="Franklin Gothic Book" w:hAnsi="Franklin Gothic Book"/>
                <w:sz w:val="16"/>
                <w:szCs w:val="16"/>
              </w:rPr>
              <w:t xml:space="preserve"> </w:t>
            </w:r>
            <w:r w:rsidR="00F374F1">
              <w:rPr>
                <w:rFonts w:ascii="Franklin Gothic Book" w:hAnsi="Franklin Gothic Book"/>
                <w:sz w:val="16"/>
                <w:szCs w:val="16"/>
              </w:rPr>
              <w:t>to</w:t>
            </w:r>
            <w:r w:rsidRPr="0036148B">
              <w:rPr>
                <w:rFonts w:ascii="Franklin Gothic Book" w:hAnsi="Franklin Gothic Book"/>
                <w:sz w:val="16"/>
                <w:szCs w:val="16"/>
              </w:rPr>
              <w:t xml:space="preserve"> support a more dynamic innovation ecosystem that encourages entrepreneurship and promotes the commercialization of new technology. </w:t>
            </w:r>
            <w:r w:rsidR="000070BB">
              <w:rPr>
                <w:rFonts w:ascii="Franklin Gothic Book" w:hAnsi="Franklin Gothic Book"/>
                <w:sz w:val="16"/>
                <w:szCs w:val="16"/>
              </w:rPr>
              <w:t>Reform a</w:t>
            </w:r>
            <w:r w:rsidRPr="0036148B">
              <w:rPr>
                <w:rFonts w:ascii="Franklin Gothic Book" w:hAnsi="Franklin Gothic Book"/>
                <w:sz w:val="16"/>
                <w:szCs w:val="16"/>
              </w:rPr>
              <w:t>ctivities involved the active participation of women’s business associations/business leaders and young entrepreneurs</w:t>
            </w:r>
            <w:r w:rsidR="000070BB">
              <w:rPr>
                <w:rFonts w:ascii="Franklin Gothic Book" w:hAnsi="Franklin Gothic Book"/>
                <w:sz w:val="16"/>
                <w:szCs w:val="16"/>
              </w:rPr>
              <w:t>,</w:t>
            </w:r>
            <w:r w:rsidRPr="0036148B">
              <w:rPr>
                <w:rFonts w:ascii="Franklin Gothic Book" w:hAnsi="Franklin Gothic Book"/>
                <w:sz w:val="16"/>
                <w:szCs w:val="16"/>
              </w:rPr>
              <w:t xml:space="preserve"> leading to outcomes such as priority assistance for young and women-led SMEs </w:t>
            </w:r>
            <w:r w:rsidR="00314195">
              <w:rPr>
                <w:rFonts w:ascii="Franklin Gothic Book" w:hAnsi="Franklin Gothic Book"/>
                <w:sz w:val="16"/>
                <w:szCs w:val="16"/>
              </w:rPr>
              <w:t xml:space="preserve">being incorporated into </w:t>
            </w:r>
            <w:r w:rsidRPr="0036148B">
              <w:rPr>
                <w:rFonts w:ascii="Franklin Gothic Book" w:hAnsi="Franklin Gothic Book"/>
                <w:sz w:val="16"/>
                <w:szCs w:val="16"/>
              </w:rPr>
              <w:t xml:space="preserve">government laws, policies, and programmes.  It has also led to the establishment </w:t>
            </w:r>
            <w:r w:rsidR="00314195">
              <w:rPr>
                <w:rFonts w:ascii="Franklin Gothic Book" w:hAnsi="Franklin Gothic Book"/>
                <w:sz w:val="16"/>
                <w:szCs w:val="16"/>
              </w:rPr>
              <w:t xml:space="preserve">of </w:t>
            </w:r>
            <w:r w:rsidRPr="0036148B">
              <w:rPr>
                <w:rFonts w:ascii="Franklin Gothic Book" w:hAnsi="Franklin Gothic Book"/>
                <w:sz w:val="16"/>
                <w:szCs w:val="16"/>
              </w:rPr>
              <w:t>dedicated programs such as the Women’s Initiative on Start-ups and Entrepreneurship; support for young entrepreneurs through participation as permanent members of national business fora (Myanmar National PSD Committee, Vietnam Private Sector Forum, LNCCI Task Force) and enhanced business incubation and accelerator programmes (Saigon Innovation HUB, Da Nang Business Incubator).</w:t>
            </w:r>
          </w:p>
        </w:tc>
      </w:tr>
      <w:tr w:rsidR="00BF7CEC" w:rsidRPr="00C61187" w14:paraId="404378CD" w14:textId="77777777" w:rsidTr="00564DEC">
        <w:trPr>
          <w:trHeight w:val="1120"/>
        </w:trPr>
        <w:tc>
          <w:tcPr>
            <w:tcW w:w="734" w:type="pct"/>
            <w:tcMar>
              <w:top w:w="57" w:type="dxa"/>
              <w:bottom w:w="57" w:type="dxa"/>
            </w:tcMar>
          </w:tcPr>
          <w:p w14:paraId="44B8B0B1" w14:textId="77777777" w:rsidR="00BF7CEC" w:rsidRPr="001C70C5" w:rsidRDefault="00BF7CEC" w:rsidP="00BF7CEC">
            <w:pPr>
              <w:keepLines/>
              <w:spacing w:before="40" w:after="40" w:line="200" w:lineRule="atLeast"/>
              <w:rPr>
                <w:rFonts w:eastAsia="Times New Roman"/>
                <w:b/>
                <w:iCs/>
                <w:sz w:val="16"/>
                <w:szCs w:val="16"/>
              </w:rPr>
            </w:pPr>
          </w:p>
        </w:tc>
        <w:tc>
          <w:tcPr>
            <w:tcW w:w="826" w:type="pct"/>
          </w:tcPr>
          <w:p w14:paraId="7C5F4EDD" w14:textId="6E10E7D6" w:rsidR="00BF7CEC" w:rsidRPr="008609C3" w:rsidRDefault="00BF7CEC" w:rsidP="000070BB">
            <w:pPr>
              <w:keepLines/>
              <w:spacing w:before="40" w:after="40" w:line="200" w:lineRule="atLeast"/>
              <w:rPr>
                <w:rFonts w:ascii="Franklin Gothic Book" w:hAnsi="Franklin Gothic Book"/>
                <w:sz w:val="16"/>
                <w:szCs w:val="16"/>
              </w:rPr>
            </w:pPr>
            <w:r w:rsidRPr="008609C3">
              <w:rPr>
                <w:rFonts w:ascii="Franklin Gothic Book" w:hAnsi="Franklin Gothic Book"/>
                <w:sz w:val="16"/>
                <w:szCs w:val="16"/>
              </w:rPr>
              <w:t>Number of challenge fund grant agreement frameworks</w:t>
            </w:r>
            <w:r w:rsidR="0036148B" w:rsidRPr="008609C3">
              <w:rPr>
                <w:rFonts w:ascii="Franklin Gothic Book" w:hAnsi="Franklin Gothic Book"/>
                <w:sz w:val="16"/>
                <w:szCs w:val="16"/>
              </w:rPr>
              <w:t xml:space="preserve"> that include women’s financial inclusion</w:t>
            </w:r>
            <w:r w:rsidRPr="008609C3">
              <w:rPr>
                <w:rFonts w:ascii="Franklin Gothic Book" w:hAnsi="Franklin Gothic Book"/>
                <w:sz w:val="16"/>
                <w:szCs w:val="16"/>
              </w:rPr>
              <w:t xml:space="preserve"> (</w:t>
            </w:r>
            <w:r w:rsidR="000070BB">
              <w:rPr>
                <w:rFonts w:ascii="Franklin Gothic Book" w:hAnsi="Franklin Gothic Book"/>
                <w:sz w:val="16"/>
                <w:szCs w:val="16"/>
              </w:rPr>
              <w:t>total of 9 by</w:t>
            </w:r>
            <w:r w:rsidRPr="008609C3">
              <w:rPr>
                <w:rFonts w:ascii="Franklin Gothic Book" w:hAnsi="Franklin Gothic Book"/>
                <w:sz w:val="16"/>
                <w:szCs w:val="16"/>
              </w:rPr>
              <w:t xml:space="preserve"> 2016-17)</w:t>
            </w:r>
          </w:p>
        </w:tc>
        <w:tc>
          <w:tcPr>
            <w:tcW w:w="470" w:type="pct"/>
            <w:shd w:val="clear" w:color="auto" w:fill="7FB64D" w:themeFill="accent3" w:themeFillShade="BF"/>
          </w:tcPr>
          <w:p w14:paraId="6F6168F2" w14:textId="77777777" w:rsidR="00BF7CEC" w:rsidRPr="001C70C5" w:rsidRDefault="00BF7CEC" w:rsidP="00BF7CEC">
            <w:pPr>
              <w:keepLines/>
              <w:spacing w:before="40" w:after="40" w:line="200" w:lineRule="atLeast"/>
              <w:jc w:val="center"/>
              <w:rPr>
                <w:rFonts w:eastAsia="Times New Roman"/>
                <w:iCs/>
                <w:color w:val="FFFFFF" w:themeColor="background1"/>
                <w:sz w:val="16"/>
                <w:szCs w:val="16"/>
              </w:rPr>
            </w:pPr>
            <w:r>
              <w:rPr>
                <w:rFonts w:asciiTheme="minorHAnsi" w:eastAsia="Times New Roman" w:hAnsiTheme="minorHAnsi"/>
                <w:iCs/>
                <w:color w:val="FFFFFF" w:themeColor="background1"/>
                <w:sz w:val="16"/>
                <w:szCs w:val="16"/>
                <w:lang w:eastAsia="en-US"/>
              </w:rPr>
              <w:t>A</w:t>
            </w:r>
            <w:r w:rsidRPr="001C70C5">
              <w:rPr>
                <w:rFonts w:asciiTheme="minorHAnsi" w:eastAsia="Times New Roman" w:hAnsiTheme="minorHAnsi"/>
                <w:iCs/>
                <w:color w:val="FFFFFF" w:themeColor="background1"/>
                <w:sz w:val="16"/>
                <w:szCs w:val="16"/>
                <w:lang w:eastAsia="en-US"/>
              </w:rPr>
              <w:t>chieved</w:t>
            </w:r>
          </w:p>
        </w:tc>
        <w:tc>
          <w:tcPr>
            <w:tcW w:w="2970" w:type="pct"/>
          </w:tcPr>
          <w:p w14:paraId="07040514" w14:textId="4FABF264" w:rsidR="00BF7CEC" w:rsidRPr="002B2525" w:rsidRDefault="00F44197" w:rsidP="000070BB">
            <w:pPr>
              <w:keepLines/>
              <w:spacing w:before="40" w:after="40" w:line="200" w:lineRule="atLeast"/>
              <w:rPr>
                <w:rFonts w:ascii="Franklin Gothic Book" w:hAnsi="Franklin Gothic Book"/>
                <w:sz w:val="16"/>
                <w:szCs w:val="16"/>
              </w:rPr>
            </w:pPr>
            <w:r>
              <w:rPr>
                <w:rFonts w:ascii="Franklin Gothic Book" w:hAnsi="Franklin Gothic Book"/>
                <w:sz w:val="16"/>
                <w:szCs w:val="16"/>
              </w:rPr>
              <w:t>With t</w:t>
            </w:r>
            <w:r w:rsidR="00314195">
              <w:rPr>
                <w:rFonts w:ascii="Franklin Gothic Book" w:hAnsi="Franklin Gothic Book"/>
                <w:sz w:val="16"/>
                <w:szCs w:val="16"/>
              </w:rPr>
              <w:t xml:space="preserve">he launch of a second </w:t>
            </w:r>
            <w:r w:rsidR="00314195" w:rsidRPr="002B2525">
              <w:rPr>
                <w:rFonts w:ascii="Franklin Gothic Book" w:hAnsi="Franklin Gothic Book"/>
                <w:sz w:val="16"/>
                <w:szCs w:val="16"/>
              </w:rPr>
              <w:t>window on women's financial inclusion</w:t>
            </w:r>
            <w:r w:rsidR="00440A8B">
              <w:rPr>
                <w:rFonts w:ascii="Franklin Gothic Book" w:hAnsi="Franklin Gothic Book"/>
                <w:sz w:val="16"/>
                <w:szCs w:val="16"/>
              </w:rPr>
              <w:t xml:space="preserve"> SHIFT</w:t>
            </w:r>
            <w:r w:rsidR="00C2342E" w:rsidRPr="002B2525">
              <w:rPr>
                <w:rFonts w:ascii="Franklin Gothic Book" w:hAnsi="Franklin Gothic Book"/>
                <w:sz w:val="16"/>
                <w:szCs w:val="16"/>
              </w:rPr>
              <w:t xml:space="preserve"> double</w:t>
            </w:r>
            <w:r w:rsidR="00F374F1">
              <w:rPr>
                <w:rFonts w:ascii="Franklin Gothic Book" w:hAnsi="Franklin Gothic Book"/>
                <w:sz w:val="16"/>
                <w:szCs w:val="16"/>
              </w:rPr>
              <w:t>d</w:t>
            </w:r>
            <w:r w:rsidR="00C2342E" w:rsidRPr="002B2525">
              <w:rPr>
                <w:rFonts w:ascii="Franklin Gothic Book" w:hAnsi="Franklin Gothic Book"/>
                <w:sz w:val="16"/>
                <w:szCs w:val="16"/>
              </w:rPr>
              <w:t xml:space="preserve"> its 2016 portfolio </w:t>
            </w:r>
            <w:r w:rsidR="00314195">
              <w:rPr>
                <w:rFonts w:ascii="Franklin Gothic Book" w:hAnsi="Franklin Gothic Book"/>
                <w:sz w:val="16"/>
                <w:szCs w:val="16"/>
              </w:rPr>
              <w:t xml:space="preserve">of grants signed and under implementation </w:t>
            </w:r>
            <w:r w:rsidR="00C2342E" w:rsidRPr="002B2525">
              <w:rPr>
                <w:rFonts w:ascii="Franklin Gothic Book" w:hAnsi="Franklin Gothic Book"/>
                <w:sz w:val="16"/>
                <w:szCs w:val="16"/>
              </w:rPr>
              <w:t xml:space="preserve">(4 additional project grants signed </w:t>
            </w:r>
            <w:r w:rsidR="000070BB">
              <w:rPr>
                <w:rFonts w:ascii="Franklin Gothic Book" w:hAnsi="Franklin Gothic Book"/>
                <w:sz w:val="16"/>
                <w:szCs w:val="16"/>
              </w:rPr>
              <w:t>with a total of 9 agreements as of June 2017</w:t>
            </w:r>
            <w:r w:rsidR="00C2342E" w:rsidRPr="002B2525">
              <w:rPr>
                <w:rFonts w:ascii="Franklin Gothic Book" w:hAnsi="Franklin Gothic Book"/>
                <w:sz w:val="16"/>
                <w:szCs w:val="16"/>
              </w:rPr>
              <w:t xml:space="preserve">. </w:t>
            </w:r>
            <w:r w:rsidR="00440A8B">
              <w:rPr>
                <w:rFonts w:ascii="Franklin Gothic Book" w:hAnsi="Franklin Gothic Book"/>
                <w:sz w:val="16"/>
                <w:szCs w:val="16"/>
              </w:rPr>
              <w:t xml:space="preserve">Through these innovative private sector projects SHIFT has leveraged over AUD 4.1 million in private sector investment. </w:t>
            </w:r>
            <w:r>
              <w:rPr>
                <w:rFonts w:ascii="Franklin Gothic Book" w:hAnsi="Franklin Gothic Book"/>
                <w:sz w:val="16"/>
                <w:szCs w:val="16"/>
              </w:rPr>
              <w:t>SHIFT’s p</w:t>
            </w:r>
            <w:r w:rsidR="00BF7CEC" w:rsidRPr="002B2525">
              <w:rPr>
                <w:rFonts w:ascii="Franklin Gothic Book" w:hAnsi="Franklin Gothic Book"/>
                <w:sz w:val="16"/>
                <w:szCs w:val="16"/>
              </w:rPr>
              <w:t xml:space="preserve">rogress is on track to </w:t>
            </w:r>
            <w:r w:rsidR="00C2342E" w:rsidRPr="002B2525">
              <w:rPr>
                <w:rFonts w:ascii="Franklin Gothic Book" w:hAnsi="Franklin Gothic Book"/>
                <w:sz w:val="16"/>
                <w:szCs w:val="16"/>
              </w:rPr>
              <w:t xml:space="preserve">achieve </w:t>
            </w:r>
            <w:r w:rsidR="00BF7CEC" w:rsidRPr="002B2525">
              <w:rPr>
                <w:rFonts w:ascii="Franklin Gothic Book" w:hAnsi="Franklin Gothic Book"/>
                <w:sz w:val="16"/>
                <w:szCs w:val="16"/>
              </w:rPr>
              <w:t>results ahead of and beyond the target set out (300,000</w:t>
            </w:r>
            <w:r w:rsidR="00314195">
              <w:rPr>
                <w:rFonts w:ascii="Franklin Gothic Book" w:hAnsi="Franklin Gothic Book"/>
                <w:sz w:val="16"/>
                <w:szCs w:val="16"/>
              </w:rPr>
              <w:t xml:space="preserve"> beneficiaries reached</w:t>
            </w:r>
            <w:r w:rsidR="00BF7CEC" w:rsidRPr="002B2525">
              <w:rPr>
                <w:rFonts w:ascii="Franklin Gothic Book" w:hAnsi="Franklin Gothic Book"/>
                <w:sz w:val="16"/>
                <w:szCs w:val="16"/>
              </w:rPr>
              <w:t xml:space="preserve"> by 2017 and 800,000 by 2020). Beyond access, usage of these financial services is 29% (above the market average), with</w:t>
            </w:r>
            <w:r w:rsidR="004A643F" w:rsidRPr="002B2525">
              <w:rPr>
                <w:rFonts w:ascii="Franklin Gothic Book" w:hAnsi="Franklin Gothic Book"/>
                <w:sz w:val="16"/>
                <w:szCs w:val="16"/>
              </w:rPr>
              <w:t xml:space="preserve"> over 180,000</w:t>
            </w:r>
            <w:r w:rsidR="00BF7CEC" w:rsidRPr="002B2525">
              <w:rPr>
                <w:rFonts w:ascii="Franklin Gothic Book" w:hAnsi="Franklin Gothic Book"/>
                <w:sz w:val="16"/>
                <w:szCs w:val="16"/>
              </w:rPr>
              <w:t xml:space="preserve"> beneficiaries, 46% women, actively using these financial services.</w:t>
            </w:r>
          </w:p>
        </w:tc>
      </w:tr>
      <w:tr w:rsidR="0036148B" w:rsidRPr="00F24DD3" w14:paraId="5DB4B59A" w14:textId="77777777" w:rsidTr="0090614E">
        <w:trPr>
          <w:trHeight w:val="888"/>
        </w:trPr>
        <w:tc>
          <w:tcPr>
            <w:tcW w:w="734" w:type="pct"/>
            <w:tcMar>
              <w:top w:w="57" w:type="dxa"/>
              <w:bottom w:w="57" w:type="dxa"/>
            </w:tcMar>
          </w:tcPr>
          <w:p w14:paraId="777E3493" w14:textId="77777777" w:rsidR="0036148B" w:rsidRPr="00F24DD3" w:rsidRDefault="0036148B" w:rsidP="00386748">
            <w:pPr>
              <w:keepLines/>
              <w:spacing w:before="40" w:after="40" w:line="200" w:lineRule="atLeast"/>
              <w:rPr>
                <w:rFonts w:eastAsia="Times New Roman"/>
                <w:b/>
                <w:i/>
                <w:iCs/>
                <w:sz w:val="16"/>
                <w:szCs w:val="16"/>
              </w:rPr>
            </w:pPr>
            <w:r w:rsidRPr="00F24DD3">
              <w:rPr>
                <w:rFonts w:eastAsia="Times New Roman"/>
                <w:b/>
                <w:i/>
                <w:iCs/>
                <w:sz w:val="16"/>
                <w:szCs w:val="16"/>
              </w:rPr>
              <w:lastRenderedPageBreak/>
              <w:t>New</w:t>
            </w:r>
          </w:p>
        </w:tc>
        <w:tc>
          <w:tcPr>
            <w:tcW w:w="826" w:type="pct"/>
          </w:tcPr>
          <w:p w14:paraId="3FB3DF04" w14:textId="77777777" w:rsidR="0036148B" w:rsidRPr="008609C3" w:rsidRDefault="0036148B" w:rsidP="00386748">
            <w:pPr>
              <w:keepLines/>
              <w:spacing w:before="40" w:after="40" w:line="200" w:lineRule="atLeast"/>
              <w:rPr>
                <w:rFonts w:ascii="Franklin Gothic Book" w:hAnsi="Franklin Gothic Book"/>
                <w:sz w:val="16"/>
                <w:szCs w:val="16"/>
              </w:rPr>
            </w:pPr>
            <w:r w:rsidRPr="008609C3">
              <w:rPr>
                <w:rFonts w:ascii="Franklin Gothic Book" w:hAnsi="Franklin Gothic Book"/>
                <w:sz w:val="16"/>
                <w:szCs w:val="16"/>
              </w:rPr>
              <w:t>Legal framework in place for pilot implementation of the Cross Border Transport Facilitation Agreement (CBTA)</w:t>
            </w:r>
            <w:r w:rsidR="0089494D">
              <w:rPr>
                <w:rFonts w:ascii="Franklin Gothic Book" w:hAnsi="Franklin Gothic Book"/>
                <w:sz w:val="16"/>
                <w:szCs w:val="16"/>
              </w:rPr>
              <w:t xml:space="preserve"> under GMS TTF</w:t>
            </w:r>
          </w:p>
        </w:tc>
        <w:tc>
          <w:tcPr>
            <w:tcW w:w="470" w:type="pct"/>
            <w:shd w:val="clear" w:color="auto" w:fill="FF9900"/>
          </w:tcPr>
          <w:p w14:paraId="727F80C8" w14:textId="77777777" w:rsidR="0036148B" w:rsidRPr="001C70C5" w:rsidRDefault="0036148B" w:rsidP="00386748">
            <w:pPr>
              <w:keepLines/>
              <w:spacing w:before="40" w:after="40" w:line="200" w:lineRule="atLeast"/>
              <w:jc w:val="center"/>
              <w:rPr>
                <w:rFonts w:eastAsia="Times New Roman"/>
                <w:iCs/>
                <w:color w:val="FFFFFF" w:themeColor="background1"/>
                <w:sz w:val="16"/>
                <w:szCs w:val="16"/>
              </w:rPr>
            </w:pPr>
            <w:r>
              <w:rPr>
                <w:rFonts w:eastAsia="Times New Roman"/>
                <w:iCs/>
                <w:color w:val="FFFFFF" w:themeColor="background1"/>
                <w:sz w:val="16"/>
                <w:szCs w:val="16"/>
              </w:rPr>
              <w:t>Partially achieved</w:t>
            </w:r>
          </w:p>
        </w:tc>
        <w:tc>
          <w:tcPr>
            <w:tcW w:w="2970" w:type="pct"/>
          </w:tcPr>
          <w:p w14:paraId="207C5AD1" w14:textId="6260FF3C" w:rsidR="0036148B" w:rsidRPr="008609C3" w:rsidRDefault="0036148B" w:rsidP="000070BB">
            <w:pPr>
              <w:keepLines/>
              <w:spacing w:before="40" w:after="40" w:line="200" w:lineRule="atLeast"/>
              <w:rPr>
                <w:rFonts w:ascii="Franklin Gothic Book" w:hAnsi="Franklin Gothic Book"/>
                <w:sz w:val="16"/>
                <w:szCs w:val="16"/>
              </w:rPr>
            </w:pPr>
            <w:r w:rsidRPr="008609C3">
              <w:rPr>
                <w:rFonts w:ascii="Franklin Gothic Book" w:hAnsi="Franklin Gothic Book"/>
                <w:sz w:val="16"/>
                <w:szCs w:val="16"/>
              </w:rPr>
              <w:t xml:space="preserve">GMS TTF has facilitated the in-principle agreement from all GMS members on pilot implementation of the Cross Border Transport Facilitation Agreement (CBTA), which aims to make the movement of commercial goods and passenger transport faster, cheaper and easier.  There is agreement on the text of the legal framework (MoU) which would permit the commencement of pilot operations.  </w:t>
            </w:r>
            <w:r w:rsidR="00F374F1">
              <w:rPr>
                <w:rFonts w:ascii="Franklin Gothic Book" w:hAnsi="Franklin Gothic Book"/>
                <w:sz w:val="16"/>
                <w:szCs w:val="16"/>
              </w:rPr>
              <w:t xml:space="preserve">However, only </w:t>
            </w:r>
            <w:r w:rsidRPr="008609C3">
              <w:rPr>
                <w:rFonts w:ascii="Franklin Gothic Book" w:hAnsi="Franklin Gothic Book"/>
                <w:sz w:val="16"/>
                <w:szCs w:val="16"/>
              </w:rPr>
              <w:t xml:space="preserve">4 out of 6 GMS member states </w:t>
            </w:r>
            <w:r w:rsidR="000070BB">
              <w:rPr>
                <w:rFonts w:ascii="Franklin Gothic Book" w:hAnsi="Franklin Gothic Book"/>
                <w:sz w:val="16"/>
                <w:szCs w:val="16"/>
              </w:rPr>
              <w:t>have</w:t>
            </w:r>
            <w:r w:rsidR="00F374F1">
              <w:rPr>
                <w:rFonts w:ascii="Franklin Gothic Book" w:hAnsi="Franklin Gothic Book"/>
                <w:sz w:val="16"/>
                <w:szCs w:val="16"/>
              </w:rPr>
              <w:t xml:space="preserve"> so far</w:t>
            </w:r>
            <w:r w:rsidRPr="008609C3">
              <w:rPr>
                <w:rFonts w:ascii="Franklin Gothic Book" w:hAnsi="Franklin Gothic Book"/>
                <w:sz w:val="16"/>
                <w:szCs w:val="16"/>
              </w:rPr>
              <w:t xml:space="preserve"> signed the MoU</w:t>
            </w:r>
            <w:r w:rsidR="00F374F1">
              <w:rPr>
                <w:rFonts w:ascii="Franklin Gothic Book" w:hAnsi="Franklin Gothic Book"/>
                <w:sz w:val="16"/>
                <w:szCs w:val="16"/>
              </w:rPr>
              <w:t>.  P</w:t>
            </w:r>
            <w:r w:rsidRPr="008609C3">
              <w:rPr>
                <w:rFonts w:ascii="Franklin Gothic Book" w:hAnsi="Franklin Gothic Book"/>
                <w:sz w:val="16"/>
                <w:szCs w:val="16"/>
              </w:rPr>
              <w:t xml:space="preserve">ilot operations </w:t>
            </w:r>
            <w:r w:rsidR="00A84447">
              <w:rPr>
                <w:rFonts w:ascii="Franklin Gothic Book" w:hAnsi="Franklin Gothic Book"/>
                <w:sz w:val="16"/>
                <w:szCs w:val="16"/>
              </w:rPr>
              <w:t>could</w:t>
            </w:r>
            <w:r w:rsidRPr="008609C3">
              <w:rPr>
                <w:rFonts w:ascii="Franklin Gothic Book" w:hAnsi="Franklin Gothic Book"/>
                <w:sz w:val="16"/>
                <w:szCs w:val="16"/>
              </w:rPr>
              <w:t xml:space="preserve"> commence in 2017 </w:t>
            </w:r>
            <w:r w:rsidR="00A84447">
              <w:rPr>
                <w:rFonts w:ascii="Franklin Gothic Book" w:hAnsi="Franklin Gothic Book"/>
                <w:sz w:val="16"/>
                <w:szCs w:val="16"/>
              </w:rPr>
              <w:t xml:space="preserve">if </w:t>
            </w:r>
            <w:r w:rsidRPr="008609C3">
              <w:rPr>
                <w:rFonts w:ascii="Franklin Gothic Book" w:hAnsi="Franklin Gothic Book"/>
                <w:sz w:val="16"/>
                <w:szCs w:val="16"/>
              </w:rPr>
              <w:t>execution by remaining members</w:t>
            </w:r>
            <w:r w:rsidR="00A84447">
              <w:rPr>
                <w:rFonts w:ascii="Franklin Gothic Book" w:hAnsi="Franklin Gothic Book"/>
                <w:sz w:val="16"/>
                <w:szCs w:val="16"/>
              </w:rPr>
              <w:t xml:space="preserve"> takes place</w:t>
            </w:r>
            <w:r w:rsidRPr="008609C3">
              <w:rPr>
                <w:rFonts w:ascii="Franklin Gothic Book" w:hAnsi="Franklin Gothic Book"/>
                <w:sz w:val="16"/>
                <w:szCs w:val="16"/>
              </w:rPr>
              <w:t>.</w:t>
            </w:r>
          </w:p>
        </w:tc>
      </w:tr>
      <w:tr w:rsidR="00BF7CEC" w:rsidRPr="00C61187" w14:paraId="480B877F" w14:textId="77777777" w:rsidTr="00564DEC">
        <w:trPr>
          <w:trHeight w:val="1079"/>
        </w:trPr>
        <w:tc>
          <w:tcPr>
            <w:tcW w:w="734" w:type="pct"/>
            <w:tcMar>
              <w:top w:w="57" w:type="dxa"/>
              <w:bottom w:w="57" w:type="dxa"/>
            </w:tcMar>
          </w:tcPr>
          <w:p w14:paraId="78A7BF31" w14:textId="77777777" w:rsidR="00BF7CEC" w:rsidRPr="001C70C5" w:rsidRDefault="00BF7CEC" w:rsidP="00BF7CEC">
            <w:pPr>
              <w:keepLines/>
              <w:spacing w:before="40" w:after="40" w:line="200" w:lineRule="atLeast"/>
              <w:rPr>
                <w:rFonts w:eastAsia="Times New Roman"/>
                <w:b/>
                <w:iCs/>
                <w:sz w:val="16"/>
                <w:szCs w:val="16"/>
              </w:rPr>
            </w:pPr>
          </w:p>
        </w:tc>
        <w:tc>
          <w:tcPr>
            <w:tcW w:w="826" w:type="pct"/>
          </w:tcPr>
          <w:p w14:paraId="565EAA5E" w14:textId="77777777" w:rsidR="00BF7CEC" w:rsidRPr="002B2525" w:rsidRDefault="00BF7CEC" w:rsidP="00BF7CEC">
            <w:pPr>
              <w:keepLines/>
              <w:spacing w:before="40" w:after="40" w:line="200" w:lineRule="atLeast"/>
              <w:rPr>
                <w:rFonts w:ascii="Franklin Gothic Book" w:hAnsi="Franklin Gothic Book"/>
                <w:sz w:val="16"/>
                <w:szCs w:val="16"/>
              </w:rPr>
            </w:pPr>
            <w:r w:rsidRPr="002B2525">
              <w:rPr>
                <w:rFonts w:ascii="Franklin Gothic Book" w:hAnsi="Franklin Gothic Book"/>
                <w:sz w:val="16"/>
                <w:szCs w:val="16"/>
              </w:rPr>
              <w:t>Strengthened institutional water resource management frameworks (3 in 2016-17)</w:t>
            </w:r>
          </w:p>
        </w:tc>
        <w:tc>
          <w:tcPr>
            <w:tcW w:w="470" w:type="pct"/>
            <w:shd w:val="clear" w:color="auto" w:fill="7FB64D" w:themeFill="accent3" w:themeFillShade="BF"/>
          </w:tcPr>
          <w:p w14:paraId="08BAC3D3" w14:textId="77777777" w:rsidR="00BF7CEC" w:rsidRPr="001C70C5" w:rsidRDefault="00BF7CEC" w:rsidP="00BF7CEC">
            <w:pPr>
              <w:keepLines/>
              <w:spacing w:before="40" w:after="40" w:line="200" w:lineRule="atLeast"/>
              <w:jc w:val="center"/>
              <w:rPr>
                <w:rFonts w:eastAsia="Times New Roman"/>
                <w:iCs/>
                <w:color w:val="FFFFFF" w:themeColor="background1"/>
                <w:sz w:val="16"/>
                <w:szCs w:val="16"/>
              </w:rPr>
            </w:pPr>
            <w:r w:rsidRPr="001C70C5">
              <w:rPr>
                <w:rFonts w:asciiTheme="minorHAnsi" w:eastAsia="Times New Roman" w:hAnsiTheme="minorHAnsi"/>
                <w:iCs/>
                <w:color w:val="FFFFFF" w:themeColor="background1"/>
                <w:sz w:val="16"/>
                <w:szCs w:val="16"/>
                <w:lang w:eastAsia="en-US"/>
              </w:rPr>
              <w:t>Achieved</w:t>
            </w:r>
          </w:p>
        </w:tc>
        <w:tc>
          <w:tcPr>
            <w:tcW w:w="2970" w:type="pct"/>
          </w:tcPr>
          <w:p w14:paraId="7FF729CD" w14:textId="77777777" w:rsidR="00BF7CEC" w:rsidRPr="002B2525" w:rsidRDefault="00F44197" w:rsidP="004C79D5">
            <w:pPr>
              <w:keepLines/>
              <w:spacing w:before="40" w:after="40" w:line="200" w:lineRule="atLeast"/>
              <w:rPr>
                <w:rFonts w:ascii="Franklin Gothic Book" w:hAnsi="Franklin Gothic Book"/>
                <w:sz w:val="16"/>
                <w:szCs w:val="16"/>
              </w:rPr>
            </w:pPr>
            <w:r>
              <w:rPr>
                <w:rFonts w:ascii="Franklin Gothic Book" w:hAnsi="Franklin Gothic Book"/>
                <w:sz w:val="16"/>
                <w:szCs w:val="16"/>
              </w:rPr>
              <w:t xml:space="preserve">The </w:t>
            </w:r>
            <w:r w:rsidR="0089494D" w:rsidRPr="00DF3F70">
              <w:rPr>
                <w:rFonts w:ascii="Franklin Gothic Book" w:hAnsi="Franklin Gothic Book"/>
                <w:sz w:val="16"/>
                <w:szCs w:val="16"/>
              </w:rPr>
              <w:t xml:space="preserve">Mekong River Commission has completed its restructuring and is now a leaner and more effective organisation. MRC has professionally implemented </w:t>
            </w:r>
            <w:r w:rsidR="0089494D">
              <w:rPr>
                <w:rFonts w:ascii="Franklin Gothic Book" w:hAnsi="Franklin Gothic Book"/>
                <w:sz w:val="16"/>
                <w:szCs w:val="16"/>
              </w:rPr>
              <w:t xml:space="preserve">MRC Procedures for Notification, Prior Consultation and Agreement (PNPCA) conducting </w:t>
            </w:r>
            <w:r w:rsidR="0089494D" w:rsidRPr="00DF3F70">
              <w:rPr>
                <w:rFonts w:ascii="Franklin Gothic Book" w:hAnsi="Franklin Gothic Book"/>
                <w:sz w:val="16"/>
                <w:szCs w:val="16"/>
              </w:rPr>
              <w:t>multi-stakeholder, inter-governmental analysis of the propos</w:t>
            </w:r>
            <w:r w:rsidR="0089494D">
              <w:rPr>
                <w:rFonts w:ascii="Franklin Gothic Book" w:hAnsi="Franklin Gothic Book"/>
                <w:sz w:val="16"/>
                <w:szCs w:val="16"/>
              </w:rPr>
              <w:t>ed Pak Beng hydropower project. In Myanmar,</w:t>
            </w:r>
            <w:r w:rsidR="00F374F1">
              <w:rPr>
                <w:rFonts w:ascii="Franklin Gothic Book" w:hAnsi="Franklin Gothic Book"/>
                <w:sz w:val="16"/>
                <w:szCs w:val="16"/>
              </w:rPr>
              <w:t xml:space="preserve"> the</w:t>
            </w:r>
            <w:r w:rsidR="0089494D">
              <w:rPr>
                <w:rFonts w:ascii="Franklin Gothic Book" w:hAnsi="Franklin Gothic Book"/>
                <w:sz w:val="16"/>
                <w:szCs w:val="16"/>
              </w:rPr>
              <w:t xml:space="preserve"> </w:t>
            </w:r>
            <w:r w:rsidR="0089494D" w:rsidRPr="00DF3F70">
              <w:rPr>
                <w:rFonts w:ascii="Franklin Gothic Book" w:hAnsi="Franklin Gothic Book"/>
                <w:sz w:val="16"/>
                <w:szCs w:val="16"/>
              </w:rPr>
              <w:t>Ayeyarwady State of the Basin Assessment for the Myanmar National Water Resources Committee, and the Strategic Environmental Assessment of the Myanmar hydropower sector for the Ministries of energy, electricity, nat</w:t>
            </w:r>
            <w:r w:rsidR="0089494D">
              <w:rPr>
                <w:rFonts w:ascii="Franklin Gothic Book" w:hAnsi="Franklin Gothic Book"/>
                <w:sz w:val="16"/>
                <w:szCs w:val="16"/>
              </w:rPr>
              <w:t>ural resources and conservation are providing comprehensive options assessment</w:t>
            </w:r>
            <w:r w:rsidR="00F374F1">
              <w:rPr>
                <w:rFonts w:ascii="Franklin Gothic Book" w:hAnsi="Franklin Gothic Book"/>
                <w:sz w:val="16"/>
                <w:szCs w:val="16"/>
              </w:rPr>
              <w:t>s</w:t>
            </w:r>
            <w:r w:rsidR="0089494D">
              <w:rPr>
                <w:rFonts w:ascii="Franklin Gothic Book" w:hAnsi="Franklin Gothic Book"/>
                <w:sz w:val="16"/>
                <w:szCs w:val="16"/>
              </w:rPr>
              <w:t xml:space="preserve">. In Laos, </w:t>
            </w:r>
            <w:r w:rsidR="0089494D" w:rsidRPr="00DF3F70">
              <w:rPr>
                <w:rFonts w:ascii="Franklin Gothic Book" w:hAnsi="Franklin Gothic Book"/>
                <w:sz w:val="16"/>
                <w:szCs w:val="16"/>
              </w:rPr>
              <w:t xml:space="preserve">a new water law </w:t>
            </w:r>
            <w:r w:rsidR="0089494D">
              <w:rPr>
                <w:rFonts w:ascii="Franklin Gothic Book" w:hAnsi="Franklin Gothic Book"/>
                <w:sz w:val="16"/>
                <w:szCs w:val="16"/>
              </w:rPr>
              <w:t xml:space="preserve">is adopted, </w:t>
            </w:r>
            <w:r w:rsidR="0089494D" w:rsidRPr="00DF3F70">
              <w:rPr>
                <w:rFonts w:ascii="Franklin Gothic Book" w:hAnsi="Franklin Gothic Book"/>
                <w:sz w:val="16"/>
                <w:szCs w:val="16"/>
              </w:rPr>
              <w:t>river basin planning advanced</w:t>
            </w:r>
            <w:r w:rsidR="0089494D">
              <w:rPr>
                <w:rFonts w:ascii="Franklin Gothic Book" w:hAnsi="Franklin Gothic Book"/>
                <w:sz w:val="16"/>
                <w:szCs w:val="16"/>
              </w:rPr>
              <w:t xml:space="preserve"> (Nam Ou, key Mekong tributary)</w:t>
            </w:r>
            <w:r w:rsidR="0089494D" w:rsidRPr="00DF3F70">
              <w:rPr>
                <w:rFonts w:ascii="Franklin Gothic Book" w:hAnsi="Franklin Gothic Book"/>
                <w:sz w:val="16"/>
                <w:szCs w:val="16"/>
              </w:rPr>
              <w:t>, cumulative impact assessment method accepted and demonstration negotiated</w:t>
            </w:r>
            <w:r w:rsidR="0089494D">
              <w:rPr>
                <w:rFonts w:ascii="Franklin Gothic Book" w:hAnsi="Franklin Gothic Book"/>
                <w:sz w:val="16"/>
                <w:szCs w:val="16"/>
              </w:rPr>
              <w:t xml:space="preserve"> (for Sekong)</w:t>
            </w:r>
            <w:r w:rsidR="0089494D" w:rsidRPr="00DF3F70">
              <w:rPr>
                <w:rFonts w:ascii="Franklin Gothic Book" w:hAnsi="Franklin Gothic Book"/>
                <w:sz w:val="16"/>
                <w:szCs w:val="16"/>
              </w:rPr>
              <w:t>. All impact assessment</w:t>
            </w:r>
            <w:r w:rsidR="00F374F1">
              <w:rPr>
                <w:rFonts w:ascii="Franklin Gothic Book" w:hAnsi="Franklin Gothic Book"/>
                <w:sz w:val="16"/>
                <w:szCs w:val="16"/>
              </w:rPr>
              <w:t>s</w:t>
            </w:r>
            <w:r w:rsidR="0089494D" w:rsidRPr="00DF3F70">
              <w:rPr>
                <w:rFonts w:ascii="Franklin Gothic Book" w:hAnsi="Franklin Gothic Book"/>
                <w:sz w:val="16"/>
                <w:szCs w:val="16"/>
              </w:rPr>
              <w:t xml:space="preserve"> and future projections take account of different climate change scenarios. Research for development partnerships </w:t>
            </w:r>
            <w:r w:rsidR="0089494D">
              <w:rPr>
                <w:rFonts w:ascii="Franklin Gothic Book" w:hAnsi="Franklin Gothic Book"/>
                <w:sz w:val="16"/>
                <w:szCs w:val="16"/>
              </w:rPr>
              <w:t xml:space="preserve">are </w:t>
            </w:r>
            <w:r w:rsidR="0089494D" w:rsidRPr="00DF3F70">
              <w:rPr>
                <w:rFonts w:ascii="Franklin Gothic Book" w:hAnsi="Franklin Gothic Book"/>
                <w:sz w:val="16"/>
                <w:szCs w:val="16"/>
              </w:rPr>
              <w:t>informing and influencing p</w:t>
            </w:r>
            <w:r w:rsidR="0089494D">
              <w:rPr>
                <w:rFonts w:ascii="Franklin Gothic Book" w:hAnsi="Franklin Gothic Book"/>
                <w:sz w:val="16"/>
                <w:szCs w:val="16"/>
              </w:rPr>
              <w:t>olicy dialogue</w:t>
            </w:r>
            <w:r w:rsidR="0089494D" w:rsidRPr="00DF3F70">
              <w:rPr>
                <w:rFonts w:ascii="Franklin Gothic Book" w:hAnsi="Franklin Gothic Book"/>
                <w:sz w:val="16"/>
                <w:szCs w:val="16"/>
              </w:rPr>
              <w:t xml:space="preserve">. All </w:t>
            </w:r>
            <w:r w:rsidR="0089494D">
              <w:rPr>
                <w:rFonts w:ascii="Franklin Gothic Book" w:hAnsi="Franklin Gothic Book"/>
                <w:sz w:val="16"/>
                <w:szCs w:val="16"/>
              </w:rPr>
              <w:t xml:space="preserve">implementing </w:t>
            </w:r>
            <w:r w:rsidR="0089494D" w:rsidRPr="00DF3F70">
              <w:rPr>
                <w:rFonts w:ascii="Franklin Gothic Book" w:hAnsi="Franklin Gothic Book"/>
                <w:sz w:val="16"/>
                <w:szCs w:val="16"/>
              </w:rPr>
              <w:t>pa</w:t>
            </w:r>
            <w:r w:rsidR="0089494D">
              <w:rPr>
                <w:rFonts w:ascii="Franklin Gothic Book" w:hAnsi="Franklin Gothic Book"/>
                <w:sz w:val="16"/>
                <w:szCs w:val="16"/>
              </w:rPr>
              <w:t xml:space="preserve">rtners </w:t>
            </w:r>
            <w:r w:rsidR="0089494D" w:rsidRPr="00DF3F70">
              <w:rPr>
                <w:rFonts w:ascii="Franklin Gothic Book" w:hAnsi="Franklin Gothic Book"/>
                <w:sz w:val="16"/>
                <w:szCs w:val="16"/>
              </w:rPr>
              <w:t>are making a contribution towards greater gender equality.</w:t>
            </w:r>
          </w:p>
        </w:tc>
      </w:tr>
      <w:tr w:rsidR="00BF7CEC" w:rsidRPr="00C61187" w14:paraId="593A2916" w14:textId="77777777" w:rsidTr="00564DEC">
        <w:trPr>
          <w:trHeight w:val="888"/>
        </w:trPr>
        <w:tc>
          <w:tcPr>
            <w:tcW w:w="734" w:type="pct"/>
            <w:tcMar>
              <w:top w:w="57" w:type="dxa"/>
              <w:bottom w:w="57" w:type="dxa"/>
            </w:tcMar>
          </w:tcPr>
          <w:p w14:paraId="7D59EDDF" w14:textId="77777777" w:rsidR="00BF7CEC" w:rsidRPr="001C70C5" w:rsidRDefault="00BF7CEC" w:rsidP="00BF7CEC">
            <w:pPr>
              <w:keepLines/>
              <w:spacing w:before="40" w:after="40" w:line="200" w:lineRule="atLeast"/>
              <w:rPr>
                <w:rFonts w:asciiTheme="minorHAnsi" w:eastAsia="Times New Roman" w:hAnsiTheme="minorHAnsi"/>
                <w:b/>
                <w:iCs/>
                <w:sz w:val="16"/>
                <w:szCs w:val="16"/>
                <w:lang w:eastAsia="en-US"/>
              </w:rPr>
            </w:pPr>
            <w:r w:rsidRPr="001C70C5">
              <w:rPr>
                <w:rFonts w:asciiTheme="minorHAnsi" w:eastAsia="Times New Roman" w:hAnsiTheme="minorHAnsi"/>
                <w:b/>
                <w:iCs/>
                <w:sz w:val="16"/>
                <w:szCs w:val="16"/>
                <w:lang w:eastAsia="en-US"/>
              </w:rPr>
              <w:t>Strengthening regional responses to trafficking and the exploitation of migrant workers</w:t>
            </w:r>
          </w:p>
        </w:tc>
        <w:tc>
          <w:tcPr>
            <w:tcW w:w="826" w:type="pct"/>
          </w:tcPr>
          <w:p w14:paraId="7E0782F0" w14:textId="77777777" w:rsidR="00BF7CEC" w:rsidRPr="002B2525" w:rsidRDefault="00BF7CEC" w:rsidP="00BF7CEC">
            <w:pPr>
              <w:keepLines/>
              <w:spacing w:before="40" w:after="40" w:line="200" w:lineRule="atLeast"/>
              <w:rPr>
                <w:rFonts w:ascii="Franklin Gothic Book" w:hAnsi="Franklin Gothic Book"/>
                <w:sz w:val="16"/>
                <w:szCs w:val="16"/>
              </w:rPr>
            </w:pPr>
            <w:r w:rsidRPr="002B2525">
              <w:rPr>
                <w:rFonts w:ascii="Franklin Gothic Book" w:hAnsi="Franklin Gothic Book"/>
                <w:sz w:val="16"/>
                <w:szCs w:val="16"/>
              </w:rPr>
              <w:t>Number of TIP case investigations in which partners are cooperating (5 or more TIP case investigations)</w:t>
            </w:r>
          </w:p>
        </w:tc>
        <w:tc>
          <w:tcPr>
            <w:tcW w:w="470" w:type="pct"/>
            <w:shd w:val="clear" w:color="auto" w:fill="7FB64D" w:themeFill="accent3" w:themeFillShade="BF"/>
          </w:tcPr>
          <w:p w14:paraId="01372601" w14:textId="77777777" w:rsidR="00BF7CEC" w:rsidRPr="001C70C5" w:rsidRDefault="00BF7CEC" w:rsidP="0015425D">
            <w:pPr>
              <w:keepLines/>
              <w:spacing w:before="40" w:after="40" w:line="200" w:lineRule="atLeast"/>
              <w:jc w:val="center"/>
              <w:rPr>
                <w:rFonts w:asciiTheme="minorHAnsi" w:eastAsia="Times New Roman" w:hAnsiTheme="minorHAnsi"/>
                <w:iCs/>
                <w:sz w:val="16"/>
                <w:szCs w:val="16"/>
                <w:lang w:eastAsia="en-US"/>
              </w:rPr>
            </w:pPr>
            <w:r w:rsidRPr="001C70C5">
              <w:rPr>
                <w:rFonts w:asciiTheme="minorHAnsi" w:eastAsia="Times New Roman" w:hAnsiTheme="minorHAnsi"/>
                <w:iCs/>
                <w:color w:val="FFFFFF" w:themeColor="background1"/>
                <w:sz w:val="16"/>
                <w:szCs w:val="16"/>
                <w:lang w:eastAsia="en-US"/>
              </w:rPr>
              <w:t>Achieved</w:t>
            </w:r>
          </w:p>
        </w:tc>
        <w:tc>
          <w:tcPr>
            <w:tcW w:w="2970" w:type="pct"/>
          </w:tcPr>
          <w:p w14:paraId="3BB9AEBC" w14:textId="22F89ACB" w:rsidR="00426C14" w:rsidRDefault="00426C14" w:rsidP="00440A8B">
            <w:pPr>
              <w:keepLines/>
              <w:spacing w:before="40" w:after="40" w:line="200" w:lineRule="atLeast"/>
              <w:rPr>
                <w:rFonts w:ascii="Franklin Gothic Book" w:hAnsi="Franklin Gothic Book"/>
                <w:sz w:val="16"/>
                <w:szCs w:val="16"/>
              </w:rPr>
            </w:pPr>
            <w:r w:rsidRPr="00426C14">
              <w:rPr>
                <w:rFonts w:ascii="Franklin Gothic Book" w:hAnsi="Franklin Gothic Book"/>
                <w:sz w:val="16"/>
                <w:szCs w:val="16"/>
              </w:rPr>
              <w:t xml:space="preserve">Exceeded. 19 of 35 active investigations, have reached a stage where tangible results are emerging, including the rescue of victims, arrests and prosecutions.  These investigations are managed within eight ‘Transnational Investigative Cooperation’ partnerships </w:t>
            </w:r>
            <w:r w:rsidR="000070BB">
              <w:rPr>
                <w:rFonts w:ascii="Franklin Gothic Book" w:hAnsi="Franklin Gothic Book"/>
                <w:sz w:val="16"/>
                <w:szCs w:val="16"/>
              </w:rPr>
              <w:t xml:space="preserve">between </w:t>
            </w:r>
            <w:r w:rsidRPr="00426C14">
              <w:rPr>
                <w:rFonts w:ascii="Franklin Gothic Book" w:hAnsi="Franklin Gothic Book"/>
                <w:sz w:val="16"/>
                <w:szCs w:val="16"/>
              </w:rPr>
              <w:t>the major human trafficking source, tra</w:t>
            </w:r>
            <w:r>
              <w:rPr>
                <w:rFonts w:ascii="Franklin Gothic Book" w:hAnsi="Franklin Gothic Book"/>
                <w:sz w:val="16"/>
                <w:szCs w:val="16"/>
              </w:rPr>
              <w:t>nsit and destination countries.</w:t>
            </w:r>
          </w:p>
          <w:p w14:paraId="5D7128E1" w14:textId="77777777" w:rsidR="00BF7CEC" w:rsidRPr="002B2525" w:rsidRDefault="00BF7CEC" w:rsidP="00440A8B">
            <w:pPr>
              <w:keepLines/>
              <w:spacing w:before="40" w:after="40" w:line="200" w:lineRule="atLeast"/>
              <w:rPr>
                <w:rFonts w:ascii="Franklin Gothic Book" w:hAnsi="Franklin Gothic Book"/>
                <w:sz w:val="16"/>
                <w:szCs w:val="16"/>
              </w:rPr>
            </w:pPr>
          </w:p>
        </w:tc>
      </w:tr>
      <w:tr w:rsidR="0015425D" w:rsidRPr="00C61187" w14:paraId="45399190" w14:textId="77777777" w:rsidTr="00564DEC">
        <w:trPr>
          <w:trHeight w:val="888"/>
        </w:trPr>
        <w:tc>
          <w:tcPr>
            <w:tcW w:w="734" w:type="pct"/>
            <w:tcMar>
              <w:top w:w="57" w:type="dxa"/>
              <w:bottom w:w="57" w:type="dxa"/>
            </w:tcMar>
          </w:tcPr>
          <w:p w14:paraId="274719AB" w14:textId="77777777" w:rsidR="0015425D" w:rsidRPr="001C70C5" w:rsidRDefault="0015425D" w:rsidP="00BF7CEC">
            <w:pPr>
              <w:keepLines/>
              <w:spacing w:before="40" w:after="40" w:line="200" w:lineRule="atLeast"/>
              <w:rPr>
                <w:rFonts w:eastAsia="Times New Roman"/>
                <w:b/>
                <w:iCs/>
                <w:sz w:val="16"/>
                <w:szCs w:val="16"/>
              </w:rPr>
            </w:pPr>
            <w:r w:rsidRPr="0036148B">
              <w:rPr>
                <w:rFonts w:eastAsia="Times New Roman"/>
                <w:b/>
                <w:i/>
                <w:iCs/>
                <w:sz w:val="16"/>
                <w:szCs w:val="16"/>
              </w:rPr>
              <w:t>New</w:t>
            </w:r>
          </w:p>
        </w:tc>
        <w:tc>
          <w:tcPr>
            <w:tcW w:w="826" w:type="pct"/>
          </w:tcPr>
          <w:p w14:paraId="6DB08571" w14:textId="77777777" w:rsidR="0015425D" w:rsidRPr="002B2525" w:rsidRDefault="0015425D" w:rsidP="00BF7CEC">
            <w:pPr>
              <w:keepLines/>
              <w:spacing w:before="40" w:after="40" w:line="200" w:lineRule="atLeast"/>
              <w:rPr>
                <w:rFonts w:ascii="Franklin Gothic Book" w:hAnsi="Franklin Gothic Book"/>
                <w:sz w:val="16"/>
                <w:szCs w:val="16"/>
              </w:rPr>
            </w:pPr>
            <w:r w:rsidRPr="00503300">
              <w:rPr>
                <w:rFonts w:ascii="Franklin Gothic Book" w:hAnsi="Franklin Gothic Book"/>
                <w:sz w:val="16"/>
                <w:szCs w:val="16"/>
              </w:rPr>
              <w:t>Percentage of people trained under AAPTIP projects recording follow-on skill and knowledge changes demonstrated in the workplace (Target: 50 percent or more of sampled people reporting change)</w:t>
            </w:r>
          </w:p>
        </w:tc>
        <w:tc>
          <w:tcPr>
            <w:tcW w:w="470" w:type="pct"/>
            <w:shd w:val="clear" w:color="auto" w:fill="7FB64D" w:themeFill="accent3" w:themeFillShade="BF"/>
          </w:tcPr>
          <w:p w14:paraId="27FC3577" w14:textId="77777777" w:rsidR="0015425D" w:rsidRPr="0015425D" w:rsidRDefault="0015425D" w:rsidP="0015425D">
            <w:pPr>
              <w:keepLines/>
              <w:spacing w:before="40" w:after="40" w:line="200" w:lineRule="atLeast"/>
              <w:jc w:val="center"/>
              <w:rPr>
                <w:rFonts w:eastAsia="Times New Roman"/>
                <w:iCs/>
                <w:color w:val="auto"/>
                <w:sz w:val="14"/>
                <w:szCs w:val="14"/>
              </w:rPr>
            </w:pPr>
            <w:r w:rsidRPr="001C70C5">
              <w:rPr>
                <w:rFonts w:asciiTheme="minorHAnsi" w:eastAsia="Times New Roman" w:hAnsiTheme="minorHAnsi"/>
                <w:iCs/>
                <w:color w:val="FFFFFF" w:themeColor="background1"/>
                <w:sz w:val="16"/>
                <w:szCs w:val="16"/>
                <w:lang w:eastAsia="en-US"/>
              </w:rPr>
              <w:t xml:space="preserve">Achieved </w:t>
            </w:r>
          </w:p>
        </w:tc>
        <w:tc>
          <w:tcPr>
            <w:tcW w:w="2970" w:type="pct"/>
          </w:tcPr>
          <w:p w14:paraId="119BE1FC" w14:textId="77777777" w:rsidR="0015425D" w:rsidRPr="00503300" w:rsidRDefault="0015425D" w:rsidP="00E75DA3">
            <w:pPr>
              <w:keepLines/>
              <w:spacing w:before="40" w:after="40" w:line="200" w:lineRule="atLeast"/>
              <w:rPr>
                <w:rFonts w:ascii="Franklin Gothic Book" w:hAnsi="Franklin Gothic Book"/>
                <w:sz w:val="16"/>
                <w:szCs w:val="16"/>
              </w:rPr>
            </w:pPr>
            <w:r w:rsidRPr="00503300">
              <w:rPr>
                <w:rFonts w:ascii="Franklin Gothic Book" w:hAnsi="Franklin Gothic Book"/>
                <w:sz w:val="16"/>
                <w:szCs w:val="16"/>
              </w:rPr>
              <w:t>Exceeded: 80 percent of sampled law enforcement participants are using their new skills and knowledge in the workplace; 60 percent of sampled prosecutors are using their new skills; 74 percent of sampled judges demonstrating behaviour change. [Source: APR 2016/17 p.2]</w:t>
            </w:r>
          </w:p>
          <w:p w14:paraId="24394C87" w14:textId="77777777" w:rsidR="0015425D" w:rsidRPr="002B2525" w:rsidRDefault="0015425D" w:rsidP="00440A8B">
            <w:pPr>
              <w:keepLines/>
              <w:spacing w:before="40" w:after="40" w:line="200" w:lineRule="atLeast"/>
              <w:rPr>
                <w:rFonts w:ascii="Franklin Gothic Book" w:hAnsi="Franklin Gothic Book"/>
                <w:sz w:val="16"/>
                <w:szCs w:val="16"/>
              </w:rPr>
            </w:pPr>
          </w:p>
        </w:tc>
      </w:tr>
      <w:tr w:rsidR="0015425D" w:rsidRPr="00D05C30" w14:paraId="53B52DC0" w14:textId="77777777" w:rsidTr="00564DEC">
        <w:trPr>
          <w:trHeight w:val="888"/>
        </w:trPr>
        <w:tc>
          <w:tcPr>
            <w:tcW w:w="734" w:type="pct"/>
            <w:tcMar>
              <w:top w:w="57" w:type="dxa"/>
              <w:bottom w:w="57" w:type="dxa"/>
            </w:tcMar>
          </w:tcPr>
          <w:p w14:paraId="4C9215D5" w14:textId="77777777" w:rsidR="0015425D" w:rsidRPr="00D05C30" w:rsidRDefault="0015425D" w:rsidP="00BF7CEC">
            <w:pPr>
              <w:keepLines/>
              <w:spacing w:before="40" w:after="40" w:line="200" w:lineRule="atLeast"/>
              <w:rPr>
                <w:rFonts w:asciiTheme="minorHAnsi" w:eastAsia="Times New Roman" w:hAnsiTheme="minorHAnsi"/>
                <w:iCs/>
                <w:sz w:val="16"/>
                <w:szCs w:val="16"/>
                <w:lang w:eastAsia="en-US"/>
              </w:rPr>
            </w:pPr>
            <w:r w:rsidRPr="0036148B">
              <w:rPr>
                <w:rFonts w:eastAsia="Times New Roman"/>
                <w:b/>
                <w:i/>
                <w:iCs/>
                <w:sz w:val="16"/>
                <w:szCs w:val="16"/>
              </w:rPr>
              <w:t>New</w:t>
            </w:r>
          </w:p>
        </w:tc>
        <w:tc>
          <w:tcPr>
            <w:tcW w:w="826" w:type="pct"/>
          </w:tcPr>
          <w:p w14:paraId="1B5C6206" w14:textId="77777777" w:rsidR="0015425D" w:rsidRPr="002B2525" w:rsidRDefault="0015425D" w:rsidP="009404EA">
            <w:pPr>
              <w:keepLines/>
              <w:spacing w:before="40" w:after="40" w:line="200" w:lineRule="atLeast"/>
              <w:rPr>
                <w:rFonts w:ascii="Franklin Gothic Book" w:hAnsi="Franklin Gothic Book"/>
                <w:sz w:val="16"/>
                <w:szCs w:val="16"/>
              </w:rPr>
            </w:pPr>
            <w:r w:rsidRPr="002B2525">
              <w:rPr>
                <w:rFonts w:ascii="Franklin Gothic Book" w:hAnsi="Franklin Gothic Book"/>
                <w:sz w:val="16"/>
                <w:szCs w:val="16"/>
              </w:rPr>
              <w:t>Number of women and men who receive support services through Migrant Resource Centres (services maintained during inception)</w:t>
            </w:r>
          </w:p>
        </w:tc>
        <w:tc>
          <w:tcPr>
            <w:tcW w:w="470" w:type="pct"/>
            <w:shd w:val="clear" w:color="auto" w:fill="7FB64D" w:themeFill="accent3" w:themeFillShade="BF"/>
          </w:tcPr>
          <w:p w14:paraId="42294B42" w14:textId="77777777" w:rsidR="0015425D" w:rsidRPr="0015425D" w:rsidRDefault="0015425D" w:rsidP="00E0682F">
            <w:pPr>
              <w:keepLines/>
              <w:spacing w:before="40" w:after="40" w:line="200" w:lineRule="atLeast"/>
              <w:jc w:val="center"/>
              <w:rPr>
                <w:rFonts w:asciiTheme="minorHAnsi" w:eastAsia="Times New Roman" w:hAnsiTheme="minorHAnsi"/>
                <w:iCs/>
                <w:color w:val="auto"/>
                <w:sz w:val="16"/>
                <w:szCs w:val="16"/>
                <w:lang w:eastAsia="en-US"/>
              </w:rPr>
            </w:pPr>
            <w:r w:rsidRPr="001C70C5">
              <w:rPr>
                <w:rFonts w:asciiTheme="minorHAnsi" w:eastAsia="Times New Roman" w:hAnsiTheme="minorHAnsi"/>
                <w:iCs/>
                <w:color w:val="FFFFFF" w:themeColor="background1"/>
                <w:sz w:val="16"/>
                <w:szCs w:val="16"/>
                <w:lang w:eastAsia="en-US"/>
              </w:rPr>
              <w:t>Achieved</w:t>
            </w:r>
          </w:p>
        </w:tc>
        <w:tc>
          <w:tcPr>
            <w:tcW w:w="2970" w:type="pct"/>
          </w:tcPr>
          <w:p w14:paraId="4538FCF7" w14:textId="77777777" w:rsidR="0015425D" w:rsidRPr="00440A8B" w:rsidRDefault="0015425D" w:rsidP="00440A8B">
            <w:pPr>
              <w:keepLines/>
              <w:spacing w:before="40" w:after="40" w:line="200" w:lineRule="atLeast"/>
              <w:rPr>
                <w:rFonts w:ascii="Franklin Gothic Book" w:hAnsi="Franklin Gothic Book"/>
                <w:sz w:val="16"/>
                <w:szCs w:val="16"/>
                <w:lang w:eastAsia="en-US"/>
              </w:rPr>
            </w:pPr>
            <w:r w:rsidRPr="00440A8B">
              <w:rPr>
                <w:rFonts w:ascii="Franklin Gothic Book" w:hAnsi="Franklin Gothic Book"/>
                <w:sz w:val="16"/>
                <w:szCs w:val="16"/>
                <w:lang w:eastAsia="en-US"/>
              </w:rPr>
              <w:t xml:space="preserve">Between November 2015 and December 2016, over 13,360 beneficiaries received support services from Migrant Resource Centres, 5,489 (41%) women and 7,871 (59%) men. </w:t>
            </w:r>
          </w:p>
          <w:p w14:paraId="364D6F57" w14:textId="0C770E8A" w:rsidR="0015425D" w:rsidRPr="002B2525" w:rsidRDefault="000070BB" w:rsidP="000070BB">
            <w:pPr>
              <w:keepLines/>
              <w:spacing w:before="40" w:after="40" w:line="200" w:lineRule="atLeast"/>
              <w:rPr>
                <w:rFonts w:ascii="Franklin Gothic Book" w:hAnsi="Franklin Gothic Book"/>
                <w:sz w:val="16"/>
                <w:szCs w:val="16"/>
              </w:rPr>
            </w:pPr>
            <w:r>
              <w:rPr>
                <w:rFonts w:ascii="Franklin Gothic Book" w:hAnsi="Franklin Gothic Book"/>
                <w:sz w:val="16"/>
                <w:szCs w:val="16"/>
                <w:lang w:eastAsia="en-US"/>
              </w:rPr>
              <w:t xml:space="preserve">Baseline </w:t>
            </w:r>
            <w:r w:rsidR="0015425D" w:rsidRPr="00440A8B">
              <w:rPr>
                <w:rFonts w:ascii="Franklin Gothic Book" w:hAnsi="Franklin Gothic Book"/>
                <w:sz w:val="16"/>
                <w:szCs w:val="16"/>
                <w:lang w:eastAsia="en-US"/>
              </w:rPr>
              <w:t>12,000 (W41</w:t>
            </w:r>
            <w:r>
              <w:rPr>
                <w:rFonts w:ascii="Franklin Gothic Book" w:hAnsi="Franklin Gothic Book"/>
                <w:sz w:val="16"/>
                <w:szCs w:val="16"/>
                <w:lang w:eastAsia="en-US"/>
              </w:rPr>
              <w:t>%</w:t>
            </w:r>
            <w:r w:rsidR="0015425D" w:rsidRPr="00440A8B">
              <w:rPr>
                <w:rFonts w:ascii="Franklin Gothic Book" w:hAnsi="Franklin Gothic Book"/>
                <w:sz w:val="16"/>
                <w:szCs w:val="16"/>
                <w:lang w:eastAsia="en-US"/>
              </w:rPr>
              <w:t>/M59%)</w:t>
            </w:r>
          </w:p>
        </w:tc>
      </w:tr>
      <w:tr w:rsidR="0015425D" w:rsidRPr="00D05C30" w14:paraId="1540C366" w14:textId="77777777" w:rsidTr="00564DEC">
        <w:trPr>
          <w:trHeight w:val="888"/>
        </w:trPr>
        <w:tc>
          <w:tcPr>
            <w:tcW w:w="734" w:type="pct"/>
            <w:tcMar>
              <w:top w:w="57" w:type="dxa"/>
              <w:bottom w:w="57" w:type="dxa"/>
            </w:tcMar>
          </w:tcPr>
          <w:p w14:paraId="68A91416" w14:textId="77777777" w:rsidR="0015425D" w:rsidRPr="0036148B" w:rsidRDefault="0015425D" w:rsidP="00BF7CEC">
            <w:pPr>
              <w:keepLines/>
              <w:spacing w:before="40" w:after="40" w:line="200" w:lineRule="atLeast"/>
              <w:rPr>
                <w:rFonts w:eastAsia="Times New Roman"/>
                <w:b/>
                <w:i/>
                <w:iCs/>
                <w:sz w:val="16"/>
                <w:szCs w:val="16"/>
              </w:rPr>
            </w:pPr>
            <w:r w:rsidRPr="0036148B">
              <w:rPr>
                <w:rFonts w:eastAsia="Times New Roman"/>
                <w:b/>
                <w:i/>
                <w:iCs/>
                <w:sz w:val="16"/>
                <w:szCs w:val="16"/>
              </w:rPr>
              <w:lastRenderedPageBreak/>
              <w:t>New</w:t>
            </w:r>
          </w:p>
        </w:tc>
        <w:tc>
          <w:tcPr>
            <w:tcW w:w="826" w:type="pct"/>
          </w:tcPr>
          <w:p w14:paraId="39747B11" w14:textId="77777777" w:rsidR="0015425D" w:rsidRPr="002B2525" w:rsidRDefault="0015425D" w:rsidP="009404EA">
            <w:pPr>
              <w:keepLines/>
              <w:spacing w:before="40" w:after="40" w:line="200" w:lineRule="atLeast"/>
              <w:rPr>
                <w:rFonts w:ascii="Franklin Gothic Book" w:hAnsi="Franklin Gothic Book"/>
                <w:sz w:val="16"/>
                <w:szCs w:val="16"/>
              </w:rPr>
            </w:pPr>
            <w:r>
              <w:rPr>
                <w:rFonts w:ascii="Franklin Gothic Book" w:hAnsi="Franklin Gothic Book"/>
                <w:sz w:val="16"/>
                <w:szCs w:val="16"/>
              </w:rPr>
              <w:t>Number of policies adopted or amended with ILO input on labour protection and gender equality for women and men migrant workers. (Target: 5)</w:t>
            </w:r>
          </w:p>
        </w:tc>
        <w:tc>
          <w:tcPr>
            <w:tcW w:w="470" w:type="pct"/>
            <w:shd w:val="clear" w:color="auto" w:fill="7FB64D" w:themeFill="accent3" w:themeFillShade="BF"/>
          </w:tcPr>
          <w:p w14:paraId="44A2044E" w14:textId="77777777" w:rsidR="0015425D" w:rsidRPr="0015425D" w:rsidRDefault="0015425D" w:rsidP="00E0682F">
            <w:pPr>
              <w:keepLines/>
              <w:spacing w:before="40" w:after="40" w:line="200" w:lineRule="atLeast"/>
              <w:jc w:val="center"/>
              <w:rPr>
                <w:rFonts w:eastAsia="Times New Roman"/>
                <w:iCs/>
                <w:color w:val="auto"/>
                <w:sz w:val="16"/>
                <w:szCs w:val="16"/>
              </w:rPr>
            </w:pPr>
            <w:r w:rsidRPr="0015425D">
              <w:rPr>
                <w:rFonts w:asciiTheme="minorHAnsi" w:eastAsia="Times New Roman" w:hAnsiTheme="minorHAnsi"/>
                <w:iCs/>
                <w:color w:val="FFFFFF" w:themeColor="background1"/>
                <w:sz w:val="16"/>
                <w:szCs w:val="16"/>
                <w:lang w:eastAsia="en-US"/>
              </w:rPr>
              <w:t>Achieved</w:t>
            </w:r>
          </w:p>
        </w:tc>
        <w:tc>
          <w:tcPr>
            <w:tcW w:w="2970" w:type="pct"/>
          </w:tcPr>
          <w:p w14:paraId="168C08F8" w14:textId="77777777" w:rsidR="0015425D" w:rsidRPr="00440A8B" w:rsidRDefault="0015425D" w:rsidP="00440A8B">
            <w:pPr>
              <w:keepLines/>
              <w:spacing w:before="40" w:after="40" w:line="200" w:lineRule="atLeast"/>
              <w:rPr>
                <w:rFonts w:ascii="Franklin Gothic Book" w:hAnsi="Franklin Gothic Book"/>
                <w:sz w:val="16"/>
                <w:szCs w:val="16"/>
              </w:rPr>
            </w:pPr>
            <w:r>
              <w:rPr>
                <w:rFonts w:ascii="Franklin Gothic Book" w:hAnsi="Franklin Gothic Book"/>
                <w:sz w:val="16"/>
                <w:szCs w:val="16"/>
              </w:rPr>
              <w:t xml:space="preserve">Exceeded. </w:t>
            </w:r>
            <w:r w:rsidRPr="00503300">
              <w:rPr>
                <w:rFonts w:ascii="Franklin Gothic Book" w:hAnsi="Franklin Gothic Book"/>
                <w:sz w:val="16"/>
                <w:szCs w:val="16"/>
                <w:lang w:eastAsia="en-US"/>
              </w:rPr>
              <w:t xml:space="preserve">During year 1, </w:t>
            </w:r>
            <w:r>
              <w:rPr>
                <w:rFonts w:ascii="Franklin Gothic Book" w:hAnsi="Franklin Gothic Book"/>
                <w:sz w:val="16"/>
                <w:szCs w:val="16"/>
              </w:rPr>
              <w:t>seven</w:t>
            </w:r>
            <w:r w:rsidRPr="00503300">
              <w:rPr>
                <w:rFonts w:ascii="Franklin Gothic Book" w:hAnsi="Franklin Gothic Book"/>
                <w:sz w:val="16"/>
                <w:szCs w:val="16"/>
                <w:lang w:eastAsia="en-US"/>
              </w:rPr>
              <w:t xml:space="preserve"> policies were adopted or amended with ILO technical support: Cambodia (2): the Action Plan for Implementation of the Labour Migration Policy and Prakas on Working Conditions for Domestic Workers were developed through consultation with stakeholders. Myanmar (1): fees for pre-departure orientation were eliminated after consultation and advocacy.</w:t>
            </w:r>
            <w:r>
              <w:rPr>
                <w:rFonts w:ascii="Franklin Gothic Book" w:hAnsi="Franklin Gothic Book"/>
                <w:sz w:val="16"/>
                <w:szCs w:val="16"/>
              </w:rPr>
              <w:t xml:space="preserve"> </w:t>
            </w:r>
            <w:r w:rsidRPr="00503300">
              <w:rPr>
                <w:rFonts w:ascii="Franklin Gothic Book" w:hAnsi="Franklin Gothic Book"/>
                <w:sz w:val="16"/>
                <w:szCs w:val="16"/>
                <w:lang w:eastAsia="en-US"/>
              </w:rPr>
              <w:t>Thailand (2): the Royal Ordinance on Bringing Aliens for Employment in the Kingdom was enacted after research and technical comments and CLMV nationals</w:t>
            </w:r>
            <w:r>
              <w:rPr>
                <w:rFonts w:ascii="Franklin Gothic Book" w:hAnsi="Franklin Gothic Book"/>
                <w:sz w:val="16"/>
                <w:szCs w:val="16"/>
                <w:lang w:eastAsia="en-US"/>
              </w:rPr>
              <w:t xml:space="preserve"> </w:t>
            </w:r>
            <w:r w:rsidRPr="00503300">
              <w:rPr>
                <w:rFonts w:ascii="Franklin Gothic Book" w:hAnsi="Franklin Gothic Book"/>
                <w:sz w:val="16"/>
                <w:szCs w:val="16"/>
                <w:lang w:eastAsia="en-US"/>
              </w:rPr>
              <w:t>were permitted to work as interpreters following research, consultations and advocacy.</w:t>
            </w:r>
            <w:r>
              <w:rPr>
                <w:rFonts w:ascii="Franklin Gothic Book" w:hAnsi="Franklin Gothic Book"/>
                <w:sz w:val="16"/>
                <w:szCs w:val="16"/>
              </w:rPr>
              <w:t xml:space="preserve"> </w:t>
            </w:r>
            <w:r w:rsidRPr="00503300">
              <w:rPr>
                <w:rFonts w:ascii="Franklin Gothic Book" w:hAnsi="Franklin Gothic Book"/>
                <w:sz w:val="16"/>
                <w:szCs w:val="16"/>
                <w:lang w:eastAsia="en-US"/>
              </w:rPr>
              <w:t>Viet Nam (2): the Decree on Implementation of the Law on Contract-Based Employment Abroad was adopted after consultation and the Decision on Establis</w:t>
            </w:r>
            <w:r>
              <w:rPr>
                <w:rFonts w:ascii="Franklin Gothic Book" w:hAnsi="Franklin Gothic Book"/>
                <w:sz w:val="16"/>
                <w:szCs w:val="16"/>
              </w:rPr>
              <w:t>h</w:t>
            </w:r>
            <w:r w:rsidRPr="00503300">
              <w:rPr>
                <w:rFonts w:ascii="Franklin Gothic Book" w:hAnsi="Franklin Gothic Book"/>
                <w:sz w:val="16"/>
                <w:szCs w:val="16"/>
                <w:lang w:eastAsia="en-US"/>
              </w:rPr>
              <w:t>ment and Management of the Fund for Overseas Employment Support was issued following technical comments and consultation with stakeholders.</w:t>
            </w:r>
          </w:p>
        </w:tc>
      </w:tr>
    </w:tbl>
    <w:p w14:paraId="7094E775" w14:textId="77777777" w:rsidR="00BE1BEB" w:rsidRPr="00BF7CEC" w:rsidRDefault="006A55C8" w:rsidP="006A55C8">
      <w:pPr>
        <w:keepLines/>
        <w:spacing w:before="40" w:after="40" w:line="200" w:lineRule="atLeast"/>
        <w:rPr>
          <w:rFonts w:eastAsia="Times New Roman"/>
          <w:b/>
          <w:sz w:val="16"/>
          <w:szCs w:val="14"/>
        </w:rPr>
      </w:pPr>
      <w:r>
        <w:rPr>
          <w:rFonts w:eastAsia="Times New Roman"/>
          <w:iCs/>
          <w:sz w:val="16"/>
          <w:szCs w:val="16"/>
        </w:rPr>
        <w:t xml:space="preserve">Note: </w:t>
      </w:r>
      <w:r w:rsidR="00184F1E" w:rsidRPr="00880004">
        <w:rPr>
          <w:rFonts w:eastAsia="Times New Roman"/>
          <w:b/>
          <w:color w:val="72AF2F"/>
          <w:sz w:val="16"/>
          <w:szCs w:val="14"/>
        </w:rPr>
        <w:sym w:font="Webdings" w:char="F067"/>
      </w:r>
      <w:r w:rsidR="00184F1E" w:rsidRPr="00880004">
        <w:rPr>
          <w:rFonts w:eastAsia="Times New Roman"/>
          <w:b/>
          <w:sz w:val="16"/>
          <w:szCs w:val="14"/>
        </w:rPr>
        <w:t> </w:t>
      </w:r>
      <w:r w:rsidR="00184F1E" w:rsidRPr="00880004">
        <w:rPr>
          <w:rFonts w:eastAsia="Times New Roman"/>
          <w:b/>
          <w:sz w:val="16"/>
          <w:szCs w:val="14"/>
        </w:rPr>
        <w:t xml:space="preserve"> Achieved.  Significant progress has been made and the per</w:t>
      </w:r>
      <w:r>
        <w:rPr>
          <w:rFonts w:eastAsia="Times New Roman"/>
          <w:b/>
          <w:sz w:val="16"/>
          <w:szCs w:val="14"/>
        </w:rPr>
        <w:t xml:space="preserve">formance benchmark was achieved,  </w:t>
      </w:r>
      <w:r w:rsidR="00184F1E" w:rsidRPr="00880004">
        <w:rPr>
          <w:rFonts w:eastAsia="Times New Roman"/>
          <w:b/>
          <w:color w:val="E36C0A"/>
          <w:sz w:val="16"/>
          <w:szCs w:val="14"/>
        </w:rPr>
        <w:sym w:font="Webdings" w:char="F067"/>
      </w:r>
      <w:r w:rsidR="00184F1E" w:rsidRPr="00880004">
        <w:rPr>
          <w:rFonts w:eastAsia="Times New Roman"/>
          <w:b/>
          <w:sz w:val="16"/>
          <w:szCs w:val="14"/>
        </w:rPr>
        <w:t> </w:t>
      </w:r>
      <w:r w:rsidR="00184F1E" w:rsidRPr="00880004">
        <w:rPr>
          <w:rFonts w:eastAsia="Times New Roman"/>
          <w:b/>
          <w:sz w:val="16"/>
          <w:szCs w:val="14"/>
        </w:rPr>
        <w:t xml:space="preserve"> Partly achieved.  Some progress has been made towards achieving the performance benchmark, but progr</w:t>
      </w:r>
      <w:r>
        <w:rPr>
          <w:rFonts w:eastAsia="Times New Roman"/>
          <w:b/>
          <w:sz w:val="16"/>
          <w:szCs w:val="14"/>
        </w:rPr>
        <w:t xml:space="preserve">ess was less than anticipated. </w:t>
      </w:r>
      <w:r w:rsidR="00184F1E" w:rsidRPr="00880004">
        <w:rPr>
          <w:rFonts w:eastAsia="Times New Roman"/>
          <w:b/>
          <w:color w:val="FF0000"/>
          <w:sz w:val="16"/>
          <w:szCs w:val="14"/>
        </w:rPr>
        <w:sym w:font="Webdings" w:char="F067"/>
      </w:r>
      <w:r w:rsidR="00184F1E" w:rsidRPr="00880004">
        <w:rPr>
          <w:rFonts w:eastAsia="Times New Roman"/>
          <w:b/>
          <w:sz w:val="16"/>
          <w:szCs w:val="14"/>
        </w:rPr>
        <w:t> </w:t>
      </w:r>
      <w:r w:rsidR="00184F1E" w:rsidRPr="00880004">
        <w:rPr>
          <w:rFonts w:eastAsia="Times New Roman"/>
          <w:b/>
          <w:sz w:val="16"/>
          <w:szCs w:val="14"/>
        </w:rPr>
        <w:t xml:space="preserve"> Not achieved. Progress towards the performance benchmark has been s</w:t>
      </w:r>
      <w:r w:rsidR="00BF7CEC">
        <w:rPr>
          <w:rFonts w:eastAsia="Times New Roman"/>
          <w:b/>
          <w:sz w:val="16"/>
          <w:szCs w:val="14"/>
        </w:rPr>
        <w:t>ignificantly below expectations</w:t>
      </w:r>
      <w:r>
        <w:rPr>
          <w:rFonts w:eastAsia="Times New Roman"/>
          <w:b/>
          <w:sz w:val="16"/>
          <w:szCs w:val="14"/>
        </w:rPr>
        <w:t>.</w:t>
      </w:r>
    </w:p>
    <w:p w14:paraId="1B8077AE" w14:textId="77777777" w:rsidR="005D42D6" w:rsidRDefault="005D42D6" w:rsidP="003F1811">
      <w:pPr>
        <w:pStyle w:val="Subtitle"/>
        <w:rPr>
          <w:sz w:val="28"/>
          <w:szCs w:val="28"/>
        </w:rPr>
      </w:pPr>
    </w:p>
    <w:p w14:paraId="2A7C1193" w14:textId="77777777" w:rsidR="00184F1E" w:rsidRPr="003F1811" w:rsidRDefault="00184F1E" w:rsidP="003F1811">
      <w:pPr>
        <w:pStyle w:val="Subtitle"/>
        <w:rPr>
          <w:sz w:val="28"/>
          <w:szCs w:val="28"/>
        </w:rPr>
      </w:pPr>
      <w:r w:rsidRPr="003F1811">
        <w:rPr>
          <w:sz w:val="28"/>
          <w:szCs w:val="28"/>
        </w:rPr>
        <w:t xml:space="preserve">Performance Benchmarks for remainder of Aid Investment Plan   </w:t>
      </w:r>
    </w:p>
    <w:tbl>
      <w:tblPr>
        <w:tblStyle w:val="DFATTable"/>
        <w:tblW w:w="5254" w:type="pct"/>
        <w:tblBorders>
          <w:top w:val="single" w:sz="4" w:space="0" w:color="auto"/>
          <w:bottom w:val="single" w:sz="4" w:space="0" w:color="auto"/>
        </w:tblBorders>
        <w:tblLook w:val="04A0" w:firstRow="1" w:lastRow="0" w:firstColumn="1" w:lastColumn="0" w:noHBand="0" w:noVBand="1"/>
      </w:tblPr>
      <w:tblGrid>
        <w:gridCol w:w="2407"/>
        <w:gridCol w:w="5675"/>
        <w:gridCol w:w="3121"/>
        <w:gridCol w:w="3545"/>
      </w:tblGrid>
      <w:tr w:rsidR="00763F72" w14:paraId="7BFC96FF" w14:textId="77777777" w:rsidTr="00564DEC">
        <w:trPr>
          <w:trHeight w:val="429"/>
        </w:trPr>
        <w:tc>
          <w:tcPr>
            <w:tcW w:w="816" w:type="pct"/>
          </w:tcPr>
          <w:p w14:paraId="74BAF330" w14:textId="77777777" w:rsidR="00763F72" w:rsidRPr="00BE6C6D" w:rsidRDefault="00763F72" w:rsidP="0089494D">
            <w:pPr>
              <w:pStyle w:val="NormalIndented"/>
              <w:ind w:left="0"/>
              <w:rPr>
                <w:rFonts w:asciiTheme="minorHAnsi" w:hAnsiTheme="minorHAnsi"/>
              </w:rPr>
            </w:pPr>
            <w:r w:rsidRPr="00880004">
              <w:rPr>
                <w:rFonts w:asciiTheme="minorHAnsi" w:eastAsia="Times New Roman" w:hAnsiTheme="minorHAnsi"/>
                <w:b/>
                <w:iCs/>
                <w:szCs w:val="17"/>
                <w:lang w:eastAsia="en-US"/>
              </w:rPr>
              <w:t>Aid objective</w:t>
            </w:r>
          </w:p>
        </w:tc>
        <w:tc>
          <w:tcPr>
            <w:tcW w:w="1924" w:type="pct"/>
          </w:tcPr>
          <w:p w14:paraId="431080E2" w14:textId="77777777" w:rsidR="00763F72" w:rsidRPr="00BE6C6D" w:rsidRDefault="00763F72" w:rsidP="00A43D45">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1058" w:type="pct"/>
            <w:hideMark/>
          </w:tcPr>
          <w:p w14:paraId="6B2D2F19" w14:textId="77777777" w:rsidR="00763F72" w:rsidRPr="00BE6C6D" w:rsidRDefault="00763F72" w:rsidP="00A43D45">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7</w:t>
            </w:r>
            <w:r w:rsidRPr="00BE6C6D">
              <w:rPr>
                <w:rFonts w:asciiTheme="minorHAnsi" w:hAnsiTheme="minorHAnsi"/>
                <w:b/>
              </w:rPr>
              <w:t>-1</w:t>
            </w:r>
            <w:r>
              <w:rPr>
                <w:rFonts w:asciiTheme="minorHAnsi" w:hAnsiTheme="minorHAnsi"/>
                <w:b/>
              </w:rPr>
              <w:t>8</w:t>
            </w:r>
          </w:p>
        </w:tc>
        <w:tc>
          <w:tcPr>
            <w:tcW w:w="1202" w:type="pct"/>
            <w:hideMark/>
          </w:tcPr>
          <w:p w14:paraId="3F74B97C" w14:textId="77777777" w:rsidR="00763F72" w:rsidRPr="00BE6C6D" w:rsidRDefault="00763F72" w:rsidP="00A43D45">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 (AIP revision in 2019)</w:t>
            </w:r>
          </w:p>
        </w:tc>
      </w:tr>
      <w:tr w:rsidR="00763F72" w14:paraId="17C80EA8" w14:textId="77777777" w:rsidTr="00564DEC">
        <w:trPr>
          <w:trHeight w:val="1281"/>
        </w:trPr>
        <w:tc>
          <w:tcPr>
            <w:tcW w:w="816" w:type="pct"/>
          </w:tcPr>
          <w:p w14:paraId="2439A362" w14:textId="77777777" w:rsidR="00763F72" w:rsidRPr="00BE6C6D" w:rsidRDefault="00763F72" w:rsidP="0089494D">
            <w:pPr>
              <w:pStyle w:val="NormalIndented"/>
              <w:ind w:left="0"/>
              <w:rPr>
                <w:rFonts w:asciiTheme="minorHAnsi" w:hAnsiTheme="minorHAnsi"/>
                <w:i/>
                <w:color w:val="808080" w:themeColor="background1" w:themeShade="80"/>
                <w:sz w:val="18"/>
              </w:rPr>
            </w:pPr>
            <w:r w:rsidRPr="001C70C5">
              <w:rPr>
                <w:rFonts w:asciiTheme="minorHAnsi" w:eastAsia="Times New Roman" w:hAnsiTheme="minorHAnsi"/>
                <w:b/>
                <w:iCs/>
                <w:sz w:val="16"/>
                <w:szCs w:val="16"/>
                <w:lang w:eastAsia="en-US"/>
              </w:rPr>
              <w:t xml:space="preserve">Enabling regional economic cooperation and inclusive growth </w:t>
            </w:r>
            <w:r w:rsidRPr="00880004">
              <w:rPr>
                <w:rFonts w:asciiTheme="minorHAnsi" w:eastAsia="Times New Roman" w:hAnsiTheme="minorHAnsi"/>
                <w:iCs/>
                <w:szCs w:val="17"/>
                <w:lang w:eastAsia="en-US"/>
              </w:rPr>
              <w:t xml:space="preserve"> </w:t>
            </w:r>
          </w:p>
        </w:tc>
        <w:tc>
          <w:tcPr>
            <w:tcW w:w="1924" w:type="pct"/>
          </w:tcPr>
          <w:p w14:paraId="523DAC0F" w14:textId="77777777" w:rsidR="00763F72" w:rsidRPr="002B2525" w:rsidRDefault="00763F72" w:rsidP="0089494D">
            <w:pPr>
              <w:pStyle w:val="NormalIndented"/>
              <w:ind w:left="33"/>
              <w:rPr>
                <w:rFonts w:ascii="Franklin Gothic Book" w:hAnsi="Franklin Gothic Book"/>
                <w:sz w:val="16"/>
                <w:szCs w:val="16"/>
              </w:rPr>
            </w:pPr>
            <w:r w:rsidRPr="002B2525">
              <w:rPr>
                <w:rFonts w:ascii="Franklin Gothic Book" w:hAnsi="Franklin Gothic Book"/>
                <w:sz w:val="16"/>
                <w:szCs w:val="16"/>
              </w:rPr>
              <w:t>Evidence of high quality and timely economic research, policy advice and policy implementation support to ASEAN on priority AEC issues</w:t>
            </w:r>
          </w:p>
        </w:tc>
        <w:tc>
          <w:tcPr>
            <w:tcW w:w="1058" w:type="pct"/>
          </w:tcPr>
          <w:p w14:paraId="22FEA3E7" w14:textId="77777777" w:rsidR="00763F72" w:rsidRPr="002B2525" w:rsidRDefault="00763F72" w:rsidP="00BF7CEC">
            <w:pPr>
              <w:pStyle w:val="NormalIndented"/>
              <w:ind w:left="33"/>
              <w:rPr>
                <w:rFonts w:ascii="Franklin Gothic Book" w:hAnsi="Franklin Gothic Book"/>
                <w:sz w:val="16"/>
                <w:szCs w:val="16"/>
              </w:rPr>
            </w:pPr>
            <w:r w:rsidRPr="002B2525">
              <w:rPr>
                <w:rFonts w:ascii="Franklin Gothic Book" w:hAnsi="Franklin Gothic Book"/>
                <w:sz w:val="16"/>
                <w:szCs w:val="16"/>
              </w:rPr>
              <w:t>Australia’s economic research, policy advice and implementation is high quality, timely and supports priority AEC issues</w:t>
            </w:r>
          </w:p>
        </w:tc>
        <w:tc>
          <w:tcPr>
            <w:tcW w:w="1202" w:type="pct"/>
          </w:tcPr>
          <w:p w14:paraId="1DE29057" w14:textId="77777777" w:rsidR="00763F72" w:rsidRPr="002B2525" w:rsidRDefault="00763F72" w:rsidP="0089494D">
            <w:pPr>
              <w:pStyle w:val="NormalIndented"/>
              <w:ind w:left="33"/>
              <w:rPr>
                <w:rFonts w:ascii="Franklin Gothic Book" w:hAnsi="Franklin Gothic Book"/>
                <w:sz w:val="16"/>
                <w:szCs w:val="16"/>
              </w:rPr>
            </w:pPr>
            <w:r w:rsidRPr="002B2525">
              <w:rPr>
                <w:rFonts w:ascii="Franklin Gothic Book" w:hAnsi="Franklin Gothic Book"/>
                <w:sz w:val="16"/>
                <w:szCs w:val="16"/>
              </w:rPr>
              <w:t>Australia’s economic research, policy advice and implementation is high quality, timely and supports priority AEC issues</w:t>
            </w:r>
          </w:p>
        </w:tc>
      </w:tr>
      <w:tr w:rsidR="00763F72" w14:paraId="5164AE22" w14:textId="77777777" w:rsidTr="00564DEC">
        <w:trPr>
          <w:trHeight w:val="776"/>
        </w:trPr>
        <w:tc>
          <w:tcPr>
            <w:tcW w:w="816" w:type="pct"/>
          </w:tcPr>
          <w:p w14:paraId="70E70D95" w14:textId="77777777" w:rsidR="00763F72" w:rsidRPr="001C70C5" w:rsidRDefault="00763F72" w:rsidP="00BF7CEC">
            <w:pPr>
              <w:pStyle w:val="NormalIndented"/>
              <w:rPr>
                <w:rFonts w:eastAsia="Times New Roman"/>
                <w:b/>
                <w:iCs/>
                <w:sz w:val="16"/>
                <w:szCs w:val="16"/>
              </w:rPr>
            </w:pPr>
          </w:p>
        </w:tc>
        <w:tc>
          <w:tcPr>
            <w:tcW w:w="1924" w:type="pct"/>
          </w:tcPr>
          <w:p w14:paraId="6B010310" w14:textId="77777777" w:rsidR="00763F72" w:rsidRPr="002B2525" w:rsidRDefault="00763F72" w:rsidP="0089494D">
            <w:pPr>
              <w:pStyle w:val="NormalIndented"/>
              <w:ind w:left="33"/>
              <w:rPr>
                <w:rFonts w:ascii="Franklin Gothic Book" w:hAnsi="Franklin Gothic Book"/>
                <w:sz w:val="16"/>
                <w:szCs w:val="16"/>
              </w:rPr>
            </w:pPr>
            <w:r w:rsidRPr="002B2525">
              <w:rPr>
                <w:rFonts w:ascii="Franklin Gothic Book" w:hAnsi="Franklin Gothic Book"/>
                <w:sz w:val="16"/>
                <w:szCs w:val="16"/>
              </w:rPr>
              <w:t>Evidence of AECSP capacity building projects supporting AANZFTA implementation</w:t>
            </w:r>
          </w:p>
        </w:tc>
        <w:tc>
          <w:tcPr>
            <w:tcW w:w="1058" w:type="pct"/>
          </w:tcPr>
          <w:p w14:paraId="20DF796C" w14:textId="77777777" w:rsidR="00763F72" w:rsidRPr="002B2525" w:rsidRDefault="00763F72" w:rsidP="00BF7CEC">
            <w:pPr>
              <w:pStyle w:val="NormalIndented"/>
              <w:ind w:left="33"/>
              <w:rPr>
                <w:rFonts w:ascii="Franklin Gothic Book" w:hAnsi="Franklin Gothic Book"/>
                <w:sz w:val="16"/>
                <w:szCs w:val="16"/>
              </w:rPr>
            </w:pPr>
            <w:r w:rsidRPr="002B2525">
              <w:rPr>
                <w:rFonts w:ascii="Franklin Gothic Book" w:hAnsi="Franklin Gothic Book"/>
                <w:sz w:val="16"/>
                <w:szCs w:val="16"/>
              </w:rPr>
              <w:t>AECSP capacity building projects support AANZFTA implementation</w:t>
            </w:r>
          </w:p>
        </w:tc>
        <w:tc>
          <w:tcPr>
            <w:tcW w:w="1202" w:type="pct"/>
          </w:tcPr>
          <w:p w14:paraId="3841DA69" w14:textId="77777777" w:rsidR="00763F72" w:rsidRPr="002B2525" w:rsidRDefault="00763F72" w:rsidP="0089494D">
            <w:pPr>
              <w:pStyle w:val="NormalIndented"/>
              <w:ind w:left="33"/>
              <w:rPr>
                <w:rFonts w:ascii="Franklin Gothic Book" w:hAnsi="Franklin Gothic Book"/>
                <w:sz w:val="16"/>
                <w:szCs w:val="16"/>
              </w:rPr>
            </w:pPr>
            <w:r w:rsidRPr="002B2525">
              <w:rPr>
                <w:rFonts w:ascii="Franklin Gothic Book" w:hAnsi="Franklin Gothic Book"/>
                <w:sz w:val="16"/>
                <w:szCs w:val="16"/>
              </w:rPr>
              <w:t>AECSP capacity building projects support AANZFTA implementation</w:t>
            </w:r>
          </w:p>
        </w:tc>
      </w:tr>
      <w:tr w:rsidR="00763F72" w14:paraId="11FDFE95" w14:textId="77777777" w:rsidTr="00564DEC">
        <w:trPr>
          <w:trHeight w:val="1281"/>
        </w:trPr>
        <w:tc>
          <w:tcPr>
            <w:tcW w:w="816" w:type="pct"/>
          </w:tcPr>
          <w:p w14:paraId="1E792CD7" w14:textId="77777777" w:rsidR="00763F72" w:rsidRPr="001C70C5" w:rsidRDefault="00763F72" w:rsidP="00DB5BFA">
            <w:pPr>
              <w:pStyle w:val="NormalIndented"/>
              <w:rPr>
                <w:rFonts w:eastAsia="Times New Roman"/>
                <w:b/>
                <w:iCs/>
                <w:sz w:val="16"/>
                <w:szCs w:val="16"/>
              </w:rPr>
            </w:pPr>
          </w:p>
        </w:tc>
        <w:tc>
          <w:tcPr>
            <w:tcW w:w="1924" w:type="pct"/>
          </w:tcPr>
          <w:p w14:paraId="29B9E975" w14:textId="77777777" w:rsidR="00763F72" w:rsidRPr="002B2525" w:rsidRDefault="00763F72" w:rsidP="0089494D">
            <w:pPr>
              <w:pStyle w:val="NormalIndented"/>
              <w:ind w:left="33"/>
              <w:rPr>
                <w:rFonts w:ascii="Franklin Gothic Book" w:hAnsi="Franklin Gothic Book"/>
                <w:sz w:val="16"/>
                <w:szCs w:val="16"/>
              </w:rPr>
            </w:pPr>
            <w:r w:rsidRPr="002B2525">
              <w:rPr>
                <w:rFonts w:ascii="Franklin Gothic Book" w:hAnsi="Franklin Gothic Book"/>
                <w:sz w:val="16"/>
                <w:szCs w:val="16"/>
              </w:rPr>
              <w:t>Better functioning national policy and financing environment for SME scale-up</w:t>
            </w:r>
          </w:p>
        </w:tc>
        <w:tc>
          <w:tcPr>
            <w:tcW w:w="1058" w:type="pct"/>
          </w:tcPr>
          <w:p w14:paraId="5C3DED91" w14:textId="77777777" w:rsidR="00763F72" w:rsidRPr="002B2525" w:rsidRDefault="00763F72" w:rsidP="00BF7CEC">
            <w:pPr>
              <w:pStyle w:val="NormalIndented"/>
              <w:ind w:left="33"/>
              <w:rPr>
                <w:rFonts w:ascii="Franklin Gothic Book" w:hAnsi="Franklin Gothic Book"/>
                <w:sz w:val="16"/>
                <w:szCs w:val="16"/>
              </w:rPr>
            </w:pPr>
            <w:r w:rsidRPr="0089494D">
              <w:rPr>
                <w:rFonts w:ascii="Franklin Gothic Book" w:hAnsi="Franklin Gothic Book"/>
                <w:sz w:val="16"/>
                <w:szCs w:val="16"/>
              </w:rPr>
              <w:t>Evidence of effective implementation of private sector development regulations, policies and programmes, financing mechanism, expanded market access and scale up for SMEs in CLMV, with a particular focus on women led enterprises and young entrepreneurs.</w:t>
            </w:r>
          </w:p>
        </w:tc>
        <w:tc>
          <w:tcPr>
            <w:tcW w:w="1202" w:type="pct"/>
          </w:tcPr>
          <w:p w14:paraId="4ECFB921" w14:textId="77777777" w:rsidR="00763F72" w:rsidRPr="002B2525" w:rsidRDefault="00763F72" w:rsidP="0089494D">
            <w:pPr>
              <w:pStyle w:val="NormalIndented"/>
              <w:ind w:left="33"/>
              <w:rPr>
                <w:rFonts w:ascii="Franklin Gothic Book" w:hAnsi="Franklin Gothic Book"/>
                <w:sz w:val="16"/>
                <w:szCs w:val="16"/>
              </w:rPr>
            </w:pPr>
            <w:r w:rsidRPr="0089494D">
              <w:rPr>
                <w:rFonts w:ascii="Franklin Gothic Book" w:hAnsi="Franklin Gothic Book"/>
                <w:sz w:val="16"/>
                <w:szCs w:val="16"/>
              </w:rPr>
              <w:t>Evidence of effective implementation of private sector development regulations, policies and programmes, financing mechanism, expanded market access and scale up for SMEs in CLMV, with a particular focus on women led enterprises and young entrepreneurs.</w:t>
            </w:r>
          </w:p>
        </w:tc>
      </w:tr>
      <w:tr w:rsidR="00763F72" w14:paraId="763A9213" w14:textId="77777777" w:rsidTr="00564DEC">
        <w:trPr>
          <w:trHeight w:val="669"/>
        </w:trPr>
        <w:tc>
          <w:tcPr>
            <w:tcW w:w="816" w:type="pct"/>
          </w:tcPr>
          <w:p w14:paraId="581C5A91" w14:textId="77777777" w:rsidR="00763F72" w:rsidRPr="001C70C5" w:rsidRDefault="00763F72" w:rsidP="00DB5BFA">
            <w:pPr>
              <w:pStyle w:val="NormalIndented"/>
              <w:rPr>
                <w:rFonts w:eastAsia="Times New Roman"/>
                <w:b/>
                <w:iCs/>
                <w:sz w:val="16"/>
                <w:szCs w:val="16"/>
              </w:rPr>
            </w:pPr>
          </w:p>
        </w:tc>
        <w:tc>
          <w:tcPr>
            <w:tcW w:w="1924" w:type="pct"/>
          </w:tcPr>
          <w:p w14:paraId="52CB4E9B" w14:textId="77777777" w:rsidR="00763F72" w:rsidRPr="002B2525" w:rsidRDefault="00763F72" w:rsidP="00440A8B">
            <w:pPr>
              <w:pStyle w:val="NormalIndented"/>
              <w:ind w:left="33"/>
              <w:rPr>
                <w:rFonts w:ascii="Franklin Gothic Book" w:hAnsi="Franklin Gothic Book"/>
                <w:sz w:val="16"/>
                <w:szCs w:val="16"/>
              </w:rPr>
            </w:pPr>
            <w:r w:rsidRPr="002B2525">
              <w:rPr>
                <w:rFonts w:ascii="Franklin Gothic Book" w:hAnsi="Franklin Gothic Book"/>
                <w:sz w:val="16"/>
                <w:szCs w:val="16"/>
              </w:rPr>
              <w:t>Number of challenge fund grant agreement</w:t>
            </w:r>
            <w:r w:rsidR="00440A8B">
              <w:rPr>
                <w:rFonts w:ascii="Franklin Gothic Book" w:hAnsi="Franklin Gothic Book"/>
                <w:sz w:val="16"/>
                <w:szCs w:val="16"/>
              </w:rPr>
              <w:t>s</w:t>
            </w:r>
            <w:r w:rsidRPr="002B2525">
              <w:rPr>
                <w:rFonts w:ascii="Franklin Gothic Book" w:hAnsi="Franklin Gothic Book"/>
                <w:sz w:val="16"/>
                <w:szCs w:val="16"/>
              </w:rPr>
              <w:t xml:space="preserve"> frameworks </w:t>
            </w:r>
            <w:r>
              <w:rPr>
                <w:rFonts w:ascii="Franklin Gothic Book" w:hAnsi="Franklin Gothic Book"/>
                <w:sz w:val="16"/>
                <w:szCs w:val="16"/>
              </w:rPr>
              <w:t xml:space="preserve">that improve women’s financial inclusion </w:t>
            </w:r>
            <w:r w:rsidRPr="002B2525">
              <w:rPr>
                <w:rFonts w:ascii="Franklin Gothic Book" w:hAnsi="Franklin Gothic Book"/>
                <w:sz w:val="16"/>
                <w:szCs w:val="16"/>
              </w:rPr>
              <w:t>under implementation</w:t>
            </w:r>
          </w:p>
        </w:tc>
        <w:tc>
          <w:tcPr>
            <w:tcW w:w="1058" w:type="pct"/>
          </w:tcPr>
          <w:p w14:paraId="5C9379A8" w14:textId="16CF4EC3" w:rsidR="00763F72" w:rsidRPr="002B2525" w:rsidRDefault="000070BB" w:rsidP="000070BB">
            <w:pPr>
              <w:pStyle w:val="NormalIndented"/>
              <w:ind w:left="33"/>
              <w:rPr>
                <w:rFonts w:ascii="Franklin Gothic Book" w:hAnsi="Franklin Gothic Book"/>
                <w:sz w:val="16"/>
                <w:szCs w:val="16"/>
              </w:rPr>
            </w:pPr>
            <w:r>
              <w:rPr>
                <w:rFonts w:ascii="Franklin Gothic Book" w:hAnsi="Franklin Gothic Book"/>
                <w:sz w:val="16"/>
                <w:szCs w:val="16"/>
              </w:rPr>
              <w:t>4 new agreements</w:t>
            </w:r>
          </w:p>
        </w:tc>
        <w:tc>
          <w:tcPr>
            <w:tcW w:w="1202" w:type="pct"/>
          </w:tcPr>
          <w:p w14:paraId="20AF0AB5" w14:textId="77777777" w:rsidR="00763F72" w:rsidRPr="002B2525" w:rsidRDefault="00763F72" w:rsidP="0089494D">
            <w:pPr>
              <w:pStyle w:val="NormalIndented"/>
              <w:ind w:left="33"/>
              <w:rPr>
                <w:rFonts w:ascii="Franklin Gothic Book" w:hAnsi="Franklin Gothic Book"/>
                <w:sz w:val="16"/>
                <w:szCs w:val="16"/>
              </w:rPr>
            </w:pPr>
            <w:r w:rsidRPr="002B2525">
              <w:rPr>
                <w:rFonts w:ascii="Franklin Gothic Book" w:hAnsi="Franklin Gothic Book"/>
                <w:sz w:val="16"/>
                <w:szCs w:val="16"/>
              </w:rPr>
              <w:t>TBC</w:t>
            </w:r>
          </w:p>
        </w:tc>
      </w:tr>
      <w:tr w:rsidR="00763F72" w14:paraId="4DC2BFCF" w14:textId="77777777" w:rsidTr="00564DEC">
        <w:trPr>
          <w:trHeight w:val="565"/>
        </w:trPr>
        <w:tc>
          <w:tcPr>
            <w:tcW w:w="816" w:type="pct"/>
          </w:tcPr>
          <w:p w14:paraId="4002D851" w14:textId="77777777" w:rsidR="00763F72" w:rsidRPr="001C70C5" w:rsidRDefault="00763F72" w:rsidP="00DB5BFA">
            <w:pPr>
              <w:pStyle w:val="NormalIndented"/>
              <w:rPr>
                <w:rFonts w:eastAsia="Times New Roman"/>
                <w:b/>
                <w:iCs/>
                <w:sz w:val="16"/>
                <w:szCs w:val="16"/>
              </w:rPr>
            </w:pPr>
          </w:p>
        </w:tc>
        <w:tc>
          <w:tcPr>
            <w:tcW w:w="1924" w:type="pct"/>
          </w:tcPr>
          <w:p w14:paraId="4831672E" w14:textId="77777777" w:rsidR="00763F72" w:rsidRPr="002B2525" w:rsidRDefault="00763F72" w:rsidP="0089494D">
            <w:pPr>
              <w:pStyle w:val="NormalIndented"/>
              <w:ind w:left="33"/>
              <w:rPr>
                <w:rFonts w:ascii="Franklin Gothic Book" w:hAnsi="Franklin Gothic Book"/>
                <w:sz w:val="16"/>
                <w:szCs w:val="16"/>
              </w:rPr>
            </w:pPr>
            <w:r w:rsidRPr="002B2525">
              <w:rPr>
                <w:rFonts w:ascii="Franklin Gothic Book" w:hAnsi="Franklin Gothic Book"/>
                <w:sz w:val="16"/>
                <w:szCs w:val="16"/>
              </w:rPr>
              <w:t>Strengthened institutional water resource management frameworks</w:t>
            </w:r>
          </w:p>
        </w:tc>
        <w:tc>
          <w:tcPr>
            <w:tcW w:w="1058" w:type="pct"/>
          </w:tcPr>
          <w:p w14:paraId="2A501BB1" w14:textId="77777777" w:rsidR="00763F72" w:rsidRPr="002B2525" w:rsidRDefault="00763F72" w:rsidP="002B2525">
            <w:pPr>
              <w:pStyle w:val="NormalIndented"/>
              <w:ind w:left="33"/>
              <w:rPr>
                <w:rFonts w:ascii="Franklin Gothic Book" w:hAnsi="Franklin Gothic Book"/>
                <w:sz w:val="16"/>
                <w:szCs w:val="16"/>
              </w:rPr>
            </w:pPr>
            <w:r w:rsidRPr="002B2525">
              <w:rPr>
                <w:rFonts w:ascii="Franklin Gothic Book" w:hAnsi="Franklin Gothic Book"/>
                <w:sz w:val="16"/>
                <w:szCs w:val="16"/>
              </w:rPr>
              <w:t>4</w:t>
            </w:r>
          </w:p>
        </w:tc>
        <w:tc>
          <w:tcPr>
            <w:tcW w:w="1202" w:type="pct"/>
          </w:tcPr>
          <w:p w14:paraId="5E430FD1" w14:textId="77777777" w:rsidR="00763F72" w:rsidRPr="002B2525" w:rsidRDefault="00763F72" w:rsidP="0089494D">
            <w:pPr>
              <w:pStyle w:val="NormalIndented"/>
              <w:ind w:left="33"/>
              <w:rPr>
                <w:rFonts w:ascii="Franklin Gothic Book" w:hAnsi="Franklin Gothic Book"/>
                <w:sz w:val="16"/>
                <w:szCs w:val="16"/>
              </w:rPr>
            </w:pPr>
            <w:r w:rsidRPr="002B2525">
              <w:rPr>
                <w:rFonts w:ascii="Franklin Gothic Book" w:hAnsi="Franklin Gothic Book"/>
                <w:sz w:val="16"/>
                <w:szCs w:val="16"/>
              </w:rPr>
              <w:t>4</w:t>
            </w:r>
          </w:p>
        </w:tc>
      </w:tr>
      <w:tr w:rsidR="00763F72" w14:paraId="2C822233" w14:textId="77777777" w:rsidTr="00564DEC">
        <w:trPr>
          <w:trHeight w:val="565"/>
        </w:trPr>
        <w:tc>
          <w:tcPr>
            <w:tcW w:w="816" w:type="pct"/>
          </w:tcPr>
          <w:p w14:paraId="43453DD8" w14:textId="77777777" w:rsidR="00763F72" w:rsidRPr="001C70C5" w:rsidRDefault="00763F72" w:rsidP="00DB5BFA">
            <w:pPr>
              <w:pStyle w:val="NormalIndented"/>
              <w:rPr>
                <w:rFonts w:eastAsia="Times New Roman"/>
                <w:b/>
                <w:iCs/>
                <w:sz w:val="16"/>
                <w:szCs w:val="16"/>
              </w:rPr>
            </w:pPr>
          </w:p>
        </w:tc>
        <w:tc>
          <w:tcPr>
            <w:tcW w:w="1924" w:type="pct"/>
          </w:tcPr>
          <w:p w14:paraId="5262528C" w14:textId="77777777" w:rsidR="00763F72" w:rsidRPr="002B2525" w:rsidRDefault="00763F72" w:rsidP="0089494D">
            <w:pPr>
              <w:pStyle w:val="NormalIndented"/>
              <w:ind w:left="33"/>
              <w:rPr>
                <w:rFonts w:ascii="Franklin Gothic Book" w:hAnsi="Franklin Gothic Book"/>
                <w:sz w:val="16"/>
                <w:szCs w:val="16"/>
              </w:rPr>
            </w:pPr>
            <w:r w:rsidRPr="0089494D">
              <w:rPr>
                <w:rFonts w:ascii="Franklin Gothic Book" w:hAnsi="Franklin Gothic Book"/>
                <w:sz w:val="16"/>
                <w:szCs w:val="16"/>
              </w:rPr>
              <w:t>Legal frameworks in place for pilot implementation of the Cross Border Transport Facilitation Agreement (CBTA)</w:t>
            </w:r>
          </w:p>
        </w:tc>
        <w:tc>
          <w:tcPr>
            <w:tcW w:w="1058" w:type="pct"/>
          </w:tcPr>
          <w:p w14:paraId="21059EDA" w14:textId="77777777" w:rsidR="00763F72" w:rsidRPr="002B2525" w:rsidRDefault="00763F72" w:rsidP="002B2525">
            <w:pPr>
              <w:pStyle w:val="NormalIndented"/>
              <w:ind w:left="33"/>
              <w:rPr>
                <w:rFonts w:ascii="Franklin Gothic Book" w:hAnsi="Franklin Gothic Book"/>
                <w:sz w:val="16"/>
                <w:szCs w:val="16"/>
              </w:rPr>
            </w:pPr>
            <w:r w:rsidRPr="0089494D">
              <w:rPr>
                <w:rFonts w:ascii="Franklin Gothic Book" w:hAnsi="Franklin Gothic Book"/>
                <w:sz w:val="16"/>
                <w:szCs w:val="16"/>
              </w:rPr>
              <w:t>MOU pilot has been signed by all six countries</w:t>
            </w:r>
          </w:p>
        </w:tc>
        <w:tc>
          <w:tcPr>
            <w:tcW w:w="1202" w:type="pct"/>
          </w:tcPr>
          <w:p w14:paraId="6FABCA70" w14:textId="77777777" w:rsidR="00763F72" w:rsidRPr="002B2525" w:rsidRDefault="00763F72" w:rsidP="0089494D">
            <w:pPr>
              <w:pStyle w:val="NormalIndented"/>
              <w:ind w:left="33"/>
              <w:rPr>
                <w:rFonts w:ascii="Franklin Gothic Book" w:hAnsi="Franklin Gothic Book"/>
                <w:sz w:val="16"/>
                <w:szCs w:val="16"/>
              </w:rPr>
            </w:pPr>
            <w:r w:rsidRPr="00763F72">
              <w:rPr>
                <w:rFonts w:ascii="Franklin Gothic Book" w:hAnsi="Franklin Gothic Book"/>
                <w:sz w:val="16"/>
                <w:szCs w:val="16"/>
              </w:rPr>
              <w:t>Updating of CBTA has been informed by pilot learning</w:t>
            </w:r>
          </w:p>
        </w:tc>
      </w:tr>
      <w:tr w:rsidR="00763F72" w14:paraId="6C9FA04D" w14:textId="77777777" w:rsidTr="00564DEC">
        <w:trPr>
          <w:trHeight w:val="798"/>
        </w:trPr>
        <w:tc>
          <w:tcPr>
            <w:tcW w:w="816" w:type="pct"/>
          </w:tcPr>
          <w:p w14:paraId="1766CD94" w14:textId="77777777" w:rsidR="00763F72" w:rsidRPr="00BE6C6D" w:rsidRDefault="00763F72" w:rsidP="0089494D">
            <w:pPr>
              <w:pStyle w:val="NormalIndented"/>
              <w:ind w:left="0"/>
              <w:rPr>
                <w:rFonts w:asciiTheme="minorHAnsi" w:hAnsiTheme="minorHAnsi"/>
                <w:i/>
                <w:color w:val="808080" w:themeColor="background1" w:themeShade="80"/>
                <w:sz w:val="18"/>
              </w:rPr>
            </w:pPr>
            <w:r w:rsidRPr="001C70C5">
              <w:rPr>
                <w:rFonts w:asciiTheme="minorHAnsi" w:eastAsia="Times New Roman" w:hAnsiTheme="minorHAnsi"/>
                <w:b/>
                <w:iCs/>
                <w:sz w:val="16"/>
                <w:szCs w:val="16"/>
                <w:lang w:eastAsia="en-US"/>
              </w:rPr>
              <w:t>Strengthening regional responses to trafficking and the exploitation of migrant workers</w:t>
            </w:r>
          </w:p>
        </w:tc>
        <w:tc>
          <w:tcPr>
            <w:tcW w:w="1924" w:type="pct"/>
          </w:tcPr>
          <w:p w14:paraId="5DE97271" w14:textId="77777777" w:rsidR="00763F72" w:rsidRPr="002B2525" w:rsidRDefault="00763F72" w:rsidP="0089494D">
            <w:pPr>
              <w:pStyle w:val="NormalIndented"/>
              <w:ind w:left="33"/>
              <w:rPr>
                <w:rFonts w:ascii="Franklin Gothic Book" w:hAnsi="Franklin Gothic Book"/>
                <w:sz w:val="16"/>
                <w:szCs w:val="16"/>
              </w:rPr>
            </w:pPr>
            <w:r w:rsidRPr="002B2525">
              <w:rPr>
                <w:rFonts w:ascii="Franklin Gothic Book" w:hAnsi="Franklin Gothic Book"/>
                <w:sz w:val="16"/>
                <w:szCs w:val="16"/>
              </w:rPr>
              <w:t xml:space="preserve">Number of TIP case investigations in which partners are cooperating (5 or more TIP case investigations) </w:t>
            </w:r>
          </w:p>
        </w:tc>
        <w:tc>
          <w:tcPr>
            <w:tcW w:w="1058" w:type="pct"/>
          </w:tcPr>
          <w:p w14:paraId="5FD8446C" w14:textId="77777777" w:rsidR="00763F72" w:rsidRPr="002B2525" w:rsidRDefault="00763F72" w:rsidP="00BF7CEC">
            <w:pPr>
              <w:pStyle w:val="NormalIndented"/>
              <w:ind w:left="33"/>
              <w:rPr>
                <w:rFonts w:ascii="Franklin Gothic Book" w:hAnsi="Franklin Gothic Book"/>
                <w:sz w:val="16"/>
                <w:szCs w:val="16"/>
              </w:rPr>
            </w:pPr>
            <w:r w:rsidRPr="002B2525">
              <w:rPr>
                <w:rFonts w:ascii="Franklin Gothic Book" w:hAnsi="Franklin Gothic Book"/>
                <w:sz w:val="16"/>
                <w:szCs w:val="16"/>
              </w:rPr>
              <w:t>5 or more TIP case investigations</w:t>
            </w:r>
          </w:p>
        </w:tc>
        <w:tc>
          <w:tcPr>
            <w:tcW w:w="1202" w:type="pct"/>
          </w:tcPr>
          <w:p w14:paraId="06C5C83E" w14:textId="77777777" w:rsidR="00763F72" w:rsidRPr="002B2525" w:rsidRDefault="00763F72" w:rsidP="00BF7CEC">
            <w:pPr>
              <w:pStyle w:val="NormalIndented"/>
              <w:ind w:left="33"/>
              <w:rPr>
                <w:rFonts w:ascii="Franklin Gothic Book" w:hAnsi="Franklin Gothic Book"/>
                <w:sz w:val="16"/>
                <w:szCs w:val="16"/>
              </w:rPr>
            </w:pPr>
            <w:r w:rsidRPr="002B2525">
              <w:rPr>
                <w:rFonts w:ascii="Franklin Gothic Book" w:hAnsi="Franklin Gothic Book"/>
                <w:sz w:val="16"/>
                <w:szCs w:val="16"/>
              </w:rPr>
              <w:t>5 or more TIP case investigations</w:t>
            </w:r>
          </w:p>
        </w:tc>
      </w:tr>
      <w:tr w:rsidR="00440A8B" w14:paraId="074D6686" w14:textId="77777777" w:rsidTr="00564DEC">
        <w:trPr>
          <w:trHeight w:val="798"/>
        </w:trPr>
        <w:tc>
          <w:tcPr>
            <w:tcW w:w="816" w:type="pct"/>
          </w:tcPr>
          <w:p w14:paraId="42D5A980" w14:textId="77777777" w:rsidR="00440A8B" w:rsidRPr="001C70C5" w:rsidRDefault="00440A8B" w:rsidP="0089494D">
            <w:pPr>
              <w:pStyle w:val="NormalIndented"/>
              <w:ind w:left="0"/>
              <w:rPr>
                <w:rFonts w:eastAsia="Times New Roman"/>
                <w:b/>
                <w:iCs/>
                <w:sz w:val="16"/>
                <w:szCs w:val="16"/>
              </w:rPr>
            </w:pPr>
          </w:p>
        </w:tc>
        <w:tc>
          <w:tcPr>
            <w:tcW w:w="1924" w:type="pct"/>
          </w:tcPr>
          <w:p w14:paraId="19D47356" w14:textId="77777777" w:rsidR="00440A8B" w:rsidRPr="002B2525" w:rsidRDefault="00440A8B" w:rsidP="0089494D">
            <w:pPr>
              <w:pStyle w:val="NormalIndented"/>
              <w:ind w:left="33"/>
              <w:rPr>
                <w:rFonts w:ascii="Franklin Gothic Book" w:hAnsi="Franklin Gothic Book"/>
                <w:sz w:val="16"/>
                <w:szCs w:val="16"/>
              </w:rPr>
            </w:pPr>
            <w:r w:rsidRPr="005E0230">
              <w:rPr>
                <w:rFonts w:ascii="Franklin Gothic Book" w:hAnsi="Franklin Gothic Book"/>
                <w:sz w:val="16"/>
                <w:szCs w:val="16"/>
              </w:rPr>
              <w:t xml:space="preserve">Percentage of women and men trained under AAPTIP projects recording follow-on skill and knowledge changes demonstrated in the workplace </w:t>
            </w:r>
          </w:p>
        </w:tc>
        <w:tc>
          <w:tcPr>
            <w:tcW w:w="1058" w:type="pct"/>
          </w:tcPr>
          <w:p w14:paraId="065969EF" w14:textId="77777777" w:rsidR="00440A8B" w:rsidRPr="002B2525" w:rsidRDefault="00440A8B" w:rsidP="00BF7CEC">
            <w:pPr>
              <w:pStyle w:val="NormalIndented"/>
              <w:ind w:left="33"/>
              <w:rPr>
                <w:rFonts w:ascii="Franklin Gothic Book" w:hAnsi="Franklin Gothic Book"/>
                <w:sz w:val="16"/>
                <w:szCs w:val="16"/>
              </w:rPr>
            </w:pPr>
            <w:r w:rsidRPr="00384556">
              <w:t>50 percent or more of sampled people reporting change</w:t>
            </w:r>
          </w:p>
        </w:tc>
        <w:tc>
          <w:tcPr>
            <w:tcW w:w="1202" w:type="pct"/>
          </w:tcPr>
          <w:p w14:paraId="2F41B870" w14:textId="77777777" w:rsidR="00440A8B" w:rsidRPr="002B2525" w:rsidRDefault="00440A8B" w:rsidP="00BF7CEC">
            <w:pPr>
              <w:pStyle w:val="NormalIndented"/>
              <w:ind w:left="33"/>
              <w:rPr>
                <w:rFonts w:ascii="Franklin Gothic Book" w:hAnsi="Franklin Gothic Book"/>
                <w:sz w:val="16"/>
                <w:szCs w:val="16"/>
              </w:rPr>
            </w:pPr>
            <w:r w:rsidRPr="00384556">
              <w:t>50 percent or more of sampled people reporting change</w:t>
            </w:r>
          </w:p>
        </w:tc>
      </w:tr>
      <w:tr w:rsidR="00763F72" w14:paraId="122BBFF8" w14:textId="77777777" w:rsidTr="00564DEC">
        <w:trPr>
          <w:trHeight w:val="798"/>
        </w:trPr>
        <w:tc>
          <w:tcPr>
            <w:tcW w:w="816" w:type="pct"/>
          </w:tcPr>
          <w:p w14:paraId="3F62E13F" w14:textId="77777777" w:rsidR="00763F72" w:rsidRPr="001C70C5" w:rsidRDefault="00763F72" w:rsidP="00A43D45">
            <w:pPr>
              <w:pStyle w:val="NormalIndented"/>
              <w:rPr>
                <w:rFonts w:eastAsia="Times New Roman"/>
                <w:b/>
                <w:iCs/>
                <w:sz w:val="16"/>
                <w:szCs w:val="16"/>
              </w:rPr>
            </w:pPr>
          </w:p>
        </w:tc>
        <w:tc>
          <w:tcPr>
            <w:tcW w:w="1924" w:type="pct"/>
          </w:tcPr>
          <w:p w14:paraId="4F67FB10" w14:textId="77777777" w:rsidR="00763F72" w:rsidRPr="002B2525" w:rsidRDefault="00763F72" w:rsidP="0089494D">
            <w:pPr>
              <w:pStyle w:val="NormalIndented"/>
              <w:ind w:left="33"/>
              <w:rPr>
                <w:rFonts w:ascii="Franklin Gothic Book" w:hAnsi="Franklin Gothic Book"/>
                <w:sz w:val="16"/>
                <w:szCs w:val="16"/>
              </w:rPr>
            </w:pPr>
            <w:r w:rsidRPr="002B2525">
              <w:rPr>
                <w:rFonts w:ascii="Franklin Gothic Book" w:hAnsi="Franklin Gothic Book"/>
                <w:sz w:val="16"/>
                <w:szCs w:val="16"/>
              </w:rPr>
              <w:t>Number of women and men who rece</w:t>
            </w:r>
            <w:r w:rsidR="0089494D">
              <w:rPr>
                <w:rFonts w:ascii="Franklin Gothic Book" w:hAnsi="Franklin Gothic Book"/>
                <w:sz w:val="16"/>
                <w:szCs w:val="16"/>
              </w:rPr>
              <w:t>ive support services through Migrant Resource Centres.</w:t>
            </w:r>
          </w:p>
        </w:tc>
        <w:tc>
          <w:tcPr>
            <w:tcW w:w="1058" w:type="pct"/>
          </w:tcPr>
          <w:p w14:paraId="63177219" w14:textId="03BCBED3" w:rsidR="00763F72" w:rsidRPr="002B2525" w:rsidRDefault="00763F72" w:rsidP="00D05C30">
            <w:pPr>
              <w:pStyle w:val="NormalIndented"/>
              <w:ind w:left="33"/>
              <w:rPr>
                <w:rFonts w:ascii="Franklin Gothic Book" w:hAnsi="Franklin Gothic Book"/>
                <w:sz w:val="16"/>
                <w:szCs w:val="16"/>
              </w:rPr>
            </w:pPr>
            <w:r w:rsidRPr="002B2525">
              <w:rPr>
                <w:rFonts w:ascii="Franklin Gothic Book" w:hAnsi="Franklin Gothic Book"/>
                <w:sz w:val="16"/>
                <w:szCs w:val="16"/>
              </w:rPr>
              <w:t>12,000</w:t>
            </w:r>
            <w:r w:rsidR="000070BB">
              <w:rPr>
                <w:rFonts w:ascii="Franklin Gothic Book" w:hAnsi="Franklin Gothic Book"/>
                <w:sz w:val="16"/>
                <w:szCs w:val="16"/>
              </w:rPr>
              <w:t xml:space="preserve"> (W42%/M58%)</w:t>
            </w:r>
          </w:p>
        </w:tc>
        <w:tc>
          <w:tcPr>
            <w:tcW w:w="1202" w:type="pct"/>
          </w:tcPr>
          <w:p w14:paraId="15810865" w14:textId="29F402FA" w:rsidR="00763F72" w:rsidRPr="002B2525" w:rsidRDefault="00763F72" w:rsidP="00D05C30">
            <w:pPr>
              <w:pStyle w:val="NormalIndented"/>
              <w:ind w:left="33"/>
              <w:rPr>
                <w:rFonts w:ascii="Franklin Gothic Book" w:hAnsi="Franklin Gothic Book"/>
                <w:sz w:val="16"/>
                <w:szCs w:val="16"/>
              </w:rPr>
            </w:pPr>
            <w:r w:rsidRPr="002B2525">
              <w:rPr>
                <w:rFonts w:ascii="Franklin Gothic Book" w:hAnsi="Franklin Gothic Book"/>
                <w:sz w:val="16"/>
                <w:szCs w:val="16"/>
              </w:rPr>
              <w:t>12,000</w:t>
            </w:r>
            <w:r w:rsidR="000070BB">
              <w:rPr>
                <w:rFonts w:ascii="Franklin Gothic Book" w:hAnsi="Franklin Gothic Book"/>
                <w:sz w:val="16"/>
                <w:szCs w:val="16"/>
              </w:rPr>
              <w:t xml:space="preserve"> (W43%/M57%)</w:t>
            </w:r>
          </w:p>
        </w:tc>
      </w:tr>
      <w:tr w:rsidR="00440A8B" w14:paraId="4552DCA5" w14:textId="77777777" w:rsidTr="00564DEC">
        <w:trPr>
          <w:trHeight w:val="798"/>
        </w:trPr>
        <w:tc>
          <w:tcPr>
            <w:tcW w:w="816" w:type="pct"/>
          </w:tcPr>
          <w:p w14:paraId="33704631" w14:textId="77777777" w:rsidR="00440A8B" w:rsidRPr="001C70C5" w:rsidRDefault="00440A8B" w:rsidP="00A43D45">
            <w:pPr>
              <w:pStyle w:val="NormalIndented"/>
              <w:rPr>
                <w:rFonts w:eastAsia="Times New Roman"/>
                <w:b/>
                <w:iCs/>
                <w:sz w:val="16"/>
                <w:szCs w:val="16"/>
              </w:rPr>
            </w:pPr>
          </w:p>
        </w:tc>
        <w:tc>
          <w:tcPr>
            <w:tcW w:w="1924" w:type="pct"/>
          </w:tcPr>
          <w:p w14:paraId="75418902" w14:textId="77777777" w:rsidR="00440A8B" w:rsidRPr="002B2525" w:rsidRDefault="00440A8B" w:rsidP="0089494D">
            <w:pPr>
              <w:pStyle w:val="NormalIndented"/>
              <w:ind w:left="33"/>
              <w:rPr>
                <w:rFonts w:ascii="Franklin Gothic Book" w:hAnsi="Franklin Gothic Book"/>
                <w:sz w:val="16"/>
                <w:szCs w:val="16"/>
              </w:rPr>
            </w:pPr>
            <w:r w:rsidRPr="005E0230">
              <w:rPr>
                <w:rFonts w:ascii="Franklin Gothic Book" w:hAnsi="Franklin Gothic Book"/>
                <w:sz w:val="16"/>
                <w:szCs w:val="16"/>
              </w:rPr>
              <w:t>Number of policies adopted or amended with ILO input on labour protection and gender equality for women and men migrant workers.</w:t>
            </w:r>
          </w:p>
        </w:tc>
        <w:tc>
          <w:tcPr>
            <w:tcW w:w="1058" w:type="pct"/>
          </w:tcPr>
          <w:p w14:paraId="6E320F4E" w14:textId="77777777" w:rsidR="00440A8B" w:rsidRPr="002B2525" w:rsidRDefault="00440A8B" w:rsidP="00D05C30">
            <w:pPr>
              <w:pStyle w:val="NormalIndented"/>
              <w:ind w:left="33"/>
              <w:rPr>
                <w:rFonts w:ascii="Franklin Gothic Book" w:hAnsi="Franklin Gothic Book"/>
                <w:sz w:val="16"/>
                <w:szCs w:val="16"/>
              </w:rPr>
            </w:pPr>
            <w:r w:rsidRPr="007F1EFA">
              <w:t>5</w:t>
            </w:r>
          </w:p>
        </w:tc>
        <w:tc>
          <w:tcPr>
            <w:tcW w:w="1202" w:type="pct"/>
          </w:tcPr>
          <w:p w14:paraId="11820DAA" w14:textId="77777777" w:rsidR="00440A8B" w:rsidRPr="002B2525" w:rsidRDefault="00440A8B" w:rsidP="00D05C30">
            <w:pPr>
              <w:pStyle w:val="NormalIndented"/>
              <w:ind w:left="33"/>
              <w:rPr>
                <w:rFonts w:ascii="Franklin Gothic Book" w:hAnsi="Franklin Gothic Book"/>
                <w:sz w:val="16"/>
                <w:szCs w:val="16"/>
              </w:rPr>
            </w:pPr>
            <w:r w:rsidRPr="007F1EFA">
              <w:t>5</w:t>
            </w:r>
          </w:p>
        </w:tc>
      </w:tr>
    </w:tbl>
    <w:p w14:paraId="16E76E06" w14:textId="77777777" w:rsidR="006A55C8" w:rsidRDefault="006A55C8" w:rsidP="003F1811">
      <w:pPr>
        <w:pStyle w:val="Subtitle"/>
        <w:rPr>
          <w:sz w:val="28"/>
          <w:szCs w:val="28"/>
        </w:rPr>
      </w:pPr>
    </w:p>
    <w:p w14:paraId="4774ABFA" w14:textId="77777777" w:rsidR="00AF1B85" w:rsidRPr="003F1811" w:rsidRDefault="00AF1B85" w:rsidP="003F1811">
      <w:pPr>
        <w:pStyle w:val="Subtitle"/>
        <w:rPr>
          <w:sz w:val="28"/>
          <w:szCs w:val="28"/>
        </w:rPr>
      </w:pPr>
      <w:r w:rsidRPr="003F1811">
        <w:rPr>
          <w:sz w:val="28"/>
          <w:szCs w:val="28"/>
        </w:rPr>
        <w:t xml:space="preserve">Annex </w:t>
      </w:r>
      <w:r w:rsidR="00184F1E" w:rsidRPr="003F1811">
        <w:rPr>
          <w:sz w:val="28"/>
          <w:szCs w:val="28"/>
        </w:rPr>
        <w:t>C</w:t>
      </w:r>
      <w:r w:rsidRPr="003F1811">
        <w:rPr>
          <w:sz w:val="28"/>
          <w:szCs w:val="28"/>
        </w:rPr>
        <w:t xml:space="preserve"> - Evaluation </w:t>
      </w:r>
      <w:r w:rsidR="003F1811">
        <w:rPr>
          <w:sz w:val="28"/>
          <w:szCs w:val="28"/>
        </w:rPr>
        <w:t xml:space="preserve">PLANNING </w:t>
      </w:r>
      <w:r w:rsidR="003F1811" w:rsidRPr="003F1811">
        <w:rPr>
          <w:sz w:val="28"/>
          <w:szCs w:val="28"/>
        </w:rPr>
        <w:t>-</w:t>
      </w:r>
      <w:r w:rsidRPr="003F1811">
        <w:rPr>
          <w:sz w:val="28"/>
          <w:szCs w:val="28"/>
        </w:rPr>
        <w:t xml:space="preserve">List of evaluations completed in the reporting period </w:t>
      </w:r>
    </w:p>
    <w:tbl>
      <w:tblPr>
        <w:tblStyle w:val="APPR"/>
        <w:tblW w:w="14878" w:type="dxa"/>
        <w:tblBorders>
          <w:top w:val="single" w:sz="4" w:space="0" w:color="auto"/>
          <w:bottom w:val="single" w:sz="4" w:space="0" w:color="auto"/>
        </w:tblBorders>
        <w:tblLayout w:type="fixed"/>
        <w:tblLook w:val="04A0" w:firstRow="1" w:lastRow="0" w:firstColumn="1" w:lastColumn="0" w:noHBand="0" w:noVBand="1"/>
      </w:tblPr>
      <w:tblGrid>
        <w:gridCol w:w="2688"/>
        <w:gridCol w:w="4111"/>
        <w:gridCol w:w="1425"/>
        <w:gridCol w:w="1981"/>
        <w:gridCol w:w="1699"/>
        <w:gridCol w:w="2407"/>
        <w:gridCol w:w="567"/>
      </w:tblGrid>
      <w:tr w:rsidR="00AF1B85" w:rsidRPr="00C61187" w14:paraId="2E408D03" w14:textId="77777777" w:rsidTr="00564DEC">
        <w:trPr>
          <w:gridAfter w:val="1"/>
          <w:cnfStyle w:val="100000000000" w:firstRow="1" w:lastRow="0" w:firstColumn="0" w:lastColumn="0" w:oddVBand="0" w:evenVBand="0" w:oddHBand="0" w:evenHBand="0" w:firstRowFirstColumn="0" w:firstRowLastColumn="0" w:lastRowFirstColumn="0" w:lastRowLastColumn="0"/>
          <w:wAfter w:w="525" w:type="dxa"/>
        </w:trPr>
        <w:tc>
          <w:tcPr>
            <w:tcW w:w="2646" w:type="dxa"/>
            <w:tcBorders>
              <w:top w:val="none" w:sz="0" w:space="0" w:color="auto"/>
              <w:bottom w:val="none" w:sz="0" w:space="0" w:color="auto"/>
            </w:tcBorders>
          </w:tcPr>
          <w:p w14:paraId="61F680D1" w14:textId="77777777" w:rsidR="00AF1B85" w:rsidRPr="00FD0378" w:rsidRDefault="00FD0378" w:rsidP="00D15A00">
            <w:pPr>
              <w:keepLines/>
              <w:spacing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Investment number and name</w:t>
            </w:r>
          </w:p>
        </w:tc>
        <w:tc>
          <w:tcPr>
            <w:tcW w:w="4083" w:type="dxa"/>
            <w:tcBorders>
              <w:top w:val="none" w:sz="0" w:space="0" w:color="auto"/>
              <w:bottom w:val="none" w:sz="0" w:space="0" w:color="auto"/>
            </w:tcBorders>
          </w:tcPr>
          <w:p w14:paraId="48B8BA73"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Borders>
              <w:top w:val="none" w:sz="0" w:space="0" w:color="auto"/>
              <w:bottom w:val="none" w:sz="0" w:space="0" w:color="auto"/>
            </w:tcBorders>
          </w:tcPr>
          <w:p w14:paraId="71D5B686"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Borders>
              <w:top w:val="none" w:sz="0" w:space="0" w:color="auto"/>
              <w:bottom w:val="none" w:sz="0" w:space="0" w:color="auto"/>
            </w:tcBorders>
          </w:tcPr>
          <w:p w14:paraId="2EC83056"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Borders>
              <w:top w:val="none" w:sz="0" w:space="0" w:color="auto"/>
              <w:bottom w:val="none" w:sz="0" w:space="0" w:color="auto"/>
            </w:tcBorders>
          </w:tcPr>
          <w:p w14:paraId="50F31E3F"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79" w:type="dxa"/>
            <w:tcBorders>
              <w:top w:val="none" w:sz="0" w:space="0" w:color="auto"/>
              <w:bottom w:val="none" w:sz="0" w:space="0" w:color="auto"/>
            </w:tcBorders>
          </w:tcPr>
          <w:p w14:paraId="19DC29E9"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14:paraId="6A77F1B8" w14:textId="77777777" w:rsidTr="00564DEC">
        <w:trPr>
          <w:cnfStyle w:val="100000000000" w:firstRow="1" w:lastRow="0" w:firstColumn="0" w:lastColumn="0" w:oddVBand="0" w:evenVBand="0" w:oddHBand="0" w:evenHBand="0" w:firstRowFirstColumn="0" w:firstRowLastColumn="0" w:lastRowFirstColumn="0" w:lastRowLastColumn="0"/>
          <w:trHeight w:val="614"/>
        </w:trPr>
        <w:tc>
          <w:tcPr>
            <w:tcW w:w="2646" w:type="dxa"/>
            <w:tcBorders>
              <w:bottom w:val="none" w:sz="0" w:space="0" w:color="auto"/>
            </w:tcBorders>
          </w:tcPr>
          <w:p w14:paraId="7D6E7CDC" w14:textId="77777777" w:rsidR="00163D07" w:rsidRPr="002B2525" w:rsidRDefault="00B11A6F" w:rsidP="00163D07">
            <w:pPr>
              <w:keepLines/>
              <w:spacing w:before="40" w:after="40" w:line="200" w:lineRule="atLeast"/>
              <w:rPr>
                <w:rFonts w:ascii="Franklin Gothic Book" w:hAnsi="Franklin Gothic Book"/>
                <w:b w:val="0"/>
                <w:sz w:val="16"/>
                <w:szCs w:val="16"/>
              </w:rPr>
            </w:pPr>
            <w:r w:rsidRPr="002B2525">
              <w:rPr>
                <w:rFonts w:ascii="Franklin Gothic Book" w:hAnsi="Franklin Gothic Book"/>
                <w:b w:val="0"/>
                <w:sz w:val="16"/>
                <w:szCs w:val="16"/>
              </w:rPr>
              <w:t>INK642</w:t>
            </w:r>
          </w:p>
        </w:tc>
        <w:tc>
          <w:tcPr>
            <w:tcW w:w="4083" w:type="dxa"/>
            <w:tcBorders>
              <w:bottom w:val="none" w:sz="0" w:space="0" w:color="auto"/>
            </w:tcBorders>
          </w:tcPr>
          <w:p w14:paraId="12B8FCC9" w14:textId="77777777" w:rsidR="00B11A6F" w:rsidRPr="002B2525" w:rsidRDefault="00B11A6F" w:rsidP="00163D07">
            <w:pPr>
              <w:keepLines/>
              <w:spacing w:before="40" w:after="40" w:line="200" w:lineRule="atLeast"/>
              <w:rPr>
                <w:rFonts w:ascii="Franklin Gothic Book" w:hAnsi="Franklin Gothic Book"/>
                <w:b w:val="0"/>
                <w:sz w:val="16"/>
                <w:szCs w:val="16"/>
              </w:rPr>
            </w:pPr>
            <w:r w:rsidRPr="002B2525">
              <w:rPr>
                <w:rFonts w:ascii="Franklin Gothic Book" w:hAnsi="Franklin Gothic Book"/>
                <w:b w:val="0"/>
                <w:sz w:val="16"/>
                <w:szCs w:val="16"/>
              </w:rPr>
              <w:t>Independent Mid-Term Review of the Australia-Asia Program to Combat Trafficking in Persons</w:t>
            </w:r>
          </w:p>
        </w:tc>
        <w:tc>
          <w:tcPr>
            <w:tcW w:w="1397" w:type="dxa"/>
            <w:tcBorders>
              <w:bottom w:val="none" w:sz="0" w:space="0" w:color="auto"/>
            </w:tcBorders>
          </w:tcPr>
          <w:p w14:paraId="5DC65E0B" w14:textId="77777777" w:rsidR="00D805D1" w:rsidRPr="002B2525" w:rsidRDefault="00F74C97" w:rsidP="00FD0378">
            <w:pPr>
              <w:keepLines/>
              <w:spacing w:before="40" w:after="40" w:line="200" w:lineRule="atLeast"/>
              <w:rPr>
                <w:rFonts w:ascii="Franklin Gothic Book" w:hAnsi="Franklin Gothic Book"/>
                <w:b w:val="0"/>
                <w:sz w:val="16"/>
                <w:szCs w:val="16"/>
              </w:rPr>
            </w:pPr>
            <w:r w:rsidRPr="002B2525">
              <w:rPr>
                <w:rFonts w:ascii="Franklin Gothic Book" w:hAnsi="Franklin Gothic Book"/>
                <w:b w:val="0"/>
                <w:sz w:val="16"/>
                <w:szCs w:val="16"/>
              </w:rPr>
              <w:t>October 2016</w:t>
            </w:r>
          </w:p>
        </w:tc>
        <w:tc>
          <w:tcPr>
            <w:tcW w:w="1953" w:type="dxa"/>
            <w:tcBorders>
              <w:bottom w:val="none" w:sz="0" w:space="0" w:color="auto"/>
            </w:tcBorders>
          </w:tcPr>
          <w:p w14:paraId="1E12C096" w14:textId="77777777" w:rsidR="00D805D1" w:rsidRPr="002B2525" w:rsidRDefault="00F74C97" w:rsidP="00D15A00">
            <w:pPr>
              <w:keepLines/>
              <w:spacing w:before="40" w:after="40" w:line="200" w:lineRule="atLeast"/>
              <w:rPr>
                <w:rFonts w:ascii="Franklin Gothic Book" w:hAnsi="Franklin Gothic Book"/>
                <w:b w:val="0"/>
                <w:sz w:val="16"/>
                <w:szCs w:val="16"/>
              </w:rPr>
            </w:pPr>
            <w:r w:rsidRPr="002B2525">
              <w:rPr>
                <w:rFonts w:ascii="Franklin Gothic Book" w:hAnsi="Franklin Gothic Book"/>
                <w:b w:val="0"/>
                <w:sz w:val="16"/>
                <w:szCs w:val="16"/>
              </w:rPr>
              <w:t>5 January 2017</w:t>
            </w:r>
          </w:p>
          <w:p w14:paraId="5073063E" w14:textId="77777777" w:rsidR="00D805D1" w:rsidRPr="002B2525" w:rsidRDefault="00D805D1" w:rsidP="00D15A00">
            <w:pPr>
              <w:keepLines/>
              <w:spacing w:before="40" w:after="40" w:line="200" w:lineRule="atLeast"/>
              <w:rPr>
                <w:rFonts w:ascii="Franklin Gothic Book" w:hAnsi="Franklin Gothic Book"/>
                <w:b w:val="0"/>
                <w:sz w:val="16"/>
                <w:szCs w:val="16"/>
              </w:rPr>
            </w:pPr>
          </w:p>
        </w:tc>
        <w:tc>
          <w:tcPr>
            <w:tcW w:w="1671" w:type="dxa"/>
            <w:tcBorders>
              <w:bottom w:val="none" w:sz="0" w:space="0" w:color="auto"/>
            </w:tcBorders>
          </w:tcPr>
          <w:p w14:paraId="67C36ADD" w14:textId="77777777" w:rsidR="00D805D1" w:rsidRPr="002B2525" w:rsidRDefault="00F74C97" w:rsidP="00D15A00">
            <w:pPr>
              <w:keepLines/>
              <w:spacing w:before="40" w:after="40" w:line="200" w:lineRule="atLeast"/>
              <w:rPr>
                <w:rFonts w:ascii="Franklin Gothic Book" w:hAnsi="Franklin Gothic Book"/>
                <w:b w:val="0"/>
                <w:sz w:val="16"/>
                <w:szCs w:val="16"/>
              </w:rPr>
            </w:pPr>
            <w:r w:rsidRPr="002B2525">
              <w:rPr>
                <w:rFonts w:ascii="Franklin Gothic Book" w:hAnsi="Franklin Gothic Book"/>
                <w:b w:val="0"/>
                <w:sz w:val="16"/>
                <w:szCs w:val="16"/>
              </w:rPr>
              <w:t>5 January 2017</w:t>
            </w:r>
          </w:p>
          <w:p w14:paraId="4EE7812B" w14:textId="77777777" w:rsidR="00D805D1" w:rsidRPr="002B2525" w:rsidRDefault="00D805D1" w:rsidP="00D15A00">
            <w:pPr>
              <w:keepLines/>
              <w:spacing w:before="40" w:after="40" w:line="200" w:lineRule="atLeast"/>
              <w:rPr>
                <w:rFonts w:ascii="Franklin Gothic Book" w:hAnsi="Franklin Gothic Book"/>
                <w:b w:val="0"/>
                <w:sz w:val="16"/>
                <w:szCs w:val="16"/>
              </w:rPr>
            </w:pPr>
          </w:p>
        </w:tc>
        <w:tc>
          <w:tcPr>
            <w:tcW w:w="2932" w:type="dxa"/>
            <w:gridSpan w:val="2"/>
            <w:tcBorders>
              <w:bottom w:val="none" w:sz="0" w:space="0" w:color="auto"/>
            </w:tcBorders>
          </w:tcPr>
          <w:p w14:paraId="22532324" w14:textId="77777777" w:rsidR="00B11A6F" w:rsidRPr="002B2525" w:rsidRDefault="00163D07" w:rsidP="00163D07">
            <w:pPr>
              <w:keepLines/>
              <w:spacing w:before="40" w:after="40" w:line="200" w:lineRule="atLeast"/>
              <w:rPr>
                <w:rFonts w:ascii="Franklin Gothic Book" w:hAnsi="Franklin Gothic Book"/>
                <w:b w:val="0"/>
                <w:sz w:val="16"/>
                <w:szCs w:val="16"/>
              </w:rPr>
            </w:pPr>
            <w:r w:rsidRPr="002B2525">
              <w:rPr>
                <w:rFonts w:ascii="Franklin Gothic Book" w:hAnsi="Franklin Gothic Book"/>
                <w:b w:val="0"/>
                <w:sz w:val="16"/>
                <w:szCs w:val="16"/>
              </w:rPr>
              <w:t>4 January 2017</w:t>
            </w:r>
          </w:p>
        </w:tc>
      </w:tr>
      <w:tr w:rsidR="00163D07" w:rsidRPr="003B5EE5" w14:paraId="3A5B7C0B" w14:textId="77777777" w:rsidTr="00564DEC">
        <w:trPr>
          <w:gridAfter w:val="1"/>
          <w:cnfStyle w:val="100000000000" w:firstRow="1" w:lastRow="0" w:firstColumn="0" w:lastColumn="0" w:oddVBand="0" w:evenVBand="0" w:oddHBand="0" w:evenHBand="0" w:firstRowFirstColumn="0" w:firstRowLastColumn="0" w:lastRowFirstColumn="0" w:lastRowLastColumn="0"/>
          <w:wAfter w:w="525" w:type="dxa"/>
        </w:trPr>
        <w:tc>
          <w:tcPr>
            <w:tcW w:w="2646" w:type="dxa"/>
            <w:tcBorders>
              <w:bottom w:val="none" w:sz="0" w:space="0" w:color="auto"/>
            </w:tcBorders>
          </w:tcPr>
          <w:p w14:paraId="1681114A" w14:textId="77777777" w:rsidR="00163D07" w:rsidRPr="002B2525" w:rsidRDefault="00FD0378" w:rsidP="00D15A00">
            <w:pPr>
              <w:keepLines/>
              <w:spacing w:before="40" w:after="40" w:line="200" w:lineRule="atLeast"/>
              <w:rPr>
                <w:rFonts w:ascii="Franklin Gothic Book" w:hAnsi="Franklin Gothic Book"/>
                <w:b w:val="0"/>
                <w:sz w:val="16"/>
                <w:szCs w:val="16"/>
              </w:rPr>
            </w:pPr>
            <w:r>
              <w:rPr>
                <w:rFonts w:ascii="Franklin Gothic Book" w:hAnsi="Franklin Gothic Book"/>
                <w:b w:val="0"/>
                <w:sz w:val="16"/>
                <w:szCs w:val="16"/>
              </w:rPr>
              <w:t>N/A</w:t>
            </w:r>
          </w:p>
        </w:tc>
        <w:tc>
          <w:tcPr>
            <w:tcW w:w="4083" w:type="dxa"/>
            <w:tcBorders>
              <w:bottom w:val="none" w:sz="0" w:space="0" w:color="auto"/>
            </w:tcBorders>
          </w:tcPr>
          <w:p w14:paraId="7080F781" w14:textId="77777777" w:rsidR="00163D07" w:rsidRPr="002B2525" w:rsidRDefault="0089494D" w:rsidP="00B11A6F">
            <w:pPr>
              <w:keepLines/>
              <w:spacing w:before="40" w:after="40" w:line="200" w:lineRule="atLeast"/>
              <w:rPr>
                <w:rFonts w:ascii="Franklin Gothic Book" w:hAnsi="Franklin Gothic Book"/>
                <w:b w:val="0"/>
                <w:sz w:val="16"/>
                <w:szCs w:val="16"/>
              </w:rPr>
            </w:pPr>
            <w:r>
              <w:rPr>
                <w:rFonts w:ascii="Franklin Gothic Book" w:hAnsi="Franklin Gothic Book"/>
                <w:b w:val="0"/>
                <w:sz w:val="16"/>
                <w:szCs w:val="16"/>
              </w:rPr>
              <w:t xml:space="preserve">Evaluative Study of the Policy Dialogue Approach </w:t>
            </w:r>
            <w:r w:rsidR="00163D07" w:rsidRPr="002B2525">
              <w:rPr>
                <w:rFonts w:ascii="Franklin Gothic Book" w:hAnsi="Franklin Gothic Book"/>
                <w:b w:val="0"/>
                <w:sz w:val="16"/>
                <w:szCs w:val="16"/>
              </w:rPr>
              <w:t>Independent Mid-Term Progress Review of the Greater Mekong Water Resources Program</w:t>
            </w:r>
          </w:p>
        </w:tc>
        <w:tc>
          <w:tcPr>
            <w:tcW w:w="1397" w:type="dxa"/>
            <w:tcBorders>
              <w:bottom w:val="none" w:sz="0" w:space="0" w:color="auto"/>
            </w:tcBorders>
          </w:tcPr>
          <w:p w14:paraId="1EA415D6" w14:textId="77777777" w:rsidR="00163D07" w:rsidRPr="002B2525" w:rsidRDefault="00F616E9" w:rsidP="00D15A00">
            <w:pPr>
              <w:keepLines/>
              <w:spacing w:before="40" w:after="40" w:line="200" w:lineRule="atLeast"/>
              <w:rPr>
                <w:rFonts w:ascii="Franklin Gothic Book" w:hAnsi="Franklin Gothic Book"/>
                <w:b w:val="0"/>
                <w:sz w:val="16"/>
                <w:szCs w:val="16"/>
              </w:rPr>
            </w:pPr>
            <w:r w:rsidRPr="002B2525">
              <w:rPr>
                <w:rFonts w:ascii="Franklin Gothic Book" w:hAnsi="Franklin Gothic Book"/>
                <w:b w:val="0"/>
                <w:sz w:val="16"/>
                <w:szCs w:val="16"/>
              </w:rPr>
              <w:t>February 2017</w:t>
            </w:r>
          </w:p>
        </w:tc>
        <w:tc>
          <w:tcPr>
            <w:tcW w:w="1953" w:type="dxa"/>
            <w:tcBorders>
              <w:bottom w:val="none" w:sz="0" w:space="0" w:color="auto"/>
            </w:tcBorders>
          </w:tcPr>
          <w:p w14:paraId="17E683E4" w14:textId="77777777" w:rsidR="00163D07" w:rsidRPr="002B2525" w:rsidRDefault="00382485" w:rsidP="00382485">
            <w:pPr>
              <w:keepLines/>
              <w:spacing w:before="40" w:after="40" w:line="200" w:lineRule="atLeast"/>
              <w:rPr>
                <w:rFonts w:ascii="Franklin Gothic Book" w:hAnsi="Franklin Gothic Book"/>
                <w:b w:val="0"/>
                <w:sz w:val="16"/>
                <w:szCs w:val="16"/>
              </w:rPr>
            </w:pPr>
            <w:r>
              <w:rPr>
                <w:rFonts w:ascii="Franklin Gothic Book" w:hAnsi="Franklin Gothic Book"/>
                <w:b w:val="0"/>
                <w:sz w:val="16"/>
                <w:szCs w:val="16"/>
              </w:rPr>
              <w:t>October 2017</w:t>
            </w:r>
          </w:p>
        </w:tc>
        <w:tc>
          <w:tcPr>
            <w:tcW w:w="1671" w:type="dxa"/>
            <w:tcBorders>
              <w:bottom w:val="none" w:sz="0" w:space="0" w:color="auto"/>
            </w:tcBorders>
          </w:tcPr>
          <w:p w14:paraId="015E90CF" w14:textId="77777777" w:rsidR="00163D07" w:rsidRPr="002B2525" w:rsidRDefault="00382485" w:rsidP="00D15A00">
            <w:pPr>
              <w:keepLines/>
              <w:spacing w:before="40" w:after="40" w:line="200" w:lineRule="atLeast"/>
              <w:rPr>
                <w:rFonts w:ascii="Franklin Gothic Book" w:hAnsi="Franklin Gothic Book"/>
                <w:b w:val="0"/>
                <w:sz w:val="16"/>
                <w:szCs w:val="16"/>
              </w:rPr>
            </w:pPr>
            <w:r>
              <w:rPr>
                <w:rFonts w:ascii="Franklin Gothic Book" w:hAnsi="Franklin Gothic Book"/>
                <w:b w:val="0"/>
                <w:sz w:val="16"/>
                <w:szCs w:val="16"/>
              </w:rPr>
              <w:t>October 2017</w:t>
            </w:r>
          </w:p>
        </w:tc>
        <w:tc>
          <w:tcPr>
            <w:tcW w:w="2379" w:type="dxa"/>
            <w:tcBorders>
              <w:bottom w:val="none" w:sz="0" w:space="0" w:color="auto"/>
            </w:tcBorders>
          </w:tcPr>
          <w:p w14:paraId="23E5F38C" w14:textId="77777777" w:rsidR="00163D07" w:rsidRPr="002B2525" w:rsidRDefault="00382485" w:rsidP="00163D07">
            <w:pPr>
              <w:keepLines/>
              <w:spacing w:before="40" w:after="40" w:line="200" w:lineRule="atLeast"/>
              <w:rPr>
                <w:rFonts w:ascii="Franklin Gothic Book" w:hAnsi="Franklin Gothic Book"/>
                <w:b w:val="0"/>
                <w:sz w:val="16"/>
                <w:szCs w:val="16"/>
              </w:rPr>
            </w:pPr>
            <w:r>
              <w:rPr>
                <w:rFonts w:ascii="Franklin Gothic Book" w:hAnsi="Franklin Gothic Book"/>
                <w:b w:val="0"/>
                <w:sz w:val="16"/>
                <w:szCs w:val="16"/>
              </w:rPr>
              <w:t>October 2017</w:t>
            </w:r>
          </w:p>
          <w:p w14:paraId="47BD0AFE" w14:textId="77777777" w:rsidR="00163D07" w:rsidRPr="002B2525" w:rsidRDefault="00163D07" w:rsidP="00F74C97">
            <w:pPr>
              <w:keepLines/>
              <w:spacing w:before="40" w:after="40" w:line="200" w:lineRule="atLeast"/>
              <w:rPr>
                <w:rFonts w:ascii="Franklin Gothic Book" w:hAnsi="Franklin Gothic Book"/>
                <w:b w:val="0"/>
                <w:sz w:val="16"/>
                <w:szCs w:val="16"/>
              </w:rPr>
            </w:pPr>
          </w:p>
        </w:tc>
      </w:tr>
      <w:tr w:rsidR="00163D07" w:rsidRPr="003B5EE5" w14:paraId="30179ADC" w14:textId="77777777" w:rsidTr="00E745CF">
        <w:trPr>
          <w:gridAfter w:val="1"/>
          <w:cnfStyle w:val="100000000000" w:firstRow="1" w:lastRow="0" w:firstColumn="0" w:lastColumn="0" w:oddVBand="0" w:evenVBand="0" w:oddHBand="0" w:evenHBand="0" w:firstRowFirstColumn="0" w:firstRowLastColumn="0" w:lastRowFirstColumn="0" w:lastRowLastColumn="0"/>
          <w:wAfter w:w="525" w:type="dxa"/>
          <w:trHeight w:val="66"/>
        </w:trPr>
        <w:tc>
          <w:tcPr>
            <w:tcW w:w="2646" w:type="dxa"/>
            <w:tcBorders>
              <w:bottom w:val="none" w:sz="0" w:space="0" w:color="auto"/>
            </w:tcBorders>
          </w:tcPr>
          <w:p w14:paraId="62B271FC" w14:textId="77777777" w:rsidR="00163D07" w:rsidRPr="002B2525" w:rsidRDefault="00163D07" w:rsidP="00163D07">
            <w:pPr>
              <w:keepLines/>
              <w:spacing w:before="40" w:after="40" w:line="200" w:lineRule="atLeast"/>
              <w:rPr>
                <w:rFonts w:ascii="Franklin Gothic Book" w:hAnsi="Franklin Gothic Book"/>
                <w:b w:val="0"/>
                <w:sz w:val="16"/>
                <w:szCs w:val="16"/>
              </w:rPr>
            </w:pPr>
          </w:p>
        </w:tc>
        <w:tc>
          <w:tcPr>
            <w:tcW w:w="4083" w:type="dxa"/>
            <w:tcBorders>
              <w:bottom w:val="none" w:sz="0" w:space="0" w:color="auto"/>
            </w:tcBorders>
          </w:tcPr>
          <w:p w14:paraId="72CBAF07" w14:textId="77777777" w:rsidR="00163D07" w:rsidRPr="002B2525" w:rsidRDefault="00163D07" w:rsidP="00163D07">
            <w:pPr>
              <w:keepLines/>
              <w:spacing w:before="40" w:after="40" w:line="200" w:lineRule="atLeast"/>
              <w:rPr>
                <w:rFonts w:ascii="Franklin Gothic Book" w:hAnsi="Franklin Gothic Book"/>
                <w:b w:val="0"/>
                <w:sz w:val="16"/>
                <w:szCs w:val="16"/>
              </w:rPr>
            </w:pPr>
          </w:p>
        </w:tc>
        <w:tc>
          <w:tcPr>
            <w:tcW w:w="1397" w:type="dxa"/>
            <w:tcBorders>
              <w:bottom w:val="none" w:sz="0" w:space="0" w:color="auto"/>
            </w:tcBorders>
          </w:tcPr>
          <w:p w14:paraId="0B06A19F" w14:textId="77777777" w:rsidR="00163D07" w:rsidRPr="002B2525" w:rsidRDefault="00163D07" w:rsidP="00163D07">
            <w:pPr>
              <w:keepLines/>
              <w:spacing w:before="40" w:after="40" w:line="200" w:lineRule="atLeast"/>
              <w:rPr>
                <w:rFonts w:ascii="Franklin Gothic Book" w:hAnsi="Franklin Gothic Book"/>
                <w:b w:val="0"/>
                <w:sz w:val="16"/>
                <w:szCs w:val="16"/>
              </w:rPr>
            </w:pPr>
          </w:p>
        </w:tc>
        <w:tc>
          <w:tcPr>
            <w:tcW w:w="1953" w:type="dxa"/>
            <w:tcBorders>
              <w:bottom w:val="none" w:sz="0" w:space="0" w:color="auto"/>
            </w:tcBorders>
          </w:tcPr>
          <w:p w14:paraId="187310D4" w14:textId="77777777" w:rsidR="00163D07" w:rsidRPr="002B2525" w:rsidRDefault="00163D07" w:rsidP="00382485">
            <w:pPr>
              <w:keepLines/>
              <w:spacing w:before="40" w:after="40" w:line="200" w:lineRule="atLeast"/>
              <w:rPr>
                <w:rFonts w:ascii="Franklin Gothic Book" w:hAnsi="Franklin Gothic Book"/>
                <w:b w:val="0"/>
                <w:sz w:val="16"/>
                <w:szCs w:val="16"/>
              </w:rPr>
            </w:pPr>
          </w:p>
        </w:tc>
        <w:tc>
          <w:tcPr>
            <w:tcW w:w="1671" w:type="dxa"/>
            <w:tcBorders>
              <w:bottom w:val="none" w:sz="0" w:space="0" w:color="auto"/>
            </w:tcBorders>
          </w:tcPr>
          <w:p w14:paraId="1159541C" w14:textId="77777777" w:rsidR="00163D07" w:rsidRPr="002B2525" w:rsidRDefault="00163D07" w:rsidP="00382485">
            <w:pPr>
              <w:keepLines/>
              <w:spacing w:before="40" w:after="40" w:line="200" w:lineRule="atLeast"/>
              <w:rPr>
                <w:rFonts w:ascii="Franklin Gothic Book" w:hAnsi="Franklin Gothic Book"/>
                <w:b w:val="0"/>
                <w:sz w:val="16"/>
                <w:szCs w:val="16"/>
              </w:rPr>
            </w:pPr>
          </w:p>
        </w:tc>
        <w:tc>
          <w:tcPr>
            <w:tcW w:w="2379" w:type="dxa"/>
            <w:tcBorders>
              <w:bottom w:val="none" w:sz="0" w:space="0" w:color="auto"/>
            </w:tcBorders>
          </w:tcPr>
          <w:p w14:paraId="2AFC6767" w14:textId="77777777" w:rsidR="00163D07" w:rsidRPr="002B2525" w:rsidRDefault="00163D07" w:rsidP="00163D07">
            <w:pPr>
              <w:keepLines/>
              <w:spacing w:before="40" w:after="40" w:line="200" w:lineRule="atLeast"/>
              <w:rPr>
                <w:rFonts w:ascii="Franklin Gothic Book" w:hAnsi="Franklin Gothic Book"/>
                <w:b w:val="0"/>
                <w:sz w:val="16"/>
                <w:szCs w:val="16"/>
              </w:rPr>
            </w:pPr>
          </w:p>
        </w:tc>
      </w:tr>
    </w:tbl>
    <w:p w14:paraId="149CA57E" w14:textId="77777777" w:rsidR="00AF1B85" w:rsidRPr="003F1811" w:rsidRDefault="00AF1B85" w:rsidP="003F1811">
      <w:pPr>
        <w:pStyle w:val="Subtitle"/>
        <w:rPr>
          <w:sz w:val="28"/>
          <w:szCs w:val="28"/>
        </w:rPr>
      </w:pPr>
      <w:r w:rsidRPr="003F1811">
        <w:rPr>
          <w:sz w:val="28"/>
          <w:szCs w:val="28"/>
        </w:rPr>
        <w:t xml:space="preserve">List of program prioritised evaluations planned for the next 12 months </w:t>
      </w:r>
    </w:p>
    <w:tbl>
      <w:tblPr>
        <w:tblStyle w:val="APPR"/>
        <w:tblW w:w="14311" w:type="dxa"/>
        <w:tblBorders>
          <w:top w:val="none" w:sz="0" w:space="0" w:color="auto"/>
          <w:bottom w:val="none" w:sz="0" w:space="0" w:color="auto"/>
        </w:tblBorders>
        <w:tblLook w:val="0600" w:firstRow="0" w:lastRow="0" w:firstColumn="0" w:lastColumn="0" w:noHBand="1" w:noVBand="1"/>
      </w:tblPr>
      <w:tblGrid>
        <w:gridCol w:w="2486"/>
        <w:gridCol w:w="2384"/>
        <w:gridCol w:w="2070"/>
        <w:gridCol w:w="2236"/>
        <w:gridCol w:w="2353"/>
        <w:gridCol w:w="2782"/>
      </w:tblGrid>
      <w:tr w:rsidR="00AF1B85" w:rsidRPr="00C61187" w14:paraId="013EEE5D" w14:textId="77777777" w:rsidTr="009E5928">
        <w:tc>
          <w:tcPr>
            <w:tcW w:w="2444" w:type="dxa"/>
          </w:tcPr>
          <w:p w14:paraId="588595C2"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14:paraId="17CF1C27"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14:paraId="7F77D47D"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14:paraId="331FB4D3"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14:paraId="6268CE67"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14:paraId="69C337C2"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163D07" w:rsidRPr="00C61187" w14:paraId="155315E0" w14:textId="77777777" w:rsidTr="009E5928">
        <w:tc>
          <w:tcPr>
            <w:tcW w:w="2444" w:type="dxa"/>
          </w:tcPr>
          <w:p w14:paraId="664B13F0" w14:textId="77777777" w:rsidR="00163D07" w:rsidRPr="002B2525" w:rsidRDefault="00163D07" w:rsidP="00163D07">
            <w:pPr>
              <w:keepLines/>
              <w:spacing w:before="40" w:after="40" w:line="200" w:lineRule="atLeast"/>
              <w:rPr>
                <w:sz w:val="16"/>
                <w:szCs w:val="16"/>
              </w:rPr>
            </w:pPr>
            <w:r>
              <w:rPr>
                <w:sz w:val="16"/>
                <w:szCs w:val="16"/>
              </w:rPr>
              <w:t>Independent Mid-term Review</w:t>
            </w:r>
          </w:p>
          <w:p w14:paraId="6948DA31" w14:textId="77777777" w:rsidR="00163D07" w:rsidRPr="002B2525" w:rsidRDefault="00163D07" w:rsidP="00163D07">
            <w:pPr>
              <w:keepLines/>
              <w:spacing w:before="40" w:after="40" w:line="200" w:lineRule="atLeast"/>
              <w:rPr>
                <w:sz w:val="16"/>
                <w:szCs w:val="16"/>
              </w:rPr>
            </w:pPr>
          </w:p>
          <w:p w14:paraId="2AE786B5" w14:textId="77777777" w:rsidR="00163D07" w:rsidRPr="002B2525" w:rsidRDefault="00163D07" w:rsidP="00163D07">
            <w:pPr>
              <w:keepLines/>
              <w:spacing w:before="40" w:after="40" w:line="200" w:lineRule="atLeast"/>
              <w:rPr>
                <w:sz w:val="16"/>
                <w:szCs w:val="16"/>
              </w:rPr>
            </w:pPr>
          </w:p>
        </w:tc>
        <w:tc>
          <w:tcPr>
            <w:tcW w:w="2356" w:type="dxa"/>
          </w:tcPr>
          <w:p w14:paraId="0F279FBB" w14:textId="77777777" w:rsidR="00163D07" w:rsidRPr="002B2525" w:rsidRDefault="00163D07" w:rsidP="00163D07">
            <w:pPr>
              <w:keepLines/>
              <w:spacing w:before="40" w:after="40" w:line="200" w:lineRule="atLeast"/>
              <w:rPr>
                <w:sz w:val="16"/>
                <w:szCs w:val="16"/>
              </w:rPr>
            </w:pPr>
            <w:r w:rsidRPr="002B2525">
              <w:rPr>
                <w:sz w:val="16"/>
                <w:szCs w:val="16"/>
              </w:rPr>
              <w:t>INL413 Shaping Inclusive Finance Transformations Program</w:t>
            </w:r>
          </w:p>
          <w:p w14:paraId="7E277177" w14:textId="77777777" w:rsidR="00163D07" w:rsidRPr="002B2525" w:rsidRDefault="00163D07" w:rsidP="00163D07">
            <w:pPr>
              <w:keepLines/>
              <w:spacing w:before="40" w:after="40" w:line="200" w:lineRule="atLeast"/>
              <w:rPr>
                <w:sz w:val="16"/>
                <w:szCs w:val="16"/>
              </w:rPr>
            </w:pPr>
          </w:p>
        </w:tc>
        <w:tc>
          <w:tcPr>
            <w:tcW w:w="2042" w:type="dxa"/>
          </w:tcPr>
          <w:p w14:paraId="4A38ECB3" w14:textId="77777777" w:rsidR="00163D07" w:rsidRPr="002B2525" w:rsidRDefault="00163D07" w:rsidP="00163D07">
            <w:pPr>
              <w:keepLines/>
              <w:spacing w:before="40" w:after="40" w:line="200" w:lineRule="atLeast"/>
              <w:rPr>
                <w:sz w:val="16"/>
                <w:szCs w:val="16"/>
              </w:rPr>
            </w:pPr>
            <w:r w:rsidRPr="002B2525">
              <w:rPr>
                <w:sz w:val="16"/>
                <w:szCs w:val="16"/>
              </w:rPr>
              <w:t>Sept 2017</w:t>
            </w:r>
          </w:p>
        </w:tc>
        <w:tc>
          <w:tcPr>
            <w:tcW w:w="2208" w:type="dxa"/>
          </w:tcPr>
          <w:p w14:paraId="04DD5C48" w14:textId="77777777" w:rsidR="00163D07" w:rsidRPr="002B2525" w:rsidRDefault="004A08B7" w:rsidP="00163D07">
            <w:pPr>
              <w:keepLines/>
              <w:spacing w:before="40" w:after="40" w:line="200" w:lineRule="atLeast"/>
              <w:rPr>
                <w:sz w:val="16"/>
                <w:szCs w:val="16"/>
              </w:rPr>
            </w:pPr>
            <w:r>
              <w:rPr>
                <w:sz w:val="16"/>
                <w:szCs w:val="16"/>
              </w:rPr>
              <w:t>Oct</w:t>
            </w:r>
            <w:r w:rsidR="00163D07" w:rsidRPr="002B2525">
              <w:rPr>
                <w:sz w:val="16"/>
                <w:szCs w:val="16"/>
              </w:rPr>
              <w:t xml:space="preserve"> 2018</w:t>
            </w:r>
          </w:p>
        </w:tc>
        <w:tc>
          <w:tcPr>
            <w:tcW w:w="2325" w:type="dxa"/>
          </w:tcPr>
          <w:p w14:paraId="3B29F40C" w14:textId="77777777" w:rsidR="00163D07" w:rsidRPr="002B2525" w:rsidRDefault="00163D07" w:rsidP="00163D07">
            <w:pPr>
              <w:keepLines/>
              <w:spacing w:before="40" w:after="40" w:line="200" w:lineRule="atLeast"/>
              <w:rPr>
                <w:sz w:val="16"/>
                <w:szCs w:val="16"/>
              </w:rPr>
            </w:pPr>
            <w:r>
              <w:rPr>
                <w:sz w:val="16"/>
                <w:szCs w:val="16"/>
              </w:rPr>
              <w:t>Assessment of progress against objectives</w:t>
            </w:r>
          </w:p>
        </w:tc>
        <w:tc>
          <w:tcPr>
            <w:tcW w:w="2740" w:type="dxa"/>
          </w:tcPr>
          <w:p w14:paraId="53844B8C" w14:textId="77777777" w:rsidR="00163D07" w:rsidRPr="002B2525" w:rsidRDefault="00163D07" w:rsidP="00163D07">
            <w:pPr>
              <w:keepLines/>
              <w:spacing w:before="40" w:after="40" w:line="200" w:lineRule="atLeast"/>
              <w:rPr>
                <w:sz w:val="16"/>
                <w:szCs w:val="16"/>
              </w:rPr>
            </w:pPr>
            <w:r w:rsidRPr="002B2525">
              <w:rPr>
                <w:sz w:val="16"/>
                <w:szCs w:val="16"/>
              </w:rPr>
              <w:t>Partner-led</w:t>
            </w:r>
          </w:p>
        </w:tc>
      </w:tr>
      <w:tr w:rsidR="00E745CF" w:rsidRPr="00C61187" w14:paraId="421B9EDC" w14:textId="77777777" w:rsidTr="009E5928">
        <w:tc>
          <w:tcPr>
            <w:tcW w:w="2444" w:type="dxa"/>
            <w:tcBorders>
              <w:bottom w:val="single" w:sz="4" w:space="0" w:color="auto"/>
            </w:tcBorders>
          </w:tcPr>
          <w:p w14:paraId="2F7AE7F3" w14:textId="77777777" w:rsidR="00E745CF" w:rsidRPr="00E745CF" w:rsidRDefault="00E745CF" w:rsidP="00163D07">
            <w:pPr>
              <w:keepLines/>
              <w:spacing w:before="40" w:after="40" w:line="200" w:lineRule="atLeast"/>
              <w:rPr>
                <w:sz w:val="16"/>
                <w:szCs w:val="16"/>
              </w:rPr>
            </w:pPr>
            <w:r w:rsidRPr="00E745CF">
              <w:rPr>
                <w:sz w:val="16"/>
                <w:szCs w:val="16"/>
              </w:rPr>
              <w:t>Independent Progress Review</w:t>
            </w:r>
          </w:p>
        </w:tc>
        <w:tc>
          <w:tcPr>
            <w:tcW w:w="2356" w:type="dxa"/>
            <w:tcBorders>
              <w:bottom w:val="single" w:sz="4" w:space="0" w:color="auto"/>
            </w:tcBorders>
          </w:tcPr>
          <w:p w14:paraId="19212A40" w14:textId="77777777" w:rsidR="00E745CF" w:rsidRPr="00E745CF" w:rsidRDefault="00E745CF" w:rsidP="00163D07">
            <w:pPr>
              <w:keepLines/>
              <w:spacing w:before="40" w:after="40" w:line="200" w:lineRule="atLeast"/>
              <w:rPr>
                <w:sz w:val="16"/>
                <w:szCs w:val="16"/>
              </w:rPr>
            </w:pPr>
            <w:r w:rsidRPr="00E745CF">
              <w:rPr>
                <w:sz w:val="16"/>
                <w:szCs w:val="16"/>
              </w:rPr>
              <w:t>INL277 Mekong Business Initiative</w:t>
            </w:r>
          </w:p>
        </w:tc>
        <w:tc>
          <w:tcPr>
            <w:tcW w:w="2042" w:type="dxa"/>
            <w:tcBorders>
              <w:bottom w:val="single" w:sz="4" w:space="0" w:color="auto"/>
            </w:tcBorders>
          </w:tcPr>
          <w:p w14:paraId="285E8BFA" w14:textId="25F7EB70" w:rsidR="00E745CF" w:rsidRPr="00E745CF" w:rsidRDefault="003B563F" w:rsidP="003B563F">
            <w:pPr>
              <w:keepLines/>
              <w:spacing w:before="40" w:after="40" w:line="200" w:lineRule="atLeast"/>
              <w:rPr>
                <w:sz w:val="16"/>
                <w:szCs w:val="16"/>
              </w:rPr>
            </w:pPr>
            <w:r>
              <w:rPr>
                <w:sz w:val="16"/>
                <w:szCs w:val="16"/>
              </w:rPr>
              <w:t>Dec</w:t>
            </w:r>
            <w:r w:rsidR="00E745CF" w:rsidRPr="00E745CF">
              <w:rPr>
                <w:sz w:val="16"/>
                <w:szCs w:val="16"/>
              </w:rPr>
              <w:t xml:space="preserve"> 201</w:t>
            </w:r>
            <w:r>
              <w:rPr>
                <w:sz w:val="16"/>
                <w:szCs w:val="16"/>
              </w:rPr>
              <w:t>6</w:t>
            </w:r>
          </w:p>
        </w:tc>
        <w:tc>
          <w:tcPr>
            <w:tcW w:w="2208" w:type="dxa"/>
            <w:tcBorders>
              <w:bottom w:val="single" w:sz="4" w:space="0" w:color="auto"/>
            </w:tcBorders>
          </w:tcPr>
          <w:p w14:paraId="4E2CCE89" w14:textId="05378AD3" w:rsidR="00E745CF" w:rsidRPr="009E5928" w:rsidRDefault="003B563F" w:rsidP="003B563F">
            <w:pPr>
              <w:keepLines/>
              <w:spacing w:before="40" w:after="40" w:line="200" w:lineRule="atLeast"/>
              <w:rPr>
                <w:sz w:val="16"/>
                <w:szCs w:val="16"/>
              </w:rPr>
            </w:pPr>
            <w:r>
              <w:rPr>
                <w:sz w:val="16"/>
                <w:szCs w:val="16"/>
              </w:rPr>
              <w:t>Dec</w:t>
            </w:r>
            <w:r w:rsidR="00E745CF" w:rsidRPr="009E5928">
              <w:rPr>
                <w:sz w:val="16"/>
                <w:szCs w:val="16"/>
              </w:rPr>
              <w:t xml:space="preserve"> 201</w:t>
            </w:r>
            <w:r>
              <w:rPr>
                <w:sz w:val="16"/>
                <w:szCs w:val="16"/>
              </w:rPr>
              <w:t>7</w:t>
            </w:r>
          </w:p>
        </w:tc>
        <w:tc>
          <w:tcPr>
            <w:tcW w:w="2325" w:type="dxa"/>
            <w:tcBorders>
              <w:bottom w:val="single" w:sz="4" w:space="0" w:color="auto"/>
            </w:tcBorders>
          </w:tcPr>
          <w:p w14:paraId="27FC3A02" w14:textId="77777777" w:rsidR="00E745CF" w:rsidRPr="009E5928" w:rsidRDefault="00E745CF" w:rsidP="00163D07">
            <w:pPr>
              <w:keepLines/>
              <w:spacing w:before="40" w:after="40" w:line="200" w:lineRule="atLeast"/>
              <w:rPr>
                <w:sz w:val="16"/>
                <w:szCs w:val="16"/>
              </w:rPr>
            </w:pPr>
            <w:r w:rsidRPr="009E5928">
              <w:rPr>
                <w:sz w:val="16"/>
                <w:szCs w:val="16"/>
              </w:rPr>
              <w:t>Independent progress review against objectives</w:t>
            </w:r>
          </w:p>
        </w:tc>
        <w:tc>
          <w:tcPr>
            <w:tcW w:w="2740" w:type="dxa"/>
            <w:tcBorders>
              <w:bottom w:val="single" w:sz="4" w:space="0" w:color="auto"/>
            </w:tcBorders>
          </w:tcPr>
          <w:p w14:paraId="124A2935" w14:textId="2264DFC6" w:rsidR="00E745CF" w:rsidRPr="002B2525" w:rsidRDefault="003B563F" w:rsidP="003B563F">
            <w:pPr>
              <w:keepLines/>
              <w:spacing w:before="40" w:after="40" w:line="200" w:lineRule="atLeast"/>
              <w:rPr>
                <w:sz w:val="16"/>
                <w:szCs w:val="16"/>
              </w:rPr>
            </w:pPr>
            <w:r>
              <w:rPr>
                <w:sz w:val="16"/>
                <w:szCs w:val="16"/>
              </w:rPr>
              <w:t>Partner-led</w:t>
            </w:r>
          </w:p>
        </w:tc>
      </w:tr>
    </w:tbl>
    <w:p w14:paraId="38AA3823" w14:textId="77777777" w:rsidR="0059146A" w:rsidRPr="0059146A" w:rsidRDefault="0059146A" w:rsidP="005B5769">
      <w:pPr>
        <w:pStyle w:val="ListBullet"/>
        <w:tabs>
          <w:tab w:val="clear" w:pos="284"/>
        </w:tabs>
      </w:pPr>
    </w:p>
    <w:p w14:paraId="753864DD" w14:textId="77777777" w:rsidR="0059146A" w:rsidRDefault="0059146A" w:rsidP="005B5769">
      <w:pPr>
        <w:pStyle w:val="ListBullet"/>
        <w:tabs>
          <w:tab w:val="clear" w:pos="284"/>
        </w:tabs>
      </w:pPr>
    </w:p>
    <w:p w14:paraId="0F825D70" w14:textId="77777777" w:rsidR="005E606B" w:rsidRDefault="005E606B" w:rsidP="005B5769">
      <w:pPr>
        <w:pStyle w:val="ListBullet"/>
        <w:tabs>
          <w:tab w:val="clear" w:pos="284"/>
        </w:tabs>
        <w:sectPr w:rsidR="005E606B" w:rsidSect="00D2653F">
          <w:headerReference w:type="default" r:id="rId30"/>
          <w:headerReference w:type="first" r:id="rId31"/>
          <w:pgSz w:w="16838" w:h="11906" w:orient="landscape" w:code="9"/>
          <w:pgMar w:top="1134" w:right="1952" w:bottom="1134" w:left="851" w:header="1107" w:footer="567" w:gutter="0"/>
          <w:cols w:space="397"/>
          <w:docGrid w:linePitch="360"/>
        </w:sectPr>
      </w:pPr>
    </w:p>
    <w:p w14:paraId="17473B93" w14:textId="77777777" w:rsidR="005E606B" w:rsidRPr="003F1811" w:rsidRDefault="005E606B" w:rsidP="00316921">
      <w:pPr>
        <w:pStyle w:val="Subtitle"/>
        <w:rPr>
          <w:sz w:val="28"/>
          <w:szCs w:val="28"/>
        </w:rPr>
      </w:pPr>
      <w:r w:rsidRPr="003F1811">
        <w:rPr>
          <w:sz w:val="28"/>
          <w:szCs w:val="28"/>
        </w:rPr>
        <w:lastRenderedPageBreak/>
        <w:t xml:space="preserve">Annex </w:t>
      </w:r>
      <w:r w:rsidR="00184F1E" w:rsidRPr="003F1811">
        <w:rPr>
          <w:sz w:val="28"/>
          <w:szCs w:val="28"/>
        </w:rPr>
        <w:t>D</w:t>
      </w:r>
      <w:r w:rsidRPr="003F1811">
        <w:rPr>
          <w:sz w:val="28"/>
          <w:szCs w:val="28"/>
        </w:rPr>
        <w:t xml:space="preserve"> - Aid Quality Check ratings</w:t>
      </w:r>
      <w:r w:rsidR="00F4375E" w:rsidRPr="003F1811">
        <w:rPr>
          <w:sz w:val="28"/>
          <w:szCs w:val="28"/>
        </w:rPr>
        <w:t xml:space="preserve"> </w:t>
      </w:r>
    </w:p>
    <w:p w14:paraId="22C53E7C" w14:textId="7B47A6D2" w:rsidR="005E606B" w:rsidRDefault="005E606B" w:rsidP="00A8197B">
      <w:pPr>
        <w:pStyle w:val="ListBullet"/>
        <w:tabs>
          <w:tab w:val="clear" w:pos="284"/>
        </w:tabs>
        <w:spacing w:before="400"/>
        <w:rPr>
          <w:rFonts w:asciiTheme="majorHAnsi" w:eastAsiaTheme="majorEastAsia" w:hAnsiTheme="majorHAnsi" w:cstheme="majorBidi"/>
          <w:b/>
          <w:caps/>
          <w:color w:val="495965" w:themeColor="text2"/>
          <w:sz w:val="18"/>
          <w:szCs w:val="18"/>
          <w:lang w:val="en-GB" w:eastAsia="en-US"/>
        </w:rPr>
      </w:pPr>
      <w:r w:rsidRPr="00C55B71">
        <w:rPr>
          <w:rFonts w:asciiTheme="majorHAnsi" w:eastAsiaTheme="majorEastAsia" w:hAnsiTheme="majorHAnsi" w:cstheme="majorBidi"/>
          <w:b/>
          <w:caps/>
          <w:color w:val="495965" w:themeColor="text2"/>
          <w:sz w:val="18"/>
          <w:szCs w:val="18"/>
          <w:lang w:val="en-GB" w:eastAsia="en-US"/>
        </w:rPr>
        <w:t>AQC ratings</w:t>
      </w:r>
      <w:r w:rsidR="00C55B71">
        <w:rPr>
          <w:rFonts w:asciiTheme="majorHAnsi" w:eastAsiaTheme="majorEastAsia" w:hAnsiTheme="majorHAnsi" w:cstheme="majorBidi"/>
          <w:b/>
          <w:caps/>
          <w:color w:val="495965" w:themeColor="text2"/>
          <w:sz w:val="18"/>
          <w:szCs w:val="18"/>
          <w:lang w:val="en-GB" w:eastAsia="en-US"/>
        </w:rPr>
        <w:t xml:space="preserve"> </w:t>
      </w:r>
    </w:p>
    <w:tbl>
      <w:tblPr>
        <w:tblW w:w="10000" w:type="dxa"/>
        <w:tblLook w:val="04A0" w:firstRow="1" w:lastRow="0" w:firstColumn="1" w:lastColumn="0" w:noHBand="0" w:noVBand="1"/>
      </w:tblPr>
      <w:tblGrid>
        <w:gridCol w:w="2900"/>
        <w:gridCol w:w="960"/>
        <w:gridCol w:w="960"/>
        <w:gridCol w:w="740"/>
        <w:gridCol w:w="740"/>
        <w:gridCol w:w="740"/>
        <w:gridCol w:w="740"/>
        <w:gridCol w:w="740"/>
        <w:gridCol w:w="740"/>
        <w:gridCol w:w="740"/>
      </w:tblGrid>
      <w:tr w:rsidR="00E57552" w:rsidRPr="00E57552" w14:paraId="519C20D6" w14:textId="77777777" w:rsidTr="00E57552">
        <w:trPr>
          <w:trHeight w:val="1347"/>
        </w:trPr>
        <w:tc>
          <w:tcPr>
            <w:tcW w:w="2900" w:type="dxa"/>
            <w:tcBorders>
              <w:top w:val="single" w:sz="12" w:space="0" w:color="000000"/>
              <w:left w:val="nil"/>
              <w:bottom w:val="nil"/>
              <w:right w:val="nil"/>
            </w:tcBorders>
            <w:shd w:val="clear" w:color="auto" w:fill="auto"/>
            <w:vAlign w:val="center"/>
            <w:hideMark/>
          </w:tcPr>
          <w:p w14:paraId="4A575075" w14:textId="663CF4C6" w:rsidR="00E57552" w:rsidRPr="00E57552" w:rsidRDefault="00E57552" w:rsidP="00E57552">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noProof/>
                <w:color w:val="495965"/>
                <w:sz w:val="14"/>
                <w:szCs w:val="14"/>
                <w:lang w:val="en-AU" w:eastAsia="en-AU"/>
              </w:rPr>
              <w:drawing>
                <wp:anchor distT="0" distB="0" distL="114300" distR="114300" simplePos="0" relativeHeight="251676672" behindDoc="0" locked="0" layoutInCell="1" allowOverlap="1" wp14:anchorId="6ED707E8" wp14:editId="0A39CB67">
                  <wp:simplePos x="0" y="0"/>
                  <wp:positionH relativeFrom="column">
                    <wp:posOffset>0</wp:posOffset>
                  </wp:positionH>
                  <wp:positionV relativeFrom="paragraph">
                    <wp:posOffset>0</wp:posOffset>
                  </wp:positionV>
                  <wp:extent cx="3086100" cy="228600"/>
                  <wp:effectExtent l="0" t="0" r="0" b="0"/>
                  <wp:wrapNone/>
                  <wp:docPr id="3" name="Picture 3" hidden="1"/>
                  <wp:cNvGraphicFramePr/>
                  <a:graphic xmlns:a="http://schemas.openxmlformats.org/drawingml/2006/main">
                    <a:graphicData uri="http://schemas.openxmlformats.org/drawingml/2006/picture">
                      <pic:pic xmlns:pic="http://schemas.openxmlformats.org/drawingml/2006/picture">
                        <pic:nvPicPr>
                          <pic:cNvPr id="2" name="Picture 26"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57552">
              <w:rPr>
                <w:rFonts w:ascii="Calibri Light" w:eastAsia="Times New Roman" w:hAnsi="Calibri Light" w:cs="Times New Roman"/>
                <w:b/>
                <w:bCs/>
                <w:iCs/>
                <w:color w:val="495965"/>
                <w:sz w:val="14"/>
                <w:szCs w:val="14"/>
                <w:lang w:eastAsia="en-AU"/>
              </w:rPr>
              <w:t>Investment name</w:t>
            </w:r>
          </w:p>
        </w:tc>
        <w:tc>
          <w:tcPr>
            <w:tcW w:w="960" w:type="dxa"/>
            <w:tcBorders>
              <w:top w:val="single" w:sz="12" w:space="0" w:color="000000"/>
              <w:left w:val="nil"/>
              <w:bottom w:val="nil"/>
              <w:right w:val="nil"/>
            </w:tcBorders>
            <w:shd w:val="clear" w:color="auto" w:fill="auto"/>
            <w:vAlign w:val="center"/>
            <w:hideMark/>
          </w:tcPr>
          <w:p w14:paraId="12B6780A"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Approved budget and duration</w:t>
            </w:r>
          </w:p>
        </w:tc>
        <w:tc>
          <w:tcPr>
            <w:tcW w:w="960" w:type="dxa"/>
            <w:tcBorders>
              <w:top w:val="single" w:sz="12" w:space="0" w:color="000000"/>
              <w:left w:val="nil"/>
              <w:bottom w:val="nil"/>
              <w:right w:val="nil"/>
            </w:tcBorders>
            <w:shd w:val="clear" w:color="auto" w:fill="auto"/>
            <w:vAlign w:val="center"/>
            <w:hideMark/>
          </w:tcPr>
          <w:p w14:paraId="7D27E1CF"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year on year</w:t>
            </w:r>
          </w:p>
        </w:tc>
        <w:tc>
          <w:tcPr>
            <w:tcW w:w="740" w:type="dxa"/>
            <w:tcBorders>
              <w:top w:val="single" w:sz="12" w:space="0" w:color="000000"/>
              <w:left w:val="nil"/>
              <w:bottom w:val="nil"/>
              <w:right w:val="nil"/>
            </w:tcBorders>
            <w:shd w:val="clear" w:color="auto" w:fill="auto"/>
            <w:textDirection w:val="btLr"/>
            <w:vAlign w:val="bottom"/>
            <w:hideMark/>
          </w:tcPr>
          <w:p w14:paraId="7E0EBBA8" w14:textId="77777777" w:rsidR="00E57552" w:rsidRPr="00E57552" w:rsidRDefault="00E57552" w:rsidP="00E57552">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Relevance</w:t>
            </w:r>
          </w:p>
        </w:tc>
        <w:tc>
          <w:tcPr>
            <w:tcW w:w="740" w:type="dxa"/>
            <w:tcBorders>
              <w:top w:val="single" w:sz="12" w:space="0" w:color="000000"/>
              <w:left w:val="nil"/>
              <w:bottom w:val="nil"/>
              <w:right w:val="nil"/>
            </w:tcBorders>
            <w:shd w:val="clear" w:color="auto" w:fill="auto"/>
            <w:textDirection w:val="btLr"/>
            <w:vAlign w:val="bottom"/>
            <w:hideMark/>
          </w:tcPr>
          <w:p w14:paraId="164206CF" w14:textId="77777777" w:rsidR="00E57552" w:rsidRPr="00E57552" w:rsidRDefault="00E57552" w:rsidP="00E57552">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Effectiveness</w:t>
            </w:r>
          </w:p>
        </w:tc>
        <w:tc>
          <w:tcPr>
            <w:tcW w:w="740" w:type="dxa"/>
            <w:tcBorders>
              <w:top w:val="single" w:sz="12" w:space="0" w:color="000000"/>
              <w:left w:val="nil"/>
              <w:bottom w:val="nil"/>
              <w:right w:val="nil"/>
            </w:tcBorders>
            <w:shd w:val="clear" w:color="auto" w:fill="auto"/>
            <w:textDirection w:val="btLr"/>
            <w:vAlign w:val="bottom"/>
            <w:hideMark/>
          </w:tcPr>
          <w:p w14:paraId="7E0BE087" w14:textId="77777777" w:rsidR="00E57552" w:rsidRPr="00E57552" w:rsidRDefault="00E57552" w:rsidP="00E57552">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Efficiency</w:t>
            </w:r>
          </w:p>
        </w:tc>
        <w:tc>
          <w:tcPr>
            <w:tcW w:w="740" w:type="dxa"/>
            <w:tcBorders>
              <w:top w:val="single" w:sz="12" w:space="0" w:color="000000"/>
              <w:left w:val="nil"/>
              <w:bottom w:val="nil"/>
              <w:right w:val="nil"/>
            </w:tcBorders>
            <w:shd w:val="clear" w:color="auto" w:fill="auto"/>
            <w:textDirection w:val="btLr"/>
            <w:vAlign w:val="bottom"/>
            <w:hideMark/>
          </w:tcPr>
          <w:p w14:paraId="28B19720" w14:textId="77777777" w:rsidR="00E57552" w:rsidRPr="00E57552" w:rsidRDefault="00E57552" w:rsidP="00E57552">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Monitoring and Evaluation</w:t>
            </w:r>
          </w:p>
        </w:tc>
        <w:tc>
          <w:tcPr>
            <w:tcW w:w="740" w:type="dxa"/>
            <w:tcBorders>
              <w:top w:val="single" w:sz="12" w:space="0" w:color="000000"/>
              <w:left w:val="nil"/>
              <w:bottom w:val="nil"/>
              <w:right w:val="nil"/>
            </w:tcBorders>
            <w:shd w:val="clear" w:color="auto" w:fill="auto"/>
            <w:textDirection w:val="btLr"/>
            <w:vAlign w:val="bottom"/>
            <w:hideMark/>
          </w:tcPr>
          <w:p w14:paraId="3FFF78AC" w14:textId="77777777" w:rsidR="00E57552" w:rsidRPr="00E57552" w:rsidRDefault="00E57552" w:rsidP="00E57552">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Sustainability</w:t>
            </w:r>
          </w:p>
        </w:tc>
        <w:tc>
          <w:tcPr>
            <w:tcW w:w="740" w:type="dxa"/>
            <w:tcBorders>
              <w:top w:val="single" w:sz="12" w:space="0" w:color="000000"/>
              <w:left w:val="nil"/>
              <w:bottom w:val="nil"/>
              <w:right w:val="nil"/>
            </w:tcBorders>
            <w:shd w:val="clear" w:color="auto" w:fill="auto"/>
            <w:textDirection w:val="btLr"/>
            <w:vAlign w:val="bottom"/>
            <w:hideMark/>
          </w:tcPr>
          <w:p w14:paraId="46C5345A" w14:textId="77777777" w:rsidR="00E57552" w:rsidRPr="00E57552" w:rsidRDefault="00E57552" w:rsidP="00E57552">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Gender equality</w:t>
            </w:r>
          </w:p>
        </w:tc>
        <w:tc>
          <w:tcPr>
            <w:tcW w:w="740" w:type="dxa"/>
            <w:tcBorders>
              <w:top w:val="single" w:sz="12" w:space="0" w:color="000000"/>
              <w:left w:val="nil"/>
              <w:bottom w:val="nil"/>
              <w:right w:val="nil"/>
            </w:tcBorders>
            <w:shd w:val="clear" w:color="auto" w:fill="auto"/>
            <w:textDirection w:val="btLr"/>
            <w:vAlign w:val="bottom"/>
            <w:hideMark/>
          </w:tcPr>
          <w:p w14:paraId="167640AE" w14:textId="77777777" w:rsidR="00E57552" w:rsidRPr="00E57552" w:rsidRDefault="00E57552" w:rsidP="00E57552">
            <w:pPr>
              <w:suppressAutoHyphens w:val="0"/>
              <w:spacing w:before="0" w:after="0" w:line="240" w:lineRule="auto"/>
              <w:rPr>
                <w:rFonts w:ascii="Calibri Light" w:eastAsia="Times New Roman" w:hAnsi="Calibri Light" w:cs="Times New Roman"/>
                <w:b/>
                <w:bCs/>
                <w:color w:val="495965"/>
                <w:sz w:val="14"/>
                <w:szCs w:val="14"/>
                <w:lang w:val="en-AU" w:eastAsia="en-AU"/>
              </w:rPr>
            </w:pPr>
            <w:r w:rsidRPr="00E57552">
              <w:rPr>
                <w:rFonts w:ascii="Calibri Light" w:eastAsia="Times New Roman" w:hAnsi="Calibri Light" w:cs="Times New Roman"/>
                <w:b/>
                <w:bCs/>
                <w:iCs/>
                <w:color w:val="495965"/>
                <w:sz w:val="14"/>
                <w:szCs w:val="14"/>
                <w:lang w:eastAsia="en-AU"/>
              </w:rPr>
              <w:t>Risks  and Safeguards *</w:t>
            </w:r>
          </w:p>
        </w:tc>
      </w:tr>
      <w:tr w:rsidR="00E57552" w:rsidRPr="00E57552" w14:paraId="33911251" w14:textId="77777777" w:rsidTr="00E57552">
        <w:trPr>
          <w:trHeight w:val="360"/>
        </w:trPr>
        <w:tc>
          <w:tcPr>
            <w:tcW w:w="2900" w:type="dxa"/>
            <w:tcBorders>
              <w:top w:val="single" w:sz="8" w:space="0" w:color="auto"/>
              <w:left w:val="nil"/>
              <w:bottom w:val="nil"/>
              <w:right w:val="nil"/>
            </w:tcBorders>
            <w:shd w:val="clear" w:color="auto" w:fill="auto"/>
            <w:vAlign w:val="center"/>
            <w:hideMark/>
          </w:tcPr>
          <w:p w14:paraId="6DA49279"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ASEAN-Australia Development Cooperation Program Phase II</w:t>
            </w:r>
          </w:p>
        </w:tc>
        <w:tc>
          <w:tcPr>
            <w:tcW w:w="960" w:type="dxa"/>
            <w:tcBorders>
              <w:top w:val="single" w:sz="8" w:space="0" w:color="auto"/>
              <w:left w:val="nil"/>
              <w:bottom w:val="nil"/>
              <w:right w:val="nil"/>
            </w:tcBorders>
            <w:shd w:val="clear" w:color="auto" w:fill="auto"/>
            <w:vAlign w:val="center"/>
            <w:hideMark/>
          </w:tcPr>
          <w:p w14:paraId="5D9418E7"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$57m </w:t>
            </w:r>
          </w:p>
        </w:tc>
        <w:tc>
          <w:tcPr>
            <w:tcW w:w="960" w:type="dxa"/>
            <w:tcBorders>
              <w:top w:val="single" w:sz="8" w:space="0" w:color="auto"/>
              <w:left w:val="nil"/>
              <w:bottom w:val="nil"/>
              <w:right w:val="nil"/>
            </w:tcBorders>
            <w:shd w:val="clear" w:color="auto" w:fill="auto"/>
            <w:vAlign w:val="center"/>
            <w:hideMark/>
          </w:tcPr>
          <w:p w14:paraId="158C33F5"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2017 AQC</w:t>
            </w:r>
          </w:p>
        </w:tc>
        <w:tc>
          <w:tcPr>
            <w:tcW w:w="740" w:type="dxa"/>
            <w:tcBorders>
              <w:top w:val="single" w:sz="8" w:space="0" w:color="auto"/>
              <w:left w:val="nil"/>
              <w:bottom w:val="nil"/>
              <w:right w:val="nil"/>
            </w:tcBorders>
            <w:shd w:val="clear" w:color="000000" w:fill="92D050"/>
            <w:noWrap/>
            <w:vAlign w:val="center"/>
            <w:hideMark/>
          </w:tcPr>
          <w:p w14:paraId="3EB1EFE8"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FFFF00"/>
            <w:noWrap/>
            <w:vAlign w:val="center"/>
            <w:hideMark/>
          </w:tcPr>
          <w:p w14:paraId="4B4D7012"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92D050"/>
            <w:noWrap/>
            <w:vAlign w:val="center"/>
            <w:hideMark/>
          </w:tcPr>
          <w:p w14:paraId="74D145BE"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FFFF00"/>
            <w:noWrap/>
            <w:vAlign w:val="center"/>
            <w:hideMark/>
          </w:tcPr>
          <w:p w14:paraId="1B6D76BF"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92D050"/>
            <w:noWrap/>
            <w:vAlign w:val="center"/>
            <w:hideMark/>
          </w:tcPr>
          <w:p w14:paraId="51714671"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FFC000"/>
            <w:noWrap/>
            <w:vAlign w:val="center"/>
            <w:hideMark/>
          </w:tcPr>
          <w:p w14:paraId="01A83AB7"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3</w:t>
            </w:r>
          </w:p>
        </w:tc>
        <w:tc>
          <w:tcPr>
            <w:tcW w:w="740" w:type="dxa"/>
            <w:tcBorders>
              <w:top w:val="single" w:sz="8" w:space="0" w:color="auto"/>
              <w:left w:val="nil"/>
              <w:bottom w:val="nil"/>
              <w:right w:val="nil"/>
            </w:tcBorders>
            <w:shd w:val="clear" w:color="auto" w:fill="auto"/>
            <w:vAlign w:val="center"/>
            <w:hideMark/>
          </w:tcPr>
          <w:p w14:paraId="2DE133E8"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w:t>
            </w:r>
          </w:p>
        </w:tc>
      </w:tr>
      <w:tr w:rsidR="00E57552" w:rsidRPr="00E57552" w14:paraId="38507EBE" w14:textId="77777777" w:rsidTr="00E57552">
        <w:trPr>
          <w:trHeight w:val="315"/>
        </w:trPr>
        <w:tc>
          <w:tcPr>
            <w:tcW w:w="2900" w:type="dxa"/>
            <w:tcBorders>
              <w:top w:val="nil"/>
              <w:left w:val="nil"/>
              <w:bottom w:val="single" w:sz="8" w:space="0" w:color="auto"/>
              <w:right w:val="nil"/>
            </w:tcBorders>
            <w:shd w:val="clear" w:color="auto" w:fill="auto"/>
            <w:vAlign w:val="center"/>
            <w:hideMark/>
          </w:tcPr>
          <w:p w14:paraId="5F7873E5"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single" w:sz="8" w:space="0" w:color="auto"/>
              <w:right w:val="nil"/>
            </w:tcBorders>
            <w:shd w:val="clear" w:color="auto" w:fill="auto"/>
            <w:vAlign w:val="center"/>
            <w:hideMark/>
          </w:tcPr>
          <w:p w14:paraId="2B02FECF"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2008-2019</w:t>
            </w:r>
          </w:p>
        </w:tc>
        <w:tc>
          <w:tcPr>
            <w:tcW w:w="960" w:type="dxa"/>
            <w:tcBorders>
              <w:top w:val="nil"/>
              <w:left w:val="nil"/>
              <w:bottom w:val="single" w:sz="8" w:space="0" w:color="auto"/>
              <w:right w:val="nil"/>
            </w:tcBorders>
            <w:shd w:val="clear" w:color="auto" w:fill="auto"/>
            <w:vAlign w:val="center"/>
            <w:hideMark/>
          </w:tcPr>
          <w:p w14:paraId="2CF6087E"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2016 AQC</w:t>
            </w:r>
          </w:p>
        </w:tc>
        <w:tc>
          <w:tcPr>
            <w:tcW w:w="740" w:type="dxa"/>
            <w:tcBorders>
              <w:top w:val="nil"/>
              <w:left w:val="nil"/>
              <w:bottom w:val="single" w:sz="8" w:space="0" w:color="auto"/>
              <w:right w:val="nil"/>
            </w:tcBorders>
            <w:shd w:val="clear" w:color="000000" w:fill="92D050"/>
            <w:noWrap/>
            <w:vAlign w:val="center"/>
            <w:hideMark/>
          </w:tcPr>
          <w:p w14:paraId="75B09393"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6</w:t>
            </w:r>
          </w:p>
        </w:tc>
        <w:tc>
          <w:tcPr>
            <w:tcW w:w="740" w:type="dxa"/>
            <w:tcBorders>
              <w:top w:val="nil"/>
              <w:left w:val="nil"/>
              <w:bottom w:val="single" w:sz="8" w:space="0" w:color="auto"/>
              <w:right w:val="nil"/>
            </w:tcBorders>
            <w:shd w:val="clear" w:color="000000" w:fill="92D050"/>
            <w:noWrap/>
            <w:vAlign w:val="center"/>
            <w:hideMark/>
          </w:tcPr>
          <w:p w14:paraId="121A6B63"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000000" w:fill="92D050"/>
            <w:noWrap/>
            <w:vAlign w:val="center"/>
            <w:hideMark/>
          </w:tcPr>
          <w:p w14:paraId="1A96678B"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000000" w:fill="FFFF00"/>
            <w:noWrap/>
            <w:vAlign w:val="center"/>
            <w:hideMark/>
          </w:tcPr>
          <w:p w14:paraId="170F0A47"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92D050"/>
            <w:noWrap/>
            <w:vAlign w:val="center"/>
            <w:hideMark/>
          </w:tcPr>
          <w:p w14:paraId="370A03E9"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000000" w:fill="FFC000"/>
            <w:noWrap/>
            <w:vAlign w:val="center"/>
            <w:hideMark/>
          </w:tcPr>
          <w:p w14:paraId="1644CB60"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3</w:t>
            </w:r>
          </w:p>
        </w:tc>
        <w:tc>
          <w:tcPr>
            <w:tcW w:w="740" w:type="dxa"/>
            <w:tcBorders>
              <w:top w:val="nil"/>
              <w:left w:val="nil"/>
              <w:bottom w:val="single" w:sz="8" w:space="0" w:color="auto"/>
              <w:right w:val="nil"/>
            </w:tcBorders>
            <w:shd w:val="clear" w:color="000000" w:fill="92D050"/>
            <w:vAlign w:val="center"/>
            <w:hideMark/>
          </w:tcPr>
          <w:p w14:paraId="683AF186"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r>
      <w:tr w:rsidR="00E57552" w:rsidRPr="00E57552" w14:paraId="71B8BA91" w14:textId="77777777" w:rsidTr="00E57552">
        <w:trPr>
          <w:trHeight w:val="360"/>
        </w:trPr>
        <w:tc>
          <w:tcPr>
            <w:tcW w:w="2900" w:type="dxa"/>
            <w:tcBorders>
              <w:top w:val="nil"/>
              <w:left w:val="nil"/>
              <w:bottom w:val="nil"/>
              <w:right w:val="nil"/>
            </w:tcBorders>
            <w:shd w:val="clear" w:color="auto" w:fill="auto"/>
            <w:vAlign w:val="center"/>
            <w:hideMark/>
          </w:tcPr>
          <w:p w14:paraId="031B096E"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AANZFTA Economic Cooperation Support Program</w:t>
            </w:r>
          </w:p>
        </w:tc>
        <w:tc>
          <w:tcPr>
            <w:tcW w:w="960" w:type="dxa"/>
            <w:tcBorders>
              <w:top w:val="nil"/>
              <w:left w:val="nil"/>
              <w:bottom w:val="nil"/>
              <w:right w:val="nil"/>
            </w:tcBorders>
            <w:shd w:val="clear" w:color="auto" w:fill="auto"/>
            <w:vAlign w:val="center"/>
            <w:hideMark/>
          </w:tcPr>
          <w:p w14:paraId="3F458299"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$32.7m </w:t>
            </w:r>
          </w:p>
        </w:tc>
        <w:tc>
          <w:tcPr>
            <w:tcW w:w="960" w:type="dxa"/>
            <w:tcBorders>
              <w:top w:val="nil"/>
              <w:left w:val="nil"/>
              <w:bottom w:val="nil"/>
              <w:right w:val="nil"/>
            </w:tcBorders>
            <w:shd w:val="clear" w:color="auto" w:fill="auto"/>
            <w:vAlign w:val="center"/>
            <w:hideMark/>
          </w:tcPr>
          <w:p w14:paraId="68B005EB"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2017 AQC</w:t>
            </w:r>
          </w:p>
        </w:tc>
        <w:tc>
          <w:tcPr>
            <w:tcW w:w="740" w:type="dxa"/>
            <w:tcBorders>
              <w:top w:val="nil"/>
              <w:left w:val="nil"/>
              <w:bottom w:val="nil"/>
              <w:right w:val="nil"/>
            </w:tcBorders>
            <w:shd w:val="clear" w:color="000000" w:fill="92D050"/>
            <w:noWrap/>
            <w:vAlign w:val="center"/>
            <w:hideMark/>
          </w:tcPr>
          <w:p w14:paraId="43DFED26"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0099B069"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23116B50"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hideMark/>
          </w:tcPr>
          <w:p w14:paraId="6E4E9442"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92D050"/>
            <w:noWrap/>
            <w:vAlign w:val="center"/>
            <w:hideMark/>
          </w:tcPr>
          <w:p w14:paraId="579A9628"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hideMark/>
          </w:tcPr>
          <w:p w14:paraId="607F6D99"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auto" w:fill="auto"/>
            <w:vAlign w:val="center"/>
            <w:hideMark/>
          </w:tcPr>
          <w:p w14:paraId="139C6418"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p>
        </w:tc>
      </w:tr>
      <w:tr w:rsidR="00E57552" w:rsidRPr="00E57552" w14:paraId="602DF934" w14:textId="77777777" w:rsidTr="00E57552">
        <w:trPr>
          <w:trHeight w:val="315"/>
        </w:trPr>
        <w:tc>
          <w:tcPr>
            <w:tcW w:w="2900" w:type="dxa"/>
            <w:tcBorders>
              <w:top w:val="nil"/>
              <w:left w:val="nil"/>
              <w:bottom w:val="single" w:sz="8" w:space="0" w:color="auto"/>
              <w:right w:val="nil"/>
            </w:tcBorders>
            <w:shd w:val="clear" w:color="auto" w:fill="auto"/>
            <w:vAlign w:val="center"/>
            <w:hideMark/>
          </w:tcPr>
          <w:p w14:paraId="56DA4250"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nil"/>
              <w:right w:val="nil"/>
            </w:tcBorders>
            <w:shd w:val="clear" w:color="auto" w:fill="auto"/>
            <w:vAlign w:val="center"/>
            <w:hideMark/>
          </w:tcPr>
          <w:p w14:paraId="0E2ED7CC"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xml:space="preserve">2010-2019 </w:t>
            </w:r>
          </w:p>
        </w:tc>
        <w:tc>
          <w:tcPr>
            <w:tcW w:w="960" w:type="dxa"/>
            <w:tcBorders>
              <w:top w:val="nil"/>
              <w:left w:val="nil"/>
              <w:bottom w:val="nil"/>
              <w:right w:val="nil"/>
            </w:tcBorders>
            <w:shd w:val="clear" w:color="auto" w:fill="auto"/>
            <w:vAlign w:val="center"/>
            <w:hideMark/>
          </w:tcPr>
          <w:p w14:paraId="361973B1"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2016 AQC</w:t>
            </w:r>
          </w:p>
        </w:tc>
        <w:tc>
          <w:tcPr>
            <w:tcW w:w="740" w:type="dxa"/>
            <w:tcBorders>
              <w:top w:val="nil"/>
              <w:left w:val="nil"/>
              <w:bottom w:val="nil"/>
              <w:right w:val="nil"/>
            </w:tcBorders>
            <w:shd w:val="clear" w:color="000000" w:fill="92D050"/>
            <w:noWrap/>
            <w:vAlign w:val="center"/>
            <w:hideMark/>
          </w:tcPr>
          <w:p w14:paraId="09782B31"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6</w:t>
            </w:r>
          </w:p>
        </w:tc>
        <w:tc>
          <w:tcPr>
            <w:tcW w:w="740" w:type="dxa"/>
            <w:tcBorders>
              <w:top w:val="nil"/>
              <w:left w:val="nil"/>
              <w:bottom w:val="nil"/>
              <w:right w:val="nil"/>
            </w:tcBorders>
            <w:shd w:val="clear" w:color="000000" w:fill="92D050"/>
            <w:noWrap/>
            <w:vAlign w:val="center"/>
            <w:hideMark/>
          </w:tcPr>
          <w:p w14:paraId="621D9AC4"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24C7323D"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hideMark/>
          </w:tcPr>
          <w:p w14:paraId="08DF0A42"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92D050"/>
            <w:noWrap/>
            <w:vAlign w:val="center"/>
            <w:hideMark/>
          </w:tcPr>
          <w:p w14:paraId="6F992D03"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C000"/>
            <w:noWrap/>
            <w:vAlign w:val="center"/>
            <w:hideMark/>
          </w:tcPr>
          <w:p w14:paraId="6260BE47"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3</w:t>
            </w:r>
          </w:p>
        </w:tc>
        <w:tc>
          <w:tcPr>
            <w:tcW w:w="740" w:type="dxa"/>
            <w:tcBorders>
              <w:top w:val="nil"/>
              <w:left w:val="nil"/>
              <w:bottom w:val="nil"/>
              <w:right w:val="nil"/>
            </w:tcBorders>
            <w:shd w:val="clear" w:color="000000" w:fill="92D050"/>
            <w:vAlign w:val="center"/>
            <w:hideMark/>
          </w:tcPr>
          <w:p w14:paraId="3470A31A"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r>
      <w:tr w:rsidR="00E57552" w:rsidRPr="00E57552" w14:paraId="32EBAD42" w14:textId="77777777" w:rsidTr="00E57552">
        <w:trPr>
          <w:trHeight w:val="300"/>
        </w:trPr>
        <w:tc>
          <w:tcPr>
            <w:tcW w:w="2900" w:type="dxa"/>
            <w:tcBorders>
              <w:top w:val="nil"/>
              <w:left w:val="nil"/>
              <w:bottom w:val="nil"/>
              <w:right w:val="nil"/>
            </w:tcBorders>
            <w:shd w:val="clear" w:color="auto" w:fill="auto"/>
            <w:vAlign w:val="center"/>
            <w:hideMark/>
          </w:tcPr>
          <w:p w14:paraId="5EBE3B25"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xml:space="preserve">Mekong Trade and Transport Facilitation </w:t>
            </w:r>
          </w:p>
        </w:tc>
        <w:tc>
          <w:tcPr>
            <w:tcW w:w="960" w:type="dxa"/>
            <w:tcBorders>
              <w:top w:val="single" w:sz="8" w:space="0" w:color="auto"/>
              <w:left w:val="nil"/>
              <w:bottom w:val="nil"/>
              <w:right w:val="nil"/>
            </w:tcBorders>
            <w:shd w:val="clear" w:color="auto" w:fill="auto"/>
            <w:vAlign w:val="center"/>
            <w:hideMark/>
          </w:tcPr>
          <w:p w14:paraId="42EFF2ED"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$6m </w:t>
            </w:r>
          </w:p>
        </w:tc>
        <w:tc>
          <w:tcPr>
            <w:tcW w:w="960" w:type="dxa"/>
            <w:tcBorders>
              <w:top w:val="single" w:sz="8" w:space="0" w:color="auto"/>
              <w:left w:val="nil"/>
              <w:bottom w:val="nil"/>
              <w:right w:val="nil"/>
            </w:tcBorders>
            <w:shd w:val="clear" w:color="auto" w:fill="auto"/>
            <w:vAlign w:val="center"/>
            <w:hideMark/>
          </w:tcPr>
          <w:p w14:paraId="0A474AF0"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2017 AQC</w:t>
            </w:r>
          </w:p>
        </w:tc>
        <w:tc>
          <w:tcPr>
            <w:tcW w:w="740" w:type="dxa"/>
            <w:tcBorders>
              <w:top w:val="single" w:sz="8" w:space="0" w:color="auto"/>
              <w:left w:val="nil"/>
              <w:bottom w:val="nil"/>
              <w:right w:val="nil"/>
            </w:tcBorders>
            <w:shd w:val="clear" w:color="000000" w:fill="92D050"/>
            <w:noWrap/>
            <w:vAlign w:val="center"/>
            <w:hideMark/>
          </w:tcPr>
          <w:p w14:paraId="6C128EAF"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FFFF00"/>
            <w:noWrap/>
            <w:vAlign w:val="center"/>
            <w:hideMark/>
          </w:tcPr>
          <w:p w14:paraId="1EF8C3F1"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FFFF00"/>
            <w:noWrap/>
            <w:vAlign w:val="center"/>
            <w:hideMark/>
          </w:tcPr>
          <w:p w14:paraId="4881AB79"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FFFF00"/>
            <w:noWrap/>
            <w:vAlign w:val="center"/>
            <w:hideMark/>
          </w:tcPr>
          <w:p w14:paraId="319C2044"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FFFF00"/>
            <w:noWrap/>
            <w:vAlign w:val="center"/>
            <w:hideMark/>
          </w:tcPr>
          <w:p w14:paraId="4D8EAC57"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FFFF00"/>
            <w:noWrap/>
            <w:vAlign w:val="center"/>
            <w:hideMark/>
          </w:tcPr>
          <w:p w14:paraId="75766510"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auto" w:fill="auto"/>
            <w:vAlign w:val="center"/>
            <w:hideMark/>
          </w:tcPr>
          <w:p w14:paraId="5A100063"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w:t>
            </w:r>
          </w:p>
        </w:tc>
      </w:tr>
      <w:tr w:rsidR="00E57552" w:rsidRPr="00E57552" w14:paraId="1A69596A" w14:textId="77777777" w:rsidTr="00E57552">
        <w:trPr>
          <w:trHeight w:val="315"/>
        </w:trPr>
        <w:tc>
          <w:tcPr>
            <w:tcW w:w="2900" w:type="dxa"/>
            <w:tcBorders>
              <w:top w:val="nil"/>
              <w:left w:val="nil"/>
              <w:bottom w:val="single" w:sz="8" w:space="0" w:color="auto"/>
              <w:right w:val="nil"/>
            </w:tcBorders>
            <w:shd w:val="clear" w:color="auto" w:fill="auto"/>
            <w:vAlign w:val="center"/>
            <w:hideMark/>
          </w:tcPr>
          <w:p w14:paraId="166287E8"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single" w:sz="8" w:space="0" w:color="auto"/>
              <w:right w:val="nil"/>
            </w:tcBorders>
            <w:shd w:val="clear" w:color="auto" w:fill="auto"/>
            <w:vAlign w:val="center"/>
            <w:hideMark/>
          </w:tcPr>
          <w:p w14:paraId="5D049B55"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2011-2017</w:t>
            </w:r>
          </w:p>
        </w:tc>
        <w:tc>
          <w:tcPr>
            <w:tcW w:w="960" w:type="dxa"/>
            <w:tcBorders>
              <w:top w:val="nil"/>
              <w:left w:val="nil"/>
              <w:bottom w:val="single" w:sz="8" w:space="0" w:color="auto"/>
              <w:right w:val="nil"/>
            </w:tcBorders>
            <w:shd w:val="clear" w:color="auto" w:fill="auto"/>
            <w:vAlign w:val="center"/>
            <w:hideMark/>
          </w:tcPr>
          <w:p w14:paraId="14C7F3BC"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2016 AQC</w:t>
            </w:r>
          </w:p>
        </w:tc>
        <w:tc>
          <w:tcPr>
            <w:tcW w:w="740" w:type="dxa"/>
            <w:tcBorders>
              <w:top w:val="nil"/>
              <w:left w:val="nil"/>
              <w:bottom w:val="single" w:sz="8" w:space="0" w:color="auto"/>
              <w:right w:val="nil"/>
            </w:tcBorders>
            <w:shd w:val="clear" w:color="000000" w:fill="92D050"/>
            <w:noWrap/>
            <w:vAlign w:val="center"/>
            <w:hideMark/>
          </w:tcPr>
          <w:p w14:paraId="55DE1D55"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000000" w:fill="FFFF00"/>
            <w:noWrap/>
            <w:vAlign w:val="center"/>
            <w:hideMark/>
          </w:tcPr>
          <w:p w14:paraId="45181BE6"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FFFF00"/>
            <w:noWrap/>
            <w:vAlign w:val="center"/>
            <w:hideMark/>
          </w:tcPr>
          <w:p w14:paraId="48F30E1C"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FFFF00"/>
            <w:noWrap/>
            <w:vAlign w:val="center"/>
            <w:hideMark/>
          </w:tcPr>
          <w:p w14:paraId="2F7133EC"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FFFF00"/>
            <w:noWrap/>
            <w:vAlign w:val="center"/>
            <w:hideMark/>
          </w:tcPr>
          <w:p w14:paraId="24E19FDB"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FFFF00"/>
            <w:noWrap/>
            <w:vAlign w:val="center"/>
            <w:hideMark/>
          </w:tcPr>
          <w:p w14:paraId="7EBE5418"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FFFF00"/>
            <w:vAlign w:val="center"/>
            <w:hideMark/>
          </w:tcPr>
          <w:p w14:paraId="66AD1E1E"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r>
      <w:tr w:rsidR="00E57552" w:rsidRPr="00E57552" w14:paraId="1DFAF05C" w14:textId="77777777" w:rsidTr="00E57552">
        <w:trPr>
          <w:trHeight w:val="300"/>
        </w:trPr>
        <w:tc>
          <w:tcPr>
            <w:tcW w:w="2900" w:type="dxa"/>
            <w:tcBorders>
              <w:top w:val="nil"/>
              <w:left w:val="nil"/>
              <w:bottom w:val="nil"/>
              <w:right w:val="nil"/>
            </w:tcBorders>
            <w:shd w:val="clear" w:color="auto" w:fill="auto"/>
            <w:vAlign w:val="center"/>
            <w:hideMark/>
          </w:tcPr>
          <w:p w14:paraId="5697FC4A"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Mekong Business Initiative</w:t>
            </w:r>
          </w:p>
        </w:tc>
        <w:tc>
          <w:tcPr>
            <w:tcW w:w="960" w:type="dxa"/>
            <w:tcBorders>
              <w:top w:val="nil"/>
              <w:left w:val="nil"/>
              <w:bottom w:val="nil"/>
              <w:right w:val="nil"/>
            </w:tcBorders>
            <w:shd w:val="clear" w:color="auto" w:fill="auto"/>
            <w:vAlign w:val="center"/>
            <w:hideMark/>
          </w:tcPr>
          <w:p w14:paraId="1FB69959"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$13.8m </w:t>
            </w:r>
          </w:p>
        </w:tc>
        <w:tc>
          <w:tcPr>
            <w:tcW w:w="960" w:type="dxa"/>
            <w:tcBorders>
              <w:top w:val="nil"/>
              <w:left w:val="nil"/>
              <w:bottom w:val="nil"/>
              <w:right w:val="nil"/>
            </w:tcBorders>
            <w:shd w:val="clear" w:color="auto" w:fill="auto"/>
            <w:vAlign w:val="center"/>
            <w:hideMark/>
          </w:tcPr>
          <w:p w14:paraId="3B25A57A"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2017 AQC</w:t>
            </w:r>
          </w:p>
        </w:tc>
        <w:tc>
          <w:tcPr>
            <w:tcW w:w="740" w:type="dxa"/>
            <w:tcBorders>
              <w:top w:val="nil"/>
              <w:left w:val="nil"/>
              <w:bottom w:val="nil"/>
              <w:right w:val="nil"/>
            </w:tcBorders>
            <w:shd w:val="clear" w:color="000000" w:fill="92D050"/>
            <w:noWrap/>
            <w:vAlign w:val="center"/>
            <w:hideMark/>
          </w:tcPr>
          <w:p w14:paraId="2E4A115D"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6</w:t>
            </w:r>
          </w:p>
        </w:tc>
        <w:tc>
          <w:tcPr>
            <w:tcW w:w="740" w:type="dxa"/>
            <w:tcBorders>
              <w:top w:val="nil"/>
              <w:left w:val="nil"/>
              <w:bottom w:val="nil"/>
              <w:right w:val="nil"/>
            </w:tcBorders>
            <w:shd w:val="clear" w:color="000000" w:fill="FFFF00"/>
            <w:noWrap/>
            <w:vAlign w:val="center"/>
            <w:hideMark/>
          </w:tcPr>
          <w:p w14:paraId="6A88E0AB"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92D050"/>
            <w:noWrap/>
            <w:vAlign w:val="center"/>
            <w:hideMark/>
          </w:tcPr>
          <w:p w14:paraId="201FEFB1"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hideMark/>
          </w:tcPr>
          <w:p w14:paraId="043B1E8A"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92D050"/>
            <w:noWrap/>
            <w:vAlign w:val="center"/>
            <w:hideMark/>
          </w:tcPr>
          <w:p w14:paraId="6B0F4150"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hideMark/>
          </w:tcPr>
          <w:p w14:paraId="43498835"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auto" w:fill="auto"/>
            <w:vAlign w:val="center"/>
            <w:hideMark/>
          </w:tcPr>
          <w:p w14:paraId="76FB33B0"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p>
        </w:tc>
      </w:tr>
      <w:tr w:rsidR="00E57552" w:rsidRPr="00E57552" w14:paraId="51EAEA45" w14:textId="77777777" w:rsidTr="00E57552">
        <w:trPr>
          <w:trHeight w:val="315"/>
        </w:trPr>
        <w:tc>
          <w:tcPr>
            <w:tcW w:w="2900" w:type="dxa"/>
            <w:tcBorders>
              <w:top w:val="nil"/>
              <w:left w:val="nil"/>
              <w:bottom w:val="single" w:sz="8" w:space="0" w:color="auto"/>
              <w:right w:val="nil"/>
            </w:tcBorders>
            <w:shd w:val="clear" w:color="auto" w:fill="auto"/>
            <w:vAlign w:val="center"/>
            <w:hideMark/>
          </w:tcPr>
          <w:p w14:paraId="3EE3B1FE"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nil"/>
              <w:right w:val="nil"/>
            </w:tcBorders>
            <w:shd w:val="clear" w:color="auto" w:fill="auto"/>
            <w:vAlign w:val="center"/>
            <w:hideMark/>
          </w:tcPr>
          <w:p w14:paraId="40303C6F"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xml:space="preserve">2013-2018 </w:t>
            </w:r>
          </w:p>
        </w:tc>
        <w:tc>
          <w:tcPr>
            <w:tcW w:w="960" w:type="dxa"/>
            <w:tcBorders>
              <w:top w:val="nil"/>
              <w:left w:val="nil"/>
              <w:bottom w:val="nil"/>
              <w:right w:val="nil"/>
            </w:tcBorders>
            <w:shd w:val="clear" w:color="auto" w:fill="auto"/>
            <w:vAlign w:val="center"/>
            <w:hideMark/>
          </w:tcPr>
          <w:p w14:paraId="158B3C07"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2016 AQC</w:t>
            </w:r>
          </w:p>
        </w:tc>
        <w:tc>
          <w:tcPr>
            <w:tcW w:w="740" w:type="dxa"/>
            <w:tcBorders>
              <w:top w:val="nil"/>
              <w:left w:val="nil"/>
              <w:bottom w:val="nil"/>
              <w:right w:val="nil"/>
            </w:tcBorders>
            <w:shd w:val="clear" w:color="000000" w:fill="FFFF00"/>
            <w:noWrap/>
            <w:vAlign w:val="center"/>
            <w:hideMark/>
          </w:tcPr>
          <w:p w14:paraId="198A99E2"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FFFF00"/>
            <w:noWrap/>
            <w:vAlign w:val="center"/>
            <w:hideMark/>
          </w:tcPr>
          <w:p w14:paraId="753E358F"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FFFF00"/>
            <w:noWrap/>
            <w:vAlign w:val="center"/>
            <w:hideMark/>
          </w:tcPr>
          <w:p w14:paraId="6E99B392"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FFFF00"/>
            <w:noWrap/>
            <w:vAlign w:val="center"/>
            <w:hideMark/>
          </w:tcPr>
          <w:p w14:paraId="198AD55D"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92D050"/>
            <w:noWrap/>
            <w:vAlign w:val="center"/>
            <w:hideMark/>
          </w:tcPr>
          <w:p w14:paraId="7E2804DB"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hideMark/>
          </w:tcPr>
          <w:p w14:paraId="604F4EFA"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FFFF00"/>
            <w:vAlign w:val="center"/>
            <w:hideMark/>
          </w:tcPr>
          <w:p w14:paraId="5D95ABC1"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r>
      <w:tr w:rsidR="00E57552" w:rsidRPr="00E57552" w14:paraId="0320BA50" w14:textId="77777777" w:rsidTr="00E57552">
        <w:trPr>
          <w:trHeight w:val="360"/>
        </w:trPr>
        <w:tc>
          <w:tcPr>
            <w:tcW w:w="2900" w:type="dxa"/>
            <w:tcBorders>
              <w:top w:val="nil"/>
              <w:left w:val="nil"/>
              <w:bottom w:val="nil"/>
              <w:right w:val="nil"/>
            </w:tcBorders>
            <w:shd w:val="clear" w:color="auto" w:fill="auto"/>
            <w:vAlign w:val="center"/>
            <w:hideMark/>
          </w:tcPr>
          <w:p w14:paraId="3C2A4D22"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xml:space="preserve">Shaping Inclusive Finance Transformations Program </w:t>
            </w:r>
          </w:p>
        </w:tc>
        <w:tc>
          <w:tcPr>
            <w:tcW w:w="960" w:type="dxa"/>
            <w:tcBorders>
              <w:top w:val="single" w:sz="8" w:space="0" w:color="auto"/>
              <w:left w:val="nil"/>
              <w:bottom w:val="nil"/>
              <w:right w:val="nil"/>
            </w:tcBorders>
            <w:shd w:val="clear" w:color="auto" w:fill="auto"/>
            <w:vAlign w:val="center"/>
            <w:hideMark/>
          </w:tcPr>
          <w:p w14:paraId="3DDDD2B1"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$9.9m </w:t>
            </w:r>
          </w:p>
        </w:tc>
        <w:tc>
          <w:tcPr>
            <w:tcW w:w="960" w:type="dxa"/>
            <w:tcBorders>
              <w:top w:val="single" w:sz="8" w:space="0" w:color="auto"/>
              <w:left w:val="nil"/>
              <w:bottom w:val="nil"/>
              <w:right w:val="nil"/>
            </w:tcBorders>
            <w:shd w:val="clear" w:color="auto" w:fill="auto"/>
            <w:vAlign w:val="center"/>
            <w:hideMark/>
          </w:tcPr>
          <w:p w14:paraId="01E892C4"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2017 AQC</w:t>
            </w:r>
          </w:p>
        </w:tc>
        <w:tc>
          <w:tcPr>
            <w:tcW w:w="740" w:type="dxa"/>
            <w:tcBorders>
              <w:top w:val="single" w:sz="8" w:space="0" w:color="auto"/>
              <w:left w:val="nil"/>
              <w:bottom w:val="nil"/>
              <w:right w:val="nil"/>
            </w:tcBorders>
            <w:shd w:val="clear" w:color="000000" w:fill="92D050"/>
            <w:noWrap/>
            <w:vAlign w:val="center"/>
            <w:hideMark/>
          </w:tcPr>
          <w:p w14:paraId="52532119"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FFFF00"/>
            <w:noWrap/>
            <w:vAlign w:val="center"/>
            <w:hideMark/>
          </w:tcPr>
          <w:p w14:paraId="5A29A941"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FFFF00"/>
            <w:noWrap/>
            <w:vAlign w:val="center"/>
            <w:hideMark/>
          </w:tcPr>
          <w:p w14:paraId="0B4F060C"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92D050"/>
            <w:noWrap/>
            <w:vAlign w:val="center"/>
            <w:hideMark/>
          </w:tcPr>
          <w:p w14:paraId="71A7AF42"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FFFF00"/>
            <w:noWrap/>
            <w:vAlign w:val="center"/>
            <w:hideMark/>
          </w:tcPr>
          <w:p w14:paraId="48FB59F5"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92D050"/>
            <w:noWrap/>
            <w:vAlign w:val="center"/>
            <w:hideMark/>
          </w:tcPr>
          <w:p w14:paraId="6DB6E3E4"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auto" w:fill="auto"/>
            <w:vAlign w:val="center"/>
            <w:hideMark/>
          </w:tcPr>
          <w:p w14:paraId="1C51A481"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w:t>
            </w:r>
          </w:p>
        </w:tc>
      </w:tr>
      <w:tr w:rsidR="00E57552" w:rsidRPr="00E57552" w14:paraId="088A42D1" w14:textId="77777777" w:rsidTr="00E57552">
        <w:trPr>
          <w:trHeight w:val="315"/>
        </w:trPr>
        <w:tc>
          <w:tcPr>
            <w:tcW w:w="2900" w:type="dxa"/>
            <w:tcBorders>
              <w:top w:val="nil"/>
              <w:left w:val="nil"/>
              <w:bottom w:val="single" w:sz="8" w:space="0" w:color="auto"/>
              <w:right w:val="nil"/>
            </w:tcBorders>
            <w:shd w:val="clear" w:color="auto" w:fill="auto"/>
            <w:vAlign w:val="center"/>
            <w:hideMark/>
          </w:tcPr>
          <w:p w14:paraId="1998538D"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single" w:sz="8" w:space="0" w:color="auto"/>
              <w:right w:val="nil"/>
            </w:tcBorders>
            <w:shd w:val="clear" w:color="auto" w:fill="auto"/>
            <w:vAlign w:val="center"/>
            <w:hideMark/>
          </w:tcPr>
          <w:p w14:paraId="03C9FC74"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xml:space="preserve">2014-2018 </w:t>
            </w:r>
          </w:p>
        </w:tc>
        <w:tc>
          <w:tcPr>
            <w:tcW w:w="960" w:type="dxa"/>
            <w:tcBorders>
              <w:top w:val="nil"/>
              <w:left w:val="nil"/>
              <w:bottom w:val="single" w:sz="8" w:space="0" w:color="auto"/>
              <w:right w:val="nil"/>
            </w:tcBorders>
            <w:shd w:val="clear" w:color="auto" w:fill="auto"/>
            <w:vAlign w:val="center"/>
            <w:hideMark/>
          </w:tcPr>
          <w:p w14:paraId="76E6A968"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2016 AQC</w:t>
            </w:r>
          </w:p>
        </w:tc>
        <w:tc>
          <w:tcPr>
            <w:tcW w:w="740" w:type="dxa"/>
            <w:tcBorders>
              <w:top w:val="nil"/>
              <w:left w:val="nil"/>
              <w:bottom w:val="single" w:sz="8" w:space="0" w:color="auto"/>
              <w:right w:val="nil"/>
            </w:tcBorders>
            <w:shd w:val="clear" w:color="000000" w:fill="92D050"/>
            <w:noWrap/>
            <w:vAlign w:val="center"/>
            <w:hideMark/>
          </w:tcPr>
          <w:p w14:paraId="09FDEEA0"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000000" w:fill="FFFF00"/>
            <w:noWrap/>
            <w:vAlign w:val="center"/>
            <w:hideMark/>
          </w:tcPr>
          <w:p w14:paraId="6DB81CB4"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FFFF00"/>
            <w:noWrap/>
            <w:vAlign w:val="center"/>
            <w:hideMark/>
          </w:tcPr>
          <w:p w14:paraId="4B322884"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FFFF00"/>
            <w:noWrap/>
            <w:vAlign w:val="center"/>
            <w:hideMark/>
          </w:tcPr>
          <w:p w14:paraId="5E4924FF"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FFFF00"/>
            <w:noWrap/>
            <w:vAlign w:val="center"/>
            <w:hideMark/>
          </w:tcPr>
          <w:p w14:paraId="371D2AB2"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FFFF00"/>
            <w:noWrap/>
            <w:vAlign w:val="center"/>
            <w:hideMark/>
          </w:tcPr>
          <w:p w14:paraId="74FBC341"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FFFF00"/>
            <w:vAlign w:val="center"/>
            <w:hideMark/>
          </w:tcPr>
          <w:p w14:paraId="797E9796"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r>
      <w:tr w:rsidR="00E57552" w:rsidRPr="00E57552" w14:paraId="61BCDC09" w14:textId="77777777" w:rsidTr="00E57552">
        <w:trPr>
          <w:trHeight w:val="360"/>
        </w:trPr>
        <w:tc>
          <w:tcPr>
            <w:tcW w:w="2900" w:type="dxa"/>
            <w:tcBorders>
              <w:top w:val="nil"/>
              <w:left w:val="nil"/>
              <w:bottom w:val="nil"/>
              <w:right w:val="nil"/>
            </w:tcBorders>
            <w:shd w:val="clear" w:color="auto" w:fill="auto"/>
            <w:vAlign w:val="center"/>
            <w:hideMark/>
          </w:tcPr>
          <w:p w14:paraId="3B320000"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Oxfam-Civil Society Engagement in Water Governance</w:t>
            </w:r>
          </w:p>
        </w:tc>
        <w:tc>
          <w:tcPr>
            <w:tcW w:w="960" w:type="dxa"/>
            <w:tcBorders>
              <w:top w:val="nil"/>
              <w:left w:val="nil"/>
              <w:bottom w:val="nil"/>
              <w:right w:val="nil"/>
            </w:tcBorders>
            <w:shd w:val="clear" w:color="auto" w:fill="auto"/>
            <w:vAlign w:val="center"/>
            <w:hideMark/>
          </w:tcPr>
          <w:p w14:paraId="0836E30F"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$6m </w:t>
            </w:r>
          </w:p>
        </w:tc>
        <w:tc>
          <w:tcPr>
            <w:tcW w:w="960" w:type="dxa"/>
            <w:tcBorders>
              <w:top w:val="nil"/>
              <w:left w:val="nil"/>
              <w:bottom w:val="nil"/>
              <w:right w:val="nil"/>
            </w:tcBorders>
            <w:shd w:val="clear" w:color="auto" w:fill="auto"/>
            <w:vAlign w:val="center"/>
            <w:hideMark/>
          </w:tcPr>
          <w:p w14:paraId="3CB16EDF"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2017 AQC</w:t>
            </w:r>
          </w:p>
        </w:tc>
        <w:tc>
          <w:tcPr>
            <w:tcW w:w="740" w:type="dxa"/>
            <w:tcBorders>
              <w:top w:val="nil"/>
              <w:left w:val="nil"/>
              <w:bottom w:val="nil"/>
              <w:right w:val="nil"/>
            </w:tcBorders>
            <w:shd w:val="clear" w:color="000000" w:fill="92D050"/>
            <w:noWrap/>
            <w:vAlign w:val="center"/>
            <w:hideMark/>
          </w:tcPr>
          <w:p w14:paraId="7DF7323B"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0F4EFDBE"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646922AF"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30648A69"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1C1EBB22"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61FDCAC9"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auto" w:fill="auto"/>
            <w:vAlign w:val="center"/>
            <w:hideMark/>
          </w:tcPr>
          <w:p w14:paraId="60596D24"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p>
        </w:tc>
      </w:tr>
      <w:tr w:rsidR="00E57552" w:rsidRPr="00E57552" w14:paraId="7E37BE96" w14:textId="77777777" w:rsidTr="00E57552">
        <w:trPr>
          <w:trHeight w:val="315"/>
        </w:trPr>
        <w:tc>
          <w:tcPr>
            <w:tcW w:w="2900" w:type="dxa"/>
            <w:tcBorders>
              <w:top w:val="nil"/>
              <w:left w:val="nil"/>
              <w:bottom w:val="single" w:sz="8" w:space="0" w:color="auto"/>
              <w:right w:val="nil"/>
            </w:tcBorders>
            <w:shd w:val="clear" w:color="auto" w:fill="auto"/>
            <w:vAlign w:val="center"/>
            <w:hideMark/>
          </w:tcPr>
          <w:p w14:paraId="25523CEF"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nil"/>
              <w:right w:val="nil"/>
            </w:tcBorders>
            <w:shd w:val="clear" w:color="auto" w:fill="auto"/>
            <w:vAlign w:val="center"/>
            <w:hideMark/>
          </w:tcPr>
          <w:p w14:paraId="5EF8535F"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xml:space="preserve">2013-2017 </w:t>
            </w:r>
          </w:p>
        </w:tc>
        <w:tc>
          <w:tcPr>
            <w:tcW w:w="960" w:type="dxa"/>
            <w:tcBorders>
              <w:top w:val="nil"/>
              <w:left w:val="nil"/>
              <w:bottom w:val="nil"/>
              <w:right w:val="nil"/>
            </w:tcBorders>
            <w:shd w:val="clear" w:color="auto" w:fill="auto"/>
            <w:vAlign w:val="center"/>
            <w:hideMark/>
          </w:tcPr>
          <w:p w14:paraId="77A34657"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2016 AQC</w:t>
            </w:r>
          </w:p>
        </w:tc>
        <w:tc>
          <w:tcPr>
            <w:tcW w:w="740" w:type="dxa"/>
            <w:tcBorders>
              <w:top w:val="nil"/>
              <w:left w:val="nil"/>
              <w:bottom w:val="nil"/>
              <w:right w:val="nil"/>
            </w:tcBorders>
            <w:shd w:val="clear" w:color="000000" w:fill="92D050"/>
            <w:noWrap/>
            <w:vAlign w:val="center"/>
            <w:hideMark/>
          </w:tcPr>
          <w:p w14:paraId="4DCE67D9"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0272CD92"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0945166F"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3A7A633D"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hideMark/>
          </w:tcPr>
          <w:p w14:paraId="043DED80"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92D050"/>
            <w:noWrap/>
            <w:vAlign w:val="center"/>
            <w:hideMark/>
          </w:tcPr>
          <w:p w14:paraId="56CD0397"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6</w:t>
            </w:r>
          </w:p>
        </w:tc>
        <w:tc>
          <w:tcPr>
            <w:tcW w:w="740" w:type="dxa"/>
            <w:tcBorders>
              <w:top w:val="nil"/>
              <w:left w:val="nil"/>
              <w:bottom w:val="nil"/>
              <w:right w:val="nil"/>
            </w:tcBorders>
            <w:shd w:val="clear" w:color="000000" w:fill="92D050"/>
            <w:vAlign w:val="center"/>
            <w:hideMark/>
          </w:tcPr>
          <w:p w14:paraId="120FAB9F"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6</w:t>
            </w:r>
          </w:p>
        </w:tc>
      </w:tr>
      <w:tr w:rsidR="00E57552" w:rsidRPr="00E57552" w14:paraId="5BF50154" w14:textId="77777777" w:rsidTr="00E57552">
        <w:trPr>
          <w:trHeight w:val="360"/>
        </w:trPr>
        <w:tc>
          <w:tcPr>
            <w:tcW w:w="2900" w:type="dxa"/>
            <w:tcBorders>
              <w:top w:val="nil"/>
              <w:left w:val="nil"/>
              <w:bottom w:val="nil"/>
              <w:right w:val="nil"/>
            </w:tcBorders>
            <w:shd w:val="clear" w:color="auto" w:fill="auto"/>
            <w:vAlign w:val="center"/>
            <w:hideMark/>
          </w:tcPr>
          <w:p w14:paraId="3B9779CD"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IFC Sustainable Hydropower in Mekong Countries</w:t>
            </w:r>
          </w:p>
        </w:tc>
        <w:tc>
          <w:tcPr>
            <w:tcW w:w="960" w:type="dxa"/>
            <w:tcBorders>
              <w:top w:val="single" w:sz="8" w:space="0" w:color="auto"/>
              <w:left w:val="nil"/>
              <w:bottom w:val="nil"/>
              <w:right w:val="nil"/>
            </w:tcBorders>
            <w:shd w:val="clear" w:color="auto" w:fill="auto"/>
            <w:vAlign w:val="center"/>
            <w:hideMark/>
          </w:tcPr>
          <w:p w14:paraId="3D288A4F"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$6m </w:t>
            </w:r>
          </w:p>
        </w:tc>
        <w:tc>
          <w:tcPr>
            <w:tcW w:w="960" w:type="dxa"/>
            <w:tcBorders>
              <w:top w:val="single" w:sz="8" w:space="0" w:color="auto"/>
              <w:left w:val="nil"/>
              <w:bottom w:val="nil"/>
              <w:right w:val="nil"/>
            </w:tcBorders>
            <w:shd w:val="clear" w:color="auto" w:fill="auto"/>
            <w:vAlign w:val="center"/>
            <w:hideMark/>
          </w:tcPr>
          <w:p w14:paraId="574ED48F"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2017 AQC</w:t>
            </w:r>
          </w:p>
        </w:tc>
        <w:tc>
          <w:tcPr>
            <w:tcW w:w="740" w:type="dxa"/>
            <w:tcBorders>
              <w:top w:val="single" w:sz="8" w:space="0" w:color="auto"/>
              <w:left w:val="nil"/>
              <w:bottom w:val="nil"/>
              <w:right w:val="nil"/>
            </w:tcBorders>
            <w:shd w:val="clear" w:color="000000" w:fill="92D050"/>
            <w:noWrap/>
            <w:vAlign w:val="center"/>
            <w:hideMark/>
          </w:tcPr>
          <w:p w14:paraId="063D6651"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92D050"/>
            <w:noWrap/>
            <w:vAlign w:val="center"/>
            <w:hideMark/>
          </w:tcPr>
          <w:p w14:paraId="7C8AE845"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92D050"/>
            <w:noWrap/>
            <w:vAlign w:val="center"/>
            <w:hideMark/>
          </w:tcPr>
          <w:p w14:paraId="77FD9DC4"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FFFF00"/>
            <w:noWrap/>
            <w:vAlign w:val="center"/>
            <w:hideMark/>
          </w:tcPr>
          <w:p w14:paraId="579A6E66"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92D050"/>
            <w:noWrap/>
            <w:vAlign w:val="center"/>
            <w:hideMark/>
          </w:tcPr>
          <w:p w14:paraId="5A8A252E"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FFFF00"/>
            <w:noWrap/>
            <w:vAlign w:val="center"/>
            <w:hideMark/>
          </w:tcPr>
          <w:p w14:paraId="00C145A8"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auto" w:fill="auto"/>
            <w:vAlign w:val="center"/>
            <w:hideMark/>
          </w:tcPr>
          <w:p w14:paraId="1199FFBF"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w:t>
            </w:r>
          </w:p>
        </w:tc>
      </w:tr>
      <w:tr w:rsidR="00E57552" w:rsidRPr="00E57552" w14:paraId="3C828DF3" w14:textId="77777777" w:rsidTr="00E57552">
        <w:trPr>
          <w:trHeight w:val="315"/>
        </w:trPr>
        <w:tc>
          <w:tcPr>
            <w:tcW w:w="2900" w:type="dxa"/>
            <w:tcBorders>
              <w:top w:val="nil"/>
              <w:left w:val="nil"/>
              <w:bottom w:val="single" w:sz="8" w:space="0" w:color="auto"/>
              <w:right w:val="nil"/>
            </w:tcBorders>
            <w:shd w:val="clear" w:color="auto" w:fill="auto"/>
            <w:vAlign w:val="center"/>
            <w:hideMark/>
          </w:tcPr>
          <w:p w14:paraId="6140C8AC"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nil"/>
              <w:right w:val="nil"/>
            </w:tcBorders>
            <w:shd w:val="clear" w:color="auto" w:fill="auto"/>
            <w:vAlign w:val="center"/>
            <w:hideMark/>
          </w:tcPr>
          <w:p w14:paraId="0D5F45DB"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xml:space="preserve">2013-2017 </w:t>
            </w:r>
          </w:p>
        </w:tc>
        <w:tc>
          <w:tcPr>
            <w:tcW w:w="960" w:type="dxa"/>
            <w:tcBorders>
              <w:top w:val="nil"/>
              <w:left w:val="nil"/>
              <w:bottom w:val="nil"/>
              <w:right w:val="nil"/>
            </w:tcBorders>
            <w:shd w:val="clear" w:color="auto" w:fill="auto"/>
            <w:vAlign w:val="center"/>
            <w:hideMark/>
          </w:tcPr>
          <w:p w14:paraId="1B078E18"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2016 AQC</w:t>
            </w:r>
          </w:p>
        </w:tc>
        <w:tc>
          <w:tcPr>
            <w:tcW w:w="740" w:type="dxa"/>
            <w:tcBorders>
              <w:top w:val="nil"/>
              <w:left w:val="nil"/>
              <w:bottom w:val="nil"/>
              <w:right w:val="nil"/>
            </w:tcBorders>
            <w:shd w:val="clear" w:color="000000" w:fill="92D050"/>
            <w:noWrap/>
            <w:vAlign w:val="center"/>
            <w:hideMark/>
          </w:tcPr>
          <w:p w14:paraId="0BE2F6A7"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1D1D2688"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025BFC49"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hideMark/>
          </w:tcPr>
          <w:p w14:paraId="1DEA3DEF"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FFFF00"/>
            <w:noWrap/>
            <w:vAlign w:val="center"/>
            <w:hideMark/>
          </w:tcPr>
          <w:p w14:paraId="3E56C342"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FFFF00"/>
            <w:noWrap/>
            <w:vAlign w:val="center"/>
            <w:hideMark/>
          </w:tcPr>
          <w:p w14:paraId="218D85C2"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92D050"/>
            <w:vAlign w:val="center"/>
            <w:hideMark/>
          </w:tcPr>
          <w:p w14:paraId="4D512197"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r>
      <w:tr w:rsidR="00E57552" w:rsidRPr="00E57552" w14:paraId="5C94E91A" w14:textId="77777777" w:rsidTr="00E57552">
        <w:trPr>
          <w:trHeight w:val="360"/>
        </w:trPr>
        <w:tc>
          <w:tcPr>
            <w:tcW w:w="2900" w:type="dxa"/>
            <w:tcBorders>
              <w:top w:val="nil"/>
              <w:left w:val="nil"/>
              <w:bottom w:val="nil"/>
              <w:right w:val="nil"/>
            </w:tcBorders>
            <w:shd w:val="clear" w:color="auto" w:fill="auto"/>
            <w:vAlign w:val="center"/>
            <w:hideMark/>
          </w:tcPr>
          <w:p w14:paraId="778C72EC"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xml:space="preserve">Supporting Mekong Water Resources Management </w:t>
            </w:r>
          </w:p>
        </w:tc>
        <w:tc>
          <w:tcPr>
            <w:tcW w:w="960" w:type="dxa"/>
            <w:tcBorders>
              <w:top w:val="single" w:sz="8" w:space="0" w:color="auto"/>
              <w:left w:val="nil"/>
              <w:bottom w:val="nil"/>
              <w:right w:val="nil"/>
            </w:tcBorders>
            <w:shd w:val="clear" w:color="auto" w:fill="auto"/>
            <w:vAlign w:val="center"/>
            <w:hideMark/>
          </w:tcPr>
          <w:p w14:paraId="6221CB28"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$6.48m </w:t>
            </w:r>
          </w:p>
        </w:tc>
        <w:tc>
          <w:tcPr>
            <w:tcW w:w="960" w:type="dxa"/>
            <w:tcBorders>
              <w:top w:val="single" w:sz="8" w:space="0" w:color="auto"/>
              <w:left w:val="nil"/>
              <w:bottom w:val="nil"/>
              <w:right w:val="nil"/>
            </w:tcBorders>
            <w:shd w:val="clear" w:color="auto" w:fill="auto"/>
            <w:vAlign w:val="center"/>
            <w:hideMark/>
          </w:tcPr>
          <w:p w14:paraId="457BAE73"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2017 AQC</w:t>
            </w:r>
          </w:p>
        </w:tc>
        <w:tc>
          <w:tcPr>
            <w:tcW w:w="740" w:type="dxa"/>
            <w:tcBorders>
              <w:top w:val="single" w:sz="8" w:space="0" w:color="auto"/>
              <w:left w:val="nil"/>
              <w:bottom w:val="nil"/>
              <w:right w:val="nil"/>
            </w:tcBorders>
            <w:shd w:val="clear" w:color="000000" w:fill="FFFF00"/>
            <w:noWrap/>
            <w:vAlign w:val="center"/>
            <w:hideMark/>
          </w:tcPr>
          <w:p w14:paraId="34E0415A"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FFFF00"/>
            <w:noWrap/>
            <w:vAlign w:val="center"/>
            <w:hideMark/>
          </w:tcPr>
          <w:p w14:paraId="1A37EFCA"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92D050"/>
            <w:noWrap/>
            <w:vAlign w:val="center"/>
            <w:hideMark/>
          </w:tcPr>
          <w:p w14:paraId="6EF6E6E8"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FFFF00"/>
            <w:noWrap/>
            <w:vAlign w:val="center"/>
            <w:hideMark/>
          </w:tcPr>
          <w:p w14:paraId="110539E9"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92D050"/>
            <w:noWrap/>
            <w:vAlign w:val="center"/>
            <w:hideMark/>
          </w:tcPr>
          <w:p w14:paraId="108B5B37"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single" w:sz="8" w:space="0" w:color="auto"/>
              <w:left w:val="nil"/>
              <w:bottom w:val="nil"/>
              <w:right w:val="nil"/>
            </w:tcBorders>
            <w:shd w:val="clear" w:color="000000" w:fill="FFFF00"/>
            <w:noWrap/>
            <w:vAlign w:val="center"/>
            <w:hideMark/>
          </w:tcPr>
          <w:p w14:paraId="4D370FF7"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auto" w:fill="auto"/>
            <w:vAlign w:val="center"/>
            <w:hideMark/>
          </w:tcPr>
          <w:p w14:paraId="546C5F68"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w:t>
            </w:r>
          </w:p>
        </w:tc>
      </w:tr>
      <w:tr w:rsidR="00E57552" w:rsidRPr="00E57552" w14:paraId="0C0F6423" w14:textId="77777777" w:rsidTr="00E57552">
        <w:trPr>
          <w:trHeight w:val="315"/>
        </w:trPr>
        <w:tc>
          <w:tcPr>
            <w:tcW w:w="2900" w:type="dxa"/>
            <w:tcBorders>
              <w:top w:val="nil"/>
              <w:left w:val="nil"/>
              <w:bottom w:val="single" w:sz="8" w:space="0" w:color="auto"/>
              <w:right w:val="nil"/>
            </w:tcBorders>
            <w:shd w:val="clear" w:color="auto" w:fill="auto"/>
            <w:vAlign w:val="center"/>
            <w:hideMark/>
          </w:tcPr>
          <w:p w14:paraId="57BF7FDB"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nil"/>
              <w:right w:val="nil"/>
            </w:tcBorders>
            <w:shd w:val="clear" w:color="auto" w:fill="auto"/>
            <w:vAlign w:val="center"/>
            <w:hideMark/>
          </w:tcPr>
          <w:p w14:paraId="6898E699"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xml:space="preserve">2014-2018 </w:t>
            </w:r>
          </w:p>
        </w:tc>
        <w:tc>
          <w:tcPr>
            <w:tcW w:w="960" w:type="dxa"/>
            <w:tcBorders>
              <w:top w:val="nil"/>
              <w:left w:val="nil"/>
              <w:bottom w:val="nil"/>
              <w:right w:val="nil"/>
            </w:tcBorders>
            <w:shd w:val="clear" w:color="auto" w:fill="auto"/>
            <w:vAlign w:val="center"/>
            <w:hideMark/>
          </w:tcPr>
          <w:p w14:paraId="4CD366F4"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2016 AQC</w:t>
            </w:r>
          </w:p>
        </w:tc>
        <w:tc>
          <w:tcPr>
            <w:tcW w:w="740" w:type="dxa"/>
            <w:tcBorders>
              <w:top w:val="nil"/>
              <w:left w:val="nil"/>
              <w:bottom w:val="nil"/>
              <w:right w:val="nil"/>
            </w:tcBorders>
            <w:shd w:val="clear" w:color="000000" w:fill="92D050"/>
            <w:noWrap/>
            <w:vAlign w:val="center"/>
            <w:hideMark/>
          </w:tcPr>
          <w:p w14:paraId="652183A4"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hideMark/>
          </w:tcPr>
          <w:p w14:paraId="51C42516"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FFFF00"/>
            <w:noWrap/>
            <w:vAlign w:val="center"/>
            <w:hideMark/>
          </w:tcPr>
          <w:p w14:paraId="6CCF9628"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FFFF00"/>
            <w:noWrap/>
            <w:vAlign w:val="center"/>
            <w:hideMark/>
          </w:tcPr>
          <w:p w14:paraId="72C05C36"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92D050"/>
            <w:noWrap/>
            <w:vAlign w:val="center"/>
            <w:hideMark/>
          </w:tcPr>
          <w:p w14:paraId="589E822B"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hideMark/>
          </w:tcPr>
          <w:p w14:paraId="53F4A3E1"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000000" w:fill="FFFF00"/>
            <w:vAlign w:val="center"/>
            <w:hideMark/>
          </w:tcPr>
          <w:p w14:paraId="6B3FDD08"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r>
      <w:tr w:rsidR="00E57552" w:rsidRPr="00E57552" w14:paraId="71E4AABF" w14:textId="77777777" w:rsidTr="00E57552">
        <w:trPr>
          <w:trHeight w:val="360"/>
        </w:trPr>
        <w:tc>
          <w:tcPr>
            <w:tcW w:w="2900" w:type="dxa"/>
            <w:tcBorders>
              <w:top w:val="nil"/>
              <w:left w:val="nil"/>
              <w:bottom w:val="nil"/>
              <w:right w:val="nil"/>
            </w:tcBorders>
            <w:shd w:val="clear" w:color="auto" w:fill="auto"/>
            <w:vAlign w:val="center"/>
            <w:hideMark/>
          </w:tcPr>
          <w:p w14:paraId="4581394E"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Research for Development on Water Governance</w:t>
            </w:r>
          </w:p>
        </w:tc>
        <w:tc>
          <w:tcPr>
            <w:tcW w:w="960" w:type="dxa"/>
            <w:tcBorders>
              <w:top w:val="single" w:sz="8" w:space="0" w:color="auto"/>
              <w:left w:val="nil"/>
              <w:bottom w:val="nil"/>
              <w:right w:val="nil"/>
            </w:tcBorders>
            <w:shd w:val="clear" w:color="auto" w:fill="auto"/>
            <w:vAlign w:val="center"/>
            <w:hideMark/>
          </w:tcPr>
          <w:p w14:paraId="09802DB8"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$6m</w:t>
            </w:r>
            <w:r w:rsidRPr="00E57552">
              <w:rPr>
                <w:rFonts w:ascii="Calibri Light" w:eastAsia="Times New Roman" w:hAnsi="Calibri Light" w:cs="Times New Roman"/>
                <w:color w:val="495965"/>
                <w:sz w:val="14"/>
                <w:szCs w:val="14"/>
                <w:lang w:eastAsia="en-AU"/>
              </w:rPr>
              <w:t xml:space="preserve"> </w:t>
            </w:r>
          </w:p>
        </w:tc>
        <w:tc>
          <w:tcPr>
            <w:tcW w:w="960" w:type="dxa"/>
            <w:tcBorders>
              <w:top w:val="single" w:sz="8" w:space="0" w:color="auto"/>
              <w:left w:val="nil"/>
              <w:bottom w:val="nil"/>
              <w:right w:val="nil"/>
            </w:tcBorders>
            <w:shd w:val="clear" w:color="auto" w:fill="auto"/>
            <w:vAlign w:val="center"/>
            <w:hideMark/>
          </w:tcPr>
          <w:p w14:paraId="1566B128"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2017 AQC</w:t>
            </w:r>
          </w:p>
        </w:tc>
        <w:tc>
          <w:tcPr>
            <w:tcW w:w="740" w:type="dxa"/>
            <w:tcBorders>
              <w:top w:val="single" w:sz="8" w:space="0" w:color="auto"/>
              <w:left w:val="nil"/>
              <w:bottom w:val="nil"/>
              <w:right w:val="nil"/>
            </w:tcBorders>
            <w:shd w:val="clear" w:color="000000" w:fill="FFFF00"/>
            <w:noWrap/>
            <w:vAlign w:val="center"/>
            <w:hideMark/>
          </w:tcPr>
          <w:p w14:paraId="1FA6FFAF"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4</w:t>
            </w:r>
          </w:p>
        </w:tc>
        <w:tc>
          <w:tcPr>
            <w:tcW w:w="740" w:type="dxa"/>
            <w:tcBorders>
              <w:top w:val="single" w:sz="8" w:space="0" w:color="auto"/>
              <w:left w:val="nil"/>
              <w:bottom w:val="nil"/>
              <w:right w:val="nil"/>
            </w:tcBorders>
            <w:shd w:val="clear" w:color="000000" w:fill="FFFF00"/>
            <w:noWrap/>
            <w:vAlign w:val="center"/>
            <w:hideMark/>
          </w:tcPr>
          <w:p w14:paraId="64ABA03C"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4</w:t>
            </w:r>
          </w:p>
        </w:tc>
        <w:tc>
          <w:tcPr>
            <w:tcW w:w="740" w:type="dxa"/>
            <w:tcBorders>
              <w:top w:val="single" w:sz="8" w:space="0" w:color="auto"/>
              <w:left w:val="nil"/>
              <w:bottom w:val="nil"/>
              <w:right w:val="nil"/>
            </w:tcBorders>
            <w:shd w:val="clear" w:color="000000" w:fill="FFFF00"/>
            <w:noWrap/>
            <w:vAlign w:val="center"/>
            <w:hideMark/>
          </w:tcPr>
          <w:p w14:paraId="272EF876"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4</w:t>
            </w:r>
          </w:p>
        </w:tc>
        <w:tc>
          <w:tcPr>
            <w:tcW w:w="740" w:type="dxa"/>
            <w:tcBorders>
              <w:top w:val="single" w:sz="8" w:space="0" w:color="auto"/>
              <w:left w:val="nil"/>
              <w:bottom w:val="nil"/>
              <w:right w:val="nil"/>
            </w:tcBorders>
            <w:shd w:val="clear" w:color="000000" w:fill="92D050"/>
            <w:noWrap/>
            <w:vAlign w:val="center"/>
            <w:hideMark/>
          </w:tcPr>
          <w:p w14:paraId="4FFE9877"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5</w:t>
            </w:r>
          </w:p>
        </w:tc>
        <w:tc>
          <w:tcPr>
            <w:tcW w:w="740" w:type="dxa"/>
            <w:tcBorders>
              <w:top w:val="single" w:sz="8" w:space="0" w:color="auto"/>
              <w:left w:val="nil"/>
              <w:bottom w:val="nil"/>
              <w:right w:val="nil"/>
            </w:tcBorders>
            <w:shd w:val="clear" w:color="000000" w:fill="92D050"/>
            <w:noWrap/>
            <w:vAlign w:val="center"/>
            <w:hideMark/>
          </w:tcPr>
          <w:p w14:paraId="752BDFA6"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5</w:t>
            </w:r>
          </w:p>
        </w:tc>
        <w:tc>
          <w:tcPr>
            <w:tcW w:w="740" w:type="dxa"/>
            <w:tcBorders>
              <w:top w:val="single" w:sz="8" w:space="0" w:color="auto"/>
              <w:left w:val="nil"/>
              <w:bottom w:val="nil"/>
              <w:right w:val="nil"/>
            </w:tcBorders>
            <w:shd w:val="clear" w:color="000000" w:fill="92D050"/>
            <w:noWrap/>
            <w:vAlign w:val="center"/>
            <w:hideMark/>
          </w:tcPr>
          <w:p w14:paraId="2F2FDC04"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5</w:t>
            </w:r>
          </w:p>
        </w:tc>
        <w:tc>
          <w:tcPr>
            <w:tcW w:w="740" w:type="dxa"/>
            <w:tcBorders>
              <w:top w:val="single" w:sz="8" w:space="0" w:color="auto"/>
              <w:left w:val="nil"/>
              <w:bottom w:val="nil"/>
              <w:right w:val="nil"/>
            </w:tcBorders>
            <w:shd w:val="clear" w:color="auto" w:fill="auto"/>
            <w:vAlign w:val="center"/>
            <w:hideMark/>
          </w:tcPr>
          <w:p w14:paraId="5A1850E8"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 </w:t>
            </w:r>
          </w:p>
        </w:tc>
      </w:tr>
      <w:tr w:rsidR="00E57552" w:rsidRPr="00E57552" w14:paraId="786681D3" w14:textId="77777777" w:rsidTr="00E57552">
        <w:trPr>
          <w:trHeight w:val="315"/>
        </w:trPr>
        <w:tc>
          <w:tcPr>
            <w:tcW w:w="2900" w:type="dxa"/>
            <w:tcBorders>
              <w:top w:val="nil"/>
              <w:left w:val="nil"/>
              <w:bottom w:val="nil"/>
              <w:right w:val="nil"/>
            </w:tcBorders>
            <w:shd w:val="clear" w:color="auto" w:fill="auto"/>
            <w:vAlign w:val="center"/>
            <w:hideMark/>
          </w:tcPr>
          <w:p w14:paraId="6C7752C0"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p>
        </w:tc>
        <w:tc>
          <w:tcPr>
            <w:tcW w:w="960" w:type="dxa"/>
            <w:tcBorders>
              <w:top w:val="nil"/>
              <w:left w:val="nil"/>
              <w:bottom w:val="single" w:sz="8" w:space="0" w:color="auto"/>
              <w:right w:val="nil"/>
            </w:tcBorders>
            <w:shd w:val="clear" w:color="auto" w:fill="auto"/>
            <w:vAlign w:val="center"/>
            <w:hideMark/>
          </w:tcPr>
          <w:p w14:paraId="38AE8936"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2014-2018</w:t>
            </w:r>
          </w:p>
        </w:tc>
        <w:tc>
          <w:tcPr>
            <w:tcW w:w="960" w:type="dxa"/>
            <w:tcBorders>
              <w:top w:val="nil"/>
              <w:left w:val="nil"/>
              <w:bottom w:val="single" w:sz="8" w:space="0" w:color="auto"/>
              <w:right w:val="nil"/>
            </w:tcBorders>
            <w:shd w:val="clear" w:color="auto" w:fill="auto"/>
            <w:vAlign w:val="center"/>
            <w:hideMark/>
          </w:tcPr>
          <w:p w14:paraId="1AD2A108"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2017 AQC</w:t>
            </w:r>
          </w:p>
        </w:tc>
        <w:tc>
          <w:tcPr>
            <w:tcW w:w="740" w:type="dxa"/>
            <w:tcBorders>
              <w:top w:val="nil"/>
              <w:left w:val="nil"/>
              <w:bottom w:val="single" w:sz="8" w:space="0" w:color="auto"/>
              <w:right w:val="nil"/>
            </w:tcBorders>
            <w:shd w:val="clear" w:color="000000" w:fill="92D050"/>
            <w:noWrap/>
            <w:vAlign w:val="center"/>
            <w:hideMark/>
          </w:tcPr>
          <w:p w14:paraId="1D785D2A"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5</w:t>
            </w:r>
          </w:p>
        </w:tc>
        <w:tc>
          <w:tcPr>
            <w:tcW w:w="740" w:type="dxa"/>
            <w:tcBorders>
              <w:top w:val="nil"/>
              <w:left w:val="nil"/>
              <w:bottom w:val="single" w:sz="8" w:space="0" w:color="auto"/>
              <w:right w:val="nil"/>
            </w:tcBorders>
            <w:shd w:val="clear" w:color="000000" w:fill="92D050"/>
            <w:noWrap/>
            <w:vAlign w:val="center"/>
            <w:hideMark/>
          </w:tcPr>
          <w:p w14:paraId="2D9AE302"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5</w:t>
            </w:r>
          </w:p>
        </w:tc>
        <w:tc>
          <w:tcPr>
            <w:tcW w:w="740" w:type="dxa"/>
            <w:tcBorders>
              <w:top w:val="nil"/>
              <w:left w:val="nil"/>
              <w:bottom w:val="single" w:sz="8" w:space="0" w:color="auto"/>
              <w:right w:val="nil"/>
            </w:tcBorders>
            <w:shd w:val="clear" w:color="000000" w:fill="92D050"/>
            <w:noWrap/>
            <w:vAlign w:val="center"/>
            <w:hideMark/>
          </w:tcPr>
          <w:p w14:paraId="2A0399E5"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5</w:t>
            </w:r>
          </w:p>
        </w:tc>
        <w:tc>
          <w:tcPr>
            <w:tcW w:w="740" w:type="dxa"/>
            <w:tcBorders>
              <w:top w:val="nil"/>
              <w:left w:val="nil"/>
              <w:bottom w:val="single" w:sz="8" w:space="0" w:color="auto"/>
              <w:right w:val="nil"/>
            </w:tcBorders>
            <w:shd w:val="clear" w:color="000000" w:fill="92D050"/>
            <w:noWrap/>
            <w:vAlign w:val="center"/>
            <w:hideMark/>
          </w:tcPr>
          <w:p w14:paraId="6733BBAF"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6</w:t>
            </w:r>
          </w:p>
        </w:tc>
        <w:tc>
          <w:tcPr>
            <w:tcW w:w="740" w:type="dxa"/>
            <w:tcBorders>
              <w:top w:val="nil"/>
              <w:left w:val="nil"/>
              <w:bottom w:val="single" w:sz="8" w:space="0" w:color="auto"/>
              <w:right w:val="nil"/>
            </w:tcBorders>
            <w:shd w:val="clear" w:color="000000" w:fill="FFFF00"/>
            <w:noWrap/>
            <w:vAlign w:val="center"/>
            <w:hideMark/>
          </w:tcPr>
          <w:p w14:paraId="46B40C14"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4</w:t>
            </w:r>
          </w:p>
        </w:tc>
        <w:tc>
          <w:tcPr>
            <w:tcW w:w="740" w:type="dxa"/>
            <w:tcBorders>
              <w:top w:val="nil"/>
              <w:left w:val="nil"/>
              <w:bottom w:val="single" w:sz="8" w:space="0" w:color="auto"/>
              <w:right w:val="nil"/>
            </w:tcBorders>
            <w:shd w:val="clear" w:color="000000" w:fill="92D050"/>
            <w:noWrap/>
            <w:vAlign w:val="center"/>
            <w:hideMark/>
          </w:tcPr>
          <w:p w14:paraId="04403D80"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5</w:t>
            </w:r>
          </w:p>
        </w:tc>
        <w:tc>
          <w:tcPr>
            <w:tcW w:w="740" w:type="dxa"/>
            <w:tcBorders>
              <w:top w:val="nil"/>
              <w:left w:val="nil"/>
              <w:bottom w:val="single" w:sz="8" w:space="0" w:color="auto"/>
              <w:right w:val="nil"/>
            </w:tcBorders>
            <w:shd w:val="clear" w:color="000000" w:fill="92D050"/>
            <w:vAlign w:val="center"/>
            <w:hideMark/>
          </w:tcPr>
          <w:p w14:paraId="2F840FFF"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5</w:t>
            </w:r>
          </w:p>
        </w:tc>
      </w:tr>
      <w:tr w:rsidR="00E57552" w:rsidRPr="00E57552" w14:paraId="259FC501" w14:textId="77777777" w:rsidTr="00E57552">
        <w:trPr>
          <w:trHeight w:val="360"/>
        </w:trPr>
        <w:tc>
          <w:tcPr>
            <w:tcW w:w="2900" w:type="dxa"/>
            <w:tcBorders>
              <w:top w:val="single" w:sz="8" w:space="0" w:color="auto"/>
              <w:left w:val="nil"/>
              <w:bottom w:val="nil"/>
              <w:right w:val="nil"/>
            </w:tcBorders>
            <w:shd w:val="clear" w:color="auto" w:fill="auto"/>
            <w:vAlign w:val="center"/>
            <w:hideMark/>
          </w:tcPr>
          <w:p w14:paraId="0F8F73D7"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Australia-Asia Program to Combat Trafficking in Persons</w:t>
            </w:r>
          </w:p>
        </w:tc>
        <w:tc>
          <w:tcPr>
            <w:tcW w:w="960" w:type="dxa"/>
            <w:tcBorders>
              <w:top w:val="nil"/>
              <w:left w:val="nil"/>
              <w:bottom w:val="nil"/>
              <w:right w:val="nil"/>
            </w:tcBorders>
            <w:shd w:val="clear" w:color="auto" w:fill="auto"/>
            <w:vAlign w:val="center"/>
            <w:hideMark/>
          </w:tcPr>
          <w:p w14:paraId="0D5BC012"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$50m </w:t>
            </w:r>
          </w:p>
        </w:tc>
        <w:tc>
          <w:tcPr>
            <w:tcW w:w="960" w:type="dxa"/>
            <w:tcBorders>
              <w:top w:val="nil"/>
              <w:left w:val="nil"/>
              <w:bottom w:val="nil"/>
              <w:right w:val="nil"/>
            </w:tcBorders>
            <w:shd w:val="clear" w:color="auto" w:fill="auto"/>
            <w:vAlign w:val="center"/>
            <w:hideMark/>
          </w:tcPr>
          <w:p w14:paraId="13E43886"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2017 AQC</w:t>
            </w:r>
          </w:p>
        </w:tc>
        <w:tc>
          <w:tcPr>
            <w:tcW w:w="740" w:type="dxa"/>
            <w:tcBorders>
              <w:top w:val="nil"/>
              <w:left w:val="nil"/>
              <w:bottom w:val="nil"/>
              <w:right w:val="nil"/>
            </w:tcBorders>
            <w:shd w:val="clear" w:color="000000" w:fill="92D050"/>
            <w:noWrap/>
            <w:vAlign w:val="center"/>
            <w:hideMark/>
          </w:tcPr>
          <w:p w14:paraId="3559392F"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6</w:t>
            </w:r>
          </w:p>
        </w:tc>
        <w:tc>
          <w:tcPr>
            <w:tcW w:w="740" w:type="dxa"/>
            <w:tcBorders>
              <w:top w:val="nil"/>
              <w:left w:val="nil"/>
              <w:bottom w:val="nil"/>
              <w:right w:val="nil"/>
            </w:tcBorders>
            <w:shd w:val="clear" w:color="000000" w:fill="FFFF00"/>
            <w:noWrap/>
            <w:vAlign w:val="center"/>
            <w:hideMark/>
          </w:tcPr>
          <w:p w14:paraId="3AF38502"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4</w:t>
            </w:r>
          </w:p>
        </w:tc>
        <w:tc>
          <w:tcPr>
            <w:tcW w:w="740" w:type="dxa"/>
            <w:tcBorders>
              <w:top w:val="nil"/>
              <w:left w:val="nil"/>
              <w:bottom w:val="nil"/>
              <w:right w:val="nil"/>
            </w:tcBorders>
            <w:shd w:val="clear" w:color="000000" w:fill="FFFF00"/>
            <w:noWrap/>
            <w:vAlign w:val="center"/>
            <w:hideMark/>
          </w:tcPr>
          <w:p w14:paraId="2B427BC3"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4</w:t>
            </w:r>
          </w:p>
        </w:tc>
        <w:tc>
          <w:tcPr>
            <w:tcW w:w="740" w:type="dxa"/>
            <w:tcBorders>
              <w:top w:val="nil"/>
              <w:left w:val="nil"/>
              <w:bottom w:val="nil"/>
              <w:right w:val="nil"/>
            </w:tcBorders>
            <w:shd w:val="clear" w:color="000000" w:fill="FFC000"/>
            <w:noWrap/>
            <w:vAlign w:val="center"/>
            <w:hideMark/>
          </w:tcPr>
          <w:p w14:paraId="3092C01B"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3</w:t>
            </w:r>
          </w:p>
        </w:tc>
        <w:tc>
          <w:tcPr>
            <w:tcW w:w="740" w:type="dxa"/>
            <w:tcBorders>
              <w:top w:val="nil"/>
              <w:left w:val="nil"/>
              <w:bottom w:val="nil"/>
              <w:right w:val="nil"/>
            </w:tcBorders>
            <w:shd w:val="clear" w:color="000000" w:fill="FFFF00"/>
            <w:noWrap/>
            <w:vAlign w:val="center"/>
            <w:hideMark/>
          </w:tcPr>
          <w:p w14:paraId="08E0A49A"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4</w:t>
            </w:r>
          </w:p>
        </w:tc>
        <w:tc>
          <w:tcPr>
            <w:tcW w:w="740" w:type="dxa"/>
            <w:tcBorders>
              <w:top w:val="nil"/>
              <w:left w:val="nil"/>
              <w:bottom w:val="nil"/>
              <w:right w:val="nil"/>
            </w:tcBorders>
            <w:shd w:val="clear" w:color="000000" w:fill="92D050"/>
            <w:noWrap/>
            <w:vAlign w:val="center"/>
            <w:hideMark/>
          </w:tcPr>
          <w:p w14:paraId="2D1764CA"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5</w:t>
            </w:r>
          </w:p>
        </w:tc>
        <w:tc>
          <w:tcPr>
            <w:tcW w:w="740" w:type="dxa"/>
            <w:tcBorders>
              <w:top w:val="nil"/>
              <w:left w:val="nil"/>
              <w:bottom w:val="nil"/>
              <w:right w:val="nil"/>
            </w:tcBorders>
            <w:shd w:val="clear" w:color="auto" w:fill="auto"/>
            <w:vAlign w:val="center"/>
            <w:hideMark/>
          </w:tcPr>
          <w:p w14:paraId="75825FBD"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 </w:t>
            </w:r>
          </w:p>
        </w:tc>
      </w:tr>
      <w:tr w:rsidR="00E57552" w:rsidRPr="00E57552" w14:paraId="71241883" w14:textId="77777777" w:rsidTr="00E57552">
        <w:trPr>
          <w:trHeight w:val="315"/>
        </w:trPr>
        <w:tc>
          <w:tcPr>
            <w:tcW w:w="2900" w:type="dxa"/>
            <w:tcBorders>
              <w:top w:val="nil"/>
              <w:left w:val="nil"/>
              <w:bottom w:val="nil"/>
              <w:right w:val="nil"/>
            </w:tcBorders>
            <w:shd w:val="clear" w:color="auto" w:fill="auto"/>
            <w:vAlign w:val="center"/>
            <w:hideMark/>
          </w:tcPr>
          <w:p w14:paraId="7D558E34"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p>
        </w:tc>
        <w:tc>
          <w:tcPr>
            <w:tcW w:w="960" w:type="dxa"/>
            <w:tcBorders>
              <w:top w:val="nil"/>
              <w:left w:val="nil"/>
              <w:bottom w:val="nil"/>
              <w:right w:val="nil"/>
            </w:tcBorders>
            <w:shd w:val="clear" w:color="auto" w:fill="auto"/>
            <w:vAlign w:val="center"/>
            <w:hideMark/>
          </w:tcPr>
          <w:p w14:paraId="563D4EBC"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2013-2018</w:t>
            </w:r>
          </w:p>
        </w:tc>
        <w:tc>
          <w:tcPr>
            <w:tcW w:w="960" w:type="dxa"/>
            <w:tcBorders>
              <w:top w:val="nil"/>
              <w:left w:val="nil"/>
              <w:bottom w:val="nil"/>
              <w:right w:val="nil"/>
            </w:tcBorders>
            <w:shd w:val="clear" w:color="auto" w:fill="auto"/>
            <w:vAlign w:val="center"/>
            <w:hideMark/>
          </w:tcPr>
          <w:p w14:paraId="0902673B"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2016 AQC</w:t>
            </w:r>
          </w:p>
        </w:tc>
        <w:tc>
          <w:tcPr>
            <w:tcW w:w="740" w:type="dxa"/>
            <w:tcBorders>
              <w:top w:val="nil"/>
              <w:left w:val="nil"/>
              <w:bottom w:val="nil"/>
              <w:right w:val="nil"/>
            </w:tcBorders>
            <w:shd w:val="clear" w:color="000000" w:fill="92D050"/>
            <w:noWrap/>
            <w:vAlign w:val="center"/>
            <w:hideMark/>
          </w:tcPr>
          <w:p w14:paraId="3C3EE93F"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5</w:t>
            </w:r>
          </w:p>
        </w:tc>
        <w:tc>
          <w:tcPr>
            <w:tcW w:w="740" w:type="dxa"/>
            <w:tcBorders>
              <w:top w:val="nil"/>
              <w:left w:val="nil"/>
              <w:bottom w:val="nil"/>
              <w:right w:val="nil"/>
            </w:tcBorders>
            <w:shd w:val="clear" w:color="000000" w:fill="FFC000"/>
            <w:noWrap/>
            <w:vAlign w:val="center"/>
            <w:hideMark/>
          </w:tcPr>
          <w:p w14:paraId="5486F32C"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3</w:t>
            </w:r>
          </w:p>
        </w:tc>
        <w:tc>
          <w:tcPr>
            <w:tcW w:w="740" w:type="dxa"/>
            <w:tcBorders>
              <w:top w:val="nil"/>
              <w:left w:val="nil"/>
              <w:bottom w:val="nil"/>
              <w:right w:val="nil"/>
            </w:tcBorders>
            <w:shd w:val="clear" w:color="000000" w:fill="FFFF00"/>
            <w:noWrap/>
            <w:vAlign w:val="center"/>
            <w:hideMark/>
          </w:tcPr>
          <w:p w14:paraId="582BBE4B"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4</w:t>
            </w:r>
          </w:p>
        </w:tc>
        <w:tc>
          <w:tcPr>
            <w:tcW w:w="740" w:type="dxa"/>
            <w:tcBorders>
              <w:top w:val="nil"/>
              <w:left w:val="nil"/>
              <w:bottom w:val="nil"/>
              <w:right w:val="nil"/>
            </w:tcBorders>
            <w:shd w:val="clear" w:color="000000" w:fill="FFC000"/>
            <w:noWrap/>
            <w:vAlign w:val="center"/>
            <w:hideMark/>
          </w:tcPr>
          <w:p w14:paraId="21301EE3"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3</w:t>
            </w:r>
          </w:p>
        </w:tc>
        <w:tc>
          <w:tcPr>
            <w:tcW w:w="740" w:type="dxa"/>
            <w:tcBorders>
              <w:top w:val="nil"/>
              <w:left w:val="nil"/>
              <w:bottom w:val="nil"/>
              <w:right w:val="nil"/>
            </w:tcBorders>
            <w:shd w:val="clear" w:color="000000" w:fill="FFFF00"/>
            <w:noWrap/>
            <w:vAlign w:val="center"/>
            <w:hideMark/>
          </w:tcPr>
          <w:p w14:paraId="4E1DA38F"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4</w:t>
            </w:r>
          </w:p>
        </w:tc>
        <w:tc>
          <w:tcPr>
            <w:tcW w:w="740" w:type="dxa"/>
            <w:tcBorders>
              <w:top w:val="nil"/>
              <w:left w:val="nil"/>
              <w:bottom w:val="nil"/>
              <w:right w:val="nil"/>
            </w:tcBorders>
            <w:shd w:val="clear" w:color="000000" w:fill="92D050"/>
            <w:noWrap/>
            <w:vAlign w:val="center"/>
            <w:hideMark/>
          </w:tcPr>
          <w:p w14:paraId="62188E85"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5</w:t>
            </w:r>
          </w:p>
        </w:tc>
        <w:tc>
          <w:tcPr>
            <w:tcW w:w="740" w:type="dxa"/>
            <w:tcBorders>
              <w:top w:val="nil"/>
              <w:left w:val="nil"/>
              <w:bottom w:val="nil"/>
              <w:right w:val="nil"/>
            </w:tcBorders>
            <w:shd w:val="clear" w:color="000000" w:fill="FFFF00"/>
            <w:vAlign w:val="center"/>
            <w:hideMark/>
          </w:tcPr>
          <w:p w14:paraId="632081E5" w14:textId="77777777" w:rsidR="00E57552" w:rsidRPr="00E57552" w:rsidRDefault="00E57552" w:rsidP="00E57552">
            <w:pPr>
              <w:suppressAutoHyphens w:val="0"/>
              <w:spacing w:before="0" w:after="0" w:line="240" w:lineRule="auto"/>
              <w:jc w:val="right"/>
              <w:rPr>
                <w:rFonts w:ascii="Franklin Gothic Book" w:eastAsia="Times New Roman" w:hAnsi="Franklin Gothic Book" w:cs="Times New Roman"/>
                <w:color w:val="495965"/>
                <w:sz w:val="14"/>
                <w:szCs w:val="14"/>
                <w:lang w:val="en-AU" w:eastAsia="en-AU"/>
              </w:rPr>
            </w:pPr>
            <w:r w:rsidRPr="00E57552">
              <w:rPr>
                <w:rFonts w:ascii="Franklin Gothic Book" w:eastAsia="Times New Roman" w:hAnsi="Franklin Gothic Book" w:cs="Times New Roman"/>
                <w:color w:val="495965"/>
                <w:sz w:val="14"/>
                <w:szCs w:val="14"/>
                <w:lang w:eastAsia="en-AU"/>
              </w:rPr>
              <w:t>4</w:t>
            </w:r>
          </w:p>
        </w:tc>
      </w:tr>
      <w:tr w:rsidR="00E57552" w:rsidRPr="00E57552" w14:paraId="21788F42" w14:textId="77777777" w:rsidTr="00E57552">
        <w:trPr>
          <w:trHeight w:val="300"/>
        </w:trPr>
        <w:tc>
          <w:tcPr>
            <w:tcW w:w="2900" w:type="dxa"/>
            <w:tcBorders>
              <w:top w:val="single" w:sz="8" w:space="0" w:color="auto"/>
              <w:left w:val="nil"/>
              <w:bottom w:val="nil"/>
              <w:right w:val="nil"/>
            </w:tcBorders>
            <w:shd w:val="clear" w:color="auto" w:fill="auto"/>
            <w:vAlign w:val="center"/>
            <w:hideMark/>
          </w:tcPr>
          <w:p w14:paraId="10CD5021"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TRIANGLE in ASEAN</w:t>
            </w:r>
          </w:p>
        </w:tc>
        <w:tc>
          <w:tcPr>
            <w:tcW w:w="960" w:type="dxa"/>
            <w:tcBorders>
              <w:top w:val="single" w:sz="8" w:space="0" w:color="auto"/>
              <w:left w:val="nil"/>
              <w:bottom w:val="nil"/>
              <w:right w:val="nil"/>
            </w:tcBorders>
            <w:shd w:val="clear" w:color="auto" w:fill="auto"/>
            <w:vAlign w:val="center"/>
            <w:hideMark/>
          </w:tcPr>
          <w:p w14:paraId="2F87C341"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$20m </w:t>
            </w:r>
          </w:p>
        </w:tc>
        <w:tc>
          <w:tcPr>
            <w:tcW w:w="960" w:type="dxa"/>
            <w:tcBorders>
              <w:top w:val="single" w:sz="8" w:space="0" w:color="auto"/>
              <w:left w:val="nil"/>
              <w:bottom w:val="nil"/>
              <w:right w:val="nil"/>
            </w:tcBorders>
            <w:shd w:val="clear" w:color="auto" w:fill="auto"/>
            <w:vAlign w:val="center"/>
            <w:hideMark/>
          </w:tcPr>
          <w:p w14:paraId="065A501C"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2017 AQC</w:t>
            </w:r>
          </w:p>
        </w:tc>
        <w:tc>
          <w:tcPr>
            <w:tcW w:w="740" w:type="dxa"/>
            <w:tcBorders>
              <w:top w:val="single" w:sz="8" w:space="0" w:color="auto"/>
              <w:left w:val="nil"/>
              <w:bottom w:val="nil"/>
              <w:right w:val="nil"/>
            </w:tcBorders>
            <w:shd w:val="clear" w:color="000000" w:fill="92D050"/>
            <w:noWrap/>
            <w:vAlign w:val="center"/>
            <w:hideMark/>
          </w:tcPr>
          <w:p w14:paraId="51BFFE30"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6</w:t>
            </w:r>
          </w:p>
        </w:tc>
        <w:tc>
          <w:tcPr>
            <w:tcW w:w="740" w:type="dxa"/>
            <w:tcBorders>
              <w:top w:val="single" w:sz="8" w:space="0" w:color="auto"/>
              <w:left w:val="nil"/>
              <w:bottom w:val="nil"/>
              <w:right w:val="nil"/>
            </w:tcBorders>
            <w:shd w:val="clear" w:color="000000" w:fill="FFC000"/>
            <w:noWrap/>
            <w:vAlign w:val="center"/>
            <w:hideMark/>
          </w:tcPr>
          <w:p w14:paraId="4D87643C"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3</w:t>
            </w:r>
          </w:p>
        </w:tc>
        <w:tc>
          <w:tcPr>
            <w:tcW w:w="740" w:type="dxa"/>
            <w:tcBorders>
              <w:top w:val="single" w:sz="8" w:space="0" w:color="auto"/>
              <w:left w:val="nil"/>
              <w:bottom w:val="nil"/>
              <w:right w:val="nil"/>
            </w:tcBorders>
            <w:shd w:val="clear" w:color="000000" w:fill="FFFF00"/>
            <w:noWrap/>
            <w:vAlign w:val="center"/>
            <w:hideMark/>
          </w:tcPr>
          <w:p w14:paraId="5E1D21BE"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FFC000"/>
            <w:noWrap/>
            <w:vAlign w:val="center"/>
            <w:hideMark/>
          </w:tcPr>
          <w:p w14:paraId="1EA46EF6"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3</w:t>
            </w:r>
          </w:p>
        </w:tc>
        <w:tc>
          <w:tcPr>
            <w:tcW w:w="740" w:type="dxa"/>
            <w:tcBorders>
              <w:top w:val="single" w:sz="8" w:space="0" w:color="auto"/>
              <w:left w:val="nil"/>
              <w:bottom w:val="nil"/>
              <w:right w:val="nil"/>
            </w:tcBorders>
            <w:shd w:val="clear" w:color="000000" w:fill="FFFF00"/>
            <w:noWrap/>
            <w:vAlign w:val="center"/>
            <w:hideMark/>
          </w:tcPr>
          <w:p w14:paraId="25418D4A"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000000" w:fill="FFFF00"/>
            <w:noWrap/>
            <w:vAlign w:val="center"/>
            <w:hideMark/>
          </w:tcPr>
          <w:p w14:paraId="5ED61304"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single" w:sz="8" w:space="0" w:color="auto"/>
              <w:left w:val="nil"/>
              <w:bottom w:val="nil"/>
              <w:right w:val="nil"/>
            </w:tcBorders>
            <w:shd w:val="clear" w:color="auto" w:fill="auto"/>
            <w:vAlign w:val="center"/>
            <w:hideMark/>
          </w:tcPr>
          <w:p w14:paraId="55A47710"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w:t>
            </w:r>
          </w:p>
        </w:tc>
      </w:tr>
      <w:tr w:rsidR="00E57552" w:rsidRPr="00E57552" w14:paraId="30027085" w14:textId="77777777" w:rsidTr="00E57552">
        <w:trPr>
          <w:trHeight w:val="315"/>
        </w:trPr>
        <w:tc>
          <w:tcPr>
            <w:tcW w:w="2900" w:type="dxa"/>
            <w:tcBorders>
              <w:top w:val="nil"/>
              <w:left w:val="nil"/>
              <w:bottom w:val="single" w:sz="8" w:space="0" w:color="auto"/>
              <w:right w:val="nil"/>
            </w:tcBorders>
            <w:shd w:val="clear" w:color="auto" w:fill="auto"/>
            <w:vAlign w:val="center"/>
            <w:hideMark/>
          </w:tcPr>
          <w:p w14:paraId="291CA6C7"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single" w:sz="8" w:space="0" w:color="auto"/>
              <w:right w:val="nil"/>
            </w:tcBorders>
            <w:shd w:val="clear" w:color="auto" w:fill="auto"/>
            <w:vAlign w:val="center"/>
            <w:hideMark/>
          </w:tcPr>
          <w:p w14:paraId="4B36E4ED"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xml:space="preserve">2015-2025 </w:t>
            </w:r>
          </w:p>
        </w:tc>
        <w:tc>
          <w:tcPr>
            <w:tcW w:w="960" w:type="dxa"/>
            <w:tcBorders>
              <w:top w:val="nil"/>
              <w:left w:val="nil"/>
              <w:bottom w:val="single" w:sz="8" w:space="0" w:color="auto"/>
              <w:right w:val="nil"/>
            </w:tcBorders>
            <w:shd w:val="clear" w:color="auto" w:fill="auto"/>
            <w:vAlign w:val="center"/>
            <w:hideMark/>
          </w:tcPr>
          <w:p w14:paraId="13F940A0"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2016 AQC</w:t>
            </w:r>
          </w:p>
        </w:tc>
        <w:tc>
          <w:tcPr>
            <w:tcW w:w="740" w:type="dxa"/>
            <w:tcBorders>
              <w:top w:val="nil"/>
              <w:left w:val="nil"/>
              <w:bottom w:val="single" w:sz="8" w:space="0" w:color="auto"/>
              <w:right w:val="nil"/>
            </w:tcBorders>
            <w:shd w:val="clear" w:color="auto" w:fill="auto"/>
            <w:noWrap/>
            <w:vAlign w:val="center"/>
            <w:hideMark/>
          </w:tcPr>
          <w:p w14:paraId="5C30FC83"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n/a</w:t>
            </w:r>
          </w:p>
        </w:tc>
        <w:tc>
          <w:tcPr>
            <w:tcW w:w="740" w:type="dxa"/>
            <w:tcBorders>
              <w:top w:val="nil"/>
              <w:left w:val="nil"/>
              <w:bottom w:val="single" w:sz="8" w:space="0" w:color="auto"/>
              <w:right w:val="nil"/>
            </w:tcBorders>
            <w:shd w:val="clear" w:color="auto" w:fill="auto"/>
            <w:noWrap/>
            <w:vAlign w:val="center"/>
            <w:hideMark/>
          </w:tcPr>
          <w:p w14:paraId="5E5404E1"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n/a</w:t>
            </w:r>
          </w:p>
        </w:tc>
        <w:tc>
          <w:tcPr>
            <w:tcW w:w="740" w:type="dxa"/>
            <w:tcBorders>
              <w:top w:val="nil"/>
              <w:left w:val="nil"/>
              <w:bottom w:val="single" w:sz="8" w:space="0" w:color="auto"/>
              <w:right w:val="nil"/>
            </w:tcBorders>
            <w:shd w:val="clear" w:color="auto" w:fill="auto"/>
            <w:noWrap/>
            <w:vAlign w:val="center"/>
            <w:hideMark/>
          </w:tcPr>
          <w:p w14:paraId="584C1D07"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n/a</w:t>
            </w:r>
          </w:p>
        </w:tc>
        <w:tc>
          <w:tcPr>
            <w:tcW w:w="740" w:type="dxa"/>
            <w:tcBorders>
              <w:top w:val="nil"/>
              <w:left w:val="nil"/>
              <w:bottom w:val="single" w:sz="8" w:space="0" w:color="auto"/>
              <w:right w:val="nil"/>
            </w:tcBorders>
            <w:shd w:val="clear" w:color="auto" w:fill="auto"/>
            <w:noWrap/>
            <w:vAlign w:val="center"/>
            <w:hideMark/>
          </w:tcPr>
          <w:p w14:paraId="7B0287F5"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n/a</w:t>
            </w:r>
          </w:p>
        </w:tc>
        <w:tc>
          <w:tcPr>
            <w:tcW w:w="740" w:type="dxa"/>
            <w:tcBorders>
              <w:top w:val="nil"/>
              <w:left w:val="nil"/>
              <w:bottom w:val="single" w:sz="8" w:space="0" w:color="auto"/>
              <w:right w:val="nil"/>
            </w:tcBorders>
            <w:shd w:val="clear" w:color="auto" w:fill="auto"/>
            <w:noWrap/>
            <w:vAlign w:val="center"/>
            <w:hideMark/>
          </w:tcPr>
          <w:p w14:paraId="2B26A9DB"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n/a</w:t>
            </w:r>
          </w:p>
        </w:tc>
        <w:tc>
          <w:tcPr>
            <w:tcW w:w="740" w:type="dxa"/>
            <w:tcBorders>
              <w:top w:val="nil"/>
              <w:left w:val="nil"/>
              <w:bottom w:val="single" w:sz="8" w:space="0" w:color="auto"/>
              <w:right w:val="nil"/>
            </w:tcBorders>
            <w:shd w:val="clear" w:color="auto" w:fill="auto"/>
            <w:noWrap/>
            <w:vAlign w:val="center"/>
            <w:hideMark/>
          </w:tcPr>
          <w:p w14:paraId="054F071C"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n/a</w:t>
            </w:r>
          </w:p>
        </w:tc>
        <w:tc>
          <w:tcPr>
            <w:tcW w:w="740" w:type="dxa"/>
            <w:tcBorders>
              <w:top w:val="nil"/>
              <w:left w:val="nil"/>
              <w:bottom w:val="single" w:sz="8" w:space="0" w:color="auto"/>
              <w:right w:val="nil"/>
            </w:tcBorders>
            <w:shd w:val="clear" w:color="auto" w:fill="auto"/>
            <w:noWrap/>
            <w:vAlign w:val="center"/>
            <w:hideMark/>
          </w:tcPr>
          <w:p w14:paraId="43D07AC3"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n/a</w:t>
            </w:r>
          </w:p>
        </w:tc>
      </w:tr>
      <w:tr w:rsidR="00E57552" w:rsidRPr="00E57552" w14:paraId="1CBD1AA1" w14:textId="77777777" w:rsidTr="00E57552">
        <w:trPr>
          <w:trHeight w:val="360"/>
        </w:trPr>
        <w:tc>
          <w:tcPr>
            <w:tcW w:w="2900" w:type="dxa"/>
            <w:tcBorders>
              <w:top w:val="nil"/>
              <w:left w:val="nil"/>
              <w:bottom w:val="nil"/>
              <w:right w:val="nil"/>
            </w:tcBorders>
            <w:shd w:val="clear" w:color="auto" w:fill="auto"/>
            <w:vAlign w:val="center"/>
            <w:hideMark/>
          </w:tcPr>
          <w:p w14:paraId="68A36472"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Stop Transboundary Animal Disease and Zoonoses</w:t>
            </w:r>
          </w:p>
        </w:tc>
        <w:tc>
          <w:tcPr>
            <w:tcW w:w="960" w:type="dxa"/>
            <w:tcBorders>
              <w:top w:val="nil"/>
              <w:left w:val="nil"/>
              <w:bottom w:val="nil"/>
              <w:right w:val="nil"/>
            </w:tcBorders>
            <w:shd w:val="clear" w:color="auto" w:fill="auto"/>
            <w:vAlign w:val="center"/>
            <w:hideMark/>
          </w:tcPr>
          <w:p w14:paraId="5F516A37"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000000"/>
                <w:sz w:val="14"/>
                <w:szCs w:val="14"/>
                <w:lang w:val="en-AU" w:eastAsia="en-AU"/>
              </w:rPr>
            </w:pPr>
            <w:r w:rsidRPr="00E57552">
              <w:rPr>
                <w:rFonts w:ascii="Calibri Light" w:eastAsia="Times New Roman" w:hAnsi="Calibri Light" w:cs="Times New Roman"/>
                <w:color w:val="000000"/>
                <w:sz w:val="14"/>
                <w:szCs w:val="14"/>
                <w:lang w:eastAsia="en-AU"/>
              </w:rPr>
              <w:t xml:space="preserve">$12.79m </w:t>
            </w:r>
          </w:p>
        </w:tc>
        <w:tc>
          <w:tcPr>
            <w:tcW w:w="960" w:type="dxa"/>
            <w:tcBorders>
              <w:top w:val="nil"/>
              <w:left w:val="nil"/>
              <w:bottom w:val="nil"/>
              <w:right w:val="nil"/>
            </w:tcBorders>
            <w:shd w:val="clear" w:color="auto" w:fill="auto"/>
            <w:vAlign w:val="center"/>
            <w:hideMark/>
          </w:tcPr>
          <w:p w14:paraId="5164A309"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2017 AQC</w:t>
            </w:r>
          </w:p>
        </w:tc>
        <w:tc>
          <w:tcPr>
            <w:tcW w:w="740" w:type="dxa"/>
            <w:tcBorders>
              <w:top w:val="nil"/>
              <w:left w:val="nil"/>
              <w:bottom w:val="nil"/>
              <w:right w:val="nil"/>
            </w:tcBorders>
            <w:shd w:val="clear" w:color="000000" w:fill="92D050"/>
            <w:noWrap/>
            <w:vAlign w:val="center"/>
            <w:hideMark/>
          </w:tcPr>
          <w:p w14:paraId="1CCF6F0E"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5CE43D4F"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3B10D5A5"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0FE0DB88"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92D050"/>
            <w:noWrap/>
            <w:vAlign w:val="center"/>
            <w:hideMark/>
          </w:tcPr>
          <w:p w14:paraId="4052B9E9"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nil"/>
              <w:right w:val="nil"/>
            </w:tcBorders>
            <w:shd w:val="clear" w:color="000000" w:fill="FFFF00"/>
            <w:noWrap/>
            <w:vAlign w:val="center"/>
            <w:hideMark/>
          </w:tcPr>
          <w:p w14:paraId="40B300C0"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nil"/>
              <w:right w:val="nil"/>
            </w:tcBorders>
            <w:shd w:val="clear" w:color="auto" w:fill="auto"/>
            <w:vAlign w:val="center"/>
            <w:hideMark/>
          </w:tcPr>
          <w:p w14:paraId="2E30AF2D"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 </w:t>
            </w:r>
          </w:p>
        </w:tc>
      </w:tr>
      <w:tr w:rsidR="00E57552" w:rsidRPr="00E57552" w14:paraId="29744899" w14:textId="77777777" w:rsidTr="00E57552">
        <w:trPr>
          <w:trHeight w:val="315"/>
        </w:trPr>
        <w:tc>
          <w:tcPr>
            <w:tcW w:w="2900" w:type="dxa"/>
            <w:tcBorders>
              <w:top w:val="nil"/>
              <w:left w:val="nil"/>
              <w:bottom w:val="single" w:sz="8" w:space="0" w:color="auto"/>
              <w:right w:val="nil"/>
            </w:tcBorders>
            <w:shd w:val="clear" w:color="auto" w:fill="auto"/>
            <w:vAlign w:val="center"/>
            <w:hideMark/>
          </w:tcPr>
          <w:p w14:paraId="1DB35EB1" w14:textId="77777777" w:rsidR="00E57552" w:rsidRPr="00E57552" w:rsidRDefault="00E57552" w:rsidP="00E57552">
            <w:pPr>
              <w:suppressAutoHyphens w:val="0"/>
              <w:spacing w:before="0" w:after="0" w:line="240" w:lineRule="auto"/>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color w:val="495965"/>
                <w:sz w:val="14"/>
                <w:szCs w:val="14"/>
                <w:lang w:val="en-AU" w:eastAsia="en-AU"/>
              </w:rPr>
              <w:t> </w:t>
            </w:r>
          </w:p>
        </w:tc>
        <w:tc>
          <w:tcPr>
            <w:tcW w:w="960" w:type="dxa"/>
            <w:tcBorders>
              <w:top w:val="nil"/>
              <w:left w:val="nil"/>
              <w:bottom w:val="single" w:sz="8" w:space="0" w:color="auto"/>
              <w:right w:val="nil"/>
            </w:tcBorders>
            <w:shd w:val="clear" w:color="auto" w:fill="auto"/>
            <w:vAlign w:val="center"/>
            <w:hideMark/>
          </w:tcPr>
          <w:p w14:paraId="05447BBB"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2011-2017</w:t>
            </w:r>
          </w:p>
        </w:tc>
        <w:tc>
          <w:tcPr>
            <w:tcW w:w="960" w:type="dxa"/>
            <w:tcBorders>
              <w:top w:val="nil"/>
              <w:left w:val="nil"/>
              <w:bottom w:val="single" w:sz="8" w:space="0" w:color="auto"/>
              <w:right w:val="nil"/>
            </w:tcBorders>
            <w:shd w:val="clear" w:color="auto" w:fill="auto"/>
            <w:vAlign w:val="center"/>
            <w:hideMark/>
          </w:tcPr>
          <w:p w14:paraId="2F4B56BA" w14:textId="77777777" w:rsidR="00E57552" w:rsidRPr="00E57552" w:rsidRDefault="00E57552" w:rsidP="00E57552">
            <w:pPr>
              <w:suppressAutoHyphens w:val="0"/>
              <w:spacing w:before="0" w:after="0" w:line="240" w:lineRule="auto"/>
              <w:jc w:val="center"/>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2016 AQC</w:t>
            </w:r>
          </w:p>
        </w:tc>
        <w:tc>
          <w:tcPr>
            <w:tcW w:w="740" w:type="dxa"/>
            <w:tcBorders>
              <w:top w:val="nil"/>
              <w:left w:val="nil"/>
              <w:bottom w:val="single" w:sz="8" w:space="0" w:color="auto"/>
              <w:right w:val="nil"/>
            </w:tcBorders>
            <w:shd w:val="clear" w:color="000000" w:fill="FFFF00"/>
            <w:noWrap/>
            <w:vAlign w:val="center"/>
            <w:hideMark/>
          </w:tcPr>
          <w:p w14:paraId="784AF456"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92D050"/>
            <w:noWrap/>
            <w:vAlign w:val="center"/>
            <w:hideMark/>
          </w:tcPr>
          <w:p w14:paraId="6E8C6E1E"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000000" w:fill="FFFF00"/>
            <w:noWrap/>
            <w:vAlign w:val="center"/>
            <w:hideMark/>
          </w:tcPr>
          <w:p w14:paraId="1C695DE0"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FFFF00"/>
            <w:noWrap/>
            <w:vAlign w:val="center"/>
            <w:hideMark/>
          </w:tcPr>
          <w:p w14:paraId="11432049"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FFFF00"/>
            <w:noWrap/>
            <w:vAlign w:val="center"/>
            <w:hideMark/>
          </w:tcPr>
          <w:p w14:paraId="573A560D"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c>
          <w:tcPr>
            <w:tcW w:w="740" w:type="dxa"/>
            <w:tcBorders>
              <w:top w:val="nil"/>
              <w:left w:val="nil"/>
              <w:bottom w:val="single" w:sz="8" w:space="0" w:color="auto"/>
              <w:right w:val="nil"/>
            </w:tcBorders>
            <w:shd w:val="clear" w:color="000000" w:fill="92D050"/>
            <w:noWrap/>
            <w:vAlign w:val="center"/>
            <w:hideMark/>
          </w:tcPr>
          <w:p w14:paraId="74042023"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5</w:t>
            </w:r>
          </w:p>
        </w:tc>
        <w:tc>
          <w:tcPr>
            <w:tcW w:w="740" w:type="dxa"/>
            <w:tcBorders>
              <w:top w:val="nil"/>
              <w:left w:val="nil"/>
              <w:bottom w:val="single" w:sz="8" w:space="0" w:color="auto"/>
              <w:right w:val="nil"/>
            </w:tcBorders>
            <w:shd w:val="clear" w:color="000000" w:fill="FFFF00"/>
            <w:vAlign w:val="center"/>
            <w:hideMark/>
          </w:tcPr>
          <w:p w14:paraId="5D51E2BD" w14:textId="77777777" w:rsidR="00E57552" w:rsidRPr="00E57552" w:rsidRDefault="00E57552" w:rsidP="00E57552">
            <w:pPr>
              <w:suppressAutoHyphens w:val="0"/>
              <w:spacing w:before="0" w:after="0" w:line="240" w:lineRule="auto"/>
              <w:jc w:val="right"/>
              <w:rPr>
                <w:rFonts w:ascii="Calibri Light" w:eastAsia="Times New Roman" w:hAnsi="Calibri Light" w:cs="Times New Roman"/>
                <w:color w:val="495965"/>
                <w:sz w:val="14"/>
                <w:szCs w:val="14"/>
                <w:lang w:val="en-AU" w:eastAsia="en-AU"/>
              </w:rPr>
            </w:pPr>
            <w:r w:rsidRPr="00E57552">
              <w:rPr>
                <w:rFonts w:ascii="Calibri Light" w:eastAsia="Times New Roman" w:hAnsi="Calibri Light" w:cs="Times New Roman"/>
                <w:iCs/>
                <w:color w:val="495965"/>
                <w:sz w:val="14"/>
                <w:szCs w:val="14"/>
                <w:lang w:eastAsia="en-AU"/>
              </w:rPr>
              <w:t>4</w:t>
            </w:r>
          </w:p>
        </w:tc>
      </w:tr>
    </w:tbl>
    <w:p w14:paraId="06D7CEF6" w14:textId="542DFF27" w:rsidR="00E57552" w:rsidRPr="00E57552" w:rsidRDefault="00E57552" w:rsidP="00E57552">
      <w:pPr>
        <w:pStyle w:val="ListBullet"/>
        <w:tabs>
          <w:tab w:val="clear" w:pos="284"/>
        </w:tabs>
        <w:spacing w:before="400"/>
        <w:rPr>
          <w:rFonts w:asciiTheme="majorHAnsi" w:eastAsiaTheme="majorEastAsia" w:hAnsiTheme="majorHAnsi" w:cstheme="majorBidi"/>
          <w:caps/>
          <w:color w:val="495965" w:themeColor="text2"/>
          <w:sz w:val="18"/>
          <w:szCs w:val="18"/>
          <w:lang w:val="en-GB" w:eastAsia="en-US"/>
        </w:rPr>
      </w:pPr>
      <w:r w:rsidRPr="00E57552">
        <w:rPr>
          <w:sz w:val="16"/>
          <w:szCs w:val="14"/>
        </w:rPr>
        <w:t>*Note</w:t>
      </w:r>
      <w:r>
        <w:rPr>
          <w:sz w:val="16"/>
          <w:szCs w:val="14"/>
        </w:rPr>
        <w:t>:</w:t>
      </w:r>
      <w:r w:rsidRPr="00E57552">
        <w:rPr>
          <w:sz w:val="16"/>
          <w:szCs w:val="14"/>
        </w:rPr>
        <w:t xml:space="preserve"> Risks and Safeguards was not rated in 2016-17 AQCs</w:t>
      </w:r>
    </w:p>
    <w:p w14:paraId="0B7B55AE" w14:textId="77777777" w:rsidR="005E606B" w:rsidRPr="00C61187" w:rsidRDefault="005E606B" w:rsidP="005E606B">
      <w:pPr>
        <w:rPr>
          <w:iCs/>
        </w:rPr>
      </w:pPr>
    </w:p>
    <w:p w14:paraId="1592AF08" w14:textId="77777777" w:rsidR="00A8197B" w:rsidRPr="00C61187" w:rsidRDefault="00A8197B" w:rsidP="00A8197B">
      <w:pPr>
        <w:rPr>
          <w:iCs/>
        </w:rPr>
      </w:pPr>
    </w:p>
    <w:p w14:paraId="37518FF0" w14:textId="77777777" w:rsidR="00316921" w:rsidRDefault="00316921"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4F0BAF59" w14:textId="77777777" w:rsidR="00464103" w:rsidRDefault="00464103"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0E52B5E9" w14:textId="77777777" w:rsidR="00A8197B" w:rsidRPr="003F1811" w:rsidRDefault="00F4375E" w:rsidP="003F1811">
      <w:pPr>
        <w:pStyle w:val="Subtitle"/>
        <w:rPr>
          <w:sz w:val="28"/>
          <w:szCs w:val="28"/>
        </w:rPr>
      </w:pPr>
      <w:r w:rsidRPr="003F1811">
        <w:rPr>
          <w:sz w:val="28"/>
          <w:szCs w:val="28"/>
        </w:rPr>
        <w:lastRenderedPageBreak/>
        <w:t>F</w:t>
      </w:r>
      <w:r w:rsidR="00A8197B" w:rsidRPr="003F1811">
        <w:rPr>
          <w:sz w:val="28"/>
          <w:szCs w:val="28"/>
        </w:rPr>
        <w:t xml:space="preserve">AQC ratings </w:t>
      </w:r>
    </w:p>
    <w:tbl>
      <w:tblPr>
        <w:tblStyle w:val="APPR"/>
        <w:tblW w:w="4853" w:type="pct"/>
        <w:tblBorders>
          <w:top w:val="single" w:sz="4" w:space="0" w:color="auto"/>
          <w:bottom w:val="single" w:sz="4" w:space="0" w:color="auto"/>
        </w:tblBorders>
        <w:tblLook w:val="0000" w:firstRow="0" w:lastRow="0" w:firstColumn="0" w:lastColumn="0" w:noHBand="0" w:noVBand="0"/>
      </w:tblPr>
      <w:tblGrid>
        <w:gridCol w:w="1717"/>
        <w:gridCol w:w="1247"/>
        <w:gridCol w:w="800"/>
        <w:gridCol w:w="796"/>
        <w:gridCol w:w="798"/>
        <w:gridCol w:w="796"/>
        <w:gridCol w:w="799"/>
        <w:gridCol w:w="797"/>
        <w:gridCol w:w="799"/>
        <w:gridCol w:w="806"/>
      </w:tblGrid>
      <w:tr w:rsidR="00955C8A" w:rsidRPr="00812509" w14:paraId="074A93DE" w14:textId="77777777" w:rsidTr="00464103">
        <w:trPr>
          <w:cnfStyle w:val="000000010000" w:firstRow="0" w:lastRow="0" w:firstColumn="0" w:lastColumn="0" w:oddVBand="0" w:evenVBand="0" w:oddHBand="0" w:evenHBand="1" w:firstRowFirstColumn="0" w:firstRowLastColumn="0" w:lastRowFirstColumn="0" w:lastRowLastColumn="0"/>
          <w:trHeight w:val="1208"/>
        </w:trPr>
        <w:tc>
          <w:tcPr>
            <w:tcW w:w="896" w:type="pct"/>
          </w:tcPr>
          <w:p w14:paraId="1619778D"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59776" behindDoc="0" locked="0" layoutInCell="1" allowOverlap="1" wp14:anchorId="70001B9E" wp14:editId="4F306D9D">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2" w:type="pct"/>
            <w:textDirection w:val="btLr"/>
          </w:tcPr>
          <w:p w14:paraId="6A0C0FC5"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3" w:type="pct"/>
            <w:noWrap/>
            <w:textDirection w:val="btLr"/>
          </w:tcPr>
          <w:p w14:paraId="6BC5F791"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411" w:type="pct"/>
            <w:noWrap/>
            <w:textDirection w:val="btLr"/>
          </w:tcPr>
          <w:p w14:paraId="24B7714F"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2" w:type="pct"/>
            <w:noWrap/>
            <w:textDirection w:val="btLr"/>
          </w:tcPr>
          <w:p w14:paraId="2C82B273"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1" w:type="pct"/>
            <w:noWrap/>
            <w:textDirection w:val="btLr"/>
          </w:tcPr>
          <w:p w14:paraId="2D04BBF2"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2" w:type="pct"/>
            <w:noWrap/>
            <w:textDirection w:val="btLr"/>
          </w:tcPr>
          <w:p w14:paraId="29AB0869"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11" w:type="pct"/>
            <w:noWrap/>
            <w:textDirection w:val="btLr"/>
          </w:tcPr>
          <w:p w14:paraId="216E614A"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12" w:type="pct"/>
            <w:textDirection w:val="btLr"/>
          </w:tcPr>
          <w:p w14:paraId="22970FC1"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08" w:type="pct"/>
            <w:textDirection w:val="btLr"/>
          </w:tcPr>
          <w:p w14:paraId="1844179D"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955C8A" w:rsidRPr="00812509" w14:paraId="3FABCB1B" w14:textId="77777777" w:rsidTr="00464103">
        <w:trPr>
          <w:cnfStyle w:val="000000010000" w:firstRow="0" w:lastRow="0" w:firstColumn="0" w:lastColumn="0" w:oddVBand="0" w:evenVBand="0" w:oddHBand="0" w:evenHBand="1" w:firstRowFirstColumn="0" w:firstRowLastColumn="0" w:lastRowFirstColumn="0" w:lastRowLastColumn="0"/>
          <w:trHeight w:val="568"/>
        </w:trPr>
        <w:tc>
          <w:tcPr>
            <w:tcW w:w="896" w:type="pct"/>
            <w:tcBorders>
              <w:top w:val="single" w:sz="4" w:space="0" w:color="auto"/>
              <w:bottom w:val="single" w:sz="4" w:space="0" w:color="auto"/>
            </w:tcBorders>
          </w:tcPr>
          <w:p w14:paraId="5317571B" w14:textId="77777777" w:rsidR="00A8197B" w:rsidRDefault="00C55B71" w:rsidP="00C55B7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WHO GMS Malaria Program</w:t>
            </w:r>
          </w:p>
          <w:p w14:paraId="41758E23" w14:textId="77777777" w:rsidR="00C55B71" w:rsidRDefault="00C55B71" w:rsidP="00C55B71">
            <w:pPr>
              <w:keepLines/>
              <w:spacing w:before="40" w:after="40" w:line="200" w:lineRule="atLeast"/>
              <w:rPr>
                <w:rFonts w:asciiTheme="minorHAnsi" w:eastAsia="Times New Roman" w:hAnsiTheme="minorHAnsi"/>
                <w:iCs/>
                <w:szCs w:val="17"/>
                <w:lang w:eastAsia="en-US"/>
              </w:rPr>
            </w:pPr>
          </w:p>
          <w:p w14:paraId="55DA9AB2" w14:textId="77777777" w:rsidR="00C55B71" w:rsidRPr="00812509" w:rsidRDefault="00C55B71" w:rsidP="00C55B71">
            <w:pPr>
              <w:keepLines/>
              <w:spacing w:before="40" w:after="40" w:line="200" w:lineRule="atLeast"/>
              <w:rPr>
                <w:rFonts w:asciiTheme="minorHAnsi" w:eastAsia="Times New Roman" w:hAnsiTheme="minorHAnsi"/>
                <w:iCs/>
                <w:szCs w:val="17"/>
                <w:lang w:eastAsia="en-US"/>
              </w:rPr>
            </w:pPr>
          </w:p>
        </w:tc>
        <w:tc>
          <w:tcPr>
            <w:tcW w:w="652" w:type="pct"/>
            <w:tcBorders>
              <w:top w:val="single" w:sz="4" w:space="0" w:color="auto"/>
              <w:bottom w:val="single" w:sz="4" w:space="0" w:color="auto"/>
            </w:tcBorders>
          </w:tcPr>
          <w:p w14:paraId="3E6D9188" w14:textId="77777777" w:rsidR="00A8197B" w:rsidRPr="00812509" w:rsidRDefault="00A8197B" w:rsidP="00D15A00">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sidR="00C55B71">
              <w:rPr>
                <w:rFonts w:asciiTheme="minorHAnsi" w:hAnsiTheme="minorHAnsi" w:cs="Franklin Gothic Book"/>
                <w:color w:val="000000"/>
                <w:szCs w:val="17"/>
              </w:rPr>
              <w:t>4,586,666</w:t>
            </w:r>
            <w:r w:rsidRPr="00812509">
              <w:rPr>
                <w:rFonts w:asciiTheme="minorHAnsi" w:hAnsiTheme="minorHAnsi" w:cs="Franklin Gothic Book"/>
                <w:color w:val="000000"/>
                <w:szCs w:val="17"/>
              </w:rPr>
              <w:t xml:space="preserve"> </w:t>
            </w:r>
          </w:p>
          <w:p w14:paraId="0C74D358" w14:textId="77777777" w:rsidR="00A8197B" w:rsidRPr="00812509" w:rsidRDefault="00A8197B" w:rsidP="003E305C">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C55B71">
              <w:rPr>
                <w:rFonts w:asciiTheme="minorHAnsi" w:eastAsia="Times New Roman" w:hAnsiTheme="minorHAnsi"/>
                <w:iCs/>
                <w:szCs w:val="17"/>
                <w:lang w:eastAsia="en-US"/>
              </w:rPr>
              <w:t>3</w:t>
            </w:r>
            <w:r w:rsidRPr="00812509">
              <w:rPr>
                <w:rFonts w:asciiTheme="minorHAnsi" w:eastAsia="Times New Roman" w:hAnsiTheme="minorHAnsi"/>
                <w:iCs/>
                <w:szCs w:val="17"/>
                <w:lang w:eastAsia="en-US"/>
              </w:rPr>
              <w:t>-1</w:t>
            </w:r>
            <w:r w:rsidR="00C55B71">
              <w:rPr>
                <w:rFonts w:asciiTheme="minorHAnsi" w:eastAsia="Times New Roman" w:hAnsiTheme="minorHAnsi"/>
                <w:iCs/>
                <w:szCs w:val="17"/>
                <w:lang w:eastAsia="en-US"/>
              </w:rPr>
              <w:t>7</w:t>
            </w:r>
            <w:r w:rsidRPr="00812509">
              <w:rPr>
                <w:rFonts w:asciiTheme="minorHAnsi" w:eastAsia="Times New Roman" w:hAnsiTheme="minorHAnsi"/>
                <w:iCs/>
                <w:szCs w:val="17"/>
                <w:lang w:eastAsia="en-US"/>
              </w:rPr>
              <w:t xml:space="preserve"> </w:t>
            </w:r>
          </w:p>
        </w:tc>
        <w:tc>
          <w:tcPr>
            <w:tcW w:w="413" w:type="pct"/>
            <w:tcBorders>
              <w:top w:val="single" w:sz="4" w:space="0" w:color="auto"/>
              <w:bottom w:val="single" w:sz="4" w:space="0" w:color="auto"/>
            </w:tcBorders>
            <w:shd w:val="clear" w:color="auto" w:fill="FFFF00"/>
            <w:noWrap/>
          </w:tcPr>
          <w:p w14:paraId="78DC8EA3" w14:textId="77777777" w:rsidR="00A8197B" w:rsidRPr="00812509" w:rsidRDefault="0031692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tcBorders>
              <w:top w:val="single" w:sz="4" w:space="0" w:color="auto"/>
              <w:bottom w:val="single" w:sz="4" w:space="0" w:color="auto"/>
            </w:tcBorders>
            <w:shd w:val="clear" w:color="auto" w:fill="FFFF00"/>
            <w:noWrap/>
          </w:tcPr>
          <w:p w14:paraId="405901D8" w14:textId="77777777" w:rsidR="00A8197B" w:rsidRPr="00812509" w:rsidRDefault="0031692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tcBorders>
              <w:top w:val="single" w:sz="4" w:space="0" w:color="auto"/>
              <w:bottom w:val="single" w:sz="4" w:space="0" w:color="auto"/>
            </w:tcBorders>
            <w:shd w:val="clear" w:color="auto" w:fill="FFFF00"/>
            <w:noWrap/>
          </w:tcPr>
          <w:p w14:paraId="31A89469" w14:textId="77777777" w:rsidR="00A8197B" w:rsidRPr="00812509" w:rsidRDefault="0031692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tcBorders>
              <w:top w:val="single" w:sz="4" w:space="0" w:color="auto"/>
              <w:bottom w:val="single" w:sz="4" w:space="0" w:color="auto"/>
            </w:tcBorders>
            <w:shd w:val="clear" w:color="auto" w:fill="FFFF00"/>
            <w:noWrap/>
          </w:tcPr>
          <w:p w14:paraId="2B524AED" w14:textId="77777777" w:rsidR="00A8197B" w:rsidRPr="00812509" w:rsidRDefault="0031692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tcBorders>
              <w:top w:val="single" w:sz="4" w:space="0" w:color="auto"/>
              <w:bottom w:val="single" w:sz="4" w:space="0" w:color="auto"/>
            </w:tcBorders>
            <w:shd w:val="clear" w:color="auto" w:fill="FFC000"/>
            <w:noWrap/>
          </w:tcPr>
          <w:p w14:paraId="0F112437" w14:textId="77777777" w:rsidR="00A8197B" w:rsidRPr="00812509" w:rsidRDefault="0031692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tcBorders>
              <w:top w:val="single" w:sz="4" w:space="0" w:color="auto"/>
              <w:bottom w:val="single" w:sz="4" w:space="0" w:color="auto"/>
            </w:tcBorders>
            <w:shd w:val="clear" w:color="auto" w:fill="FFFF00"/>
            <w:noWrap/>
          </w:tcPr>
          <w:p w14:paraId="1FA71BB6" w14:textId="77777777" w:rsidR="00A8197B" w:rsidRPr="00812509" w:rsidRDefault="0031692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tcBorders>
              <w:top w:val="single" w:sz="4" w:space="0" w:color="auto"/>
              <w:bottom w:val="single" w:sz="4" w:space="0" w:color="auto"/>
            </w:tcBorders>
            <w:shd w:val="clear" w:color="auto" w:fill="FFC000"/>
          </w:tcPr>
          <w:p w14:paraId="68DEE4C4" w14:textId="77777777" w:rsidR="00A8197B" w:rsidRPr="00812509" w:rsidRDefault="0031692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08" w:type="pct"/>
            <w:tcBorders>
              <w:top w:val="single" w:sz="4" w:space="0" w:color="auto"/>
              <w:bottom w:val="single" w:sz="4" w:space="0" w:color="auto"/>
            </w:tcBorders>
            <w:shd w:val="clear" w:color="auto" w:fill="auto"/>
          </w:tcPr>
          <w:p w14:paraId="49FB1044"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p>
        </w:tc>
      </w:tr>
    </w:tbl>
    <w:p w14:paraId="3C9BB2CF" w14:textId="77777777" w:rsidR="00A8197B" w:rsidRPr="00812509" w:rsidRDefault="00A8197B" w:rsidP="00A8197B">
      <w:pPr>
        <w:spacing w:before="20" w:after="20" w:line="180" w:lineRule="atLeast"/>
        <w:jc w:val="both"/>
        <w:rPr>
          <w:rFonts w:eastAsia="Times New Roman"/>
          <w:b/>
          <w:sz w:val="14"/>
          <w:szCs w:val="14"/>
        </w:rPr>
      </w:pPr>
    </w:p>
    <w:p w14:paraId="3C278D89" w14:textId="0409F258" w:rsidR="00A8197B" w:rsidRPr="00812509" w:rsidRDefault="00092A34" w:rsidP="00E57552">
      <w:pPr>
        <w:spacing w:before="20" w:after="20" w:line="180" w:lineRule="atLeast"/>
        <w:rPr>
          <w:rFonts w:eastAsia="Times New Roman"/>
          <w:b/>
          <w:sz w:val="16"/>
          <w:szCs w:val="14"/>
        </w:rPr>
      </w:pPr>
      <w:r>
        <w:rPr>
          <w:rFonts w:eastAsia="Times New Roman"/>
          <w:b/>
          <w:sz w:val="16"/>
          <w:szCs w:val="14"/>
        </w:rPr>
        <w:t>Definitions of rating scale:</w:t>
      </w:r>
      <w:r w:rsidR="00B9423F">
        <w:rPr>
          <w:rFonts w:eastAsia="Times New Roman"/>
          <w:b/>
          <w:sz w:val="16"/>
          <w:szCs w:val="14"/>
        </w:rPr>
        <w:br/>
      </w:r>
      <w:r w:rsidR="00A8197B" w:rsidRPr="00812509">
        <w:rPr>
          <w:rFonts w:eastAsia="Times New Roman"/>
          <w:b/>
          <w:sz w:val="16"/>
          <w:szCs w:val="14"/>
        </w:rPr>
        <w:t>Satisfactory (4, 5 and 6)</w:t>
      </w:r>
      <w:r>
        <w:rPr>
          <w:rFonts w:eastAsia="Times New Roman"/>
          <w:b/>
          <w:sz w:val="16"/>
          <w:szCs w:val="14"/>
        </w:rPr>
        <w:t xml:space="preserve"> </w:t>
      </w:r>
      <w:r w:rsidR="00E57552">
        <w:rPr>
          <w:rFonts w:eastAsia="Times New Roman"/>
          <w:b/>
          <w:sz w:val="16"/>
          <w:szCs w:val="14"/>
        </w:rPr>
        <w:br/>
      </w:r>
      <w:r w:rsidR="00A8197B" w:rsidRPr="00812509">
        <w:rPr>
          <w:rFonts w:eastAsia="Times New Roman"/>
          <w:b/>
          <w:color w:val="72AF2F"/>
          <w:sz w:val="16"/>
          <w:szCs w:val="14"/>
        </w:rPr>
        <w:sym w:font="Webdings" w:char="F067"/>
      </w:r>
      <w:r w:rsidR="00A8197B" w:rsidRPr="00812509">
        <w:rPr>
          <w:rFonts w:eastAsia="Times New Roman"/>
          <w:b/>
          <w:sz w:val="16"/>
          <w:szCs w:val="14"/>
        </w:rPr>
        <w:t xml:space="preserve"> 6 = Very good; satisfies criteria in all areas.  </w:t>
      </w:r>
      <w:r w:rsidR="00E57552">
        <w:rPr>
          <w:rFonts w:eastAsia="Times New Roman"/>
          <w:b/>
          <w:sz w:val="16"/>
          <w:szCs w:val="14"/>
        </w:rPr>
        <w:br/>
      </w:r>
      <w:r w:rsidR="00A8197B" w:rsidRPr="00812509">
        <w:rPr>
          <w:rFonts w:eastAsia="Times New Roman"/>
          <w:b/>
          <w:color w:val="72AF2F"/>
          <w:sz w:val="16"/>
          <w:szCs w:val="14"/>
        </w:rPr>
        <w:sym w:font="Webdings" w:char="F067"/>
      </w:r>
      <w:r w:rsidR="00A8197B" w:rsidRPr="00812509">
        <w:rPr>
          <w:rFonts w:eastAsia="Times New Roman"/>
          <w:b/>
          <w:sz w:val="16"/>
          <w:szCs w:val="14"/>
        </w:rPr>
        <w:t xml:space="preserve"> 5 = Good; satisfies criteria in almost all areas.</w:t>
      </w:r>
    </w:p>
    <w:p w14:paraId="546D8E8B" w14:textId="2691DA03" w:rsidR="00A8197B" w:rsidRPr="00092A34" w:rsidRDefault="00A8197B" w:rsidP="00E57552">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r w:rsidR="00092A34">
        <w:rPr>
          <w:rFonts w:eastAsia="Times New Roman"/>
          <w:b/>
          <w:sz w:val="16"/>
          <w:szCs w:val="14"/>
        </w:rPr>
        <w:t xml:space="preserve"> </w:t>
      </w:r>
      <w:r w:rsidR="00E57552">
        <w:rPr>
          <w:rFonts w:eastAsia="Times New Roman"/>
          <w:b/>
          <w:sz w:val="16"/>
          <w:szCs w:val="14"/>
        </w:rPr>
        <w:br/>
      </w:r>
      <w:r w:rsidRPr="00812509">
        <w:rPr>
          <w:rFonts w:eastAsia="Times New Roman"/>
          <w:b/>
          <w:sz w:val="16"/>
          <w:szCs w:val="14"/>
        </w:rPr>
        <w:t>Less than satisfactory (1, 2 and 3)</w:t>
      </w:r>
      <w:r w:rsidR="00E57552">
        <w:rPr>
          <w:rFonts w:eastAsia="Times New Roman"/>
          <w:b/>
          <w:sz w:val="16"/>
          <w:szCs w:val="14"/>
        </w:rPr>
        <w:br/>
      </w: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r w:rsidR="00092A34">
        <w:rPr>
          <w:rFonts w:eastAsia="Times New Roman"/>
          <w:b/>
          <w:sz w:val="16"/>
          <w:szCs w:val="14"/>
        </w:rPr>
        <w:t xml:space="preserve"> </w:t>
      </w:r>
      <w:r w:rsidR="00E57552">
        <w:rPr>
          <w:rFonts w:eastAsia="Times New Roman"/>
          <w:b/>
          <w:sz w:val="16"/>
          <w:szCs w:val="14"/>
        </w:rPr>
        <w:br/>
      </w: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00E57552">
        <w:rPr>
          <w:rFonts w:eastAsia="Times New Roman"/>
          <w:b/>
          <w:sz w:val="16"/>
          <w:szCs w:val="14"/>
        </w:rPr>
        <w:br/>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r w:rsidR="00AC1253">
        <w:rPr>
          <w:rFonts w:eastAsia="Times New Roman"/>
          <w:b/>
          <w:sz w:val="16"/>
          <w:szCs w:val="14"/>
        </w:rPr>
        <w:t xml:space="preserve"> </w:t>
      </w:r>
      <w:r w:rsidR="00092A34">
        <w:rPr>
          <w:rFonts w:eastAsia="Times New Roman"/>
          <w:b/>
          <w:sz w:val="16"/>
          <w:szCs w:val="14"/>
        </w:rPr>
        <w:t xml:space="preserve"> </w:t>
      </w:r>
      <w:r w:rsidR="00E57552">
        <w:rPr>
          <w:rFonts w:eastAsia="Times New Roman"/>
          <w:b/>
          <w:sz w:val="16"/>
          <w:szCs w:val="14"/>
        </w:rPr>
        <w:br/>
      </w:r>
    </w:p>
    <w:p w14:paraId="0A02592B" w14:textId="77777777" w:rsidR="00A8197B" w:rsidRDefault="00A8197B" w:rsidP="00A8197B">
      <w:pPr>
        <w:pStyle w:val="ListBullet"/>
        <w:tabs>
          <w:tab w:val="clear" w:pos="284"/>
        </w:tabs>
      </w:pPr>
    </w:p>
    <w:p w14:paraId="172384F7" w14:textId="77777777" w:rsidR="00A8197B" w:rsidRPr="00A8197B" w:rsidRDefault="00A8197B" w:rsidP="00A8197B"/>
    <w:p w14:paraId="48B0B000" w14:textId="77777777" w:rsidR="00184F1E" w:rsidRDefault="00184F1E">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p w14:paraId="3D5CD9A6" w14:textId="77777777" w:rsidR="00E70BEF" w:rsidRDefault="00E70BEF">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p w14:paraId="2E16937E" w14:textId="77777777" w:rsidR="00E70BEF" w:rsidRDefault="00E70BEF">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p w14:paraId="3325089D" w14:textId="77777777" w:rsidR="00E70BEF" w:rsidRDefault="00E70BEF">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p w14:paraId="2EC83F96" w14:textId="77777777" w:rsidR="00E70BEF" w:rsidRDefault="00E70BEF">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p w14:paraId="533C1B15" w14:textId="77777777" w:rsidR="00E70BEF" w:rsidRDefault="00E70BEF">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p w14:paraId="43E7DA4F" w14:textId="77777777" w:rsidR="00E70BEF" w:rsidRDefault="00E70BEF">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p w14:paraId="30AECED5" w14:textId="77777777" w:rsidR="00E70BEF" w:rsidRDefault="00E70BEF">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p w14:paraId="3D419BD1" w14:textId="77777777" w:rsidR="00E70BEF" w:rsidRDefault="00E70BEF">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p w14:paraId="190383FC" w14:textId="77777777" w:rsidR="00E70BEF" w:rsidRDefault="00E70BEF">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p w14:paraId="36EB12F8" w14:textId="77777777" w:rsidR="00E70BEF" w:rsidRDefault="00E70BEF">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p w14:paraId="73438550" w14:textId="77777777" w:rsidR="00E70BEF" w:rsidRDefault="00E70BEF">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p w14:paraId="005E4A5F" w14:textId="77777777" w:rsidR="00E70BEF" w:rsidRDefault="00E70BEF">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p w14:paraId="3C57DF2D" w14:textId="77777777" w:rsidR="00E70BEF" w:rsidRDefault="00E70BEF">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sectPr w:rsidR="00E70BEF" w:rsidSect="004839E3">
      <w:headerReference w:type="default" r:id="rId32"/>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210D7" w14:textId="77777777" w:rsidR="005E0230" w:rsidRDefault="005E0230" w:rsidP="00EF4574">
      <w:pPr>
        <w:spacing w:before="0" w:after="0" w:line="240" w:lineRule="auto"/>
      </w:pPr>
      <w:r>
        <w:separator/>
      </w:r>
    </w:p>
  </w:endnote>
  <w:endnote w:type="continuationSeparator" w:id="0">
    <w:p w14:paraId="04560143" w14:textId="77777777" w:rsidR="005E0230" w:rsidRDefault="005E0230"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81FBC" w14:textId="77777777" w:rsidR="00F32865" w:rsidRDefault="00F32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9F52" w14:textId="77777777" w:rsidR="005E0230" w:rsidRDefault="005E0230" w:rsidP="004839E3">
    <w:pPr>
      <w:pStyle w:val="Footer"/>
      <w:rPr>
        <w:lang w:val="en-AU"/>
      </w:rPr>
    </w:pPr>
  </w:p>
  <w:p w14:paraId="7320013A" w14:textId="77777777" w:rsidR="005E0230" w:rsidRDefault="005E0230" w:rsidP="004839E3">
    <w:pPr>
      <w:pStyle w:val="Footer"/>
    </w:pPr>
  </w:p>
  <w:p w14:paraId="2DDBF267" w14:textId="77777777" w:rsidR="005E0230" w:rsidRPr="00CD0E4B" w:rsidRDefault="005E0230" w:rsidP="004839E3">
    <w:pPr>
      <w:pStyle w:val="Footer"/>
    </w:pPr>
    <w:r w:rsidRPr="00CD0E4B">
      <w:rPr>
        <w:noProof/>
        <w:lang w:val="en-AU" w:eastAsia="en-AU"/>
      </w:rPr>
      <w:drawing>
        <wp:inline distT="0" distB="0" distL="0" distR="0" wp14:anchorId="506524A2" wp14:editId="533B2A80">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69EF1549" w14:textId="77777777" w:rsidR="005E0230" w:rsidRPr="00CD0E4B" w:rsidRDefault="005E0230" w:rsidP="004839E3">
    <w:pPr>
      <w:pStyle w:val="Footer"/>
      <w:rPr>
        <w:color w:val="ACD08C" w:themeColor="accent3"/>
      </w:rPr>
    </w:pPr>
    <w:r w:rsidRPr="00CD0E4B">
      <w:rPr>
        <w:color w:val="ACD08C" w:themeColor="accent3"/>
      </w:rPr>
      <w:t>DFAT.GOV.AU</w:t>
    </w:r>
  </w:p>
  <w:p w14:paraId="14107062" w14:textId="77777777" w:rsidR="005E0230" w:rsidRPr="004839E3" w:rsidRDefault="005E0230"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6569C" w14:textId="77777777" w:rsidR="005E0230" w:rsidRPr="004839E3" w:rsidRDefault="005E0230"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30D7EF7B" wp14:editId="670B2004">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14:paraId="46B54BC7" w14:textId="77777777" w:rsidR="005E0230" w:rsidRDefault="005E0230" w:rsidP="004839E3">
    <w:pPr>
      <w:spacing w:before="0" w:after="0" w:line="240" w:lineRule="exact"/>
      <w:ind w:right="284"/>
      <w:jc w:val="right"/>
    </w:pPr>
    <w:r w:rsidRPr="004839E3">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BBE58" w14:textId="77777777" w:rsidR="005E0230" w:rsidRPr="008C5A0E" w:rsidRDefault="005E0230" w:rsidP="001D663E">
      <w:pPr>
        <w:pStyle w:val="Footer"/>
        <w:pBdr>
          <w:top w:val="single" w:sz="4" w:space="1" w:color="495965" w:themeColor="text2"/>
        </w:pBdr>
      </w:pPr>
    </w:p>
  </w:footnote>
  <w:footnote w:type="continuationSeparator" w:id="0">
    <w:p w14:paraId="01743A90" w14:textId="77777777" w:rsidR="005E0230" w:rsidRDefault="005E0230" w:rsidP="00EF4574">
      <w:pPr>
        <w:spacing w:before="0" w:after="0" w:line="240" w:lineRule="auto"/>
      </w:pPr>
      <w:r>
        <w:continuationSeparator/>
      </w:r>
    </w:p>
  </w:footnote>
  <w:footnote w:id="1">
    <w:p w14:paraId="27A841A2" w14:textId="77777777" w:rsidR="005E0230" w:rsidRPr="006C7D16" w:rsidRDefault="005E0230">
      <w:pPr>
        <w:pStyle w:val="FootnoteText"/>
        <w:rPr>
          <w:lang w:val="en-AU"/>
        </w:rPr>
      </w:pPr>
      <w:r>
        <w:rPr>
          <w:rStyle w:val="FootnoteReference"/>
        </w:rPr>
        <w:footnoteRef/>
      </w:r>
      <w:r>
        <w:t xml:space="preserve"> </w:t>
      </w:r>
      <w:r>
        <w:rPr>
          <w:lang w:val="en-AU"/>
        </w:rPr>
        <w:t>Asean-Australia Development Cooperation Program Phase II  and Greater Mekong Sub-region Trade and Transport Facilitation Program</w:t>
      </w:r>
    </w:p>
  </w:footnote>
  <w:footnote w:id="2">
    <w:p w14:paraId="7CEAA32A" w14:textId="77777777" w:rsidR="005E0230" w:rsidRPr="006C7D16" w:rsidRDefault="005E0230">
      <w:pPr>
        <w:pStyle w:val="FootnoteText"/>
        <w:rPr>
          <w:lang w:val="en-AU"/>
        </w:rPr>
      </w:pPr>
      <w:r>
        <w:rPr>
          <w:rStyle w:val="FootnoteReference"/>
        </w:rPr>
        <w:footnoteRef/>
      </w:r>
      <w:r>
        <w:t xml:space="preserve"> </w:t>
      </w:r>
      <w:r>
        <w:rPr>
          <w:lang w:val="en-AU"/>
        </w:rPr>
        <w:t xml:space="preserve">Australia and New Zealand Free Trade Agreement  (AANZFTA) Economic Cooperation Support Program </w:t>
      </w:r>
    </w:p>
  </w:footnote>
  <w:footnote w:id="3">
    <w:p w14:paraId="50826EC1" w14:textId="77777777" w:rsidR="005E0230" w:rsidRPr="006C7D16" w:rsidRDefault="005E0230">
      <w:pPr>
        <w:pStyle w:val="FootnoteText"/>
        <w:rPr>
          <w:lang w:val="en-AU"/>
        </w:rPr>
      </w:pPr>
      <w:r>
        <w:rPr>
          <w:rStyle w:val="FootnoteReference"/>
        </w:rPr>
        <w:footnoteRef/>
      </w:r>
      <w:r>
        <w:t xml:space="preserve"> </w:t>
      </w:r>
      <w:r>
        <w:rPr>
          <w:lang w:val="en-AU"/>
        </w:rPr>
        <w:t>Greater Mekong Water Resources Program</w:t>
      </w:r>
    </w:p>
  </w:footnote>
  <w:footnote w:id="4">
    <w:p w14:paraId="36DFBC8D" w14:textId="77777777" w:rsidR="005E0230" w:rsidRPr="002F11A0" w:rsidRDefault="005E0230">
      <w:pPr>
        <w:pStyle w:val="FootnoteText"/>
        <w:rPr>
          <w:lang w:val="en-AU"/>
        </w:rPr>
      </w:pPr>
      <w:r>
        <w:rPr>
          <w:rStyle w:val="FootnoteReference"/>
        </w:rPr>
        <w:footnoteRef/>
      </w:r>
      <w:r>
        <w:t xml:space="preserve"> </w:t>
      </w:r>
      <w:r>
        <w:rPr>
          <w:lang w:val="en-AU"/>
        </w:rPr>
        <w:t xml:space="preserve">Economic Research Institute of ASEAN and East Asia </w:t>
      </w:r>
    </w:p>
  </w:footnote>
  <w:footnote w:id="5">
    <w:p w14:paraId="40515047" w14:textId="77777777" w:rsidR="005E0230" w:rsidRPr="006C7D16" w:rsidRDefault="005E0230">
      <w:pPr>
        <w:pStyle w:val="FootnoteText"/>
        <w:rPr>
          <w:lang w:val="en-AU"/>
        </w:rPr>
      </w:pPr>
      <w:r>
        <w:rPr>
          <w:rStyle w:val="FootnoteReference"/>
        </w:rPr>
        <w:footnoteRef/>
      </w:r>
      <w:r>
        <w:t xml:space="preserve"> </w:t>
      </w:r>
      <w:r>
        <w:rPr>
          <w:lang w:val="en-AU"/>
        </w:rPr>
        <w:t xml:space="preserve">Shaping Inclusive Finance Transformations Program </w:t>
      </w:r>
    </w:p>
  </w:footnote>
  <w:footnote w:id="6">
    <w:p w14:paraId="0A819295" w14:textId="77777777" w:rsidR="005E0230" w:rsidRPr="006C7D16" w:rsidRDefault="005E0230">
      <w:pPr>
        <w:pStyle w:val="FootnoteText"/>
        <w:rPr>
          <w:lang w:val="en-AU"/>
        </w:rPr>
      </w:pPr>
      <w:r>
        <w:rPr>
          <w:rStyle w:val="FootnoteReference"/>
        </w:rPr>
        <w:footnoteRef/>
      </w:r>
      <w:r>
        <w:t xml:space="preserve"> </w:t>
      </w:r>
      <w:r>
        <w:rPr>
          <w:lang w:val="en-AU"/>
        </w:rPr>
        <w:t>Mekong Business Initiative</w:t>
      </w:r>
    </w:p>
  </w:footnote>
  <w:footnote w:id="7">
    <w:p w14:paraId="27E108FD" w14:textId="77777777" w:rsidR="005E0230" w:rsidRPr="00B53064" w:rsidRDefault="005E0230">
      <w:pPr>
        <w:pStyle w:val="FootnoteText"/>
        <w:rPr>
          <w:lang w:val="en-AU"/>
        </w:rPr>
      </w:pPr>
      <w:r>
        <w:rPr>
          <w:rStyle w:val="FootnoteReference"/>
        </w:rPr>
        <w:footnoteRef/>
      </w:r>
      <w:r>
        <w:t xml:space="preserve"> </w:t>
      </w:r>
      <w:r>
        <w:rPr>
          <w:lang w:val="en-AU"/>
        </w:rPr>
        <w:t>Women’s Economic Leadership and Empowerment in ASEAN</w:t>
      </w:r>
    </w:p>
  </w:footnote>
  <w:footnote w:id="8">
    <w:p w14:paraId="7F22A7D9" w14:textId="77777777" w:rsidR="005E0230" w:rsidRPr="006C7D16" w:rsidRDefault="005E0230">
      <w:pPr>
        <w:pStyle w:val="FootnoteText"/>
        <w:rPr>
          <w:lang w:val="en-AU"/>
        </w:rPr>
      </w:pPr>
      <w:r>
        <w:rPr>
          <w:rStyle w:val="FootnoteReference"/>
        </w:rPr>
        <w:footnoteRef/>
      </w:r>
      <w:r>
        <w:t xml:space="preserve"> </w:t>
      </w:r>
      <w:r>
        <w:rPr>
          <w:lang w:val="en-AU"/>
        </w:rPr>
        <w:t>Australia-Asia Program to Combat Trafficking in Persons, Especially Women and Children</w:t>
      </w:r>
    </w:p>
  </w:footnote>
  <w:footnote w:id="9">
    <w:p w14:paraId="6F8E3D25" w14:textId="77777777" w:rsidR="005E0230" w:rsidRPr="006C7D16" w:rsidRDefault="005E0230">
      <w:pPr>
        <w:pStyle w:val="FootnoteText"/>
        <w:rPr>
          <w:lang w:val="en-AU"/>
        </w:rPr>
      </w:pPr>
      <w:r>
        <w:rPr>
          <w:rStyle w:val="FootnoteReference"/>
        </w:rPr>
        <w:footnoteRef/>
      </w:r>
      <w:r>
        <w:t xml:space="preserve"> </w:t>
      </w:r>
      <w:r>
        <w:rPr>
          <w:lang w:val="en-AU"/>
        </w:rPr>
        <w:t xml:space="preserve">Tripartite Action to Enhance the Contribution of Labour Migration to Growth and Development in the Association of Southeast Asian Nations </w:t>
      </w:r>
    </w:p>
  </w:footnote>
  <w:footnote w:id="10">
    <w:p w14:paraId="3ECCA476" w14:textId="77777777" w:rsidR="005E0230" w:rsidRPr="00B33872" w:rsidRDefault="005E0230">
      <w:pPr>
        <w:pStyle w:val="FootnoteText"/>
        <w:rPr>
          <w:lang w:val="en-AU"/>
        </w:rPr>
      </w:pPr>
      <w:r>
        <w:rPr>
          <w:rStyle w:val="FootnoteReference"/>
        </w:rPr>
        <w:footnoteRef/>
      </w:r>
      <w:r>
        <w:t xml:space="preserve"> </w:t>
      </w:r>
      <w:r>
        <w:rPr>
          <w:lang w:val="en-AU"/>
        </w:rPr>
        <w:t>ASEAN Convention Against Trafficking in Persons Especially Women and Children</w:t>
      </w:r>
    </w:p>
  </w:footnote>
  <w:footnote w:id="11">
    <w:p w14:paraId="4BCE0B9F" w14:textId="77777777" w:rsidR="005E0230" w:rsidRPr="006A55D6" w:rsidRDefault="005E0230">
      <w:pPr>
        <w:pStyle w:val="FootnoteText"/>
        <w:rPr>
          <w:lang w:val="en-AU"/>
        </w:rPr>
      </w:pPr>
      <w:r>
        <w:rPr>
          <w:rStyle w:val="FootnoteReference"/>
        </w:rPr>
        <w:footnoteRef/>
      </w:r>
      <w:r>
        <w:t xml:space="preserve"> </w:t>
      </w:r>
      <w:r>
        <w:rPr>
          <w:lang w:val="en-AU"/>
        </w:rPr>
        <w:t>ASEAN Economic Community</w:t>
      </w:r>
    </w:p>
  </w:footnote>
  <w:footnote w:id="12">
    <w:p w14:paraId="3AA0BAEA" w14:textId="77777777" w:rsidR="005E0230" w:rsidRPr="00B72D46" w:rsidRDefault="005E0230">
      <w:pPr>
        <w:pStyle w:val="FootnoteText"/>
        <w:rPr>
          <w:lang w:val="en-AU"/>
        </w:rPr>
      </w:pPr>
      <w:r>
        <w:rPr>
          <w:rStyle w:val="FootnoteReference"/>
        </w:rPr>
        <w:footnoteRef/>
      </w:r>
      <w:r>
        <w:t xml:space="preserve"> </w:t>
      </w:r>
      <w:r>
        <w:rPr>
          <w:lang w:val="en-AU"/>
        </w:rPr>
        <w:t>Economic Research Institute of ASEAN and East Asia</w:t>
      </w:r>
    </w:p>
  </w:footnote>
  <w:footnote w:id="13">
    <w:p w14:paraId="432F68EB" w14:textId="77777777" w:rsidR="005E0230" w:rsidRPr="005144FB" w:rsidRDefault="005E0230">
      <w:pPr>
        <w:pStyle w:val="FootnoteText"/>
        <w:rPr>
          <w:lang w:val="en-AU"/>
        </w:rPr>
      </w:pPr>
      <w:r>
        <w:rPr>
          <w:rStyle w:val="FootnoteReference"/>
        </w:rPr>
        <w:footnoteRef/>
      </w:r>
      <w:r>
        <w:t xml:space="preserve"> </w:t>
      </w:r>
      <w:r>
        <w:rPr>
          <w:lang w:val="en-AU"/>
        </w:rPr>
        <w:t xml:space="preserve">Small to Medium Enterprises </w:t>
      </w:r>
    </w:p>
  </w:footnote>
  <w:footnote w:id="14">
    <w:p w14:paraId="0CD8C4E8" w14:textId="77777777" w:rsidR="005E0230" w:rsidRPr="00B72D46" w:rsidRDefault="005E0230" w:rsidP="005049DF">
      <w:pPr>
        <w:pStyle w:val="FootnoteText"/>
        <w:rPr>
          <w:lang w:val="en-AU"/>
        </w:rPr>
      </w:pPr>
      <w:r>
        <w:rPr>
          <w:rStyle w:val="FootnoteReference"/>
        </w:rPr>
        <w:footnoteRef/>
      </w:r>
      <w:r>
        <w:t xml:space="preserve"> </w:t>
      </w:r>
      <w:r>
        <w:rPr>
          <w:lang w:val="en-AU"/>
        </w:rPr>
        <w:t>Mekong River Commission</w:t>
      </w:r>
    </w:p>
  </w:footnote>
  <w:footnote w:id="15">
    <w:p w14:paraId="7306C155" w14:textId="77777777" w:rsidR="005E0230" w:rsidRPr="004E7B48" w:rsidRDefault="005E0230">
      <w:pPr>
        <w:pStyle w:val="FootnoteText"/>
        <w:rPr>
          <w:lang w:val="en-AU"/>
        </w:rPr>
      </w:pPr>
      <w:r>
        <w:rPr>
          <w:rStyle w:val="FootnoteReference"/>
        </w:rPr>
        <w:footnoteRef/>
      </w:r>
      <w:r>
        <w:t xml:space="preserve"> </w:t>
      </w:r>
      <w:r>
        <w:rPr>
          <w:lang w:val="en-AU"/>
        </w:rPr>
        <w:t>Coordinated Mekong Ministerial Initiative Against Trafficking</w:t>
      </w:r>
    </w:p>
  </w:footnote>
  <w:footnote w:id="16">
    <w:p w14:paraId="6533DDE7" w14:textId="77777777" w:rsidR="005E0230" w:rsidRPr="00B72D46" w:rsidRDefault="005E0230">
      <w:pPr>
        <w:pStyle w:val="FootnoteText"/>
        <w:rPr>
          <w:lang w:val="en-AU"/>
        </w:rPr>
      </w:pPr>
      <w:r>
        <w:rPr>
          <w:rStyle w:val="FootnoteReference"/>
        </w:rPr>
        <w:footnoteRef/>
      </w:r>
      <w:r>
        <w:t xml:space="preserve"> </w:t>
      </w:r>
      <w:r>
        <w:rPr>
          <w:lang w:val="en-AU"/>
        </w:rPr>
        <w:t>International Labour Organisation</w:t>
      </w:r>
    </w:p>
  </w:footnote>
  <w:footnote w:id="17">
    <w:p w14:paraId="11D4C2DC" w14:textId="77777777" w:rsidR="005E0230" w:rsidRPr="004E7B48" w:rsidRDefault="005E0230">
      <w:pPr>
        <w:pStyle w:val="FootnoteText"/>
        <w:rPr>
          <w:lang w:val="en-AU"/>
        </w:rPr>
      </w:pPr>
      <w:r>
        <w:rPr>
          <w:rStyle w:val="FootnoteReference"/>
        </w:rPr>
        <w:footnoteRef/>
      </w:r>
      <w:r>
        <w:t xml:space="preserve"> </w:t>
      </w:r>
      <w:r>
        <w:rPr>
          <w:lang w:val="en-AU"/>
        </w:rPr>
        <w:t>United Nations Action for Cooperation Against Trafficking in Persons</w:t>
      </w:r>
    </w:p>
  </w:footnote>
  <w:footnote w:id="18">
    <w:p w14:paraId="2A442087" w14:textId="77777777" w:rsidR="005E0230" w:rsidRPr="0088065B" w:rsidRDefault="005E0230">
      <w:pPr>
        <w:pStyle w:val="FootnoteText"/>
        <w:rPr>
          <w:lang w:val="en-AU"/>
        </w:rPr>
      </w:pPr>
      <w:r>
        <w:rPr>
          <w:rStyle w:val="FootnoteReference"/>
        </w:rPr>
        <w:footnoteRef/>
      </w:r>
      <w:r>
        <w:t xml:space="preserve"> </w:t>
      </w:r>
      <w:r>
        <w:rPr>
          <w:lang w:val="en-AU"/>
        </w:rPr>
        <w:t>International Organisation for Migration</w:t>
      </w:r>
    </w:p>
  </w:footnote>
  <w:footnote w:id="19">
    <w:p w14:paraId="12A0B423" w14:textId="77777777" w:rsidR="005E0230" w:rsidRPr="004E7B48" w:rsidRDefault="005E0230">
      <w:pPr>
        <w:pStyle w:val="FootnoteText"/>
        <w:rPr>
          <w:lang w:val="en-AU"/>
        </w:rPr>
      </w:pPr>
      <w:r>
        <w:rPr>
          <w:rStyle w:val="FootnoteReference"/>
        </w:rPr>
        <w:footnoteRef/>
      </w:r>
      <w:r>
        <w:t xml:space="preserve"> </w:t>
      </w:r>
      <w:r>
        <w:rPr>
          <w:lang w:val="en-AU"/>
        </w:rPr>
        <w:t>Senior Officials Meeting on Transnational Crime</w:t>
      </w:r>
    </w:p>
  </w:footnote>
  <w:footnote w:id="20">
    <w:p w14:paraId="3A2B5511" w14:textId="77777777" w:rsidR="005E0230" w:rsidRPr="00762C2F" w:rsidRDefault="005E0230">
      <w:pPr>
        <w:pStyle w:val="FootnoteText"/>
        <w:rPr>
          <w:lang w:val="en-AU"/>
        </w:rPr>
      </w:pPr>
      <w:r>
        <w:rPr>
          <w:rStyle w:val="FootnoteReference"/>
        </w:rPr>
        <w:footnoteRef/>
      </w:r>
      <w:r>
        <w:t xml:space="preserve"> </w:t>
      </w:r>
      <w:r>
        <w:rPr>
          <w:lang w:val="en-AU"/>
        </w:rPr>
        <w:t>ASEAN Committee of Migrant Workers</w:t>
      </w:r>
    </w:p>
  </w:footnote>
  <w:footnote w:id="21">
    <w:p w14:paraId="2B6B496A" w14:textId="77777777" w:rsidR="005E0230" w:rsidRPr="004E7B48" w:rsidRDefault="005E0230">
      <w:pPr>
        <w:pStyle w:val="FootnoteText"/>
        <w:rPr>
          <w:lang w:val="en-AU"/>
        </w:rPr>
      </w:pPr>
      <w:r>
        <w:rPr>
          <w:rStyle w:val="FootnoteReference"/>
        </w:rPr>
        <w:footnoteRef/>
      </w:r>
      <w:r>
        <w:t xml:space="preserve"> </w:t>
      </w:r>
      <w:r>
        <w:rPr>
          <w:lang w:val="en-AU"/>
        </w:rPr>
        <w:t>Greater Mekong Sub-region</w:t>
      </w:r>
    </w:p>
  </w:footnote>
  <w:footnote w:id="22">
    <w:p w14:paraId="4DEC31FC" w14:textId="77777777" w:rsidR="005E0230" w:rsidRPr="00570680" w:rsidRDefault="005E0230" w:rsidP="004366C7">
      <w:pPr>
        <w:pStyle w:val="FootnoteText"/>
        <w:rPr>
          <w:lang w:val="en-AU"/>
        </w:rPr>
      </w:pPr>
      <w:r>
        <w:rPr>
          <w:rStyle w:val="FootnoteReference"/>
        </w:rPr>
        <w:footnoteRef/>
      </w:r>
      <w:r>
        <w:t xml:space="preserve"> </w:t>
      </w:r>
      <w:r>
        <w:rPr>
          <w:lang w:val="en-AU"/>
        </w:rPr>
        <w:t>Migrant Resource Centres</w:t>
      </w:r>
    </w:p>
  </w:footnote>
  <w:footnote w:id="23">
    <w:p w14:paraId="676AD45C" w14:textId="5475B2D9" w:rsidR="00E92D03" w:rsidRPr="00E92D03" w:rsidRDefault="00E92D03">
      <w:pPr>
        <w:pStyle w:val="FootnoteText"/>
        <w:rPr>
          <w:lang w:val="en-AU"/>
        </w:rPr>
      </w:pPr>
      <w:r>
        <w:rPr>
          <w:rStyle w:val="FootnoteReference"/>
        </w:rPr>
        <w:footnoteRef/>
      </w:r>
      <w:r>
        <w:t xml:space="preserve"> </w:t>
      </w:r>
      <w:r>
        <w:rPr>
          <w:lang w:val="en-AU"/>
        </w:rPr>
        <w:t>ASEAN Secretariat</w:t>
      </w:r>
    </w:p>
  </w:footnote>
  <w:footnote w:id="24">
    <w:p w14:paraId="4D1C8212" w14:textId="77777777" w:rsidR="005E0230" w:rsidRPr="001D69F7" w:rsidRDefault="005E0230" w:rsidP="00165B31">
      <w:pPr>
        <w:pStyle w:val="FootnoteText"/>
        <w:rPr>
          <w:lang w:val="en-AU"/>
        </w:rPr>
      </w:pPr>
      <w:r>
        <w:rPr>
          <w:rStyle w:val="FootnoteReference"/>
        </w:rPr>
        <w:footnoteRef/>
      </w:r>
      <w:r>
        <w:t xml:space="preserve"> </w:t>
      </w:r>
      <w:r>
        <w:rPr>
          <w:lang w:val="en-AU"/>
        </w:rPr>
        <w:t>ASEAN Inter-governmental Commission on Human Rights</w:t>
      </w:r>
    </w:p>
  </w:footnote>
  <w:footnote w:id="25">
    <w:p w14:paraId="2096C52B" w14:textId="77777777" w:rsidR="005E0230" w:rsidRPr="00EC1944" w:rsidRDefault="005E0230" w:rsidP="00B02725">
      <w:pPr>
        <w:pStyle w:val="FootnoteText"/>
        <w:rPr>
          <w:lang w:val="en-AU"/>
        </w:rPr>
      </w:pPr>
      <w:r>
        <w:rPr>
          <w:rStyle w:val="FootnoteReference"/>
        </w:rPr>
        <w:footnoteRef/>
      </w:r>
      <w:r>
        <w:t xml:space="preserve"> </w:t>
      </w:r>
      <w:r>
        <w:rPr>
          <w:lang w:val="en-AU"/>
        </w:rPr>
        <w:t>Stop Transboundary Animal Diseases and Zoonoses</w:t>
      </w:r>
    </w:p>
  </w:footnote>
  <w:footnote w:id="26">
    <w:p w14:paraId="5316D0C5" w14:textId="77777777" w:rsidR="005E0230" w:rsidRPr="00EC1944" w:rsidRDefault="005E0230" w:rsidP="00B02725">
      <w:pPr>
        <w:pStyle w:val="FootnoteText"/>
        <w:rPr>
          <w:lang w:val="en-AU"/>
        </w:rPr>
      </w:pPr>
      <w:r>
        <w:rPr>
          <w:rStyle w:val="FootnoteReference"/>
        </w:rPr>
        <w:footnoteRef/>
      </w:r>
      <w:r>
        <w:t xml:space="preserve"> </w:t>
      </w:r>
      <w:r w:rsidRPr="00EC1944">
        <w:rPr>
          <w:lang w:val="en-AU"/>
        </w:rPr>
        <w:t>Emergency Preparedness for Highly Pathogenic Avian Influenza - Live Animal Marketing and Production</w:t>
      </w:r>
    </w:p>
  </w:footnote>
  <w:footnote w:id="27">
    <w:p w14:paraId="2D5400B7" w14:textId="77777777" w:rsidR="005E0230" w:rsidRPr="008D413F" w:rsidRDefault="005E0230">
      <w:pPr>
        <w:pStyle w:val="FootnoteText"/>
        <w:rPr>
          <w:lang w:val="en-AU"/>
        </w:rPr>
      </w:pPr>
      <w:r>
        <w:rPr>
          <w:rStyle w:val="FootnoteReference"/>
        </w:rPr>
        <w:footnoteRef/>
      </w:r>
      <w:r>
        <w:t xml:space="preserve"> </w:t>
      </w:r>
      <w:r>
        <w:rPr>
          <w:lang w:val="en-AU"/>
        </w:rPr>
        <w:t>Initiative for ASEAN Integration</w:t>
      </w:r>
    </w:p>
  </w:footnote>
  <w:footnote w:id="28">
    <w:p w14:paraId="0AAC3C95" w14:textId="77777777" w:rsidR="005E0230" w:rsidRPr="001D69F7" w:rsidRDefault="005E0230">
      <w:pPr>
        <w:pStyle w:val="FootnoteText"/>
        <w:rPr>
          <w:lang w:val="en-AU"/>
        </w:rPr>
      </w:pPr>
      <w:r>
        <w:rPr>
          <w:rStyle w:val="FootnoteReference"/>
        </w:rPr>
        <w:footnoteRef/>
      </w:r>
      <w:r>
        <w:t xml:space="preserve"> </w:t>
      </w:r>
      <w:r>
        <w:rPr>
          <w:lang w:val="en-AU"/>
        </w:rPr>
        <w:t>Micro, Small and Medium Enterprises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2BB8F" w14:textId="77777777" w:rsidR="00F32865" w:rsidRDefault="00F32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B07F" w14:textId="77777777" w:rsidR="005E0230" w:rsidRPr="00333501" w:rsidRDefault="005E0230" w:rsidP="008F56A8">
    <w:pPr>
      <w:pStyle w:val="Header"/>
      <w:jc w:val="left"/>
    </w:pPr>
    <w:r>
      <w:rPr>
        <w:noProof/>
        <w:lang w:val="en-AU" w:eastAsia="en-AU"/>
      </w:rPr>
      <w:drawing>
        <wp:anchor distT="0" distB="0" distL="114300" distR="114300" simplePos="0" relativeHeight="251671552" behindDoc="1" locked="1" layoutInCell="1" allowOverlap="1" wp14:anchorId="41561278" wp14:editId="1CCFE8EC">
          <wp:simplePos x="0" y="0"/>
          <wp:positionH relativeFrom="page">
            <wp:align>right</wp:align>
          </wp:positionH>
          <wp:positionV relativeFrom="page">
            <wp:posOffset>31750</wp:posOffset>
          </wp:positionV>
          <wp:extent cx="7537450" cy="1061466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37450" cy="106146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D7AC8" w14:textId="77777777" w:rsidR="005E0230" w:rsidRPr="003D352D" w:rsidRDefault="005E0230" w:rsidP="003D352D">
    <w:pPr>
      <w:pStyle w:val="Header"/>
      <w:jc w:val="left"/>
    </w:pPr>
    <w:r>
      <w:rPr>
        <w:noProof/>
        <w:lang w:val="en-AU" w:eastAsia="en-AU"/>
      </w:rPr>
      <w:drawing>
        <wp:anchor distT="0" distB="0" distL="114300" distR="114300" simplePos="0" relativeHeight="251669504" behindDoc="1" locked="1" layoutInCell="1" allowOverlap="1" wp14:anchorId="1FDA4D90" wp14:editId="14DE57B8">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0F201" w14:textId="77777777" w:rsidR="005E0230" w:rsidRPr="003D352D" w:rsidRDefault="005E0230" w:rsidP="003D352D">
    <w:pPr>
      <w:pStyle w:val="Header"/>
      <w:jc w:val="left"/>
    </w:pPr>
    <w:r>
      <w:rPr>
        <w:noProof/>
        <w:lang w:val="en-AU" w:eastAsia="en-AU"/>
      </w:rPr>
      <w:drawing>
        <wp:anchor distT="0" distB="0" distL="114300" distR="114300" simplePos="0" relativeHeight="251658240" behindDoc="1" locked="1" layoutInCell="1" allowOverlap="1" wp14:anchorId="33020EF6" wp14:editId="7104BEAB">
          <wp:simplePos x="0" y="0"/>
          <wp:positionH relativeFrom="page">
            <wp:posOffset>-1581150</wp:posOffset>
          </wp:positionH>
          <wp:positionV relativeFrom="page">
            <wp:posOffset>0</wp:posOffset>
          </wp:positionV>
          <wp:extent cx="12275185" cy="10620375"/>
          <wp:effectExtent l="133350" t="133350" r="145415" b="16192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275185" cy="106203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275C" w14:textId="77777777" w:rsidR="005E0230" w:rsidRPr="00333501" w:rsidRDefault="005E0230" w:rsidP="008F56A8">
    <w:pPr>
      <w:pStyle w:val="Header"/>
      <w:jc w:val="left"/>
    </w:pPr>
    <w:r>
      <w:rPr>
        <w:noProof/>
        <w:lang w:val="en-AU" w:eastAsia="en-AU"/>
      </w:rPr>
      <w:drawing>
        <wp:anchor distT="0" distB="0" distL="114300" distR="114300" simplePos="0" relativeHeight="251687936" behindDoc="1" locked="1" layoutInCell="1" allowOverlap="1" wp14:anchorId="5E139503" wp14:editId="30488DB3">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120D4" w14:textId="77777777" w:rsidR="005E0230" w:rsidRPr="003D352D" w:rsidRDefault="005E0230" w:rsidP="003D352D">
    <w:pPr>
      <w:pStyle w:val="Header"/>
      <w:jc w:val="left"/>
    </w:pPr>
    <w:r>
      <w:rPr>
        <w:noProof/>
        <w:lang w:val="en-AU" w:eastAsia="en-AU"/>
      </w:rPr>
      <w:drawing>
        <wp:anchor distT="0" distB="0" distL="114300" distR="114300" simplePos="0" relativeHeight="251675648" behindDoc="1" locked="1" layoutInCell="1" allowOverlap="1" wp14:anchorId="6A70DE4C" wp14:editId="070CF463">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9BF" w14:textId="77777777" w:rsidR="005E0230" w:rsidRPr="00333501" w:rsidRDefault="005E0230" w:rsidP="008F56A8">
    <w:pPr>
      <w:pStyle w:val="Header"/>
      <w:jc w:val="left"/>
    </w:pPr>
    <w:r>
      <w:rPr>
        <w:noProof/>
        <w:lang w:val="en-AU" w:eastAsia="en-AU"/>
      </w:rPr>
      <w:drawing>
        <wp:anchor distT="0" distB="0" distL="114300" distR="114300" simplePos="0" relativeHeight="251683840" behindDoc="1" locked="1" layoutInCell="1" allowOverlap="1" wp14:anchorId="0C0450CA" wp14:editId="1C9BFF92">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F2AD9"/>
    <w:multiLevelType w:val="hybridMultilevel"/>
    <w:tmpl w:val="C2F4BB96"/>
    <w:lvl w:ilvl="0" w:tplc="78746E02">
      <w:start w:val="1"/>
      <w:numFmt w:val="decimal"/>
      <w:pStyle w:val="Paras"/>
      <w:lvlText w:val="%1."/>
      <w:lvlJc w:val="left"/>
      <w:pPr>
        <w:ind w:left="720" w:hanging="360"/>
      </w:pPr>
      <w:rPr>
        <w:rFonts w:hint="default"/>
        <w:b w:val="0"/>
      </w:rPr>
    </w:lvl>
    <w:lvl w:ilvl="1" w:tplc="37ECC6B8">
      <w:start w:val="8"/>
      <w:numFmt w:val="bullet"/>
      <w:lvlText w:val="•"/>
      <w:lvlJc w:val="left"/>
      <w:pPr>
        <w:ind w:left="1440" w:hanging="360"/>
      </w:pPr>
      <w:rPr>
        <w:rFonts w:ascii="Arial" w:eastAsiaTheme="minorHAnsi" w:hAnsi="Arial" w:cs="Aria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FE77E1"/>
    <w:multiLevelType w:val="hybridMultilevel"/>
    <w:tmpl w:val="9A16CCD2"/>
    <w:lvl w:ilvl="0" w:tplc="BD867438">
      <w:start w:val="10"/>
      <w:numFmt w:val="bullet"/>
      <w:lvlText w:val="-"/>
      <w:lvlJc w:val="left"/>
      <w:pPr>
        <w:ind w:left="360" w:hanging="360"/>
      </w:pPr>
      <w:rPr>
        <w:rFonts w:ascii="Calibri Light" w:eastAsia="Times New Roman"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A201FB5"/>
    <w:multiLevelType w:val="hybridMultilevel"/>
    <w:tmpl w:val="277655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0A31276A"/>
    <w:multiLevelType w:val="hybridMultilevel"/>
    <w:tmpl w:val="D1FC65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1730DED"/>
    <w:multiLevelType w:val="hybridMultilevel"/>
    <w:tmpl w:val="D292D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92435E3"/>
    <w:multiLevelType w:val="hybridMultilevel"/>
    <w:tmpl w:val="2676DC00"/>
    <w:lvl w:ilvl="0" w:tplc="BD867438">
      <w:start w:val="10"/>
      <w:numFmt w:val="bullet"/>
      <w:lvlText w:val="-"/>
      <w:lvlJc w:val="left"/>
      <w:pPr>
        <w:ind w:left="720" w:hanging="360"/>
      </w:pPr>
      <w:rPr>
        <w:rFonts w:ascii="Calibri Light" w:eastAsia="Times New Roman"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F87090D"/>
    <w:multiLevelType w:val="hybridMultilevel"/>
    <w:tmpl w:val="B5C256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DF7E0A"/>
    <w:multiLevelType w:val="hybridMultilevel"/>
    <w:tmpl w:val="AFAE5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F6722B"/>
    <w:multiLevelType w:val="hybridMultilevel"/>
    <w:tmpl w:val="F260D8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1F228C6"/>
    <w:multiLevelType w:val="hybridMultilevel"/>
    <w:tmpl w:val="CFC40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C1181"/>
    <w:multiLevelType w:val="hybridMultilevel"/>
    <w:tmpl w:val="7CD43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48083D"/>
    <w:multiLevelType w:val="hybridMultilevel"/>
    <w:tmpl w:val="46B0349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5D3C1EA7"/>
    <w:multiLevelType w:val="multilevel"/>
    <w:tmpl w:val="43428892"/>
    <w:numStyleLink w:val="BulletsList"/>
  </w:abstractNum>
  <w:abstractNum w:abstractNumId="3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15:restartNumberingAfterBreak="0">
    <w:nsid w:val="61B827E7"/>
    <w:multiLevelType w:val="hybridMultilevel"/>
    <w:tmpl w:val="7FE016B8"/>
    <w:lvl w:ilvl="0" w:tplc="BD82C378">
      <w:start w:val="1"/>
      <w:numFmt w:val="bullet"/>
      <w:lvlText w:val="-"/>
      <w:lvlJc w:val="left"/>
      <w:pPr>
        <w:ind w:left="720" w:hanging="360"/>
      </w:pPr>
      <w:rPr>
        <w:rFonts w:ascii="Calibri Light" w:eastAsia="Times New Roman"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EC0E72"/>
    <w:multiLevelType w:val="hybridMultilevel"/>
    <w:tmpl w:val="6B2CE5E2"/>
    <w:lvl w:ilvl="0" w:tplc="B8E6E900">
      <w:start w:val="6"/>
      <w:numFmt w:val="bullet"/>
      <w:lvlText w:val=""/>
      <w:lvlJc w:val="left"/>
      <w:pPr>
        <w:ind w:left="720" w:hanging="360"/>
      </w:pPr>
      <w:rPr>
        <w:rFonts w:ascii="Symbol" w:eastAsiaTheme="minorHAnsi" w:hAnsi="Symbol" w:cstheme="minorBidi"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2F3984"/>
    <w:multiLevelType w:val="hybridMultilevel"/>
    <w:tmpl w:val="6A6E7730"/>
    <w:lvl w:ilvl="0" w:tplc="BD867438">
      <w:start w:val="10"/>
      <w:numFmt w:val="bullet"/>
      <w:lvlText w:val="-"/>
      <w:lvlJc w:val="left"/>
      <w:pPr>
        <w:ind w:left="1440" w:hanging="360"/>
      </w:pPr>
      <w:rPr>
        <w:rFonts w:ascii="Calibri Light" w:eastAsia="Times New Roman" w:hAnsi="Calibri Light"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0"/>
  </w:num>
  <w:num w:numId="10">
    <w:abstractNumId w:val="3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1"/>
  </w:num>
  <w:num w:numId="22">
    <w:abstractNumId w:val="19"/>
  </w:num>
  <w:num w:numId="23">
    <w:abstractNumId w:val="19"/>
  </w:num>
  <w:num w:numId="24">
    <w:abstractNumId w:val="31"/>
  </w:num>
  <w:num w:numId="25">
    <w:abstractNumId w:val="31"/>
  </w:num>
  <w:num w:numId="26">
    <w:abstractNumId w:val="31"/>
  </w:num>
  <w:num w:numId="27">
    <w:abstractNumId w:val="30"/>
  </w:num>
  <w:num w:numId="28">
    <w:abstractNumId w:val="13"/>
  </w:num>
  <w:num w:numId="29">
    <w:abstractNumId w:val="13"/>
  </w:num>
  <w:num w:numId="30">
    <w:abstractNumId w:val="13"/>
  </w:num>
  <w:num w:numId="31">
    <w:abstractNumId w:val="21"/>
  </w:num>
  <w:num w:numId="32">
    <w:abstractNumId w:val="28"/>
  </w:num>
  <w:num w:numId="33">
    <w:abstractNumId w:val="37"/>
  </w:num>
  <w:num w:numId="34">
    <w:abstractNumId w:val="26"/>
  </w:num>
  <w:num w:numId="35">
    <w:abstractNumId w:val="17"/>
  </w:num>
  <w:num w:numId="36">
    <w:abstractNumId w:val="23"/>
  </w:num>
  <w:num w:numId="37">
    <w:abstractNumId w:val="33"/>
  </w:num>
  <w:num w:numId="38">
    <w:abstractNumId w:val="25"/>
  </w:num>
  <w:num w:numId="39">
    <w:abstractNumId w:val="29"/>
  </w:num>
  <w:num w:numId="40">
    <w:abstractNumId w:val="14"/>
  </w:num>
  <w:num w:numId="41">
    <w:abstractNumId w:val="20"/>
  </w:num>
  <w:num w:numId="42">
    <w:abstractNumId w:val="25"/>
  </w:num>
  <w:num w:numId="43">
    <w:abstractNumId w:val="29"/>
  </w:num>
  <w:num w:numId="44">
    <w:abstractNumId w:val="24"/>
  </w:num>
  <w:num w:numId="45">
    <w:abstractNumId w:val="34"/>
  </w:num>
  <w:num w:numId="46">
    <w:abstractNumId w:val="27"/>
  </w:num>
  <w:num w:numId="47">
    <w:abstractNumId w:val="18"/>
  </w:num>
  <w:num w:numId="48">
    <w:abstractNumId w:val="10"/>
  </w:num>
  <w:num w:numId="49">
    <w:abstractNumId w:val="35"/>
  </w:num>
  <w:num w:numId="50">
    <w:abstractNumId w:val="22"/>
  </w:num>
  <w:num w:numId="51">
    <w:abstractNumId w:val="12"/>
  </w:num>
  <w:num w:numId="52">
    <w:abstractNumId w:val="22"/>
  </w:num>
  <w:num w:numId="53">
    <w:abstractNumId w:val="12"/>
  </w:num>
  <w:num w:numId="54">
    <w:abstractNumId w:val="16"/>
  </w:num>
  <w:num w:numId="55">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3EFD"/>
    <w:rsid w:val="00004836"/>
    <w:rsid w:val="000070BB"/>
    <w:rsid w:val="00015316"/>
    <w:rsid w:val="0001567E"/>
    <w:rsid w:val="00017ED1"/>
    <w:rsid w:val="0002080A"/>
    <w:rsid w:val="00024508"/>
    <w:rsid w:val="0002782F"/>
    <w:rsid w:val="000305D5"/>
    <w:rsid w:val="00031512"/>
    <w:rsid w:val="00050E8F"/>
    <w:rsid w:val="00054E4D"/>
    <w:rsid w:val="000557A4"/>
    <w:rsid w:val="00056504"/>
    <w:rsid w:val="00057C66"/>
    <w:rsid w:val="00060073"/>
    <w:rsid w:val="00060268"/>
    <w:rsid w:val="000676F4"/>
    <w:rsid w:val="0007297B"/>
    <w:rsid w:val="0007613A"/>
    <w:rsid w:val="00076806"/>
    <w:rsid w:val="00081BA7"/>
    <w:rsid w:val="00084483"/>
    <w:rsid w:val="0008642B"/>
    <w:rsid w:val="00092A34"/>
    <w:rsid w:val="0009389C"/>
    <w:rsid w:val="000941A9"/>
    <w:rsid w:val="00094623"/>
    <w:rsid w:val="00094964"/>
    <w:rsid w:val="00095E38"/>
    <w:rsid w:val="000A6E46"/>
    <w:rsid w:val="000B382A"/>
    <w:rsid w:val="000C0AFF"/>
    <w:rsid w:val="000C411C"/>
    <w:rsid w:val="000C6590"/>
    <w:rsid w:val="000C6B39"/>
    <w:rsid w:val="000D66D6"/>
    <w:rsid w:val="000E1E2C"/>
    <w:rsid w:val="000E314A"/>
    <w:rsid w:val="000F634B"/>
    <w:rsid w:val="001042E0"/>
    <w:rsid w:val="001044CC"/>
    <w:rsid w:val="00117DB7"/>
    <w:rsid w:val="00120AC8"/>
    <w:rsid w:val="0012483C"/>
    <w:rsid w:val="001262EC"/>
    <w:rsid w:val="0014068F"/>
    <w:rsid w:val="00141AA1"/>
    <w:rsid w:val="001466C2"/>
    <w:rsid w:val="00152E41"/>
    <w:rsid w:val="001541EA"/>
    <w:rsid w:val="0015425D"/>
    <w:rsid w:val="00162DE2"/>
    <w:rsid w:val="0016376A"/>
    <w:rsid w:val="00163D07"/>
    <w:rsid w:val="00165B31"/>
    <w:rsid w:val="00165C71"/>
    <w:rsid w:val="001665AD"/>
    <w:rsid w:val="00166DDA"/>
    <w:rsid w:val="00172892"/>
    <w:rsid w:val="001827E8"/>
    <w:rsid w:val="00184F1E"/>
    <w:rsid w:val="00185788"/>
    <w:rsid w:val="0018730C"/>
    <w:rsid w:val="001A253D"/>
    <w:rsid w:val="001A5704"/>
    <w:rsid w:val="001B122D"/>
    <w:rsid w:val="001C0FF7"/>
    <w:rsid w:val="001C70C5"/>
    <w:rsid w:val="001D36F5"/>
    <w:rsid w:val="001D3E09"/>
    <w:rsid w:val="001D663E"/>
    <w:rsid w:val="001D69F7"/>
    <w:rsid w:val="001D7089"/>
    <w:rsid w:val="001E1DC0"/>
    <w:rsid w:val="001E24F5"/>
    <w:rsid w:val="001F0398"/>
    <w:rsid w:val="001F6EEA"/>
    <w:rsid w:val="0021150C"/>
    <w:rsid w:val="002117ED"/>
    <w:rsid w:val="00211A82"/>
    <w:rsid w:val="00215476"/>
    <w:rsid w:val="002247C6"/>
    <w:rsid w:val="002332DD"/>
    <w:rsid w:val="00234AB0"/>
    <w:rsid w:val="00236A53"/>
    <w:rsid w:val="002427F6"/>
    <w:rsid w:val="00252596"/>
    <w:rsid w:val="00256189"/>
    <w:rsid w:val="00260022"/>
    <w:rsid w:val="00260086"/>
    <w:rsid w:val="00262184"/>
    <w:rsid w:val="002754AA"/>
    <w:rsid w:val="00275DB7"/>
    <w:rsid w:val="00284957"/>
    <w:rsid w:val="0028602A"/>
    <w:rsid w:val="002871B0"/>
    <w:rsid w:val="00294830"/>
    <w:rsid w:val="00294A9E"/>
    <w:rsid w:val="002969E5"/>
    <w:rsid w:val="002A0617"/>
    <w:rsid w:val="002A0783"/>
    <w:rsid w:val="002A4A0E"/>
    <w:rsid w:val="002A4E5D"/>
    <w:rsid w:val="002A51CA"/>
    <w:rsid w:val="002A62C8"/>
    <w:rsid w:val="002A6AD6"/>
    <w:rsid w:val="002B2525"/>
    <w:rsid w:val="002B3E95"/>
    <w:rsid w:val="002B5E10"/>
    <w:rsid w:val="002C5A24"/>
    <w:rsid w:val="002C645B"/>
    <w:rsid w:val="002C71A7"/>
    <w:rsid w:val="002C7A1D"/>
    <w:rsid w:val="002D03EC"/>
    <w:rsid w:val="002D3DFC"/>
    <w:rsid w:val="002E0FDB"/>
    <w:rsid w:val="002E558A"/>
    <w:rsid w:val="002E5D83"/>
    <w:rsid w:val="002F11A0"/>
    <w:rsid w:val="003002C0"/>
    <w:rsid w:val="00300FDC"/>
    <w:rsid w:val="00301144"/>
    <w:rsid w:val="00310CB5"/>
    <w:rsid w:val="00314195"/>
    <w:rsid w:val="003148B7"/>
    <w:rsid w:val="003158C3"/>
    <w:rsid w:val="00316724"/>
    <w:rsid w:val="00316921"/>
    <w:rsid w:val="003204D3"/>
    <w:rsid w:val="003240E5"/>
    <w:rsid w:val="0032566E"/>
    <w:rsid w:val="00326365"/>
    <w:rsid w:val="003274CD"/>
    <w:rsid w:val="003278C1"/>
    <w:rsid w:val="003326EB"/>
    <w:rsid w:val="00333501"/>
    <w:rsid w:val="00333A69"/>
    <w:rsid w:val="0033577D"/>
    <w:rsid w:val="00344918"/>
    <w:rsid w:val="003457C4"/>
    <w:rsid w:val="00350CC9"/>
    <w:rsid w:val="0035119D"/>
    <w:rsid w:val="00353365"/>
    <w:rsid w:val="00353AF3"/>
    <w:rsid w:val="00355299"/>
    <w:rsid w:val="0035562E"/>
    <w:rsid w:val="003577BA"/>
    <w:rsid w:val="0036148B"/>
    <w:rsid w:val="00362F65"/>
    <w:rsid w:val="00364FAB"/>
    <w:rsid w:val="00375E2D"/>
    <w:rsid w:val="00380104"/>
    <w:rsid w:val="00382485"/>
    <w:rsid w:val="00386748"/>
    <w:rsid w:val="003868CD"/>
    <w:rsid w:val="00394253"/>
    <w:rsid w:val="003A3652"/>
    <w:rsid w:val="003A53B2"/>
    <w:rsid w:val="003B4F12"/>
    <w:rsid w:val="003B563F"/>
    <w:rsid w:val="003C14B0"/>
    <w:rsid w:val="003C525E"/>
    <w:rsid w:val="003C5509"/>
    <w:rsid w:val="003D0C05"/>
    <w:rsid w:val="003D352D"/>
    <w:rsid w:val="003D6221"/>
    <w:rsid w:val="003D7A2A"/>
    <w:rsid w:val="003E091B"/>
    <w:rsid w:val="003E305C"/>
    <w:rsid w:val="003F1811"/>
    <w:rsid w:val="003F2685"/>
    <w:rsid w:val="003F5C02"/>
    <w:rsid w:val="00400B0F"/>
    <w:rsid w:val="00402ACC"/>
    <w:rsid w:val="004120EC"/>
    <w:rsid w:val="00415891"/>
    <w:rsid w:val="0041747D"/>
    <w:rsid w:val="00417900"/>
    <w:rsid w:val="00423F31"/>
    <w:rsid w:val="00424A38"/>
    <w:rsid w:val="00426C14"/>
    <w:rsid w:val="00431899"/>
    <w:rsid w:val="00435E08"/>
    <w:rsid w:val="004366C7"/>
    <w:rsid w:val="00437A86"/>
    <w:rsid w:val="00440A8B"/>
    <w:rsid w:val="004425F8"/>
    <w:rsid w:val="004433F5"/>
    <w:rsid w:val="00443BE0"/>
    <w:rsid w:val="00444DEE"/>
    <w:rsid w:val="00446C87"/>
    <w:rsid w:val="004515CE"/>
    <w:rsid w:val="004567F0"/>
    <w:rsid w:val="00464103"/>
    <w:rsid w:val="00467A8F"/>
    <w:rsid w:val="004712C8"/>
    <w:rsid w:val="0047704B"/>
    <w:rsid w:val="00480422"/>
    <w:rsid w:val="00480CF2"/>
    <w:rsid w:val="004839E3"/>
    <w:rsid w:val="00483BFF"/>
    <w:rsid w:val="00486804"/>
    <w:rsid w:val="00494924"/>
    <w:rsid w:val="004977A1"/>
    <w:rsid w:val="004A08B7"/>
    <w:rsid w:val="004A6227"/>
    <w:rsid w:val="004A643F"/>
    <w:rsid w:val="004B3775"/>
    <w:rsid w:val="004C0605"/>
    <w:rsid w:val="004C56C5"/>
    <w:rsid w:val="004C79D5"/>
    <w:rsid w:val="004D0BA0"/>
    <w:rsid w:val="004D785A"/>
    <w:rsid w:val="004E0264"/>
    <w:rsid w:val="004E058F"/>
    <w:rsid w:val="004E07C2"/>
    <w:rsid w:val="004E3B87"/>
    <w:rsid w:val="004E7B48"/>
    <w:rsid w:val="004F2E4C"/>
    <w:rsid w:val="004F3248"/>
    <w:rsid w:val="004F6C6F"/>
    <w:rsid w:val="0050158B"/>
    <w:rsid w:val="005049DF"/>
    <w:rsid w:val="00510921"/>
    <w:rsid w:val="00510AD3"/>
    <w:rsid w:val="0051165A"/>
    <w:rsid w:val="00513348"/>
    <w:rsid w:val="005144FB"/>
    <w:rsid w:val="00517BA9"/>
    <w:rsid w:val="00520E28"/>
    <w:rsid w:val="00527EB2"/>
    <w:rsid w:val="00530993"/>
    <w:rsid w:val="00533889"/>
    <w:rsid w:val="00533B5D"/>
    <w:rsid w:val="005342F9"/>
    <w:rsid w:val="0054738D"/>
    <w:rsid w:val="005511BF"/>
    <w:rsid w:val="005600C9"/>
    <w:rsid w:val="00564DEC"/>
    <w:rsid w:val="005676AC"/>
    <w:rsid w:val="00570680"/>
    <w:rsid w:val="0057678A"/>
    <w:rsid w:val="00580620"/>
    <w:rsid w:val="00581E4B"/>
    <w:rsid w:val="00581EFB"/>
    <w:rsid w:val="00582BCA"/>
    <w:rsid w:val="00583057"/>
    <w:rsid w:val="0059146A"/>
    <w:rsid w:val="00592598"/>
    <w:rsid w:val="005934D4"/>
    <w:rsid w:val="005A174F"/>
    <w:rsid w:val="005A2D69"/>
    <w:rsid w:val="005A45C2"/>
    <w:rsid w:val="005B1433"/>
    <w:rsid w:val="005B15F7"/>
    <w:rsid w:val="005B5769"/>
    <w:rsid w:val="005B6CF8"/>
    <w:rsid w:val="005C3763"/>
    <w:rsid w:val="005C3881"/>
    <w:rsid w:val="005C67C6"/>
    <w:rsid w:val="005C78DB"/>
    <w:rsid w:val="005D2BC1"/>
    <w:rsid w:val="005D3655"/>
    <w:rsid w:val="005D42D6"/>
    <w:rsid w:val="005D5F7D"/>
    <w:rsid w:val="005D65D9"/>
    <w:rsid w:val="005E0230"/>
    <w:rsid w:val="005E0307"/>
    <w:rsid w:val="005E59D5"/>
    <w:rsid w:val="005E606B"/>
    <w:rsid w:val="005F351B"/>
    <w:rsid w:val="00604E37"/>
    <w:rsid w:val="00612B3B"/>
    <w:rsid w:val="0061429E"/>
    <w:rsid w:val="0061538F"/>
    <w:rsid w:val="00623BA1"/>
    <w:rsid w:val="0062516F"/>
    <w:rsid w:val="006346BC"/>
    <w:rsid w:val="00634B48"/>
    <w:rsid w:val="00635D28"/>
    <w:rsid w:val="00651E15"/>
    <w:rsid w:val="006530D0"/>
    <w:rsid w:val="0066467F"/>
    <w:rsid w:val="00665223"/>
    <w:rsid w:val="0066652A"/>
    <w:rsid w:val="00676E6A"/>
    <w:rsid w:val="006801E2"/>
    <w:rsid w:val="00680522"/>
    <w:rsid w:val="00681F08"/>
    <w:rsid w:val="00682167"/>
    <w:rsid w:val="006821E5"/>
    <w:rsid w:val="00695242"/>
    <w:rsid w:val="00695730"/>
    <w:rsid w:val="006A55C8"/>
    <w:rsid w:val="006A55D6"/>
    <w:rsid w:val="006A6A55"/>
    <w:rsid w:val="006B092A"/>
    <w:rsid w:val="006B108A"/>
    <w:rsid w:val="006B1C1F"/>
    <w:rsid w:val="006B4369"/>
    <w:rsid w:val="006B4FAC"/>
    <w:rsid w:val="006C42AF"/>
    <w:rsid w:val="006C7D16"/>
    <w:rsid w:val="006E0778"/>
    <w:rsid w:val="006E53DA"/>
    <w:rsid w:val="006F0F74"/>
    <w:rsid w:val="006F27B1"/>
    <w:rsid w:val="006F5561"/>
    <w:rsid w:val="006F7ECC"/>
    <w:rsid w:val="007024B3"/>
    <w:rsid w:val="00711D8E"/>
    <w:rsid w:val="00712672"/>
    <w:rsid w:val="007148B5"/>
    <w:rsid w:val="0071519A"/>
    <w:rsid w:val="00724EFA"/>
    <w:rsid w:val="00727505"/>
    <w:rsid w:val="00734E3F"/>
    <w:rsid w:val="00735065"/>
    <w:rsid w:val="00736985"/>
    <w:rsid w:val="00737CB9"/>
    <w:rsid w:val="00744A85"/>
    <w:rsid w:val="00745DF5"/>
    <w:rsid w:val="007546EE"/>
    <w:rsid w:val="00754F04"/>
    <w:rsid w:val="0076250F"/>
    <w:rsid w:val="00762926"/>
    <w:rsid w:val="00762C2F"/>
    <w:rsid w:val="00763F72"/>
    <w:rsid w:val="00771B53"/>
    <w:rsid w:val="00775C02"/>
    <w:rsid w:val="00777658"/>
    <w:rsid w:val="00781195"/>
    <w:rsid w:val="00784031"/>
    <w:rsid w:val="00795A42"/>
    <w:rsid w:val="007A6119"/>
    <w:rsid w:val="007A61AD"/>
    <w:rsid w:val="007A7527"/>
    <w:rsid w:val="007B0DF9"/>
    <w:rsid w:val="007B4CDF"/>
    <w:rsid w:val="007B6200"/>
    <w:rsid w:val="007B65C2"/>
    <w:rsid w:val="007B6AFA"/>
    <w:rsid w:val="007B7F29"/>
    <w:rsid w:val="007C44A1"/>
    <w:rsid w:val="007C65FB"/>
    <w:rsid w:val="007C6CEB"/>
    <w:rsid w:val="007C7747"/>
    <w:rsid w:val="007D4DC1"/>
    <w:rsid w:val="007D7276"/>
    <w:rsid w:val="007E6026"/>
    <w:rsid w:val="007F3395"/>
    <w:rsid w:val="0080089A"/>
    <w:rsid w:val="00801B9F"/>
    <w:rsid w:val="008057FD"/>
    <w:rsid w:val="00812509"/>
    <w:rsid w:val="0081369A"/>
    <w:rsid w:val="0081492D"/>
    <w:rsid w:val="008230BC"/>
    <w:rsid w:val="008249DC"/>
    <w:rsid w:val="00825B4D"/>
    <w:rsid w:val="00826989"/>
    <w:rsid w:val="00831FA2"/>
    <w:rsid w:val="008330A0"/>
    <w:rsid w:val="00837562"/>
    <w:rsid w:val="00840A43"/>
    <w:rsid w:val="00844774"/>
    <w:rsid w:val="008472F8"/>
    <w:rsid w:val="008475F0"/>
    <w:rsid w:val="00847C88"/>
    <w:rsid w:val="0085048C"/>
    <w:rsid w:val="00856BEF"/>
    <w:rsid w:val="008609C3"/>
    <w:rsid w:val="008612AD"/>
    <w:rsid w:val="008614B5"/>
    <w:rsid w:val="00862BB7"/>
    <w:rsid w:val="0086415F"/>
    <w:rsid w:val="00864210"/>
    <w:rsid w:val="0086798A"/>
    <w:rsid w:val="0088065B"/>
    <w:rsid w:val="00885950"/>
    <w:rsid w:val="00887D0E"/>
    <w:rsid w:val="0089494D"/>
    <w:rsid w:val="008A0FFC"/>
    <w:rsid w:val="008A2825"/>
    <w:rsid w:val="008A59BD"/>
    <w:rsid w:val="008A5AFE"/>
    <w:rsid w:val="008B3272"/>
    <w:rsid w:val="008B3838"/>
    <w:rsid w:val="008B539C"/>
    <w:rsid w:val="008B68D7"/>
    <w:rsid w:val="008B7938"/>
    <w:rsid w:val="008C2F58"/>
    <w:rsid w:val="008C5A0E"/>
    <w:rsid w:val="008C61C6"/>
    <w:rsid w:val="008D413F"/>
    <w:rsid w:val="008D4779"/>
    <w:rsid w:val="008D7146"/>
    <w:rsid w:val="008E3AC7"/>
    <w:rsid w:val="008E3B22"/>
    <w:rsid w:val="008E70E5"/>
    <w:rsid w:val="008E73F0"/>
    <w:rsid w:val="008F56A8"/>
    <w:rsid w:val="0090614E"/>
    <w:rsid w:val="00907039"/>
    <w:rsid w:val="009154CA"/>
    <w:rsid w:val="00916FB1"/>
    <w:rsid w:val="00921A79"/>
    <w:rsid w:val="00923AA5"/>
    <w:rsid w:val="009242E8"/>
    <w:rsid w:val="00932DF5"/>
    <w:rsid w:val="009371B5"/>
    <w:rsid w:val="009404EA"/>
    <w:rsid w:val="0094283C"/>
    <w:rsid w:val="0094474E"/>
    <w:rsid w:val="00947220"/>
    <w:rsid w:val="00950EF5"/>
    <w:rsid w:val="0095277A"/>
    <w:rsid w:val="00953815"/>
    <w:rsid w:val="00955789"/>
    <w:rsid w:val="00955C8A"/>
    <w:rsid w:val="009560B7"/>
    <w:rsid w:val="0095649F"/>
    <w:rsid w:val="009572D3"/>
    <w:rsid w:val="00957578"/>
    <w:rsid w:val="009600B1"/>
    <w:rsid w:val="00963DAA"/>
    <w:rsid w:val="00973690"/>
    <w:rsid w:val="00973715"/>
    <w:rsid w:val="00980564"/>
    <w:rsid w:val="009821BC"/>
    <w:rsid w:val="00983273"/>
    <w:rsid w:val="009903F3"/>
    <w:rsid w:val="00990A79"/>
    <w:rsid w:val="00992C76"/>
    <w:rsid w:val="009A43E3"/>
    <w:rsid w:val="009A4F4C"/>
    <w:rsid w:val="009A558D"/>
    <w:rsid w:val="009B21D4"/>
    <w:rsid w:val="009B427E"/>
    <w:rsid w:val="009B45C8"/>
    <w:rsid w:val="009B4D3B"/>
    <w:rsid w:val="009B5BAC"/>
    <w:rsid w:val="009B7F2A"/>
    <w:rsid w:val="009C0DEE"/>
    <w:rsid w:val="009C44A5"/>
    <w:rsid w:val="009D044D"/>
    <w:rsid w:val="009D04FF"/>
    <w:rsid w:val="009D4240"/>
    <w:rsid w:val="009D7407"/>
    <w:rsid w:val="009E0866"/>
    <w:rsid w:val="009E20A4"/>
    <w:rsid w:val="009E5928"/>
    <w:rsid w:val="009E7933"/>
    <w:rsid w:val="009F5488"/>
    <w:rsid w:val="009F6423"/>
    <w:rsid w:val="00A00F4D"/>
    <w:rsid w:val="00A02592"/>
    <w:rsid w:val="00A05723"/>
    <w:rsid w:val="00A06642"/>
    <w:rsid w:val="00A15087"/>
    <w:rsid w:val="00A17D94"/>
    <w:rsid w:val="00A2003C"/>
    <w:rsid w:val="00A24A62"/>
    <w:rsid w:val="00A26F01"/>
    <w:rsid w:val="00A27183"/>
    <w:rsid w:val="00A31C9F"/>
    <w:rsid w:val="00A35914"/>
    <w:rsid w:val="00A36596"/>
    <w:rsid w:val="00A3785E"/>
    <w:rsid w:val="00A4144F"/>
    <w:rsid w:val="00A43D45"/>
    <w:rsid w:val="00A448C5"/>
    <w:rsid w:val="00A44F60"/>
    <w:rsid w:val="00A46A01"/>
    <w:rsid w:val="00A4798C"/>
    <w:rsid w:val="00A5359E"/>
    <w:rsid w:val="00A55773"/>
    <w:rsid w:val="00A56F14"/>
    <w:rsid w:val="00A62EE6"/>
    <w:rsid w:val="00A64F8D"/>
    <w:rsid w:val="00A73ECA"/>
    <w:rsid w:val="00A774D4"/>
    <w:rsid w:val="00A805D6"/>
    <w:rsid w:val="00A80F95"/>
    <w:rsid w:val="00A8197B"/>
    <w:rsid w:val="00A827F5"/>
    <w:rsid w:val="00A84162"/>
    <w:rsid w:val="00A84447"/>
    <w:rsid w:val="00A8548A"/>
    <w:rsid w:val="00A90032"/>
    <w:rsid w:val="00A92CF2"/>
    <w:rsid w:val="00A939D9"/>
    <w:rsid w:val="00A94E8A"/>
    <w:rsid w:val="00AA2AC7"/>
    <w:rsid w:val="00AA7BE3"/>
    <w:rsid w:val="00AB2B5F"/>
    <w:rsid w:val="00AB5E7F"/>
    <w:rsid w:val="00AB5F46"/>
    <w:rsid w:val="00AC1253"/>
    <w:rsid w:val="00AC164A"/>
    <w:rsid w:val="00AC17C2"/>
    <w:rsid w:val="00AC2843"/>
    <w:rsid w:val="00AC3292"/>
    <w:rsid w:val="00AD0EA2"/>
    <w:rsid w:val="00AD3378"/>
    <w:rsid w:val="00AE29F3"/>
    <w:rsid w:val="00AE480D"/>
    <w:rsid w:val="00AE6192"/>
    <w:rsid w:val="00AF0F3F"/>
    <w:rsid w:val="00AF1B85"/>
    <w:rsid w:val="00AF2050"/>
    <w:rsid w:val="00AF50FD"/>
    <w:rsid w:val="00AF6437"/>
    <w:rsid w:val="00AF6B1A"/>
    <w:rsid w:val="00B01D48"/>
    <w:rsid w:val="00B02725"/>
    <w:rsid w:val="00B030DE"/>
    <w:rsid w:val="00B0332A"/>
    <w:rsid w:val="00B03CA8"/>
    <w:rsid w:val="00B11A6F"/>
    <w:rsid w:val="00B12980"/>
    <w:rsid w:val="00B206DF"/>
    <w:rsid w:val="00B25E1A"/>
    <w:rsid w:val="00B331DC"/>
    <w:rsid w:val="00B33872"/>
    <w:rsid w:val="00B35383"/>
    <w:rsid w:val="00B438D3"/>
    <w:rsid w:val="00B47D02"/>
    <w:rsid w:val="00B53064"/>
    <w:rsid w:val="00B53A3A"/>
    <w:rsid w:val="00B55E19"/>
    <w:rsid w:val="00B7100F"/>
    <w:rsid w:val="00B72D46"/>
    <w:rsid w:val="00B754C8"/>
    <w:rsid w:val="00B75E91"/>
    <w:rsid w:val="00B777C9"/>
    <w:rsid w:val="00B840A0"/>
    <w:rsid w:val="00B8475C"/>
    <w:rsid w:val="00B8616D"/>
    <w:rsid w:val="00B907C7"/>
    <w:rsid w:val="00B9423F"/>
    <w:rsid w:val="00BA0BFA"/>
    <w:rsid w:val="00BA4B6D"/>
    <w:rsid w:val="00BA5C97"/>
    <w:rsid w:val="00BB2195"/>
    <w:rsid w:val="00BB26C5"/>
    <w:rsid w:val="00BC3BBE"/>
    <w:rsid w:val="00BC5368"/>
    <w:rsid w:val="00BD006A"/>
    <w:rsid w:val="00BE024E"/>
    <w:rsid w:val="00BE10A6"/>
    <w:rsid w:val="00BE1BEB"/>
    <w:rsid w:val="00BF3260"/>
    <w:rsid w:val="00BF332C"/>
    <w:rsid w:val="00BF46ED"/>
    <w:rsid w:val="00BF4DE6"/>
    <w:rsid w:val="00BF5DD6"/>
    <w:rsid w:val="00BF74A5"/>
    <w:rsid w:val="00BF7CEC"/>
    <w:rsid w:val="00C12981"/>
    <w:rsid w:val="00C15915"/>
    <w:rsid w:val="00C1779E"/>
    <w:rsid w:val="00C2342E"/>
    <w:rsid w:val="00C42CDE"/>
    <w:rsid w:val="00C44210"/>
    <w:rsid w:val="00C46172"/>
    <w:rsid w:val="00C46662"/>
    <w:rsid w:val="00C50900"/>
    <w:rsid w:val="00C50FC2"/>
    <w:rsid w:val="00C5182A"/>
    <w:rsid w:val="00C523F9"/>
    <w:rsid w:val="00C55B71"/>
    <w:rsid w:val="00C63EE9"/>
    <w:rsid w:val="00C65C7E"/>
    <w:rsid w:val="00C6626C"/>
    <w:rsid w:val="00C7139B"/>
    <w:rsid w:val="00C7185E"/>
    <w:rsid w:val="00C72FE7"/>
    <w:rsid w:val="00C7476A"/>
    <w:rsid w:val="00C74793"/>
    <w:rsid w:val="00C7616F"/>
    <w:rsid w:val="00C9795F"/>
    <w:rsid w:val="00CA37B1"/>
    <w:rsid w:val="00CA43D3"/>
    <w:rsid w:val="00CB0155"/>
    <w:rsid w:val="00CB0E68"/>
    <w:rsid w:val="00CB0FD4"/>
    <w:rsid w:val="00CB1959"/>
    <w:rsid w:val="00CB5901"/>
    <w:rsid w:val="00CB76F4"/>
    <w:rsid w:val="00CC4767"/>
    <w:rsid w:val="00CC47D5"/>
    <w:rsid w:val="00CD0E4B"/>
    <w:rsid w:val="00CD1652"/>
    <w:rsid w:val="00CD7EB0"/>
    <w:rsid w:val="00CE0155"/>
    <w:rsid w:val="00CE3102"/>
    <w:rsid w:val="00CF408D"/>
    <w:rsid w:val="00CF5C58"/>
    <w:rsid w:val="00CF670F"/>
    <w:rsid w:val="00D00802"/>
    <w:rsid w:val="00D0296C"/>
    <w:rsid w:val="00D03225"/>
    <w:rsid w:val="00D05C30"/>
    <w:rsid w:val="00D0729B"/>
    <w:rsid w:val="00D146A2"/>
    <w:rsid w:val="00D15A00"/>
    <w:rsid w:val="00D21AA1"/>
    <w:rsid w:val="00D22D11"/>
    <w:rsid w:val="00D2653F"/>
    <w:rsid w:val="00D34AB2"/>
    <w:rsid w:val="00D355C4"/>
    <w:rsid w:val="00D36FA9"/>
    <w:rsid w:val="00D4152E"/>
    <w:rsid w:val="00D45B56"/>
    <w:rsid w:val="00D55FCC"/>
    <w:rsid w:val="00D64BD1"/>
    <w:rsid w:val="00D6670C"/>
    <w:rsid w:val="00D72760"/>
    <w:rsid w:val="00D72AE3"/>
    <w:rsid w:val="00D75A11"/>
    <w:rsid w:val="00D805D1"/>
    <w:rsid w:val="00D96F61"/>
    <w:rsid w:val="00DA1C50"/>
    <w:rsid w:val="00DA67FF"/>
    <w:rsid w:val="00DB010E"/>
    <w:rsid w:val="00DB39EE"/>
    <w:rsid w:val="00DB5BFA"/>
    <w:rsid w:val="00DB6BD6"/>
    <w:rsid w:val="00DC5D38"/>
    <w:rsid w:val="00DD1986"/>
    <w:rsid w:val="00DD3FAF"/>
    <w:rsid w:val="00DE0567"/>
    <w:rsid w:val="00DE084C"/>
    <w:rsid w:val="00DF23E9"/>
    <w:rsid w:val="00E00FE8"/>
    <w:rsid w:val="00E0682F"/>
    <w:rsid w:val="00E071D5"/>
    <w:rsid w:val="00E12EF1"/>
    <w:rsid w:val="00E172F9"/>
    <w:rsid w:val="00E206FD"/>
    <w:rsid w:val="00E23BB9"/>
    <w:rsid w:val="00E32DF7"/>
    <w:rsid w:val="00E357B7"/>
    <w:rsid w:val="00E44886"/>
    <w:rsid w:val="00E455F3"/>
    <w:rsid w:val="00E51233"/>
    <w:rsid w:val="00E5232F"/>
    <w:rsid w:val="00E53800"/>
    <w:rsid w:val="00E57552"/>
    <w:rsid w:val="00E6081F"/>
    <w:rsid w:val="00E64DAC"/>
    <w:rsid w:val="00E65105"/>
    <w:rsid w:val="00E70BEF"/>
    <w:rsid w:val="00E745CF"/>
    <w:rsid w:val="00E75A3E"/>
    <w:rsid w:val="00E75B0A"/>
    <w:rsid w:val="00E75DA3"/>
    <w:rsid w:val="00E8283E"/>
    <w:rsid w:val="00E90773"/>
    <w:rsid w:val="00E910E9"/>
    <w:rsid w:val="00E9158F"/>
    <w:rsid w:val="00E92CF9"/>
    <w:rsid w:val="00E92D03"/>
    <w:rsid w:val="00EA04B2"/>
    <w:rsid w:val="00EA20F3"/>
    <w:rsid w:val="00EA42FD"/>
    <w:rsid w:val="00EA47D1"/>
    <w:rsid w:val="00EB2D20"/>
    <w:rsid w:val="00EB3E19"/>
    <w:rsid w:val="00EC1944"/>
    <w:rsid w:val="00ED1CD6"/>
    <w:rsid w:val="00ED2831"/>
    <w:rsid w:val="00ED43D1"/>
    <w:rsid w:val="00ED6C87"/>
    <w:rsid w:val="00EE4EE1"/>
    <w:rsid w:val="00EE5DAD"/>
    <w:rsid w:val="00EF0036"/>
    <w:rsid w:val="00EF1F07"/>
    <w:rsid w:val="00EF4574"/>
    <w:rsid w:val="00EF4AD9"/>
    <w:rsid w:val="00EF50B5"/>
    <w:rsid w:val="00F033FF"/>
    <w:rsid w:val="00F06182"/>
    <w:rsid w:val="00F136E8"/>
    <w:rsid w:val="00F16EC5"/>
    <w:rsid w:val="00F204FB"/>
    <w:rsid w:val="00F22746"/>
    <w:rsid w:val="00F26738"/>
    <w:rsid w:val="00F2684E"/>
    <w:rsid w:val="00F31229"/>
    <w:rsid w:val="00F32865"/>
    <w:rsid w:val="00F374F1"/>
    <w:rsid w:val="00F4140A"/>
    <w:rsid w:val="00F4358E"/>
    <w:rsid w:val="00F4375E"/>
    <w:rsid w:val="00F44197"/>
    <w:rsid w:val="00F5404C"/>
    <w:rsid w:val="00F562A9"/>
    <w:rsid w:val="00F600FA"/>
    <w:rsid w:val="00F61347"/>
    <w:rsid w:val="00F616E9"/>
    <w:rsid w:val="00F6306C"/>
    <w:rsid w:val="00F6608A"/>
    <w:rsid w:val="00F67D32"/>
    <w:rsid w:val="00F729EF"/>
    <w:rsid w:val="00F7443B"/>
    <w:rsid w:val="00F74C97"/>
    <w:rsid w:val="00F77CAE"/>
    <w:rsid w:val="00F82271"/>
    <w:rsid w:val="00F83428"/>
    <w:rsid w:val="00F85792"/>
    <w:rsid w:val="00F91F11"/>
    <w:rsid w:val="00F96BB9"/>
    <w:rsid w:val="00FA6ADF"/>
    <w:rsid w:val="00FB0946"/>
    <w:rsid w:val="00FB29CA"/>
    <w:rsid w:val="00FB2AB6"/>
    <w:rsid w:val="00FB38E4"/>
    <w:rsid w:val="00FB4F75"/>
    <w:rsid w:val="00FC5FC4"/>
    <w:rsid w:val="00FC71D0"/>
    <w:rsid w:val="00FC729F"/>
    <w:rsid w:val="00FD0378"/>
    <w:rsid w:val="00FD66B6"/>
    <w:rsid w:val="00FE50BC"/>
    <w:rsid w:val="00FE6D51"/>
    <w:rsid w:val="00FE74A8"/>
    <w:rsid w:val="00FE7537"/>
    <w:rsid w:val="00FF09F3"/>
    <w:rsid w:val="00FF0C20"/>
    <w:rsid w:val="00FF6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D5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uiPriority w:val="99"/>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ETS,Footnote Text Char Char Char Char Char,Footnote Text Char Char Char Char Char Char Ch,Footnote Text Char Char Char Char Char Char Ch Char,Car Car Car Car,Car Car Car,Car,Car Car,single space,footnote text,fn,fn Char Char Char,Car Ca,f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aliases w:val="ETS Char,Footnote Text Char Char Char Char Char Char,Footnote Text Char Char Char Char Char Char Ch Char1,Footnote Text Char Char Char Char Char Char Ch Char Char,Car Car Car Car Char,Car Car Car Char,Car Char,Car Car Char,fn Char"/>
    <w:basedOn w:val="DefaultParagraphFont"/>
    <w:link w:val="FootnoteText"/>
    <w:rsid w:val="008C5A0E"/>
    <w:rPr>
      <w:color w:val="495965" w:themeColor="text2"/>
      <w:sz w:val="12"/>
      <w:szCs w:val="20"/>
    </w:rPr>
  </w:style>
  <w:style w:type="character" w:styleId="FootnoteReference">
    <w:name w:val="footnote reference"/>
    <w:aliases w:val="Footnote symbol,BVI fnr Char Char Char Char Char Char Char Char Char Char Char Char1,BVI fnr Car Car Char Char Char Char Char Char Char Char Char Char Char Char Char Char1,16 Point,Superscript 6 Point,ftref,FOOTNOTE,stylish,Ref"/>
    <w:basedOn w:val="DefaultParagraphFont"/>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Normal 2,Main numbered paragraph"/>
    <w:basedOn w:val="Normal"/>
    <w:link w:val="ListParagraphChar"/>
    <w:uiPriority w:val="34"/>
    <w:qFormat/>
    <w:rsid w:val="00E5232F"/>
    <w:pPr>
      <w:ind w:left="720"/>
      <w:contextualSpacing/>
    </w:pPr>
  </w:style>
  <w:style w:type="character" w:styleId="CommentReference">
    <w:name w:val="annotation reference"/>
    <w:basedOn w:val="DefaultParagraphFont"/>
    <w:uiPriority w:val="99"/>
    <w:semiHidden/>
    <w:unhideWhenUsed/>
    <w:rsid w:val="00BF7CEC"/>
    <w:rPr>
      <w:sz w:val="16"/>
      <w:szCs w:val="16"/>
    </w:rPr>
  </w:style>
  <w:style w:type="paragraph" w:styleId="CommentText">
    <w:name w:val="annotation text"/>
    <w:basedOn w:val="Normal"/>
    <w:link w:val="CommentTextChar"/>
    <w:uiPriority w:val="99"/>
    <w:semiHidden/>
    <w:unhideWhenUsed/>
    <w:rsid w:val="00BF7CEC"/>
    <w:pPr>
      <w:spacing w:line="240" w:lineRule="auto"/>
    </w:pPr>
    <w:rPr>
      <w:sz w:val="20"/>
      <w:szCs w:val="20"/>
    </w:rPr>
  </w:style>
  <w:style w:type="character" w:customStyle="1" w:styleId="CommentTextChar">
    <w:name w:val="Comment Text Char"/>
    <w:basedOn w:val="DefaultParagraphFont"/>
    <w:link w:val="CommentText"/>
    <w:uiPriority w:val="99"/>
    <w:semiHidden/>
    <w:rsid w:val="00BF7CEC"/>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BF7CEC"/>
    <w:rPr>
      <w:b/>
      <w:bCs/>
    </w:rPr>
  </w:style>
  <w:style w:type="character" w:customStyle="1" w:styleId="CommentSubjectChar">
    <w:name w:val="Comment Subject Char"/>
    <w:basedOn w:val="CommentTextChar"/>
    <w:link w:val="CommentSubject"/>
    <w:uiPriority w:val="99"/>
    <w:semiHidden/>
    <w:rsid w:val="00BF7CEC"/>
    <w:rPr>
      <w:b/>
      <w:bCs/>
      <w:color w:val="495965" w:themeColor="text2"/>
      <w:sz w:val="20"/>
      <w:szCs w:val="20"/>
      <w:lang w:val="en-GB"/>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CD7EB0"/>
    <w:rPr>
      <w:color w:val="495965" w:themeColor="text2"/>
      <w:lang w:val="en-GB"/>
    </w:rPr>
  </w:style>
  <w:style w:type="paragraph" w:customStyle="1" w:styleId="Default">
    <w:name w:val="Default"/>
    <w:rsid w:val="00163D07"/>
    <w:pPr>
      <w:autoSpaceDE w:val="0"/>
      <w:autoSpaceDN w:val="0"/>
      <w:adjustRightInd w:val="0"/>
      <w:spacing w:after="0" w:line="240" w:lineRule="auto"/>
    </w:pPr>
    <w:rPr>
      <w:rFonts w:ascii="Calibri Light" w:hAnsi="Calibri Light" w:cs="Calibri Light"/>
      <w:color w:val="000000"/>
      <w:sz w:val="24"/>
      <w:szCs w:val="24"/>
    </w:rPr>
  </w:style>
  <w:style w:type="paragraph" w:styleId="EndnoteText">
    <w:name w:val="endnote text"/>
    <w:basedOn w:val="Normal"/>
    <w:link w:val="EndnoteTextChar"/>
    <w:uiPriority w:val="99"/>
    <w:semiHidden/>
    <w:unhideWhenUsed/>
    <w:rsid w:val="0009496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94964"/>
    <w:rPr>
      <w:color w:val="495965" w:themeColor="text2"/>
      <w:sz w:val="20"/>
      <w:szCs w:val="20"/>
      <w:lang w:val="en-GB"/>
    </w:rPr>
  </w:style>
  <w:style w:type="character" w:styleId="EndnoteReference">
    <w:name w:val="endnote reference"/>
    <w:basedOn w:val="DefaultParagraphFont"/>
    <w:uiPriority w:val="99"/>
    <w:semiHidden/>
    <w:unhideWhenUsed/>
    <w:rsid w:val="00094964"/>
    <w:rPr>
      <w:vertAlign w:val="superscript"/>
    </w:rPr>
  </w:style>
  <w:style w:type="paragraph" w:customStyle="1" w:styleId="Paras">
    <w:name w:val="Paras"/>
    <w:basedOn w:val="Normal"/>
    <w:link w:val="ParasChar"/>
    <w:rsid w:val="00E23BB9"/>
    <w:pPr>
      <w:numPr>
        <w:numId w:val="48"/>
      </w:numPr>
      <w:suppressAutoHyphens w:val="0"/>
      <w:spacing w:before="0" w:after="200" w:line="240" w:lineRule="auto"/>
      <w:jc w:val="both"/>
    </w:pPr>
    <w:rPr>
      <w:rFonts w:ascii="Arial" w:eastAsia="Times New Roman" w:hAnsi="Arial" w:cs="Arial"/>
      <w:color w:val="auto"/>
      <w:sz w:val="20"/>
      <w:szCs w:val="20"/>
      <w:lang w:val="en-NZ"/>
    </w:rPr>
  </w:style>
  <w:style w:type="character" w:customStyle="1" w:styleId="ParasChar">
    <w:name w:val="Paras Char"/>
    <w:basedOn w:val="DefaultParagraphFont"/>
    <w:link w:val="Paras"/>
    <w:rsid w:val="00E23BB9"/>
    <w:rPr>
      <w:rFonts w:ascii="Arial" w:eastAsia="Times New Roman" w:hAnsi="Arial" w:cs="Arial"/>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5744">
      <w:bodyDiv w:val="1"/>
      <w:marLeft w:val="0"/>
      <w:marRight w:val="0"/>
      <w:marTop w:val="0"/>
      <w:marBottom w:val="0"/>
      <w:divBdr>
        <w:top w:val="none" w:sz="0" w:space="0" w:color="auto"/>
        <w:left w:val="none" w:sz="0" w:space="0" w:color="auto"/>
        <w:bottom w:val="none" w:sz="0" w:space="0" w:color="auto"/>
        <w:right w:val="none" w:sz="0" w:space="0" w:color="auto"/>
      </w:divBdr>
    </w:div>
    <w:div w:id="201065236">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408618951">
      <w:bodyDiv w:val="1"/>
      <w:marLeft w:val="0"/>
      <w:marRight w:val="0"/>
      <w:marTop w:val="0"/>
      <w:marBottom w:val="0"/>
      <w:divBdr>
        <w:top w:val="none" w:sz="0" w:space="0" w:color="auto"/>
        <w:left w:val="none" w:sz="0" w:space="0" w:color="auto"/>
        <w:bottom w:val="none" w:sz="0" w:space="0" w:color="auto"/>
        <w:right w:val="none" w:sz="0" w:space="0" w:color="auto"/>
      </w:divBdr>
    </w:div>
    <w:div w:id="454830182">
      <w:bodyDiv w:val="1"/>
      <w:marLeft w:val="0"/>
      <w:marRight w:val="0"/>
      <w:marTop w:val="0"/>
      <w:marBottom w:val="0"/>
      <w:divBdr>
        <w:top w:val="none" w:sz="0" w:space="0" w:color="auto"/>
        <w:left w:val="none" w:sz="0" w:space="0" w:color="auto"/>
        <w:bottom w:val="none" w:sz="0" w:space="0" w:color="auto"/>
        <w:right w:val="none" w:sz="0" w:space="0" w:color="auto"/>
      </w:divBdr>
    </w:div>
    <w:div w:id="579101499">
      <w:bodyDiv w:val="1"/>
      <w:marLeft w:val="0"/>
      <w:marRight w:val="0"/>
      <w:marTop w:val="0"/>
      <w:marBottom w:val="0"/>
      <w:divBdr>
        <w:top w:val="none" w:sz="0" w:space="0" w:color="auto"/>
        <w:left w:val="none" w:sz="0" w:space="0" w:color="auto"/>
        <w:bottom w:val="none" w:sz="0" w:space="0" w:color="auto"/>
        <w:right w:val="none" w:sz="0" w:space="0" w:color="auto"/>
      </w:divBdr>
    </w:div>
    <w:div w:id="656344638">
      <w:bodyDiv w:val="1"/>
      <w:marLeft w:val="0"/>
      <w:marRight w:val="0"/>
      <w:marTop w:val="0"/>
      <w:marBottom w:val="0"/>
      <w:divBdr>
        <w:top w:val="none" w:sz="0" w:space="0" w:color="auto"/>
        <w:left w:val="none" w:sz="0" w:space="0" w:color="auto"/>
        <w:bottom w:val="none" w:sz="0" w:space="0" w:color="auto"/>
        <w:right w:val="none" w:sz="0" w:space="0" w:color="auto"/>
      </w:divBdr>
    </w:div>
    <w:div w:id="680622757">
      <w:bodyDiv w:val="1"/>
      <w:marLeft w:val="0"/>
      <w:marRight w:val="0"/>
      <w:marTop w:val="0"/>
      <w:marBottom w:val="0"/>
      <w:divBdr>
        <w:top w:val="none" w:sz="0" w:space="0" w:color="auto"/>
        <w:left w:val="none" w:sz="0" w:space="0" w:color="auto"/>
        <w:bottom w:val="none" w:sz="0" w:space="0" w:color="auto"/>
        <w:right w:val="none" w:sz="0" w:space="0" w:color="auto"/>
      </w:divBdr>
    </w:div>
    <w:div w:id="760420283">
      <w:bodyDiv w:val="1"/>
      <w:marLeft w:val="0"/>
      <w:marRight w:val="0"/>
      <w:marTop w:val="0"/>
      <w:marBottom w:val="0"/>
      <w:divBdr>
        <w:top w:val="none" w:sz="0" w:space="0" w:color="auto"/>
        <w:left w:val="none" w:sz="0" w:space="0" w:color="auto"/>
        <w:bottom w:val="none" w:sz="0" w:space="0" w:color="auto"/>
        <w:right w:val="none" w:sz="0" w:space="0" w:color="auto"/>
      </w:divBdr>
    </w:div>
    <w:div w:id="785392953">
      <w:bodyDiv w:val="1"/>
      <w:marLeft w:val="0"/>
      <w:marRight w:val="0"/>
      <w:marTop w:val="0"/>
      <w:marBottom w:val="0"/>
      <w:divBdr>
        <w:top w:val="none" w:sz="0" w:space="0" w:color="auto"/>
        <w:left w:val="none" w:sz="0" w:space="0" w:color="auto"/>
        <w:bottom w:val="none" w:sz="0" w:space="0" w:color="auto"/>
        <w:right w:val="none" w:sz="0" w:space="0" w:color="auto"/>
      </w:divBdr>
    </w:div>
    <w:div w:id="933827499">
      <w:bodyDiv w:val="1"/>
      <w:marLeft w:val="0"/>
      <w:marRight w:val="0"/>
      <w:marTop w:val="0"/>
      <w:marBottom w:val="0"/>
      <w:divBdr>
        <w:top w:val="none" w:sz="0" w:space="0" w:color="auto"/>
        <w:left w:val="none" w:sz="0" w:space="0" w:color="auto"/>
        <w:bottom w:val="none" w:sz="0" w:space="0" w:color="auto"/>
        <w:right w:val="none" w:sz="0" w:space="0" w:color="auto"/>
      </w:divBdr>
    </w:div>
    <w:div w:id="936906997">
      <w:bodyDiv w:val="1"/>
      <w:marLeft w:val="0"/>
      <w:marRight w:val="0"/>
      <w:marTop w:val="0"/>
      <w:marBottom w:val="0"/>
      <w:divBdr>
        <w:top w:val="none" w:sz="0" w:space="0" w:color="auto"/>
        <w:left w:val="none" w:sz="0" w:space="0" w:color="auto"/>
        <w:bottom w:val="none" w:sz="0" w:space="0" w:color="auto"/>
        <w:right w:val="none" w:sz="0" w:space="0" w:color="auto"/>
      </w:divBdr>
    </w:div>
    <w:div w:id="941453926">
      <w:bodyDiv w:val="1"/>
      <w:marLeft w:val="0"/>
      <w:marRight w:val="0"/>
      <w:marTop w:val="0"/>
      <w:marBottom w:val="0"/>
      <w:divBdr>
        <w:top w:val="none" w:sz="0" w:space="0" w:color="auto"/>
        <w:left w:val="none" w:sz="0" w:space="0" w:color="auto"/>
        <w:bottom w:val="none" w:sz="0" w:space="0" w:color="auto"/>
        <w:right w:val="none" w:sz="0" w:space="0" w:color="auto"/>
      </w:divBdr>
    </w:div>
    <w:div w:id="992105227">
      <w:bodyDiv w:val="1"/>
      <w:marLeft w:val="0"/>
      <w:marRight w:val="0"/>
      <w:marTop w:val="0"/>
      <w:marBottom w:val="0"/>
      <w:divBdr>
        <w:top w:val="none" w:sz="0" w:space="0" w:color="auto"/>
        <w:left w:val="none" w:sz="0" w:space="0" w:color="auto"/>
        <w:bottom w:val="none" w:sz="0" w:space="0" w:color="auto"/>
        <w:right w:val="none" w:sz="0" w:space="0" w:color="auto"/>
      </w:divBdr>
    </w:div>
    <w:div w:id="1059209095">
      <w:bodyDiv w:val="1"/>
      <w:marLeft w:val="0"/>
      <w:marRight w:val="0"/>
      <w:marTop w:val="0"/>
      <w:marBottom w:val="0"/>
      <w:divBdr>
        <w:top w:val="none" w:sz="0" w:space="0" w:color="auto"/>
        <w:left w:val="none" w:sz="0" w:space="0" w:color="auto"/>
        <w:bottom w:val="none" w:sz="0" w:space="0" w:color="auto"/>
        <w:right w:val="none" w:sz="0" w:space="0" w:color="auto"/>
      </w:divBdr>
    </w:div>
    <w:div w:id="1082677091">
      <w:bodyDiv w:val="1"/>
      <w:marLeft w:val="0"/>
      <w:marRight w:val="0"/>
      <w:marTop w:val="0"/>
      <w:marBottom w:val="0"/>
      <w:divBdr>
        <w:top w:val="none" w:sz="0" w:space="0" w:color="auto"/>
        <w:left w:val="none" w:sz="0" w:space="0" w:color="auto"/>
        <w:bottom w:val="none" w:sz="0" w:space="0" w:color="auto"/>
        <w:right w:val="none" w:sz="0" w:space="0" w:color="auto"/>
      </w:divBdr>
    </w:div>
    <w:div w:id="1117411362">
      <w:bodyDiv w:val="1"/>
      <w:marLeft w:val="0"/>
      <w:marRight w:val="0"/>
      <w:marTop w:val="0"/>
      <w:marBottom w:val="0"/>
      <w:divBdr>
        <w:top w:val="none" w:sz="0" w:space="0" w:color="auto"/>
        <w:left w:val="none" w:sz="0" w:space="0" w:color="auto"/>
        <w:bottom w:val="none" w:sz="0" w:space="0" w:color="auto"/>
        <w:right w:val="none" w:sz="0" w:space="0" w:color="auto"/>
      </w:divBdr>
    </w:div>
    <w:div w:id="1130200261">
      <w:bodyDiv w:val="1"/>
      <w:marLeft w:val="0"/>
      <w:marRight w:val="0"/>
      <w:marTop w:val="0"/>
      <w:marBottom w:val="0"/>
      <w:divBdr>
        <w:top w:val="none" w:sz="0" w:space="0" w:color="auto"/>
        <w:left w:val="none" w:sz="0" w:space="0" w:color="auto"/>
        <w:bottom w:val="none" w:sz="0" w:space="0" w:color="auto"/>
        <w:right w:val="none" w:sz="0" w:space="0" w:color="auto"/>
      </w:divBdr>
    </w:div>
    <w:div w:id="1155494999">
      <w:bodyDiv w:val="1"/>
      <w:marLeft w:val="0"/>
      <w:marRight w:val="0"/>
      <w:marTop w:val="0"/>
      <w:marBottom w:val="0"/>
      <w:divBdr>
        <w:top w:val="none" w:sz="0" w:space="0" w:color="auto"/>
        <w:left w:val="none" w:sz="0" w:space="0" w:color="auto"/>
        <w:bottom w:val="none" w:sz="0" w:space="0" w:color="auto"/>
        <w:right w:val="none" w:sz="0" w:space="0" w:color="auto"/>
      </w:divBdr>
    </w:div>
    <w:div w:id="1159082318">
      <w:bodyDiv w:val="1"/>
      <w:marLeft w:val="0"/>
      <w:marRight w:val="0"/>
      <w:marTop w:val="0"/>
      <w:marBottom w:val="0"/>
      <w:divBdr>
        <w:top w:val="none" w:sz="0" w:space="0" w:color="auto"/>
        <w:left w:val="none" w:sz="0" w:space="0" w:color="auto"/>
        <w:bottom w:val="none" w:sz="0" w:space="0" w:color="auto"/>
        <w:right w:val="none" w:sz="0" w:space="0" w:color="auto"/>
      </w:divBdr>
    </w:div>
    <w:div w:id="1185902164">
      <w:bodyDiv w:val="1"/>
      <w:marLeft w:val="0"/>
      <w:marRight w:val="0"/>
      <w:marTop w:val="0"/>
      <w:marBottom w:val="0"/>
      <w:divBdr>
        <w:top w:val="none" w:sz="0" w:space="0" w:color="auto"/>
        <w:left w:val="none" w:sz="0" w:space="0" w:color="auto"/>
        <w:bottom w:val="none" w:sz="0" w:space="0" w:color="auto"/>
        <w:right w:val="none" w:sz="0" w:space="0" w:color="auto"/>
      </w:divBdr>
    </w:div>
    <w:div w:id="1210386106">
      <w:bodyDiv w:val="1"/>
      <w:marLeft w:val="0"/>
      <w:marRight w:val="0"/>
      <w:marTop w:val="0"/>
      <w:marBottom w:val="0"/>
      <w:divBdr>
        <w:top w:val="none" w:sz="0" w:space="0" w:color="auto"/>
        <w:left w:val="none" w:sz="0" w:space="0" w:color="auto"/>
        <w:bottom w:val="none" w:sz="0" w:space="0" w:color="auto"/>
        <w:right w:val="none" w:sz="0" w:space="0" w:color="auto"/>
      </w:divBdr>
    </w:div>
    <w:div w:id="1362166715">
      <w:bodyDiv w:val="1"/>
      <w:marLeft w:val="0"/>
      <w:marRight w:val="0"/>
      <w:marTop w:val="0"/>
      <w:marBottom w:val="0"/>
      <w:divBdr>
        <w:top w:val="none" w:sz="0" w:space="0" w:color="auto"/>
        <w:left w:val="none" w:sz="0" w:space="0" w:color="auto"/>
        <w:bottom w:val="none" w:sz="0" w:space="0" w:color="auto"/>
        <w:right w:val="none" w:sz="0" w:space="0" w:color="auto"/>
      </w:divBdr>
    </w:div>
    <w:div w:id="1366712873">
      <w:bodyDiv w:val="1"/>
      <w:marLeft w:val="0"/>
      <w:marRight w:val="0"/>
      <w:marTop w:val="0"/>
      <w:marBottom w:val="0"/>
      <w:divBdr>
        <w:top w:val="none" w:sz="0" w:space="0" w:color="auto"/>
        <w:left w:val="none" w:sz="0" w:space="0" w:color="auto"/>
        <w:bottom w:val="none" w:sz="0" w:space="0" w:color="auto"/>
        <w:right w:val="none" w:sz="0" w:space="0" w:color="auto"/>
      </w:divBdr>
    </w:div>
    <w:div w:id="1381980712">
      <w:bodyDiv w:val="1"/>
      <w:marLeft w:val="0"/>
      <w:marRight w:val="0"/>
      <w:marTop w:val="0"/>
      <w:marBottom w:val="0"/>
      <w:divBdr>
        <w:top w:val="none" w:sz="0" w:space="0" w:color="auto"/>
        <w:left w:val="none" w:sz="0" w:space="0" w:color="auto"/>
        <w:bottom w:val="none" w:sz="0" w:space="0" w:color="auto"/>
        <w:right w:val="none" w:sz="0" w:space="0" w:color="auto"/>
      </w:divBdr>
    </w:div>
    <w:div w:id="1479541506">
      <w:bodyDiv w:val="1"/>
      <w:marLeft w:val="0"/>
      <w:marRight w:val="0"/>
      <w:marTop w:val="0"/>
      <w:marBottom w:val="0"/>
      <w:divBdr>
        <w:top w:val="none" w:sz="0" w:space="0" w:color="auto"/>
        <w:left w:val="none" w:sz="0" w:space="0" w:color="auto"/>
        <w:bottom w:val="none" w:sz="0" w:space="0" w:color="auto"/>
        <w:right w:val="none" w:sz="0" w:space="0" w:color="auto"/>
      </w:divBdr>
    </w:div>
    <w:div w:id="1664746272">
      <w:bodyDiv w:val="1"/>
      <w:marLeft w:val="0"/>
      <w:marRight w:val="0"/>
      <w:marTop w:val="0"/>
      <w:marBottom w:val="0"/>
      <w:divBdr>
        <w:top w:val="none" w:sz="0" w:space="0" w:color="auto"/>
        <w:left w:val="none" w:sz="0" w:space="0" w:color="auto"/>
        <w:bottom w:val="none" w:sz="0" w:space="0" w:color="auto"/>
        <w:right w:val="none" w:sz="0" w:space="0" w:color="auto"/>
      </w:divBdr>
    </w:div>
    <w:div w:id="1776747209">
      <w:bodyDiv w:val="1"/>
      <w:marLeft w:val="0"/>
      <w:marRight w:val="0"/>
      <w:marTop w:val="0"/>
      <w:marBottom w:val="0"/>
      <w:divBdr>
        <w:top w:val="none" w:sz="0" w:space="0" w:color="auto"/>
        <w:left w:val="none" w:sz="0" w:space="0" w:color="auto"/>
        <w:bottom w:val="none" w:sz="0" w:space="0" w:color="auto"/>
        <w:right w:val="none" w:sz="0" w:space="0" w:color="auto"/>
      </w:divBdr>
    </w:div>
    <w:div w:id="1846359783">
      <w:bodyDiv w:val="1"/>
      <w:marLeft w:val="0"/>
      <w:marRight w:val="0"/>
      <w:marTop w:val="0"/>
      <w:marBottom w:val="0"/>
      <w:divBdr>
        <w:top w:val="none" w:sz="0" w:space="0" w:color="auto"/>
        <w:left w:val="none" w:sz="0" w:space="0" w:color="auto"/>
        <w:bottom w:val="none" w:sz="0" w:space="0" w:color="auto"/>
        <w:right w:val="none" w:sz="0" w:space="0" w:color="auto"/>
      </w:divBdr>
    </w:div>
    <w:div w:id="185113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jpeg"/><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header" Target="header7.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5.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93CAD1-1872-4484-A61D-C39367AA09DC}"/>
</file>

<file path=customXml/itemProps2.xml><?xml version="1.0" encoding="utf-8"?>
<ds:datastoreItem xmlns:ds="http://schemas.openxmlformats.org/officeDocument/2006/customXml" ds:itemID="{C5D6D163-3ECA-49B3-82FA-6953434C53A3}"/>
</file>

<file path=customXml/itemProps3.xml><?xml version="1.0" encoding="utf-8"?>
<ds:datastoreItem xmlns:ds="http://schemas.openxmlformats.org/officeDocument/2006/customXml" ds:itemID="{C4ACB4C4-77C7-4632-B0CB-B568A789028D}"/>
</file>

<file path=customXml/itemProps4.xml><?xml version="1.0" encoding="utf-8"?>
<ds:datastoreItem xmlns:ds="http://schemas.openxmlformats.org/officeDocument/2006/customXml" ds:itemID="{0BB5ABAA-354A-4FFE-8569-DA26866CFED7}"/>
</file>

<file path=docProps/app.xml><?xml version="1.0" encoding="utf-8"?>
<Properties xmlns="http://schemas.openxmlformats.org/officeDocument/2006/extended-properties" xmlns:vt="http://schemas.openxmlformats.org/officeDocument/2006/docPropsVTypes">
  <Template>Normal.dotm</Template>
  <TotalTime>0</TotalTime>
  <Pages>17</Pages>
  <Words>6745</Words>
  <Characters>38450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ASEAN and Mekong Aid Program Performance Report 2016-17</vt:lpstr>
    </vt:vector>
  </TitlesOfParts>
  <Company/>
  <LinksUpToDate>false</LinksUpToDate>
  <CharactersWithSpaces>45105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ASEAN and Mekong Aid Program Performance Report 2016-17</dc:title>
  <dc:creator/>
  <cp:lastModifiedBy/>
  <cp:revision>1</cp:revision>
  <dcterms:created xsi:type="dcterms:W3CDTF">2017-09-21T02:53:00Z</dcterms:created>
  <dcterms:modified xsi:type="dcterms:W3CDTF">2017-09-21T02:54:00Z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5c731c9d-260f-4b4c-bf23-f84c01d24b1a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1122600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