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F5726FD" w14:textId="77777777" w:rsidR="003D352D" w:rsidRDefault="00A56F14" w:rsidP="00D146A2">
      <w:r>
        <w:rPr>
          <w:noProof/>
          <w:lang w:val="en-AU" w:eastAsia="en-AU"/>
        </w:rPr>
        <w:drawing>
          <wp:anchor distT="0" distB="0" distL="114300" distR="114300" simplePos="0" relativeHeight="251661312" behindDoc="1" locked="1" layoutInCell="1" allowOverlap="1" wp14:anchorId="5DD58185" wp14:editId="62D6B304">
            <wp:simplePos x="0" y="0"/>
            <wp:positionH relativeFrom="page">
              <wp:posOffset>872490</wp:posOffset>
            </wp:positionH>
            <wp:positionV relativeFrom="page">
              <wp:posOffset>1561465</wp:posOffset>
            </wp:positionV>
            <wp:extent cx="3167380" cy="5543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9264" behindDoc="1" locked="1" layoutInCell="1" allowOverlap="1" wp14:anchorId="619E8947" wp14:editId="4740C26D">
            <wp:simplePos x="0" y="0"/>
            <wp:positionH relativeFrom="page">
              <wp:posOffset>-17145</wp:posOffset>
            </wp:positionH>
            <wp:positionV relativeFrom="page">
              <wp:posOffset>15875</wp:posOffset>
            </wp:positionV>
            <wp:extent cx="7585075" cy="106940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12">
                      <a:extLst>
                        <a:ext uri="{28A0092B-C50C-407E-A947-70E740481C1C}">
                          <a14:useLocalDpi xmlns:a14="http://schemas.microsoft.com/office/drawing/2010/main" val="0"/>
                        </a:ext>
                      </a:extLst>
                    </a:blip>
                    <a:stretch>
                      <a:fillRect/>
                    </a:stretch>
                  </pic:blipFill>
                  <pic:spPr>
                    <a:xfrm>
                      <a:off x="0" y="0"/>
                      <a:ext cx="7585075" cy="10694035"/>
                    </a:xfrm>
                    <a:prstGeom prst="rect">
                      <a:avLst/>
                    </a:prstGeom>
                  </pic:spPr>
                </pic:pic>
              </a:graphicData>
            </a:graphic>
            <wp14:sizeRelH relativeFrom="margin">
              <wp14:pctWidth>0</wp14:pctWidth>
            </wp14:sizeRelH>
            <wp14:sizeRelV relativeFrom="margin">
              <wp14:pctHeight>0</wp14:pctHeight>
            </wp14:sizeRelV>
          </wp:anchor>
        </w:drawing>
      </w:r>
    </w:p>
    <w:p w14:paraId="2D7F9798" w14:textId="77777777" w:rsidR="003D352D" w:rsidRDefault="003D352D" w:rsidP="00D146A2"/>
    <w:p w14:paraId="12E77A56" w14:textId="77777777" w:rsidR="003D352D" w:rsidRDefault="003D352D" w:rsidP="00D146A2"/>
    <w:p w14:paraId="554D0018" w14:textId="77777777" w:rsidR="003D352D" w:rsidRDefault="003D352D" w:rsidP="00D146A2"/>
    <w:p w14:paraId="0609842B" w14:textId="77777777" w:rsidR="003D352D" w:rsidRDefault="003D352D" w:rsidP="00D146A2"/>
    <w:p w14:paraId="36202B3B" w14:textId="77777777" w:rsidR="003D352D" w:rsidRDefault="003D352D" w:rsidP="00D146A2"/>
    <w:p w14:paraId="0B274676" w14:textId="77777777" w:rsidR="003D352D" w:rsidRDefault="003D352D" w:rsidP="00D146A2"/>
    <w:p w14:paraId="7CC6D00A" w14:textId="77777777" w:rsidR="003D352D" w:rsidRDefault="003D352D" w:rsidP="00D146A2"/>
    <w:p w14:paraId="72281228" w14:textId="77777777" w:rsidR="003D352D" w:rsidRDefault="003D352D" w:rsidP="00D146A2"/>
    <w:p w14:paraId="064D728F" w14:textId="77777777" w:rsidR="003D352D" w:rsidRDefault="003D352D" w:rsidP="00D146A2"/>
    <w:p w14:paraId="64308C52" w14:textId="77777777" w:rsidR="003D352D" w:rsidRDefault="003D352D" w:rsidP="00D146A2"/>
    <w:p w14:paraId="358424B8" w14:textId="77777777" w:rsidR="003D352D" w:rsidRDefault="003D352D" w:rsidP="00D146A2"/>
    <w:p w14:paraId="29817525" w14:textId="77777777" w:rsidR="003D352D" w:rsidRDefault="003D352D" w:rsidP="00D146A2"/>
    <w:p w14:paraId="6677DF29" w14:textId="77777777" w:rsidR="003D352D" w:rsidRDefault="003D352D" w:rsidP="00D146A2"/>
    <w:p w14:paraId="1FB9161E" w14:textId="77777777" w:rsidR="003D352D" w:rsidRDefault="003D352D" w:rsidP="00D146A2"/>
    <w:p w14:paraId="1A9237CB" w14:textId="77777777" w:rsidR="003D352D" w:rsidRDefault="003D352D" w:rsidP="00D146A2"/>
    <w:p w14:paraId="767337BE" w14:textId="77777777" w:rsidR="003D352D" w:rsidRPr="0059146A" w:rsidRDefault="003D352D" w:rsidP="0059146A"/>
    <w:p w14:paraId="3D2E5B6D" w14:textId="77777777" w:rsidR="003D352D" w:rsidRPr="0059146A" w:rsidRDefault="003D352D" w:rsidP="0059146A"/>
    <w:p w14:paraId="3676318D" w14:textId="77777777" w:rsidR="003D352D" w:rsidRPr="0059146A" w:rsidRDefault="003D352D" w:rsidP="0059146A"/>
    <w:p w14:paraId="6F57B69A" w14:textId="77777777" w:rsidR="003D352D" w:rsidRPr="0059146A" w:rsidRDefault="003D352D" w:rsidP="0059146A"/>
    <w:p w14:paraId="13051D9F" w14:textId="77777777" w:rsidR="003D352D" w:rsidRPr="0059146A" w:rsidRDefault="003D352D" w:rsidP="0059146A"/>
    <w:p w14:paraId="464E10FD" w14:textId="77777777" w:rsidR="003D352D" w:rsidRPr="0059146A" w:rsidRDefault="003D352D" w:rsidP="0059146A"/>
    <w:p w14:paraId="3BEE848A" w14:textId="77777777" w:rsidR="00A56F14" w:rsidRPr="0059146A" w:rsidRDefault="00A56F14" w:rsidP="00A56F14"/>
    <w:p w14:paraId="485F78AD" w14:textId="77777777" w:rsidR="00A56F14" w:rsidRPr="0059146A" w:rsidRDefault="00A56F14" w:rsidP="0059146A"/>
    <w:p w14:paraId="11A556D3" w14:textId="77777777" w:rsidR="00A56F14" w:rsidRDefault="00A56F14" w:rsidP="0059146A"/>
    <w:p w14:paraId="0F008531" w14:textId="77777777" w:rsidR="0059146A" w:rsidRDefault="0059146A" w:rsidP="0059146A"/>
    <w:p w14:paraId="2202668B" w14:textId="77777777" w:rsidR="0059146A" w:rsidRDefault="0059146A" w:rsidP="0059146A"/>
    <w:p w14:paraId="5124AFBF" w14:textId="77777777" w:rsidR="0059146A" w:rsidRDefault="0059146A" w:rsidP="0059146A"/>
    <w:p w14:paraId="077716A5" w14:textId="77777777" w:rsidR="0059146A" w:rsidRPr="0059146A" w:rsidRDefault="0059146A" w:rsidP="0059146A"/>
    <w:p w14:paraId="7EAC6CC3" w14:textId="2704A39C" w:rsidR="003D352D" w:rsidRDefault="00A56F14" w:rsidP="003D352D">
      <w:pPr>
        <w:pStyle w:val="Title"/>
        <w:spacing w:after="120" w:line="600" w:lineRule="exact"/>
        <w:rPr>
          <w:spacing w:val="-20"/>
          <w:sz w:val="60"/>
        </w:rPr>
      </w:pPr>
      <w:r>
        <w:rPr>
          <w:spacing w:val="-20"/>
          <w:sz w:val="60"/>
        </w:rPr>
        <w:t>Aid program performance</w:t>
      </w:r>
      <w:r w:rsidR="003D352D" w:rsidRPr="003D352D">
        <w:rPr>
          <w:spacing w:val="-20"/>
          <w:sz w:val="60"/>
        </w:rPr>
        <w:t xml:space="preserve"> </w:t>
      </w:r>
      <w:r>
        <w:rPr>
          <w:spacing w:val="-20"/>
          <w:sz w:val="60"/>
        </w:rPr>
        <w:t>report 201</w:t>
      </w:r>
      <w:r w:rsidR="00387A05">
        <w:rPr>
          <w:spacing w:val="-20"/>
          <w:sz w:val="60"/>
        </w:rPr>
        <w:t>8</w:t>
      </w:r>
      <w:r>
        <w:rPr>
          <w:spacing w:val="-20"/>
          <w:sz w:val="60"/>
        </w:rPr>
        <w:t>-1</w:t>
      </w:r>
      <w:r w:rsidR="00387A05">
        <w:rPr>
          <w:spacing w:val="-20"/>
          <w:sz w:val="60"/>
        </w:rPr>
        <w:t>9</w:t>
      </w:r>
    </w:p>
    <w:p w14:paraId="7EC05CD7" w14:textId="77777777" w:rsidR="000D5340" w:rsidRDefault="00D30CB2" w:rsidP="00A56F14">
      <w:pPr>
        <w:rPr>
          <w:sz w:val="24"/>
        </w:rPr>
      </w:pPr>
      <w:r>
        <w:rPr>
          <w:sz w:val="40"/>
        </w:rPr>
        <w:t>ASEAN and Mekong Program</w:t>
      </w:r>
    </w:p>
    <w:p w14:paraId="58C0A5FC" w14:textId="3EA7008A" w:rsidR="0059146A" w:rsidRDefault="00C169A4" w:rsidP="00A56F14">
      <w:pPr>
        <w:rPr>
          <w:sz w:val="24"/>
        </w:rPr>
        <w:sectPr w:rsidR="0059146A" w:rsidSect="00A56F14">
          <w:headerReference w:type="even" r:id="rId13"/>
          <w:headerReference w:type="default" r:id="rId14"/>
          <w:footerReference w:type="even" r:id="rId15"/>
          <w:footerReference w:type="default" r:id="rId16"/>
          <w:headerReference w:type="first" r:id="rId17"/>
          <w:footerReference w:type="first" r:id="rId18"/>
          <w:pgSz w:w="11906" w:h="16838" w:code="9"/>
          <w:pgMar w:top="1952" w:right="1134" w:bottom="851" w:left="1134" w:header="1814" w:footer="567" w:gutter="0"/>
          <w:cols w:space="397"/>
          <w:titlePg/>
          <w:docGrid w:linePitch="360"/>
        </w:sectPr>
      </w:pPr>
      <w:r>
        <w:rPr>
          <w:sz w:val="24"/>
        </w:rPr>
        <w:t>September</w:t>
      </w:r>
      <w:r w:rsidR="007B373B">
        <w:rPr>
          <w:sz w:val="24"/>
        </w:rPr>
        <w:t xml:space="preserve"> 2019</w:t>
      </w:r>
      <w:r w:rsidR="0059146A" w:rsidRPr="000D5340">
        <w:rPr>
          <w:sz w:val="24"/>
        </w:rPr>
        <w:br/>
      </w:r>
    </w:p>
    <w:p w14:paraId="71AC9B32" w14:textId="5C619448" w:rsidR="00F4140A" w:rsidRDefault="00D30CB2" w:rsidP="00F4140A">
      <w:pPr>
        <w:rPr>
          <w:rFonts w:eastAsiaTheme="majorEastAsia" w:cstheme="majorBidi"/>
          <w:bCs/>
          <w:iCs/>
          <w:caps/>
          <w:spacing w:val="-10"/>
          <w:kern w:val="28"/>
          <w:sz w:val="38"/>
          <w:szCs w:val="24"/>
        </w:rPr>
      </w:pPr>
      <w:r w:rsidRPr="00D30CB2">
        <w:rPr>
          <w:rFonts w:eastAsiaTheme="majorEastAsia" w:cstheme="majorBidi"/>
          <w:bCs/>
          <w:iCs/>
          <w:caps/>
          <w:spacing w:val="-10"/>
          <w:kern w:val="28"/>
          <w:sz w:val="38"/>
          <w:szCs w:val="24"/>
        </w:rPr>
        <w:lastRenderedPageBreak/>
        <w:t>Key Messages</w:t>
      </w:r>
    </w:p>
    <w:p w14:paraId="1D64E051" w14:textId="76B68546" w:rsidR="00016DCC" w:rsidRDefault="00016DCC" w:rsidP="00295179">
      <w:pPr>
        <w:pStyle w:val="Bullet1"/>
        <w:numPr>
          <w:ilvl w:val="0"/>
          <w:numId w:val="0"/>
        </w:numPr>
        <w:ind w:left="170"/>
      </w:pPr>
    </w:p>
    <w:p w14:paraId="74538E3C" w14:textId="2B87B3F0" w:rsidR="00451B38" w:rsidRDefault="00451B38" w:rsidP="00451B38">
      <w:pPr>
        <w:pStyle w:val="Bullet1"/>
      </w:pPr>
      <w:r w:rsidRPr="0053413B">
        <w:t>ASEAN sits at the heart of the Indo-Pacific</w:t>
      </w:r>
      <w:r w:rsidR="0099334D">
        <w:t xml:space="preserve">. </w:t>
      </w:r>
      <w:r w:rsidRPr="0053413B">
        <w:t>It is in Australia’s national interest to support a stronger ASEAN and recognise the importance of ASEAN's role in maintaining stability in the Indo-Pacific region, as laid out in the Foreign Policy White Paper.</w:t>
      </w:r>
    </w:p>
    <w:p w14:paraId="0F7F4280" w14:textId="70160A6B" w:rsidR="00C67593" w:rsidRDefault="00C67593" w:rsidP="00C67593">
      <w:pPr>
        <w:pStyle w:val="Bullet1"/>
      </w:pPr>
      <w:r w:rsidRPr="00C67593">
        <w:t>The ASEAN and Mekong Program supports ASEAN-led regional architecture that builds an open, prosperous and inclusive Southeast</w:t>
      </w:r>
      <w:r w:rsidR="00AF06D7">
        <w:t xml:space="preserve"> Asia</w:t>
      </w:r>
      <w:r w:rsidRPr="00C67593">
        <w:t>.</w:t>
      </w:r>
    </w:p>
    <w:p w14:paraId="44C76076" w14:textId="1D2A2DA9" w:rsidR="00451B38" w:rsidRDefault="00451B38" w:rsidP="00451B38">
      <w:pPr>
        <w:pStyle w:val="Bullet1"/>
      </w:pPr>
      <w:r>
        <w:t xml:space="preserve">The ASEAN and Mekong Program partners with ASEAN and its </w:t>
      </w:r>
      <w:r w:rsidR="009B6A90">
        <w:t xml:space="preserve">ten </w:t>
      </w:r>
      <w:r>
        <w:t>Member States to enable regional economic cooperation</w:t>
      </w:r>
      <w:r w:rsidR="009B6A90">
        <w:t>, connectivity, infrastructure development</w:t>
      </w:r>
      <w:r>
        <w:t xml:space="preserve"> and inclusive growth</w:t>
      </w:r>
      <w:r w:rsidR="009B6A90">
        <w:t>,</w:t>
      </w:r>
      <w:r>
        <w:t xml:space="preserve"> and strengthen regional responses to human trafficking and exploitation of migrant workers.</w:t>
      </w:r>
    </w:p>
    <w:p w14:paraId="260647D2" w14:textId="453D4075" w:rsidR="00C16E4B" w:rsidRDefault="00C16E4B" w:rsidP="00C16E4B">
      <w:pPr>
        <w:pStyle w:val="Bullet1"/>
      </w:pPr>
      <w:r>
        <w:t>Investments implemented as part of the ASEAN and Mekong Program are on track and are achieving their goals</w:t>
      </w:r>
      <w:r w:rsidR="0099334D">
        <w:t xml:space="preserve">. </w:t>
      </w:r>
      <w:r w:rsidR="005B40D3" w:rsidRPr="005B40D3">
        <w:t>This includes implementation of announcements from the 2018 ASEAN-Australia Special Summit.</w:t>
      </w:r>
    </w:p>
    <w:p w14:paraId="66801E7C" w14:textId="6A0941C8" w:rsidR="00C16E4B" w:rsidRDefault="00C16E4B" w:rsidP="00C16E4B">
      <w:pPr>
        <w:pStyle w:val="Bullet1"/>
      </w:pPr>
      <w:proofErr w:type="gramStart"/>
      <w:r>
        <w:t>The ASEAN and Mekong Program is appreciated by ASEAN and its Member States for its collaborativ</w:t>
      </w:r>
      <w:r w:rsidR="0007316E">
        <w:t xml:space="preserve">e </w:t>
      </w:r>
      <w:r>
        <w:t xml:space="preserve">approach to addressing key regional </w:t>
      </w:r>
      <w:r w:rsidR="00335ACB">
        <w:t xml:space="preserve">and </w:t>
      </w:r>
      <w:proofErr w:type="spellStart"/>
      <w:r w:rsidR="00335ACB">
        <w:t>subregional</w:t>
      </w:r>
      <w:proofErr w:type="spellEnd"/>
      <w:r w:rsidR="00335ACB">
        <w:t xml:space="preserve"> </w:t>
      </w:r>
      <w:r>
        <w:t>challenges</w:t>
      </w:r>
      <w:proofErr w:type="gramEnd"/>
      <w:r w:rsidR="009221F8">
        <w:t>.</w:t>
      </w:r>
    </w:p>
    <w:p w14:paraId="2A68E63E" w14:textId="77777777" w:rsidR="005B40D3" w:rsidRDefault="00E85E07" w:rsidP="00C16E4B">
      <w:pPr>
        <w:pStyle w:val="Bullet1"/>
      </w:pPr>
      <w:r w:rsidRPr="00EE7621">
        <w:t>The ASEAN and Mekong Program promote</w:t>
      </w:r>
      <w:r w:rsidR="00F34204" w:rsidRPr="00EE7621">
        <w:t>s</w:t>
      </w:r>
      <w:r w:rsidRPr="00EE7621">
        <w:t xml:space="preserve"> gender equality</w:t>
      </w:r>
      <w:r w:rsidR="00F34204" w:rsidRPr="00EE7621">
        <w:t xml:space="preserve"> and social inclusion</w:t>
      </w:r>
      <w:r w:rsidRPr="00EE7621">
        <w:t xml:space="preserve"> </w:t>
      </w:r>
      <w:r w:rsidR="008762D1" w:rsidRPr="00295179">
        <w:t>to reduce inequality and ensure development for all in a</w:t>
      </w:r>
      <w:r w:rsidR="00F34204" w:rsidRPr="00EE7621">
        <w:t xml:space="preserve"> secure and prosperous region where </w:t>
      </w:r>
      <w:proofErr w:type="gramStart"/>
      <w:r w:rsidR="00F34204" w:rsidRPr="00EE7621">
        <w:t>no-one</w:t>
      </w:r>
      <w:proofErr w:type="gramEnd"/>
      <w:r w:rsidR="00F34204" w:rsidRPr="00EE7621">
        <w:t xml:space="preserve"> is left behind.</w:t>
      </w:r>
    </w:p>
    <w:p w14:paraId="278A42B1" w14:textId="6DE4FD7A" w:rsidR="005B40D3" w:rsidRPr="005B40D3" w:rsidRDefault="005B40D3" w:rsidP="005B40D3">
      <w:pPr>
        <w:pStyle w:val="Bullet1"/>
        <w:rPr>
          <w:lang w:val="en-AU"/>
        </w:rPr>
      </w:pPr>
      <w:r w:rsidRPr="005B40D3">
        <w:t xml:space="preserve">In our next Aid Investment Plan, we will rebalance the Program to </w:t>
      </w:r>
      <w:r w:rsidR="0026443C">
        <w:t xml:space="preserve">better </w:t>
      </w:r>
      <w:r w:rsidRPr="005B40D3">
        <w:t>cover all three ASEAN pillars – political-security, economic</w:t>
      </w:r>
      <w:r w:rsidR="00DB402F">
        <w:t xml:space="preserve">, </w:t>
      </w:r>
      <w:proofErr w:type="gramStart"/>
      <w:r w:rsidRPr="005B40D3">
        <w:t>socio</w:t>
      </w:r>
      <w:proofErr w:type="gramEnd"/>
      <w:r w:rsidRPr="005B40D3">
        <w:t>-cultural – to reinforce our status as a leading partner for ASEAN</w:t>
      </w:r>
      <w:r w:rsidR="0099334D">
        <w:t xml:space="preserve">. </w:t>
      </w:r>
      <w:r w:rsidRPr="005B40D3">
        <w:t>A number of the Program’s investments are either ending or entering a new phase over the next financial year.</w:t>
      </w:r>
    </w:p>
    <w:p w14:paraId="7002FE09" w14:textId="04DD3127" w:rsidR="007C7A3E" w:rsidRPr="00D8749D" w:rsidRDefault="005B40D3" w:rsidP="005B40D3">
      <w:pPr>
        <w:pStyle w:val="Bullet1"/>
        <w:rPr>
          <w:lang w:val="en-AU"/>
        </w:rPr>
      </w:pPr>
      <w:r w:rsidRPr="005B40D3">
        <w:t xml:space="preserve">In our forward planning, we </w:t>
      </w:r>
      <w:r w:rsidR="00DB402F">
        <w:t>will</w:t>
      </w:r>
      <w:r w:rsidRPr="005B40D3">
        <w:t xml:space="preserve"> support ASEAN’s </w:t>
      </w:r>
      <w:proofErr w:type="gramStart"/>
      <w:r w:rsidRPr="005B40D3">
        <w:t>newly-adopted</w:t>
      </w:r>
      <w:proofErr w:type="gramEnd"/>
      <w:r w:rsidRPr="005B40D3">
        <w:t xml:space="preserve"> Outlook on the Indo-Pacific, which </w:t>
      </w:r>
      <w:r w:rsidR="00AF06D7" w:rsidRPr="00AF06D7">
        <w:t>articulates a vision for a region that is open, inclusive, rules-based and respectful of sovereignty, and provides opportunities for</w:t>
      </w:r>
      <w:r w:rsidRPr="005B40D3">
        <w:t xml:space="preserve"> cooperation between ASEAN and Dialogue Partners in the areas of maritime, connectivity, sustainability and economic issues.</w:t>
      </w:r>
    </w:p>
    <w:p w14:paraId="05CAC787" w14:textId="77777777" w:rsidR="00F4140A" w:rsidRDefault="00F4140A" w:rsidP="00B438D3">
      <w:pPr>
        <w:pStyle w:val="Title"/>
      </w:pPr>
    </w:p>
    <w:p w14:paraId="4F552AFB" w14:textId="6295855D" w:rsidR="005B5769" w:rsidRPr="00B438D3" w:rsidRDefault="00AC0160" w:rsidP="00B438D3">
      <w:pPr>
        <w:pStyle w:val="Title"/>
      </w:pPr>
      <w:r>
        <w:t xml:space="preserve">ASEAN and Mekong </w:t>
      </w:r>
      <w:r w:rsidR="005B5769" w:rsidRPr="00B438D3">
        <w:t>Aid Program Performance Information 201</w:t>
      </w:r>
      <w:r w:rsidR="00B06318">
        <w:t>8</w:t>
      </w:r>
      <w:r w:rsidR="005B5769" w:rsidRPr="00B438D3">
        <w:t>-1</w:t>
      </w:r>
      <w:r w:rsidR="00B06318">
        <w:t>9</w:t>
      </w:r>
    </w:p>
    <w:p w14:paraId="6B604B8B" w14:textId="77777777" w:rsidR="00B562F7" w:rsidRDefault="00B562F7" w:rsidP="00B438D3">
      <w:pPr>
        <w:pStyle w:val="Subtitle"/>
      </w:pPr>
    </w:p>
    <w:p w14:paraId="115ECE15" w14:textId="19479D0A" w:rsidR="005B5769" w:rsidRPr="00C4114C" w:rsidRDefault="005B5769" w:rsidP="00B438D3">
      <w:pPr>
        <w:pStyle w:val="Subtitle"/>
      </w:pPr>
      <w:r w:rsidRPr="00C4114C">
        <w:t>Summary</w:t>
      </w:r>
    </w:p>
    <w:p w14:paraId="55CF05BC" w14:textId="34B35426" w:rsidR="007F2457" w:rsidRDefault="007F2457" w:rsidP="007F2457">
      <w:r w:rsidRPr="004A7547">
        <w:t>Australia’s Foreign Policy White Paper</w:t>
      </w:r>
      <w:r w:rsidR="00877EC3">
        <w:t xml:space="preserve"> (FPWP)</w:t>
      </w:r>
      <w:r w:rsidRPr="004A7547">
        <w:t xml:space="preserve"> highlights the importance of ASEAN’s centrality to our engagement in the </w:t>
      </w:r>
      <w:r w:rsidR="00494497">
        <w:t>Indo-Pacific</w:t>
      </w:r>
      <w:r w:rsidRPr="004A7547">
        <w:t xml:space="preserve">, and the </w:t>
      </w:r>
      <w:r>
        <w:t xml:space="preserve">role it plays in building </w:t>
      </w:r>
      <w:r w:rsidR="007B0C35">
        <w:t>an open, prosperous and inclusive</w:t>
      </w:r>
      <w:r>
        <w:t xml:space="preserve"> Southeast Asia</w:t>
      </w:r>
      <w:r w:rsidR="0099334D">
        <w:t xml:space="preserve">. </w:t>
      </w:r>
      <w:r w:rsidRPr="004A7547">
        <w:t xml:space="preserve">The </w:t>
      </w:r>
      <w:r>
        <w:t xml:space="preserve">ASEAN and Mekong </w:t>
      </w:r>
      <w:r w:rsidRPr="004A7547">
        <w:t>Program</w:t>
      </w:r>
      <w:r w:rsidR="009B6A90">
        <w:t xml:space="preserve"> (the Program)</w:t>
      </w:r>
      <w:r w:rsidRPr="004A7547">
        <w:t xml:space="preserve"> </w:t>
      </w:r>
      <w:r w:rsidR="005B40D3">
        <w:t>cooperates</w:t>
      </w:r>
      <w:r w:rsidR="005B40D3" w:rsidRPr="005B40D3">
        <w:t xml:space="preserve"> closely with ASEAN </w:t>
      </w:r>
      <w:r w:rsidR="005B40D3">
        <w:t xml:space="preserve">to </w:t>
      </w:r>
      <w:r w:rsidRPr="004A7547">
        <w:t>promot</w:t>
      </w:r>
      <w:r w:rsidR="005B40D3">
        <w:t>e</w:t>
      </w:r>
      <w:r w:rsidRPr="004A7547">
        <w:t xml:space="preserve"> transparent rules and regional economic integration, </w:t>
      </w:r>
      <w:r w:rsidR="00F34204">
        <w:t xml:space="preserve">to reduce </w:t>
      </w:r>
      <w:r w:rsidRPr="004A7547">
        <w:t xml:space="preserve">transnational crime and </w:t>
      </w:r>
      <w:r w:rsidR="005B40D3">
        <w:t xml:space="preserve">to </w:t>
      </w:r>
      <w:r w:rsidRPr="004A7547">
        <w:t>promot</w:t>
      </w:r>
      <w:r w:rsidR="005B40D3">
        <w:t>e</w:t>
      </w:r>
      <w:r w:rsidRPr="004A7547">
        <w:t xml:space="preserve"> safe, </w:t>
      </w:r>
      <w:r w:rsidR="00DB402F">
        <w:t xml:space="preserve">fair and </w:t>
      </w:r>
      <w:r w:rsidRPr="004A7547">
        <w:t>orderly migration.</w:t>
      </w:r>
    </w:p>
    <w:p w14:paraId="04A7BFC2" w14:textId="65F62301" w:rsidR="007F2457" w:rsidRDefault="005B5E5D">
      <w:r>
        <w:t xml:space="preserve">The Program </w:t>
      </w:r>
      <w:r w:rsidR="00A5219B">
        <w:t xml:space="preserve">continues to </w:t>
      </w:r>
      <w:r w:rsidR="005B40D3">
        <w:t>implement many of the</w:t>
      </w:r>
      <w:r w:rsidR="00016DCC">
        <w:t xml:space="preserve"> ASEAN</w:t>
      </w:r>
      <w:r w:rsidR="00522A83">
        <w:t>-</w:t>
      </w:r>
      <w:r w:rsidR="00016DCC">
        <w:t xml:space="preserve">Australia </w:t>
      </w:r>
      <w:r>
        <w:t xml:space="preserve">Special Summit </w:t>
      </w:r>
      <w:r w:rsidR="00016DCC">
        <w:t>initiatives</w:t>
      </w:r>
      <w:r w:rsidR="0099334D">
        <w:t xml:space="preserve">. </w:t>
      </w:r>
      <w:r w:rsidR="00016DCC">
        <w:t xml:space="preserve">ASEAN-Australia </w:t>
      </w:r>
      <w:r w:rsidR="00AF06D7">
        <w:t xml:space="preserve">Counter Trafficking (AACT) </w:t>
      </w:r>
      <w:r w:rsidR="00016DCC">
        <w:t>commen</w:t>
      </w:r>
      <w:r w:rsidR="006E1063">
        <w:t>c</w:t>
      </w:r>
      <w:r w:rsidR="00016DCC">
        <w:t>ed in November 2018</w:t>
      </w:r>
      <w:r w:rsidR="0099334D">
        <w:t xml:space="preserve">. </w:t>
      </w:r>
      <w:r w:rsidR="005B40D3">
        <w:t xml:space="preserve">New </w:t>
      </w:r>
      <w:r w:rsidR="00D32011">
        <w:t>investments</w:t>
      </w:r>
      <w:r w:rsidR="00A5219B">
        <w:t xml:space="preserve"> on </w:t>
      </w:r>
      <w:r w:rsidR="00DF4FE0">
        <w:t>W</w:t>
      </w:r>
      <w:r w:rsidR="00D32011">
        <w:t xml:space="preserve">omen, </w:t>
      </w:r>
      <w:r w:rsidR="00DF4FE0">
        <w:t>P</w:t>
      </w:r>
      <w:r w:rsidR="00D32011">
        <w:t xml:space="preserve">eace and </w:t>
      </w:r>
      <w:r w:rsidR="00DF4FE0">
        <w:t>S</w:t>
      </w:r>
      <w:r w:rsidR="00D32011">
        <w:t>ecurity</w:t>
      </w:r>
      <w:r w:rsidR="00A5219B">
        <w:t xml:space="preserve">, digital standards </w:t>
      </w:r>
      <w:r w:rsidR="00D32011">
        <w:t>and connectivity</w:t>
      </w:r>
      <w:r w:rsidR="00A5219B">
        <w:t xml:space="preserve"> </w:t>
      </w:r>
      <w:r w:rsidR="0067535C">
        <w:t xml:space="preserve">are </w:t>
      </w:r>
      <w:r w:rsidR="00522A83">
        <w:t xml:space="preserve">progressing </w:t>
      </w:r>
      <w:r w:rsidR="0067535C">
        <w:t>well</w:t>
      </w:r>
      <w:r>
        <w:t>.</w:t>
      </w:r>
    </w:p>
    <w:p w14:paraId="5EB1B25B" w14:textId="5EB00B5F" w:rsidR="007F2457" w:rsidRDefault="005B40D3" w:rsidP="004A7547">
      <w:proofErr w:type="gramStart"/>
      <w:r>
        <w:t>The</w:t>
      </w:r>
      <w:r w:rsidR="007F2457">
        <w:t xml:space="preserve"> Program</w:t>
      </w:r>
      <w:r w:rsidR="00A5219B">
        <w:t xml:space="preserve"> investments</w:t>
      </w:r>
      <w:r w:rsidR="007F2457">
        <w:t xml:space="preserve"> are on track and are achieving </w:t>
      </w:r>
      <w:r w:rsidR="00A5219B">
        <w:t>results</w:t>
      </w:r>
      <w:r w:rsidR="0099334D">
        <w:t>.</w:t>
      </w:r>
      <w:proofErr w:type="gramEnd"/>
      <w:r w:rsidR="0099334D">
        <w:t xml:space="preserve"> </w:t>
      </w:r>
      <w:r w:rsidR="005B5E5D">
        <w:t xml:space="preserve">The Program </w:t>
      </w:r>
      <w:r w:rsidR="007F2457">
        <w:t xml:space="preserve">benefits from our long-standing partnership with ASEAN, </w:t>
      </w:r>
      <w:r w:rsidR="00C67593">
        <w:t xml:space="preserve">ASEAN’s </w:t>
      </w:r>
      <w:r w:rsidR="007F2457">
        <w:t xml:space="preserve">recognition of our technical expertise and a </w:t>
      </w:r>
      <w:r w:rsidR="00C109DB">
        <w:t xml:space="preserve">proven </w:t>
      </w:r>
      <w:proofErr w:type="gramStart"/>
      <w:r w:rsidR="00C109DB">
        <w:t xml:space="preserve">track </w:t>
      </w:r>
      <w:r w:rsidR="007F2457">
        <w:t>record</w:t>
      </w:r>
      <w:proofErr w:type="gramEnd"/>
      <w:r w:rsidR="007F2457">
        <w:t xml:space="preserve"> of working </w:t>
      </w:r>
      <w:r w:rsidR="00C67593">
        <w:t xml:space="preserve">with </w:t>
      </w:r>
      <w:r w:rsidR="007F2457">
        <w:t xml:space="preserve">ASEAN systems. </w:t>
      </w:r>
    </w:p>
    <w:p w14:paraId="0D1C7A05" w14:textId="77777777" w:rsidR="00C109DB" w:rsidRDefault="00C109DB" w:rsidP="004A7547"/>
    <w:p w14:paraId="658B418F" w14:textId="62CCB03A" w:rsidR="0088179C" w:rsidRPr="001A75ED" w:rsidRDefault="007E1ADD" w:rsidP="001A75ED">
      <w:pPr>
        <w:rPr>
          <w:rStyle w:val="Strong"/>
          <w:rFonts w:ascii="Calibri" w:eastAsia="Calibri" w:hAnsi="Calibri" w:cs="Calibri"/>
          <w:b w:val="0"/>
          <w:bCs w:val="0"/>
          <w:color w:val="auto"/>
          <w:lang w:val="en-AU"/>
        </w:rPr>
      </w:pPr>
      <w:proofErr w:type="gramStart"/>
      <w:r w:rsidRPr="00D556C0">
        <w:lastRenderedPageBreak/>
        <w:t xml:space="preserve">The Program’s </w:t>
      </w:r>
      <w:r w:rsidRPr="00D556C0" w:rsidDel="00844774">
        <w:rPr>
          <w:b/>
        </w:rPr>
        <w:t>economic investments</w:t>
      </w:r>
      <w:r w:rsidRPr="00D556C0" w:rsidDel="00844774">
        <w:t xml:space="preserve"> focus on </w:t>
      </w:r>
      <w:r w:rsidRPr="00D556C0">
        <w:t xml:space="preserve">enhancing regional economic integration and connectivity </w:t>
      </w:r>
      <w:r w:rsidRPr="00FB3765">
        <w:t>(AADCP</w:t>
      </w:r>
      <w:r w:rsidR="005B5E5D">
        <w:t xml:space="preserve"> </w:t>
      </w:r>
      <w:r w:rsidRPr="00D556C0">
        <w:t>II)</w:t>
      </w:r>
      <w:r w:rsidR="00B30B5C">
        <w:rPr>
          <w:rStyle w:val="FootnoteReference"/>
        </w:rPr>
        <w:footnoteReference w:id="1"/>
      </w:r>
      <w:r w:rsidRPr="00F6394D">
        <w:t>; supporting the implementation of Free Trade Agreement commitments (AECSP</w:t>
      </w:r>
      <w:r w:rsidRPr="00391EAD">
        <w:t>)</w:t>
      </w:r>
      <w:r w:rsidR="00AB7912">
        <w:rPr>
          <w:rStyle w:val="FootnoteReference"/>
        </w:rPr>
        <w:footnoteReference w:id="2"/>
      </w:r>
      <w:r w:rsidRPr="00391EAD">
        <w:t>;</w:t>
      </w:r>
      <w:r w:rsidR="009624F6" w:rsidRPr="009624F6">
        <w:t xml:space="preserve"> </w:t>
      </w:r>
      <w:r w:rsidR="009624F6">
        <w:t>promoting evidence based economic policy making (ERIA)</w:t>
      </w:r>
      <w:r w:rsidR="009624F6">
        <w:rPr>
          <w:rStyle w:val="FootnoteReference"/>
        </w:rPr>
        <w:footnoteReference w:id="3"/>
      </w:r>
      <w:r w:rsidRPr="002849AF">
        <w:t xml:space="preserve">; </w:t>
      </w:r>
      <w:r w:rsidRPr="00391EAD">
        <w:t xml:space="preserve">improving </w:t>
      </w:r>
      <w:r w:rsidRPr="00391EAD" w:rsidDel="00844774">
        <w:t>access to financ</w:t>
      </w:r>
      <w:r w:rsidRPr="00391EAD">
        <w:t xml:space="preserve">ial services for low income </w:t>
      </w:r>
      <w:r w:rsidR="00705E00" w:rsidRPr="00391EAD">
        <w:t>women and men</w:t>
      </w:r>
      <w:r w:rsidRPr="00391EAD">
        <w:t xml:space="preserve"> in ASEAN (SHIFT)</w:t>
      </w:r>
      <w:r w:rsidR="00391F8F">
        <w:rPr>
          <w:rStyle w:val="FootnoteReference"/>
        </w:rPr>
        <w:footnoteReference w:id="4"/>
      </w:r>
      <w:r w:rsidR="0088179C">
        <w:t xml:space="preserve">; and </w:t>
      </w:r>
      <w:r w:rsidR="00E223F2">
        <w:t xml:space="preserve">supporting stronger </w:t>
      </w:r>
      <w:r w:rsidR="002A4286" w:rsidRPr="00CB11EA">
        <w:rPr>
          <w:bCs/>
        </w:rPr>
        <w:t xml:space="preserve">water resources </w:t>
      </w:r>
      <w:r w:rsidR="007647EC">
        <w:rPr>
          <w:bCs/>
        </w:rPr>
        <w:t>cooperation</w:t>
      </w:r>
      <w:r w:rsidR="002A4286" w:rsidRPr="002A4286">
        <w:t xml:space="preserve"> and </w:t>
      </w:r>
      <w:r w:rsidR="0088179C">
        <w:t>improv</w:t>
      </w:r>
      <w:r w:rsidR="00E223F2">
        <w:t xml:space="preserve">ed </w:t>
      </w:r>
      <w:r w:rsidR="0088179C">
        <w:t xml:space="preserve">infrastructure development </w:t>
      </w:r>
      <w:r w:rsidR="0088179C" w:rsidRPr="004C6B94">
        <w:rPr>
          <w:rStyle w:val="Strong"/>
          <w:b w:val="0"/>
          <w:bCs w:val="0"/>
        </w:rPr>
        <w:t xml:space="preserve">to </w:t>
      </w:r>
      <w:r w:rsidR="00E223F2">
        <w:rPr>
          <w:rStyle w:val="Strong"/>
          <w:b w:val="0"/>
          <w:bCs w:val="0"/>
        </w:rPr>
        <w:t>ensure</w:t>
      </w:r>
      <w:r w:rsidR="00E223F2" w:rsidRPr="004C6B94">
        <w:rPr>
          <w:rStyle w:val="Strong"/>
          <w:b w:val="0"/>
          <w:bCs w:val="0"/>
        </w:rPr>
        <w:t xml:space="preserve"> </w:t>
      </w:r>
      <w:r w:rsidR="0088179C" w:rsidRPr="004C6B94">
        <w:rPr>
          <w:rStyle w:val="Strong"/>
          <w:b w:val="0"/>
          <w:bCs w:val="0"/>
        </w:rPr>
        <w:t xml:space="preserve">water, food and energy security </w:t>
      </w:r>
      <w:r w:rsidR="0088179C">
        <w:rPr>
          <w:rStyle w:val="Strong"/>
          <w:b w:val="0"/>
          <w:bCs w:val="0"/>
        </w:rPr>
        <w:t>in the Mekong (GMWRP</w:t>
      </w:r>
      <w:r w:rsidR="00E223F2">
        <w:rPr>
          <w:rStyle w:val="Strong"/>
          <w:b w:val="0"/>
          <w:bCs w:val="0"/>
        </w:rPr>
        <w:t>)</w:t>
      </w:r>
      <w:r w:rsidR="00E71168">
        <w:rPr>
          <w:rStyle w:val="FootnoteReference"/>
        </w:rPr>
        <w:footnoteReference w:id="5"/>
      </w:r>
      <w:r w:rsidR="000D603E">
        <w:rPr>
          <w:rStyle w:val="Strong"/>
          <w:b w:val="0"/>
          <w:bCs w:val="0"/>
        </w:rPr>
        <w:t>.</w:t>
      </w:r>
      <w:proofErr w:type="gramEnd"/>
      <w:r w:rsidR="000D603E">
        <w:rPr>
          <w:rStyle w:val="Strong"/>
          <w:b w:val="0"/>
          <w:bCs w:val="0"/>
        </w:rPr>
        <w:t xml:space="preserve"> </w:t>
      </w:r>
      <w:r w:rsidR="00547AEE">
        <w:t>Several</w:t>
      </w:r>
      <w:r w:rsidR="0026443C">
        <w:t xml:space="preserve"> </w:t>
      </w:r>
      <w:r w:rsidR="00547AEE">
        <w:t xml:space="preserve">Mekong </w:t>
      </w:r>
      <w:r w:rsidR="0026443C">
        <w:t>programs related to transport (</w:t>
      </w:r>
      <w:r w:rsidR="0026443C" w:rsidRPr="00D556C0">
        <w:t>GMS TTF</w:t>
      </w:r>
      <w:r w:rsidR="0026443C">
        <w:t>)</w:t>
      </w:r>
      <w:r w:rsidR="00DB54A4">
        <w:rPr>
          <w:rStyle w:val="FootnoteReference"/>
        </w:rPr>
        <w:footnoteReference w:id="6"/>
      </w:r>
      <w:r w:rsidR="0026443C" w:rsidRPr="0026443C">
        <w:t xml:space="preserve"> </w:t>
      </w:r>
      <w:r w:rsidR="0026443C">
        <w:t xml:space="preserve">business enabling environments </w:t>
      </w:r>
      <w:r w:rsidR="0026443C" w:rsidRPr="00391EAD">
        <w:t>(MBI)</w:t>
      </w:r>
      <w:r w:rsidR="0026443C">
        <w:rPr>
          <w:rStyle w:val="FootnoteReference"/>
        </w:rPr>
        <w:footnoteReference w:id="7"/>
      </w:r>
      <w:r w:rsidR="00547AEE">
        <w:t xml:space="preserve"> and bio-security (LAMP)</w:t>
      </w:r>
      <w:r w:rsidR="00547AEE">
        <w:rPr>
          <w:rStyle w:val="FootnoteReference"/>
        </w:rPr>
        <w:footnoteReference w:id="8"/>
      </w:r>
      <w:r w:rsidR="00547AEE">
        <w:t xml:space="preserve"> are ending. </w:t>
      </w:r>
    </w:p>
    <w:p w14:paraId="2621A9E9" w14:textId="2A46B337" w:rsidR="00883820" w:rsidRPr="0017262A" w:rsidRDefault="007E1ADD" w:rsidP="00747E4C">
      <w:r w:rsidRPr="00F70312" w:rsidDel="00844774">
        <w:t xml:space="preserve">Our </w:t>
      </w:r>
      <w:r w:rsidRPr="00F70312">
        <w:rPr>
          <w:b/>
        </w:rPr>
        <w:t>counter</w:t>
      </w:r>
      <w:r w:rsidRPr="00F70312" w:rsidDel="00844774">
        <w:rPr>
          <w:b/>
        </w:rPr>
        <w:t>-trafficking</w:t>
      </w:r>
      <w:r w:rsidRPr="00F70312">
        <w:t xml:space="preserve"> (</w:t>
      </w:r>
      <w:r w:rsidR="00EB216C">
        <w:t>AACT</w:t>
      </w:r>
      <w:r w:rsidR="00A5219B">
        <w:rPr>
          <w:rStyle w:val="FootnoteReference"/>
        </w:rPr>
        <w:footnoteReference w:id="9"/>
      </w:r>
      <w:r w:rsidR="00A5219B">
        <w:t xml:space="preserve"> and AIP</w:t>
      </w:r>
      <w:r w:rsidR="00A5219B">
        <w:rPr>
          <w:rStyle w:val="FootnoteReference"/>
        </w:rPr>
        <w:footnoteReference w:id="10"/>
      </w:r>
      <w:r w:rsidRPr="00F70312">
        <w:t>)</w:t>
      </w:r>
      <w:r w:rsidR="00927772">
        <w:t>,</w:t>
      </w:r>
      <w:r w:rsidRPr="00F70312" w:rsidDel="00844774">
        <w:t xml:space="preserve"> </w:t>
      </w:r>
      <w:r w:rsidRPr="00F70312" w:rsidDel="00844774">
        <w:rPr>
          <w:b/>
        </w:rPr>
        <w:t>safe migration</w:t>
      </w:r>
      <w:r w:rsidRPr="00F70312">
        <w:t xml:space="preserve"> (TRIANGLE in ASEAN</w:t>
      </w:r>
      <w:r w:rsidRPr="00D02CBC">
        <w:t>)</w:t>
      </w:r>
      <w:r w:rsidR="00D02CBC">
        <w:rPr>
          <w:rStyle w:val="FootnoteReference"/>
        </w:rPr>
        <w:footnoteReference w:id="11"/>
      </w:r>
      <w:r w:rsidRPr="00D02CBC" w:rsidDel="00844774">
        <w:t xml:space="preserve"> </w:t>
      </w:r>
      <w:r w:rsidR="00927772">
        <w:t xml:space="preserve">and </w:t>
      </w:r>
      <w:r w:rsidR="00DB402F">
        <w:t>disability rights (</w:t>
      </w:r>
      <w:r w:rsidR="00927772">
        <w:t>DRIA</w:t>
      </w:r>
      <w:r w:rsidR="00DB402F">
        <w:t>)</w:t>
      </w:r>
      <w:r w:rsidR="00927772">
        <w:rPr>
          <w:rStyle w:val="FootnoteReference"/>
        </w:rPr>
        <w:footnoteReference w:id="12"/>
      </w:r>
      <w:r w:rsidR="00927772">
        <w:t xml:space="preserve"> </w:t>
      </w:r>
      <w:r w:rsidRPr="00D02CBC" w:rsidDel="00844774">
        <w:t xml:space="preserve">investments support </w:t>
      </w:r>
      <w:r w:rsidRPr="00D02CBC">
        <w:t xml:space="preserve">regional responses to </w:t>
      </w:r>
      <w:r w:rsidR="0017262A" w:rsidRPr="00D02CBC" w:rsidDel="00844774">
        <w:t>human rights</w:t>
      </w:r>
      <w:r w:rsidR="0017262A" w:rsidRPr="00D02CBC">
        <w:t xml:space="preserve"> issues, </w:t>
      </w:r>
      <w:r w:rsidR="00342A2D">
        <w:t xml:space="preserve">national and </w:t>
      </w:r>
      <w:r w:rsidRPr="00D02CBC">
        <w:t>cross-border governance challenges, and</w:t>
      </w:r>
      <w:r w:rsidR="0017262A" w:rsidRPr="00D02CBC">
        <w:t xml:space="preserve"> </w:t>
      </w:r>
      <w:r w:rsidR="00DB402F">
        <w:t>regional stability</w:t>
      </w:r>
      <w:r w:rsidRPr="00D02CBC">
        <w:t xml:space="preserve">. </w:t>
      </w:r>
    </w:p>
    <w:p w14:paraId="535F7232" w14:textId="314C10F4" w:rsidR="007143A8" w:rsidRDefault="009B7437" w:rsidP="00CD30DA">
      <w:pPr>
        <w:spacing w:before="0" w:after="120" w:line="240" w:lineRule="auto"/>
        <w:ind w:right="130"/>
      </w:pPr>
      <w:r>
        <w:t>The</w:t>
      </w:r>
      <w:r w:rsidR="00925EB8">
        <w:t xml:space="preserve"> current </w:t>
      </w:r>
      <w:r w:rsidR="00CD30DA">
        <w:t xml:space="preserve">Aid Investment Plan </w:t>
      </w:r>
      <w:r w:rsidR="001C4CAB">
        <w:t>will conclude</w:t>
      </w:r>
      <w:r>
        <w:t xml:space="preserve"> </w:t>
      </w:r>
      <w:r w:rsidR="005E2C7C">
        <w:t>at the end of 2019</w:t>
      </w:r>
      <w:r w:rsidR="0099334D">
        <w:t xml:space="preserve">. </w:t>
      </w:r>
      <w:r w:rsidR="00C109DB">
        <w:t xml:space="preserve">DFAT completed an internal </w:t>
      </w:r>
      <w:r w:rsidR="00A81B85">
        <w:t xml:space="preserve">strategic review of </w:t>
      </w:r>
      <w:r w:rsidR="007143A8">
        <w:t>the</w:t>
      </w:r>
      <w:r w:rsidR="00CD30DA">
        <w:t xml:space="preserve"> ASEAN and Mekong Program</w:t>
      </w:r>
      <w:r w:rsidR="00A81B85">
        <w:t xml:space="preserve"> to inform future directions </w:t>
      </w:r>
      <w:r w:rsidR="005E0599">
        <w:t>of the program</w:t>
      </w:r>
      <w:r w:rsidR="00C109DB">
        <w:t>, which was approved by relevant Ministers</w:t>
      </w:r>
      <w:r w:rsidR="0099334D">
        <w:t xml:space="preserve">. </w:t>
      </w:r>
      <w:r w:rsidR="00C109DB">
        <w:t>This gives us</w:t>
      </w:r>
      <w:r w:rsidR="005E0599">
        <w:t xml:space="preserve"> a clear </w:t>
      </w:r>
      <w:r w:rsidR="00A81B85">
        <w:t xml:space="preserve">framework </w:t>
      </w:r>
      <w:r w:rsidR="005E0599">
        <w:t>to</w:t>
      </w:r>
      <w:r w:rsidR="00A81B85">
        <w:t xml:space="preserve"> </w:t>
      </w:r>
      <w:r w:rsidR="005E0599">
        <w:t>inform</w:t>
      </w:r>
      <w:r w:rsidR="00A81B85">
        <w:t xml:space="preserve"> </w:t>
      </w:r>
      <w:r w:rsidR="005E0599">
        <w:t xml:space="preserve">our new Aid Investment Plan so that </w:t>
      </w:r>
      <w:r w:rsidR="00A81B85">
        <w:t xml:space="preserve">ongoing activities and new designs </w:t>
      </w:r>
      <w:r w:rsidR="005E0599">
        <w:t xml:space="preserve">will </w:t>
      </w:r>
      <w:r w:rsidR="007143A8">
        <w:t xml:space="preserve">better align with </w:t>
      </w:r>
      <w:r w:rsidR="00A81B85">
        <w:t>our Indo-Pacific objectives</w:t>
      </w:r>
      <w:r w:rsidR="0099334D">
        <w:t xml:space="preserve">. </w:t>
      </w:r>
    </w:p>
    <w:p w14:paraId="656CED06" w14:textId="29BCB073" w:rsidR="00184F1E" w:rsidRPr="002A51CA" w:rsidRDefault="00184F1E" w:rsidP="00CD30DA">
      <w:pPr>
        <w:rPr>
          <w:rFonts w:asciiTheme="majorHAnsi" w:eastAsiaTheme="majorEastAsia" w:hAnsiTheme="majorHAnsi" w:cstheme="majorBidi"/>
          <w:caps/>
          <w:sz w:val="38"/>
          <w:szCs w:val="26"/>
        </w:rPr>
      </w:pPr>
      <w:r w:rsidRPr="002A51CA">
        <w:rPr>
          <w:rFonts w:asciiTheme="majorHAnsi" w:eastAsiaTheme="majorEastAsia" w:hAnsiTheme="majorHAnsi" w:cstheme="majorBidi"/>
          <w:caps/>
          <w:sz w:val="38"/>
          <w:szCs w:val="26"/>
        </w:rPr>
        <w:t>Expenditure</w:t>
      </w:r>
    </w:p>
    <w:p w14:paraId="576D3DB6" w14:textId="75561AD8" w:rsidR="009D1069" w:rsidRDefault="00652CCF" w:rsidP="00652CCF">
      <w:r w:rsidRPr="00ED7909">
        <w:t xml:space="preserve">The Program’s expenditure </w:t>
      </w:r>
      <w:proofErr w:type="gramStart"/>
      <w:r w:rsidR="001D1F16">
        <w:t>was distributed</w:t>
      </w:r>
      <w:proofErr w:type="gramEnd"/>
      <w:r w:rsidR="00370651">
        <w:t xml:space="preserve"> across </w:t>
      </w:r>
      <w:r w:rsidR="00820D72">
        <w:t>two</w:t>
      </w:r>
      <w:r w:rsidR="00370651">
        <w:t xml:space="preserve"> objectives</w:t>
      </w:r>
      <w:r w:rsidR="00820D72">
        <w:t xml:space="preserve"> and was similar to the previous reporting period – FY2017-18.</w:t>
      </w:r>
      <w:r w:rsidR="005E0599">
        <w:t xml:space="preserve"> Security Cooperation</w:t>
      </w:r>
      <w:r w:rsidR="00263FAD">
        <w:t xml:space="preserve"> and Human Rights</w:t>
      </w:r>
      <w:r w:rsidR="005E0599">
        <w:t xml:space="preserve"> is an emerging area of work that </w:t>
      </w:r>
      <w:proofErr w:type="gramStart"/>
      <w:r w:rsidR="005E0599">
        <w:t>is reflected</w:t>
      </w:r>
      <w:proofErr w:type="gramEnd"/>
      <w:r w:rsidR="005E0599">
        <w:t xml:space="preserve"> below </w:t>
      </w:r>
      <w:r w:rsidR="00263FAD">
        <w:t xml:space="preserve">to enable accurate tracking of expenditure over the forward years. We expect it </w:t>
      </w:r>
      <w:proofErr w:type="gramStart"/>
      <w:r w:rsidR="00263FAD">
        <w:t>w</w:t>
      </w:r>
      <w:r w:rsidR="005E0599">
        <w:t>ill be incorporated</w:t>
      </w:r>
      <w:proofErr w:type="gramEnd"/>
      <w:r w:rsidR="005E0599">
        <w:t xml:space="preserve"> </w:t>
      </w:r>
      <w:r w:rsidR="00263FAD">
        <w:t xml:space="preserve">as an objective </w:t>
      </w:r>
      <w:r w:rsidR="005E0599">
        <w:t xml:space="preserve">in the next Aid Investment Plan. </w:t>
      </w:r>
    </w:p>
    <w:p w14:paraId="403A902A" w14:textId="653E27BC" w:rsidR="00561A7D" w:rsidRPr="00561A7D" w:rsidRDefault="00561A7D" w:rsidP="00652CCF">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604C3A">
        <w:rPr>
          <w:b/>
          <w:noProof/>
          <w:sz w:val="24"/>
        </w:rPr>
        <w:t>1</w:t>
      </w:r>
      <w:r w:rsidRPr="008C2F58">
        <w:rPr>
          <w:b/>
          <w:noProof/>
          <w:sz w:val="24"/>
        </w:rPr>
        <w:fldChar w:fldCharType="end"/>
      </w:r>
      <w:r w:rsidRPr="008C2F58">
        <w:rPr>
          <w:b/>
          <w:sz w:val="24"/>
        </w:rPr>
        <w:t xml:space="preserve"> Total ODA Expenditure in FY 201</w:t>
      </w:r>
      <w:r w:rsidR="00D235B2">
        <w:rPr>
          <w:b/>
          <w:sz w:val="24"/>
        </w:rPr>
        <w:t>8</w:t>
      </w:r>
      <w:r w:rsidRPr="008C2F58">
        <w:rPr>
          <w:b/>
          <w:sz w:val="24"/>
        </w:rPr>
        <w:t>-1</w:t>
      </w:r>
      <w:r w:rsidR="00D235B2">
        <w:rPr>
          <w:b/>
          <w:sz w:val="24"/>
        </w:rPr>
        <w:t>9</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1423"/>
        <w:gridCol w:w="1417"/>
      </w:tblGrid>
      <w:tr w:rsidR="00561A7D" w14:paraId="3D8E82CD" w14:textId="77777777" w:rsidTr="00370651">
        <w:tc>
          <w:tcPr>
            <w:tcW w:w="6374" w:type="dxa"/>
          </w:tcPr>
          <w:p w14:paraId="2D039A22" w14:textId="77777777" w:rsidR="00561A7D" w:rsidRDefault="00561A7D" w:rsidP="00370651">
            <w:pPr>
              <w:rPr>
                <w:b/>
                <w:sz w:val="24"/>
              </w:rPr>
            </w:pPr>
            <w:r w:rsidRPr="00BE6C6D">
              <w:rPr>
                <w:sz w:val="20"/>
              </w:rPr>
              <w:t>Objective</w:t>
            </w:r>
          </w:p>
        </w:tc>
        <w:tc>
          <w:tcPr>
            <w:tcW w:w="1423" w:type="dxa"/>
          </w:tcPr>
          <w:p w14:paraId="7E3CD4E7" w14:textId="77777777" w:rsidR="00561A7D" w:rsidRDefault="00561A7D" w:rsidP="00370651">
            <w:pPr>
              <w:jc w:val="center"/>
              <w:rPr>
                <w:b/>
                <w:sz w:val="24"/>
              </w:rPr>
            </w:pPr>
            <w:r w:rsidRPr="00BE6C6D">
              <w:rPr>
                <w:sz w:val="20"/>
              </w:rPr>
              <w:t>A$ million</w:t>
            </w:r>
          </w:p>
        </w:tc>
        <w:tc>
          <w:tcPr>
            <w:tcW w:w="1417" w:type="dxa"/>
          </w:tcPr>
          <w:p w14:paraId="7EC097DA" w14:textId="77777777" w:rsidR="00561A7D" w:rsidRDefault="00561A7D" w:rsidP="00370651">
            <w:pPr>
              <w:jc w:val="center"/>
              <w:rPr>
                <w:b/>
                <w:sz w:val="24"/>
              </w:rPr>
            </w:pPr>
            <w:r w:rsidRPr="00BE6C6D">
              <w:rPr>
                <w:sz w:val="20"/>
              </w:rPr>
              <w:t>% of total ODA</w:t>
            </w:r>
          </w:p>
        </w:tc>
      </w:tr>
      <w:tr w:rsidR="00561A7D" w14:paraId="0EA7008A" w14:textId="77777777" w:rsidTr="00370651">
        <w:tc>
          <w:tcPr>
            <w:tcW w:w="6374" w:type="dxa"/>
          </w:tcPr>
          <w:p w14:paraId="1F3CCF03" w14:textId="425FF57F" w:rsidR="00561A7D" w:rsidRDefault="00561A7D" w:rsidP="00370651">
            <w:pPr>
              <w:rPr>
                <w:b/>
                <w:sz w:val="24"/>
              </w:rPr>
            </w:pPr>
            <w:r w:rsidRPr="00BE6C6D">
              <w:rPr>
                <w:sz w:val="20"/>
              </w:rPr>
              <w:t>Objective 1</w:t>
            </w:r>
            <w:r w:rsidR="001D1F16">
              <w:t xml:space="preserve">: </w:t>
            </w:r>
            <w:r w:rsidR="001D1F16" w:rsidRPr="00ED7909">
              <w:t>Enabling regional economic cooperation and inclusive growth</w:t>
            </w:r>
          </w:p>
        </w:tc>
        <w:tc>
          <w:tcPr>
            <w:tcW w:w="1423" w:type="dxa"/>
          </w:tcPr>
          <w:p w14:paraId="7ADE6613" w14:textId="7A37B14F" w:rsidR="00561A7D" w:rsidRDefault="003C4ED3">
            <w:pPr>
              <w:jc w:val="center"/>
              <w:rPr>
                <w:b/>
                <w:sz w:val="24"/>
              </w:rPr>
            </w:pPr>
            <w:r>
              <w:rPr>
                <w:b/>
                <w:sz w:val="24"/>
              </w:rPr>
              <w:t>20.2</w:t>
            </w:r>
          </w:p>
        </w:tc>
        <w:tc>
          <w:tcPr>
            <w:tcW w:w="1417" w:type="dxa"/>
          </w:tcPr>
          <w:p w14:paraId="40FEEBC0" w14:textId="459A0F25" w:rsidR="00561A7D" w:rsidRDefault="003C4ED3">
            <w:pPr>
              <w:jc w:val="center"/>
              <w:rPr>
                <w:b/>
                <w:sz w:val="24"/>
              </w:rPr>
            </w:pPr>
            <w:r>
              <w:rPr>
                <w:b/>
                <w:sz w:val="24"/>
              </w:rPr>
              <w:t>60.7</w:t>
            </w:r>
          </w:p>
        </w:tc>
      </w:tr>
      <w:tr w:rsidR="00561A7D" w14:paraId="39CEC892" w14:textId="77777777" w:rsidTr="00370651">
        <w:tc>
          <w:tcPr>
            <w:tcW w:w="6374" w:type="dxa"/>
          </w:tcPr>
          <w:p w14:paraId="37CC752A" w14:textId="66DFA278" w:rsidR="00561A7D" w:rsidRDefault="00561A7D" w:rsidP="00370651">
            <w:pPr>
              <w:rPr>
                <w:b/>
                <w:sz w:val="24"/>
              </w:rPr>
            </w:pPr>
            <w:r w:rsidRPr="00BE6C6D">
              <w:rPr>
                <w:sz w:val="20"/>
              </w:rPr>
              <w:t>Objective 2</w:t>
            </w:r>
            <w:r w:rsidR="003C4ED3">
              <w:rPr>
                <w:sz w:val="20"/>
              </w:rPr>
              <w:t>:</w:t>
            </w:r>
            <w:r w:rsidR="001D1F16" w:rsidRPr="00ED7909">
              <w:t xml:space="preserve"> Strengthening regional responses to trafficking and the exploitation of migrant workers</w:t>
            </w:r>
          </w:p>
        </w:tc>
        <w:tc>
          <w:tcPr>
            <w:tcW w:w="1423" w:type="dxa"/>
          </w:tcPr>
          <w:p w14:paraId="39B7AD97" w14:textId="4243EA90" w:rsidR="00561A7D" w:rsidRDefault="004720AE">
            <w:pPr>
              <w:jc w:val="center"/>
              <w:rPr>
                <w:b/>
                <w:sz w:val="24"/>
              </w:rPr>
            </w:pPr>
            <w:r>
              <w:rPr>
                <w:b/>
                <w:sz w:val="24"/>
              </w:rPr>
              <w:t>10.4</w:t>
            </w:r>
          </w:p>
        </w:tc>
        <w:tc>
          <w:tcPr>
            <w:tcW w:w="1417" w:type="dxa"/>
          </w:tcPr>
          <w:p w14:paraId="568B51D2" w14:textId="428A7446" w:rsidR="00561A7D" w:rsidRDefault="004720AE">
            <w:pPr>
              <w:jc w:val="center"/>
              <w:rPr>
                <w:b/>
                <w:sz w:val="24"/>
              </w:rPr>
            </w:pPr>
            <w:r>
              <w:rPr>
                <w:b/>
                <w:sz w:val="24"/>
              </w:rPr>
              <w:t>31.2</w:t>
            </w:r>
          </w:p>
        </w:tc>
      </w:tr>
      <w:tr w:rsidR="003C4ED3" w14:paraId="110B01F7" w14:textId="77777777" w:rsidTr="00370651">
        <w:tc>
          <w:tcPr>
            <w:tcW w:w="6374" w:type="dxa"/>
          </w:tcPr>
          <w:p w14:paraId="1D69FD88" w14:textId="549B72BA" w:rsidR="003C4ED3" w:rsidRPr="00BE6C6D" w:rsidRDefault="003C4ED3" w:rsidP="00370651">
            <w:pPr>
              <w:rPr>
                <w:sz w:val="20"/>
              </w:rPr>
            </w:pPr>
            <w:r w:rsidRPr="00EB093E">
              <w:t>Security Cooperation and Human Rights</w:t>
            </w:r>
          </w:p>
        </w:tc>
        <w:tc>
          <w:tcPr>
            <w:tcW w:w="1423" w:type="dxa"/>
          </w:tcPr>
          <w:p w14:paraId="0630018F" w14:textId="1673869A" w:rsidR="003C4ED3" w:rsidDel="004720AE" w:rsidRDefault="003C4ED3" w:rsidP="008F2B40">
            <w:pPr>
              <w:jc w:val="center"/>
              <w:rPr>
                <w:b/>
                <w:sz w:val="24"/>
              </w:rPr>
            </w:pPr>
            <w:r>
              <w:rPr>
                <w:b/>
                <w:sz w:val="24"/>
              </w:rPr>
              <w:t>2.7</w:t>
            </w:r>
          </w:p>
        </w:tc>
        <w:tc>
          <w:tcPr>
            <w:tcW w:w="1417" w:type="dxa"/>
          </w:tcPr>
          <w:p w14:paraId="7AB8726F" w14:textId="1D80A94C" w:rsidR="003C4ED3" w:rsidDel="004720AE" w:rsidRDefault="003C4ED3" w:rsidP="008F2B40">
            <w:pPr>
              <w:jc w:val="center"/>
              <w:rPr>
                <w:b/>
                <w:sz w:val="24"/>
              </w:rPr>
            </w:pPr>
            <w:r>
              <w:rPr>
                <w:b/>
                <w:sz w:val="24"/>
              </w:rPr>
              <w:t>8.1</w:t>
            </w:r>
          </w:p>
        </w:tc>
      </w:tr>
      <w:tr w:rsidR="00561A7D" w14:paraId="0B9EE124" w14:textId="77777777" w:rsidTr="00370651">
        <w:tc>
          <w:tcPr>
            <w:tcW w:w="6374" w:type="dxa"/>
          </w:tcPr>
          <w:p w14:paraId="481DBAA6" w14:textId="77777777" w:rsidR="00561A7D" w:rsidRDefault="00561A7D" w:rsidP="00370651">
            <w:pPr>
              <w:rPr>
                <w:b/>
                <w:sz w:val="24"/>
              </w:rPr>
            </w:pPr>
            <w:r w:rsidRPr="00BE6C6D">
              <w:rPr>
                <w:sz w:val="20"/>
              </w:rPr>
              <w:t>Total ODA Expenditure</w:t>
            </w:r>
          </w:p>
        </w:tc>
        <w:tc>
          <w:tcPr>
            <w:tcW w:w="1423" w:type="dxa"/>
          </w:tcPr>
          <w:p w14:paraId="378E4267" w14:textId="6A8D267B" w:rsidR="00561A7D" w:rsidRDefault="006F0385" w:rsidP="006F0385">
            <w:pPr>
              <w:jc w:val="center"/>
              <w:rPr>
                <w:b/>
                <w:sz w:val="24"/>
              </w:rPr>
            </w:pPr>
            <w:r>
              <w:rPr>
                <w:b/>
                <w:sz w:val="24"/>
              </w:rPr>
              <w:t>3</w:t>
            </w:r>
            <w:r w:rsidR="0029455A">
              <w:rPr>
                <w:b/>
                <w:sz w:val="24"/>
              </w:rPr>
              <w:t>3.3</w:t>
            </w:r>
          </w:p>
        </w:tc>
        <w:tc>
          <w:tcPr>
            <w:tcW w:w="1417" w:type="dxa"/>
          </w:tcPr>
          <w:p w14:paraId="679649EC" w14:textId="6928E745" w:rsidR="00561A7D" w:rsidRDefault="006F0385" w:rsidP="006F0385">
            <w:pPr>
              <w:jc w:val="center"/>
              <w:rPr>
                <w:b/>
                <w:sz w:val="24"/>
              </w:rPr>
            </w:pPr>
            <w:r>
              <w:rPr>
                <w:b/>
                <w:sz w:val="24"/>
              </w:rPr>
              <w:t>100</w:t>
            </w:r>
          </w:p>
        </w:tc>
      </w:tr>
    </w:tbl>
    <w:p w14:paraId="6BA66951" w14:textId="77777777" w:rsidR="00561A7D" w:rsidRPr="00ED7909" w:rsidRDefault="00561A7D" w:rsidP="00652CCF"/>
    <w:p w14:paraId="5251A056" w14:textId="77777777" w:rsidR="00B562F7" w:rsidRDefault="00B562F7" w:rsidP="002A4A0E">
      <w:pPr>
        <w:pStyle w:val="ListBullet"/>
        <w:tabs>
          <w:tab w:val="clear" w:pos="284"/>
        </w:tabs>
        <w:spacing w:before="360"/>
        <w:rPr>
          <w:rFonts w:asciiTheme="majorHAnsi" w:eastAsiaTheme="majorEastAsia" w:hAnsiTheme="majorHAnsi" w:cstheme="majorBidi"/>
          <w:caps/>
          <w:color w:val="495965" w:themeColor="text2"/>
          <w:sz w:val="36"/>
          <w:szCs w:val="26"/>
          <w:lang w:val="en-GB" w:eastAsia="en-US"/>
        </w:rPr>
      </w:pPr>
    </w:p>
    <w:p w14:paraId="0DF93E52" w14:textId="77777777" w:rsidR="00996056" w:rsidRDefault="00996056" w:rsidP="002A4A0E">
      <w:pPr>
        <w:pStyle w:val="ListBullet"/>
        <w:tabs>
          <w:tab w:val="clear" w:pos="284"/>
        </w:tabs>
        <w:spacing w:before="360"/>
        <w:rPr>
          <w:rFonts w:asciiTheme="majorHAnsi" w:eastAsiaTheme="majorEastAsia" w:hAnsiTheme="majorHAnsi" w:cstheme="majorBidi"/>
          <w:caps/>
          <w:color w:val="495965" w:themeColor="text2"/>
          <w:sz w:val="36"/>
          <w:szCs w:val="26"/>
          <w:lang w:val="en-GB" w:eastAsia="en-US"/>
        </w:rPr>
      </w:pPr>
    </w:p>
    <w:p w14:paraId="45D1558F" w14:textId="311501F7" w:rsidR="005B5769" w:rsidRPr="008C2F58" w:rsidRDefault="005B5769" w:rsidP="002A4A0E">
      <w:pPr>
        <w:pStyle w:val="ListBullet"/>
        <w:tabs>
          <w:tab w:val="clear" w:pos="284"/>
        </w:tabs>
        <w:spacing w:before="360"/>
        <w:rPr>
          <w:rFonts w:asciiTheme="majorHAnsi" w:eastAsiaTheme="majorEastAsia" w:hAnsiTheme="majorHAnsi" w:cstheme="majorBidi"/>
          <w:caps/>
          <w:color w:val="495965" w:themeColor="text2"/>
          <w:sz w:val="36"/>
          <w:szCs w:val="26"/>
          <w:lang w:val="en-GB" w:eastAsia="en-US"/>
        </w:rPr>
      </w:pPr>
      <w:r w:rsidRPr="008C2F58">
        <w:rPr>
          <w:rFonts w:asciiTheme="majorHAnsi" w:eastAsiaTheme="majorEastAsia" w:hAnsiTheme="majorHAnsi" w:cstheme="majorBidi"/>
          <w:caps/>
          <w:color w:val="495965" w:themeColor="text2"/>
          <w:sz w:val="36"/>
          <w:szCs w:val="26"/>
          <w:lang w:val="en-GB" w:eastAsia="en-US"/>
        </w:rPr>
        <w:t>Performance against Strategic Objectives</w:t>
      </w:r>
    </w:p>
    <w:tbl>
      <w:tblPr>
        <w:tblStyle w:val="APPR"/>
        <w:tblW w:w="5000" w:type="pct"/>
        <w:tblLook w:val="0000" w:firstRow="0" w:lastRow="0" w:firstColumn="0" w:lastColumn="0" w:noHBand="0" w:noVBand="0"/>
      </w:tblPr>
      <w:tblGrid>
        <w:gridCol w:w="5849"/>
        <w:gridCol w:w="1126"/>
        <w:gridCol w:w="430"/>
        <w:gridCol w:w="1195"/>
        <w:gridCol w:w="1038"/>
      </w:tblGrid>
      <w:tr w:rsidR="002A4A0E" w:rsidRPr="00812509" w14:paraId="5DF95582" w14:textId="77777777" w:rsidTr="00184F1E">
        <w:trPr>
          <w:cnfStyle w:val="000000010000" w:firstRow="0" w:lastRow="0" w:firstColumn="0" w:lastColumn="0" w:oddVBand="0" w:evenVBand="0" w:oddHBand="0" w:evenHBand="1" w:firstRowFirstColumn="0" w:firstRowLastColumn="0" w:lastRowFirstColumn="0" w:lastRowLastColumn="0"/>
          <w:trHeight w:val="651"/>
        </w:trPr>
        <w:tc>
          <w:tcPr>
            <w:tcW w:w="5807" w:type="dxa"/>
          </w:tcPr>
          <w:p w14:paraId="0ACC305C" w14:textId="77777777" w:rsidR="002A4A0E" w:rsidRPr="00812509" w:rsidRDefault="002A4A0E" w:rsidP="00E65105">
            <w:pPr>
              <w:pStyle w:val="TableTextColumnHeading"/>
            </w:pPr>
            <w:r w:rsidRPr="00812509">
              <w:rPr>
                <w:noProof/>
              </w:rPr>
              <w:drawing>
                <wp:anchor distT="0" distB="0" distL="114300" distR="114300" simplePos="0" relativeHeight="251674624" behindDoc="0" locked="0" layoutInCell="1" allowOverlap="1" wp14:anchorId="4CCE81ED" wp14:editId="295B4893">
                  <wp:simplePos x="0" y="0"/>
                  <wp:positionH relativeFrom="column">
                    <wp:posOffset>0</wp:posOffset>
                  </wp:positionH>
                  <wp:positionV relativeFrom="paragraph">
                    <wp:posOffset>0</wp:posOffset>
                  </wp:positionV>
                  <wp:extent cx="1857375" cy="228600"/>
                  <wp:effectExtent l="0" t="0" r="9525" b="0"/>
                  <wp:wrapNone/>
                  <wp:docPr id="20" name="Picture 20"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t>Objective</w:t>
            </w:r>
          </w:p>
        </w:tc>
        <w:tc>
          <w:tcPr>
            <w:tcW w:w="1098" w:type="dxa"/>
          </w:tcPr>
          <w:p w14:paraId="5667F1FE" w14:textId="77777777" w:rsidR="002A4A0E" w:rsidRPr="00812509" w:rsidRDefault="002A4A0E" w:rsidP="00E65105">
            <w:pPr>
              <w:pStyle w:val="TableTextColumnHeading"/>
            </w:pPr>
            <w:r w:rsidRPr="00812509">
              <w:t>Previous Rating</w:t>
            </w:r>
          </w:p>
        </w:tc>
        <w:tc>
          <w:tcPr>
            <w:tcW w:w="402" w:type="dxa"/>
          </w:tcPr>
          <w:p w14:paraId="6CBB7C6E" w14:textId="77777777" w:rsidR="002A4A0E" w:rsidRPr="00812509" w:rsidRDefault="002A4A0E" w:rsidP="00E65105">
            <w:pPr>
              <w:pStyle w:val="TableTextColumnHeading"/>
            </w:pPr>
          </w:p>
        </w:tc>
        <w:tc>
          <w:tcPr>
            <w:tcW w:w="1167" w:type="dxa"/>
          </w:tcPr>
          <w:p w14:paraId="6FA17C06" w14:textId="77777777" w:rsidR="002A4A0E" w:rsidRPr="00812509" w:rsidRDefault="002A4A0E" w:rsidP="00E65105">
            <w:pPr>
              <w:pStyle w:val="TableTextColumnHeading"/>
            </w:pPr>
            <w:r w:rsidRPr="00812509">
              <w:t>Current Rating</w:t>
            </w:r>
          </w:p>
        </w:tc>
        <w:tc>
          <w:tcPr>
            <w:tcW w:w="996" w:type="dxa"/>
          </w:tcPr>
          <w:p w14:paraId="211FD9F5" w14:textId="77777777" w:rsidR="002A4A0E" w:rsidRPr="002A4A0E" w:rsidRDefault="002A4A0E" w:rsidP="00E65105">
            <w:pPr>
              <w:pStyle w:val="TableTextColumnHeading"/>
            </w:pPr>
          </w:p>
        </w:tc>
      </w:tr>
      <w:tr w:rsidR="002A4A0E" w:rsidRPr="00812509" w14:paraId="3579D8AB" w14:textId="77777777" w:rsidTr="002C0FCD">
        <w:trPr>
          <w:cnfStyle w:val="000000010000" w:firstRow="0" w:lastRow="0" w:firstColumn="0" w:lastColumn="0" w:oddVBand="0" w:evenVBand="0" w:oddHBand="0" w:evenHBand="1" w:firstRowFirstColumn="0" w:firstRowLastColumn="0" w:lastRowFirstColumn="0" w:lastRowLastColumn="0"/>
        </w:trPr>
        <w:tc>
          <w:tcPr>
            <w:tcW w:w="5807" w:type="dxa"/>
          </w:tcPr>
          <w:p w14:paraId="41523D55" w14:textId="31B4852B" w:rsidR="002A4A0E" w:rsidRPr="00812509" w:rsidRDefault="002A4A0E" w:rsidP="002A4A0E">
            <w:pPr>
              <w:pStyle w:val="TableTextEntries"/>
              <w:rPr>
                <w:rFonts w:asciiTheme="minorHAnsi" w:hAnsiTheme="minorHAnsi"/>
              </w:rPr>
            </w:pPr>
            <w:r w:rsidRPr="00812509">
              <w:rPr>
                <w:rFonts w:asciiTheme="minorHAnsi" w:hAnsiTheme="minorHAnsi"/>
              </w:rPr>
              <w:t>Objective 1</w:t>
            </w:r>
            <w:r w:rsidR="00BD1E50">
              <w:rPr>
                <w:rFonts w:asciiTheme="minorHAnsi" w:hAnsiTheme="minorHAnsi"/>
              </w:rPr>
              <w:t xml:space="preserve"> Enabling regional economic cooperation and inclusive growth</w:t>
            </w:r>
          </w:p>
        </w:tc>
        <w:tc>
          <w:tcPr>
            <w:tcW w:w="1098" w:type="dxa"/>
            <w:shd w:val="clear" w:color="auto" w:fill="72AF2F"/>
            <w:noWrap/>
          </w:tcPr>
          <w:p w14:paraId="0B07CF4E" w14:textId="77777777" w:rsidR="002A4A0E" w:rsidRPr="00812509" w:rsidRDefault="002A4A0E" w:rsidP="002A4A0E">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c>
          <w:tcPr>
            <w:tcW w:w="402" w:type="dxa"/>
          </w:tcPr>
          <w:p w14:paraId="45A8AC9E" w14:textId="77777777" w:rsidR="002A4A0E" w:rsidRPr="00812509" w:rsidRDefault="002A4A0E" w:rsidP="007A6119">
            <w:pPr>
              <w:pStyle w:val="TableTextEntries"/>
              <w:jc w:val="center"/>
              <w:rPr>
                <w:rFonts w:asciiTheme="minorHAnsi" w:hAnsiTheme="minorHAnsi"/>
                <w:color w:val="FFFFFF" w:themeColor="background1"/>
              </w:rPr>
            </w:pPr>
          </w:p>
        </w:tc>
        <w:tc>
          <w:tcPr>
            <w:tcW w:w="1167" w:type="dxa"/>
            <w:shd w:val="clear" w:color="auto" w:fill="72AF2F"/>
            <w:noWrap/>
          </w:tcPr>
          <w:p w14:paraId="72F2F599" w14:textId="556AF9A1" w:rsidR="002A4A0E" w:rsidRPr="00812509" w:rsidRDefault="00000E75">
            <w:pPr>
              <w:pStyle w:val="TableTextEntries"/>
              <w:jc w:val="center"/>
              <w:rPr>
                <w:rFonts w:asciiTheme="minorHAnsi" w:hAnsiTheme="minorHAnsi"/>
                <w:color w:val="FFFFFF" w:themeColor="background1"/>
              </w:rPr>
            </w:pPr>
            <w:r>
              <w:rPr>
                <w:rFonts w:asciiTheme="minorHAnsi" w:hAnsiTheme="minorHAnsi"/>
                <w:color w:val="FFFFFF" w:themeColor="background1"/>
              </w:rPr>
              <w:t>Green</w:t>
            </w:r>
          </w:p>
        </w:tc>
        <w:tc>
          <w:tcPr>
            <w:tcW w:w="996" w:type="dxa"/>
            <w:shd w:val="clear" w:color="auto" w:fill="auto"/>
          </w:tcPr>
          <w:p w14:paraId="6DC4E45E" w14:textId="77777777" w:rsidR="002A4A0E" w:rsidRPr="002A4A0E" w:rsidRDefault="002A4A0E" w:rsidP="00184F1E">
            <w:pPr>
              <w:pStyle w:val="TableTextEntries"/>
              <w:jc w:val="center"/>
              <w:rPr>
                <w:rFonts w:asciiTheme="minorHAnsi" w:hAnsiTheme="minorHAnsi"/>
                <w:color w:val="FFFFFF" w:themeColor="background1"/>
              </w:rPr>
            </w:pPr>
          </w:p>
        </w:tc>
      </w:tr>
      <w:tr w:rsidR="002A4A0E" w:rsidRPr="00812509" w14:paraId="3D2B297D" w14:textId="77777777" w:rsidTr="002C0FCD">
        <w:trPr>
          <w:cnfStyle w:val="000000010000" w:firstRow="0" w:lastRow="0" w:firstColumn="0" w:lastColumn="0" w:oddVBand="0" w:evenVBand="0" w:oddHBand="0" w:evenHBand="1" w:firstRowFirstColumn="0" w:firstRowLastColumn="0" w:lastRowFirstColumn="0" w:lastRowLastColumn="0"/>
        </w:trPr>
        <w:tc>
          <w:tcPr>
            <w:tcW w:w="5807" w:type="dxa"/>
          </w:tcPr>
          <w:p w14:paraId="1E79EEF7" w14:textId="170E64D0" w:rsidR="002A4A0E" w:rsidRPr="00812509" w:rsidRDefault="002A4A0E" w:rsidP="002A4A0E">
            <w:pPr>
              <w:pStyle w:val="TableTextEntries"/>
              <w:rPr>
                <w:rFonts w:asciiTheme="minorHAnsi" w:hAnsiTheme="minorHAnsi"/>
              </w:rPr>
            </w:pPr>
            <w:r w:rsidRPr="00812509">
              <w:rPr>
                <w:rFonts w:asciiTheme="minorHAnsi" w:hAnsiTheme="minorHAnsi"/>
              </w:rPr>
              <w:t>Objective 2</w:t>
            </w:r>
            <w:r w:rsidR="00BD1E50">
              <w:rPr>
                <w:rFonts w:asciiTheme="minorHAnsi" w:hAnsiTheme="minorHAnsi"/>
              </w:rPr>
              <w:t xml:space="preserve"> Strengthening regional responses to trafficking and the exploitation of migrant workers</w:t>
            </w:r>
          </w:p>
        </w:tc>
        <w:tc>
          <w:tcPr>
            <w:tcW w:w="1098" w:type="dxa"/>
            <w:shd w:val="clear" w:color="auto" w:fill="72AF2F"/>
            <w:noWrap/>
          </w:tcPr>
          <w:p w14:paraId="46D14136" w14:textId="59B78F39" w:rsidR="002A4A0E" w:rsidRPr="00812509" w:rsidRDefault="00000E75" w:rsidP="002A4A0E">
            <w:pPr>
              <w:pStyle w:val="TableTextEntries"/>
              <w:jc w:val="center"/>
              <w:rPr>
                <w:rFonts w:asciiTheme="minorHAnsi" w:hAnsiTheme="minorHAnsi"/>
                <w:color w:val="FFFFFF" w:themeColor="background1"/>
              </w:rPr>
            </w:pPr>
            <w:r>
              <w:rPr>
                <w:rFonts w:asciiTheme="minorHAnsi" w:hAnsiTheme="minorHAnsi"/>
                <w:color w:val="FFFFFF" w:themeColor="background1"/>
              </w:rPr>
              <w:t>Green</w:t>
            </w:r>
          </w:p>
        </w:tc>
        <w:tc>
          <w:tcPr>
            <w:tcW w:w="402" w:type="dxa"/>
          </w:tcPr>
          <w:p w14:paraId="64BF9965" w14:textId="77777777" w:rsidR="002A4A0E" w:rsidRPr="00812509" w:rsidRDefault="002A4A0E" w:rsidP="007A6119">
            <w:pPr>
              <w:pStyle w:val="TableTextEntries"/>
              <w:jc w:val="center"/>
              <w:rPr>
                <w:rFonts w:asciiTheme="minorHAnsi" w:hAnsiTheme="minorHAnsi"/>
                <w:color w:val="FFFFFF" w:themeColor="background1"/>
              </w:rPr>
            </w:pPr>
          </w:p>
        </w:tc>
        <w:tc>
          <w:tcPr>
            <w:tcW w:w="1167" w:type="dxa"/>
            <w:shd w:val="clear" w:color="auto" w:fill="72AF2F"/>
            <w:noWrap/>
          </w:tcPr>
          <w:p w14:paraId="256C9D4C" w14:textId="77777777" w:rsidR="002A4A0E" w:rsidRPr="00812509" w:rsidRDefault="002A4A0E">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c>
          <w:tcPr>
            <w:tcW w:w="996" w:type="dxa"/>
            <w:shd w:val="clear" w:color="auto" w:fill="auto"/>
          </w:tcPr>
          <w:p w14:paraId="52DB2BC6" w14:textId="77777777" w:rsidR="002A4A0E" w:rsidRPr="002A4A0E" w:rsidRDefault="002A4A0E" w:rsidP="00184F1E">
            <w:pPr>
              <w:pStyle w:val="TableTextEntries"/>
              <w:jc w:val="center"/>
              <w:rPr>
                <w:rFonts w:asciiTheme="minorHAnsi" w:hAnsiTheme="minorHAnsi"/>
                <w:color w:val="FFFFFF" w:themeColor="background1"/>
              </w:rPr>
            </w:pPr>
          </w:p>
        </w:tc>
      </w:tr>
    </w:tbl>
    <w:p w14:paraId="7145CEBA" w14:textId="77777777" w:rsidR="005B5769" w:rsidRPr="00812509" w:rsidRDefault="005B5769">
      <w:pPr>
        <w:pStyle w:val="Note"/>
        <w:rPr>
          <w:rFonts w:asciiTheme="minorHAnsi" w:hAnsiTheme="minorHAnsi"/>
          <w:sz w:val="16"/>
        </w:rPr>
      </w:pPr>
      <w:r w:rsidRPr="00812509">
        <w:rPr>
          <w:rFonts w:asciiTheme="minorHAnsi" w:hAnsiTheme="minorHAnsi"/>
          <w:color w:val="72AF2F"/>
          <w:sz w:val="16"/>
        </w:rPr>
        <w:sym w:font="Webdings" w:char="F067"/>
      </w:r>
      <w:r w:rsidRPr="00812509">
        <w:rPr>
          <w:rFonts w:asciiTheme="minorHAnsi" w:hAnsiTheme="minorHAnsi"/>
          <w:sz w:val="16"/>
        </w:rPr>
        <w:t> </w:t>
      </w:r>
      <w:r w:rsidRPr="00812509">
        <w:rPr>
          <w:rFonts w:asciiTheme="minorHAnsi" w:hAnsiTheme="minorHAnsi"/>
          <w:sz w:val="16"/>
        </w:rPr>
        <w:t xml:space="preserve"> Green. Progress is as expected at this stage of implementation and it is likely that the objective </w:t>
      </w:r>
      <w:proofErr w:type="gramStart"/>
      <w:r w:rsidRPr="00812509">
        <w:rPr>
          <w:rFonts w:asciiTheme="minorHAnsi" w:hAnsiTheme="minorHAnsi"/>
          <w:sz w:val="16"/>
        </w:rPr>
        <w:t>will be achieved</w:t>
      </w:r>
      <w:proofErr w:type="gramEnd"/>
      <w:r w:rsidRPr="00812509">
        <w:rPr>
          <w:rFonts w:asciiTheme="minorHAnsi" w:hAnsiTheme="minorHAnsi"/>
          <w:sz w:val="16"/>
        </w:rPr>
        <w:t xml:space="preserve">. Standard program management </w:t>
      </w:r>
      <w:proofErr w:type="gramStart"/>
      <w:r w:rsidRPr="00812509">
        <w:rPr>
          <w:rFonts w:asciiTheme="minorHAnsi" w:hAnsiTheme="minorHAnsi"/>
          <w:sz w:val="16"/>
        </w:rPr>
        <w:t>practices</w:t>
      </w:r>
      <w:proofErr w:type="gramEnd"/>
      <w:r w:rsidRPr="00812509">
        <w:rPr>
          <w:rFonts w:asciiTheme="minorHAnsi" w:hAnsiTheme="minorHAnsi"/>
          <w:sz w:val="16"/>
        </w:rPr>
        <w:t xml:space="preserve"> are sufficient.</w:t>
      </w:r>
    </w:p>
    <w:p w14:paraId="1E1898BE" w14:textId="77777777" w:rsidR="005B5769" w:rsidRPr="00812509" w:rsidRDefault="005B5769">
      <w:pPr>
        <w:pStyle w:val="Note"/>
        <w:rPr>
          <w:rFonts w:asciiTheme="minorHAnsi" w:hAnsiTheme="minorHAnsi"/>
          <w:sz w:val="16"/>
        </w:rPr>
      </w:pPr>
      <w:r w:rsidRPr="00812509">
        <w:rPr>
          <w:rFonts w:asciiTheme="minorHAnsi" w:hAnsiTheme="minorHAnsi"/>
          <w:color w:val="E36C0A"/>
          <w:sz w:val="16"/>
        </w:rPr>
        <w:sym w:font="Webdings" w:char="F067"/>
      </w:r>
      <w:r w:rsidRPr="00812509">
        <w:rPr>
          <w:rFonts w:asciiTheme="minorHAnsi" w:hAnsiTheme="minorHAnsi"/>
          <w:sz w:val="16"/>
        </w:rPr>
        <w:t> </w:t>
      </w:r>
      <w:r w:rsidRPr="00812509">
        <w:rPr>
          <w:rFonts w:asciiTheme="minorHAnsi" w:hAnsiTheme="minorHAnsi"/>
          <w:sz w:val="16"/>
        </w:rPr>
        <w:t xml:space="preserve"> Amber. Progress is somewhat less than expected at this stage of implementation and restorative action will be necessary if the objective is to </w:t>
      </w:r>
      <w:proofErr w:type="gramStart"/>
      <w:r w:rsidRPr="00812509">
        <w:rPr>
          <w:rFonts w:asciiTheme="minorHAnsi" w:hAnsiTheme="minorHAnsi"/>
          <w:sz w:val="16"/>
        </w:rPr>
        <w:t>be achieved</w:t>
      </w:r>
      <w:proofErr w:type="gramEnd"/>
      <w:r w:rsidRPr="00812509">
        <w:rPr>
          <w:rFonts w:asciiTheme="minorHAnsi" w:hAnsiTheme="minorHAnsi"/>
          <w:sz w:val="16"/>
        </w:rPr>
        <w:t xml:space="preserve">. Close performance monitoring </w:t>
      </w:r>
      <w:proofErr w:type="gramStart"/>
      <w:r w:rsidRPr="00812509">
        <w:rPr>
          <w:rFonts w:asciiTheme="minorHAnsi" w:hAnsiTheme="minorHAnsi"/>
          <w:sz w:val="16"/>
        </w:rPr>
        <w:t>is recommended</w:t>
      </w:r>
      <w:proofErr w:type="gramEnd"/>
      <w:r w:rsidRPr="00812509">
        <w:rPr>
          <w:rFonts w:asciiTheme="minorHAnsi" w:hAnsiTheme="minorHAnsi"/>
          <w:sz w:val="16"/>
        </w:rPr>
        <w:t>.</w:t>
      </w:r>
    </w:p>
    <w:p w14:paraId="30A860C1" w14:textId="77777777" w:rsidR="005B5769" w:rsidRDefault="005B5769">
      <w:pPr>
        <w:pStyle w:val="Note"/>
        <w:rPr>
          <w:rFonts w:asciiTheme="minorHAnsi" w:hAnsiTheme="minorHAnsi"/>
          <w:sz w:val="16"/>
        </w:rPr>
      </w:pPr>
      <w:r w:rsidRPr="00812509">
        <w:rPr>
          <w:rFonts w:asciiTheme="minorHAnsi" w:hAnsiTheme="minorHAnsi"/>
          <w:color w:val="FF0000"/>
          <w:sz w:val="16"/>
        </w:rPr>
        <w:sym w:font="Webdings" w:char="F067"/>
      </w:r>
      <w:r w:rsidRPr="00812509">
        <w:rPr>
          <w:rFonts w:asciiTheme="minorHAnsi" w:hAnsiTheme="minorHAnsi"/>
          <w:sz w:val="16"/>
        </w:rPr>
        <w:t> </w:t>
      </w:r>
      <w:r w:rsidRPr="00812509">
        <w:rPr>
          <w:rFonts w:asciiTheme="minorHAnsi" w:hAnsiTheme="minorHAnsi"/>
          <w:sz w:val="16"/>
        </w:rPr>
        <w:t xml:space="preserve"> Red. Progress is significantly less than expected at this stage of implementation and the objective is not likely to </w:t>
      </w:r>
      <w:proofErr w:type="gramStart"/>
      <w:r w:rsidRPr="00812509">
        <w:rPr>
          <w:rFonts w:asciiTheme="minorHAnsi" w:hAnsiTheme="minorHAnsi"/>
          <w:sz w:val="16"/>
        </w:rPr>
        <w:t>be met</w:t>
      </w:r>
      <w:proofErr w:type="gramEnd"/>
      <w:r w:rsidRPr="00812509">
        <w:rPr>
          <w:rFonts w:asciiTheme="minorHAnsi" w:hAnsiTheme="minorHAnsi"/>
          <w:sz w:val="16"/>
        </w:rPr>
        <w:t xml:space="preserve"> given available resources and priorities. Recasting the objective may be required.</w:t>
      </w:r>
    </w:p>
    <w:p w14:paraId="4DFD46D7" w14:textId="770EAA65" w:rsidR="00CD1652" w:rsidRPr="00B309FE" w:rsidRDefault="005B5769" w:rsidP="00B309FE">
      <w:pPr>
        <w:pStyle w:val="Note"/>
      </w:pPr>
      <w:r w:rsidRPr="00C4114C">
        <w:t xml:space="preserve">  </w:t>
      </w:r>
    </w:p>
    <w:p w14:paraId="089387F7" w14:textId="6186AA92" w:rsidR="00695730" w:rsidRDefault="00B309FE" w:rsidP="00C523F9">
      <w:pPr>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t xml:space="preserve">Objective </w:t>
      </w:r>
      <w:proofErr w:type="gramStart"/>
      <w:r>
        <w:rPr>
          <w:rFonts w:asciiTheme="majorHAnsi" w:eastAsiaTheme="majorEastAsia" w:hAnsiTheme="majorHAnsi" w:cstheme="majorBidi"/>
          <w:caps/>
          <w:sz w:val="38"/>
          <w:szCs w:val="26"/>
        </w:rPr>
        <w:t>1</w:t>
      </w:r>
      <w:proofErr w:type="gramEnd"/>
      <w:r>
        <w:rPr>
          <w:rFonts w:asciiTheme="majorHAnsi" w:eastAsiaTheme="majorEastAsia" w:hAnsiTheme="majorHAnsi" w:cstheme="majorBidi"/>
          <w:caps/>
          <w:sz w:val="38"/>
          <w:szCs w:val="26"/>
        </w:rPr>
        <w:t>. Enabling regional economic cooperation and inclusive growth.</w:t>
      </w:r>
    </w:p>
    <w:tbl>
      <w:tblPr>
        <w:tblStyle w:val="TableGrid1"/>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5"/>
        <w:gridCol w:w="907"/>
        <w:gridCol w:w="906"/>
        <w:gridCol w:w="906"/>
        <w:gridCol w:w="936"/>
        <w:gridCol w:w="906"/>
        <w:gridCol w:w="934"/>
        <w:gridCol w:w="920"/>
        <w:gridCol w:w="906"/>
        <w:gridCol w:w="910"/>
      </w:tblGrid>
      <w:tr w:rsidR="00D432AC" w:rsidRPr="003A53B2" w14:paraId="2A131D9F" w14:textId="5D34E42E" w:rsidTr="00D432AC">
        <w:tc>
          <w:tcPr>
            <w:tcW w:w="1464" w:type="dxa"/>
          </w:tcPr>
          <w:p w14:paraId="044E0FF1" w14:textId="77777777" w:rsidR="00D432AC" w:rsidRPr="003A53B2" w:rsidRDefault="00D432AC" w:rsidP="00EE4E89">
            <w:pPr>
              <w:suppressAutoHyphens w:val="0"/>
              <w:spacing w:before="80" w:after="80" w:line="240" w:lineRule="auto"/>
              <w:jc w:val="center"/>
              <w:rPr>
                <w:rFonts w:asciiTheme="majorHAnsi" w:eastAsiaTheme="majorEastAsia" w:hAnsiTheme="majorHAnsi" w:cstheme="majorBidi"/>
                <w:caps/>
                <w:sz w:val="32"/>
                <w:szCs w:val="32"/>
              </w:rPr>
            </w:pPr>
            <w:r w:rsidRPr="003A53B2">
              <w:rPr>
                <w:rFonts w:asciiTheme="majorHAnsi" w:eastAsiaTheme="majorEastAsia" w:hAnsiTheme="majorHAnsi" w:cstheme="majorBidi"/>
                <w:caps/>
                <w:noProof/>
                <w:sz w:val="32"/>
                <w:szCs w:val="32"/>
                <w:lang w:val="en-AU" w:eastAsia="en-AU"/>
              </w:rPr>
              <w:drawing>
                <wp:inline distT="0" distB="0" distL="0" distR="0" wp14:anchorId="3A642119" wp14:editId="39244185">
                  <wp:extent cx="844029" cy="5341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66151" cy="548196"/>
                          </a:xfrm>
                          <a:prstGeom prst="rect">
                            <a:avLst/>
                          </a:prstGeom>
                        </pic:spPr>
                      </pic:pic>
                    </a:graphicData>
                  </a:graphic>
                </wp:inline>
              </w:drawing>
            </w:r>
          </w:p>
        </w:tc>
        <w:tc>
          <w:tcPr>
            <w:tcW w:w="912" w:type="dxa"/>
          </w:tcPr>
          <w:p w14:paraId="41C641A1" w14:textId="77777777" w:rsidR="00D432AC" w:rsidRPr="003A53B2" w:rsidRDefault="00D432AC" w:rsidP="00EE4E89">
            <w:pPr>
              <w:suppressAutoHyphens w:val="0"/>
              <w:spacing w:before="160" w:after="80" w:line="240" w:lineRule="auto"/>
              <w:jc w:val="center"/>
              <w:rPr>
                <w:rFonts w:asciiTheme="majorHAnsi" w:eastAsiaTheme="majorEastAsia" w:hAnsiTheme="majorHAnsi" w:cstheme="majorBidi"/>
                <w:caps/>
                <w:sz w:val="32"/>
                <w:szCs w:val="32"/>
              </w:rPr>
            </w:pPr>
            <w:r w:rsidRPr="003A53B2">
              <w:rPr>
                <w:rFonts w:asciiTheme="majorHAnsi" w:eastAsiaTheme="majorEastAsia" w:hAnsiTheme="majorHAnsi" w:cstheme="majorBidi"/>
                <w:caps/>
                <w:noProof/>
                <w:sz w:val="32"/>
                <w:szCs w:val="32"/>
                <w:lang w:val="en-AU" w:eastAsia="en-AU"/>
              </w:rPr>
              <w:drawing>
                <wp:inline distT="0" distB="0" distL="0" distR="0" wp14:anchorId="48C8672B" wp14:editId="4B2AB26A">
                  <wp:extent cx="438150" cy="438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pic:spPr>
                      </pic:pic>
                    </a:graphicData>
                  </a:graphic>
                </wp:inline>
              </w:drawing>
            </w:r>
            <w:r w:rsidRPr="003A53B2">
              <w:rPr>
                <w:rFonts w:asciiTheme="majorHAnsi" w:eastAsiaTheme="majorEastAsia" w:hAnsiTheme="majorHAnsi" w:cstheme="majorBidi"/>
                <w:caps/>
                <w:sz w:val="32"/>
                <w:szCs w:val="32"/>
              </w:rPr>
              <w:t xml:space="preserve"> </w:t>
            </w:r>
          </w:p>
        </w:tc>
        <w:tc>
          <w:tcPr>
            <w:tcW w:w="743" w:type="dxa"/>
          </w:tcPr>
          <w:p w14:paraId="7C01315B" w14:textId="316A4C3B" w:rsidR="00D432AC" w:rsidRPr="003A53B2" w:rsidRDefault="00D432AC" w:rsidP="00EE4E89">
            <w:pPr>
              <w:suppressAutoHyphens w:val="0"/>
              <w:spacing w:before="160" w:after="80" w:line="240" w:lineRule="auto"/>
              <w:jc w:val="center"/>
              <w:rPr>
                <w:noProof/>
                <w:sz w:val="32"/>
                <w:szCs w:val="32"/>
                <w:lang w:val="en-AU" w:eastAsia="en-AU" w:bidi="th-TH"/>
              </w:rPr>
            </w:pPr>
            <w:r>
              <w:rPr>
                <w:noProof/>
                <w:lang w:val="en-AU" w:eastAsia="en-AU"/>
              </w:rPr>
              <w:drawing>
                <wp:inline distT="0" distB="0" distL="0" distR="0" wp14:anchorId="55FB4EB2" wp14:editId="59284E6C">
                  <wp:extent cx="437321" cy="437321"/>
                  <wp:effectExtent l="0" t="0" r="127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 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44494" cy="444494"/>
                          </a:xfrm>
                          <a:prstGeom prst="rect">
                            <a:avLst/>
                          </a:prstGeom>
                        </pic:spPr>
                      </pic:pic>
                    </a:graphicData>
                  </a:graphic>
                </wp:inline>
              </w:drawing>
            </w:r>
          </w:p>
        </w:tc>
        <w:tc>
          <w:tcPr>
            <w:tcW w:w="906" w:type="dxa"/>
          </w:tcPr>
          <w:p w14:paraId="6DD0965A" w14:textId="3236D11E" w:rsidR="00D432AC" w:rsidRPr="003A53B2" w:rsidRDefault="00D432AC" w:rsidP="00EE4E89">
            <w:pPr>
              <w:suppressAutoHyphens w:val="0"/>
              <w:spacing w:before="160" w:after="80" w:line="240" w:lineRule="auto"/>
              <w:jc w:val="center"/>
              <w:rPr>
                <w:rFonts w:asciiTheme="majorHAnsi" w:eastAsiaTheme="majorEastAsia" w:hAnsiTheme="majorHAnsi" w:cstheme="majorBidi"/>
                <w:caps/>
                <w:sz w:val="32"/>
                <w:szCs w:val="32"/>
              </w:rPr>
            </w:pPr>
            <w:r w:rsidRPr="003A53B2">
              <w:rPr>
                <w:noProof/>
                <w:sz w:val="32"/>
                <w:szCs w:val="32"/>
                <w:lang w:val="en-AU" w:eastAsia="en-AU"/>
              </w:rPr>
              <w:drawing>
                <wp:inline distT="0" distB="0" distL="0" distR="0" wp14:anchorId="400B6586" wp14:editId="1042976E">
                  <wp:extent cx="428625" cy="4286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28971" cy="428971"/>
                          </a:xfrm>
                          <a:prstGeom prst="rect">
                            <a:avLst/>
                          </a:prstGeom>
                        </pic:spPr>
                      </pic:pic>
                    </a:graphicData>
                  </a:graphic>
                </wp:inline>
              </w:drawing>
            </w:r>
          </w:p>
        </w:tc>
        <w:tc>
          <w:tcPr>
            <w:tcW w:w="936" w:type="dxa"/>
          </w:tcPr>
          <w:p w14:paraId="7624E4DE" w14:textId="77777777" w:rsidR="00D432AC" w:rsidRPr="003A53B2" w:rsidRDefault="00D432AC" w:rsidP="00EE4E89">
            <w:pPr>
              <w:suppressAutoHyphens w:val="0"/>
              <w:spacing w:before="160" w:after="80" w:line="240" w:lineRule="auto"/>
              <w:jc w:val="center"/>
              <w:rPr>
                <w:noProof/>
                <w:sz w:val="32"/>
                <w:szCs w:val="32"/>
                <w:lang w:val="en-AU" w:eastAsia="en-AU"/>
              </w:rPr>
            </w:pPr>
            <w:r w:rsidRPr="003A53B2">
              <w:rPr>
                <w:noProof/>
                <w:sz w:val="32"/>
                <w:szCs w:val="32"/>
                <w:lang w:val="en-AU" w:eastAsia="en-AU"/>
              </w:rPr>
              <w:drawing>
                <wp:inline distT="0" distB="0" distL="0" distR="0" wp14:anchorId="65B810F4" wp14:editId="616F511B">
                  <wp:extent cx="447675" cy="4476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DG 6.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48036" cy="448036"/>
                          </a:xfrm>
                          <a:prstGeom prst="rect">
                            <a:avLst/>
                          </a:prstGeom>
                        </pic:spPr>
                      </pic:pic>
                    </a:graphicData>
                  </a:graphic>
                </wp:inline>
              </w:drawing>
            </w:r>
          </w:p>
        </w:tc>
        <w:tc>
          <w:tcPr>
            <w:tcW w:w="906" w:type="dxa"/>
          </w:tcPr>
          <w:p w14:paraId="006D0154" w14:textId="77777777" w:rsidR="00D432AC" w:rsidRPr="003A53B2" w:rsidRDefault="00D432AC" w:rsidP="00EE4E89">
            <w:pPr>
              <w:suppressAutoHyphens w:val="0"/>
              <w:spacing w:before="160" w:after="80" w:line="240" w:lineRule="auto"/>
              <w:jc w:val="center"/>
              <w:rPr>
                <w:rFonts w:asciiTheme="majorHAnsi" w:eastAsiaTheme="majorEastAsia" w:hAnsiTheme="majorHAnsi" w:cstheme="majorBidi"/>
                <w:caps/>
                <w:sz w:val="32"/>
                <w:szCs w:val="32"/>
              </w:rPr>
            </w:pPr>
            <w:r>
              <w:rPr>
                <w:noProof/>
                <w:lang w:val="en-AU" w:eastAsia="en-AU"/>
              </w:rPr>
              <w:drawing>
                <wp:inline distT="0" distB="0" distL="0" distR="0" wp14:anchorId="06876B4E" wp14:editId="142C316E">
                  <wp:extent cx="428625" cy="4286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DG 7.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28969" cy="428969"/>
                          </a:xfrm>
                          <a:prstGeom prst="rect">
                            <a:avLst/>
                          </a:prstGeom>
                        </pic:spPr>
                      </pic:pic>
                    </a:graphicData>
                  </a:graphic>
                </wp:inline>
              </w:drawing>
            </w:r>
          </w:p>
        </w:tc>
        <w:tc>
          <w:tcPr>
            <w:tcW w:w="1043" w:type="dxa"/>
          </w:tcPr>
          <w:p w14:paraId="70D89D8C" w14:textId="77777777" w:rsidR="00D432AC" w:rsidRDefault="00D432AC" w:rsidP="00EE4E89">
            <w:pPr>
              <w:suppressAutoHyphens w:val="0"/>
              <w:spacing w:before="160" w:after="80" w:line="240" w:lineRule="auto"/>
              <w:jc w:val="center"/>
              <w:rPr>
                <w:noProof/>
                <w:lang w:val="en-AU" w:eastAsia="en-AU"/>
              </w:rPr>
            </w:pPr>
            <w:r>
              <w:rPr>
                <w:noProof/>
                <w:lang w:val="en-AU" w:eastAsia="en-AU"/>
              </w:rPr>
              <w:drawing>
                <wp:inline distT="0" distB="0" distL="0" distR="0" wp14:anchorId="7E71153C" wp14:editId="53489B8D">
                  <wp:extent cx="428625" cy="428625"/>
                  <wp:effectExtent l="0" t="0" r="9525" b="9525"/>
                  <wp:docPr id="41" name="Picture 41"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c>
        <w:tc>
          <w:tcPr>
            <w:tcW w:w="974" w:type="dxa"/>
          </w:tcPr>
          <w:p w14:paraId="4121003E" w14:textId="02E8B42D" w:rsidR="00D432AC" w:rsidRPr="003A53B2" w:rsidRDefault="00D432AC" w:rsidP="00D432AC">
            <w:pPr>
              <w:tabs>
                <w:tab w:val="left" w:pos="1553"/>
              </w:tabs>
              <w:suppressAutoHyphens w:val="0"/>
              <w:spacing w:before="160" w:after="80" w:line="240" w:lineRule="auto"/>
              <w:jc w:val="center"/>
              <w:rPr>
                <w:rFonts w:asciiTheme="majorHAnsi" w:eastAsiaTheme="majorEastAsia" w:hAnsiTheme="majorHAnsi" w:cstheme="majorBidi"/>
                <w:caps/>
                <w:sz w:val="32"/>
                <w:szCs w:val="32"/>
              </w:rPr>
            </w:pPr>
            <w:r>
              <w:rPr>
                <w:noProof/>
                <w:lang w:val="en-AU" w:eastAsia="en-AU"/>
              </w:rPr>
              <w:drawing>
                <wp:inline distT="0" distB="0" distL="0" distR="0" wp14:anchorId="23845AB3" wp14:editId="27983CC7">
                  <wp:extent cx="428625" cy="42862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 10.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28971" cy="428971"/>
                          </a:xfrm>
                          <a:prstGeom prst="rect">
                            <a:avLst/>
                          </a:prstGeom>
                        </pic:spPr>
                      </pic:pic>
                    </a:graphicData>
                  </a:graphic>
                </wp:inline>
              </w:drawing>
            </w:r>
            <w:r>
              <w:rPr>
                <w:rFonts w:asciiTheme="majorHAnsi" w:eastAsiaTheme="majorEastAsia" w:hAnsiTheme="majorHAnsi" w:cstheme="majorBidi"/>
                <w:caps/>
                <w:sz w:val="32"/>
                <w:szCs w:val="32"/>
              </w:rPr>
              <w:t xml:space="preserve">    </w:t>
            </w:r>
          </w:p>
        </w:tc>
        <w:tc>
          <w:tcPr>
            <w:tcW w:w="906" w:type="dxa"/>
          </w:tcPr>
          <w:p w14:paraId="4E1D0FC7" w14:textId="3454E542" w:rsidR="00D432AC" w:rsidRDefault="00D432AC" w:rsidP="00EE4E89">
            <w:pPr>
              <w:suppressAutoHyphens w:val="0"/>
              <w:spacing w:before="160" w:after="80" w:line="240" w:lineRule="auto"/>
              <w:jc w:val="center"/>
              <w:rPr>
                <w:noProof/>
                <w:lang w:val="en-AU" w:eastAsia="en-AU" w:bidi="th-TH"/>
              </w:rPr>
            </w:pPr>
            <w:r>
              <w:rPr>
                <w:noProof/>
                <w:lang w:val="en-AU" w:eastAsia="en-AU"/>
              </w:rPr>
              <w:drawing>
                <wp:inline distT="0" distB="0" distL="0" distR="0" wp14:anchorId="37EBF6B0" wp14:editId="72638305">
                  <wp:extent cx="438150" cy="4381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 13.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38502" cy="438502"/>
                          </a:xfrm>
                          <a:prstGeom prst="rect">
                            <a:avLst/>
                          </a:prstGeom>
                        </pic:spPr>
                      </pic:pic>
                    </a:graphicData>
                  </a:graphic>
                </wp:inline>
              </w:drawing>
            </w:r>
          </w:p>
        </w:tc>
        <w:tc>
          <w:tcPr>
            <w:tcW w:w="986" w:type="dxa"/>
          </w:tcPr>
          <w:p w14:paraId="5122A8E1" w14:textId="4B9C8166" w:rsidR="00D432AC" w:rsidRDefault="00D432AC" w:rsidP="00EE4E89">
            <w:pPr>
              <w:suppressAutoHyphens w:val="0"/>
              <w:spacing w:before="160" w:after="80" w:line="240" w:lineRule="auto"/>
              <w:jc w:val="center"/>
              <w:rPr>
                <w:noProof/>
                <w:lang w:val="en-AU" w:eastAsia="en-AU" w:bidi="th-TH"/>
              </w:rPr>
            </w:pPr>
            <w:r>
              <w:rPr>
                <w:noProof/>
                <w:lang w:val="en-AU" w:eastAsia="en-AU"/>
              </w:rPr>
              <w:drawing>
                <wp:inline distT="0" distB="0" distL="0" distR="0" wp14:anchorId="0655FA01" wp14:editId="222E19CE">
                  <wp:extent cx="428211" cy="42821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DF 17.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35085" cy="435085"/>
                          </a:xfrm>
                          <a:prstGeom prst="rect">
                            <a:avLst/>
                          </a:prstGeom>
                        </pic:spPr>
                      </pic:pic>
                    </a:graphicData>
                  </a:graphic>
                </wp:inline>
              </w:drawing>
            </w:r>
          </w:p>
        </w:tc>
      </w:tr>
    </w:tbl>
    <w:p w14:paraId="04F4941A" w14:textId="6A42CB7B" w:rsidR="00CB11EA" w:rsidRPr="00B831CD" w:rsidRDefault="00B90B8A" w:rsidP="00B831CD">
      <w:pPr>
        <w:spacing w:before="0" w:line="240" w:lineRule="auto"/>
      </w:pPr>
      <w:r w:rsidRPr="00B831CD">
        <w:t xml:space="preserve">All investments reported below </w:t>
      </w:r>
      <w:r w:rsidR="005E0599" w:rsidRPr="00B831CD">
        <w:t>delivered on work plans agreed with partners</w:t>
      </w:r>
      <w:r w:rsidR="005E0599">
        <w:t xml:space="preserve">, </w:t>
      </w:r>
      <w:r w:rsidR="000F118E" w:rsidRPr="00B831CD">
        <w:t xml:space="preserve">met </w:t>
      </w:r>
      <w:r w:rsidRPr="00B831CD">
        <w:t>performance expectations (see Annex B)</w:t>
      </w:r>
      <w:r w:rsidR="005E0599">
        <w:t xml:space="preserve"> and </w:t>
      </w:r>
      <w:r w:rsidR="000F118E" w:rsidRPr="00B831CD">
        <w:t>were</w:t>
      </w:r>
      <w:r w:rsidRPr="00B831CD">
        <w:t xml:space="preserve"> assessed as effective (see Annex D)</w:t>
      </w:r>
      <w:r w:rsidR="005E0599">
        <w:t>.</w:t>
      </w:r>
      <w:r w:rsidR="00CB11EA" w:rsidRPr="00B831CD">
        <w:t xml:space="preserve"> </w:t>
      </w:r>
    </w:p>
    <w:p w14:paraId="7DC17D5D" w14:textId="1DA281DC" w:rsidR="001C7B0E" w:rsidRDefault="00806FEE" w:rsidP="00B831CD">
      <w:pPr>
        <w:spacing w:before="0" w:line="240" w:lineRule="auto"/>
        <w:rPr>
          <w:rFonts w:eastAsia="Times New Roman"/>
        </w:rPr>
      </w:pPr>
      <w:r>
        <w:t>Investments under this objective contribute</w:t>
      </w:r>
      <w:r w:rsidR="000F118E">
        <w:t>d</w:t>
      </w:r>
      <w:r>
        <w:t xml:space="preserve"> to SDGs 1,</w:t>
      </w:r>
      <w:r w:rsidR="00522DAD">
        <w:t xml:space="preserve"> 2,</w:t>
      </w:r>
      <w:r>
        <w:t xml:space="preserve"> 5, 6, 7, 8, 10</w:t>
      </w:r>
      <w:r w:rsidR="00522DAD">
        <w:t>,</w:t>
      </w:r>
      <w:r>
        <w:t xml:space="preserve"> 13</w:t>
      </w:r>
      <w:r w:rsidR="00522DAD">
        <w:t xml:space="preserve"> and 17</w:t>
      </w:r>
      <w:r>
        <w:t xml:space="preserve"> by</w:t>
      </w:r>
      <w:r w:rsidR="00A616A2">
        <w:t>:</w:t>
      </w:r>
      <w:r>
        <w:t xml:space="preserve"> advancing ASEAN’s economic integration agenda and reducing inequality within and </w:t>
      </w:r>
      <w:r w:rsidR="00BE7322">
        <w:t>a</w:t>
      </w:r>
      <w:r>
        <w:t>mong ASEAN countries; promoting inclusive and sustainable economic growth</w:t>
      </w:r>
      <w:proofErr w:type="gramStart"/>
      <w:r w:rsidR="00A616A2">
        <w:t>;</w:t>
      </w:r>
      <w:proofErr w:type="gramEnd"/>
      <w:r>
        <w:t xml:space="preserve"> and improving sustainable water resource management in the Mekong. </w:t>
      </w:r>
    </w:p>
    <w:p w14:paraId="5E7A11F5" w14:textId="45A0B63D" w:rsidR="005F59DD" w:rsidRPr="00295179" w:rsidRDefault="005F59DD" w:rsidP="00B831CD">
      <w:pPr>
        <w:rPr>
          <w:rFonts w:eastAsia="Times New Roman"/>
          <w:lang w:val="en-AU"/>
        </w:rPr>
      </w:pPr>
      <w:r w:rsidRPr="005F59DD">
        <w:rPr>
          <w:rFonts w:eastAsia="Times New Roman"/>
        </w:rPr>
        <w:t xml:space="preserve">Although </w:t>
      </w:r>
      <w:r w:rsidR="00B36050">
        <w:rPr>
          <w:rFonts w:eastAsia="Times New Roman"/>
        </w:rPr>
        <w:t xml:space="preserve">economic </w:t>
      </w:r>
      <w:r w:rsidRPr="005F59DD">
        <w:rPr>
          <w:rFonts w:eastAsia="Times New Roman"/>
        </w:rPr>
        <w:t xml:space="preserve">growth trajectories across ASEAN </w:t>
      </w:r>
      <w:r w:rsidR="006A0843" w:rsidRPr="005F59DD">
        <w:rPr>
          <w:rFonts w:eastAsia="Times New Roman"/>
        </w:rPr>
        <w:t>are</w:t>
      </w:r>
      <w:r w:rsidRPr="005F59DD">
        <w:rPr>
          <w:rFonts w:eastAsia="Times New Roman"/>
        </w:rPr>
        <w:t xml:space="preserve"> strong, there is variation among countries in terms of level of development and the growth challenges they face</w:t>
      </w:r>
      <w:r w:rsidR="0099334D">
        <w:rPr>
          <w:rFonts w:eastAsia="Times New Roman"/>
        </w:rPr>
        <w:t xml:space="preserve">. </w:t>
      </w:r>
      <w:r w:rsidR="00820D72" w:rsidRPr="00820D72">
        <w:rPr>
          <w:rFonts w:eastAsia="Times New Roman"/>
        </w:rPr>
        <w:t>For example, in 2018</w:t>
      </w:r>
      <w:r w:rsidR="00820D72">
        <w:rPr>
          <w:rFonts w:eastAsia="Times New Roman"/>
        </w:rPr>
        <w:t>,</w:t>
      </w:r>
      <w:r w:rsidR="00820D72" w:rsidRPr="00820D72">
        <w:rPr>
          <w:rFonts w:eastAsia="Times New Roman"/>
        </w:rPr>
        <w:t xml:space="preserve"> five of the ten member states (Cambodia, Laos, Myanmar, the Philippines and Vietnam) had an </w:t>
      </w:r>
      <w:r w:rsidR="00820D72">
        <w:rPr>
          <w:rFonts w:eastAsia="Times New Roman"/>
        </w:rPr>
        <w:t>annual GDP per capita below USD</w:t>
      </w:r>
      <w:r w:rsidR="00820D72" w:rsidRPr="00820D72">
        <w:rPr>
          <w:rFonts w:eastAsia="Times New Roman"/>
        </w:rPr>
        <w:t>9,000</w:t>
      </w:r>
      <w:r w:rsidR="00AD4B65">
        <w:rPr>
          <w:rFonts w:eastAsia="Times New Roman"/>
        </w:rPr>
        <w:t xml:space="preserve"> </w:t>
      </w:r>
      <w:r w:rsidR="00820D72" w:rsidRPr="00820D72">
        <w:rPr>
          <w:rFonts w:eastAsia="Times New Roman"/>
        </w:rPr>
        <w:t>but are forecast to have real GDP growth of 6 per cent or greater over the next five years</w:t>
      </w:r>
      <w:r w:rsidR="000D603E">
        <w:rPr>
          <w:rFonts w:eastAsia="Times New Roman"/>
        </w:rPr>
        <w:t xml:space="preserve">. </w:t>
      </w:r>
      <w:r w:rsidRPr="005F59DD">
        <w:rPr>
          <w:rFonts w:eastAsia="Times New Roman"/>
        </w:rPr>
        <w:t xml:space="preserve">There is also significant ongoing inequality within and between </w:t>
      </w:r>
      <w:r w:rsidR="00252566">
        <w:rPr>
          <w:rFonts w:eastAsia="Times New Roman"/>
        </w:rPr>
        <w:t>ASEAN Member States</w:t>
      </w:r>
      <w:r w:rsidR="007B0C35">
        <w:rPr>
          <w:rFonts w:eastAsia="Times New Roman"/>
        </w:rPr>
        <w:t>, which could threaten longer</w:t>
      </w:r>
      <w:r w:rsidR="000D41BB">
        <w:rPr>
          <w:rFonts w:eastAsia="Times New Roman"/>
        </w:rPr>
        <w:t>-</w:t>
      </w:r>
      <w:r w:rsidR="007B0C35">
        <w:rPr>
          <w:rFonts w:eastAsia="Times New Roman"/>
        </w:rPr>
        <w:t>term economic growth and</w:t>
      </w:r>
      <w:r w:rsidR="00C109DB">
        <w:rPr>
          <w:rFonts w:eastAsia="Times New Roman"/>
        </w:rPr>
        <w:t xml:space="preserve"> regional</w:t>
      </w:r>
      <w:r w:rsidR="007B0C35">
        <w:rPr>
          <w:rFonts w:eastAsia="Times New Roman"/>
        </w:rPr>
        <w:t xml:space="preserve"> stability</w:t>
      </w:r>
      <w:r w:rsidRPr="005F59DD">
        <w:rPr>
          <w:rFonts w:eastAsia="Times New Roman"/>
        </w:rPr>
        <w:t>.</w:t>
      </w:r>
    </w:p>
    <w:p w14:paraId="121ED0E1" w14:textId="4396A0A5" w:rsidR="00522C7B" w:rsidRDefault="00494497" w:rsidP="005F59DD">
      <w:pPr>
        <w:rPr>
          <w:rFonts w:eastAsia="Times New Roman"/>
        </w:rPr>
      </w:pPr>
      <w:r>
        <w:rPr>
          <w:rFonts w:eastAsia="Times New Roman"/>
        </w:rPr>
        <w:t>O</w:t>
      </w:r>
      <w:r w:rsidR="00522C7B">
        <w:rPr>
          <w:rFonts w:eastAsia="Times New Roman"/>
        </w:rPr>
        <w:t xml:space="preserve">ur economic investments </w:t>
      </w:r>
      <w:r w:rsidR="00AD4B65">
        <w:rPr>
          <w:rFonts w:eastAsia="Times New Roman"/>
        </w:rPr>
        <w:t xml:space="preserve">focus on inclusive economic growth </w:t>
      </w:r>
      <w:r w:rsidR="00522C7B">
        <w:rPr>
          <w:rFonts w:eastAsia="Times New Roman"/>
        </w:rPr>
        <w:t xml:space="preserve">and </w:t>
      </w:r>
      <w:r w:rsidR="00260C5D">
        <w:rPr>
          <w:rFonts w:eastAsia="Times New Roman"/>
        </w:rPr>
        <w:t xml:space="preserve">improving </w:t>
      </w:r>
      <w:r w:rsidR="00AD4B65">
        <w:rPr>
          <w:rFonts w:eastAsia="Times New Roman"/>
        </w:rPr>
        <w:t xml:space="preserve">economic </w:t>
      </w:r>
      <w:r w:rsidR="00522C7B">
        <w:rPr>
          <w:rFonts w:eastAsia="Times New Roman"/>
        </w:rPr>
        <w:t>policy</w:t>
      </w:r>
      <w:r w:rsidR="00AD4B65">
        <w:rPr>
          <w:rFonts w:eastAsia="Times New Roman"/>
        </w:rPr>
        <w:t xml:space="preserve"> and governance</w:t>
      </w:r>
      <w:r w:rsidR="0099334D">
        <w:rPr>
          <w:rFonts w:eastAsia="Times New Roman"/>
        </w:rPr>
        <w:t xml:space="preserve">. </w:t>
      </w:r>
      <w:r>
        <w:rPr>
          <w:rFonts w:eastAsia="Times New Roman"/>
        </w:rPr>
        <w:t>Change requires action by governments and often takes time</w:t>
      </w:r>
      <w:r w:rsidR="0099334D">
        <w:t xml:space="preserve">. </w:t>
      </w:r>
      <w:r w:rsidR="00016ACE">
        <w:t>T</w:t>
      </w:r>
      <w:r w:rsidR="00076F0B">
        <w:t>hese investments work across multiple countr</w:t>
      </w:r>
      <w:r w:rsidR="00370651">
        <w:t xml:space="preserve">y contexts </w:t>
      </w:r>
      <w:r w:rsidR="002A4286">
        <w:t xml:space="preserve">where </w:t>
      </w:r>
      <w:r w:rsidR="00076F0B">
        <w:t>different natio</w:t>
      </w:r>
      <w:r w:rsidR="00CF1F90">
        <w:t>nal priorities and resourcing</w:t>
      </w:r>
      <w:r w:rsidR="00507EBD">
        <w:t xml:space="preserve"> constraints</w:t>
      </w:r>
      <w:r w:rsidR="00CF1F90">
        <w:t xml:space="preserve"> </w:t>
      </w:r>
      <w:r w:rsidR="002A4286">
        <w:t>are a key factor in</w:t>
      </w:r>
      <w:r w:rsidR="00CF1F90">
        <w:t xml:space="preserve"> program effectiveness</w:t>
      </w:r>
      <w:r w:rsidR="00A1289E">
        <w:t xml:space="preserve"> and the achievement of results</w:t>
      </w:r>
      <w:r w:rsidR="0099334D">
        <w:t xml:space="preserve">. </w:t>
      </w:r>
      <w:r w:rsidR="00AD4B65">
        <w:t>I</w:t>
      </w:r>
      <w:r w:rsidR="00D67A25" w:rsidRPr="006E5CE0">
        <w:t>nfluencing counterparts to mainstream gender equality remains an ongoing challenge for the program.</w:t>
      </w:r>
    </w:p>
    <w:p w14:paraId="2C601796" w14:textId="69E5A487" w:rsidR="00494497" w:rsidRPr="008018C3" w:rsidRDefault="008979AF" w:rsidP="004B0A64">
      <w:pPr>
        <w:rPr>
          <w:rFonts w:eastAsia="Times New Roman"/>
          <w:b/>
        </w:rPr>
      </w:pPr>
      <w:r w:rsidRPr="00CB11EA">
        <w:rPr>
          <w:b/>
          <w:bCs/>
          <w:lang w:val="en-AU"/>
        </w:rPr>
        <w:t>ASEAN-Australia Development Cooperation Program Phase II</w:t>
      </w:r>
      <w:r w:rsidRPr="008270EF" w:rsidDel="008979AF">
        <w:rPr>
          <w:rFonts w:eastAsia="Times New Roman"/>
          <w:b/>
          <w:bCs/>
        </w:rPr>
        <w:t xml:space="preserve"> </w:t>
      </w:r>
      <w:r>
        <w:rPr>
          <w:rFonts w:eastAsia="Times New Roman"/>
          <w:b/>
          <w:bCs/>
        </w:rPr>
        <w:t>(</w:t>
      </w:r>
      <w:r w:rsidR="00494497" w:rsidRPr="008018C3">
        <w:rPr>
          <w:rFonts w:eastAsia="Times New Roman"/>
          <w:b/>
        </w:rPr>
        <w:t>AADCP</w:t>
      </w:r>
      <w:r w:rsidR="004D7005">
        <w:rPr>
          <w:rFonts w:eastAsia="Times New Roman"/>
          <w:b/>
        </w:rPr>
        <w:t xml:space="preserve"> </w:t>
      </w:r>
      <w:r w:rsidR="00494497" w:rsidRPr="008018C3">
        <w:rPr>
          <w:rFonts w:eastAsia="Times New Roman"/>
          <w:b/>
        </w:rPr>
        <w:t>II</w:t>
      </w:r>
      <w:r>
        <w:rPr>
          <w:rFonts w:eastAsia="Times New Roman"/>
          <w:b/>
        </w:rPr>
        <w:t>)</w:t>
      </w:r>
    </w:p>
    <w:p w14:paraId="5E151752" w14:textId="488250E6" w:rsidR="003F168D" w:rsidRPr="003F168D" w:rsidRDefault="007200CE" w:rsidP="008C0DE8">
      <w:pPr>
        <w:pStyle w:val="Bullet1Tightlessspacing"/>
        <w:numPr>
          <w:ilvl w:val="0"/>
          <w:numId w:val="0"/>
        </w:numPr>
        <w:ind w:left="-42"/>
        <w:rPr>
          <w:rFonts w:asciiTheme="minorHAnsi" w:eastAsia="Times New Roman" w:hAnsiTheme="minorHAnsi" w:cstheme="minorBidi"/>
          <w:color w:val="495965" w:themeColor="text2"/>
          <w:lang w:val="en-GB" w:eastAsia="en-US"/>
        </w:rPr>
      </w:pPr>
      <w:r>
        <w:rPr>
          <w:rFonts w:asciiTheme="minorHAnsi" w:eastAsia="Times New Roman" w:hAnsiTheme="minorHAnsi" w:cstheme="minorBidi"/>
          <w:color w:val="495965" w:themeColor="text2"/>
          <w:lang w:val="en-GB" w:eastAsia="en-US"/>
        </w:rPr>
        <w:t>In 2018</w:t>
      </w:r>
      <w:r w:rsidR="00DB41A0">
        <w:rPr>
          <w:rFonts w:asciiTheme="minorHAnsi" w:eastAsia="Times New Roman" w:hAnsiTheme="minorHAnsi" w:cstheme="minorBidi"/>
          <w:color w:val="495965" w:themeColor="text2"/>
          <w:lang w:val="en-GB" w:eastAsia="en-US"/>
        </w:rPr>
        <w:t>-19</w:t>
      </w:r>
      <w:r>
        <w:rPr>
          <w:rFonts w:asciiTheme="minorHAnsi" w:eastAsia="Times New Roman" w:hAnsiTheme="minorHAnsi" w:cstheme="minorBidi"/>
          <w:color w:val="495965" w:themeColor="text2"/>
          <w:lang w:val="en-GB" w:eastAsia="en-US"/>
        </w:rPr>
        <w:t xml:space="preserve">, AADCP II’s </w:t>
      </w:r>
      <w:r w:rsidR="00E91E4C" w:rsidRPr="00E91E4C">
        <w:rPr>
          <w:rFonts w:asciiTheme="minorHAnsi" w:eastAsia="Times New Roman" w:hAnsiTheme="minorHAnsi" w:cstheme="minorBidi"/>
          <w:color w:val="495965" w:themeColor="text2"/>
          <w:lang w:val="en-GB" w:eastAsia="en-US"/>
        </w:rPr>
        <w:t xml:space="preserve">policy advice, reports and publications continued to support priority </w:t>
      </w:r>
      <w:r w:rsidR="00955C64">
        <w:rPr>
          <w:rFonts w:asciiTheme="minorHAnsi" w:eastAsia="Times New Roman" w:hAnsiTheme="minorHAnsi" w:cstheme="minorBidi"/>
          <w:color w:val="495965" w:themeColor="text2"/>
          <w:lang w:val="en-GB" w:eastAsia="en-US"/>
        </w:rPr>
        <w:t>AEC</w:t>
      </w:r>
      <w:r w:rsidR="00ED4347">
        <w:rPr>
          <w:rStyle w:val="FootnoteReference"/>
          <w:rFonts w:asciiTheme="minorHAnsi" w:eastAsia="Times New Roman" w:hAnsiTheme="minorHAnsi" w:cstheme="minorBidi"/>
          <w:color w:val="495965" w:themeColor="text2"/>
          <w:lang w:val="en-GB" w:eastAsia="en-US"/>
        </w:rPr>
        <w:footnoteReference w:id="13"/>
      </w:r>
      <w:r w:rsidR="00E91E4C" w:rsidRPr="00E91E4C">
        <w:rPr>
          <w:rFonts w:asciiTheme="minorHAnsi" w:eastAsia="Times New Roman" w:hAnsiTheme="minorHAnsi" w:cstheme="minorBidi"/>
          <w:color w:val="495965" w:themeColor="text2"/>
          <w:lang w:val="en-GB" w:eastAsia="en-US"/>
        </w:rPr>
        <w:t xml:space="preserve"> objectives </w:t>
      </w:r>
      <w:r w:rsidR="00E91E4C">
        <w:rPr>
          <w:rFonts w:asciiTheme="minorHAnsi" w:eastAsia="Times New Roman" w:hAnsiTheme="minorHAnsi" w:cstheme="minorBidi"/>
          <w:color w:val="495965" w:themeColor="text2"/>
          <w:lang w:val="en-GB" w:eastAsia="en-US"/>
        </w:rPr>
        <w:t>including</w:t>
      </w:r>
      <w:r w:rsidR="00E91E4C" w:rsidRPr="00E91E4C">
        <w:rPr>
          <w:rFonts w:asciiTheme="minorHAnsi" w:eastAsia="Times New Roman" w:hAnsiTheme="minorHAnsi" w:cstheme="minorBidi"/>
          <w:color w:val="495965" w:themeColor="text2"/>
          <w:lang w:val="en-GB" w:eastAsia="en-US"/>
        </w:rPr>
        <w:t xml:space="preserve"> sustainable urbanisation, energy, tourism and connectivity</w:t>
      </w:r>
      <w:r w:rsidR="0099334D">
        <w:rPr>
          <w:rFonts w:asciiTheme="minorHAnsi" w:eastAsia="Times New Roman" w:hAnsiTheme="minorHAnsi" w:cstheme="minorBidi"/>
          <w:color w:val="495965" w:themeColor="text2"/>
          <w:lang w:val="en-GB" w:eastAsia="en-US"/>
        </w:rPr>
        <w:t xml:space="preserve">. </w:t>
      </w:r>
      <w:r w:rsidR="003F168D" w:rsidRPr="003F168D">
        <w:rPr>
          <w:rFonts w:asciiTheme="minorHAnsi" w:eastAsia="Times New Roman" w:hAnsiTheme="minorHAnsi" w:cstheme="minorBidi"/>
          <w:color w:val="495965" w:themeColor="text2"/>
          <w:lang w:val="en-GB" w:eastAsia="en-US"/>
        </w:rPr>
        <w:t xml:space="preserve">Several </w:t>
      </w:r>
      <w:r w:rsidR="003B3649">
        <w:rPr>
          <w:rFonts w:asciiTheme="minorHAnsi" w:eastAsia="Times New Roman" w:hAnsiTheme="minorHAnsi" w:cstheme="minorBidi"/>
          <w:color w:val="495965" w:themeColor="text2"/>
          <w:lang w:val="en-GB" w:eastAsia="en-US"/>
        </w:rPr>
        <w:t>program</w:t>
      </w:r>
      <w:r w:rsidR="003F168D" w:rsidRPr="003F168D">
        <w:rPr>
          <w:rFonts w:asciiTheme="minorHAnsi" w:eastAsia="Times New Roman" w:hAnsiTheme="minorHAnsi" w:cstheme="minorBidi"/>
          <w:color w:val="495965" w:themeColor="text2"/>
          <w:lang w:val="en-GB" w:eastAsia="en-US"/>
        </w:rPr>
        <w:t xml:space="preserve">-supported products </w:t>
      </w:r>
      <w:proofErr w:type="gramStart"/>
      <w:r w:rsidR="003F168D" w:rsidRPr="003F168D">
        <w:rPr>
          <w:rFonts w:asciiTheme="minorHAnsi" w:eastAsia="Times New Roman" w:hAnsiTheme="minorHAnsi" w:cstheme="minorBidi"/>
          <w:color w:val="495965" w:themeColor="text2"/>
          <w:lang w:val="en-GB" w:eastAsia="en-US"/>
        </w:rPr>
        <w:t xml:space="preserve">were </w:t>
      </w:r>
      <w:r w:rsidR="005C7C96">
        <w:rPr>
          <w:rFonts w:asciiTheme="minorHAnsi" w:eastAsia="Times New Roman" w:hAnsiTheme="minorHAnsi" w:cstheme="minorBidi"/>
          <w:color w:val="495965" w:themeColor="text2"/>
          <w:lang w:val="en-GB" w:eastAsia="en-US"/>
        </w:rPr>
        <w:t>launched</w:t>
      </w:r>
      <w:proofErr w:type="gramEnd"/>
      <w:r w:rsidR="005C7C96" w:rsidRPr="003F168D">
        <w:rPr>
          <w:rFonts w:asciiTheme="minorHAnsi" w:eastAsia="Times New Roman" w:hAnsiTheme="minorHAnsi" w:cstheme="minorBidi"/>
          <w:color w:val="495965" w:themeColor="text2"/>
          <w:lang w:val="en-GB" w:eastAsia="en-US"/>
        </w:rPr>
        <w:t xml:space="preserve"> </w:t>
      </w:r>
      <w:r w:rsidR="005C7C96">
        <w:rPr>
          <w:rFonts w:asciiTheme="minorHAnsi" w:eastAsia="Times New Roman" w:hAnsiTheme="minorHAnsi" w:cstheme="minorBidi"/>
          <w:color w:val="495965" w:themeColor="text2"/>
          <w:lang w:val="en-GB" w:eastAsia="en-US"/>
        </w:rPr>
        <w:t>alongside</w:t>
      </w:r>
      <w:r w:rsidR="005C7C96" w:rsidRPr="003F168D">
        <w:rPr>
          <w:rFonts w:asciiTheme="minorHAnsi" w:eastAsia="Times New Roman" w:hAnsiTheme="minorHAnsi" w:cstheme="minorBidi"/>
          <w:color w:val="495965" w:themeColor="text2"/>
          <w:lang w:val="en-GB" w:eastAsia="en-US"/>
        </w:rPr>
        <w:t xml:space="preserve"> </w:t>
      </w:r>
      <w:r w:rsidR="003F168D" w:rsidRPr="003F168D">
        <w:rPr>
          <w:rFonts w:asciiTheme="minorHAnsi" w:eastAsia="Times New Roman" w:hAnsiTheme="minorHAnsi" w:cstheme="minorBidi"/>
          <w:color w:val="495965" w:themeColor="text2"/>
          <w:lang w:val="en-GB" w:eastAsia="en-US"/>
        </w:rPr>
        <w:t>the 33rd ASEAN Summit in</w:t>
      </w:r>
      <w:r w:rsidR="003F168D">
        <w:rPr>
          <w:rFonts w:asciiTheme="minorHAnsi" w:eastAsia="Times New Roman" w:hAnsiTheme="minorHAnsi" w:cstheme="minorBidi"/>
          <w:color w:val="495965" w:themeColor="text2"/>
          <w:lang w:val="en-GB" w:eastAsia="en-US"/>
        </w:rPr>
        <w:t xml:space="preserve"> </w:t>
      </w:r>
      <w:r w:rsidR="003F168D" w:rsidRPr="003F168D">
        <w:rPr>
          <w:rFonts w:asciiTheme="minorHAnsi" w:eastAsia="Times New Roman" w:hAnsiTheme="minorHAnsi" w:cstheme="minorBidi"/>
          <w:color w:val="495965" w:themeColor="text2"/>
          <w:lang w:val="en-GB" w:eastAsia="en-US"/>
        </w:rPr>
        <w:t>November</w:t>
      </w:r>
      <w:r w:rsidR="00A81834">
        <w:rPr>
          <w:rFonts w:asciiTheme="minorHAnsi" w:eastAsia="Times New Roman" w:hAnsiTheme="minorHAnsi" w:cstheme="minorBidi"/>
          <w:color w:val="495965" w:themeColor="text2"/>
          <w:lang w:val="en-GB" w:eastAsia="en-US"/>
        </w:rPr>
        <w:t xml:space="preserve"> 2018</w:t>
      </w:r>
      <w:r w:rsidR="0099334D">
        <w:rPr>
          <w:rFonts w:asciiTheme="minorHAnsi" w:eastAsia="Times New Roman" w:hAnsiTheme="minorHAnsi" w:cstheme="minorBidi"/>
          <w:color w:val="495965" w:themeColor="text2"/>
          <w:lang w:val="en-GB" w:eastAsia="en-US"/>
        </w:rPr>
        <w:t xml:space="preserve">. </w:t>
      </w:r>
      <w:r w:rsidR="003F168D" w:rsidRPr="003F168D">
        <w:rPr>
          <w:rFonts w:asciiTheme="minorHAnsi" w:eastAsia="Times New Roman" w:hAnsiTheme="minorHAnsi" w:cstheme="minorBidi"/>
          <w:color w:val="495965" w:themeColor="text2"/>
          <w:lang w:val="en-GB" w:eastAsia="en-US"/>
        </w:rPr>
        <w:t xml:space="preserve">These included the </w:t>
      </w:r>
      <w:r w:rsidR="00A34D9F">
        <w:rPr>
          <w:rFonts w:asciiTheme="minorHAnsi" w:eastAsia="Times New Roman" w:hAnsiTheme="minorHAnsi" w:cstheme="minorBidi"/>
          <w:color w:val="495965" w:themeColor="text2"/>
          <w:lang w:val="en-GB" w:eastAsia="en-US"/>
        </w:rPr>
        <w:t>ASEAN Sust</w:t>
      </w:r>
      <w:r w:rsidR="005C7C96">
        <w:rPr>
          <w:rFonts w:asciiTheme="minorHAnsi" w:eastAsia="Times New Roman" w:hAnsiTheme="minorHAnsi" w:cstheme="minorBidi"/>
          <w:color w:val="495965" w:themeColor="text2"/>
          <w:lang w:val="en-GB" w:eastAsia="en-US"/>
        </w:rPr>
        <w:t>a</w:t>
      </w:r>
      <w:r w:rsidR="00A34D9F">
        <w:rPr>
          <w:rFonts w:asciiTheme="minorHAnsi" w:eastAsia="Times New Roman" w:hAnsiTheme="minorHAnsi" w:cstheme="minorBidi"/>
          <w:color w:val="495965" w:themeColor="text2"/>
          <w:lang w:val="en-GB" w:eastAsia="en-US"/>
        </w:rPr>
        <w:t>inable Urban</w:t>
      </w:r>
      <w:r w:rsidR="000227D0">
        <w:rPr>
          <w:rFonts w:asciiTheme="minorHAnsi" w:eastAsia="Times New Roman" w:hAnsiTheme="minorHAnsi" w:cstheme="minorBidi"/>
          <w:color w:val="495965" w:themeColor="text2"/>
          <w:lang w:val="en-GB" w:eastAsia="en-US"/>
        </w:rPr>
        <w:t>isation</w:t>
      </w:r>
      <w:r w:rsidR="00A34D9F">
        <w:rPr>
          <w:rFonts w:asciiTheme="minorHAnsi" w:eastAsia="Times New Roman" w:hAnsiTheme="minorHAnsi" w:cstheme="minorBidi"/>
          <w:color w:val="495965" w:themeColor="text2"/>
          <w:lang w:val="en-GB" w:eastAsia="en-US"/>
        </w:rPr>
        <w:t xml:space="preserve"> Strategy, the </w:t>
      </w:r>
      <w:r w:rsidR="003F168D" w:rsidRPr="003F168D">
        <w:rPr>
          <w:rFonts w:asciiTheme="minorHAnsi" w:eastAsia="Times New Roman" w:hAnsiTheme="minorHAnsi" w:cstheme="minorBidi"/>
          <w:color w:val="495965" w:themeColor="text2"/>
          <w:lang w:val="en-GB" w:eastAsia="en-US"/>
        </w:rPr>
        <w:t>ASEAN Connectivity microsite and the ASEAN Investment Report 2018, which highlighted Australia’s role in the growing FDI</w:t>
      </w:r>
      <w:r w:rsidR="0047068D">
        <w:rPr>
          <w:rStyle w:val="FootnoteReference"/>
          <w:rFonts w:asciiTheme="minorHAnsi" w:eastAsia="Times New Roman" w:hAnsiTheme="minorHAnsi" w:cstheme="minorBidi"/>
          <w:color w:val="495965" w:themeColor="text2"/>
          <w:lang w:val="en-GB" w:eastAsia="en-US"/>
        </w:rPr>
        <w:footnoteReference w:id="14"/>
      </w:r>
      <w:r w:rsidR="003F168D" w:rsidRPr="003F168D">
        <w:rPr>
          <w:rFonts w:asciiTheme="minorHAnsi" w:eastAsia="Times New Roman" w:hAnsiTheme="minorHAnsi" w:cstheme="minorBidi"/>
          <w:color w:val="495965" w:themeColor="text2"/>
          <w:lang w:val="en-GB" w:eastAsia="en-US"/>
        </w:rPr>
        <w:t xml:space="preserve"> in ASEAN</w:t>
      </w:r>
      <w:r w:rsidR="0099334D">
        <w:rPr>
          <w:rFonts w:asciiTheme="minorHAnsi" w:eastAsia="Times New Roman" w:hAnsiTheme="minorHAnsi" w:cstheme="minorBidi"/>
          <w:color w:val="495965" w:themeColor="text2"/>
          <w:lang w:val="en-GB" w:eastAsia="en-US"/>
        </w:rPr>
        <w:t xml:space="preserve">. </w:t>
      </w:r>
      <w:r w:rsidR="0050455B">
        <w:rPr>
          <w:rFonts w:asciiTheme="minorHAnsi" w:eastAsia="Times New Roman" w:hAnsiTheme="minorHAnsi" w:cstheme="minorBidi"/>
          <w:color w:val="495965" w:themeColor="text2"/>
          <w:lang w:val="en-GB" w:eastAsia="en-US"/>
        </w:rPr>
        <w:t>Further, t</w:t>
      </w:r>
      <w:r w:rsidR="003F168D" w:rsidRPr="003F168D">
        <w:rPr>
          <w:rFonts w:asciiTheme="minorHAnsi" w:eastAsia="Times New Roman" w:hAnsiTheme="minorHAnsi" w:cstheme="minorBidi"/>
          <w:color w:val="495965" w:themeColor="text2"/>
          <w:lang w:val="en-GB" w:eastAsia="en-US"/>
        </w:rPr>
        <w:t>he program's connectivity work</w:t>
      </w:r>
      <w:r w:rsidR="003E14A1">
        <w:rPr>
          <w:rFonts w:asciiTheme="minorHAnsi" w:eastAsia="Times New Roman" w:hAnsiTheme="minorHAnsi" w:cstheme="minorBidi"/>
          <w:color w:val="495965" w:themeColor="text2"/>
          <w:lang w:val="en-GB" w:eastAsia="en-US"/>
        </w:rPr>
        <w:t>,</w:t>
      </w:r>
      <w:r w:rsidR="003E14A1" w:rsidRPr="003E14A1">
        <w:rPr>
          <w:rFonts w:asciiTheme="minorHAnsi" w:eastAsia="Times New Roman" w:hAnsiTheme="minorHAnsi" w:cstheme="minorBidi"/>
          <w:color w:val="495965" w:themeColor="text2"/>
          <w:lang w:val="en-GB" w:eastAsia="en-US"/>
        </w:rPr>
        <w:t xml:space="preserve"> </w:t>
      </w:r>
      <w:r w:rsidR="003E14A1" w:rsidRPr="003F168D">
        <w:rPr>
          <w:rFonts w:asciiTheme="minorHAnsi" w:eastAsia="Times New Roman" w:hAnsiTheme="minorHAnsi" w:cstheme="minorBidi"/>
          <w:color w:val="495965" w:themeColor="text2"/>
          <w:lang w:val="en-GB" w:eastAsia="en-US"/>
        </w:rPr>
        <w:t>including infrastructure and logistics</w:t>
      </w:r>
      <w:r w:rsidR="003E14A1">
        <w:rPr>
          <w:rFonts w:asciiTheme="minorHAnsi" w:eastAsia="Times New Roman" w:hAnsiTheme="minorHAnsi" w:cstheme="minorBidi"/>
          <w:color w:val="495965" w:themeColor="text2"/>
          <w:lang w:val="en-GB" w:eastAsia="en-US"/>
        </w:rPr>
        <w:t>,</w:t>
      </w:r>
      <w:r w:rsidR="003F168D" w:rsidRPr="003F168D">
        <w:rPr>
          <w:rFonts w:asciiTheme="minorHAnsi" w:eastAsia="Times New Roman" w:hAnsiTheme="minorHAnsi" w:cstheme="minorBidi"/>
          <w:color w:val="495965" w:themeColor="text2"/>
          <w:lang w:val="en-GB" w:eastAsia="en-US"/>
        </w:rPr>
        <w:t xml:space="preserve"> </w:t>
      </w:r>
      <w:r w:rsidR="00C109DB">
        <w:rPr>
          <w:rFonts w:asciiTheme="minorHAnsi" w:eastAsia="Times New Roman" w:hAnsiTheme="minorHAnsi" w:cstheme="minorBidi"/>
          <w:color w:val="495965" w:themeColor="text2"/>
          <w:lang w:val="en-GB" w:eastAsia="en-US"/>
        </w:rPr>
        <w:t xml:space="preserve">is </w:t>
      </w:r>
      <w:r w:rsidR="003F168D" w:rsidRPr="003F168D">
        <w:rPr>
          <w:rFonts w:asciiTheme="minorHAnsi" w:eastAsia="Times New Roman" w:hAnsiTheme="minorHAnsi" w:cstheme="minorBidi"/>
          <w:color w:val="495965" w:themeColor="text2"/>
          <w:lang w:val="en-GB" w:eastAsia="en-US"/>
        </w:rPr>
        <w:t>of strategic value to ASEAN and Australia</w:t>
      </w:r>
      <w:r w:rsidR="0099334D">
        <w:rPr>
          <w:rFonts w:asciiTheme="minorHAnsi" w:eastAsia="Times New Roman" w:hAnsiTheme="minorHAnsi" w:cstheme="minorBidi"/>
          <w:color w:val="495965" w:themeColor="text2"/>
          <w:lang w:val="en-GB" w:eastAsia="en-US"/>
        </w:rPr>
        <w:t xml:space="preserve">. </w:t>
      </w:r>
      <w:r w:rsidR="00AD4B65">
        <w:rPr>
          <w:rFonts w:asciiTheme="minorHAnsi" w:eastAsia="Times New Roman" w:hAnsiTheme="minorHAnsi" w:cstheme="minorBidi"/>
          <w:color w:val="495965" w:themeColor="text2"/>
          <w:lang w:val="en-GB" w:eastAsia="en-US"/>
        </w:rPr>
        <w:t>A</w:t>
      </w:r>
      <w:r w:rsidR="005C7C96">
        <w:rPr>
          <w:rFonts w:asciiTheme="minorHAnsi" w:eastAsia="Times New Roman" w:hAnsiTheme="minorHAnsi" w:cstheme="minorBidi"/>
          <w:color w:val="495965" w:themeColor="text2"/>
          <w:lang w:val="en-GB" w:eastAsia="en-US"/>
        </w:rPr>
        <w:t xml:space="preserve"> </w:t>
      </w:r>
      <w:r w:rsidR="005C7C96" w:rsidRPr="005C7C96">
        <w:rPr>
          <w:rFonts w:asciiTheme="minorHAnsi" w:eastAsia="Times New Roman" w:hAnsiTheme="minorHAnsi" w:cstheme="minorBidi"/>
          <w:color w:val="495965" w:themeColor="text2"/>
          <w:lang w:val="en-GB" w:eastAsia="en-US"/>
        </w:rPr>
        <w:t xml:space="preserve">study to progress implementation of </w:t>
      </w:r>
      <w:r w:rsidR="00492FB7">
        <w:rPr>
          <w:rFonts w:asciiTheme="minorHAnsi" w:eastAsia="Times New Roman" w:hAnsiTheme="minorHAnsi" w:cstheme="minorBidi"/>
          <w:color w:val="495965" w:themeColor="text2"/>
          <w:lang w:val="en-GB" w:eastAsia="en-US"/>
        </w:rPr>
        <w:t xml:space="preserve">the </w:t>
      </w:r>
      <w:r w:rsidR="005C7C96" w:rsidRPr="005C7C96">
        <w:rPr>
          <w:rFonts w:asciiTheme="minorHAnsi" w:eastAsia="Times New Roman" w:hAnsiTheme="minorHAnsi" w:cstheme="minorBidi"/>
          <w:color w:val="495965" w:themeColor="text2"/>
          <w:lang w:val="en-GB" w:eastAsia="en-US"/>
        </w:rPr>
        <w:t xml:space="preserve">ASEAN </w:t>
      </w:r>
      <w:r w:rsidR="00C67593">
        <w:rPr>
          <w:rFonts w:asciiTheme="minorHAnsi" w:eastAsia="Times New Roman" w:hAnsiTheme="minorHAnsi" w:cstheme="minorBidi"/>
          <w:color w:val="495965" w:themeColor="text2"/>
          <w:lang w:val="en-GB" w:eastAsia="en-US"/>
        </w:rPr>
        <w:t xml:space="preserve">Multilateral </w:t>
      </w:r>
      <w:r w:rsidR="005C7C96" w:rsidRPr="005C7C96">
        <w:rPr>
          <w:rFonts w:asciiTheme="minorHAnsi" w:eastAsia="Times New Roman" w:hAnsiTheme="minorHAnsi" w:cstheme="minorBidi"/>
          <w:color w:val="495965" w:themeColor="text2"/>
          <w:lang w:val="en-GB" w:eastAsia="en-US"/>
        </w:rPr>
        <w:t xml:space="preserve">Power Trade </w:t>
      </w:r>
      <w:r w:rsidR="007C2E32" w:rsidRPr="005C7C96">
        <w:rPr>
          <w:rFonts w:asciiTheme="minorHAnsi" w:eastAsia="Times New Roman" w:hAnsiTheme="minorHAnsi" w:cstheme="minorBidi"/>
          <w:color w:val="495965" w:themeColor="text2"/>
          <w:lang w:val="en-GB" w:eastAsia="en-US"/>
        </w:rPr>
        <w:t>identif</w:t>
      </w:r>
      <w:r w:rsidR="007C2E32">
        <w:rPr>
          <w:rFonts w:asciiTheme="minorHAnsi" w:eastAsia="Times New Roman" w:hAnsiTheme="minorHAnsi" w:cstheme="minorBidi"/>
          <w:color w:val="495965" w:themeColor="text2"/>
          <w:lang w:val="en-GB" w:eastAsia="en-US"/>
        </w:rPr>
        <w:t>ied</w:t>
      </w:r>
      <w:r w:rsidR="005C7C96" w:rsidRPr="005C7C96">
        <w:rPr>
          <w:rFonts w:asciiTheme="minorHAnsi" w:eastAsia="Times New Roman" w:hAnsiTheme="minorHAnsi" w:cstheme="minorBidi"/>
          <w:color w:val="495965" w:themeColor="text2"/>
          <w:lang w:val="en-GB" w:eastAsia="en-US"/>
        </w:rPr>
        <w:t xml:space="preserve"> models to advance multilateral trading</w:t>
      </w:r>
      <w:r w:rsidR="0001470A">
        <w:rPr>
          <w:rFonts w:asciiTheme="minorHAnsi" w:eastAsia="Times New Roman" w:hAnsiTheme="minorHAnsi" w:cstheme="minorBidi"/>
          <w:color w:val="495965" w:themeColor="text2"/>
          <w:lang w:val="en-GB" w:eastAsia="en-US"/>
        </w:rPr>
        <w:t xml:space="preserve"> </w:t>
      </w:r>
      <w:r w:rsidR="004B0A07">
        <w:rPr>
          <w:rFonts w:asciiTheme="minorHAnsi" w:eastAsia="Times New Roman" w:hAnsiTheme="minorHAnsi" w:cstheme="minorBidi"/>
          <w:color w:val="495965" w:themeColor="text2"/>
          <w:lang w:val="en-GB" w:eastAsia="en-US"/>
        </w:rPr>
        <w:t>and an integrated electricity market</w:t>
      </w:r>
      <w:r w:rsidR="005C7C96" w:rsidRPr="005C7C96">
        <w:rPr>
          <w:rFonts w:asciiTheme="minorHAnsi" w:eastAsia="Times New Roman" w:hAnsiTheme="minorHAnsi" w:cstheme="minorBidi"/>
          <w:color w:val="495965" w:themeColor="text2"/>
          <w:lang w:val="en-GB" w:eastAsia="en-US"/>
        </w:rPr>
        <w:t xml:space="preserve">. </w:t>
      </w:r>
      <w:r w:rsidR="00E55B16">
        <w:rPr>
          <w:rFonts w:asciiTheme="minorHAnsi" w:eastAsia="Times New Roman" w:hAnsiTheme="minorHAnsi" w:cstheme="minorBidi"/>
          <w:color w:val="495965" w:themeColor="text2"/>
          <w:lang w:val="en-GB" w:eastAsia="en-US"/>
        </w:rPr>
        <w:t>F</w:t>
      </w:r>
      <w:r w:rsidR="005C7C96" w:rsidRPr="005C7C96">
        <w:rPr>
          <w:rFonts w:asciiTheme="minorHAnsi" w:eastAsia="Times New Roman" w:hAnsiTheme="minorHAnsi" w:cstheme="minorBidi"/>
          <w:color w:val="495965" w:themeColor="text2"/>
          <w:lang w:val="en-GB" w:eastAsia="en-US"/>
        </w:rPr>
        <w:t xml:space="preserve">inal recommendations </w:t>
      </w:r>
      <w:proofErr w:type="gramStart"/>
      <w:r w:rsidR="007C2E32">
        <w:rPr>
          <w:rFonts w:asciiTheme="minorHAnsi" w:eastAsia="Times New Roman" w:hAnsiTheme="minorHAnsi" w:cstheme="minorBidi"/>
          <w:color w:val="495965" w:themeColor="text2"/>
          <w:lang w:val="en-GB" w:eastAsia="en-US"/>
        </w:rPr>
        <w:t>were</w:t>
      </w:r>
      <w:r w:rsidR="005C7C96" w:rsidRPr="005C7C96">
        <w:rPr>
          <w:rFonts w:asciiTheme="minorHAnsi" w:eastAsia="Times New Roman" w:hAnsiTheme="minorHAnsi" w:cstheme="minorBidi"/>
          <w:color w:val="495965" w:themeColor="text2"/>
          <w:lang w:val="en-GB" w:eastAsia="en-US"/>
        </w:rPr>
        <w:t xml:space="preserve"> presented</w:t>
      </w:r>
      <w:proofErr w:type="gramEnd"/>
      <w:r w:rsidR="005C7C96" w:rsidRPr="005C7C96">
        <w:rPr>
          <w:rFonts w:asciiTheme="minorHAnsi" w:eastAsia="Times New Roman" w:hAnsiTheme="minorHAnsi" w:cstheme="minorBidi"/>
          <w:color w:val="495965" w:themeColor="text2"/>
          <w:lang w:val="en-GB" w:eastAsia="en-US"/>
        </w:rPr>
        <w:t xml:space="preserve"> to the ASEAN Senior Officials Meeting on Energy in June 2019</w:t>
      </w:r>
      <w:r w:rsidR="00C67593" w:rsidRPr="00B40C11">
        <w:rPr>
          <w:rFonts w:eastAsia="Times New Roman"/>
          <w:color w:val="495965" w:themeColor="text2"/>
        </w:rPr>
        <w:t xml:space="preserve">, </w:t>
      </w:r>
      <w:r w:rsidR="00C67593" w:rsidRPr="00B40C11">
        <w:rPr>
          <w:rFonts w:asciiTheme="minorHAnsi" w:eastAsia="Times New Roman" w:hAnsiTheme="minorHAnsi"/>
          <w:color w:val="495965" w:themeColor="text2"/>
        </w:rPr>
        <w:t>with plans to present to Ministers later in the year</w:t>
      </w:r>
      <w:r w:rsidR="00FD2731" w:rsidRPr="00B40C11">
        <w:rPr>
          <w:rFonts w:asciiTheme="minorHAnsi" w:eastAsia="Times New Roman" w:hAnsiTheme="minorHAnsi" w:cstheme="minorBidi"/>
          <w:color w:val="495965" w:themeColor="text2"/>
          <w:lang w:val="en-GB" w:eastAsia="en-US"/>
        </w:rPr>
        <w:t>.</w:t>
      </w:r>
    </w:p>
    <w:p w14:paraId="6AC9380F" w14:textId="696DB424" w:rsidR="00EC3B16" w:rsidRPr="001A75ED" w:rsidRDefault="00C67593" w:rsidP="00EC3B16">
      <w:r w:rsidRPr="00C67593">
        <w:rPr>
          <w:rFonts w:eastAsia="Times New Roman"/>
        </w:rPr>
        <w:t xml:space="preserve">AADCP II is scaling up its investments in ASEAN’s agenda to narrow the development gap among its Member States – the Initiative for ASEAN Integration (IAI) – with a particular focus on Cambodia, Lao PDR, Myanmar and Vietnam. In 2018-19, the program supported assessments in all four countries of the extent, causes and potential methods to minimise post-harvest losses of selected high-value fruits. Reduction in post-harvest losses would have significant positive flow-on effects to smallholder farmer income, job creation, </w:t>
      </w:r>
      <w:proofErr w:type="gramStart"/>
      <w:r w:rsidRPr="00C67593">
        <w:rPr>
          <w:rFonts w:eastAsia="Times New Roman"/>
        </w:rPr>
        <w:t>domestic</w:t>
      </w:r>
      <w:proofErr w:type="gramEnd"/>
      <w:r w:rsidRPr="00C67593">
        <w:rPr>
          <w:rFonts w:eastAsia="Times New Roman"/>
        </w:rPr>
        <w:t xml:space="preserve"> nutritional intake and export earnings</w:t>
      </w:r>
      <w:r w:rsidR="0099334D">
        <w:rPr>
          <w:rFonts w:eastAsia="Times New Roman"/>
        </w:rPr>
        <w:t xml:space="preserve">. </w:t>
      </w:r>
      <w:r w:rsidR="00A64816">
        <w:rPr>
          <w:rFonts w:eastAsia="Times New Roman"/>
        </w:rPr>
        <w:t xml:space="preserve">An ongoing </w:t>
      </w:r>
      <w:r w:rsidR="00BC3D54">
        <w:rPr>
          <w:rFonts w:eastAsia="Times New Roman"/>
        </w:rPr>
        <w:t>challenge for AADCP II is</w:t>
      </w:r>
      <w:r w:rsidR="00A64816">
        <w:rPr>
          <w:rFonts w:eastAsia="Times New Roman"/>
        </w:rPr>
        <w:t xml:space="preserve"> incorporat</w:t>
      </w:r>
      <w:r w:rsidR="00F85BC1">
        <w:rPr>
          <w:rFonts w:eastAsia="Times New Roman"/>
        </w:rPr>
        <w:t>ing</w:t>
      </w:r>
      <w:r w:rsidR="00A64816">
        <w:rPr>
          <w:rFonts w:eastAsia="Times New Roman"/>
        </w:rPr>
        <w:t xml:space="preserve"> gender into </w:t>
      </w:r>
      <w:r w:rsidR="00F1521B">
        <w:rPr>
          <w:rFonts w:eastAsia="Times New Roman"/>
        </w:rPr>
        <w:t xml:space="preserve">its </w:t>
      </w:r>
      <w:r w:rsidR="00A64816">
        <w:rPr>
          <w:rFonts w:eastAsia="Times New Roman"/>
        </w:rPr>
        <w:t>pr</w:t>
      </w:r>
      <w:r w:rsidR="00F074F6">
        <w:rPr>
          <w:rFonts w:eastAsia="Times New Roman"/>
        </w:rPr>
        <w:t>oject</w:t>
      </w:r>
      <w:r w:rsidR="00A64816">
        <w:rPr>
          <w:rFonts w:eastAsia="Times New Roman"/>
        </w:rPr>
        <w:t xml:space="preserve"> </w:t>
      </w:r>
      <w:r w:rsidR="000E6956">
        <w:rPr>
          <w:rFonts w:eastAsia="Times New Roman"/>
        </w:rPr>
        <w:t xml:space="preserve">design and </w:t>
      </w:r>
      <w:r w:rsidR="00A64816">
        <w:rPr>
          <w:rFonts w:eastAsia="Times New Roman"/>
        </w:rPr>
        <w:t>activities</w:t>
      </w:r>
      <w:r w:rsidR="00526E91" w:rsidRPr="00526E91">
        <w:rPr>
          <w:rFonts w:eastAsia="Times New Roman"/>
        </w:rPr>
        <w:t>, which stems from the program’s close synchronisation with ASEAN’s economic integration agenda and its relative lack of gender mainstreaming.</w:t>
      </w:r>
      <w:r w:rsidR="00906C6F">
        <w:rPr>
          <w:rFonts w:eastAsia="Times New Roman"/>
        </w:rPr>
        <w:t xml:space="preserve"> </w:t>
      </w:r>
      <w:r w:rsidR="00BE5AC8">
        <w:rPr>
          <w:rFonts w:eastAsia="Times New Roman"/>
        </w:rPr>
        <w:t xml:space="preserve">In 2018-19, </w:t>
      </w:r>
      <w:r w:rsidR="00C036EC">
        <w:rPr>
          <w:rFonts w:eastAsia="Times New Roman"/>
        </w:rPr>
        <w:t>the program</w:t>
      </w:r>
      <w:r w:rsidR="00A64816">
        <w:rPr>
          <w:rFonts w:eastAsia="Times New Roman"/>
        </w:rPr>
        <w:t xml:space="preserve"> </w:t>
      </w:r>
      <w:r w:rsidR="00526E91" w:rsidRPr="00526E91">
        <w:rPr>
          <w:rFonts w:eastAsia="Times New Roman"/>
        </w:rPr>
        <w:t xml:space="preserve">had limited success </w:t>
      </w:r>
      <w:r w:rsidR="00C036EC">
        <w:rPr>
          <w:rFonts w:eastAsia="Times New Roman"/>
        </w:rPr>
        <w:t>at</w:t>
      </w:r>
      <w:r w:rsidR="005E18A8">
        <w:rPr>
          <w:rFonts w:eastAsia="Times New Roman"/>
        </w:rPr>
        <w:t xml:space="preserve"> </w:t>
      </w:r>
      <w:r w:rsidR="00A64816">
        <w:rPr>
          <w:rFonts w:eastAsia="Times New Roman"/>
        </w:rPr>
        <w:t>identify</w:t>
      </w:r>
      <w:r w:rsidR="00C036EC">
        <w:rPr>
          <w:rFonts w:eastAsia="Times New Roman"/>
        </w:rPr>
        <w:t>ing</w:t>
      </w:r>
      <w:r w:rsidR="00A64816">
        <w:rPr>
          <w:rFonts w:eastAsia="Times New Roman"/>
        </w:rPr>
        <w:t xml:space="preserve"> projects with gender considerations</w:t>
      </w:r>
      <w:r w:rsidR="00DB402F">
        <w:rPr>
          <w:rFonts w:eastAsia="Times New Roman"/>
        </w:rPr>
        <w:t>,</w:t>
      </w:r>
      <w:r w:rsidR="00A64816">
        <w:rPr>
          <w:rFonts w:eastAsia="Times New Roman"/>
        </w:rPr>
        <w:t xml:space="preserve"> </w:t>
      </w:r>
      <w:r w:rsidR="00526E91" w:rsidRPr="00526E91">
        <w:rPr>
          <w:rFonts w:eastAsia="Times New Roman"/>
        </w:rPr>
        <w:t>although the ASEAN Sustainable Urbanisation Strategy effectively recognises the particular opportunities and challenges rapid urbanisation presents to women and girls</w:t>
      </w:r>
      <w:r w:rsidR="0099334D">
        <w:rPr>
          <w:rFonts w:eastAsia="Times New Roman"/>
        </w:rPr>
        <w:t xml:space="preserve">. </w:t>
      </w:r>
      <w:r w:rsidR="0000263A">
        <w:rPr>
          <w:rFonts w:eastAsia="Times New Roman"/>
        </w:rPr>
        <w:t>A</w:t>
      </w:r>
      <w:r w:rsidR="003F168D" w:rsidRPr="003F168D">
        <w:rPr>
          <w:rFonts w:eastAsia="Times New Roman"/>
        </w:rPr>
        <w:t xml:space="preserve"> no-cost extension </w:t>
      </w:r>
      <w:r w:rsidR="001D42A8">
        <w:rPr>
          <w:rFonts w:eastAsia="Times New Roman"/>
        </w:rPr>
        <w:t xml:space="preserve">in </w:t>
      </w:r>
      <w:r w:rsidR="001D42A8" w:rsidRPr="003F168D">
        <w:rPr>
          <w:rFonts w:eastAsia="Times New Roman"/>
        </w:rPr>
        <w:t xml:space="preserve">April </w:t>
      </w:r>
      <w:proofErr w:type="gramStart"/>
      <w:r w:rsidR="001D42A8" w:rsidRPr="003F168D">
        <w:rPr>
          <w:rFonts w:eastAsia="Times New Roman"/>
        </w:rPr>
        <w:t>2019</w:t>
      </w:r>
      <w:r w:rsidR="001D42A8">
        <w:rPr>
          <w:rFonts w:eastAsia="Times New Roman"/>
        </w:rPr>
        <w:t>,</w:t>
      </w:r>
      <w:proofErr w:type="gramEnd"/>
      <w:r w:rsidR="001D42A8">
        <w:rPr>
          <w:rFonts w:eastAsia="Times New Roman"/>
        </w:rPr>
        <w:t xml:space="preserve"> </w:t>
      </w:r>
      <w:r w:rsidR="0000263A">
        <w:rPr>
          <w:rFonts w:eastAsia="Times New Roman"/>
        </w:rPr>
        <w:t xml:space="preserve">extended </w:t>
      </w:r>
      <w:r w:rsidR="002812B4">
        <w:rPr>
          <w:rFonts w:eastAsia="Times New Roman"/>
        </w:rPr>
        <w:t>the prog</w:t>
      </w:r>
      <w:r w:rsidR="00DC5837">
        <w:rPr>
          <w:rFonts w:eastAsia="Times New Roman"/>
        </w:rPr>
        <w:t>r</w:t>
      </w:r>
      <w:r w:rsidR="002812B4">
        <w:rPr>
          <w:rFonts w:eastAsia="Times New Roman"/>
        </w:rPr>
        <w:t xml:space="preserve">am </w:t>
      </w:r>
      <w:r w:rsidR="003F168D" w:rsidRPr="003F168D">
        <w:rPr>
          <w:rFonts w:eastAsia="Times New Roman"/>
        </w:rPr>
        <w:t>to December 2021</w:t>
      </w:r>
      <w:r w:rsidR="0099334D">
        <w:rPr>
          <w:rFonts w:eastAsia="Times New Roman"/>
        </w:rPr>
        <w:t xml:space="preserve">. </w:t>
      </w:r>
      <w:r w:rsidR="00EC3B16">
        <w:t>The timeframe allows for new projects, at the same time as the final review and design of a successor program, which will focus on better targeting of Australian investment in regional economic integration and connectivity for greater impact.</w:t>
      </w:r>
    </w:p>
    <w:p w14:paraId="5F0E6A03" w14:textId="37D4A4E4" w:rsidR="007D1342" w:rsidRPr="0048108B" w:rsidRDefault="008979AF" w:rsidP="004B0A64">
      <w:pPr>
        <w:rPr>
          <w:rFonts w:eastAsia="Times New Roman"/>
          <w:b/>
        </w:rPr>
      </w:pPr>
      <w:r w:rsidRPr="008979AF">
        <w:rPr>
          <w:rFonts w:eastAsia="Times New Roman"/>
          <w:b/>
        </w:rPr>
        <w:t xml:space="preserve">ASEAN-Australia-New Zealand </w:t>
      </w:r>
      <w:r w:rsidR="00B80852" w:rsidRPr="008979AF">
        <w:rPr>
          <w:rFonts w:eastAsia="Times New Roman"/>
          <w:b/>
        </w:rPr>
        <w:t>F</w:t>
      </w:r>
      <w:r w:rsidR="00B80852">
        <w:rPr>
          <w:rFonts w:eastAsia="Times New Roman"/>
          <w:b/>
        </w:rPr>
        <w:t xml:space="preserve">ree Trade Area </w:t>
      </w:r>
      <w:r w:rsidRPr="008979AF">
        <w:rPr>
          <w:rFonts w:eastAsia="Times New Roman"/>
          <w:b/>
        </w:rPr>
        <w:t>(AANZFTA) Economic Cooperation Support Program</w:t>
      </w:r>
      <w:r>
        <w:rPr>
          <w:rFonts w:eastAsia="Times New Roman"/>
          <w:b/>
        </w:rPr>
        <w:t xml:space="preserve"> (</w:t>
      </w:r>
      <w:r w:rsidR="007D1342" w:rsidRPr="0048108B">
        <w:rPr>
          <w:rFonts w:eastAsia="Times New Roman"/>
          <w:b/>
        </w:rPr>
        <w:t>AECSP</w:t>
      </w:r>
      <w:r>
        <w:rPr>
          <w:rFonts w:eastAsia="Times New Roman"/>
          <w:b/>
        </w:rPr>
        <w:t>)</w:t>
      </w:r>
    </w:p>
    <w:p w14:paraId="27D1F51A" w14:textId="718B6A0C" w:rsidR="00D6408A" w:rsidRPr="00E07310" w:rsidRDefault="000D4A81" w:rsidP="007D6A90">
      <w:pPr>
        <w:pStyle w:val="Bullet1Tightlessspacing"/>
        <w:numPr>
          <w:ilvl w:val="0"/>
          <w:numId w:val="0"/>
        </w:numPr>
        <w:ind w:left="-42"/>
        <w:rPr>
          <w:rFonts w:asciiTheme="minorHAnsi" w:eastAsiaTheme="minorHAnsi" w:hAnsiTheme="minorHAnsi" w:cstheme="minorBidi"/>
          <w:bCs/>
          <w:color w:val="495965" w:themeColor="text2"/>
          <w:szCs w:val="20"/>
          <w:lang w:val="en-GB" w:eastAsia="en-US"/>
        </w:rPr>
      </w:pPr>
      <w:r w:rsidRPr="000D4A81">
        <w:rPr>
          <w:rFonts w:asciiTheme="minorHAnsi" w:eastAsiaTheme="minorHAnsi" w:hAnsiTheme="minorHAnsi" w:cstheme="minorBidi"/>
          <w:bCs/>
          <w:color w:val="495965" w:themeColor="text2"/>
          <w:szCs w:val="20"/>
          <w:lang w:val="en-GB" w:eastAsia="en-US"/>
        </w:rPr>
        <w:t>To advance ASEAN’s efforts to promote the free flow of goods, services and investments</w:t>
      </w:r>
      <w:r w:rsidR="00C109DB">
        <w:rPr>
          <w:rFonts w:asciiTheme="minorHAnsi" w:eastAsiaTheme="minorHAnsi" w:hAnsiTheme="minorHAnsi" w:cstheme="minorBidi"/>
          <w:bCs/>
          <w:color w:val="495965" w:themeColor="text2"/>
          <w:szCs w:val="20"/>
          <w:lang w:val="en-GB" w:eastAsia="en-US"/>
        </w:rPr>
        <w:t xml:space="preserve"> </w:t>
      </w:r>
      <w:r w:rsidRPr="000D4A81">
        <w:rPr>
          <w:rFonts w:asciiTheme="minorHAnsi" w:eastAsiaTheme="minorHAnsi" w:hAnsiTheme="minorHAnsi" w:cstheme="minorBidi"/>
          <w:bCs/>
          <w:color w:val="495965" w:themeColor="text2"/>
          <w:szCs w:val="20"/>
          <w:lang w:val="en-GB" w:eastAsia="en-US"/>
        </w:rPr>
        <w:t>AECSP continued to assist</w:t>
      </w:r>
      <w:r w:rsidR="00252566">
        <w:rPr>
          <w:rFonts w:asciiTheme="minorHAnsi" w:eastAsiaTheme="minorHAnsi" w:hAnsiTheme="minorHAnsi" w:cstheme="minorBidi"/>
          <w:bCs/>
          <w:color w:val="495965" w:themeColor="text2"/>
          <w:szCs w:val="20"/>
          <w:lang w:val="en-GB" w:eastAsia="en-US"/>
        </w:rPr>
        <w:t xml:space="preserve"> ASEAN Member States</w:t>
      </w:r>
      <w:r w:rsidRPr="000D4A81">
        <w:rPr>
          <w:rFonts w:asciiTheme="minorHAnsi" w:eastAsiaTheme="minorHAnsi" w:hAnsiTheme="minorHAnsi" w:cstheme="minorBidi"/>
          <w:bCs/>
          <w:color w:val="495965" w:themeColor="text2"/>
          <w:szCs w:val="20"/>
          <w:lang w:val="en-GB" w:eastAsia="en-US"/>
        </w:rPr>
        <w:t xml:space="preserve"> to maximise the implementation and benefits of AANZFTA</w:t>
      </w:r>
      <w:r w:rsidR="00C109DB">
        <w:rPr>
          <w:rFonts w:asciiTheme="minorHAnsi" w:eastAsiaTheme="minorHAnsi" w:hAnsiTheme="minorHAnsi" w:cstheme="minorBidi"/>
          <w:bCs/>
          <w:color w:val="495965" w:themeColor="text2"/>
          <w:szCs w:val="20"/>
          <w:lang w:val="en-GB" w:eastAsia="en-US"/>
        </w:rPr>
        <w:t xml:space="preserve"> in 2018-19</w:t>
      </w:r>
      <w:r w:rsidR="0099334D">
        <w:rPr>
          <w:rFonts w:asciiTheme="minorHAnsi" w:eastAsiaTheme="minorHAnsi" w:hAnsiTheme="minorHAnsi" w:cstheme="minorBidi"/>
          <w:bCs/>
          <w:color w:val="495965" w:themeColor="text2"/>
          <w:szCs w:val="20"/>
          <w:lang w:val="en-GB" w:eastAsia="en-US"/>
        </w:rPr>
        <w:t xml:space="preserve">. </w:t>
      </w:r>
      <w:r w:rsidR="00D16EFB">
        <w:rPr>
          <w:rFonts w:asciiTheme="minorHAnsi" w:eastAsiaTheme="minorHAnsi" w:hAnsiTheme="minorHAnsi" w:cstheme="minorBidi"/>
          <w:bCs/>
          <w:color w:val="495965" w:themeColor="text2"/>
          <w:szCs w:val="20"/>
          <w:lang w:val="en-GB" w:eastAsia="en-US"/>
        </w:rPr>
        <w:t>A</w:t>
      </w:r>
      <w:r w:rsidR="00526E91">
        <w:rPr>
          <w:rFonts w:asciiTheme="minorHAnsi" w:eastAsiaTheme="minorHAnsi" w:hAnsiTheme="minorHAnsi" w:cstheme="minorBidi"/>
          <w:bCs/>
          <w:color w:val="495965" w:themeColor="text2"/>
          <w:szCs w:val="20"/>
          <w:lang w:val="en-GB" w:eastAsia="en-US"/>
        </w:rPr>
        <w:t xml:space="preserve"> 2019</w:t>
      </w:r>
      <w:r w:rsidR="00FE0B25">
        <w:rPr>
          <w:rFonts w:asciiTheme="minorHAnsi" w:eastAsiaTheme="minorHAnsi" w:hAnsiTheme="minorHAnsi" w:cstheme="minorBidi"/>
          <w:bCs/>
          <w:color w:val="495965" w:themeColor="text2"/>
          <w:szCs w:val="20"/>
          <w:lang w:val="en-GB" w:eastAsia="en-US"/>
        </w:rPr>
        <w:t xml:space="preserve"> </w:t>
      </w:r>
      <w:r w:rsidR="00185787">
        <w:rPr>
          <w:rFonts w:asciiTheme="minorHAnsi" w:eastAsiaTheme="minorHAnsi" w:hAnsiTheme="minorHAnsi" w:cstheme="minorBidi"/>
          <w:bCs/>
          <w:color w:val="495965" w:themeColor="text2"/>
          <w:szCs w:val="20"/>
          <w:lang w:val="en-GB" w:eastAsia="en-US"/>
        </w:rPr>
        <w:t>i</w:t>
      </w:r>
      <w:r w:rsidR="000D4C83" w:rsidRPr="000D4C83">
        <w:rPr>
          <w:rFonts w:asciiTheme="minorHAnsi" w:eastAsiaTheme="minorHAnsi" w:hAnsiTheme="minorHAnsi" w:cstheme="minorBidi"/>
          <w:bCs/>
          <w:color w:val="495965" w:themeColor="text2"/>
          <w:szCs w:val="20"/>
          <w:lang w:val="en-GB" w:eastAsia="en-US"/>
        </w:rPr>
        <w:t xml:space="preserve">ndependent </w:t>
      </w:r>
      <w:r w:rsidR="00185787">
        <w:rPr>
          <w:rFonts w:asciiTheme="minorHAnsi" w:eastAsiaTheme="minorHAnsi" w:hAnsiTheme="minorHAnsi" w:cstheme="minorBidi"/>
          <w:bCs/>
          <w:color w:val="495965" w:themeColor="text2"/>
          <w:szCs w:val="20"/>
          <w:lang w:val="en-GB" w:eastAsia="en-US"/>
        </w:rPr>
        <w:t>r</w:t>
      </w:r>
      <w:r w:rsidR="000D4C83" w:rsidRPr="000D4C83">
        <w:rPr>
          <w:rFonts w:asciiTheme="minorHAnsi" w:eastAsiaTheme="minorHAnsi" w:hAnsiTheme="minorHAnsi" w:cstheme="minorBidi"/>
          <w:bCs/>
          <w:color w:val="495965" w:themeColor="text2"/>
          <w:szCs w:val="20"/>
          <w:lang w:val="en-GB" w:eastAsia="en-US"/>
        </w:rPr>
        <w:t>eview of AECSP concluded that</w:t>
      </w:r>
      <w:r w:rsidR="00C109DB">
        <w:rPr>
          <w:rFonts w:asciiTheme="minorHAnsi" w:eastAsiaTheme="minorHAnsi" w:hAnsiTheme="minorHAnsi" w:cstheme="minorBidi"/>
          <w:bCs/>
          <w:color w:val="495965" w:themeColor="text2"/>
          <w:szCs w:val="20"/>
          <w:lang w:val="en-GB" w:eastAsia="en-US"/>
        </w:rPr>
        <w:t xml:space="preserve"> it </w:t>
      </w:r>
      <w:r w:rsidR="001A7013">
        <w:rPr>
          <w:rFonts w:asciiTheme="minorHAnsi" w:eastAsiaTheme="minorHAnsi" w:hAnsiTheme="minorHAnsi" w:cstheme="minorBidi"/>
          <w:bCs/>
          <w:color w:val="495965" w:themeColor="text2"/>
          <w:szCs w:val="20"/>
          <w:lang w:val="en-GB" w:eastAsia="en-US"/>
        </w:rPr>
        <w:t>contributed</w:t>
      </w:r>
      <w:r w:rsidR="006E58EC" w:rsidRPr="006E58EC">
        <w:rPr>
          <w:rFonts w:asciiTheme="minorHAnsi" w:eastAsiaTheme="minorHAnsi" w:hAnsiTheme="minorHAnsi" w:cstheme="minorBidi"/>
          <w:bCs/>
          <w:color w:val="495965" w:themeColor="text2"/>
          <w:szCs w:val="20"/>
          <w:lang w:val="en-GB" w:eastAsia="en-US"/>
        </w:rPr>
        <w:t xml:space="preserve"> to advancing AANZFTA implementation</w:t>
      </w:r>
      <w:r w:rsidR="0099334D">
        <w:rPr>
          <w:rFonts w:asciiTheme="minorHAnsi" w:eastAsiaTheme="minorHAnsi" w:hAnsiTheme="minorHAnsi" w:cstheme="minorBidi"/>
          <w:bCs/>
          <w:color w:val="495965" w:themeColor="text2"/>
          <w:szCs w:val="20"/>
          <w:lang w:val="en-GB" w:eastAsia="en-US"/>
        </w:rPr>
        <w:t xml:space="preserve">. </w:t>
      </w:r>
      <w:r w:rsidR="007D6A90" w:rsidRPr="007D6A90">
        <w:rPr>
          <w:rFonts w:asciiTheme="minorHAnsi" w:eastAsiaTheme="minorHAnsi" w:hAnsiTheme="minorHAnsi" w:cstheme="minorBidi"/>
          <w:bCs/>
          <w:color w:val="495965" w:themeColor="text2"/>
          <w:szCs w:val="20"/>
          <w:lang w:val="en-GB" w:eastAsia="en-US"/>
        </w:rPr>
        <w:t xml:space="preserve">AECSP helped build technical and regulatory capacity </w:t>
      </w:r>
      <w:r w:rsidR="007D6A90">
        <w:rPr>
          <w:rFonts w:asciiTheme="minorHAnsi" w:eastAsiaTheme="minorHAnsi" w:hAnsiTheme="minorHAnsi" w:cstheme="minorBidi"/>
          <w:bCs/>
          <w:color w:val="495965" w:themeColor="text2"/>
          <w:szCs w:val="20"/>
          <w:lang w:val="en-GB" w:eastAsia="en-US"/>
        </w:rPr>
        <w:t>of A</w:t>
      </w:r>
      <w:r w:rsidR="00252566">
        <w:rPr>
          <w:rFonts w:asciiTheme="minorHAnsi" w:eastAsiaTheme="minorHAnsi" w:hAnsiTheme="minorHAnsi" w:cstheme="minorBidi"/>
          <w:bCs/>
          <w:color w:val="495965" w:themeColor="text2"/>
          <w:szCs w:val="20"/>
          <w:lang w:val="en-GB" w:eastAsia="en-US"/>
        </w:rPr>
        <w:t xml:space="preserve">SEAN </w:t>
      </w:r>
      <w:r w:rsidR="007D6A90">
        <w:rPr>
          <w:rFonts w:asciiTheme="minorHAnsi" w:eastAsiaTheme="minorHAnsi" w:hAnsiTheme="minorHAnsi" w:cstheme="minorBidi"/>
          <w:bCs/>
          <w:color w:val="495965" w:themeColor="text2"/>
          <w:szCs w:val="20"/>
          <w:lang w:val="en-GB" w:eastAsia="en-US"/>
        </w:rPr>
        <w:t>M</w:t>
      </w:r>
      <w:r w:rsidR="00252566">
        <w:rPr>
          <w:rFonts w:asciiTheme="minorHAnsi" w:eastAsiaTheme="minorHAnsi" w:hAnsiTheme="minorHAnsi" w:cstheme="minorBidi"/>
          <w:bCs/>
          <w:color w:val="495965" w:themeColor="text2"/>
          <w:szCs w:val="20"/>
          <w:lang w:val="en-GB" w:eastAsia="en-US"/>
        </w:rPr>
        <w:t xml:space="preserve">ember </w:t>
      </w:r>
      <w:r w:rsidR="007D6A90">
        <w:rPr>
          <w:rFonts w:asciiTheme="minorHAnsi" w:eastAsiaTheme="minorHAnsi" w:hAnsiTheme="minorHAnsi" w:cstheme="minorBidi"/>
          <w:bCs/>
          <w:color w:val="495965" w:themeColor="text2"/>
          <w:szCs w:val="20"/>
          <w:lang w:val="en-GB" w:eastAsia="en-US"/>
        </w:rPr>
        <w:t>S</w:t>
      </w:r>
      <w:r w:rsidR="00252566">
        <w:rPr>
          <w:rFonts w:asciiTheme="minorHAnsi" w:eastAsiaTheme="minorHAnsi" w:hAnsiTheme="minorHAnsi" w:cstheme="minorBidi"/>
          <w:bCs/>
          <w:color w:val="495965" w:themeColor="text2"/>
          <w:szCs w:val="20"/>
          <w:lang w:val="en-GB" w:eastAsia="en-US"/>
        </w:rPr>
        <w:t>tates</w:t>
      </w:r>
      <w:r w:rsidR="007D6A90">
        <w:rPr>
          <w:rFonts w:asciiTheme="minorHAnsi" w:eastAsiaTheme="minorHAnsi" w:hAnsiTheme="minorHAnsi" w:cstheme="minorBidi"/>
          <w:bCs/>
          <w:color w:val="495965" w:themeColor="text2"/>
          <w:szCs w:val="20"/>
          <w:lang w:val="en-GB" w:eastAsia="en-US"/>
        </w:rPr>
        <w:t xml:space="preserve"> </w:t>
      </w:r>
      <w:r w:rsidR="007D6A90" w:rsidRPr="007D6A90">
        <w:rPr>
          <w:rFonts w:asciiTheme="minorHAnsi" w:eastAsiaTheme="minorHAnsi" w:hAnsiTheme="minorHAnsi" w:cstheme="minorBidi"/>
          <w:bCs/>
          <w:color w:val="495965" w:themeColor="text2"/>
          <w:szCs w:val="20"/>
          <w:lang w:val="en-GB" w:eastAsia="en-US"/>
        </w:rPr>
        <w:t xml:space="preserve">to implement Sanitary and </w:t>
      </w:r>
      <w:proofErr w:type="spellStart"/>
      <w:r w:rsidR="007D6A90" w:rsidRPr="007D6A90">
        <w:rPr>
          <w:rFonts w:asciiTheme="minorHAnsi" w:eastAsiaTheme="minorHAnsi" w:hAnsiTheme="minorHAnsi" w:cstheme="minorBidi"/>
          <w:bCs/>
          <w:color w:val="495965" w:themeColor="text2"/>
          <w:szCs w:val="20"/>
          <w:lang w:val="en-GB" w:eastAsia="en-US"/>
        </w:rPr>
        <w:t>Phytosanitary</w:t>
      </w:r>
      <w:proofErr w:type="spellEnd"/>
      <w:r w:rsidR="007D6A90" w:rsidRPr="007D6A90">
        <w:rPr>
          <w:rFonts w:asciiTheme="minorHAnsi" w:eastAsiaTheme="minorHAnsi" w:hAnsiTheme="minorHAnsi" w:cstheme="minorBidi"/>
          <w:bCs/>
          <w:color w:val="495965" w:themeColor="text2"/>
          <w:szCs w:val="20"/>
          <w:lang w:val="en-GB" w:eastAsia="en-US"/>
        </w:rPr>
        <w:t xml:space="preserve"> measures </w:t>
      </w:r>
      <w:r w:rsidR="00A43CFD">
        <w:rPr>
          <w:rFonts w:asciiTheme="minorHAnsi" w:eastAsiaTheme="minorHAnsi" w:hAnsiTheme="minorHAnsi" w:cstheme="minorBidi"/>
          <w:bCs/>
          <w:color w:val="495965" w:themeColor="text2"/>
          <w:szCs w:val="20"/>
          <w:lang w:val="en-GB" w:eastAsia="en-US"/>
        </w:rPr>
        <w:t>and</w:t>
      </w:r>
      <w:r w:rsidR="00A43CFD" w:rsidRPr="007D6A90">
        <w:rPr>
          <w:rFonts w:asciiTheme="minorHAnsi" w:eastAsiaTheme="minorHAnsi" w:hAnsiTheme="minorHAnsi" w:cstheme="minorBidi"/>
          <w:bCs/>
          <w:color w:val="495965" w:themeColor="text2"/>
          <w:szCs w:val="20"/>
          <w:lang w:val="en-GB" w:eastAsia="en-US"/>
        </w:rPr>
        <w:t xml:space="preserve"> </w:t>
      </w:r>
      <w:r w:rsidR="007D6A90" w:rsidRPr="007D6A90">
        <w:rPr>
          <w:rFonts w:asciiTheme="minorHAnsi" w:eastAsiaTheme="minorHAnsi" w:hAnsiTheme="minorHAnsi" w:cstheme="minorBidi"/>
          <w:bCs/>
          <w:color w:val="495965" w:themeColor="text2"/>
          <w:szCs w:val="20"/>
          <w:lang w:val="en-GB" w:eastAsia="en-US"/>
        </w:rPr>
        <w:t>facilitate trade in agricultural products</w:t>
      </w:r>
      <w:r w:rsidR="0099334D">
        <w:rPr>
          <w:rFonts w:asciiTheme="minorHAnsi" w:eastAsiaTheme="minorHAnsi" w:hAnsiTheme="minorHAnsi" w:cstheme="minorBidi"/>
          <w:bCs/>
          <w:color w:val="495965" w:themeColor="text2"/>
          <w:szCs w:val="20"/>
          <w:lang w:val="en-GB" w:eastAsia="en-US"/>
        </w:rPr>
        <w:t xml:space="preserve">. </w:t>
      </w:r>
      <w:r w:rsidR="00C80D94">
        <w:rPr>
          <w:rFonts w:asciiTheme="minorHAnsi" w:eastAsiaTheme="minorHAnsi" w:hAnsiTheme="minorHAnsi" w:cstheme="minorBidi"/>
          <w:bCs/>
          <w:color w:val="495965" w:themeColor="text2"/>
          <w:szCs w:val="20"/>
          <w:lang w:val="en-GB" w:eastAsia="en-US"/>
        </w:rPr>
        <w:t xml:space="preserve">AECSP supported Investment Policy </w:t>
      </w:r>
      <w:proofErr w:type="gramStart"/>
      <w:r w:rsidR="00C80D94">
        <w:rPr>
          <w:rFonts w:asciiTheme="minorHAnsi" w:eastAsiaTheme="minorHAnsi" w:hAnsiTheme="minorHAnsi" w:cstheme="minorBidi"/>
          <w:bCs/>
          <w:color w:val="495965" w:themeColor="text2"/>
          <w:szCs w:val="20"/>
          <w:lang w:val="en-GB" w:eastAsia="en-US"/>
        </w:rPr>
        <w:t xml:space="preserve">Reviews </w:t>
      </w:r>
      <w:r w:rsidR="00A22E22">
        <w:rPr>
          <w:rFonts w:asciiTheme="minorHAnsi" w:eastAsiaTheme="minorHAnsi" w:hAnsiTheme="minorHAnsi" w:cstheme="minorBidi"/>
          <w:bCs/>
          <w:color w:val="495965" w:themeColor="text2"/>
          <w:szCs w:val="20"/>
          <w:lang w:val="en-GB" w:eastAsia="en-US"/>
        </w:rPr>
        <w:t xml:space="preserve"> </w:t>
      </w:r>
      <w:r w:rsidR="00A43CFD">
        <w:rPr>
          <w:rFonts w:asciiTheme="minorHAnsi" w:eastAsiaTheme="minorHAnsi" w:hAnsiTheme="minorHAnsi" w:cstheme="minorBidi"/>
          <w:bCs/>
          <w:color w:val="495965" w:themeColor="text2"/>
          <w:szCs w:val="20"/>
          <w:lang w:val="en-GB" w:eastAsia="en-US"/>
        </w:rPr>
        <w:t>in</w:t>
      </w:r>
      <w:proofErr w:type="gramEnd"/>
      <w:r w:rsidR="00A43CFD">
        <w:rPr>
          <w:rFonts w:asciiTheme="minorHAnsi" w:eastAsiaTheme="minorHAnsi" w:hAnsiTheme="minorHAnsi" w:cstheme="minorBidi"/>
          <w:bCs/>
          <w:color w:val="495965" w:themeColor="text2"/>
          <w:szCs w:val="20"/>
          <w:lang w:val="en-GB" w:eastAsia="en-US"/>
        </w:rPr>
        <w:t xml:space="preserve"> Cambodia and Vietnam that </w:t>
      </w:r>
      <w:r w:rsidR="002C6F6E">
        <w:rPr>
          <w:rFonts w:asciiTheme="minorHAnsi" w:eastAsiaTheme="minorHAnsi" w:hAnsiTheme="minorHAnsi" w:cstheme="minorBidi"/>
          <w:bCs/>
          <w:color w:val="495965" w:themeColor="text2"/>
          <w:szCs w:val="20"/>
          <w:lang w:val="en-GB" w:eastAsia="en-US"/>
        </w:rPr>
        <w:t>outli</w:t>
      </w:r>
      <w:r w:rsidR="00A43CFD">
        <w:rPr>
          <w:rFonts w:asciiTheme="minorHAnsi" w:eastAsiaTheme="minorHAnsi" w:hAnsiTheme="minorHAnsi" w:cstheme="minorBidi"/>
          <w:bCs/>
          <w:color w:val="495965" w:themeColor="text2"/>
          <w:szCs w:val="20"/>
          <w:lang w:val="en-GB" w:eastAsia="en-US"/>
        </w:rPr>
        <w:t>ned</w:t>
      </w:r>
      <w:r w:rsidR="002C6F6E">
        <w:rPr>
          <w:rFonts w:asciiTheme="minorHAnsi" w:eastAsiaTheme="minorHAnsi" w:hAnsiTheme="minorHAnsi" w:cstheme="minorBidi"/>
          <w:bCs/>
          <w:color w:val="495965" w:themeColor="text2"/>
          <w:szCs w:val="20"/>
          <w:lang w:val="en-GB" w:eastAsia="en-US"/>
        </w:rPr>
        <w:t xml:space="preserve"> their</w:t>
      </w:r>
      <w:r w:rsidR="00A43CFD">
        <w:rPr>
          <w:rFonts w:asciiTheme="minorHAnsi" w:eastAsiaTheme="minorHAnsi" w:hAnsiTheme="minorHAnsi" w:cstheme="minorBidi"/>
          <w:bCs/>
          <w:color w:val="495965" w:themeColor="text2"/>
          <w:szCs w:val="20"/>
          <w:lang w:val="en-GB" w:eastAsia="en-US"/>
        </w:rPr>
        <w:t xml:space="preserve"> respective</w:t>
      </w:r>
      <w:r w:rsidR="002C6F6E">
        <w:rPr>
          <w:rFonts w:asciiTheme="minorHAnsi" w:eastAsiaTheme="minorHAnsi" w:hAnsiTheme="minorHAnsi" w:cstheme="minorBidi"/>
          <w:bCs/>
          <w:color w:val="495965" w:themeColor="text2"/>
          <w:szCs w:val="20"/>
          <w:lang w:val="en-GB" w:eastAsia="en-US"/>
        </w:rPr>
        <w:t xml:space="preserve"> investment climates</w:t>
      </w:r>
      <w:r w:rsidR="00A43CFD">
        <w:rPr>
          <w:rFonts w:asciiTheme="minorHAnsi" w:eastAsiaTheme="minorHAnsi" w:hAnsiTheme="minorHAnsi" w:cstheme="minorBidi"/>
          <w:bCs/>
          <w:color w:val="495965" w:themeColor="text2"/>
          <w:szCs w:val="20"/>
          <w:lang w:val="en-GB" w:eastAsia="en-US"/>
        </w:rPr>
        <w:t xml:space="preserve"> and will contribute toward improved policy development and investment reform efforts</w:t>
      </w:r>
      <w:r w:rsidR="00C80D94">
        <w:rPr>
          <w:rFonts w:asciiTheme="minorHAnsi" w:eastAsiaTheme="minorHAnsi" w:hAnsiTheme="minorHAnsi" w:cstheme="minorBidi"/>
          <w:bCs/>
          <w:color w:val="495965" w:themeColor="text2"/>
          <w:szCs w:val="20"/>
          <w:lang w:val="en-GB" w:eastAsia="en-US"/>
        </w:rPr>
        <w:t xml:space="preserve">. </w:t>
      </w:r>
      <w:r w:rsidR="00E1651D" w:rsidRPr="00E1651D">
        <w:rPr>
          <w:rFonts w:asciiTheme="minorHAnsi" w:eastAsiaTheme="minorHAnsi" w:hAnsiTheme="minorHAnsi" w:cstheme="minorBidi"/>
          <w:bCs/>
          <w:color w:val="495965" w:themeColor="text2"/>
          <w:szCs w:val="20"/>
          <w:lang w:val="en-GB" w:eastAsia="en-US"/>
        </w:rPr>
        <w:t>AECSP’s CLIP Phase III</w:t>
      </w:r>
      <w:r w:rsidR="00E1651D">
        <w:rPr>
          <w:rStyle w:val="FootnoteReference"/>
          <w:rFonts w:asciiTheme="minorHAnsi" w:eastAsiaTheme="minorHAnsi" w:hAnsiTheme="minorHAnsi" w:cstheme="minorBidi"/>
          <w:bCs/>
          <w:color w:val="495965" w:themeColor="text2"/>
          <w:szCs w:val="20"/>
          <w:lang w:val="en-GB" w:eastAsia="en-US"/>
        </w:rPr>
        <w:footnoteReference w:id="15"/>
      </w:r>
      <w:r w:rsidR="00E1651D" w:rsidRPr="00E1651D">
        <w:rPr>
          <w:rFonts w:asciiTheme="minorHAnsi" w:eastAsiaTheme="minorHAnsi" w:hAnsiTheme="minorHAnsi" w:cstheme="minorBidi"/>
          <w:bCs/>
          <w:color w:val="495965" w:themeColor="text2"/>
          <w:szCs w:val="20"/>
          <w:lang w:val="en-GB" w:eastAsia="en-US"/>
        </w:rPr>
        <w:t xml:space="preserve"> </w:t>
      </w:r>
      <w:r w:rsidR="007730A4" w:rsidRPr="00E1651D">
        <w:rPr>
          <w:rFonts w:asciiTheme="minorHAnsi" w:eastAsiaTheme="minorHAnsi" w:hAnsiTheme="minorHAnsi" w:cstheme="minorBidi"/>
          <w:bCs/>
          <w:color w:val="495965" w:themeColor="text2"/>
          <w:szCs w:val="20"/>
          <w:lang w:val="en-GB" w:eastAsia="en-US"/>
        </w:rPr>
        <w:t>sup</w:t>
      </w:r>
      <w:r w:rsidR="007730A4">
        <w:rPr>
          <w:rFonts w:asciiTheme="minorHAnsi" w:eastAsiaTheme="minorHAnsi" w:hAnsiTheme="minorHAnsi" w:cstheme="minorBidi"/>
          <w:bCs/>
          <w:color w:val="495965" w:themeColor="text2"/>
          <w:szCs w:val="20"/>
          <w:lang w:val="en-GB" w:eastAsia="en-US"/>
        </w:rPr>
        <w:t>p</w:t>
      </w:r>
      <w:r w:rsidR="007730A4" w:rsidRPr="00E1651D">
        <w:rPr>
          <w:rFonts w:asciiTheme="minorHAnsi" w:eastAsiaTheme="minorHAnsi" w:hAnsiTheme="minorHAnsi" w:cstheme="minorBidi"/>
          <w:bCs/>
          <w:color w:val="495965" w:themeColor="text2"/>
          <w:szCs w:val="20"/>
          <w:lang w:val="en-GB" w:eastAsia="en-US"/>
        </w:rPr>
        <w:t>ort</w:t>
      </w:r>
      <w:r w:rsidR="007730A4">
        <w:rPr>
          <w:rFonts w:asciiTheme="minorHAnsi" w:eastAsiaTheme="minorHAnsi" w:hAnsiTheme="minorHAnsi" w:cstheme="minorBidi"/>
          <w:bCs/>
          <w:color w:val="495965" w:themeColor="text2"/>
          <w:szCs w:val="20"/>
          <w:lang w:val="en-GB" w:eastAsia="en-US"/>
        </w:rPr>
        <w:t>ed</w:t>
      </w:r>
      <w:r w:rsidR="00E1651D" w:rsidRPr="00E1651D">
        <w:rPr>
          <w:rFonts w:asciiTheme="minorHAnsi" w:eastAsiaTheme="minorHAnsi" w:hAnsiTheme="minorHAnsi" w:cstheme="minorBidi"/>
          <w:bCs/>
          <w:color w:val="495965" w:themeColor="text2"/>
          <w:szCs w:val="20"/>
          <w:lang w:val="en-GB" w:eastAsia="en-US"/>
        </w:rPr>
        <w:t xml:space="preserve"> ASEAN competition authorities </w:t>
      </w:r>
      <w:r w:rsidR="007730A4">
        <w:rPr>
          <w:rFonts w:asciiTheme="minorHAnsi" w:eastAsiaTheme="minorHAnsi" w:hAnsiTheme="minorHAnsi" w:cstheme="minorBidi"/>
          <w:bCs/>
          <w:color w:val="495965" w:themeColor="text2"/>
          <w:szCs w:val="20"/>
          <w:lang w:val="en-GB" w:eastAsia="en-US"/>
        </w:rPr>
        <w:t>to</w:t>
      </w:r>
      <w:r w:rsidR="00E1651D" w:rsidRPr="00E1651D">
        <w:rPr>
          <w:rFonts w:asciiTheme="minorHAnsi" w:eastAsiaTheme="minorHAnsi" w:hAnsiTheme="minorHAnsi" w:cstheme="minorBidi"/>
          <w:bCs/>
          <w:color w:val="495965" w:themeColor="text2"/>
          <w:szCs w:val="20"/>
          <w:lang w:val="en-GB" w:eastAsia="en-US"/>
        </w:rPr>
        <w:t xml:space="preserve"> build expertise to enforce competition. </w:t>
      </w:r>
      <w:r w:rsidR="004E6A41">
        <w:rPr>
          <w:rFonts w:asciiTheme="minorHAnsi" w:eastAsiaTheme="minorHAnsi" w:hAnsiTheme="minorHAnsi" w:cstheme="minorBidi"/>
          <w:bCs/>
          <w:color w:val="495965" w:themeColor="text2"/>
          <w:szCs w:val="20"/>
          <w:lang w:val="en-GB" w:eastAsia="en-US"/>
        </w:rPr>
        <w:t xml:space="preserve">CLIP III </w:t>
      </w:r>
      <w:r w:rsidR="00BA7282">
        <w:rPr>
          <w:rFonts w:asciiTheme="minorHAnsi" w:eastAsiaTheme="minorHAnsi" w:hAnsiTheme="minorHAnsi" w:cstheme="minorBidi"/>
          <w:bCs/>
          <w:color w:val="495965" w:themeColor="text2"/>
          <w:szCs w:val="20"/>
          <w:lang w:val="en-GB" w:eastAsia="en-US"/>
        </w:rPr>
        <w:t>supported</w:t>
      </w:r>
      <w:r w:rsidR="00E1651D" w:rsidRPr="00E1651D">
        <w:rPr>
          <w:rFonts w:asciiTheme="minorHAnsi" w:eastAsiaTheme="minorHAnsi" w:hAnsiTheme="minorHAnsi" w:cstheme="minorBidi"/>
          <w:bCs/>
          <w:color w:val="495965" w:themeColor="text2"/>
          <w:szCs w:val="20"/>
          <w:lang w:val="en-GB" w:eastAsia="en-US"/>
        </w:rPr>
        <w:t xml:space="preserve"> Viet</w:t>
      </w:r>
      <w:r w:rsidR="006E6AA3">
        <w:rPr>
          <w:rFonts w:asciiTheme="minorHAnsi" w:eastAsiaTheme="minorHAnsi" w:hAnsiTheme="minorHAnsi" w:cstheme="minorBidi"/>
          <w:bCs/>
          <w:color w:val="495965" w:themeColor="text2"/>
          <w:szCs w:val="20"/>
          <w:lang w:val="en-GB" w:eastAsia="en-US"/>
        </w:rPr>
        <w:t>n</w:t>
      </w:r>
      <w:r w:rsidR="00E1651D" w:rsidRPr="00E1651D">
        <w:rPr>
          <w:rFonts w:asciiTheme="minorHAnsi" w:eastAsiaTheme="minorHAnsi" w:hAnsiTheme="minorHAnsi" w:cstheme="minorBidi"/>
          <w:bCs/>
          <w:color w:val="495965" w:themeColor="text2"/>
          <w:szCs w:val="20"/>
          <w:lang w:val="en-GB" w:eastAsia="en-US"/>
        </w:rPr>
        <w:t xml:space="preserve">am's National Assembly </w:t>
      </w:r>
      <w:r w:rsidR="00201FE4">
        <w:rPr>
          <w:rFonts w:asciiTheme="minorHAnsi" w:eastAsiaTheme="minorHAnsi" w:hAnsiTheme="minorHAnsi" w:cstheme="minorBidi"/>
          <w:bCs/>
          <w:color w:val="495965" w:themeColor="text2"/>
          <w:szCs w:val="20"/>
          <w:lang w:val="en-GB" w:eastAsia="en-US"/>
        </w:rPr>
        <w:t xml:space="preserve">to </w:t>
      </w:r>
      <w:r w:rsidR="00E1651D" w:rsidRPr="00E1651D">
        <w:rPr>
          <w:rFonts w:asciiTheme="minorHAnsi" w:eastAsiaTheme="minorHAnsi" w:hAnsiTheme="minorHAnsi" w:cstheme="minorBidi"/>
          <w:bCs/>
          <w:color w:val="495965" w:themeColor="text2"/>
          <w:szCs w:val="20"/>
          <w:lang w:val="en-GB" w:eastAsia="en-US"/>
        </w:rPr>
        <w:t xml:space="preserve">pass a </w:t>
      </w:r>
      <w:r w:rsidR="00EB64E2">
        <w:rPr>
          <w:rFonts w:asciiTheme="minorHAnsi" w:eastAsiaTheme="minorHAnsi" w:hAnsiTheme="minorHAnsi" w:cstheme="minorBidi"/>
          <w:bCs/>
          <w:color w:val="495965" w:themeColor="text2"/>
          <w:szCs w:val="20"/>
          <w:lang w:val="en-GB" w:eastAsia="en-US"/>
        </w:rPr>
        <w:t>revised</w:t>
      </w:r>
      <w:r w:rsidR="00E1651D" w:rsidRPr="00E1651D">
        <w:rPr>
          <w:rFonts w:asciiTheme="minorHAnsi" w:eastAsiaTheme="minorHAnsi" w:hAnsiTheme="minorHAnsi" w:cstheme="minorBidi"/>
          <w:bCs/>
          <w:color w:val="495965" w:themeColor="text2"/>
          <w:szCs w:val="20"/>
          <w:lang w:val="en-GB" w:eastAsia="en-US"/>
        </w:rPr>
        <w:t xml:space="preserve"> competition law</w:t>
      </w:r>
      <w:r w:rsidR="000D603E">
        <w:rPr>
          <w:rFonts w:asciiTheme="minorHAnsi" w:eastAsiaTheme="minorHAnsi" w:hAnsiTheme="minorHAnsi" w:cstheme="minorBidi"/>
          <w:bCs/>
          <w:color w:val="495965" w:themeColor="text2"/>
          <w:szCs w:val="20"/>
          <w:lang w:val="en-GB" w:eastAsia="en-US"/>
        </w:rPr>
        <w:t xml:space="preserve">. </w:t>
      </w:r>
      <w:r w:rsidR="00D6408A" w:rsidRPr="00D6408A">
        <w:rPr>
          <w:rFonts w:asciiTheme="minorHAnsi" w:eastAsiaTheme="minorHAnsi" w:hAnsiTheme="minorHAnsi" w:cstheme="minorBidi"/>
          <w:bCs/>
          <w:color w:val="495965" w:themeColor="text2"/>
          <w:szCs w:val="20"/>
          <w:lang w:val="en-GB" w:eastAsia="en-US"/>
        </w:rPr>
        <w:t>The next phase of AECSP will align with the recommendations of the AANZFTA General Review, which recommended the program focus on fewer, larger, long-term projects.</w:t>
      </w:r>
    </w:p>
    <w:p w14:paraId="2B7D50E4" w14:textId="2C23A923" w:rsidR="007D1342" w:rsidRDefault="008979AF" w:rsidP="0099334D">
      <w:pPr>
        <w:pStyle w:val="Bullet1"/>
        <w:numPr>
          <w:ilvl w:val="0"/>
          <w:numId w:val="0"/>
        </w:numPr>
        <w:spacing w:before="120"/>
        <w:rPr>
          <w:b/>
          <w:bCs/>
        </w:rPr>
      </w:pPr>
      <w:r w:rsidRPr="00CB11EA">
        <w:rPr>
          <w:b/>
          <w:bCs/>
          <w:lang w:val="en-AU"/>
        </w:rPr>
        <w:t>Economic Research Institute for ASEAN and East Asia</w:t>
      </w:r>
      <w:r w:rsidRPr="008979AF">
        <w:rPr>
          <w:b/>
          <w:bCs/>
        </w:rPr>
        <w:t xml:space="preserve"> </w:t>
      </w:r>
      <w:r>
        <w:rPr>
          <w:b/>
          <w:bCs/>
        </w:rPr>
        <w:t>(</w:t>
      </w:r>
      <w:r w:rsidR="00ED3D99">
        <w:rPr>
          <w:b/>
          <w:bCs/>
        </w:rPr>
        <w:t>ERIA</w:t>
      </w:r>
      <w:r>
        <w:rPr>
          <w:b/>
          <w:bCs/>
        </w:rPr>
        <w:t>)</w:t>
      </w:r>
    </w:p>
    <w:p w14:paraId="1F610550" w14:textId="344CF8D2" w:rsidR="00E07310" w:rsidRPr="003F5FD2" w:rsidRDefault="000B0396" w:rsidP="003F5FD2">
      <w:pPr>
        <w:pStyle w:val="Bullet1Tightlessspacing"/>
        <w:numPr>
          <w:ilvl w:val="0"/>
          <w:numId w:val="0"/>
        </w:numPr>
        <w:ind w:left="-42"/>
        <w:rPr>
          <w:rFonts w:asciiTheme="minorHAnsi" w:eastAsiaTheme="minorHAnsi" w:hAnsiTheme="minorHAnsi" w:cstheme="minorBidi"/>
          <w:bCs/>
          <w:color w:val="495965" w:themeColor="text2"/>
          <w:szCs w:val="20"/>
          <w:lang w:val="en-GB" w:eastAsia="en-US"/>
        </w:rPr>
      </w:pPr>
      <w:r>
        <w:rPr>
          <w:rFonts w:asciiTheme="minorHAnsi" w:eastAsiaTheme="minorHAnsi" w:hAnsiTheme="minorHAnsi" w:cstheme="minorBidi"/>
          <w:bCs/>
          <w:color w:val="495965" w:themeColor="text2"/>
          <w:szCs w:val="20"/>
          <w:lang w:val="en-GB" w:eastAsia="en-US"/>
        </w:rPr>
        <w:t>Our</w:t>
      </w:r>
      <w:r w:rsidR="00E07310" w:rsidRPr="003F5FD2">
        <w:rPr>
          <w:rFonts w:asciiTheme="minorHAnsi" w:eastAsiaTheme="minorHAnsi" w:hAnsiTheme="minorHAnsi" w:cstheme="minorBidi"/>
          <w:bCs/>
          <w:color w:val="495965" w:themeColor="text2"/>
          <w:szCs w:val="20"/>
          <w:lang w:val="en-GB" w:eastAsia="en-US"/>
        </w:rPr>
        <w:t xml:space="preserve"> </w:t>
      </w:r>
      <w:r w:rsidR="00725EB5">
        <w:rPr>
          <w:rFonts w:asciiTheme="minorHAnsi" w:eastAsiaTheme="minorHAnsi" w:hAnsiTheme="minorHAnsi" w:cstheme="minorBidi"/>
          <w:bCs/>
          <w:color w:val="495965" w:themeColor="text2"/>
          <w:szCs w:val="20"/>
          <w:lang w:val="en-GB" w:eastAsia="en-US"/>
        </w:rPr>
        <w:t>contribut</w:t>
      </w:r>
      <w:r>
        <w:rPr>
          <w:rFonts w:asciiTheme="minorHAnsi" w:eastAsiaTheme="minorHAnsi" w:hAnsiTheme="minorHAnsi" w:cstheme="minorBidi"/>
          <w:bCs/>
          <w:color w:val="495965" w:themeColor="text2"/>
          <w:szCs w:val="20"/>
          <w:lang w:val="en-GB" w:eastAsia="en-US"/>
        </w:rPr>
        <w:t>ion</w:t>
      </w:r>
      <w:r w:rsidR="00E07310" w:rsidRPr="003F5FD2">
        <w:rPr>
          <w:rFonts w:asciiTheme="minorHAnsi" w:eastAsiaTheme="minorHAnsi" w:hAnsiTheme="minorHAnsi" w:cstheme="minorBidi"/>
          <w:bCs/>
          <w:color w:val="495965" w:themeColor="text2"/>
          <w:szCs w:val="20"/>
          <w:lang w:val="en-GB" w:eastAsia="en-US"/>
        </w:rPr>
        <w:t xml:space="preserve"> to the Economic Research Institute of ASEAN and East Asia (ERIA)</w:t>
      </w:r>
      <w:r w:rsidR="00C900ED" w:rsidRPr="00C900ED">
        <w:rPr>
          <w:rFonts w:asciiTheme="minorHAnsi" w:eastAsiaTheme="minorHAnsi" w:hAnsiTheme="minorHAnsi" w:cstheme="minorBidi"/>
          <w:bCs/>
          <w:color w:val="495965" w:themeColor="text2"/>
          <w:szCs w:val="20"/>
          <w:lang w:val="en-GB" w:eastAsia="en-US"/>
        </w:rPr>
        <w:t>, a key economic think-tank for East and Southeast Asia,</w:t>
      </w:r>
      <w:r w:rsidR="00E07310" w:rsidRPr="003F5FD2">
        <w:rPr>
          <w:rFonts w:asciiTheme="minorHAnsi" w:eastAsiaTheme="minorHAnsi" w:hAnsiTheme="minorHAnsi" w:cstheme="minorBidi"/>
          <w:bCs/>
          <w:color w:val="495965" w:themeColor="text2"/>
          <w:szCs w:val="20"/>
          <w:lang w:val="en-GB" w:eastAsia="en-US"/>
        </w:rPr>
        <w:t xml:space="preserve"> help</w:t>
      </w:r>
      <w:r w:rsidR="00B16CB3">
        <w:rPr>
          <w:rFonts w:asciiTheme="minorHAnsi" w:eastAsiaTheme="minorHAnsi" w:hAnsiTheme="minorHAnsi" w:cstheme="minorBidi"/>
          <w:bCs/>
          <w:color w:val="495965" w:themeColor="text2"/>
          <w:szCs w:val="20"/>
          <w:lang w:val="en-GB" w:eastAsia="en-US"/>
        </w:rPr>
        <w:t>s to</w:t>
      </w:r>
      <w:r w:rsidR="00E07310" w:rsidRPr="003F5FD2">
        <w:rPr>
          <w:rFonts w:asciiTheme="minorHAnsi" w:eastAsiaTheme="minorHAnsi" w:hAnsiTheme="minorHAnsi" w:cstheme="minorBidi"/>
          <w:bCs/>
          <w:color w:val="495965" w:themeColor="text2"/>
          <w:szCs w:val="20"/>
          <w:lang w:val="en-GB" w:eastAsia="en-US"/>
        </w:rPr>
        <w:t xml:space="preserve"> build economic policy-making capacity</w:t>
      </w:r>
      <w:r w:rsidR="00B80852">
        <w:rPr>
          <w:rFonts w:asciiTheme="minorHAnsi" w:eastAsiaTheme="minorHAnsi" w:hAnsiTheme="minorHAnsi" w:cstheme="minorBidi"/>
          <w:bCs/>
          <w:color w:val="495965" w:themeColor="text2"/>
          <w:szCs w:val="20"/>
          <w:lang w:val="en-GB" w:eastAsia="en-US"/>
        </w:rPr>
        <w:t xml:space="preserve"> among A</w:t>
      </w:r>
      <w:r w:rsidR="00252566">
        <w:rPr>
          <w:rFonts w:asciiTheme="minorHAnsi" w:eastAsiaTheme="minorHAnsi" w:hAnsiTheme="minorHAnsi" w:cstheme="minorBidi"/>
          <w:bCs/>
          <w:color w:val="495965" w:themeColor="text2"/>
          <w:szCs w:val="20"/>
          <w:lang w:val="en-GB" w:eastAsia="en-US"/>
        </w:rPr>
        <w:t xml:space="preserve">SEAN Member </w:t>
      </w:r>
      <w:r w:rsidR="00B80852">
        <w:rPr>
          <w:rFonts w:asciiTheme="minorHAnsi" w:eastAsiaTheme="minorHAnsi" w:hAnsiTheme="minorHAnsi" w:cstheme="minorBidi"/>
          <w:bCs/>
          <w:color w:val="495965" w:themeColor="text2"/>
          <w:szCs w:val="20"/>
          <w:lang w:val="en-GB" w:eastAsia="en-US"/>
        </w:rPr>
        <w:t>S</w:t>
      </w:r>
      <w:r w:rsidR="00252566">
        <w:rPr>
          <w:rFonts w:asciiTheme="minorHAnsi" w:eastAsiaTheme="minorHAnsi" w:hAnsiTheme="minorHAnsi" w:cstheme="minorBidi"/>
          <w:bCs/>
          <w:color w:val="495965" w:themeColor="text2"/>
          <w:szCs w:val="20"/>
          <w:lang w:val="en-GB" w:eastAsia="en-US"/>
        </w:rPr>
        <w:t>tates</w:t>
      </w:r>
      <w:r w:rsidR="00B80852">
        <w:rPr>
          <w:rFonts w:asciiTheme="minorHAnsi" w:eastAsiaTheme="minorHAnsi" w:hAnsiTheme="minorHAnsi" w:cstheme="minorBidi"/>
          <w:bCs/>
          <w:color w:val="495965" w:themeColor="text2"/>
          <w:szCs w:val="20"/>
          <w:lang w:val="en-GB" w:eastAsia="en-US"/>
        </w:rPr>
        <w:t>, with a focus o</w:t>
      </w:r>
      <w:r w:rsidR="00E07310" w:rsidRPr="003F5FD2">
        <w:rPr>
          <w:rFonts w:asciiTheme="minorHAnsi" w:eastAsiaTheme="minorHAnsi" w:hAnsiTheme="minorHAnsi" w:cstheme="minorBidi"/>
          <w:bCs/>
          <w:color w:val="495965" w:themeColor="text2"/>
          <w:szCs w:val="20"/>
          <w:lang w:val="en-GB" w:eastAsia="en-US"/>
        </w:rPr>
        <w:t>n</w:t>
      </w:r>
      <w:r w:rsidR="00B80852">
        <w:rPr>
          <w:rFonts w:asciiTheme="minorHAnsi" w:eastAsiaTheme="minorHAnsi" w:hAnsiTheme="minorHAnsi" w:cstheme="minorBidi"/>
          <w:bCs/>
          <w:color w:val="495965" w:themeColor="text2"/>
          <w:szCs w:val="20"/>
          <w:lang w:val="en-GB" w:eastAsia="en-US"/>
        </w:rPr>
        <w:t xml:space="preserve"> </w:t>
      </w:r>
      <w:r w:rsidR="00E07310" w:rsidRPr="003F5FD2">
        <w:rPr>
          <w:rFonts w:asciiTheme="minorHAnsi" w:eastAsiaTheme="minorHAnsi" w:hAnsiTheme="minorHAnsi" w:cstheme="minorBidi"/>
          <w:bCs/>
          <w:color w:val="495965" w:themeColor="text2"/>
          <w:szCs w:val="20"/>
          <w:lang w:val="en-GB" w:eastAsia="en-US"/>
        </w:rPr>
        <w:t>Cambodia, Laos, Myanmar and Vietnam (CLMV)</w:t>
      </w:r>
      <w:r w:rsidR="0099334D">
        <w:rPr>
          <w:rFonts w:asciiTheme="minorHAnsi" w:eastAsiaTheme="minorHAnsi" w:hAnsiTheme="minorHAnsi" w:cstheme="minorBidi"/>
          <w:bCs/>
          <w:color w:val="495965" w:themeColor="text2"/>
          <w:szCs w:val="20"/>
          <w:lang w:val="en-GB" w:eastAsia="en-US"/>
        </w:rPr>
        <w:t xml:space="preserve">. </w:t>
      </w:r>
      <w:r w:rsidR="00B80852">
        <w:rPr>
          <w:rFonts w:asciiTheme="minorHAnsi" w:eastAsiaTheme="minorHAnsi" w:hAnsiTheme="minorHAnsi" w:cstheme="minorBidi"/>
          <w:bCs/>
          <w:color w:val="495965" w:themeColor="text2"/>
          <w:szCs w:val="20"/>
          <w:lang w:val="en-GB" w:eastAsia="en-US"/>
        </w:rPr>
        <w:t xml:space="preserve">This support </w:t>
      </w:r>
      <w:r w:rsidR="00E07310" w:rsidRPr="003F5FD2">
        <w:rPr>
          <w:rFonts w:asciiTheme="minorHAnsi" w:eastAsiaTheme="minorHAnsi" w:hAnsiTheme="minorHAnsi" w:cstheme="minorBidi"/>
          <w:bCs/>
          <w:color w:val="495965" w:themeColor="text2"/>
          <w:szCs w:val="20"/>
          <w:lang w:val="en-GB" w:eastAsia="en-US"/>
        </w:rPr>
        <w:t>advance</w:t>
      </w:r>
      <w:r w:rsidR="00B16CB3">
        <w:rPr>
          <w:rFonts w:asciiTheme="minorHAnsi" w:eastAsiaTheme="minorHAnsi" w:hAnsiTheme="minorHAnsi" w:cstheme="minorBidi"/>
          <w:bCs/>
          <w:color w:val="495965" w:themeColor="text2"/>
          <w:szCs w:val="20"/>
          <w:lang w:val="en-GB" w:eastAsia="en-US"/>
        </w:rPr>
        <w:t>s</w:t>
      </w:r>
      <w:r w:rsidR="00E07310" w:rsidRPr="003F5FD2">
        <w:rPr>
          <w:rFonts w:asciiTheme="minorHAnsi" w:eastAsiaTheme="minorHAnsi" w:hAnsiTheme="minorHAnsi" w:cstheme="minorBidi"/>
          <w:bCs/>
          <w:color w:val="495965" w:themeColor="text2"/>
          <w:szCs w:val="20"/>
          <w:lang w:val="en-GB" w:eastAsia="en-US"/>
        </w:rPr>
        <w:t xml:space="preserve"> our joint interests in </w:t>
      </w:r>
      <w:r w:rsidR="00B80852">
        <w:rPr>
          <w:rFonts w:asciiTheme="minorHAnsi" w:eastAsiaTheme="minorHAnsi" w:hAnsiTheme="minorHAnsi" w:cstheme="minorBidi"/>
          <w:bCs/>
          <w:color w:val="495965" w:themeColor="text2"/>
          <w:szCs w:val="20"/>
          <w:lang w:val="en-GB" w:eastAsia="en-US"/>
        </w:rPr>
        <w:t xml:space="preserve">building </w:t>
      </w:r>
      <w:r w:rsidR="00E07310" w:rsidRPr="003F5FD2">
        <w:rPr>
          <w:rFonts w:asciiTheme="minorHAnsi" w:eastAsiaTheme="minorHAnsi" w:hAnsiTheme="minorHAnsi" w:cstheme="minorBidi"/>
          <w:bCs/>
          <w:color w:val="495965" w:themeColor="text2"/>
          <w:szCs w:val="20"/>
          <w:lang w:val="en-GB" w:eastAsia="en-US"/>
        </w:rPr>
        <w:t>economic</w:t>
      </w:r>
      <w:r w:rsidR="00B80852">
        <w:rPr>
          <w:rFonts w:asciiTheme="minorHAnsi" w:eastAsiaTheme="minorHAnsi" w:hAnsiTheme="minorHAnsi" w:cstheme="minorBidi"/>
          <w:bCs/>
          <w:color w:val="495965" w:themeColor="text2"/>
          <w:szCs w:val="20"/>
          <w:lang w:val="en-GB" w:eastAsia="en-US"/>
        </w:rPr>
        <w:t xml:space="preserve"> resilience and</w:t>
      </w:r>
      <w:r w:rsidR="00E07310" w:rsidRPr="003F5FD2">
        <w:rPr>
          <w:rFonts w:asciiTheme="minorHAnsi" w:eastAsiaTheme="minorHAnsi" w:hAnsiTheme="minorHAnsi" w:cstheme="minorBidi"/>
          <w:bCs/>
          <w:color w:val="495965" w:themeColor="text2"/>
          <w:szCs w:val="20"/>
          <w:lang w:val="en-GB" w:eastAsia="en-US"/>
        </w:rPr>
        <w:t xml:space="preserve"> integration in Southeast Asia. </w:t>
      </w:r>
      <w:r w:rsidR="009A52A2">
        <w:rPr>
          <w:rFonts w:asciiTheme="minorHAnsi" w:eastAsiaTheme="minorHAnsi" w:hAnsiTheme="minorHAnsi" w:cstheme="minorBidi"/>
          <w:bCs/>
          <w:color w:val="495965" w:themeColor="text2"/>
          <w:szCs w:val="20"/>
          <w:lang w:val="en-GB" w:eastAsia="en-US"/>
        </w:rPr>
        <w:t xml:space="preserve">ERIA </w:t>
      </w:r>
      <w:r w:rsidR="00526E91">
        <w:rPr>
          <w:rFonts w:asciiTheme="minorHAnsi" w:eastAsiaTheme="minorHAnsi" w:hAnsiTheme="minorHAnsi" w:cstheme="minorBidi"/>
          <w:bCs/>
          <w:color w:val="495965" w:themeColor="text2"/>
          <w:szCs w:val="20"/>
          <w:lang w:val="en-GB" w:eastAsia="en-US"/>
        </w:rPr>
        <w:t>supported</w:t>
      </w:r>
      <w:r w:rsidR="00E07310" w:rsidRPr="003F5FD2">
        <w:rPr>
          <w:rFonts w:asciiTheme="minorHAnsi" w:eastAsiaTheme="minorHAnsi" w:hAnsiTheme="minorHAnsi" w:cstheme="minorBidi"/>
          <w:bCs/>
          <w:color w:val="495965" w:themeColor="text2"/>
          <w:szCs w:val="20"/>
          <w:lang w:val="en-GB" w:eastAsia="en-US"/>
        </w:rPr>
        <w:t xml:space="preserve"> </w:t>
      </w:r>
      <w:r w:rsidR="007F4079" w:rsidRPr="003F5FD2">
        <w:rPr>
          <w:rFonts w:asciiTheme="minorHAnsi" w:eastAsiaTheme="minorHAnsi" w:hAnsiTheme="minorHAnsi" w:cstheme="minorBidi"/>
          <w:bCs/>
          <w:color w:val="495965" w:themeColor="text2"/>
          <w:szCs w:val="20"/>
          <w:lang w:val="en-GB" w:eastAsia="en-US"/>
        </w:rPr>
        <w:t>policymakers</w:t>
      </w:r>
      <w:r w:rsidR="00E07310" w:rsidRPr="003F5FD2">
        <w:rPr>
          <w:rFonts w:asciiTheme="minorHAnsi" w:eastAsiaTheme="minorHAnsi" w:hAnsiTheme="minorHAnsi" w:cstheme="minorBidi"/>
          <w:bCs/>
          <w:color w:val="495965" w:themeColor="text2"/>
          <w:szCs w:val="20"/>
          <w:lang w:val="en-GB" w:eastAsia="en-US"/>
        </w:rPr>
        <w:t xml:space="preserve"> in CLMV to apply ERIA’s research to national policy development</w:t>
      </w:r>
      <w:r w:rsidR="00B16CB3">
        <w:rPr>
          <w:rFonts w:asciiTheme="minorHAnsi" w:eastAsiaTheme="minorHAnsi" w:hAnsiTheme="minorHAnsi" w:cstheme="minorBidi"/>
          <w:bCs/>
          <w:color w:val="495965" w:themeColor="text2"/>
          <w:szCs w:val="20"/>
          <w:lang w:val="en-GB" w:eastAsia="en-US"/>
        </w:rPr>
        <w:t xml:space="preserve"> </w:t>
      </w:r>
      <w:r w:rsidR="00526E91">
        <w:rPr>
          <w:rFonts w:asciiTheme="minorHAnsi" w:eastAsiaTheme="minorHAnsi" w:hAnsiTheme="minorHAnsi" w:cstheme="minorBidi"/>
          <w:bCs/>
          <w:color w:val="495965" w:themeColor="text2"/>
          <w:szCs w:val="20"/>
          <w:lang w:val="en-GB" w:eastAsia="en-US"/>
        </w:rPr>
        <w:t xml:space="preserve">through targeted </w:t>
      </w:r>
      <w:r w:rsidR="00B80852">
        <w:rPr>
          <w:rFonts w:asciiTheme="minorHAnsi" w:eastAsiaTheme="minorHAnsi" w:hAnsiTheme="minorHAnsi" w:cstheme="minorBidi"/>
          <w:bCs/>
          <w:color w:val="495965" w:themeColor="text2"/>
          <w:szCs w:val="20"/>
          <w:lang w:val="en-GB" w:eastAsia="en-US"/>
        </w:rPr>
        <w:t>capacity building activities</w:t>
      </w:r>
      <w:r w:rsidR="00A43CFD">
        <w:rPr>
          <w:rFonts w:asciiTheme="minorHAnsi" w:eastAsiaTheme="minorHAnsi" w:hAnsiTheme="minorHAnsi" w:cstheme="minorBidi"/>
          <w:bCs/>
          <w:color w:val="495965" w:themeColor="text2"/>
          <w:szCs w:val="20"/>
          <w:lang w:val="en-GB" w:eastAsia="en-US"/>
        </w:rPr>
        <w:t>,</w:t>
      </w:r>
      <w:r w:rsidR="00B80852">
        <w:rPr>
          <w:rFonts w:asciiTheme="minorHAnsi" w:eastAsiaTheme="minorHAnsi" w:hAnsiTheme="minorHAnsi" w:cstheme="minorBidi"/>
          <w:bCs/>
          <w:color w:val="495965" w:themeColor="text2"/>
          <w:szCs w:val="20"/>
          <w:lang w:val="en-GB" w:eastAsia="en-US"/>
        </w:rPr>
        <w:t xml:space="preserve"> </w:t>
      </w:r>
      <w:r w:rsidR="00C900ED" w:rsidRPr="00C900ED">
        <w:rPr>
          <w:rFonts w:asciiTheme="minorHAnsi" w:eastAsiaTheme="minorHAnsi" w:hAnsiTheme="minorHAnsi" w:cstheme="minorBidi"/>
          <w:bCs/>
          <w:color w:val="495965" w:themeColor="text2"/>
          <w:szCs w:val="20"/>
          <w:lang w:val="en-GB" w:eastAsia="en-US"/>
        </w:rPr>
        <w:t>including support for evidence-based economic policy development in Cambodia and training for Lao trade negotiators regarding the inclusion of e-commerce in regional and international trade agreements.  ERIA has provided key inputs to ASEAN’s Vision 2040 (a priority of Thailand’s ASEAN Chairmanship) and supported the development of the ASEAN Outlook on the Indo-Pacific.</w:t>
      </w:r>
      <w:r w:rsidR="00E07310" w:rsidRPr="003F5FD2">
        <w:rPr>
          <w:rFonts w:asciiTheme="minorHAnsi" w:eastAsiaTheme="minorHAnsi" w:hAnsiTheme="minorHAnsi" w:cstheme="minorBidi"/>
          <w:bCs/>
          <w:color w:val="495965" w:themeColor="text2"/>
          <w:szCs w:val="20"/>
          <w:lang w:val="en-GB" w:eastAsia="en-US"/>
        </w:rPr>
        <w:t xml:space="preserve"> </w:t>
      </w:r>
    </w:p>
    <w:p w14:paraId="7FD55A6C" w14:textId="77777777" w:rsidR="00B94C1A" w:rsidRDefault="00B94C1A" w:rsidP="0099334D">
      <w:pPr>
        <w:pStyle w:val="Bullet1"/>
        <w:numPr>
          <w:ilvl w:val="0"/>
          <w:numId w:val="0"/>
        </w:numPr>
        <w:spacing w:before="120"/>
        <w:rPr>
          <w:b/>
          <w:lang w:val="en-US" w:eastAsia="en-AU"/>
        </w:rPr>
      </w:pPr>
      <w:r w:rsidRPr="00CB11EA">
        <w:rPr>
          <w:b/>
          <w:bCs/>
          <w:lang w:val="en-AU"/>
        </w:rPr>
        <w:t xml:space="preserve">Greater Mekong Water Resources Program </w:t>
      </w:r>
      <w:r>
        <w:rPr>
          <w:b/>
          <w:bCs/>
          <w:lang w:val="en-AU"/>
        </w:rPr>
        <w:t>(</w:t>
      </w:r>
      <w:r w:rsidRPr="00C1183B">
        <w:rPr>
          <w:b/>
          <w:lang w:val="en-US" w:eastAsia="en-AU"/>
        </w:rPr>
        <w:t>GMWRP</w:t>
      </w:r>
      <w:r>
        <w:rPr>
          <w:b/>
          <w:lang w:val="en-US" w:eastAsia="en-AU"/>
        </w:rPr>
        <w:t>)</w:t>
      </w:r>
    </w:p>
    <w:p w14:paraId="36FAF06C" w14:textId="425EDBFF" w:rsidR="00B94C1A" w:rsidRDefault="00B94C1A" w:rsidP="00C02B50">
      <w:r>
        <w:t xml:space="preserve">The </w:t>
      </w:r>
      <w:r w:rsidRPr="00544C0F">
        <w:t>GMWRP support</w:t>
      </w:r>
      <w:r>
        <w:t>s</w:t>
      </w:r>
      <w:r w:rsidRPr="00544C0F">
        <w:t xml:space="preserve"> transparent, inclusive, informed and accountable water resources management, contributing to regional economic development through improved water, food, energy and environmental security</w:t>
      </w:r>
      <w:r w:rsidR="0099334D">
        <w:t xml:space="preserve">. </w:t>
      </w:r>
      <w:r w:rsidRPr="00335ACB">
        <w:t>The newly created Australia Mekong Water Facility</w:t>
      </w:r>
      <w:r w:rsidR="00BA48A1">
        <w:t xml:space="preserve"> </w:t>
      </w:r>
      <w:r>
        <w:t>has used</w:t>
      </w:r>
      <w:r w:rsidRPr="00906483">
        <w:t xml:space="preserve"> the Australian Water Partnership to mobilise Australian expertise</w:t>
      </w:r>
      <w:r>
        <w:t xml:space="preserve"> to </w:t>
      </w:r>
      <w:r w:rsidRPr="00906483">
        <w:t>assist with requests from Mekong governments</w:t>
      </w:r>
      <w:r w:rsidRPr="00637475">
        <w:t>, such as the development of a new comprehensive National Water and Water Resources Management Strategy in Laos.</w:t>
      </w:r>
    </w:p>
    <w:p w14:paraId="53E63D91" w14:textId="4C2AA8EB" w:rsidR="00B94C1A" w:rsidRDefault="00B94C1A" w:rsidP="00B94C1A">
      <w:pPr>
        <w:pStyle w:val="Bullet1"/>
        <w:numPr>
          <w:ilvl w:val="0"/>
          <w:numId w:val="0"/>
        </w:numPr>
      </w:pPr>
      <w:r>
        <w:t>In 2018-19, the GMWRP supported the MRC</w:t>
      </w:r>
      <w:r>
        <w:rPr>
          <w:rStyle w:val="FootnoteReference"/>
        </w:rPr>
        <w:footnoteReference w:id="16"/>
      </w:r>
      <w:r>
        <w:t xml:space="preserve"> </w:t>
      </w:r>
      <w:r w:rsidRPr="00BD22EF">
        <w:t xml:space="preserve">in its efforts to implement its 2016-2020 Strategic Plan. Key tasks carried </w:t>
      </w:r>
      <w:r w:rsidR="00FE61C5">
        <w:t xml:space="preserve">out </w:t>
      </w:r>
      <w:r w:rsidRPr="00BD22EF">
        <w:t xml:space="preserve">by the MRC included successfully running the Prior Consultation Process for the most recent mainstream hydropower project announced by Laos at </w:t>
      </w:r>
      <w:r w:rsidRPr="00ED4C19">
        <w:t>Pak Lay</w:t>
      </w:r>
      <w:r w:rsidR="0099334D">
        <w:t xml:space="preserve">. </w:t>
      </w:r>
      <w:r>
        <w:t xml:space="preserve">The </w:t>
      </w:r>
      <w:r w:rsidRPr="00ED4C19">
        <w:t xml:space="preserve">MRC </w:t>
      </w:r>
      <w:r>
        <w:t xml:space="preserve">also </w:t>
      </w:r>
      <w:r w:rsidRPr="00ED4C19">
        <w:t>renew</w:t>
      </w:r>
      <w:r>
        <w:t>ed</w:t>
      </w:r>
      <w:r w:rsidRPr="00ED4C19">
        <w:t xml:space="preserve"> its formal agreement on water data sharing </w:t>
      </w:r>
      <w:r w:rsidRPr="00BD22EF">
        <w:t xml:space="preserve">during rainy season </w:t>
      </w:r>
      <w:r w:rsidRPr="00ED4C19">
        <w:t>with China</w:t>
      </w:r>
      <w:r>
        <w:t xml:space="preserve"> and enhanced its </w:t>
      </w:r>
      <w:r w:rsidRPr="00ED4C19">
        <w:t>engagement with regional civil society</w:t>
      </w:r>
      <w:r w:rsidR="0099334D">
        <w:t xml:space="preserve">. </w:t>
      </w:r>
      <w:r w:rsidRPr="00FB69A1">
        <w:t>A mid-term review</w:t>
      </w:r>
      <w:r>
        <w:t xml:space="preserve"> </w:t>
      </w:r>
      <w:r w:rsidRPr="00FB69A1">
        <w:t xml:space="preserve">of MRC’s Strategic Plan 2016-20 concluded that despite </w:t>
      </w:r>
      <w:r>
        <w:t>socio-political</w:t>
      </w:r>
      <w:r w:rsidRPr="00FB69A1">
        <w:t xml:space="preserve"> challenges, the MRC was able to complete significant tasks such as adopting the Mekong Climate Change, Adaptation and Action Plan</w:t>
      </w:r>
      <w:r w:rsidR="0099334D">
        <w:t xml:space="preserve">. </w:t>
      </w:r>
      <w:r>
        <w:t>From</w:t>
      </w:r>
      <w:r w:rsidRPr="00242A63">
        <w:t xml:space="preserve"> July 2019, Australia </w:t>
      </w:r>
      <w:r>
        <w:t>assume</w:t>
      </w:r>
      <w:r w:rsidR="00BA48A1">
        <w:t>d</w:t>
      </w:r>
      <w:r>
        <w:t xml:space="preserve"> the role of</w:t>
      </w:r>
      <w:r w:rsidRPr="00242A63">
        <w:t xml:space="preserve"> Chair of the MRC Development Partners group, giving us increased opportunity t</w:t>
      </w:r>
      <w:r>
        <w:t>o</w:t>
      </w:r>
      <w:r w:rsidRPr="00242A63">
        <w:t xml:space="preserve"> contribute to and influence Mekong water diplomacy</w:t>
      </w:r>
      <w:r w:rsidR="0099334D">
        <w:t xml:space="preserve">. </w:t>
      </w:r>
    </w:p>
    <w:p w14:paraId="42D4D7D1" w14:textId="3319B4E9" w:rsidR="00B94C1A" w:rsidRDefault="00B94C1A" w:rsidP="00B94C1A">
      <w:r>
        <w:t>IFC</w:t>
      </w:r>
      <w:r>
        <w:rPr>
          <w:rStyle w:val="FootnoteReference"/>
        </w:rPr>
        <w:footnoteReference w:id="17"/>
      </w:r>
      <w:r w:rsidRPr="00033622">
        <w:t xml:space="preserve"> highlight</w:t>
      </w:r>
      <w:r>
        <w:t>s</w:t>
      </w:r>
      <w:r w:rsidRPr="00033622">
        <w:t xml:space="preserve"> </w:t>
      </w:r>
      <w:r>
        <w:t xml:space="preserve">in 2018-19 include </w:t>
      </w:r>
      <w:r w:rsidR="00E61CAC">
        <w:t>the</w:t>
      </w:r>
      <w:r>
        <w:t xml:space="preserve"> introduction of new </w:t>
      </w:r>
      <w:r w:rsidRPr="00033622">
        <w:t>water governance tools and processes</w:t>
      </w:r>
      <w:r>
        <w:t xml:space="preserve">, including the </w:t>
      </w:r>
      <w:r w:rsidRPr="00033622">
        <w:t>Strategic Environmental Assessment</w:t>
      </w:r>
      <w:r>
        <w:t xml:space="preserve"> </w:t>
      </w:r>
      <w:r w:rsidRPr="00BD22EF">
        <w:t>of the hydropower sector</w:t>
      </w:r>
      <w:r w:rsidRPr="00033622">
        <w:t xml:space="preserve"> in Myanmar</w:t>
      </w:r>
      <w:r w:rsidR="0099334D">
        <w:t xml:space="preserve">. </w:t>
      </w:r>
      <w:r>
        <w:t xml:space="preserve">The program also supported the </w:t>
      </w:r>
      <w:r w:rsidRPr="00C65C21">
        <w:t>Government of Laos to undertake</w:t>
      </w:r>
      <w:r>
        <w:t xml:space="preserve"> </w:t>
      </w:r>
      <w:r w:rsidRPr="00C65C21">
        <w:t xml:space="preserve">a Cumulative Impact Assessment of Hydropower Development in the </w:t>
      </w:r>
      <w:proofErr w:type="spellStart"/>
      <w:r w:rsidRPr="00D01C8F">
        <w:t>Sekong</w:t>
      </w:r>
      <w:proofErr w:type="spellEnd"/>
      <w:r w:rsidRPr="00C65C21">
        <w:t xml:space="preserve"> River Basin</w:t>
      </w:r>
      <w:r w:rsidR="0099334D">
        <w:t xml:space="preserve">. </w:t>
      </w:r>
      <w:r>
        <w:t xml:space="preserve">The </w:t>
      </w:r>
      <w:r w:rsidRPr="00033622">
        <w:t xml:space="preserve">Oxfam </w:t>
      </w:r>
      <w:r>
        <w:t xml:space="preserve">Inclusion Project </w:t>
      </w:r>
      <w:r w:rsidRPr="00033622">
        <w:t xml:space="preserve">continued building </w:t>
      </w:r>
      <w:r>
        <w:t xml:space="preserve">the capacity </w:t>
      </w:r>
      <w:r w:rsidRPr="00033622">
        <w:t>of civil society groups, promoting their participation in water resources governance</w:t>
      </w:r>
      <w:r w:rsidR="0099334D">
        <w:t xml:space="preserve">. </w:t>
      </w:r>
      <w:r>
        <w:t>In</w:t>
      </w:r>
      <w:r w:rsidRPr="00033622">
        <w:t xml:space="preserve"> March 2019</w:t>
      </w:r>
      <w:r>
        <w:t>, an</w:t>
      </w:r>
      <w:r w:rsidRPr="00033622">
        <w:t xml:space="preserve"> inaugural Women and Rivers Congress </w:t>
      </w:r>
      <w:r w:rsidR="00D8749D">
        <w:t xml:space="preserve">highlighted </w:t>
      </w:r>
      <w:r w:rsidR="00C02B50">
        <w:t>the</w:t>
      </w:r>
      <w:r w:rsidRPr="00033622">
        <w:t xml:space="preserve"> role </w:t>
      </w:r>
      <w:r w:rsidR="00C02B50">
        <w:t xml:space="preserve">of </w:t>
      </w:r>
      <w:r w:rsidRPr="00033622">
        <w:t>women in</w:t>
      </w:r>
      <w:r>
        <w:t xml:space="preserve"> water governance </w:t>
      </w:r>
      <w:r w:rsidR="00C02B50">
        <w:t xml:space="preserve">and </w:t>
      </w:r>
      <w:r w:rsidR="00D8749D" w:rsidRPr="00975918">
        <w:t>advocat</w:t>
      </w:r>
      <w:r w:rsidR="00D8749D">
        <w:t>ed</w:t>
      </w:r>
      <w:r w:rsidR="00D8749D" w:rsidRPr="00975918">
        <w:t xml:space="preserve"> for compensation for communities </w:t>
      </w:r>
      <w:r w:rsidR="00D8749D">
        <w:t>affected</w:t>
      </w:r>
      <w:r w:rsidR="00D8749D" w:rsidRPr="00975918">
        <w:t xml:space="preserve"> by the building of the Lower </w:t>
      </w:r>
      <w:proofErr w:type="spellStart"/>
      <w:r w:rsidR="00D8749D" w:rsidRPr="00975918">
        <w:t>Sesan</w:t>
      </w:r>
      <w:proofErr w:type="spellEnd"/>
      <w:r w:rsidR="00D8749D" w:rsidRPr="00975918">
        <w:t xml:space="preserve"> 2 dam in Cambodia</w:t>
      </w:r>
      <w:r w:rsidRPr="00975918">
        <w:t>.</w:t>
      </w:r>
    </w:p>
    <w:p w14:paraId="7431844E" w14:textId="31F753E4" w:rsidR="004B7833" w:rsidRDefault="00B94C1A" w:rsidP="00D8749D">
      <w:pPr>
        <w:pStyle w:val="Bullet1"/>
        <w:numPr>
          <w:ilvl w:val="0"/>
          <w:numId w:val="0"/>
        </w:numPr>
        <w:spacing w:before="120"/>
      </w:pPr>
      <w:r w:rsidRPr="00BD22EF">
        <w:t xml:space="preserve">GMWRP organised, with the support of the Canberra Fellowships Program, the </w:t>
      </w:r>
      <w:proofErr w:type="gramStart"/>
      <w:r w:rsidRPr="00BD22EF">
        <w:t>1st</w:t>
      </w:r>
      <w:proofErr w:type="gramEnd"/>
      <w:r w:rsidRPr="00BD22EF">
        <w:t xml:space="preserve"> Mekong-Australia Renewable Energy Dialogue in Australia</w:t>
      </w:r>
      <w:r w:rsidR="00BA48A1">
        <w:t>,</w:t>
      </w:r>
      <w:r w:rsidRPr="00BD22EF">
        <w:t xml:space="preserve"> </w:t>
      </w:r>
      <w:r>
        <w:t xml:space="preserve">in </w:t>
      </w:r>
      <w:r w:rsidRPr="00BD22EF">
        <w:t>June 2019. Senior Mekong energy officials from Cambodia, Laos, Myanmar, Vietnam and Thailand and the CEO of the MRC benefited from a comprehensive exchange of knowledge and technical expertise between Mekong and Australian renewable energy and water governance specialists</w:t>
      </w:r>
      <w:r w:rsidR="0099334D">
        <w:t xml:space="preserve">. </w:t>
      </w:r>
      <w:r>
        <w:t>The</w:t>
      </w:r>
      <w:r w:rsidRPr="00BD22EF">
        <w:t xml:space="preserve"> visiting delegates </w:t>
      </w:r>
      <w:proofErr w:type="gramStart"/>
      <w:r w:rsidRPr="00BD22EF">
        <w:t>were exposed</w:t>
      </w:r>
      <w:proofErr w:type="gramEnd"/>
      <w:r w:rsidRPr="00BD22EF">
        <w:t xml:space="preserve"> to key issues such as cross-boundary water management, energy planning, energy storage and transmission technologies, and sustainable financing options.</w:t>
      </w:r>
    </w:p>
    <w:p w14:paraId="3D7F1DA0" w14:textId="0E051634" w:rsidR="00ED1E84" w:rsidRPr="00C02B50" w:rsidRDefault="00ED1E84" w:rsidP="00D8749D">
      <w:pPr>
        <w:pStyle w:val="Bullet1"/>
        <w:numPr>
          <w:ilvl w:val="0"/>
          <w:numId w:val="0"/>
        </w:numPr>
        <w:spacing w:before="120"/>
        <w:rPr>
          <w:rFonts w:cstheme="minorHAnsi"/>
          <w:b/>
          <w:lang w:val="en-US" w:eastAsia="en-AU"/>
        </w:rPr>
      </w:pPr>
      <w:r w:rsidRPr="00C02B50">
        <w:rPr>
          <w:rFonts w:cstheme="minorHAnsi"/>
          <w:b/>
          <w:bCs/>
        </w:rPr>
        <w:t>Emerging Disease Risk Reduction - Mekong- Live Animal Marketing and Production</w:t>
      </w:r>
      <w:r w:rsidRPr="00C02B50">
        <w:rPr>
          <w:rFonts w:cstheme="minorHAnsi"/>
          <w:b/>
          <w:bCs/>
          <w:lang w:val="en-US" w:eastAsia="en-AU"/>
        </w:rPr>
        <w:t xml:space="preserve"> </w:t>
      </w:r>
      <w:r w:rsidRPr="00C02B50">
        <w:rPr>
          <w:rFonts w:cstheme="minorHAnsi"/>
          <w:b/>
          <w:lang w:val="en-US" w:eastAsia="en-AU"/>
        </w:rPr>
        <w:t>(</w:t>
      </w:r>
      <w:r w:rsidRPr="00EB093E">
        <w:rPr>
          <w:rFonts w:cstheme="minorHAnsi"/>
          <w:b/>
          <w:lang w:val="en-US" w:eastAsia="en-AU"/>
        </w:rPr>
        <w:t>LAMP)</w:t>
      </w:r>
    </w:p>
    <w:p w14:paraId="7CF057C9" w14:textId="54B497CB" w:rsidR="00927772" w:rsidRPr="00B40C11" w:rsidRDefault="00927772" w:rsidP="00D8749D">
      <w:pPr>
        <w:pStyle w:val="BodyText"/>
        <w:spacing w:before="120" w:after="60"/>
        <w:rPr>
          <w:rFonts w:cstheme="minorHAnsi"/>
          <w:color w:val="495965" w:themeColor="text2"/>
          <w:sz w:val="22"/>
          <w:szCs w:val="22"/>
        </w:rPr>
      </w:pPr>
      <w:r w:rsidRPr="00B40C11">
        <w:rPr>
          <w:rFonts w:asciiTheme="minorHAnsi" w:hAnsiTheme="minorHAnsi" w:cstheme="minorHAnsi"/>
          <w:color w:val="495965" w:themeColor="text2"/>
          <w:sz w:val="22"/>
          <w:szCs w:val="22"/>
        </w:rPr>
        <w:t>Australia is strengthening emergency preparedness against bird flu through LAMP, including value chain biosecurity across CLMV, in partnership with USAID</w:t>
      </w:r>
      <w:r w:rsidR="0099334D" w:rsidRPr="00B40C11">
        <w:rPr>
          <w:rFonts w:asciiTheme="minorHAnsi" w:hAnsiTheme="minorHAnsi" w:cstheme="minorHAnsi"/>
          <w:color w:val="495965" w:themeColor="text2"/>
          <w:sz w:val="22"/>
          <w:szCs w:val="22"/>
        </w:rPr>
        <w:t xml:space="preserve">. </w:t>
      </w:r>
      <w:r w:rsidRPr="00B40C11">
        <w:rPr>
          <w:rFonts w:asciiTheme="minorHAnsi" w:hAnsiTheme="minorHAnsi" w:cstheme="minorHAnsi"/>
          <w:color w:val="495965" w:themeColor="text2"/>
          <w:sz w:val="22"/>
          <w:szCs w:val="22"/>
        </w:rPr>
        <w:t>In 2018-19, LAMP strengthened capacities of local authorities in Vietnam to register, audit, and certify poultry farms, supporting improved provincial trade, risk management and harmonised standards</w:t>
      </w:r>
      <w:r w:rsidR="0099334D" w:rsidRPr="00B40C11">
        <w:rPr>
          <w:rFonts w:asciiTheme="minorHAnsi" w:hAnsiTheme="minorHAnsi" w:cstheme="minorHAnsi"/>
          <w:color w:val="495965" w:themeColor="text2"/>
          <w:sz w:val="22"/>
          <w:szCs w:val="22"/>
        </w:rPr>
        <w:t xml:space="preserve">. </w:t>
      </w:r>
      <w:r w:rsidRPr="00B40C11">
        <w:rPr>
          <w:rFonts w:asciiTheme="minorHAnsi" w:hAnsiTheme="minorHAnsi" w:cstheme="minorHAnsi"/>
          <w:color w:val="495965" w:themeColor="text2"/>
          <w:sz w:val="22"/>
          <w:szCs w:val="22"/>
        </w:rPr>
        <w:t>In Myanmar, private sector engagement introduced bio-security measures for egg production</w:t>
      </w:r>
      <w:r w:rsidR="0099334D" w:rsidRPr="00B40C11">
        <w:rPr>
          <w:rFonts w:asciiTheme="minorHAnsi" w:hAnsiTheme="minorHAnsi" w:cstheme="minorHAnsi"/>
          <w:color w:val="495965" w:themeColor="text2"/>
          <w:sz w:val="22"/>
          <w:szCs w:val="22"/>
        </w:rPr>
        <w:t xml:space="preserve">. </w:t>
      </w:r>
      <w:r w:rsidRPr="00B40C11">
        <w:rPr>
          <w:rFonts w:asciiTheme="minorHAnsi" w:hAnsiTheme="minorHAnsi" w:cstheme="minorHAnsi"/>
          <w:color w:val="495965" w:themeColor="text2"/>
          <w:sz w:val="22"/>
          <w:szCs w:val="22"/>
        </w:rPr>
        <w:t>In Laos, local farmers are mitigating disease spread through combining local enterprise and production of healthy, native chicks</w:t>
      </w:r>
      <w:r w:rsidR="0099334D" w:rsidRPr="00B40C11">
        <w:rPr>
          <w:rFonts w:asciiTheme="minorHAnsi" w:hAnsiTheme="minorHAnsi" w:cstheme="minorHAnsi"/>
          <w:color w:val="495965" w:themeColor="text2"/>
          <w:sz w:val="22"/>
          <w:szCs w:val="22"/>
        </w:rPr>
        <w:t xml:space="preserve">. </w:t>
      </w:r>
      <w:r w:rsidRPr="00B40C11">
        <w:rPr>
          <w:rFonts w:asciiTheme="minorHAnsi" w:hAnsiTheme="minorHAnsi" w:cstheme="minorHAnsi"/>
          <w:color w:val="495965" w:themeColor="text2"/>
          <w:sz w:val="22"/>
          <w:szCs w:val="22"/>
        </w:rPr>
        <w:t xml:space="preserve">LAMP undertook a gender equality assessment of </w:t>
      </w:r>
      <w:proofErr w:type="gramStart"/>
      <w:r w:rsidRPr="00B40C11">
        <w:rPr>
          <w:rFonts w:asciiTheme="minorHAnsi" w:hAnsiTheme="minorHAnsi" w:cstheme="minorHAnsi"/>
          <w:color w:val="495965" w:themeColor="text2"/>
          <w:sz w:val="22"/>
          <w:szCs w:val="22"/>
        </w:rPr>
        <w:t>bird flu risk management</w:t>
      </w:r>
      <w:proofErr w:type="gramEnd"/>
      <w:r w:rsidRPr="00B40C11">
        <w:rPr>
          <w:rFonts w:asciiTheme="minorHAnsi" w:hAnsiTheme="minorHAnsi" w:cstheme="minorHAnsi"/>
          <w:color w:val="495965" w:themeColor="text2"/>
          <w:sz w:val="22"/>
          <w:szCs w:val="22"/>
        </w:rPr>
        <w:t xml:space="preserve"> along poultry value chains</w:t>
      </w:r>
      <w:r w:rsidR="0099334D" w:rsidRPr="00B40C11">
        <w:rPr>
          <w:rFonts w:asciiTheme="minorHAnsi" w:hAnsiTheme="minorHAnsi" w:cstheme="minorHAnsi"/>
          <w:color w:val="495965" w:themeColor="text2"/>
          <w:sz w:val="22"/>
          <w:szCs w:val="22"/>
        </w:rPr>
        <w:t xml:space="preserve">. </w:t>
      </w:r>
      <w:r w:rsidRPr="00B40C11">
        <w:rPr>
          <w:rFonts w:asciiTheme="minorHAnsi" w:hAnsiTheme="minorHAnsi" w:cstheme="minorHAnsi"/>
          <w:color w:val="495965" w:themeColor="text2"/>
          <w:sz w:val="22"/>
          <w:szCs w:val="22"/>
        </w:rPr>
        <w:t>This reinforced the importan</w:t>
      </w:r>
      <w:r w:rsidR="00BA48A1">
        <w:rPr>
          <w:rFonts w:asciiTheme="minorHAnsi" w:hAnsiTheme="minorHAnsi" w:cstheme="minorHAnsi"/>
          <w:color w:val="495965" w:themeColor="text2"/>
          <w:sz w:val="22"/>
          <w:szCs w:val="22"/>
        </w:rPr>
        <w:t xml:space="preserve">t role </w:t>
      </w:r>
      <w:r w:rsidRPr="00B40C11">
        <w:rPr>
          <w:rFonts w:asciiTheme="minorHAnsi" w:hAnsiTheme="minorHAnsi" w:cstheme="minorHAnsi"/>
          <w:color w:val="495965" w:themeColor="text2"/>
          <w:sz w:val="22"/>
          <w:szCs w:val="22"/>
        </w:rPr>
        <w:t>of women in value chains and disease control</w:t>
      </w:r>
      <w:r w:rsidR="0099334D" w:rsidRPr="00B40C11">
        <w:rPr>
          <w:rFonts w:asciiTheme="minorHAnsi" w:hAnsiTheme="minorHAnsi" w:cstheme="minorHAnsi"/>
          <w:color w:val="495965" w:themeColor="text2"/>
          <w:sz w:val="22"/>
          <w:szCs w:val="22"/>
        </w:rPr>
        <w:t xml:space="preserve">. </w:t>
      </w:r>
      <w:r w:rsidRPr="00B40C11">
        <w:rPr>
          <w:rFonts w:asciiTheme="minorHAnsi" w:hAnsiTheme="minorHAnsi" w:cstheme="minorHAnsi"/>
          <w:color w:val="495965" w:themeColor="text2"/>
          <w:sz w:val="22"/>
          <w:szCs w:val="22"/>
        </w:rPr>
        <w:t xml:space="preserve">The study helped establish a women’s management sub-committee to strengthen </w:t>
      </w:r>
      <w:r w:rsidR="00BA48A1">
        <w:rPr>
          <w:rFonts w:asciiTheme="minorHAnsi" w:hAnsiTheme="minorHAnsi" w:cstheme="minorHAnsi"/>
          <w:color w:val="495965" w:themeColor="text2"/>
          <w:sz w:val="22"/>
          <w:szCs w:val="22"/>
        </w:rPr>
        <w:t xml:space="preserve">the </w:t>
      </w:r>
      <w:r w:rsidRPr="00B40C11">
        <w:rPr>
          <w:rFonts w:asciiTheme="minorHAnsi" w:hAnsiTheme="minorHAnsi" w:cstheme="minorHAnsi"/>
          <w:color w:val="495965" w:themeColor="text2"/>
          <w:sz w:val="22"/>
          <w:szCs w:val="22"/>
        </w:rPr>
        <w:t xml:space="preserve">voice of female </w:t>
      </w:r>
      <w:proofErr w:type="gramStart"/>
      <w:r w:rsidRPr="00B40C11">
        <w:rPr>
          <w:rFonts w:asciiTheme="minorHAnsi" w:hAnsiTheme="minorHAnsi" w:cstheme="minorHAnsi"/>
          <w:color w:val="495965" w:themeColor="text2"/>
          <w:sz w:val="22"/>
          <w:szCs w:val="22"/>
        </w:rPr>
        <w:t>stakeholders  a</w:t>
      </w:r>
      <w:proofErr w:type="gramEnd"/>
      <w:r w:rsidRPr="00B40C11">
        <w:rPr>
          <w:rFonts w:asciiTheme="minorHAnsi" w:hAnsiTheme="minorHAnsi" w:cstheme="minorHAnsi"/>
          <w:color w:val="495965" w:themeColor="text2"/>
          <w:sz w:val="22"/>
          <w:szCs w:val="22"/>
        </w:rPr>
        <w:t xml:space="preserve"> new live-bird market in Cambodia.</w:t>
      </w:r>
    </w:p>
    <w:p w14:paraId="145774A5" w14:textId="7D704A19" w:rsidR="00ED1E84" w:rsidRDefault="00ED1E84" w:rsidP="0099334D">
      <w:pPr>
        <w:pStyle w:val="Bullet1"/>
        <w:numPr>
          <w:ilvl w:val="0"/>
          <w:numId w:val="0"/>
        </w:numPr>
        <w:spacing w:before="120"/>
      </w:pPr>
      <w:r w:rsidRPr="00CB11EA">
        <w:rPr>
          <w:b/>
          <w:bCs/>
          <w:lang w:val="en-AU"/>
        </w:rPr>
        <w:t>Greater Mekong Subregion Trade and Transport Facilitation Program</w:t>
      </w:r>
      <w:r w:rsidRPr="008270EF">
        <w:rPr>
          <w:b/>
          <w:bCs/>
          <w:lang w:val="en-US" w:eastAsia="en-AU"/>
        </w:rPr>
        <w:t xml:space="preserve"> </w:t>
      </w:r>
      <w:r>
        <w:rPr>
          <w:b/>
          <w:lang w:val="en-US" w:eastAsia="en-AU"/>
        </w:rPr>
        <w:t>(</w:t>
      </w:r>
      <w:r w:rsidRPr="003C333F">
        <w:rPr>
          <w:b/>
          <w:lang w:val="en-US" w:eastAsia="en-AU"/>
        </w:rPr>
        <w:t>GMS</w:t>
      </w:r>
      <w:r>
        <w:rPr>
          <w:b/>
          <w:lang w:val="en-US" w:eastAsia="en-AU"/>
        </w:rPr>
        <w:t xml:space="preserve"> </w:t>
      </w:r>
      <w:r w:rsidRPr="003C333F">
        <w:rPr>
          <w:b/>
          <w:lang w:val="en-US" w:eastAsia="en-AU"/>
        </w:rPr>
        <w:t>TTF</w:t>
      </w:r>
      <w:r>
        <w:rPr>
          <w:b/>
          <w:lang w:val="en-US" w:eastAsia="en-AU"/>
        </w:rPr>
        <w:t>)</w:t>
      </w:r>
    </w:p>
    <w:p w14:paraId="39C8E361" w14:textId="2F301F2A" w:rsidR="000A7BB2" w:rsidRPr="00A67A42" w:rsidRDefault="00D6408A" w:rsidP="00A67A42">
      <w:pPr>
        <w:spacing w:before="60" w:line="264" w:lineRule="auto"/>
      </w:pPr>
      <w:bookmarkStart w:id="0" w:name="_Hlk15016473"/>
      <w:r>
        <w:t xml:space="preserve">The </w:t>
      </w:r>
      <w:r w:rsidR="00A67A42" w:rsidRPr="00A67A42">
        <w:t xml:space="preserve">GMS TTF </w:t>
      </w:r>
      <w:r>
        <w:t xml:space="preserve">has helped </w:t>
      </w:r>
      <w:r w:rsidR="00A67A42" w:rsidRPr="00A67A42">
        <w:t xml:space="preserve">streamline cross-border transport logistics through the agreement and implementation of the Cross-Border Transport Facilitation Agreement (CBTA), which came into force </w:t>
      </w:r>
      <w:r w:rsidR="00A13263">
        <w:t>in</w:t>
      </w:r>
      <w:r w:rsidR="00A67A42" w:rsidRPr="00A67A42">
        <w:t xml:space="preserve"> August 2018</w:t>
      </w:r>
      <w:r w:rsidR="000D603E">
        <w:t xml:space="preserve">. </w:t>
      </w:r>
      <w:r w:rsidR="00A67A42" w:rsidRPr="00A67A42">
        <w:t xml:space="preserve">GMS transport operators are </w:t>
      </w:r>
      <w:r>
        <w:t xml:space="preserve">saving both time and money by </w:t>
      </w:r>
      <w:r w:rsidR="0078349E">
        <w:t>using</w:t>
      </w:r>
      <w:r w:rsidR="00A67A42" w:rsidRPr="00A67A42">
        <w:t xml:space="preserve"> CBTA permits to access extended routes and streamline paperwork</w:t>
      </w:r>
      <w:r w:rsidR="0099334D">
        <w:t xml:space="preserve">. </w:t>
      </w:r>
      <w:r w:rsidR="00A67A42" w:rsidRPr="00A67A42">
        <w:t xml:space="preserve">The pilot implementation of the CBTA </w:t>
      </w:r>
      <w:r w:rsidR="002024C2">
        <w:t xml:space="preserve">will continue for </w:t>
      </w:r>
      <w:r w:rsidR="00A67A42" w:rsidRPr="00A67A42">
        <w:t xml:space="preserve">two </w:t>
      </w:r>
      <w:r>
        <w:t xml:space="preserve">more </w:t>
      </w:r>
      <w:r w:rsidR="00A67A42" w:rsidRPr="00A67A42">
        <w:t xml:space="preserve">years </w:t>
      </w:r>
      <w:r w:rsidR="002024C2">
        <w:t>to</w:t>
      </w:r>
      <w:r w:rsidR="00A67A42" w:rsidRPr="00A67A42">
        <w:t xml:space="preserve"> allow time for full adoption and preparation for ASEAN wide customs transit arrangements</w:t>
      </w:r>
      <w:r w:rsidR="0099334D">
        <w:t xml:space="preserve">. </w:t>
      </w:r>
      <w:r w:rsidR="00A67A42" w:rsidRPr="00A67A42">
        <w:t>The investment supported gender-friendly border crossings</w:t>
      </w:r>
      <w:r w:rsidR="002C2860">
        <w:t xml:space="preserve"> </w:t>
      </w:r>
      <w:r w:rsidR="005741CF">
        <w:t xml:space="preserve">using appropriate </w:t>
      </w:r>
      <w:r w:rsidR="00A67A42" w:rsidRPr="00A67A42">
        <w:t>processes fo</w:t>
      </w:r>
      <w:r w:rsidR="005741CF">
        <w:t>r</w:t>
      </w:r>
      <w:r w:rsidR="00A67A42" w:rsidRPr="00A67A42">
        <w:t xml:space="preserve"> physical inspections of passengers</w:t>
      </w:r>
      <w:r w:rsidR="0099334D">
        <w:t xml:space="preserve">. </w:t>
      </w:r>
      <w:r w:rsidR="00A67A42" w:rsidRPr="00A67A42">
        <w:t>Australia’s eight</w:t>
      </w:r>
      <w:r w:rsidR="00A67A42">
        <w:t>-</w:t>
      </w:r>
      <w:r w:rsidR="00A67A42" w:rsidRPr="00A67A42">
        <w:t>year support of this initiative concluded in June 2019</w:t>
      </w:r>
      <w:r w:rsidR="0099334D">
        <w:t xml:space="preserve">. </w:t>
      </w:r>
    </w:p>
    <w:bookmarkEnd w:id="0"/>
    <w:p w14:paraId="5F3FA047" w14:textId="26BCD41D" w:rsidR="007D1342" w:rsidRPr="007148EC" w:rsidRDefault="008979AF" w:rsidP="0099334D">
      <w:pPr>
        <w:pStyle w:val="Bullet1"/>
        <w:numPr>
          <w:ilvl w:val="0"/>
          <w:numId w:val="0"/>
        </w:numPr>
        <w:spacing w:before="120"/>
        <w:rPr>
          <w:b/>
          <w:bCs/>
        </w:rPr>
      </w:pPr>
      <w:r>
        <w:rPr>
          <w:b/>
          <w:bCs/>
        </w:rPr>
        <w:t>Mekong Business Initiative (</w:t>
      </w:r>
      <w:r w:rsidR="007D1342" w:rsidRPr="007D1342">
        <w:rPr>
          <w:b/>
          <w:bCs/>
        </w:rPr>
        <w:t>MBI</w:t>
      </w:r>
      <w:r>
        <w:rPr>
          <w:b/>
          <w:bCs/>
        </w:rPr>
        <w:t>)</w:t>
      </w:r>
    </w:p>
    <w:p w14:paraId="32401A84" w14:textId="1029B5F1" w:rsidR="007D22FE" w:rsidRPr="00A95016" w:rsidRDefault="00486B37" w:rsidP="00BC0495">
      <w:r w:rsidRPr="00486B37">
        <w:t xml:space="preserve">MBI </w:t>
      </w:r>
      <w:r w:rsidR="00D6408A">
        <w:t xml:space="preserve">helps </w:t>
      </w:r>
      <w:r w:rsidRPr="00486B37">
        <w:t>SME</w:t>
      </w:r>
      <w:r w:rsidR="00D63676">
        <w:t>s</w:t>
      </w:r>
      <w:r w:rsidR="00D63676">
        <w:rPr>
          <w:rStyle w:val="FootnoteReference"/>
        </w:rPr>
        <w:footnoteReference w:id="18"/>
      </w:r>
      <w:r w:rsidR="0024694C">
        <w:t>, women and young entrepreneurs</w:t>
      </w:r>
      <w:r w:rsidRPr="00486B37">
        <w:t xml:space="preserve"> in CLMV</w:t>
      </w:r>
      <w:r w:rsidR="00EA1D2D">
        <w:t xml:space="preserve"> with its focus on</w:t>
      </w:r>
      <w:r w:rsidRPr="00486B37">
        <w:t xml:space="preserve"> alternative finance and business incubation</w:t>
      </w:r>
      <w:r w:rsidR="000D603E">
        <w:t xml:space="preserve">. </w:t>
      </w:r>
      <w:r w:rsidRPr="00486B37">
        <w:t xml:space="preserve">The program’s Fintech Challenge Vietnam stimulated interest across Myanmar, Thailand, and Cambodia and is supporting a more regionally integrated </w:t>
      </w:r>
      <w:proofErr w:type="spellStart"/>
      <w:r w:rsidRPr="00486B37">
        <w:t>fintech</w:t>
      </w:r>
      <w:proofErr w:type="spellEnd"/>
      <w:r w:rsidRPr="00486B37">
        <w:t xml:space="preserve"> market</w:t>
      </w:r>
      <w:r w:rsidR="0099334D">
        <w:t xml:space="preserve">. </w:t>
      </w:r>
      <w:r w:rsidR="00667A1B">
        <w:t>MBI</w:t>
      </w:r>
      <w:r w:rsidR="00D37E56">
        <w:t xml:space="preserve"> supported Myanmar to launch the Myanmar Companies Online Registry (</w:t>
      </w:r>
      <w:proofErr w:type="spellStart"/>
      <w:r w:rsidR="00D37E56">
        <w:t>MyCO</w:t>
      </w:r>
      <w:proofErr w:type="spellEnd"/>
      <w:r w:rsidR="00D37E56">
        <w:t>)</w:t>
      </w:r>
      <w:r w:rsidR="0015353E">
        <w:t>, leading to 20,000 enterprises using the platform.</w:t>
      </w:r>
      <w:r w:rsidR="00D37E56">
        <w:t xml:space="preserve"> </w:t>
      </w:r>
      <w:r w:rsidR="0080398D">
        <w:t>MBI also helped</w:t>
      </w:r>
      <w:r w:rsidRPr="00486B37">
        <w:t xml:space="preserve"> launch the Women's Initiative for Start-ups and Entrepreneurship (WISE) under the Women Innovation Challenge</w:t>
      </w:r>
      <w:r w:rsidR="000D603E">
        <w:t xml:space="preserve">. </w:t>
      </w:r>
      <w:r w:rsidR="0080398D">
        <w:t>O</w:t>
      </w:r>
      <w:r w:rsidRPr="00486B37">
        <w:t xml:space="preserve">f the 12 </w:t>
      </w:r>
      <w:r w:rsidR="0080398D">
        <w:t xml:space="preserve">WISE </w:t>
      </w:r>
      <w:r w:rsidR="005A49DB" w:rsidRPr="00486B37">
        <w:t>finalists</w:t>
      </w:r>
      <w:r w:rsidR="00306ACF">
        <w:t>,</w:t>
      </w:r>
      <w:r w:rsidRPr="00486B37">
        <w:t xml:space="preserve"> several have secured investment totalling over USD2</w:t>
      </w:r>
      <w:r w:rsidR="00826CE0">
        <w:t>.4</w:t>
      </w:r>
      <w:r w:rsidRPr="00486B37">
        <w:t xml:space="preserve"> </w:t>
      </w:r>
      <w:proofErr w:type="gramStart"/>
      <w:r w:rsidRPr="00486B37">
        <w:t>million</w:t>
      </w:r>
      <w:proofErr w:type="gramEnd"/>
      <w:r w:rsidR="000D603E">
        <w:t xml:space="preserve">. </w:t>
      </w:r>
      <w:r w:rsidRPr="00486B37">
        <w:t xml:space="preserve">In 2018, DFAT and </w:t>
      </w:r>
      <w:r w:rsidR="0080398D">
        <w:t xml:space="preserve">the </w:t>
      </w:r>
      <w:r w:rsidRPr="00486B37">
        <w:t xml:space="preserve">ADB agreed to a final extension of the program until December 2019 to focus on </w:t>
      </w:r>
      <w:r w:rsidR="0078349E">
        <w:t xml:space="preserve">closure and </w:t>
      </w:r>
      <w:r w:rsidRPr="00486B37">
        <w:t xml:space="preserve">sustainability measures. </w:t>
      </w:r>
    </w:p>
    <w:p w14:paraId="3DAC01B5" w14:textId="3941F426" w:rsidR="007D1342" w:rsidRPr="00BC0495" w:rsidRDefault="008979AF" w:rsidP="00BC0495">
      <w:r w:rsidRPr="00CB11EA">
        <w:rPr>
          <w:b/>
          <w:bCs/>
          <w:lang w:val="en-AU"/>
        </w:rPr>
        <w:t>Shaping Inclusive Finance Transformations Program</w:t>
      </w:r>
      <w:r w:rsidRPr="008270EF">
        <w:rPr>
          <w:b/>
          <w:bCs/>
        </w:rPr>
        <w:t xml:space="preserve"> </w:t>
      </w:r>
      <w:r>
        <w:rPr>
          <w:b/>
        </w:rPr>
        <w:t>(</w:t>
      </w:r>
      <w:r w:rsidR="007D1342" w:rsidRPr="002153FE">
        <w:rPr>
          <w:b/>
        </w:rPr>
        <w:t>SHIFT</w:t>
      </w:r>
      <w:r>
        <w:rPr>
          <w:b/>
        </w:rPr>
        <w:t>)</w:t>
      </w:r>
    </w:p>
    <w:p w14:paraId="64D5358D" w14:textId="7F9F422C" w:rsidR="000F2289" w:rsidRDefault="006162D5" w:rsidP="00551DBD">
      <w:pPr>
        <w:pStyle w:val="Bullet1Tightlessspacing"/>
        <w:numPr>
          <w:ilvl w:val="0"/>
          <w:numId w:val="0"/>
        </w:numPr>
        <w:ind w:left="-42"/>
        <w:rPr>
          <w:rFonts w:asciiTheme="minorHAnsi" w:eastAsiaTheme="minorHAnsi" w:hAnsiTheme="minorHAnsi" w:cstheme="minorBidi"/>
          <w:color w:val="495965" w:themeColor="text2"/>
          <w:lang w:val="en-GB" w:eastAsia="en-US"/>
        </w:rPr>
      </w:pPr>
      <w:r>
        <w:rPr>
          <w:rFonts w:asciiTheme="minorHAnsi" w:eastAsiaTheme="minorHAnsi" w:hAnsiTheme="minorHAnsi" w:cstheme="minorBidi"/>
          <w:color w:val="495965" w:themeColor="text2"/>
          <w:lang w:val="en-GB" w:eastAsia="en-US"/>
        </w:rPr>
        <w:t>In 2018</w:t>
      </w:r>
      <w:r w:rsidR="0031340F">
        <w:rPr>
          <w:rFonts w:asciiTheme="minorHAnsi" w:eastAsiaTheme="minorHAnsi" w:hAnsiTheme="minorHAnsi" w:cstheme="minorBidi"/>
          <w:color w:val="495965" w:themeColor="text2"/>
          <w:lang w:val="en-GB" w:eastAsia="en-US"/>
        </w:rPr>
        <w:t>-19</w:t>
      </w:r>
      <w:r>
        <w:rPr>
          <w:rFonts w:asciiTheme="minorHAnsi" w:eastAsiaTheme="minorHAnsi" w:hAnsiTheme="minorHAnsi" w:cstheme="minorBidi"/>
          <w:color w:val="495965" w:themeColor="text2"/>
          <w:lang w:val="en-GB" w:eastAsia="en-US"/>
        </w:rPr>
        <w:t xml:space="preserve">, </w:t>
      </w:r>
      <w:r w:rsidR="00AA60F3">
        <w:rPr>
          <w:rFonts w:asciiTheme="minorHAnsi" w:eastAsiaTheme="minorHAnsi" w:hAnsiTheme="minorHAnsi" w:cstheme="minorBidi"/>
          <w:color w:val="495965" w:themeColor="text2"/>
          <w:lang w:val="en-GB" w:eastAsia="en-US"/>
        </w:rPr>
        <w:t xml:space="preserve">SHIFT </w:t>
      </w:r>
      <w:r w:rsidR="0037729D">
        <w:rPr>
          <w:rFonts w:asciiTheme="minorHAnsi" w:eastAsiaTheme="minorHAnsi" w:hAnsiTheme="minorHAnsi" w:cstheme="minorBidi"/>
          <w:color w:val="495965" w:themeColor="text2"/>
          <w:lang w:val="en-GB" w:eastAsia="en-US"/>
        </w:rPr>
        <w:t>Challenge Fund</w:t>
      </w:r>
      <w:r w:rsidR="00410336" w:rsidRPr="007A0285">
        <w:rPr>
          <w:rFonts w:asciiTheme="minorHAnsi" w:eastAsiaTheme="minorHAnsi" w:hAnsiTheme="minorHAnsi" w:cstheme="minorBidi"/>
          <w:color w:val="495965" w:themeColor="text2"/>
          <w:lang w:val="en-GB" w:eastAsia="en-US"/>
        </w:rPr>
        <w:t xml:space="preserve"> </w:t>
      </w:r>
      <w:r w:rsidR="004E2B66">
        <w:rPr>
          <w:rFonts w:asciiTheme="minorHAnsi" w:eastAsiaTheme="minorHAnsi" w:hAnsiTheme="minorHAnsi" w:cstheme="minorBidi"/>
          <w:color w:val="495965" w:themeColor="text2"/>
          <w:lang w:val="en-GB" w:eastAsia="en-US"/>
        </w:rPr>
        <w:t xml:space="preserve">Facility </w:t>
      </w:r>
      <w:r w:rsidR="007A0285" w:rsidRPr="007A0285">
        <w:rPr>
          <w:rFonts w:asciiTheme="minorHAnsi" w:eastAsiaTheme="minorHAnsi" w:hAnsiTheme="minorHAnsi" w:cstheme="minorBidi"/>
          <w:color w:val="495965" w:themeColor="text2"/>
          <w:lang w:val="en-GB" w:eastAsia="en-US"/>
        </w:rPr>
        <w:t xml:space="preserve">grants provided </w:t>
      </w:r>
      <w:r w:rsidR="00927772">
        <w:rPr>
          <w:rFonts w:asciiTheme="minorHAnsi" w:eastAsiaTheme="minorHAnsi" w:hAnsiTheme="minorHAnsi" w:cstheme="minorBidi"/>
          <w:color w:val="495965" w:themeColor="text2"/>
          <w:lang w:val="en-GB" w:eastAsia="en-US"/>
        </w:rPr>
        <w:t xml:space="preserve">access to </w:t>
      </w:r>
      <w:r w:rsidR="007A0285" w:rsidRPr="007A0285">
        <w:rPr>
          <w:rFonts w:asciiTheme="minorHAnsi" w:eastAsiaTheme="minorHAnsi" w:hAnsiTheme="minorHAnsi" w:cstheme="minorBidi"/>
          <w:color w:val="495965" w:themeColor="text2"/>
          <w:lang w:val="en-GB" w:eastAsia="en-US"/>
        </w:rPr>
        <w:t xml:space="preserve">financial services </w:t>
      </w:r>
      <w:r w:rsidR="00927772">
        <w:rPr>
          <w:rFonts w:asciiTheme="minorHAnsi" w:eastAsiaTheme="minorHAnsi" w:hAnsiTheme="minorHAnsi" w:cstheme="minorBidi"/>
          <w:color w:val="495965" w:themeColor="text2"/>
          <w:lang w:val="en-GB" w:eastAsia="en-US"/>
        </w:rPr>
        <w:t>for</w:t>
      </w:r>
      <w:r w:rsidR="007A0285" w:rsidRPr="007A0285">
        <w:rPr>
          <w:rFonts w:asciiTheme="minorHAnsi" w:eastAsiaTheme="minorHAnsi" w:hAnsiTheme="minorHAnsi" w:cstheme="minorBidi"/>
          <w:color w:val="495965" w:themeColor="text2"/>
          <w:lang w:val="en-GB" w:eastAsia="en-US"/>
        </w:rPr>
        <w:t xml:space="preserve"> over </w:t>
      </w:r>
      <w:r w:rsidR="002F1D03">
        <w:rPr>
          <w:rFonts w:asciiTheme="minorHAnsi" w:eastAsiaTheme="minorHAnsi" w:hAnsiTheme="minorHAnsi" w:cstheme="minorBidi"/>
          <w:color w:val="495965" w:themeColor="text2"/>
          <w:lang w:val="en-GB" w:eastAsia="en-US"/>
        </w:rPr>
        <w:t>516,000</w:t>
      </w:r>
      <w:r w:rsidR="007A0285" w:rsidRPr="007A0285">
        <w:rPr>
          <w:rFonts w:asciiTheme="minorHAnsi" w:eastAsiaTheme="minorHAnsi" w:hAnsiTheme="minorHAnsi" w:cstheme="minorBidi"/>
          <w:color w:val="495965" w:themeColor="text2"/>
          <w:lang w:val="en-GB" w:eastAsia="en-US"/>
        </w:rPr>
        <w:t xml:space="preserve"> beneficiaries (38</w:t>
      </w:r>
      <w:r w:rsidR="00DD2486">
        <w:rPr>
          <w:rFonts w:asciiTheme="minorHAnsi" w:eastAsiaTheme="minorHAnsi" w:hAnsiTheme="minorHAnsi" w:cstheme="minorBidi"/>
          <w:color w:val="495965" w:themeColor="text2"/>
          <w:lang w:val="en-GB" w:eastAsia="en-US"/>
        </w:rPr>
        <w:t xml:space="preserve"> per cent</w:t>
      </w:r>
      <w:r w:rsidR="007A0285" w:rsidRPr="007A0285">
        <w:rPr>
          <w:rFonts w:asciiTheme="minorHAnsi" w:eastAsiaTheme="minorHAnsi" w:hAnsiTheme="minorHAnsi" w:cstheme="minorBidi"/>
          <w:color w:val="495965" w:themeColor="text2"/>
          <w:lang w:val="en-GB" w:eastAsia="en-US"/>
        </w:rPr>
        <w:t xml:space="preserve"> women)</w:t>
      </w:r>
      <w:r w:rsidR="0099334D">
        <w:rPr>
          <w:rFonts w:asciiTheme="minorHAnsi" w:eastAsiaTheme="minorHAnsi" w:hAnsiTheme="minorHAnsi" w:cstheme="minorBidi"/>
          <w:color w:val="495965" w:themeColor="text2"/>
          <w:lang w:val="en-GB" w:eastAsia="en-US"/>
        </w:rPr>
        <w:t xml:space="preserve">. </w:t>
      </w:r>
      <w:r w:rsidR="00927772">
        <w:rPr>
          <w:rFonts w:asciiTheme="minorHAnsi" w:eastAsiaTheme="minorHAnsi" w:hAnsiTheme="minorHAnsi" w:cstheme="minorBidi"/>
          <w:color w:val="495965" w:themeColor="text2"/>
          <w:lang w:val="en-GB" w:eastAsia="en-US"/>
        </w:rPr>
        <w:t>Cumulatively, SHIFT has provided financial access to over 2.3 million low-income men, women and enterprises in ASEAN, exceeding end-of-program targets</w:t>
      </w:r>
      <w:r w:rsidR="0099334D">
        <w:rPr>
          <w:rFonts w:asciiTheme="minorHAnsi" w:eastAsiaTheme="minorHAnsi" w:hAnsiTheme="minorHAnsi" w:cstheme="minorBidi"/>
          <w:color w:val="495965" w:themeColor="text2"/>
          <w:lang w:val="en-GB" w:eastAsia="en-US"/>
        </w:rPr>
        <w:t xml:space="preserve">. </w:t>
      </w:r>
      <w:r w:rsidR="003E4AC8">
        <w:rPr>
          <w:rFonts w:asciiTheme="minorHAnsi" w:eastAsiaTheme="minorHAnsi" w:hAnsiTheme="minorHAnsi" w:cstheme="minorBidi"/>
          <w:color w:val="495965" w:themeColor="text2"/>
          <w:lang w:val="en-GB" w:eastAsia="en-US"/>
        </w:rPr>
        <w:t xml:space="preserve">Usage results include </w:t>
      </w:r>
      <w:r w:rsidR="003E4AC8" w:rsidRPr="00C741F9">
        <w:rPr>
          <w:rFonts w:asciiTheme="minorHAnsi" w:eastAsiaTheme="minorHAnsi" w:hAnsiTheme="minorHAnsi" w:cstheme="minorBidi"/>
          <w:color w:val="495965" w:themeColor="text2"/>
          <w:lang w:val="en-GB" w:eastAsia="en-US"/>
        </w:rPr>
        <w:t>over 120,000 sustained users</w:t>
      </w:r>
      <w:r w:rsidR="003E4AC8">
        <w:rPr>
          <w:rFonts w:asciiTheme="minorHAnsi" w:eastAsiaTheme="minorHAnsi" w:hAnsiTheme="minorHAnsi" w:cstheme="minorBidi"/>
          <w:color w:val="495965" w:themeColor="text2"/>
          <w:lang w:val="en-GB" w:eastAsia="en-US"/>
        </w:rPr>
        <w:t>. F</w:t>
      </w:r>
      <w:r w:rsidR="00EF6BF5" w:rsidRPr="00C741F9">
        <w:rPr>
          <w:rFonts w:asciiTheme="minorHAnsi" w:eastAsiaTheme="minorHAnsi" w:hAnsiTheme="minorHAnsi" w:cstheme="minorBidi"/>
          <w:color w:val="495965" w:themeColor="text2"/>
          <w:lang w:val="en-GB" w:eastAsia="en-US"/>
        </w:rPr>
        <w:t xml:space="preserve">inancial service segments show </w:t>
      </w:r>
      <w:r w:rsidR="003E4AC8">
        <w:rPr>
          <w:rFonts w:asciiTheme="minorHAnsi" w:eastAsiaTheme="minorHAnsi" w:hAnsiTheme="minorHAnsi" w:cstheme="minorBidi"/>
          <w:color w:val="495965" w:themeColor="text2"/>
          <w:lang w:val="en-GB" w:eastAsia="en-US"/>
        </w:rPr>
        <w:t xml:space="preserve">usage </w:t>
      </w:r>
      <w:r w:rsidR="00FC6244">
        <w:rPr>
          <w:rFonts w:asciiTheme="minorHAnsi" w:eastAsiaTheme="minorHAnsi" w:hAnsiTheme="minorHAnsi" w:cstheme="minorBidi"/>
          <w:color w:val="495965" w:themeColor="text2"/>
          <w:lang w:val="en-GB" w:eastAsia="en-US"/>
        </w:rPr>
        <w:t xml:space="preserve">rates </w:t>
      </w:r>
      <w:r w:rsidR="00EF6BF5" w:rsidRPr="00C741F9">
        <w:rPr>
          <w:rFonts w:asciiTheme="minorHAnsi" w:eastAsiaTheme="minorHAnsi" w:hAnsiTheme="minorHAnsi" w:cstheme="minorBidi"/>
          <w:color w:val="495965" w:themeColor="text2"/>
          <w:lang w:val="en-GB" w:eastAsia="en-US"/>
        </w:rPr>
        <w:t>ranging from 4.2</w:t>
      </w:r>
      <w:r w:rsidR="00DD2486">
        <w:rPr>
          <w:rFonts w:asciiTheme="minorHAnsi" w:eastAsiaTheme="minorHAnsi" w:hAnsiTheme="minorHAnsi" w:cstheme="minorBidi"/>
          <w:color w:val="495965" w:themeColor="text2"/>
          <w:lang w:val="en-GB" w:eastAsia="en-US"/>
        </w:rPr>
        <w:t xml:space="preserve"> per cent</w:t>
      </w:r>
      <w:r w:rsidR="00EF6BF5" w:rsidRPr="00C741F9">
        <w:rPr>
          <w:rFonts w:asciiTheme="minorHAnsi" w:eastAsiaTheme="minorHAnsi" w:hAnsiTheme="minorHAnsi" w:cstheme="minorBidi"/>
          <w:color w:val="495965" w:themeColor="text2"/>
          <w:lang w:val="en-GB" w:eastAsia="en-US"/>
        </w:rPr>
        <w:t xml:space="preserve"> (payment services) to 91</w:t>
      </w:r>
      <w:r w:rsidR="00E8250D">
        <w:rPr>
          <w:rFonts w:asciiTheme="minorHAnsi" w:eastAsiaTheme="minorHAnsi" w:hAnsiTheme="minorHAnsi" w:cstheme="minorBidi"/>
          <w:color w:val="495965" w:themeColor="text2"/>
          <w:lang w:val="en-GB" w:eastAsia="en-US"/>
        </w:rPr>
        <w:t xml:space="preserve"> per cent</w:t>
      </w:r>
      <w:r w:rsidR="00EF6BF5" w:rsidRPr="00C741F9">
        <w:rPr>
          <w:rFonts w:asciiTheme="minorHAnsi" w:eastAsiaTheme="minorHAnsi" w:hAnsiTheme="minorHAnsi" w:cstheme="minorBidi"/>
          <w:color w:val="495965" w:themeColor="text2"/>
          <w:lang w:val="en-GB" w:eastAsia="en-US"/>
        </w:rPr>
        <w:t xml:space="preserve"> (clean energy financing services) against a new industry standard of 36</w:t>
      </w:r>
      <w:r w:rsidR="00DD2486">
        <w:rPr>
          <w:rFonts w:asciiTheme="minorHAnsi" w:eastAsiaTheme="minorHAnsi" w:hAnsiTheme="minorHAnsi" w:cstheme="minorBidi"/>
          <w:color w:val="495965" w:themeColor="text2"/>
          <w:lang w:val="en-GB" w:eastAsia="en-US"/>
        </w:rPr>
        <w:t xml:space="preserve"> per cent</w:t>
      </w:r>
      <w:r w:rsidR="00C021A6">
        <w:rPr>
          <w:rFonts w:asciiTheme="minorHAnsi" w:eastAsiaTheme="minorHAnsi" w:hAnsiTheme="minorHAnsi" w:cstheme="minorBidi"/>
          <w:color w:val="495965" w:themeColor="text2"/>
          <w:lang w:val="en-GB" w:eastAsia="en-US"/>
        </w:rPr>
        <w:t xml:space="preserve">; </w:t>
      </w:r>
      <w:r w:rsidR="001B37BA">
        <w:rPr>
          <w:rFonts w:asciiTheme="minorHAnsi" w:eastAsiaTheme="minorHAnsi" w:hAnsiTheme="minorHAnsi" w:cstheme="minorBidi"/>
          <w:color w:val="495965" w:themeColor="text2"/>
          <w:lang w:val="en-GB" w:eastAsia="en-US"/>
        </w:rPr>
        <w:t>T</w:t>
      </w:r>
      <w:r w:rsidR="00C1645F">
        <w:rPr>
          <w:rFonts w:asciiTheme="minorHAnsi" w:eastAsiaTheme="minorHAnsi" w:hAnsiTheme="minorHAnsi" w:cstheme="minorBidi"/>
          <w:color w:val="495965" w:themeColor="text2"/>
          <w:lang w:val="en-GB" w:eastAsia="en-US"/>
        </w:rPr>
        <w:t>hree</w:t>
      </w:r>
      <w:r w:rsidR="002F1D03" w:rsidRPr="002F1D03">
        <w:rPr>
          <w:rFonts w:asciiTheme="minorHAnsi" w:eastAsiaTheme="minorHAnsi" w:hAnsiTheme="minorHAnsi" w:cstheme="minorBidi"/>
          <w:color w:val="495965" w:themeColor="text2"/>
          <w:lang w:val="en-GB" w:eastAsia="en-US"/>
        </w:rPr>
        <w:t xml:space="preserve"> new remittance </w:t>
      </w:r>
      <w:r w:rsidR="00DD2486">
        <w:rPr>
          <w:rFonts w:asciiTheme="minorHAnsi" w:eastAsiaTheme="minorHAnsi" w:hAnsiTheme="minorHAnsi" w:cstheme="minorBidi"/>
          <w:color w:val="495965" w:themeColor="text2"/>
          <w:lang w:val="en-GB" w:eastAsia="en-US"/>
        </w:rPr>
        <w:t>projects</w:t>
      </w:r>
      <w:r w:rsidR="002F1D03" w:rsidRPr="002F1D03">
        <w:rPr>
          <w:rFonts w:asciiTheme="minorHAnsi" w:eastAsiaTheme="minorHAnsi" w:hAnsiTheme="minorHAnsi" w:cstheme="minorBidi"/>
          <w:color w:val="495965" w:themeColor="text2"/>
          <w:lang w:val="en-GB" w:eastAsia="en-US"/>
        </w:rPr>
        <w:t xml:space="preserve"> (</w:t>
      </w:r>
      <w:proofErr w:type="spellStart"/>
      <w:r w:rsidR="002F1D03" w:rsidRPr="002F1D03">
        <w:rPr>
          <w:rFonts w:asciiTheme="minorHAnsi" w:eastAsiaTheme="minorHAnsi" w:hAnsiTheme="minorHAnsi" w:cstheme="minorBidi"/>
          <w:color w:val="495965" w:themeColor="text2"/>
          <w:lang w:val="en-GB" w:eastAsia="en-US"/>
        </w:rPr>
        <w:t>TransferTo</w:t>
      </w:r>
      <w:proofErr w:type="spellEnd"/>
      <w:r w:rsidR="002F1D03" w:rsidRPr="002F1D03">
        <w:rPr>
          <w:rFonts w:asciiTheme="minorHAnsi" w:eastAsiaTheme="minorHAnsi" w:hAnsiTheme="minorHAnsi" w:cstheme="minorBidi"/>
          <w:color w:val="495965" w:themeColor="text2"/>
          <w:lang w:val="en-GB" w:eastAsia="en-US"/>
        </w:rPr>
        <w:t>/</w:t>
      </w:r>
      <w:proofErr w:type="spellStart"/>
      <w:r w:rsidR="002F1D03" w:rsidRPr="002F1D03">
        <w:rPr>
          <w:rFonts w:asciiTheme="minorHAnsi" w:eastAsiaTheme="minorHAnsi" w:hAnsiTheme="minorHAnsi" w:cstheme="minorBidi"/>
          <w:color w:val="495965" w:themeColor="text2"/>
          <w:lang w:val="en-GB" w:eastAsia="en-US"/>
        </w:rPr>
        <w:t>Thunes</w:t>
      </w:r>
      <w:proofErr w:type="spellEnd"/>
      <w:r w:rsidR="002F1D03" w:rsidRPr="002F1D03">
        <w:rPr>
          <w:rFonts w:asciiTheme="minorHAnsi" w:eastAsiaTheme="minorHAnsi" w:hAnsiTheme="minorHAnsi" w:cstheme="minorBidi"/>
          <w:color w:val="495965" w:themeColor="text2"/>
          <w:lang w:val="en-GB" w:eastAsia="en-US"/>
        </w:rPr>
        <w:t xml:space="preserve">, </w:t>
      </w:r>
      <w:proofErr w:type="spellStart"/>
      <w:r w:rsidR="002F1D03" w:rsidRPr="002F1D03">
        <w:rPr>
          <w:rFonts w:asciiTheme="minorHAnsi" w:eastAsiaTheme="minorHAnsi" w:hAnsiTheme="minorHAnsi" w:cstheme="minorBidi"/>
          <w:color w:val="495965" w:themeColor="text2"/>
          <w:lang w:val="en-GB" w:eastAsia="en-US"/>
        </w:rPr>
        <w:t>Singcash</w:t>
      </w:r>
      <w:proofErr w:type="spellEnd"/>
      <w:r w:rsidR="002F1D03" w:rsidRPr="002F1D03">
        <w:rPr>
          <w:rFonts w:asciiTheme="minorHAnsi" w:eastAsiaTheme="minorHAnsi" w:hAnsiTheme="minorHAnsi" w:cstheme="minorBidi"/>
          <w:color w:val="495965" w:themeColor="text2"/>
          <w:lang w:val="en-GB" w:eastAsia="en-US"/>
        </w:rPr>
        <w:t>, AMK</w:t>
      </w:r>
      <w:r w:rsidR="00C008C2">
        <w:rPr>
          <w:rFonts w:asciiTheme="minorHAnsi" w:eastAsiaTheme="minorHAnsi" w:hAnsiTheme="minorHAnsi" w:cstheme="minorBidi"/>
          <w:color w:val="495965" w:themeColor="text2"/>
          <w:lang w:val="en-GB" w:eastAsia="en-US"/>
        </w:rPr>
        <w:t>)</w:t>
      </w:r>
      <w:r w:rsidR="002F1D03" w:rsidRPr="002F1D03">
        <w:rPr>
          <w:rFonts w:asciiTheme="minorHAnsi" w:eastAsiaTheme="minorHAnsi" w:hAnsiTheme="minorHAnsi" w:cstheme="minorBidi"/>
          <w:color w:val="495965" w:themeColor="text2"/>
          <w:lang w:val="en-GB" w:eastAsia="en-US"/>
        </w:rPr>
        <w:t xml:space="preserve"> </w:t>
      </w:r>
      <w:r w:rsidR="003E448D">
        <w:rPr>
          <w:rFonts w:asciiTheme="minorHAnsi" w:eastAsiaTheme="minorHAnsi" w:hAnsiTheme="minorHAnsi" w:cstheme="minorBidi"/>
          <w:color w:val="495965" w:themeColor="text2"/>
          <w:lang w:val="en-GB" w:eastAsia="en-US"/>
        </w:rPr>
        <w:t xml:space="preserve">were signed, </w:t>
      </w:r>
      <w:r w:rsidR="002F1D03" w:rsidRPr="002F1D03">
        <w:rPr>
          <w:rFonts w:asciiTheme="minorHAnsi" w:eastAsiaTheme="minorHAnsi" w:hAnsiTheme="minorHAnsi" w:cstheme="minorBidi"/>
          <w:color w:val="495965" w:themeColor="text2"/>
          <w:lang w:val="en-GB" w:eastAsia="en-US"/>
        </w:rPr>
        <w:t xml:space="preserve">with </w:t>
      </w:r>
      <w:proofErr w:type="spellStart"/>
      <w:r w:rsidR="007E7452" w:rsidRPr="002F1D03">
        <w:rPr>
          <w:rFonts w:asciiTheme="minorHAnsi" w:eastAsiaTheme="minorHAnsi" w:hAnsiTheme="minorHAnsi" w:cstheme="minorBidi"/>
          <w:color w:val="495965" w:themeColor="text2"/>
          <w:lang w:val="en-GB" w:eastAsia="en-US"/>
        </w:rPr>
        <w:t>TransferTo</w:t>
      </w:r>
      <w:proofErr w:type="spellEnd"/>
      <w:r w:rsidR="007E7452" w:rsidRPr="002F1D03">
        <w:rPr>
          <w:rFonts w:asciiTheme="minorHAnsi" w:eastAsiaTheme="minorHAnsi" w:hAnsiTheme="minorHAnsi" w:cstheme="minorBidi"/>
          <w:color w:val="495965" w:themeColor="text2"/>
          <w:lang w:val="en-GB" w:eastAsia="en-US"/>
        </w:rPr>
        <w:t>/</w:t>
      </w:r>
      <w:proofErr w:type="spellStart"/>
      <w:r w:rsidR="007E7452" w:rsidRPr="002F1D03">
        <w:rPr>
          <w:rFonts w:asciiTheme="minorHAnsi" w:eastAsiaTheme="minorHAnsi" w:hAnsiTheme="minorHAnsi" w:cstheme="minorBidi"/>
          <w:color w:val="495965" w:themeColor="text2"/>
          <w:lang w:val="en-GB" w:eastAsia="en-US"/>
        </w:rPr>
        <w:t>Thunes</w:t>
      </w:r>
      <w:proofErr w:type="spellEnd"/>
      <w:r w:rsidR="007E7452">
        <w:rPr>
          <w:rFonts w:asciiTheme="minorHAnsi" w:eastAsiaTheme="minorHAnsi" w:hAnsiTheme="minorHAnsi" w:cstheme="minorBidi"/>
          <w:color w:val="495965" w:themeColor="text2"/>
          <w:lang w:val="en-GB" w:eastAsia="en-US"/>
        </w:rPr>
        <w:t xml:space="preserve"> </w:t>
      </w:r>
      <w:r w:rsidR="002F1D03" w:rsidRPr="002F1D03">
        <w:rPr>
          <w:rFonts w:asciiTheme="minorHAnsi" w:eastAsiaTheme="minorHAnsi" w:hAnsiTheme="minorHAnsi" w:cstheme="minorBidi"/>
          <w:color w:val="495965" w:themeColor="text2"/>
          <w:lang w:val="en-GB" w:eastAsia="en-US"/>
        </w:rPr>
        <w:t>exceeding</w:t>
      </w:r>
      <w:r w:rsidR="00927772">
        <w:rPr>
          <w:rFonts w:asciiTheme="minorHAnsi" w:eastAsiaTheme="minorHAnsi" w:hAnsiTheme="minorHAnsi" w:cstheme="minorBidi"/>
          <w:color w:val="495965" w:themeColor="text2"/>
          <w:lang w:val="en-GB" w:eastAsia="en-US"/>
        </w:rPr>
        <w:t xml:space="preserve"> access</w:t>
      </w:r>
      <w:r w:rsidR="002F1D03" w:rsidRPr="002F1D03">
        <w:rPr>
          <w:rFonts w:asciiTheme="minorHAnsi" w:eastAsiaTheme="minorHAnsi" w:hAnsiTheme="minorHAnsi" w:cstheme="minorBidi"/>
          <w:color w:val="495965" w:themeColor="text2"/>
          <w:lang w:val="en-GB" w:eastAsia="en-US"/>
        </w:rPr>
        <w:t xml:space="preserve"> targets </w:t>
      </w:r>
      <w:r w:rsidR="00927772">
        <w:rPr>
          <w:rFonts w:asciiTheme="minorHAnsi" w:eastAsiaTheme="minorHAnsi" w:hAnsiTheme="minorHAnsi" w:cstheme="minorBidi"/>
          <w:color w:val="495965" w:themeColor="text2"/>
          <w:lang w:val="en-GB" w:eastAsia="en-US"/>
        </w:rPr>
        <w:t>through</w:t>
      </w:r>
      <w:r w:rsidR="00927772" w:rsidRPr="002F1D03">
        <w:rPr>
          <w:rFonts w:asciiTheme="minorHAnsi" w:eastAsiaTheme="minorHAnsi" w:hAnsiTheme="minorHAnsi" w:cstheme="minorBidi"/>
          <w:color w:val="495965" w:themeColor="text2"/>
          <w:lang w:val="en-GB" w:eastAsia="en-US"/>
        </w:rPr>
        <w:t xml:space="preserve"> </w:t>
      </w:r>
      <w:r w:rsidR="002F1D03" w:rsidRPr="00927772">
        <w:rPr>
          <w:rFonts w:asciiTheme="minorHAnsi" w:eastAsiaTheme="minorHAnsi" w:hAnsiTheme="minorHAnsi" w:cstheme="minorBidi"/>
          <w:color w:val="495965" w:themeColor="text2"/>
          <w:lang w:val="en-GB" w:eastAsia="en-US"/>
        </w:rPr>
        <w:t>80,000</w:t>
      </w:r>
      <w:r w:rsidR="00927772">
        <w:rPr>
          <w:rFonts w:asciiTheme="minorHAnsi" w:eastAsiaTheme="minorHAnsi" w:hAnsiTheme="minorHAnsi" w:cstheme="minorBidi"/>
          <w:color w:val="495965" w:themeColor="text2"/>
          <w:lang w:val="en-GB" w:eastAsia="en-US"/>
        </w:rPr>
        <w:t xml:space="preserve"> transfers</w:t>
      </w:r>
      <w:r w:rsidR="002F1D03" w:rsidRPr="002F1D03">
        <w:rPr>
          <w:rFonts w:asciiTheme="minorHAnsi" w:eastAsiaTheme="minorHAnsi" w:hAnsiTheme="minorHAnsi" w:cstheme="minorBidi"/>
          <w:color w:val="495965" w:themeColor="text2"/>
          <w:lang w:val="en-GB" w:eastAsia="en-US"/>
        </w:rPr>
        <w:t>.</w:t>
      </w:r>
      <w:r w:rsidR="00551DBD">
        <w:rPr>
          <w:rFonts w:asciiTheme="minorHAnsi" w:eastAsiaTheme="minorHAnsi" w:hAnsiTheme="minorHAnsi" w:cstheme="minorBidi"/>
          <w:color w:val="495965" w:themeColor="text2"/>
          <w:lang w:val="en-GB" w:eastAsia="en-US"/>
        </w:rPr>
        <w:t xml:space="preserve"> </w:t>
      </w:r>
      <w:r w:rsidR="00927772">
        <w:rPr>
          <w:rFonts w:asciiTheme="minorHAnsi" w:eastAsiaTheme="minorHAnsi" w:hAnsiTheme="minorHAnsi" w:cstheme="minorBidi"/>
          <w:color w:val="495965" w:themeColor="text2"/>
          <w:lang w:val="en-GB" w:eastAsia="en-US"/>
        </w:rPr>
        <w:t>Since 2014, SHIFT has leveraged over AUD5.7 million in private sector investment across ASEAN’s emerging markets</w:t>
      </w:r>
      <w:r w:rsidR="0099334D">
        <w:rPr>
          <w:rFonts w:asciiTheme="minorHAnsi" w:eastAsiaTheme="minorHAnsi" w:hAnsiTheme="minorHAnsi" w:cstheme="minorBidi"/>
          <w:color w:val="495965" w:themeColor="text2"/>
          <w:lang w:val="en-GB" w:eastAsia="en-US"/>
        </w:rPr>
        <w:t xml:space="preserve">. </w:t>
      </w:r>
      <w:r w:rsidR="00551DBD">
        <w:rPr>
          <w:rFonts w:asciiTheme="minorHAnsi" w:eastAsiaTheme="minorHAnsi" w:hAnsiTheme="minorHAnsi" w:cstheme="minorBidi"/>
          <w:color w:val="495965" w:themeColor="text2"/>
          <w:lang w:val="en-GB" w:eastAsia="en-US"/>
        </w:rPr>
        <w:t>A</w:t>
      </w:r>
      <w:r w:rsidR="006B50CC">
        <w:rPr>
          <w:rFonts w:asciiTheme="minorHAnsi" w:eastAsiaTheme="minorHAnsi" w:hAnsiTheme="minorHAnsi" w:cstheme="minorBidi"/>
          <w:color w:val="495965" w:themeColor="text2"/>
          <w:lang w:val="en-GB" w:eastAsia="en-US"/>
        </w:rPr>
        <w:t xml:space="preserve"> 201</w:t>
      </w:r>
      <w:r w:rsidR="00927772">
        <w:rPr>
          <w:rFonts w:asciiTheme="minorHAnsi" w:eastAsiaTheme="minorHAnsi" w:hAnsiTheme="minorHAnsi" w:cstheme="minorBidi"/>
          <w:color w:val="495965" w:themeColor="text2"/>
          <w:lang w:val="en-GB" w:eastAsia="en-US"/>
        </w:rPr>
        <w:t>8</w:t>
      </w:r>
      <w:r w:rsidR="00551DBD">
        <w:rPr>
          <w:rFonts w:asciiTheme="minorHAnsi" w:eastAsiaTheme="minorHAnsi" w:hAnsiTheme="minorHAnsi" w:cstheme="minorBidi"/>
          <w:color w:val="495965" w:themeColor="text2"/>
          <w:lang w:val="en-GB" w:eastAsia="en-US"/>
        </w:rPr>
        <w:t xml:space="preserve"> </w:t>
      </w:r>
      <w:r w:rsidR="00174E4D" w:rsidRPr="00671BEA">
        <w:rPr>
          <w:rFonts w:asciiTheme="minorHAnsi" w:eastAsiaTheme="minorHAnsi" w:hAnsiTheme="minorHAnsi" w:cstheme="minorBidi"/>
          <w:color w:val="495965" w:themeColor="text2"/>
          <w:lang w:val="en-GB" w:eastAsia="en-US"/>
        </w:rPr>
        <w:t>independent mid-term review concluded that</w:t>
      </w:r>
      <w:r w:rsidR="007167CB">
        <w:rPr>
          <w:rFonts w:asciiTheme="minorHAnsi" w:eastAsiaTheme="minorHAnsi" w:hAnsiTheme="minorHAnsi" w:cstheme="minorBidi"/>
          <w:color w:val="495965" w:themeColor="text2"/>
          <w:lang w:val="en-GB" w:eastAsia="en-US"/>
        </w:rPr>
        <w:t xml:space="preserve"> SHIFT </w:t>
      </w:r>
      <w:r w:rsidR="00927772">
        <w:rPr>
          <w:rFonts w:asciiTheme="minorHAnsi" w:eastAsiaTheme="minorHAnsi" w:hAnsiTheme="minorHAnsi" w:cstheme="minorBidi"/>
          <w:color w:val="495965" w:themeColor="text2"/>
          <w:lang w:val="en-GB" w:eastAsia="en-US"/>
        </w:rPr>
        <w:t xml:space="preserve">was achieving intermediary targets, </w:t>
      </w:r>
      <w:r w:rsidR="005210D8" w:rsidRPr="005210D8">
        <w:rPr>
          <w:rFonts w:asciiTheme="minorHAnsi" w:eastAsiaTheme="minorHAnsi" w:hAnsiTheme="minorHAnsi" w:cstheme="minorBidi"/>
          <w:color w:val="495965" w:themeColor="text2"/>
          <w:lang w:val="en-GB" w:eastAsia="en-US"/>
        </w:rPr>
        <w:t>demonstrated value for money</w:t>
      </w:r>
      <w:r w:rsidR="00815632">
        <w:rPr>
          <w:rFonts w:asciiTheme="minorHAnsi" w:eastAsiaTheme="minorHAnsi" w:hAnsiTheme="minorHAnsi" w:cstheme="minorBidi"/>
          <w:color w:val="495965" w:themeColor="text2"/>
          <w:lang w:val="en-GB" w:eastAsia="en-US"/>
        </w:rPr>
        <w:t>,</w:t>
      </w:r>
      <w:r w:rsidR="005210D8" w:rsidRPr="005210D8">
        <w:rPr>
          <w:rFonts w:asciiTheme="minorHAnsi" w:eastAsiaTheme="minorHAnsi" w:hAnsiTheme="minorHAnsi" w:cstheme="minorBidi"/>
          <w:color w:val="495965" w:themeColor="text2"/>
          <w:lang w:val="en-GB" w:eastAsia="en-US"/>
        </w:rPr>
        <w:t xml:space="preserve"> </w:t>
      </w:r>
      <w:r w:rsidR="005210D8">
        <w:rPr>
          <w:rFonts w:asciiTheme="minorHAnsi" w:eastAsiaTheme="minorHAnsi" w:hAnsiTheme="minorHAnsi" w:cstheme="minorBidi"/>
          <w:color w:val="495965" w:themeColor="text2"/>
          <w:lang w:val="en-GB" w:eastAsia="en-US"/>
        </w:rPr>
        <w:t xml:space="preserve">and </w:t>
      </w:r>
      <w:r w:rsidR="00CE3BEE">
        <w:rPr>
          <w:rFonts w:asciiTheme="minorHAnsi" w:eastAsiaTheme="minorHAnsi" w:hAnsiTheme="minorHAnsi" w:cstheme="minorBidi"/>
          <w:color w:val="495965" w:themeColor="text2"/>
          <w:lang w:val="en-GB" w:eastAsia="en-US"/>
        </w:rPr>
        <w:t>highlighted</w:t>
      </w:r>
      <w:r w:rsidR="005210D8">
        <w:rPr>
          <w:rFonts w:asciiTheme="minorHAnsi" w:eastAsiaTheme="minorHAnsi" w:hAnsiTheme="minorHAnsi" w:cstheme="minorBidi"/>
          <w:color w:val="495965" w:themeColor="text2"/>
          <w:lang w:val="en-GB" w:eastAsia="en-US"/>
        </w:rPr>
        <w:t xml:space="preserve"> c</w:t>
      </w:r>
      <w:r w:rsidR="00D82930">
        <w:rPr>
          <w:rFonts w:asciiTheme="minorHAnsi" w:eastAsiaTheme="minorHAnsi" w:hAnsiTheme="minorHAnsi" w:cstheme="minorBidi"/>
          <w:color w:val="495965" w:themeColor="text2"/>
          <w:lang w:val="en-GB" w:eastAsia="en-US"/>
        </w:rPr>
        <w:t>omplexities</w:t>
      </w:r>
      <w:r w:rsidR="005210D8">
        <w:rPr>
          <w:rFonts w:asciiTheme="minorHAnsi" w:eastAsiaTheme="minorHAnsi" w:hAnsiTheme="minorHAnsi" w:cstheme="minorBidi"/>
          <w:color w:val="495965" w:themeColor="text2"/>
          <w:lang w:val="en-GB" w:eastAsia="en-US"/>
        </w:rPr>
        <w:t xml:space="preserve"> around recording usage rates </w:t>
      </w:r>
      <w:r w:rsidR="001218EF">
        <w:rPr>
          <w:rFonts w:asciiTheme="minorHAnsi" w:eastAsiaTheme="minorHAnsi" w:hAnsiTheme="minorHAnsi" w:cstheme="minorBidi"/>
          <w:color w:val="495965" w:themeColor="text2"/>
          <w:lang w:val="en-GB" w:eastAsia="en-US"/>
        </w:rPr>
        <w:t xml:space="preserve">as an area </w:t>
      </w:r>
      <w:r w:rsidR="00CB37BB">
        <w:rPr>
          <w:rFonts w:asciiTheme="minorHAnsi" w:eastAsiaTheme="minorHAnsi" w:hAnsiTheme="minorHAnsi" w:cstheme="minorBidi"/>
          <w:color w:val="495965" w:themeColor="text2"/>
          <w:lang w:val="en-GB" w:eastAsia="en-US"/>
        </w:rPr>
        <w:t>of improvement</w:t>
      </w:r>
      <w:r w:rsidR="001218EF">
        <w:rPr>
          <w:rFonts w:asciiTheme="minorHAnsi" w:eastAsiaTheme="minorHAnsi" w:hAnsiTheme="minorHAnsi" w:cstheme="minorBidi"/>
          <w:color w:val="495965" w:themeColor="text2"/>
          <w:lang w:val="en-GB" w:eastAsia="en-US"/>
        </w:rPr>
        <w:t xml:space="preserve"> </w:t>
      </w:r>
      <w:r w:rsidR="005210D8">
        <w:rPr>
          <w:rFonts w:asciiTheme="minorHAnsi" w:eastAsiaTheme="minorHAnsi" w:hAnsiTheme="minorHAnsi" w:cstheme="minorBidi"/>
          <w:color w:val="495965" w:themeColor="text2"/>
          <w:lang w:val="en-GB" w:eastAsia="en-US"/>
        </w:rPr>
        <w:t xml:space="preserve">which </w:t>
      </w:r>
      <w:r w:rsidR="0048381D">
        <w:rPr>
          <w:rFonts w:asciiTheme="minorHAnsi" w:eastAsiaTheme="minorHAnsi" w:hAnsiTheme="minorHAnsi" w:cstheme="minorBidi"/>
          <w:color w:val="495965" w:themeColor="text2"/>
          <w:lang w:val="en-GB" w:eastAsia="en-US"/>
        </w:rPr>
        <w:t xml:space="preserve">the program has </w:t>
      </w:r>
      <w:r w:rsidR="00927772">
        <w:rPr>
          <w:rFonts w:asciiTheme="minorHAnsi" w:eastAsiaTheme="minorHAnsi" w:hAnsiTheme="minorHAnsi" w:cstheme="minorBidi"/>
          <w:color w:val="495965" w:themeColor="text2"/>
          <w:lang w:val="en-GB" w:eastAsia="en-US"/>
        </w:rPr>
        <w:t>actioned</w:t>
      </w:r>
      <w:r w:rsidR="0099334D">
        <w:rPr>
          <w:rFonts w:asciiTheme="minorHAnsi" w:eastAsiaTheme="minorHAnsi" w:hAnsiTheme="minorHAnsi" w:cstheme="minorBidi"/>
          <w:color w:val="495965" w:themeColor="text2"/>
          <w:lang w:val="en-GB" w:eastAsia="en-US"/>
        </w:rPr>
        <w:t xml:space="preserve">. </w:t>
      </w:r>
      <w:r w:rsidR="007C4E05">
        <w:rPr>
          <w:rFonts w:asciiTheme="minorHAnsi" w:eastAsiaTheme="minorHAnsi" w:hAnsiTheme="minorHAnsi" w:cstheme="minorBidi"/>
          <w:color w:val="495965" w:themeColor="text2"/>
          <w:lang w:val="en-GB" w:eastAsia="en-US"/>
        </w:rPr>
        <w:t xml:space="preserve">SHIFT </w:t>
      </w:r>
      <w:proofErr w:type="gramStart"/>
      <w:r w:rsidR="0059018A">
        <w:rPr>
          <w:rFonts w:asciiTheme="minorHAnsi" w:eastAsiaTheme="minorHAnsi" w:hAnsiTheme="minorHAnsi" w:cstheme="minorBidi"/>
          <w:color w:val="495965" w:themeColor="text2"/>
          <w:lang w:val="en-GB" w:eastAsia="en-US"/>
        </w:rPr>
        <w:t>was extended</w:t>
      </w:r>
      <w:proofErr w:type="gramEnd"/>
      <w:r w:rsidR="0059018A">
        <w:rPr>
          <w:rFonts w:asciiTheme="minorHAnsi" w:eastAsiaTheme="minorHAnsi" w:hAnsiTheme="minorHAnsi" w:cstheme="minorBidi"/>
          <w:color w:val="495965" w:themeColor="text2"/>
          <w:lang w:val="en-GB" w:eastAsia="en-US"/>
        </w:rPr>
        <w:t xml:space="preserve"> </w:t>
      </w:r>
      <w:r w:rsidR="007C4E05">
        <w:rPr>
          <w:rFonts w:asciiTheme="minorHAnsi" w:eastAsiaTheme="minorHAnsi" w:hAnsiTheme="minorHAnsi" w:cstheme="minorBidi"/>
          <w:color w:val="495965" w:themeColor="text2"/>
          <w:lang w:val="en-GB" w:eastAsia="en-US"/>
        </w:rPr>
        <w:t>until December 2020</w:t>
      </w:r>
      <w:r w:rsidR="000D05F0">
        <w:rPr>
          <w:rFonts w:asciiTheme="minorHAnsi" w:eastAsiaTheme="minorHAnsi" w:hAnsiTheme="minorHAnsi" w:cstheme="minorBidi"/>
          <w:color w:val="495965" w:themeColor="text2"/>
          <w:lang w:val="en-GB" w:eastAsia="en-US"/>
        </w:rPr>
        <w:t xml:space="preserve"> and</w:t>
      </w:r>
      <w:r w:rsidR="00E04F78">
        <w:rPr>
          <w:rFonts w:asciiTheme="minorHAnsi" w:eastAsiaTheme="minorHAnsi" w:hAnsiTheme="minorHAnsi" w:cstheme="minorBidi"/>
          <w:color w:val="495965" w:themeColor="text2"/>
          <w:lang w:val="en-GB" w:eastAsia="en-US"/>
        </w:rPr>
        <w:t xml:space="preserve"> will focus on </w:t>
      </w:r>
      <w:r w:rsidR="003E448D">
        <w:rPr>
          <w:rFonts w:asciiTheme="minorHAnsi" w:eastAsiaTheme="minorHAnsi" w:hAnsiTheme="minorHAnsi" w:cstheme="minorBidi"/>
          <w:color w:val="495965" w:themeColor="text2"/>
          <w:lang w:val="en-GB" w:eastAsia="en-US"/>
        </w:rPr>
        <w:t xml:space="preserve">results </w:t>
      </w:r>
      <w:r w:rsidR="00E04F78">
        <w:rPr>
          <w:rFonts w:asciiTheme="minorHAnsi" w:eastAsiaTheme="minorHAnsi" w:hAnsiTheme="minorHAnsi" w:cstheme="minorBidi"/>
          <w:color w:val="495965" w:themeColor="text2"/>
          <w:lang w:val="en-GB" w:eastAsia="en-US"/>
        </w:rPr>
        <w:t xml:space="preserve">reporting </w:t>
      </w:r>
      <w:r w:rsidR="003E448D" w:rsidRPr="003E448D">
        <w:rPr>
          <w:rFonts w:asciiTheme="minorHAnsi" w:eastAsiaTheme="minorHAnsi" w:hAnsiTheme="minorHAnsi" w:cstheme="minorBidi"/>
          <w:color w:val="495965" w:themeColor="text2"/>
          <w:lang w:val="en-GB" w:eastAsia="en-US"/>
        </w:rPr>
        <w:t>in its final year</w:t>
      </w:r>
      <w:r w:rsidR="00927772">
        <w:rPr>
          <w:rFonts w:asciiTheme="minorHAnsi" w:eastAsiaTheme="minorHAnsi" w:hAnsiTheme="minorHAnsi" w:cstheme="minorBidi"/>
          <w:color w:val="495965" w:themeColor="text2"/>
          <w:lang w:val="en-GB" w:eastAsia="en-US"/>
        </w:rPr>
        <w:t xml:space="preserve">, </w:t>
      </w:r>
      <w:r w:rsidR="0078349E">
        <w:rPr>
          <w:rFonts w:asciiTheme="minorHAnsi" w:eastAsiaTheme="minorHAnsi" w:hAnsiTheme="minorHAnsi" w:cstheme="minorBidi"/>
          <w:color w:val="495965" w:themeColor="text2"/>
          <w:lang w:val="en-GB" w:eastAsia="en-US"/>
        </w:rPr>
        <w:t xml:space="preserve">and </w:t>
      </w:r>
      <w:r w:rsidR="00CA7025">
        <w:rPr>
          <w:rFonts w:asciiTheme="minorHAnsi" w:eastAsiaTheme="minorHAnsi" w:hAnsiTheme="minorHAnsi" w:cstheme="minorBidi"/>
          <w:color w:val="495965" w:themeColor="text2"/>
          <w:lang w:val="en-GB" w:eastAsia="en-US"/>
        </w:rPr>
        <w:t>develop a transition-sustainability plan beyond 2020</w:t>
      </w:r>
      <w:r w:rsidR="00390AED">
        <w:rPr>
          <w:rFonts w:asciiTheme="minorHAnsi" w:eastAsiaTheme="minorHAnsi" w:hAnsiTheme="minorHAnsi" w:cstheme="minorBidi"/>
          <w:color w:val="495965" w:themeColor="text2"/>
          <w:lang w:val="en-GB" w:eastAsia="en-US"/>
        </w:rPr>
        <w:t>.</w:t>
      </w:r>
      <w:r w:rsidR="00E04F78">
        <w:rPr>
          <w:rFonts w:asciiTheme="minorHAnsi" w:eastAsiaTheme="minorHAnsi" w:hAnsiTheme="minorHAnsi" w:cstheme="minorBidi"/>
          <w:color w:val="495965" w:themeColor="text2"/>
          <w:lang w:val="en-GB" w:eastAsia="en-US"/>
        </w:rPr>
        <w:t xml:space="preserve"> </w:t>
      </w:r>
    </w:p>
    <w:p w14:paraId="74FB5007" w14:textId="3031AB62" w:rsidR="0039463C" w:rsidRDefault="0039463C" w:rsidP="0039463C">
      <w:pPr>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t xml:space="preserve">Objective </w:t>
      </w:r>
      <w:proofErr w:type="gramStart"/>
      <w:r>
        <w:rPr>
          <w:rFonts w:asciiTheme="majorHAnsi" w:eastAsiaTheme="majorEastAsia" w:hAnsiTheme="majorHAnsi" w:cstheme="majorBidi"/>
          <w:caps/>
          <w:sz w:val="38"/>
          <w:szCs w:val="26"/>
        </w:rPr>
        <w:t>2</w:t>
      </w:r>
      <w:proofErr w:type="gramEnd"/>
      <w:r>
        <w:rPr>
          <w:rFonts w:asciiTheme="majorHAnsi" w:eastAsiaTheme="majorEastAsia" w:hAnsiTheme="majorHAnsi" w:cstheme="majorBidi"/>
          <w:caps/>
          <w:sz w:val="38"/>
          <w:szCs w:val="26"/>
        </w:rPr>
        <w:t>. Strengthening regional responses to trafficking and the exploitation of migrant workers.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6"/>
        <w:gridCol w:w="1201"/>
        <w:gridCol w:w="1228"/>
        <w:gridCol w:w="1182"/>
        <w:gridCol w:w="1134"/>
        <w:gridCol w:w="992"/>
        <w:gridCol w:w="1179"/>
      </w:tblGrid>
      <w:tr w:rsidR="00E020BC" w:rsidRPr="00A805D6" w14:paraId="18A970A1" w14:textId="77777777" w:rsidTr="00D432AC">
        <w:tc>
          <w:tcPr>
            <w:tcW w:w="1776" w:type="dxa"/>
          </w:tcPr>
          <w:p w14:paraId="1D6E79DE" w14:textId="77777777" w:rsidR="00E020BC" w:rsidRPr="00A805D6" w:rsidRDefault="00E020BC" w:rsidP="00EE4E89">
            <w:pPr>
              <w:rPr>
                <w:color w:val="auto"/>
              </w:rPr>
            </w:pPr>
            <w:r w:rsidRPr="00A805D6">
              <w:rPr>
                <w:noProof/>
                <w:color w:val="auto"/>
                <w:lang w:val="en-AU" w:eastAsia="en-AU"/>
              </w:rPr>
              <w:drawing>
                <wp:inline distT="0" distB="0" distL="0" distR="0" wp14:anchorId="3752810B" wp14:editId="732D5171">
                  <wp:extent cx="848497" cy="537023"/>
                  <wp:effectExtent l="0" t="0" r="889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874960" cy="553772"/>
                          </a:xfrm>
                          <a:prstGeom prst="rect">
                            <a:avLst/>
                          </a:prstGeom>
                        </pic:spPr>
                      </pic:pic>
                    </a:graphicData>
                  </a:graphic>
                </wp:inline>
              </w:drawing>
            </w:r>
          </w:p>
        </w:tc>
        <w:tc>
          <w:tcPr>
            <w:tcW w:w="1201" w:type="dxa"/>
          </w:tcPr>
          <w:p w14:paraId="32460C4C" w14:textId="77777777" w:rsidR="00E020BC" w:rsidRPr="00A805D6" w:rsidRDefault="00E020BC" w:rsidP="00EE4E89">
            <w:pPr>
              <w:rPr>
                <w:color w:val="auto"/>
              </w:rPr>
            </w:pPr>
            <w:r w:rsidRPr="00A805D6">
              <w:rPr>
                <w:noProof/>
                <w:color w:val="auto"/>
                <w:lang w:val="en-AU" w:eastAsia="en-AU"/>
              </w:rPr>
              <w:drawing>
                <wp:inline distT="0" distB="0" distL="0" distR="0" wp14:anchorId="2C9A6313" wp14:editId="39D78FAB">
                  <wp:extent cx="502508" cy="502508"/>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4963" cy="504963"/>
                          </a:xfrm>
                          <a:prstGeom prst="rect">
                            <a:avLst/>
                          </a:prstGeom>
                          <a:noFill/>
                        </pic:spPr>
                      </pic:pic>
                    </a:graphicData>
                  </a:graphic>
                </wp:inline>
              </w:drawing>
            </w:r>
            <w:r w:rsidRPr="00A805D6">
              <w:rPr>
                <w:color w:val="auto"/>
              </w:rPr>
              <w:t xml:space="preserve"> </w:t>
            </w:r>
          </w:p>
        </w:tc>
        <w:tc>
          <w:tcPr>
            <w:tcW w:w="1228" w:type="dxa"/>
          </w:tcPr>
          <w:p w14:paraId="4452807F" w14:textId="77777777" w:rsidR="00E020BC" w:rsidRPr="00A805D6" w:rsidRDefault="00E020BC" w:rsidP="00EE4E89">
            <w:pPr>
              <w:rPr>
                <w:color w:val="auto"/>
              </w:rPr>
            </w:pPr>
            <w:r w:rsidRPr="00A805D6">
              <w:rPr>
                <w:noProof/>
                <w:color w:val="auto"/>
                <w:lang w:val="en-AU" w:eastAsia="en-AU"/>
              </w:rPr>
              <w:drawing>
                <wp:inline distT="0" distB="0" distL="0" distR="0" wp14:anchorId="1DAF5CB4" wp14:editId="6B84271A">
                  <wp:extent cx="502285" cy="50228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03824" cy="503824"/>
                          </a:xfrm>
                          <a:prstGeom prst="rect">
                            <a:avLst/>
                          </a:prstGeom>
                        </pic:spPr>
                      </pic:pic>
                    </a:graphicData>
                  </a:graphic>
                </wp:inline>
              </w:drawing>
            </w:r>
          </w:p>
        </w:tc>
        <w:tc>
          <w:tcPr>
            <w:tcW w:w="1182" w:type="dxa"/>
          </w:tcPr>
          <w:p w14:paraId="2C186D84" w14:textId="77777777" w:rsidR="00E020BC" w:rsidRPr="00A805D6" w:rsidRDefault="00E020BC" w:rsidP="00EE4E89">
            <w:pPr>
              <w:rPr>
                <w:color w:val="auto"/>
              </w:rPr>
            </w:pPr>
            <w:r w:rsidRPr="00A805D6">
              <w:rPr>
                <w:noProof/>
                <w:color w:val="auto"/>
                <w:lang w:val="en-AU" w:eastAsia="en-AU"/>
              </w:rPr>
              <w:drawing>
                <wp:inline distT="0" distB="0" distL="0" distR="0" wp14:anchorId="47DCF5C0" wp14:editId="02CC9069">
                  <wp:extent cx="487148" cy="487148"/>
                  <wp:effectExtent l="0" t="0" r="8255" b="8255"/>
                  <wp:docPr id="58" name="Picture 58"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87354" cy="487354"/>
                          </a:xfrm>
                          <a:prstGeom prst="rect">
                            <a:avLst/>
                          </a:prstGeom>
                          <a:noFill/>
                          <a:ln>
                            <a:noFill/>
                          </a:ln>
                        </pic:spPr>
                      </pic:pic>
                    </a:graphicData>
                  </a:graphic>
                </wp:inline>
              </w:drawing>
            </w:r>
          </w:p>
        </w:tc>
        <w:tc>
          <w:tcPr>
            <w:tcW w:w="1134" w:type="dxa"/>
          </w:tcPr>
          <w:p w14:paraId="402E3194" w14:textId="77777777" w:rsidR="00E020BC" w:rsidRPr="00A805D6" w:rsidRDefault="00E020BC" w:rsidP="00EE4E89">
            <w:pPr>
              <w:rPr>
                <w:color w:val="auto"/>
              </w:rPr>
            </w:pPr>
            <w:r w:rsidRPr="00A805D6">
              <w:rPr>
                <w:noProof/>
                <w:color w:val="auto"/>
                <w:lang w:val="en-AU" w:eastAsia="en-AU"/>
              </w:rPr>
              <w:drawing>
                <wp:inline distT="0" distB="0" distL="0" distR="0" wp14:anchorId="7CCCAE75" wp14:editId="534DC60D">
                  <wp:extent cx="487045" cy="487045"/>
                  <wp:effectExtent l="0" t="0" r="8255" b="825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 10.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489033" cy="489033"/>
                          </a:xfrm>
                          <a:prstGeom prst="rect">
                            <a:avLst/>
                          </a:prstGeom>
                        </pic:spPr>
                      </pic:pic>
                    </a:graphicData>
                  </a:graphic>
                </wp:inline>
              </w:drawing>
            </w:r>
          </w:p>
        </w:tc>
        <w:tc>
          <w:tcPr>
            <w:tcW w:w="992" w:type="dxa"/>
          </w:tcPr>
          <w:p w14:paraId="4730BF53" w14:textId="3FD2673D" w:rsidR="00E020BC" w:rsidRPr="00A805D6" w:rsidRDefault="00D432AC" w:rsidP="00EE4E89">
            <w:pPr>
              <w:rPr>
                <w:color w:val="auto"/>
              </w:rPr>
            </w:pPr>
            <w:r>
              <w:rPr>
                <w:noProof/>
                <w:lang w:val="en-AU" w:eastAsia="en-AU"/>
              </w:rPr>
              <w:drawing>
                <wp:inline distT="0" distB="0" distL="0" distR="0" wp14:anchorId="05CF54EC" wp14:editId="299DA21C">
                  <wp:extent cx="484180" cy="487045"/>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 16.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511034" cy="514058"/>
                          </a:xfrm>
                          <a:prstGeom prst="rect">
                            <a:avLst/>
                          </a:prstGeom>
                        </pic:spPr>
                      </pic:pic>
                    </a:graphicData>
                  </a:graphic>
                </wp:inline>
              </w:drawing>
            </w:r>
          </w:p>
        </w:tc>
        <w:tc>
          <w:tcPr>
            <w:tcW w:w="1179" w:type="dxa"/>
          </w:tcPr>
          <w:p w14:paraId="3428B4B6" w14:textId="77777777" w:rsidR="00E020BC" w:rsidRPr="00A805D6" w:rsidRDefault="00E020BC" w:rsidP="00EE4E89">
            <w:pPr>
              <w:rPr>
                <w:color w:val="auto"/>
              </w:rPr>
            </w:pPr>
          </w:p>
        </w:tc>
      </w:tr>
    </w:tbl>
    <w:p w14:paraId="37CE7B99" w14:textId="217D91F7" w:rsidR="00ED6E9C" w:rsidRDefault="00ED6E9C" w:rsidP="00ED6E9C">
      <w:pPr>
        <w:spacing w:before="240" w:line="240" w:lineRule="auto"/>
        <w:rPr>
          <w:rFonts w:eastAsia="Times New Roman"/>
        </w:rPr>
      </w:pPr>
      <w:r>
        <w:rPr>
          <w:rFonts w:eastAsia="Times New Roman"/>
        </w:rPr>
        <w:t>All investments reported below are</w:t>
      </w:r>
      <w:r w:rsidR="003E448D" w:rsidRPr="003E448D">
        <w:rPr>
          <w:rFonts w:eastAsia="Times New Roman"/>
        </w:rPr>
        <w:t xml:space="preserve"> delivering on work plans agreed with partners</w:t>
      </w:r>
      <w:r w:rsidR="003E448D">
        <w:rPr>
          <w:rFonts w:eastAsia="Times New Roman"/>
        </w:rPr>
        <w:t>,</w:t>
      </w:r>
      <w:r w:rsidR="003E448D" w:rsidRPr="003E448D">
        <w:rPr>
          <w:rFonts w:eastAsia="Times New Roman"/>
        </w:rPr>
        <w:t xml:space="preserve"> </w:t>
      </w:r>
      <w:r>
        <w:rPr>
          <w:rFonts w:eastAsia="Times New Roman"/>
        </w:rPr>
        <w:t>meet</w:t>
      </w:r>
      <w:r w:rsidR="00A10415">
        <w:rPr>
          <w:rFonts w:eastAsia="Times New Roman"/>
        </w:rPr>
        <w:t>ing or exceeding</w:t>
      </w:r>
      <w:r>
        <w:rPr>
          <w:rFonts w:eastAsia="Times New Roman"/>
        </w:rPr>
        <w:t xml:space="preserve"> performance expectations (see Annex B), </w:t>
      </w:r>
      <w:r w:rsidR="003E448D">
        <w:rPr>
          <w:rFonts w:eastAsia="Times New Roman"/>
        </w:rPr>
        <w:t xml:space="preserve">and </w:t>
      </w:r>
      <w:r>
        <w:rPr>
          <w:rFonts w:eastAsia="Times New Roman"/>
        </w:rPr>
        <w:t>have been assessed as effective (see Annex D).</w:t>
      </w:r>
    </w:p>
    <w:p w14:paraId="456791B1" w14:textId="576F9D7F" w:rsidR="00896335" w:rsidRDefault="003E448D" w:rsidP="00896335">
      <w:r>
        <w:t>These i</w:t>
      </w:r>
      <w:r w:rsidR="008511BE" w:rsidRPr="008511BE">
        <w:t>nvestments contribute</w:t>
      </w:r>
      <w:r w:rsidR="000F118E">
        <w:t>d</w:t>
      </w:r>
      <w:r w:rsidR="008511BE" w:rsidRPr="008511BE">
        <w:t xml:space="preserve"> to SDGs 1, 5, 8</w:t>
      </w:r>
      <w:r w:rsidR="00522DAD">
        <w:t>,</w:t>
      </w:r>
      <w:r w:rsidR="004B7833">
        <w:t xml:space="preserve"> </w:t>
      </w:r>
      <w:r w:rsidR="008511BE" w:rsidRPr="008511BE">
        <w:t>10</w:t>
      </w:r>
      <w:r w:rsidR="00522DAD">
        <w:t xml:space="preserve"> and </w:t>
      </w:r>
      <w:r w:rsidR="00D8749D">
        <w:t>16</w:t>
      </w:r>
      <w:r w:rsidR="008511BE" w:rsidRPr="008511BE">
        <w:t xml:space="preserve"> by undertaking effective measures to </w:t>
      </w:r>
      <w:r w:rsidR="003E4AC8">
        <w:t>eliminate</w:t>
      </w:r>
      <w:r w:rsidR="003E4AC8" w:rsidRPr="008511BE">
        <w:t xml:space="preserve"> </w:t>
      </w:r>
      <w:r w:rsidR="008511BE" w:rsidRPr="008511BE">
        <w:t>human trafficking</w:t>
      </w:r>
      <w:r w:rsidR="003E4AC8">
        <w:t xml:space="preserve"> </w:t>
      </w:r>
      <w:r w:rsidR="008511BE" w:rsidRPr="008511BE">
        <w:t>protect labour rights</w:t>
      </w:r>
      <w:r w:rsidR="003E4AC8">
        <w:t xml:space="preserve"> and </w:t>
      </w:r>
      <w:proofErr w:type="spellStart"/>
      <w:r w:rsidR="003E4AC8">
        <w:t>to</w:t>
      </w:r>
      <w:r w:rsidR="008511BE" w:rsidRPr="008511BE">
        <w:t>promot</w:t>
      </w:r>
      <w:r w:rsidR="003E4AC8">
        <w:t>e</w:t>
      </w:r>
      <w:proofErr w:type="spellEnd"/>
      <w:r w:rsidR="008511BE" w:rsidRPr="008511BE">
        <w:t xml:space="preserve"> safe and secure working environments for migrant workers</w:t>
      </w:r>
      <w:r w:rsidR="00173B67">
        <w:t xml:space="preserve"> and social, economic and political inclusion</w:t>
      </w:r>
      <w:r w:rsidR="000D603E">
        <w:t xml:space="preserve">. </w:t>
      </w:r>
      <w:r w:rsidR="00173B67">
        <w:t>I</w:t>
      </w:r>
      <w:r w:rsidR="00896335" w:rsidRPr="00896335">
        <w:t>nvestments suppor</w:t>
      </w:r>
      <w:r w:rsidR="007B7B8C">
        <w:t>t safe, fair and orderly migration for workers to</w:t>
      </w:r>
      <w:r w:rsidR="00896335" w:rsidRPr="00896335">
        <w:t xml:space="preserve"> seek </w:t>
      </w:r>
      <w:r>
        <w:t xml:space="preserve">cross-border </w:t>
      </w:r>
      <w:r w:rsidR="00896335" w:rsidRPr="00896335">
        <w:t>employment opportunities</w:t>
      </w:r>
      <w:r w:rsidR="0099334D">
        <w:t xml:space="preserve">. </w:t>
      </w:r>
      <w:r w:rsidR="00896335" w:rsidRPr="00896335">
        <w:t xml:space="preserve">Women’s full and effective participation and equal opportunities for leadership </w:t>
      </w:r>
      <w:r w:rsidR="003E4AC8">
        <w:t xml:space="preserve">in </w:t>
      </w:r>
      <w:r w:rsidR="00896335" w:rsidRPr="00896335">
        <w:t xml:space="preserve">public life </w:t>
      </w:r>
      <w:proofErr w:type="gramStart"/>
      <w:r w:rsidR="00896335" w:rsidRPr="00896335">
        <w:t>are promoted</w:t>
      </w:r>
      <w:proofErr w:type="gramEnd"/>
      <w:r w:rsidR="00896335" w:rsidRPr="00896335">
        <w:t xml:space="preserve"> through this work. </w:t>
      </w:r>
    </w:p>
    <w:p w14:paraId="1B9A9235" w14:textId="6FFA057F" w:rsidR="005648A4" w:rsidRPr="00F827FD" w:rsidRDefault="007A3136" w:rsidP="00F02ED6">
      <w:r>
        <w:t>P</w:t>
      </w:r>
      <w:r w:rsidR="002A74D2">
        <w:t xml:space="preserve">rograms under Objective 2 also work across multiple countries and </w:t>
      </w:r>
      <w:r w:rsidR="00AF5AD1">
        <w:t>different</w:t>
      </w:r>
      <w:r w:rsidR="002A74D2">
        <w:t xml:space="preserve"> </w:t>
      </w:r>
      <w:r w:rsidR="00AF5AD1">
        <w:t xml:space="preserve">operating </w:t>
      </w:r>
      <w:r w:rsidR="002A74D2">
        <w:t>context</w:t>
      </w:r>
      <w:r w:rsidR="00AF5AD1">
        <w:t>s</w:t>
      </w:r>
      <w:r w:rsidR="002A74D2">
        <w:t xml:space="preserve"> </w:t>
      </w:r>
      <w:r w:rsidR="00EC731B">
        <w:t>where</w:t>
      </w:r>
      <w:r w:rsidR="002A74D2">
        <w:t xml:space="preserve"> </w:t>
      </w:r>
      <w:r w:rsidR="00CD4053">
        <w:t xml:space="preserve">limited </w:t>
      </w:r>
      <w:r w:rsidR="002A74D2">
        <w:t>resourc</w:t>
      </w:r>
      <w:r w:rsidR="00CD4053">
        <w:t>es</w:t>
      </w:r>
      <w:r w:rsidR="00EC731B">
        <w:t xml:space="preserve"> and other</w:t>
      </w:r>
      <w:r w:rsidR="002A74D2">
        <w:t xml:space="preserve"> </w:t>
      </w:r>
      <w:r w:rsidR="007B7B8C">
        <w:t xml:space="preserve">challenges </w:t>
      </w:r>
      <w:r w:rsidR="002A74D2">
        <w:t xml:space="preserve">can </w:t>
      </w:r>
      <w:r w:rsidR="00D52D6D">
        <w:t>hamper</w:t>
      </w:r>
      <w:r w:rsidR="007B7B8C">
        <w:t xml:space="preserve"> </w:t>
      </w:r>
      <w:r w:rsidR="002A74D2">
        <w:t>program effectiveness</w:t>
      </w:r>
      <w:r>
        <w:t>, as noted above</w:t>
      </w:r>
      <w:r w:rsidR="002A74D2">
        <w:t>.</w:t>
      </w:r>
    </w:p>
    <w:p w14:paraId="5C02F54A" w14:textId="736D0A74" w:rsidR="0010223A" w:rsidRDefault="003E448D" w:rsidP="00F02ED6">
      <w:pPr>
        <w:rPr>
          <w:rFonts w:eastAsia="Times New Roman"/>
        </w:rPr>
      </w:pPr>
      <w:r>
        <w:rPr>
          <w:b/>
          <w:bCs/>
          <w:lang w:val="en-AU"/>
        </w:rPr>
        <w:t xml:space="preserve">ASEAN-Australia Counter </w:t>
      </w:r>
      <w:r w:rsidR="008762D1">
        <w:rPr>
          <w:b/>
          <w:bCs/>
          <w:lang w:val="en-AU"/>
        </w:rPr>
        <w:t>Trafficking</w:t>
      </w:r>
      <w:r w:rsidR="008979AF" w:rsidRPr="008270EF">
        <w:rPr>
          <w:rFonts w:eastAsia="Times New Roman"/>
          <w:b/>
          <w:bCs/>
        </w:rPr>
        <w:t xml:space="preserve"> </w:t>
      </w:r>
      <w:r w:rsidR="00883778">
        <w:rPr>
          <w:rFonts w:eastAsia="Times New Roman"/>
          <w:b/>
          <w:bCs/>
        </w:rPr>
        <w:t>(</w:t>
      </w:r>
      <w:r w:rsidR="00CD4053">
        <w:rPr>
          <w:rFonts w:eastAsia="Times New Roman"/>
          <w:b/>
          <w:bCs/>
        </w:rPr>
        <w:t>AACT), f</w:t>
      </w:r>
      <w:r>
        <w:rPr>
          <w:rFonts w:eastAsia="Times New Roman"/>
          <w:b/>
          <w:bCs/>
        </w:rPr>
        <w:t xml:space="preserve">ormerly </w:t>
      </w:r>
      <w:r w:rsidR="0010223A" w:rsidRPr="006E5C6C">
        <w:rPr>
          <w:rFonts w:eastAsia="Times New Roman"/>
          <w:b/>
        </w:rPr>
        <w:t>AAPTIP</w:t>
      </w:r>
      <w:r w:rsidR="00CD4053">
        <w:rPr>
          <w:rStyle w:val="FootnoteReference"/>
          <w:rFonts w:eastAsia="Times New Roman"/>
          <w:b/>
        </w:rPr>
        <w:footnoteReference w:id="19"/>
      </w:r>
    </w:p>
    <w:p w14:paraId="2CEAF844" w14:textId="104170CD" w:rsidR="00693C5A" w:rsidRPr="00693C5A" w:rsidRDefault="00D52D6D" w:rsidP="00693C5A">
      <w:pPr>
        <w:pStyle w:val="Bullet1Tightlessspacing"/>
        <w:numPr>
          <w:ilvl w:val="0"/>
          <w:numId w:val="0"/>
        </w:numPr>
        <w:rPr>
          <w:rFonts w:asciiTheme="minorHAnsi" w:eastAsiaTheme="minorHAnsi" w:hAnsiTheme="minorHAnsi" w:cstheme="minorBidi"/>
          <w:color w:val="495965" w:themeColor="text2"/>
          <w:lang w:val="en-GB" w:eastAsia="en-US"/>
        </w:rPr>
      </w:pPr>
      <w:r w:rsidRPr="00B16CB3">
        <w:rPr>
          <w:rFonts w:asciiTheme="minorHAnsi" w:eastAsiaTheme="minorHAnsi" w:hAnsiTheme="minorHAnsi" w:cstheme="minorBidi"/>
          <w:color w:val="495965" w:themeColor="text2"/>
          <w:lang w:val="en-GB" w:eastAsia="en-US"/>
        </w:rPr>
        <w:t>AACT</w:t>
      </w:r>
      <w:r>
        <w:rPr>
          <w:rFonts w:asciiTheme="minorHAnsi" w:eastAsiaTheme="minorHAnsi" w:hAnsiTheme="minorHAnsi" w:cstheme="minorBidi"/>
          <w:color w:val="495965" w:themeColor="text2"/>
          <w:lang w:val="en-GB" w:eastAsia="en-US"/>
        </w:rPr>
        <w:t xml:space="preserve"> comm</w:t>
      </w:r>
      <w:r w:rsidR="000B53DD">
        <w:rPr>
          <w:rFonts w:asciiTheme="minorHAnsi" w:eastAsiaTheme="minorHAnsi" w:hAnsiTheme="minorHAnsi" w:cstheme="minorBidi"/>
          <w:color w:val="495965" w:themeColor="text2"/>
          <w:lang w:val="en-GB" w:eastAsia="en-US"/>
        </w:rPr>
        <w:t>enced in November 2018</w:t>
      </w:r>
      <w:r w:rsidR="0099334D">
        <w:rPr>
          <w:rFonts w:asciiTheme="minorHAnsi" w:eastAsiaTheme="minorHAnsi" w:hAnsiTheme="minorHAnsi" w:cstheme="minorBidi"/>
          <w:color w:val="495965" w:themeColor="text2"/>
          <w:lang w:val="en-GB" w:eastAsia="en-US"/>
        </w:rPr>
        <w:t xml:space="preserve">. </w:t>
      </w:r>
      <w:r w:rsidR="000B53DD">
        <w:rPr>
          <w:rFonts w:asciiTheme="minorHAnsi" w:eastAsiaTheme="minorHAnsi" w:hAnsiTheme="minorHAnsi" w:cstheme="minorBidi"/>
          <w:color w:val="495965" w:themeColor="text2"/>
          <w:lang w:val="en-GB" w:eastAsia="en-US"/>
        </w:rPr>
        <w:t xml:space="preserve">There was a short </w:t>
      </w:r>
      <w:r>
        <w:rPr>
          <w:rFonts w:asciiTheme="minorHAnsi" w:eastAsiaTheme="minorHAnsi" w:hAnsiTheme="minorHAnsi" w:cstheme="minorBidi"/>
          <w:color w:val="495965" w:themeColor="text2"/>
          <w:lang w:val="en-GB" w:eastAsia="en-US"/>
        </w:rPr>
        <w:t xml:space="preserve">handover </w:t>
      </w:r>
      <w:r w:rsidR="000B53DD">
        <w:rPr>
          <w:rFonts w:asciiTheme="minorHAnsi" w:eastAsiaTheme="minorHAnsi" w:hAnsiTheme="minorHAnsi" w:cstheme="minorBidi"/>
          <w:color w:val="495965" w:themeColor="text2"/>
          <w:lang w:val="en-GB" w:eastAsia="en-US"/>
        </w:rPr>
        <w:t>before</w:t>
      </w:r>
      <w:r>
        <w:rPr>
          <w:rFonts w:asciiTheme="minorHAnsi" w:eastAsiaTheme="minorHAnsi" w:hAnsiTheme="minorHAnsi" w:cstheme="minorBidi"/>
          <w:color w:val="495965" w:themeColor="text2"/>
          <w:lang w:val="en-GB" w:eastAsia="en-US"/>
        </w:rPr>
        <w:t xml:space="preserve"> </w:t>
      </w:r>
      <w:r w:rsidR="00665FC9" w:rsidRPr="00665FC9">
        <w:rPr>
          <w:rFonts w:asciiTheme="minorHAnsi" w:eastAsiaTheme="minorHAnsi" w:hAnsiTheme="minorHAnsi" w:cstheme="minorBidi"/>
          <w:color w:val="495965" w:themeColor="text2"/>
          <w:lang w:val="en-GB" w:eastAsia="en-US"/>
        </w:rPr>
        <w:t>AAPTIP conclud</w:t>
      </w:r>
      <w:r w:rsidR="000B53DD">
        <w:rPr>
          <w:rFonts w:asciiTheme="minorHAnsi" w:eastAsiaTheme="minorHAnsi" w:hAnsiTheme="minorHAnsi" w:cstheme="minorBidi"/>
          <w:color w:val="495965" w:themeColor="text2"/>
          <w:lang w:val="en-GB" w:eastAsia="en-US"/>
        </w:rPr>
        <w:t>ed</w:t>
      </w:r>
      <w:r w:rsidR="00665FC9" w:rsidRPr="00665FC9">
        <w:rPr>
          <w:rFonts w:asciiTheme="minorHAnsi" w:eastAsiaTheme="minorHAnsi" w:hAnsiTheme="minorHAnsi" w:cstheme="minorBidi"/>
          <w:color w:val="495965" w:themeColor="text2"/>
          <w:lang w:val="en-GB" w:eastAsia="en-US"/>
        </w:rPr>
        <w:t xml:space="preserve"> in December 2018</w:t>
      </w:r>
      <w:r w:rsidR="0099334D">
        <w:rPr>
          <w:rFonts w:asciiTheme="minorHAnsi" w:eastAsiaTheme="minorHAnsi" w:hAnsiTheme="minorHAnsi" w:cstheme="minorBidi"/>
          <w:color w:val="495965" w:themeColor="text2"/>
          <w:lang w:val="en-GB" w:eastAsia="en-US"/>
        </w:rPr>
        <w:t xml:space="preserve">. </w:t>
      </w:r>
      <w:r w:rsidR="00DA0E9E">
        <w:rPr>
          <w:rFonts w:asciiTheme="minorHAnsi" w:eastAsiaTheme="minorHAnsi" w:hAnsiTheme="minorHAnsi" w:cstheme="minorBidi"/>
          <w:color w:val="495965" w:themeColor="text2"/>
          <w:lang w:val="en-GB" w:eastAsia="en-US"/>
        </w:rPr>
        <w:t>R</w:t>
      </w:r>
      <w:r w:rsidR="00EA77F2">
        <w:rPr>
          <w:rFonts w:asciiTheme="minorHAnsi" w:eastAsiaTheme="minorHAnsi" w:hAnsiTheme="minorHAnsi" w:cstheme="minorBidi"/>
          <w:color w:val="495965" w:themeColor="text2"/>
          <w:lang w:val="en-GB" w:eastAsia="en-US"/>
        </w:rPr>
        <w:t xml:space="preserve">egional </w:t>
      </w:r>
      <w:r w:rsidR="00CD4053">
        <w:rPr>
          <w:rFonts w:asciiTheme="minorHAnsi" w:eastAsiaTheme="minorHAnsi" w:hAnsiTheme="minorHAnsi" w:cstheme="minorBidi"/>
          <w:color w:val="495965" w:themeColor="text2"/>
          <w:lang w:val="en-GB" w:eastAsia="en-US"/>
        </w:rPr>
        <w:t xml:space="preserve">government </w:t>
      </w:r>
      <w:r w:rsidR="00EA77F2">
        <w:rPr>
          <w:rFonts w:asciiTheme="minorHAnsi" w:eastAsiaTheme="minorHAnsi" w:hAnsiTheme="minorHAnsi" w:cstheme="minorBidi"/>
          <w:color w:val="495965" w:themeColor="text2"/>
          <w:lang w:val="en-GB" w:eastAsia="en-US"/>
        </w:rPr>
        <w:t>counterparts</w:t>
      </w:r>
      <w:r w:rsidR="00DA0E9E">
        <w:rPr>
          <w:rFonts w:asciiTheme="minorHAnsi" w:eastAsiaTheme="minorHAnsi" w:hAnsiTheme="minorHAnsi" w:cstheme="minorBidi"/>
          <w:color w:val="495965" w:themeColor="text2"/>
          <w:lang w:val="en-GB" w:eastAsia="en-US"/>
        </w:rPr>
        <w:t xml:space="preserve"> appreciated the smooth transition</w:t>
      </w:r>
      <w:r w:rsidR="00EA77F2">
        <w:rPr>
          <w:rFonts w:asciiTheme="minorHAnsi" w:eastAsiaTheme="minorHAnsi" w:hAnsiTheme="minorHAnsi" w:cstheme="minorBidi"/>
          <w:color w:val="495965" w:themeColor="text2"/>
          <w:lang w:val="en-GB" w:eastAsia="en-US"/>
        </w:rPr>
        <w:t xml:space="preserve"> as we continue</w:t>
      </w:r>
      <w:r w:rsidR="00DA0E9E">
        <w:rPr>
          <w:rFonts w:asciiTheme="minorHAnsi" w:eastAsiaTheme="minorHAnsi" w:hAnsiTheme="minorHAnsi" w:cstheme="minorBidi"/>
          <w:color w:val="495965" w:themeColor="text2"/>
          <w:lang w:val="en-GB" w:eastAsia="en-US"/>
        </w:rPr>
        <w:t>d to build on</w:t>
      </w:r>
      <w:r w:rsidR="00665FC9" w:rsidRPr="00665FC9">
        <w:rPr>
          <w:rFonts w:asciiTheme="minorHAnsi" w:eastAsiaTheme="minorHAnsi" w:hAnsiTheme="minorHAnsi" w:cstheme="minorBidi"/>
          <w:color w:val="495965" w:themeColor="text2"/>
          <w:lang w:val="en-GB" w:eastAsia="en-US"/>
        </w:rPr>
        <w:t xml:space="preserve"> </w:t>
      </w:r>
      <w:r w:rsidR="0005422A">
        <w:rPr>
          <w:rFonts w:asciiTheme="minorHAnsi" w:eastAsiaTheme="minorHAnsi" w:hAnsiTheme="minorHAnsi" w:cstheme="minorBidi"/>
          <w:color w:val="495965" w:themeColor="text2"/>
          <w:lang w:val="en-GB" w:eastAsia="en-US"/>
        </w:rPr>
        <w:t>our</w:t>
      </w:r>
      <w:r w:rsidR="0005422A" w:rsidRPr="00665FC9">
        <w:rPr>
          <w:rFonts w:asciiTheme="minorHAnsi" w:eastAsiaTheme="minorHAnsi" w:hAnsiTheme="minorHAnsi" w:cstheme="minorBidi"/>
          <w:color w:val="495965" w:themeColor="text2"/>
          <w:lang w:val="en-GB" w:eastAsia="en-US"/>
        </w:rPr>
        <w:t xml:space="preserve"> </w:t>
      </w:r>
      <w:r>
        <w:rPr>
          <w:rFonts w:asciiTheme="minorHAnsi" w:eastAsiaTheme="minorHAnsi" w:hAnsiTheme="minorHAnsi" w:cstheme="minorBidi"/>
          <w:color w:val="495965" w:themeColor="text2"/>
          <w:lang w:val="en-GB" w:eastAsia="en-US"/>
        </w:rPr>
        <w:t>15</w:t>
      </w:r>
      <w:r w:rsidR="00DA0E9E">
        <w:rPr>
          <w:rFonts w:asciiTheme="minorHAnsi" w:eastAsiaTheme="minorHAnsi" w:hAnsiTheme="minorHAnsi" w:cstheme="minorBidi"/>
          <w:color w:val="495965" w:themeColor="text2"/>
          <w:lang w:val="en-GB" w:eastAsia="en-US"/>
        </w:rPr>
        <w:t>-</w:t>
      </w:r>
      <w:r>
        <w:rPr>
          <w:rFonts w:asciiTheme="minorHAnsi" w:eastAsiaTheme="minorHAnsi" w:hAnsiTheme="minorHAnsi" w:cstheme="minorBidi"/>
          <w:color w:val="495965" w:themeColor="text2"/>
          <w:lang w:val="en-GB" w:eastAsia="en-US"/>
        </w:rPr>
        <w:t>year</w:t>
      </w:r>
      <w:r w:rsidR="00DC693B" w:rsidRPr="00665FC9">
        <w:rPr>
          <w:rFonts w:asciiTheme="minorHAnsi" w:eastAsiaTheme="minorHAnsi" w:hAnsiTheme="minorHAnsi" w:cstheme="minorBidi"/>
          <w:color w:val="495965" w:themeColor="text2"/>
          <w:lang w:val="en-GB" w:eastAsia="en-US"/>
        </w:rPr>
        <w:t xml:space="preserve"> </w:t>
      </w:r>
      <w:r>
        <w:rPr>
          <w:rFonts w:asciiTheme="minorHAnsi" w:eastAsiaTheme="minorHAnsi" w:hAnsiTheme="minorHAnsi" w:cstheme="minorBidi"/>
          <w:color w:val="495965" w:themeColor="text2"/>
          <w:lang w:val="en-GB" w:eastAsia="en-US"/>
        </w:rPr>
        <w:t>partnership</w:t>
      </w:r>
      <w:r w:rsidR="00EA77F2">
        <w:rPr>
          <w:rFonts w:asciiTheme="minorHAnsi" w:eastAsiaTheme="minorHAnsi" w:hAnsiTheme="minorHAnsi" w:cstheme="minorBidi"/>
          <w:color w:val="495965" w:themeColor="text2"/>
          <w:lang w:val="en-GB" w:eastAsia="en-US"/>
        </w:rPr>
        <w:t xml:space="preserve"> with minimal disruption</w:t>
      </w:r>
      <w:r w:rsidR="0099334D">
        <w:rPr>
          <w:rFonts w:asciiTheme="minorHAnsi" w:eastAsiaTheme="minorHAnsi" w:hAnsiTheme="minorHAnsi" w:cstheme="minorBidi"/>
          <w:color w:val="495965" w:themeColor="text2"/>
          <w:lang w:val="en-GB" w:eastAsia="en-US"/>
        </w:rPr>
        <w:t xml:space="preserve">. </w:t>
      </w:r>
    </w:p>
    <w:p w14:paraId="0C7DE1C5" w14:textId="63A5C6DB" w:rsidR="00806F2B" w:rsidRDefault="00342A2D" w:rsidP="00753DBC">
      <w:pPr>
        <w:pStyle w:val="Bullet1Tightlessspacing"/>
        <w:numPr>
          <w:ilvl w:val="0"/>
          <w:numId w:val="0"/>
        </w:numPr>
        <w:rPr>
          <w:rFonts w:asciiTheme="minorHAnsi" w:eastAsiaTheme="minorHAnsi" w:hAnsiTheme="minorHAnsi" w:cstheme="minorBidi"/>
          <w:color w:val="495965" w:themeColor="text2"/>
          <w:lang w:val="en-GB" w:eastAsia="en-US"/>
        </w:rPr>
      </w:pPr>
      <w:r>
        <w:rPr>
          <w:rFonts w:asciiTheme="minorHAnsi" w:eastAsiaTheme="minorHAnsi" w:hAnsiTheme="minorHAnsi" w:cstheme="minorBidi"/>
          <w:color w:val="495965" w:themeColor="text2"/>
          <w:lang w:val="en-GB" w:eastAsia="en-US"/>
        </w:rPr>
        <w:t xml:space="preserve">From January-December </w:t>
      </w:r>
      <w:r w:rsidR="00F871BC">
        <w:rPr>
          <w:rFonts w:asciiTheme="minorHAnsi" w:eastAsiaTheme="minorHAnsi" w:hAnsiTheme="minorHAnsi" w:cstheme="minorBidi"/>
          <w:color w:val="495965" w:themeColor="text2"/>
          <w:lang w:val="en-GB" w:eastAsia="en-US"/>
        </w:rPr>
        <w:t xml:space="preserve">2018, </w:t>
      </w:r>
      <w:r w:rsidR="003F1B1B">
        <w:rPr>
          <w:rFonts w:asciiTheme="minorHAnsi" w:eastAsiaTheme="minorHAnsi" w:hAnsiTheme="minorHAnsi" w:cstheme="minorBidi"/>
          <w:color w:val="495965" w:themeColor="text2"/>
          <w:lang w:val="en-GB" w:eastAsia="en-US"/>
        </w:rPr>
        <w:t xml:space="preserve">AAPTIP supported </w:t>
      </w:r>
      <w:r w:rsidR="003F1B1B" w:rsidRPr="003F1B1B">
        <w:rPr>
          <w:rFonts w:asciiTheme="minorHAnsi" w:eastAsiaTheme="minorHAnsi" w:hAnsiTheme="minorHAnsi" w:cstheme="minorBidi"/>
          <w:color w:val="495965" w:themeColor="text2"/>
          <w:lang w:val="en-GB" w:eastAsia="en-US"/>
        </w:rPr>
        <w:t xml:space="preserve">50 TIP case </w:t>
      </w:r>
      <w:r w:rsidR="00B07CAB">
        <w:rPr>
          <w:rFonts w:asciiTheme="minorHAnsi" w:eastAsiaTheme="minorHAnsi" w:hAnsiTheme="minorHAnsi" w:cstheme="minorBidi"/>
          <w:color w:val="495965" w:themeColor="text2"/>
          <w:lang w:val="en-GB" w:eastAsia="en-US"/>
        </w:rPr>
        <w:t xml:space="preserve">investigations </w:t>
      </w:r>
      <w:r w:rsidR="003F1B1B" w:rsidRPr="003F1B1B">
        <w:rPr>
          <w:rFonts w:asciiTheme="minorHAnsi" w:eastAsiaTheme="minorHAnsi" w:hAnsiTheme="minorHAnsi" w:cstheme="minorBidi"/>
          <w:color w:val="495965" w:themeColor="text2"/>
          <w:lang w:val="en-GB" w:eastAsia="en-US"/>
        </w:rPr>
        <w:t>involving seven countries</w:t>
      </w:r>
      <w:r w:rsidR="0099334D">
        <w:rPr>
          <w:rFonts w:asciiTheme="minorHAnsi" w:eastAsiaTheme="minorHAnsi" w:hAnsiTheme="minorHAnsi" w:cstheme="minorBidi"/>
          <w:color w:val="495965" w:themeColor="text2"/>
          <w:lang w:val="en-GB" w:eastAsia="en-US"/>
        </w:rPr>
        <w:t xml:space="preserve">. </w:t>
      </w:r>
      <w:r w:rsidR="000D33A7">
        <w:rPr>
          <w:rFonts w:asciiTheme="minorHAnsi" w:eastAsiaTheme="minorHAnsi" w:hAnsiTheme="minorHAnsi" w:cstheme="minorBidi"/>
          <w:color w:val="495965" w:themeColor="text2"/>
          <w:lang w:val="en-GB" w:eastAsia="en-US"/>
        </w:rPr>
        <w:t xml:space="preserve">Of the cases assessed, 63 per cent </w:t>
      </w:r>
      <w:proofErr w:type="gramStart"/>
      <w:r w:rsidR="000D33A7">
        <w:rPr>
          <w:rFonts w:asciiTheme="minorHAnsi" w:eastAsiaTheme="minorHAnsi" w:hAnsiTheme="minorHAnsi" w:cstheme="minorBidi"/>
          <w:color w:val="495965" w:themeColor="text2"/>
          <w:lang w:val="en-GB" w:eastAsia="en-US"/>
        </w:rPr>
        <w:t>were found</w:t>
      </w:r>
      <w:proofErr w:type="gramEnd"/>
      <w:r w:rsidR="000D33A7">
        <w:rPr>
          <w:rFonts w:asciiTheme="minorHAnsi" w:eastAsiaTheme="minorHAnsi" w:hAnsiTheme="minorHAnsi" w:cstheme="minorBidi"/>
          <w:color w:val="495965" w:themeColor="text2"/>
          <w:lang w:val="en-GB" w:eastAsia="en-US"/>
        </w:rPr>
        <w:t xml:space="preserve"> to be cooperating</w:t>
      </w:r>
      <w:r w:rsidR="00E8250D">
        <w:rPr>
          <w:rFonts w:asciiTheme="minorHAnsi" w:eastAsiaTheme="minorHAnsi" w:hAnsiTheme="minorHAnsi" w:cstheme="minorBidi"/>
          <w:color w:val="495965" w:themeColor="text2"/>
          <w:lang w:val="en-GB" w:eastAsia="en-US"/>
        </w:rPr>
        <w:t xml:space="preserve"> with counterparts</w:t>
      </w:r>
      <w:r w:rsidR="000D33A7">
        <w:rPr>
          <w:rFonts w:asciiTheme="minorHAnsi" w:eastAsiaTheme="minorHAnsi" w:hAnsiTheme="minorHAnsi" w:cstheme="minorBidi"/>
          <w:color w:val="495965" w:themeColor="text2"/>
          <w:lang w:val="en-GB" w:eastAsia="en-US"/>
        </w:rPr>
        <w:t xml:space="preserve"> </w:t>
      </w:r>
      <w:r w:rsidR="00753DBC">
        <w:rPr>
          <w:rFonts w:asciiTheme="minorHAnsi" w:eastAsiaTheme="minorHAnsi" w:hAnsiTheme="minorHAnsi" w:cstheme="minorBidi"/>
          <w:color w:val="495965" w:themeColor="text2"/>
          <w:lang w:val="en-GB" w:eastAsia="en-US"/>
        </w:rPr>
        <w:t>on</w:t>
      </w:r>
      <w:r w:rsidR="000D33A7">
        <w:rPr>
          <w:rFonts w:asciiTheme="minorHAnsi" w:eastAsiaTheme="minorHAnsi" w:hAnsiTheme="minorHAnsi" w:cstheme="minorBidi"/>
          <w:color w:val="495965" w:themeColor="text2"/>
          <w:lang w:val="en-GB" w:eastAsia="en-US"/>
        </w:rPr>
        <w:t xml:space="preserve"> the investigation</w:t>
      </w:r>
      <w:r w:rsidR="0099334D">
        <w:rPr>
          <w:rFonts w:asciiTheme="minorHAnsi" w:eastAsiaTheme="minorHAnsi" w:hAnsiTheme="minorHAnsi" w:cstheme="minorBidi"/>
          <w:color w:val="495965" w:themeColor="text2"/>
          <w:lang w:val="en-GB" w:eastAsia="en-US"/>
        </w:rPr>
        <w:t xml:space="preserve">. </w:t>
      </w:r>
      <w:r>
        <w:rPr>
          <w:rFonts w:asciiTheme="minorHAnsi" w:eastAsiaTheme="minorHAnsi" w:hAnsiTheme="minorHAnsi" w:cstheme="minorBidi"/>
          <w:color w:val="495965" w:themeColor="text2"/>
          <w:lang w:val="en-GB" w:eastAsia="en-US"/>
        </w:rPr>
        <w:t xml:space="preserve">In these cases, </w:t>
      </w:r>
      <w:r w:rsidR="00B07CAB">
        <w:rPr>
          <w:rFonts w:asciiTheme="minorHAnsi" w:eastAsiaTheme="minorHAnsi" w:hAnsiTheme="minorHAnsi" w:cstheme="minorBidi"/>
          <w:color w:val="495965" w:themeColor="text2"/>
          <w:lang w:val="en-GB" w:eastAsia="en-US"/>
        </w:rPr>
        <w:t>investigations led to the</w:t>
      </w:r>
      <w:r w:rsidR="00B07CAB" w:rsidRPr="00B07CAB">
        <w:rPr>
          <w:rFonts w:asciiTheme="minorHAnsi" w:eastAsiaTheme="minorHAnsi" w:hAnsiTheme="minorHAnsi" w:cstheme="minorBidi"/>
          <w:color w:val="495965" w:themeColor="text2"/>
          <w:lang w:val="en-GB" w:eastAsia="en-US"/>
        </w:rPr>
        <w:t xml:space="preserve"> identification of more than 66 possible trafficking victims in Thailand and Malaysia</w:t>
      </w:r>
      <w:proofErr w:type="gramStart"/>
      <w:r w:rsidR="0099334D">
        <w:rPr>
          <w:rFonts w:asciiTheme="minorHAnsi" w:eastAsiaTheme="minorHAnsi" w:hAnsiTheme="minorHAnsi" w:cstheme="minorBidi"/>
          <w:color w:val="495965" w:themeColor="text2"/>
          <w:lang w:val="en-GB" w:eastAsia="en-US"/>
        </w:rPr>
        <w:t>.</w:t>
      </w:r>
      <w:r>
        <w:rPr>
          <w:rFonts w:asciiTheme="minorHAnsi" w:eastAsiaTheme="minorHAnsi" w:hAnsiTheme="minorHAnsi" w:cstheme="minorBidi"/>
          <w:color w:val="495965" w:themeColor="text2"/>
          <w:lang w:val="en-GB" w:eastAsia="en-US"/>
        </w:rPr>
        <w:t>.</w:t>
      </w:r>
      <w:proofErr w:type="gramEnd"/>
      <w:r>
        <w:rPr>
          <w:rFonts w:asciiTheme="minorHAnsi" w:eastAsiaTheme="minorHAnsi" w:hAnsiTheme="minorHAnsi" w:cstheme="minorBidi"/>
          <w:color w:val="495965" w:themeColor="text2"/>
          <w:lang w:val="en-GB" w:eastAsia="en-US"/>
        </w:rPr>
        <w:t xml:space="preserve"> AAPTIP-delivered training programs,</w:t>
      </w:r>
      <w:r w:rsidR="00D52D6D">
        <w:rPr>
          <w:rFonts w:asciiTheme="minorHAnsi" w:eastAsiaTheme="minorHAnsi" w:hAnsiTheme="minorHAnsi" w:cstheme="minorBidi"/>
          <w:color w:val="495965" w:themeColor="text2"/>
          <w:lang w:val="en-GB" w:eastAsia="en-US"/>
        </w:rPr>
        <w:t xml:space="preserve"> impr</w:t>
      </w:r>
      <w:r w:rsidR="00B16CB3">
        <w:rPr>
          <w:rFonts w:asciiTheme="minorHAnsi" w:eastAsiaTheme="minorHAnsi" w:hAnsiTheme="minorHAnsi" w:cstheme="minorBidi"/>
          <w:color w:val="495965" w:themeColor="text2"/>
          <w:lang w:val="en-GB" w:eastAsia="en-US"/>
        </w:rPr>
        <w:t>o</w:t>
      </w:r>
      <w:r w:rsidR="00D52D6D">
        <w:rPr>
          <w:rFonts w:asciiTheme="minorHAnsi" w:eastAsiaTheme="minorHAnsi" w:hAnsiTheme="minorHAnsi" w:cstheme="minorBidi"/>
          <w:color w:val="495965" w:themeColor="text2"/>
          <w:lang w:val="en-GB" w:eastAsia="en-US"/>
        </w:rPr>
        <w:t>v</w:t>
      </w:r>
      <w:r w:rsidR="00B16CB3">
        <w:rPr>
          <w:rFonts w:asciiTheme="minorHAnsi" w:eastAsiaTheme="minorHAnsi" w:hAnsiTheme="minorHAnsi" w:cstheme="minorBidi"/>
          <w:color w:val="495965" w:themeColor="text2"/>
          <w:lang w:val="en-GB" w:eastAsia="en-US"/>
        </w:rPr>
        <w:t>ed</w:t>
      </w:r>
      <w:r w:rsidR="00753DBC">
        <w:rPr>
          <w:rFonts w:asciiTheme="minorHAnsi" w:eastAsiaTheme="minorHAnsi" w:hAnsiTheme="minorHAnsi" w:cstheme="minorBidi"/>
          <w:color w:val="495965" w:themeColor="text2"/>
          <w:lang w:val="en-GB" w:eastAsia="en-US"/>
        </w:rPr>
        <w:t xml:space="preserve"> skills and knowledge</w:t>
      </w:r>
      <w:r w:rsidR="00E62C5D">
        <w:rPr>
          <w:rFonts w:asciiTheme="minorHAnsi" w:eastAsiaTheme="minorHAnsi" w:hAnsiTheme="minorHAnsi" w:cstheme="minorBidi"/>
          <w:color w:val="495965" w:themeColor="text2"/>
          <w:lang w:val="en-GB" w:eastAsia="en-US"/>
        </w:rPr>
        <w:t xml:space="preserve"> of participants</w:t>
      </w:r>
      <w:r w:rsidR="00753DBC">
        <w:rPr>
          <w:rFonts w:asciiTheme="minorHAnsi" w:eastAsiaTheme="minorHAnsi" w:hAnsiTheme="minorHAnsi" w:cstheme="minorBidi"/>
          <w:color w:val="495965" w:themeColor="text2"/>
          <w:lang w:val="en-GB" w:eastAsia="en-US"/>
        </w:rPr>
        <w:t xml:space="preserve">: </w:t>
      </w:r>
      <w:r w:rsidR="00CA7D18">
        <w:rPr>
          <w:rFonts w:asciiTheme="minorHAnsi" w:eastAsiaTheme="minorHAnsi" w:hAnsiTheme="minorHAnsi" w:cstheme="minorBidi"/>
          <w:color w:val="495965" w:themeColor="text2"/>
          <w:lang w:val="en-GB" w:eastAsia="en-US"/>
        </w:rPr>
        <w:t>over 8</w:t>
      </w:r>
      <w:r w:rsidR="00CA7D18" w:rsidRPr="00436ED7">
        <w:rPr>
          <w:rFonts w:asciiTheme="minorHAnsi" w:eastAsiaTheme="minorHAnsi" w:hAnsiTheme="minorHAnsi" w:cstheme="minorBidi"/>
          <w:color w:val="495965" w:themeColor="text2"/>
          <w:lang w:val="en-GB" w:eastAsia="en-US"/>
        </w:rPr>
        <w:t>0</w:t>
      </w:r>
      <w:r w:rsidR="00D52D6D">
        <w:rPr>
          <w:rFonts w:asciiTheme="minorHAnsi" w:eastAsiaTheme="minorHAnsi" w:hAnsiTheme="minorHAnsi" w:cstheme="minorBidi"/>
          <w:color w:val="495965" w:themeColor="text2"/>
          <w:lang w:val="en-GB" w:eastAsia="en-US"/>
        </w:rPr>
        <w:t xml:space="preserve"> per cent</w:t>
      </w:r>
      <w:r w:rsidR="00CA7D18" w:rsidRPr="00436ED7">
        <w:rPr>
          <w:rFonts w:asciiTheme="minorHAnsi" w:eastAsiaTheme="minorHAnsi" w:hAnsiTheme="minorHAnsi" w:cstheme="minorBidi"/>
          <w:color w:val="495965" w:themeColor="text2"/>
          <w:lang w:val="en-GB" w:eastAsia="en-US"/>
        </w:rPr>
        <w:t xml:space="preserve"> of traced participants </w:t>
      </w:r>
      <w:r w:rsidR="00EA77F2">
        <w:rPr>
          <w:rFonts w:asciiTheme="minorHAnsi" w:eastAsiaTheme="minorHAnsi" w:hAnsiTheme="minorHAnsi" w:cstheme="minorBidi"/>
          <w:color w:val="495965" w:themeColor="text2"/>
          <w:lang w:val="en-GB" w:eastAsia="en-US"/>
        </w:rPr>
        <w:t>reported they could</w:t>
      </w:r>
      <w:r w:rsidR="00CA7D18" w:rsidRPr="00436ED7">
        <w:rPr>
          <w:rFonts w:asciiTheme="minorHAnsi" w:eastAsiaTheme="minorHAnsi" w:hAnsiTheme="minorHAnsi" w:cstheme="minorBidi"/>
          <w:color w:val="495965" w:themeColor="text2"/>
          <w:lang w:val="en-GB" w:eastAsia="en-US"/>
        </w:rPr>
        <w:t xml:space="preserve"> apply new skills to their work</w:t>
      </w:r>
      <w:r w:rsidR="000D603E">
        <w:rPr>
          <w:rFonts w:asciiTheme="minorHAnsi" w:eastAsiaTheme="minorHAnsi" w:hAnsiTheme="minorHAnsi" w:cstheme="minorBidi"/>
          <w:color w:val="495965" w:themeColor="text2"/>
          <w:lang w:val="en-GB" w:eastAsia="en-US"/>
        </w:rPr>
        <w:t xml:space="preserve">. </w:t>
      </w:r>
      <w:r w:rsidR="00EE1997">
        <w:rPr>
          <w:rFonts w:asciiTheme="minorHAnsi" w:eastAsiaTheme="minorHAnsi" w:hAnsiTheme="minorHAnsi" w:cstheme="minorBidi"/>
          <w:color w:val="495965" w:themeColor="text2"/>
          <w:lang w:val="en-GB" w:eastAsia="en-US"/>
        </w:rPr>
        <w:t xml:space="preserve">Improvements were found among </w:t>
      </w:r>
      <w:r w:rsidR="00D612B1">
        <w:rPr>
          <w:rFonts w:asciiTheme="minorHAnsi" w:eastAsiaTheme="minorHAnsi" w:hAnsiTheme="minorHAnsi" w:cstheme="minorBidi"/>
          <w:color w:val="495965" w:themeColor="text2"/>
          <w:lang w:val="en-GB" w:eastAsia="en-US"/>
        </w:rPr>
        <w:t>i</w:t>
      </w:r>
      <w:r w:rsidR="00693C5A" w:rsidRPr="00693C5A">
        <w:rPr>
          <w:rFonts w:asciiTheme="minorHAnsi" w:eastAsiaTheme="minorHAnsi" w:hAnsiTheme="minorHAnsi" w:cstheme="minorBidi"/>
          <w:color w:val="495965" w:themeColor="text2"/>
          <w:lang w:val="en-GB" w:eastAsia="en-US"/>
        </w:rPr>
        <w:t xml:space="preserve">nvestigators </w:t>
      </w:r>
      <w:r w:rsidR="00FC2E0D">
        <w:rPr>
          <w:rFonts w:asciiTheme="minorHAnsi" w:eastAsiaTheme="minorHAnsi" w:hAnsiTheme="minorHAnsi" w:cstheme="minorBidi"/>
          <w:color w:val="495965" w:themeColor="text2"/>
          <w:lang w:val="en-GB" w:eastAsia="en-US"/>
        </w:rPr>
        <w:t>(</w:t>
      </w:r>
      <w:r w:rsidR="00EA77F2">
        <w:rPr>
          <w:rFonts w:asciiTheme="minorHAnsi" w:eastAsiaTheme="minorHAnsi" w:hAnsiTheme="minorHAnsi" w:cstheme="minorBidi"/>
          <w:color w:val="495965" w:themeColor="text2"/>
          <w:lang w:val="en-GB" w:eastAsia="en-US"/>
        </w:rPr>
        <w:t xml:space="preserve">including </w:t>
      </w:r>
      <w:r w:rsidR="00753DBC">
        <w:rPr>
          <w:rFonts w:asciiTheme="minorHAnsi" w:eastAsiaTheme="minorHAnsi" w:hAnsiTheme="minorHAnsi" w:cstheme="minorBidi"/>
          <w:color w:val="495965" w:themeColor="text2"/>
          <w:lang w:val="en-GB" w:eastAsia="en-US"/>
        </w:rPr>
        <w:t>female police</w:t>
      </w:r>
      <w:r w:rsidR="00FC2E0D">
        <w:rPr>
          <w:rFonts w:asciiTheme="minorHAnsi" w:eastAsiaTheme="minorHAnsi" w:hAnsiTheme="minorHAnsi" w:cstheme="minorBidi"/>
          <w:color w:val="495965" w:themeColor="text2"/>
          <w:lang w:val="en-GB" w:eastAsia="en-US"/>
        </w:rPr>
        <w:t>),</w:t>
      </w:r>
      <w:r w:rsidR="00693C5A" w:rsidRPr="00693C5A">
        <w:rPr>
          <w:rFonts w:asciiTheme="minorHAnsi" w:eastAsiaTheme="minorHAnsi" w:hAnsiTheme="minorHAnsi" w:cstheme="minorBidi"/>
          <w:color w:val="495965" w:themeColor="text2"/>
          <w:lang w:val="en-GB" w:eastAsia="en-US"/>
        </w:rPr>
        <w:t xml:space="preserve"> </w:t>
      </w:r>
      <w:r w:rsidR="008902B0" w:rsidRPr="00693C5A">
        <w:rPr>
          <w:rFonts w:asciiTheme="minorHAnsi" w:eastAsiaTheme="minorHAnsi" w:hAnsiTheme="minorHAnsi" w:cstheme="minorBidi"/>
          <w:color w:val="495965" w:themeColor="text2"/>
          <w:lang w:val="en-GB" w:eastAsia="en-US"/>
        </w:rPr>
        <w:t>prosecut</w:t>
      </w:r>
      <w:r w:rsidR="008902B0">
        <w:rPr>
          <w:rFonts w:asciiTheme="minorHAnsi" w:eastAsiaTheme="minorHAnsi" w:hAnsiTheme="minorHAnsi" w:cstheme="minorBidi"/>
          <w:color w:val="495965" w:themeColor="text2"/>
          <w:lang w:val="en-GB" w:eastAsia="en-US"/>
        </w:rPr>
        <w:t>ors and the judiciary</w:t>
      </w:r>
      <w:r w:rsidR="00921FBC">
        <w:rPr>
          <w:rFonts w:asciiTheme="minorHAnsi" w:eastAsiaTheme="minorHAnsi" w:hAnsiTheme="minorHAnsi" w:cstheme="minorBidi"/>
          <w:color w:val="495965" w:themeColor="text2"/>
          <w:lang w:val="en-GB" w:eastAsia="en-US"/>
        </w:rPr>
        <w:t xml:space="preserve">, </w:t>
      </w:r>
      <w:r w:rsidR="00EE1997">
        <w:rPr>
          <w:rFonts w:asciiTheme="minorHAnsi" w:eastAsiaTheme="minorHAnsi" w:hAnsiTheme="minorHAnsi" w:cstheme="minorBidi"/>
          <w:color w:val="495965" w:themeColor="text2"/>
          <w:lang w:val="en-GB" w:eastAsia="en-US"/>
        </w:rPr>
        <w:t>where</w:t>
      </w:r>
      <w:r w:rsidR="00693C5A" w:rsidRPr="00693C5A">
        <w:rPr>
          <w:rFonts w:asciiTheme="minorHAnsi" w:eastAsiaTheme="minorHAnsi" w:hAnsiTheme="minorHAnsi" w:cstheme="minorBidi"/>
          <w:color w:val="495965" w:themeColor="text2"/>
          <w:lang w:val="en-GB" w:eastAsia="en-US"/>
        </w:rPr>
        <w:t xml:space="preserve"> </w:t>
      </w:r>
      <w:r w:rsidR="00EE1997">
        <w:rPr>
          <w:rFonts w:asciiTheme="minorHAnsi" w:eastAsiaTheme="minorHAnsi" w:hAnsiTheme="minorHAnsi" w:cstheme="minorBidi"/>
          <w:color w:val="495965" w:themeColor="text2"/>
          <w:lang w:val="en-GB" w:eastAsia="en-US"/>
        </w:rPr>
        <w:t xml:space="preserve">greater </w:t>
      </w:r>
      <w:r w:rsidR="00693C5A" w:rsidRPr="00693C5A">
        <w:rPr>
          <w:rFonts w:asciiTheme="minorHAnsi" w:eastAsiaTheme="minorHAnsi" w:hAnsiTheme="minorHAnsi" w:cstheme="minorBidi"/>
          <w:color w:val="495965" w:themeColor="text2"/>
          <w:lang w:val="en-GB" w:eastAsia="en-US"/>
        </w:rPr>
        <w:t>cooperation improve</w:t>
      </w:r>
      <w:r w:rsidR="00EE1997">
        <w:rPr>
          <w:rFonts w:asciiTheme="minorHAnsi" w:eastAsiaTheme="minorHAnsi" w:hAnsiTheme="minorHAnsi" w:cstheme="minorBidi"/>
          <w:color w:val="495965" w:themeColor="text2"/>
          <w:lang w:val="en-GB" w:eastAsia="en-US"/>
        </w:rPr>
        <w:t>d</w:t>
      </w:r>
      <w:r w:rsidR="00693C5A" w:rsidRPr="00693C5A">
        <w:rPr>
          <w:rFonts w:asciiTheme="minorHAnsi" w:eastAsiaTheme="minorHAnsi" w:hAnsiTheme="minorHAnsi" w:cstheme="minorBidi"/>
          <w:color w:val="495965" w:themeColor="text2"/>
          <w:lang w:val="en-GB" w:eastAsia="en-US"/>
        </w:rPr>
        <w:t xml:space="preserve"> treatment of victims by the judiciary</w:t>
      </w:r>
      <w:r w:rsidR="0099334D">
        <w:rPr>
          <w:rFonts w:asciiTheme="minorHAnsi" w:eastAsiaTheme="minorHAnsi" w:hAnsiTheme="minorHAnsi" w:cstheme="minorBidi"/>
          <w:color w:val="495965" w:themeColor="text2"/>
          <w:lang w:val="en-GB" w:eastAsia="en-US"/>
        </w:rPr>
        <w:t xml:space="preserve">. </w:t>
      </w:r>
      <w:r w:rsidR="00693C5A" w:rsidRPr="00693C5A">
        <w:rPr>
          <w:rFonts w:asciiTheme="minorHAnsi" w:eastAsiaTheme="minorHAnsi" w:hAnsiTheme="minorHAnsi" w:cstheme="minorBidi"/>
          <w:color w:val="495965" w:themeColor="text2"/>
          <w:lang w:val="en-GB" w:eastAsia="en-US"/>
        </w:rPr>
        <w:t xml:space="preserve">There is evidence that case flow management </w:t>
      </w:r>
      <w:r w:rsidR="00D20A3B">
        <w:rPr>
          <w:rFonts w:asciiTheme="minorHAnsi" w:eastAsiaTheme="minorHAnsi" w:hAnsiTheme="minorHAnsi" w:cstheme="minorBidi"/>
          <w:color w:val="495965" w:themeColor="text2"/>
          <w:lang w:val="en-GB" w:eastAsia="en-US"/>
        </w:rPr>
        <w:t xml:space="preserve">by individual judges </w:t>
      </w:r>
      <w:r w:rsidR="00693C5A" w:rsidRPr="00693C5A">
        <w:rPr>
          <w:rFonts w:asciiTheme="minorHAnsi" w:eastAsiaTheme="minorHAnsi" w:hAnsiTheme="minorHAnsi" w:cstheme="minorBidi"/>
          <w:color w:val="495965" w:themeColor="text2"/>
          <w:lang w:val="en-GB" w:eastAsia="en-US"/>
        </w:rPr>
        <w:t xml:space="preserve">has improved, although systemic changes are yet to be </w:t>
      </w:r>
      <w:r w:rsidR="00B16CB3">
        <w:rPr>
          <w:rFonts w:asciiTheme="minorHAnsi" w:eastAsiaTheme="minorHAnsi" w:hAnsiTheme="minorHAnsi" w:cstheme="minorBidi"/>
          <w:color w:val="495965" w:themeColor="text2"/>
          <w:lang w:val="en-GB" w:eastAsia="en-US"/>
        </w:rPr>
        <w:t>realised</w:t>
      </w:r>
      <w:r w:rsidR="0099334D">
        <w:rPr>
          <w:rFonts w:asciiTheme="minorHAnsi" w:eastAsiaTheme="minorHAnsi" w:hAnsiTheme="minorHAnsi" w:cstheme="minorBidi"/>
          <w:color w:val="495965" w:themeColor="text2"/>
          <w:lang w:val="en-GB" w:eastAsia="en-US"/>
        </w:rPr>
        <w:t xml:space="preserve">. </w:t>
      </w:r>
      <w:r w:rsidR="00922748">
        <w:rPr>
          <w:rFonts w:asciiTheme="minorHAnsi" w:eastAsiaTheme="minorHAnsi" w:hAnsiTheme="minorHAnsi" w:cstheme="minorBidi"/>
          <w:color w:val="495965" w:themeColor="text2"/>
          <w:lang w:val="en-GB" w:eastAsia="en-US"/>
        </w:rPr>
        <w:t>AAPTIP maintained its influence in regional and national TIP policy dialogue</w:t>
      </w:r>
      <w:r w:rsidR="0099334D">
        <w:rPr>
          <w:rFonts w:asciiTheme="minorHAnsi" w:eastAsiaTheme="minorHAnsi" w:hAnsiTheme="minorHAnsi" w:cstheme="minorBidi"/>
          <w:color w:val="495965" w:themeColor="text2"/>
          <w:lang w:val="en-GB" w:eastAsia="en-US"/>
        </w:rPr>
        <w:t xml:space="preserve">. </w:t>
      </w:r>
      <w:r w:rsidR="00436ED7" w:rsidRPr="00436ED7">
        <w:rPr>
          <w:rFonts w:asciiTheme="minorHAnsi" w:eastAsiaTheme="minorHAnsi" w:hAnsiTheme="minorHAnsi" w:cstheme="minorBidi"/>
          <w:color w:val="495965" w:themeColor="text2"/>
          <w:lang w:val="en-GB" w:eastAsia="en-US"/>
        </w:rPr>
        <w:t>By the end of 2018, ASEAN endorse</w:t>
      </w:r>
      <w:r w:rsidR="00EA77F2">
        <w:rPr>
          <w:rFonts w:asciiTheme="minorHAnsi" w:eastAsiaTheme="minorHAnsi" w:hAnsiTheme="minorHAnsi" w:cstheme="minorBidi"/>
          <w:color w:val="495965" w:themeColor="text2"/>
          <w:lang w:val="en-GB" w:eastAsia="en-US"/>
        </w:rPr>
        <w:t xml:space="preserve">d </w:t>
      </w:r>
      <w:r w:rsidR="00753DBC">
        <w:rPr>
          <w:rFonts w:asciiTheme="minorHAnsi" w:eastAsiaTheme="minorHAnsi" w:hAnsiTheme="minorHAnsi" w:cstheme="minorBidi"/>
          <w:color w:val="495965" w:themeColor="text2"/>
          <w:lang w:val="en-GB" w:eastAsia="en-US"/>
        </w:rPr>
        <w:t>six regional anti-TIP policies and finalised</w:t>
      </w:r>
      <w:r w:rsidR="00436ED7" w:rsidRPr="00436ED7">
        <w:rPr>
          <w:rFonts w:asciiTheme="minorHAnsi" w:eastAsiaTheme="minorHAnsi" w:hAnsiTheme="minorHAnsi" w:cstheme="minorBidi"/>
          <w:color w:val="495965" w:themeColor="text2"/>
          <w:lang w:val="en-GB" w:eastAsia="en-US"/>
        </w:rPr>
        <w:t xml:space="preserve"> the ASEAN Handbook on International Legal Cooperation in TIP Cases</w:t>
      </w:r>
      <w:r w:rsidR="005B5FC5">
        <w:rPr>
          <w:rFonts w:asciiTheme="minorHAnsi" w:eastAsiaTheme="minorHAnsi" w:hAnsiTheme="minorHAnsi" w:cstheme="minorBidi"/>
          <w:color w:val="495965" w:themeColor="text2"/>
          <w:lang w:val="en-GB" w:eastAsia="en-US"/>
        </w:rPr>
        <w:t xml:space="preserve"> and </w:t>
      </w:r>
      <w:r w:rsidR="00436ED7" w:rsidRPr="00436ED7">
        <w:rPr>
          <w:rFonts w:asciiTheme="minorHAnsi" w:eastAsiaTheme="minorHAnsi" w:hAnsiTheme="minorHAnsi" w:cstheme="minorBidi"/>
          <w:color w:val="495965" w:themeColor="text2"/>
          <w:lang w:val="en-GB" w:eastAsia="en-US"/>
        </w:rPr>
        <w:t xml:space="preserve">ASEAN Practitioner Guidelines. </w:t>
      </w:r>
    </w:p>
    <w:p w14:paraId="6A84166E" w14:textId="4D6B2007" w:rsidR="006F1761" w:rsidRPr="006F1761" w:rsidRDefault="006F1761" w:rsidP="00D8749D">
      <w:pPr>
        <w:pStyle w:val="Bullet1Tightlessspacing"/>
        <w:numPr>
          <w:ilvl w:val="0"/>
          <w:numId w:val="0"/>
        </w:numPr>
        <w:rPr>
          <w:rFonts w:asciiTheme="minorHAnsi" w:eastAsiaTheme="minorHAnsi" w:hAnsiTheme="minorHAnsi" w:cstheme="minorBidi"/>
          <w:color w:val="495965" w:themeColor="text2"/>
          <w:lang w:val="en-GB" w:eastAsia="en-US"/>
        </w:rPr>
      </w:pPr>
      <w:r w:rsidRPr="00E61CAC">
        <w:rPr>
          <w:rFonts w:asciiTheme="minorHAnsi" w:eastAsiaTheme="minorHAnsi" w:hAnsiTheme="minorHAnsi" w:cstheme="minorHAnsi"/>
          <w:color w:val="495965" w:themeColor="text2"/>
        </w:rPr>
        <w:t>A</w:t>
      </w:r>
      <w:r w:rsidR="00D52D6D" w:rsidRPr="00E61CAC">
        <w:rPr>
          <w:rFonts w:asciiTheme="minorHAnsi" w:eastAsiaTheme="minorHAnsi" w:hAnsiTheme="minorHAnsi" w:cstheme="minorHAnsi"/>
          <w:color w:val="495965" w:themeColor="text2"/>
        </w:rPr>
        <w:t>A</w:t>
      </w:r>
      <w:r w:rsidRPr="00E61CAC">
        <w:rPr>
          <w:rFonts w:asciiTheme="minorHAnsi" w:eastAsiaTheme="minorHAnsi" w:hAnsiTheme="minorHAnsi" w:cstheme="minorHAnsi"/>
          <w:color w:val="495965" w:themeColor="text2"/>
        </w:rPr>
        <w:t xml:space="preserve">CT </w:t>
      </w:r>
      <w:r w:rsidR="00D52D6D" w:rsidRPr="00E61CAC">
        <w:rPr>
          <w:rFonts w:asciiTheme="minorHAnsi" w:eastAsiaTheme="minorHAnsi" w:hAnsiTheme="minorHAnsi" w:cstheme="minorHAnsi"/>
          <w:color w:val="495965" w:themeColor="text2"/>
        </w:rPr>
        <w:t>will</w:t>
      </w:r>
      <w:r w:rsidR="00DE41E9" w:rsidRPr="00E61CAC">
        <w:rPr>
          <w:rFonts w:asciiTheme="minorHAnsi" w:eastAsiaTheme="minorHAnsi" w:hAnsiTheme="minorHAnsi" w:cstheme="minorHAnsi"/>
          <w:color w:val="495965" w:themeColor="text2"/>
        </w:rPr>
        <w:t xml:space="preserve"> </w:t>
      </w:r>
      <w:r w:rsidR="000B53DD" w:rsidRPr="00E61CAC">
        <w:rPr>
          <w:rFonts w:asciiTheme="minorHAnsi" w:eastAsiaTheme="minorHAnsi" w:hAnsiTheme="minorHAnsi" w:cstheme="minorHAnsi"/>
          <w:color w:val="495965" w:themeColor="text2"/>
        </w:rPr>
        <w:t xml:space="preserve">consolidate and extend our support to counter trafficking efforts, and </w:t>
      </w:r>
      <w:r w:rsidRPr="00E61CAC">
        <w:rPr>
          <w:rFonts w:asciiTheme="minorHAnsi" w:eastAsiaTheme="minorHAnsi" w:hAnsiTheme="minorHAnsi" w:cstheme="minorHAnsi"/>
          <w:color w:val="495965" w:themeColor="text2"/>
        </w:rPr>
        <w:t xml:space="preserve">enhance diplomatic engagement to strengthen </w:t>
      </w:r>
      <w:r w:rsidR="00DE41E9" w:rsidRPr="00E61CAC">
        <w:rPr>
          <w:rFonts w:asciiTheme="minorHAnsi" w:eastAsiaTheme="minorHAnsi" w:hAnsiTheme="minorHAnsi" w:cstheme="minorHAnsi"/>
          <w:color w:val="495965" w:themeColor="text2"/>
        </w:rPr>
        <w:t>our</w:t>
      </w:r>
      <w:r w:rsidRPr="00E61CAC">
        <w:rPr>
          <w:rFonts w:asciiTheme="minorHAnsi" w:eastAsiaTheme="minorHAnsi" w:hAnsiTheme="minorHAnsi" w:cstheme="minorHAnsi"/>
          <w:color w:val="495965" w:themeColor="text2"/>
        </w:rPr>
        <w:t xml:space="preserve"> </w:t>
      </w:r>
      <w:r w:rsidR="008D6482" w:rsidRPr="00E61CAC">
        <w:rPr>
          <w:rFonts w:asciiTheme="minorHAnsi" w:eastAsiaTheme="minorHAnsi" w:hAnsiTheme="minorHAnsi" w:cstheme="minorHAnsi"/>
          <w:color w:val="495965" w:themeColor="text2"/>
        </w:rPr>
        <w:t xml:space="preserve">policy </w:t>
      </w:r>
      <w:r w:rsidRPr="00E61CAC">
        <w:rPr>
          <w:rFonts w:asciiTheme="minorHAnsi" w:eastAsiaTheme="minorHAnsi" w:hAnsiTheme="minorHAnsi" w:cstheme="minorHAnsi"/>
          <w:color w:val="495965" w:themeColor="text2"/>
        </w:rPr>
        <w:t xml:space="preserve">influence </w:t>
      </w:r>
      <w:r w:rsidR="006D7CF3" w:rsidRPr="00E61CAC">
        <w:rPr>
          <w:rFonts w:asciiTheme="minorHAnsi" w:eastAsiaTheme="minorHAnsi" w:hAnsiTheme="minorHAnsi" w:cstheme="minorHAnsi"/>
          <w:color w:val="495965" w:themeColor="text2"/>
        </w:rPr>
        <w:t>in ASEAN</w:t>
      </w:r>
      <w:r w:rsidR="000D603E">
        <w:rPr>
          <w:rFonts w:asciiTheme="minorHAnsi" w:eastAsiaTheme="minorHAnsi" w:hAnsiTheme="minorHAnsi" w:cstheme="minorHAnsi"/>
          <w:color w:val="495965" w:themeColor="text2"/>
        </w:rPr>
        <w:t xml:space="preserve">. </w:t>
      </w:r>
      <w:r w:rsidR="00FC7CC9" w:rsidRPr="00E61CAC">
        <w:rPr>
          <w:rFonts w:asciiTheme="minorHAnsi" w:eastAsiaTheme="minorHAnsi" w:hAnsiTheme="minorHAnsi" w:cstheme="minorHAnsi"/>
          <w:color w:val="495965" w:themeColor="text2"/>
        </w:rPr>
        <w:t>The program</w:t>
      </w:r>
      <w:r w:rsidRPr="00E61CAC">
        <w:rPr>
          <w:rFonts w:asciiTheme="minorHAnsi" w:eastAsiaTheme="minorHAnsi" w:hAnsiTheme="minorHAnsi" w:cstheme="minorHAnsi"/>
          <w:color w:val="495965" w:themeColor="text2"/>
        </w:rPr>
        <w:t xml:space="preserve"> </w:t>
      </w:r>
      <w:r w:rsidR="00FC7CC9" w:rsidRPr="00E61CAC">
        <w:rPr>
          <w:rFonts w:asciiTheme="minorHAnsi" w:eastAsiaTheme="minorHAnsi" w:hAnsiTheme="minorHAnsi" w:cstheme="minorHAnsi"/>
          <w:color w:val="495965" w:themeColor="text2"/>
        </w:rPr>
        <w:t>(</w:t>
      </w:r>
      <w:r w:rsidRPr="00E61CAC">
        <w:rPr>
          <w:rFonts w:asciiTheme="minorHAnsi" w:eastAsiaTheme="minorHAnsi" w:hAnsiTheme="minorHAnsi" w:cstheme="minorHAnsi"/>
          <w:color w:val="495965" w:themeColor="text2"/>
        </w:rPr>
        <w:t>2018-28)</w:t>
      </w:r>
      <w:r w:rsidR="000B53DD" w:rsidRPr="00E61CAC">
        <w:rPr>
          <w:rFonts w:asciiTheme="minorHAnsi" w:eastAsiaTheme="minorHAnsi" w:hAnsiTheme="minorHAnsi" w:cstheme="minorHAnsi"/>
          <w:color w:val="495965" w:themeColor="text2"/>
        </w:rPr>
        <w:t xml:space="preserve"> </w:t>
      </w:r>
      <w:r w:rsidRPr="00E61CAC">
        <w:rPr>
          <w:rFonts w:asciiTheme="minorHAnsi" w:eastAsiaTheme="minorHAnsi" w:hAnsiTheme="minorHAnsi" w:cstheme="minorHAnsi"/>
          <w:color w:val="495965" w:themeColor="text2"/>
        </w:rPr>
        <w:t>is currently in its inception phase</w:t>
      </w:r>
      <w:r w:rsidR="0099334D" w:rsidRPr="00E61CAC">
        <w:rPr>
          <w:rFonts w:asciiTheme="minorHAnsi" w:eastAsiaTheme="minorHAnsi" w:hAnsiTheme="minorHAnsi" w:cstheme="minorHAnsi"/>
          <w:color w:val="495965" w:themeColor="text2"/>
        </w:rPr>
        <w:t xml:space="preserve">. </w:t>
      </w:r>
      <w:r w:rsidR="00EC01BC" w:rsidRPr="00E61CAC">
        <w:rPr>
          <w:rFonts w:asciiTheme="minorHAnsi" w:eastAsiaTheme="minorHAnsi" w:hAnsiTheme="minorHAnsi" w:cstheme="minorHAnsi"/>
          <w:color w:val="495965" w:themeColor="text2"/>
        </w:rPr>
        <w:t>C</w:t>
      </w:r>
      <w:r w:rsidRPr="00E61CAC">
        <w:rPr>
          <w:rFonts w:asciiTheme="minorHAnsi" w:eastAsiaTheme="minorHAnsi" w:hAnsiTheme="minorHAnsi" w:cstheme="minorHAnsi"/>
          <w:color w:val="495965" w:themeColor="text2"/>
        </w:rPr>
        <w:t xml:space="preserve">ontinuation of key </w:t>
      </w:r>
      <w:r w:rsidR="000B53DD" w:rsidRPr="00E61CAC">
        <w:rPr>
          <w:rFonts w:asciiTheme="minorHAnsi" w:eastAsiaTheme="minorHAnsi" w:hAnsiTheme="minorHAnsi" w:cstheme="minorHAnsi"/>
          <w:color w:val="495965" w:themeColor="text2"/>
        </w:rPr>
        <w:t xml:space="preserve">AAPTIP </w:t>
      </w:r>
      <w:r w:rsidRPr="00E61CAC">
        <w:rPr>
          <w:rFonts w:asciiTheme="minorHAnsi" w:eastAsiaTheme="minorHAnsi" w:hAnsiTheme="minorHAnsi" w:cstheme="minorHAnsi"/>
          <w:color w:val="495965" w:themeColor="text2"/>
        </w:rPr>
        <w:t>staff into the inception period supported program continuity</w:t>
      </w:r>
      <w:r w:rsidR="0099334D" w:rsidRPr="00E61CAC">
        <w:rPr>
          <w:rFonts w:asciiTheme="minorHAnsi" w:eastAsiaTheme="minorHAnsi" w:hAnsiTheme="minorHAnsi" w:cstheme="minorHAnsi"/>
          <w:color w:val="495965" w:themeColor="text2"/>
        </w:rPr>
        <w:t xml:space="preserve">. </w:t>
      </w:r>
      <w:r w:rsidR="00FB3521" w:rsidRPr="00E61CAC">
        <w:rPr>
          <w:rFonts w:asciiTheme="minorHAnsi" w:eastAsiaTheme="minorHAnsi" w:hAnsiTheme="minorHAnsi" w:cstheme="minorHAnsi"/>
          <w:color w:val="495965" w:themeColor="text2"/>
        </w:rPr>
        <w:t>Partner governments and ASEAN have confirmed commitment to the program</w:t>
      </w:r>
      <w:r w:rsidR="0099334D" w:rsidRPr="00E61CAC">
        <w:rPr>
          <w:rFonts w:asciiTheme="minorHAnsi" w:eastAsiaTheme="minorHAnsi" w:hAnsiTheme="minorHAnsi" w:cstheme="minorHAnsi"/>
          <w:color w:val="495965" w:themeColor="text2"/>
        </w:rPr>
        <w:t xml:space="preserve">. </w:t>
      </w:r>
      <w:r w:rsidR="00EA77F2" w:rsidRPr="00E61CAC">
        <w:rPr>
          <w:rFonts w:asciiTheme="minorHAnsi" w:eastAsiaTheme="minorHAnsi" w:hAnsiTheme="minorHAnsi" w:cstheme="minorHAnsi"/>
          <w:color w:val="495965" w:themeColor="text2"/>
        </w:rPr>
        <w:t xml:space="preserve">Many key findings from the 2017 review </w:t>
      </w:r>
      <w:proofErr w:type="gramStart"/>
      <w:r w:rsidR="00EA77F2" w:rsidRPr="00E61CAC">
        <w:rPr>
          <w:rFonts w:asciiTheme="minorHAnsi" w:eastAsiaTheme="minorHAnsi" w:hAnsiTheme="minorHAnsi" w:cstheme="minorHAnsi"/>
          <w:color w:val="495965" w:themeColor="text2"/>
        </w:rPr>
        <w:t>were addressed</w:t>
      </w:r>
      <w:proofErr w:type="gramEnd"/>
      <w:r w:rsidR="00EA77F2" w:rsidRPr="00E61CAC">
        <w:rPr>
          <w:rFonts w:asciiTheme="minorHAnsi" w:eastAsiaTheme="minorHAnsi" w:hAnsiTheme="minorHAnsi" w:cstheme="minorHAnsi"/>
          <w:color w:val="495965" w:themeColor="text2"/>
        </w:rPr>
        <w:t xml:space="preserve"> in the final stage of AAPTIP and will continue to inform strategic planning, operations and management approaches under AACT</w:t>
      </w:r>
      <w:r w:rsidR="0099334D" w:rsidRPr="00E61CAC">
        <w:rPr>
          <w:rFonts w:asciiTheme="minorHAnsi" w:eastAsiaTheme="minorHAnsi" w:hAnsiTheme="minorHAnsi" w:cstheme="minorHAnsi"/>
          <w:color w:val="495965" w:themeColor="text2"/>
        </w:rPr>
        <w:t xml:space="preserve">. </w:t>
      </w:r>
      <w:r w:rsidR="00FB3521" w:rsidRPr="00E61CAC">
        <w:rPr>
          <w:rFonts w:asciiTheme="minorHAnsi" w:eastAsiaTheme="minorHAnsi" w:hAnsiTheme="minorHAnsi" w:cstheme="minorHAnsi"/>
          <w:color w:val="495965" w:themeColor="text2"/>
        </w:rPr>
        <w:t xml:space="preserve">DFAT is working closely with the implementing partner for AACT </w:t>
      </w:r>
      <w:r w:rsidR="00E62C5D">
        <w:rPr>
          <w:rFonts w:asciiTheme="minorHAnsi" w:eastAsiaTheme="minorHAnsi" w:hAnsiTheme="minorHAnsi" w:cstheme="minorHAnsi"/>
          <w:color w:val="495965" w:themeColor="text2"/>
        </w:rPr>
        <w:t>on</w:t>
      </w:r>
      <w:r w:rsidR="00FB3521" w:rsidRPr="00E61CAC">
        <w:rPr>
          <w:rFonts w:asciiTheme="minorHAnsi" w:eastAsiaTheme="minorHAnsi" w:hAnsiTheme="minorHAnsi" w:cstheme="minorHAnsi"/>
          <w:color w:val="495965" w:themeColor="text2"/>
        </w:rPr>
        <w:t xml:space="preserve"> program implementation, reporting and communications</w:t>
      </w:r>
      <w:r w:rsidR="0099334D" w:rsidRPr="00E61CAC">
        <w:rPr>
          <w:rFonts w:asciiTheme="minorHAnsi" w:eastAsiaTheme="minorHAnsi" w:hAnsiTheme="minorHAnsi" w:cstheme="minorHAnsi"/>
          <w:color w:val="495965" w:themeColor="text2"/>
        </w:rPr>
        <w:t xml:space="preserve">. </w:t>
      </w:r>
      <w:proofErr w:type="gramStart"/>
      <w:r w:rsidR="000B53DD" w:rsidRPr="00E61CAC">
        <w:rPr>
          <w:rFonts w:asciiTheme="minorHAnsi" w:eastAsiaTheme="minorHAnsi" w:hAnsiTheme="minorHAnsi" w:cstheme="minorHAnsi"/>
          <w:color w:val="495965" w:themeColor="text2"/>
        </w:rPr>
        <w:t xml:space="preserve">Transition efforts </w:t>
      </w:r>
      <w:r w:rsidR="00FB3521" w:rsidRPr="00E61CAC">
        <w:rPr>
          <w:rFonts w:asciiTheme="minorHAnsi" w:eastAsiaTheme="minorHAnsi" w:hAnsiTheme="minorHAnsi" w:cstheme="minorHAnsi"/>
          <w:color w:val="495965" w:themeColor="text2"/>
        </w:rPr>
        <w:t>are being</w:t>
      </w:r>
      <w:r w:rsidR="000B53DD" w:rsidRPr="00E61CAC">
        <w:rPr>
          <w:rFonts w:asciiTheme="minorHAnsi" w:eastAsiaTheme="minorHAnsi" w:hAnsiTheme="minorHAnsi" w:cstheme="minorHAnsi"/>
          <w:color w:val="495965" w:themeColor="text2"/>
        </w:rPr>
        <w:t xml:space="preserve"> reinforced </w:t>
      </w:r>
      <w:r w:rsidR="00260C5D" w:rsidRPr="00E61CAC">
        <w:rPr>
          <w:rFonts w:asciiTheme="minorHAnsi" w:eastAsiaTheme="minorHAnsi" w:hAnsiTheme="minorHAnsi" w:cstheme="minorHAnsi"/>
          <w:color w:val="495965" w:themeColor="text2"/>
        </w:rPr>
        <w:t>by the</w:t>
      </w:r>
      <w:r w:rsidRPr="00E61CAC">
        <w:rPr>
          <w:rFonts w:asciiTheme="minorHAnsi" w:eastAsiaTheme="minorHAnsi" w:hAnsiTheme="minorHAnsi" w:cstheme="minorHAnsi"/>
          <w:color w:val="495965" w:themeColor="text2"/>
        </w:rPr>
        <w:t xml:space="preserve"> ACTIP Implementation Project (</w:t>
      </w:r>
      <w:r w:rsidR="00B15726" w:rsidRPr="00E61CAC">
        <w:rPr>
          <w:rFonts w:asciiTheme="minorHAnsi" w:eastAsiaTheme="minorHAnsi" w:hAnsiTheme="minorHAnsi" w:cstheme="minorHAnsi"/>
          <w:color w:val="495965" w:themeColor="text2"/>
        </w:rPr>
        <w:t>AIP</w:t>
      </w:r>
      <w:r w:rsidR="000B53DD" w:rsidRPr="00E61CAC">
        <w:rPr>
          <w:rFonts w:asciiTheme="minorHAnsi" w:eastAsiaTheme="minorHAnsi" w:hAnsiTheme="minorHAnsi" w:cstheme="minorHAnsi"/>
          <w:color w:val="495965" w:themeColor="text2"/>
        </w:rPr>
        <w:t>)</w:t>
      </w:r>
      <w:r w:rsidR="00B15726" w:rsidRPr="00E61CAC">
        <w:rPr>
          <w:rFonts w:asciiTheme="minorHAnsi" w:eastAsiaTheme="minorHAnsi" w:hAnsiTheme="minorHAnsi" w:cstheme="minorHAnsi"/>
          <w:color w:val="495965" w:themeColor="text2"/>
        </w:rPr>
        <w:t xml:space="preserve"> </w:t>
      </w:r>
      <w:r w:rsidRPr="00E61CAC">
        <w:rPr>
          <w:rFonts w:asciiTheme="minorHAnsi" w:eastAsiaTheme="minorHAnsi" w:hAnsiTheme="minorHAnsi" w:cstheme="minorHAnsi"/>
          <w:color w:val="495965" w:themeColor="text2"/>
        </w:rPr>
        <w:t>delivered by The Asia Foundation 2018-2020</w:t>
      </w:r>
      <w:proofErr w:type="gramEnd"/>
      <w:r w:rsidR="0099334D" w:rsidRPr="00E61CAC">
        <w:rPr>
          <w:rFonts w:asciiTheme="minorHAnsi" w:eastAsiaTheme="minorHAnsi" w:hAnsiTheme="minorHAnsi" w:cstheme="minorHAnsi"/>
          <w:color w:val="495965" w:themeColor="text2"/>
        </w:rPr>
        <w:t xml:space="preserve">. </w:t>
      </w:r>
      <w:r w:rsidR="000B53DD" w:rsidRPr="00E61CAC">
        <w:rPr>
          <w:rFonts w:asciiTheme="minorHAnsi" w:eastAsiaTheme="minorHAnsi" w:hAnsiTheme="minorHAnsi" w:cstheme="minorHAnsi"/>
          <w:color w:val="495965" w:themeColor="text2"/>
        </w:rPr>
        <w:t>This project</w:t>
      </w:r>
      <w:r w:rsidR="00FB3521" w:rsidRPr="00E61CAC">
        <w:rPr>
          <w:rFonts w:asciiTheme="minorHAnsi" w:eastAsiaTheme="minorHAnsi" w:hAnsiTheme="minorHAnsi" w:cstheme="minorHAnsi"/>
          <w:color w:val="495965" w:themeColor="text2"/>
        </w:rPr>
        <w:t xml:space="preserve"> </w:t>
      </w:r>
      <w:r w:rsidR="00070766" w:rsidRPr="00E61CAC">
        <w:rPr>
          <w:rFonts w:asciiTheme="minorHAnsi" w:eastAsiaTheme="minorHAnsi" w:hAnsiTheme="minorHAnsi" w:cstheme="minorHAnsi"/>
          <w:color w:val="495965" w:themeColor="text2"/>
        </w:rPr>
        <w:t xml:space="preserve">supports </w:t>
      </w:r>
      <w:r w:rsidR="00421337" w:rsidRPr="00E61CAC">
        <w:rPr>
          <w:rFonts w:asciiTheme="minorHAnsi" w:eastAsiaTheme="minorHAnsi" w:hAnsiTheme="minorHAnsi" w:cstheme="minorHAnsi"/>
          <w:color w:val="495965" w:themeColor="text2"/>
        </w:rPr>
        <w:t xml:space="preserve">cross-sectoral work in ASEAN </w:t>
      </w:r>
      <w:r w:rsidR="002D0F43" w:rsidRPr="00E61CAC">
        <w:rPr>
          <w:rFonts w:asciiTheme="minorHAnsi" w:eastAsiaTheme="minorHAnsi" w:hAnsiTheme="minorHAnsi" w:cstheme="minorHAnsi"/>
          <w:color w:val="495965" w:themeColor="text2"/>
        </w:rPr>
        <w:t>to implement its landmark anti-human trafficking convention</w:t>
      </w:r>
      <w:r w:rsidR="00421337" w:rsidRPr="00E61CAC">
        <w:rPr>
          <w:rFonts w:asciiTheme="minorHAnsi" w:eastAsiaTheme="minorHAnsi" w:hAnsiTheme="minorHAnsi" w:cstheme="minorHAnsi"/>
          <w:color w:val="495965" w:themeColor="text2"/>
        </w:rPr>
        <w:t xml:space="preserve"> </w:t>
      </w:r>
      <w:r w:rsidR="00070766" w:rsidRPr="00E61CAC">
        <w:rPr>
          <w:rFonts w:asciiTheme="minorHAnsi" w:eastAsiaTheme="minorHAnsi" w:hAnsiTheme="minorHAnsi" w:cstheme="minorHAnsi"/>
          <w:color w:val="495965" w:themeColor="text2"/>
        </w:rPr>
        <w:t xml:space="preserve">and </w:t>
      </w:r>
      <w:r w:rsidR="00FB3521" w:rsidRPr="00E61CAC">
        <w:rPr>
          <w:rFonts w:asciiTheme="minorHAnsi" w:eastAsiaTheme="minorHAnsi" w:hAnsiTheme="minorHAnsi" w:cstheme="minorHAnsi"/>
          <w:color w:val="495965" w:themeColor="text2"/>
        </w:rPr>
        <w:t>maintai</w:t>
      </w:r>
      <w:r w:rsidR="00EA77F2" w:rsidRPr="00E61CAC">
        <w:rPr>
          <w:rFonts w:asciiTheme="minorHAnsi" w:eastAsiaTheme="minorHAnsi" w:hAnsiTheme="minorHAnsi" w:cstheme="minorHAnsi"/>
          <w:color w:val="495965" w:themeColor="text2"/>
        </w:rPr>
        <w:t>ns</w:t>
      </w:r>
      <w:r w:rsidR="00FB3521" w:rsidRPr="00E61CAC">
        <w:rPr>
          <w:rFonts w:asciiTheme="minorHAnsi" w:eastAsiaTheme="minorHAnsi" w:hAnsiTheme="minorHAnsi" w:cstheme="minorHAnsi"/>
          <w:color w:val="495965" w:themeColor="text2"/>
        </w:rPr>
        <w:t xml:space="preserve"> critical ASEAN relationships</w:t>
      </w:r>
      <w:r w:rsidR="00EA77F2" w:rsidRPr="00E61CAC">
        <w:rPr>
          <w:rFonts w:asciiTheme="minorHAnsi" w:eastAsiaTheme="minorHAnsi" w:hAnsiTheme="minorHAnsi" w:cstheme="minorHAnsi"/>
          <w:color w:val="495965" w:themeColor="text2"/>
        </w:rPr>
        <w:t xml:space="preserve"> during transition.</w:t>
      </w:r>
      <w:r w:rsidR="002D0F43" w:rsidRPr="00E61CAC">
        <w:rPr>
          <w:rFonts w:asciiTheme="minorHAnsi" w:eastAsiaTheme="minorHAnsi" w:hAnsiTheme="minorHAnsi" w:cstheme="minorHAnsi"/>
          <w:color w:val="495965" w:themeColor="text2"/>
        </w:rPr>
        <w:t xml:space="preserve"> </w:t>
      </w:r>
      <w:r w:rsidR="002D0F43" w:rsidRPr="002D0F43">
        <w:rPr>
          <w:rFonts w:asciiTheme="minorHAnsi" w:eastAsiaTheme="minorHAnsi" w:hAnsiTheme="minorHAnsi" w:cstheme="minorHAnsi"/>
          <w:color w:val="495965" w:themeColor="text2"/>
          <w:lang w:val="en-GB" w:eastAsia="en-US"/>
        </w:rPr>
        <w:t xml:space="preserve">AIP supported a number of sectoral body initiatives over the </w:t>
      </w:r>
      <w:proofErr w:type="gramStart"/>
      <w:r w:rsidR="002D0F43" w:rsidRPr="002D0F43">
        <w:rPr>
          <w:rFonts w:asciiTheme="minorHAnsi" w:eastAsiaTheme="minorHAnsi" w:hAnsiTheme="minorHAnsi" w:cstheme="minorHAnsi"/>
          <w:color w:val="495965" w:themeColor="text2"/>
          <w:lang w:val="en-GB" w:eastAsia="en-US"/>
        </w:rPr>
        <w:t>period,</w:t>
      </w:r>
      <w:proofErr w:type="gramEnd"/>
      <w:r w:rsidR="002D0F43" w:rsidRPr="002D0F43">
        <w:rPr>
          <w:rFonts w:asciiTheme="minorHAnsi" w:eastAsiaTheme="minorHAnsi" w:hAnsiTheme="minorHAnsi" w:cstheme="minorHAnsi"/>
          <w:color w:val="495965" w:themeColor="text2"/>
          <w:lang w:val="en-GB" w:eastAsia="en-US"/>
        </w:rPr>
        <w:t xml:space="preserve"> including (with technical support from AACT and </w:t>
      </w:r>
      <w:proofErr w:type="spellStart"/>
      <w:r w:rsidR="002D0F43" w:rsidRPr="002D0F43">
        <w:rPr>
          <w:rFonts w:asciiTheme="minorHAnsi" w:eastAsiaTheme="minorHAnsi" w:hAnsiTheme="minorHAnsi" w:cstheme="minorHAnsi"/>
          <w:color w:val="495965" w:themeColor="text2"/>
          <w:lang w:val="en-GB" w:eastAsia="en-US"/>
        </w:rPr>
        <w:t>TiA</w:t>
      </w:r>
      <w:proofErr w:type="spellEnd"/>
      <w:r w:rsidR="002D0F43" w:rsidRPr="002D0F43">
        <w:rPr>
          <w:rFonts w:asciiTheme="minorHAnsi" w:eastAsiaTheme="minorHAnsi" w:hAnsiTheme="minorHAnsi" w:cstheme="minorHAnsi"/>
          <w:color w:val="495965" w:themeColor="text2"/>
          <w:lang w:val="en-GB" w:eastAsia="en-US"/>
        </w:rPr>
        <w:t>) a Lao PDR hosted ACMW initiative to strengthen capacity and coordination between labour inspectors and anti-human trafficking police</w:t>
      </w:r>
      <w:r w:rsidR="0099334D">
        <w:rPr>
          <w:rFonts w:asciiTheme="minorHAnsi" w:eastAsiaTheme="minorHAnsi" w:hAnsiTheme="minorHAnsi" w:cstheme="minorHAnsi"/>
          <w:color w:val="495965" w:themeColor="text2"/>
          <w:lang w:val="en-GB" w:eastAsia="en-US"/>
        </w:rPr>
        <w:t xml:space="preserve">. </w:t>
      </w:r>
    </w:p>
    <w:p w14:paraId="757BC363" w14:textId="3258CD94" w:rsidR="0010223A" w:rsidRDefault="0010223A" w:rsidP="0099334D">
      <w:pPr>
        <w:pStyle w:val="Bullet1"/>
        <w:numPr>
          <w:ilvl w:val="0"/>
          <w:numId w:val="0"/>
        </w:numPr>
        <w:spacing w:before="120"/>
        <w:rPr>
          <w:b/>
          <w:lang w:val="en-US"/>
        </w:rPr>
      </w:pPr>
      <w:r w:rsidRPr="00A90277">
        <w:rPr>
          <w:b/>
          <w:lang w:val="en-US"/>
        </w:rPr>
        <w:t>TRIANGLE</w:t>
      </w:r>
      <w:r w:rsidR="00581BE6">
        <w:rPr>
          <w:b/>
          <w:lang w:val="en-US"/>
        </w:rPr>
        <w:t xml:space="preserve"> in ASEAN</w:t>
      </w:r>
      <w:r w:rsidR="00EA77F2">
        <w:rPr>
          <w:b/>
          <w:lang w:val="en-US"/>
        </w:rPr>
        <w:t xml:space="preserve"> </w:t>
      </w:r>
      <w:r w:rsidR="00FB3521">
        <w:rPr>
          <w:b/>
          <w:lang w:val="en-US"/>
        </w:rPr>
        <w:t>(</w:t>
      </w:r>
      <w:proofErr w:type="spellStart"/>
      <w:r w:rsidR="00712DAA">
        <w:rPr>
          <w:b/>
          <w:lang w:val="en-US"/>
        </w:rPr>
        <w:t>TiA</w:t>
      </w:r>
      <w:proofErr w:type="spellEnd"/>
      <w:r w:rsidR="008979AF">
        <w:rPr>
          <w:b/>
          <w:lang w:val="en-US"/>
        </w:rPr>
        <w:t>)</w:t>
      </w:r>
    </w:p>
    <w:p w14:paraId="3247CD95" w14:textId="53C49BF4" w:rsidR="00340D4A" w:rsidRDefault="00AE0981" w:rsidP="00EE3591">
      <w:pPr>
        <w:pStyle w:val="Bullet1"/>
        <w:numPr>
          <w:ilvl w:val="0"/>
          <w:numId w:val="0"/>
        </w:numPr>
        <w:spacing w:after="120"/>
      </w:pPr>
      <w:r>
        <w:t xml:space="preserve">In 2018-19, </w:t>
      </w:r>
      <w:proofErr w:type="spellStart"/>
      <w:r w:rsidR="00712DAA">
        <w:t>TiA</w:t>
      </w:r>
      <w:proofErr w:type="spellEnd"/>
      <w:r w:rsidRPr="00DE0FE9">
        <w:t xml:space="preserve"> continued to </w:t>
      </w:r>
      <w:r w:rsidR="00CF1C92">
        <w:t xml:space="preserve">support migrant workers through </w:t>
      </w:r>
      <w:r w:rsidRPr="00DE0FE9">
        <w:t>its network of MRCs</w:t>
      </w:r>
      <w:r w:rsidR="00253B42">
        <w:rPr>
          <w:rStyle w:val="FootnoteReference"/>
        </w:rPr>
        <w:footnoteReference w:id="20"/>
      </w:r>
      <w:r w:rsidRPr="00DE0FE9">
        <w:t xml:space="preserve">, </w:t>
      </w:r>
      <w:r w:rsidR="00CF1C92">
        <w:t xml:space="preserve">which expanded </w:t>
      </w:r>
      <w:r w:rsidRPr="00DE0FE9">
        <w:t>from 33 to 35 locations</w:t>
      </w:r>
      <w:r w:rsidR="0099334D">
        <w:t xml:space="preserve">. </w:t>
      </w:r>
      <w:r w:rsidR="00253B42">
        <w:t xml:space="preserve">MRCs served </w:t>
      </w:r>
      <w:proofErr w:type="gramStart"/>
      <w:r w:rsidR="00253B42">
        <w:t>a total of 30,053</w:t>
      </w:r>
      <w:proofErr w:type="gramEnd"/>
      <w:r w:rsidR="00253B42">
        <w:t xml:space="preserve"> migrant workers (52 per cent female, 48 per cent male)</w:t>
      </w:r>
      <w:r w:rsidR="00340D4A" w:rsidRPr="001A75ED">
        <w:t xml:space="preserve">, </w:t>
      </w:r>
      <w:r w:rsidR="00340D4A" w:rsidRPr="00FE0B25">
        <w:rPr>
          <w:rFonts w:ascii="Calibri Light" w:eastAsia="Calibri" w:hAnsi="Calibri Light" w:cs="Calibri Light"/>
          <w:iCs/>
        </w:rPr>
        <w:t>providing counselling</w:t>
      </w:r>
      <w:r w:rsidR="001A75ED" w:rsidRPr="00FE0B25">
        <w:rPr>
          <w:rFonts w:ascii="Calibri Light" w:eastAsia="Calibri" w:hAnsi="Calibri Light" w:cs="Calibri Light"/>
          <w:iCs/>
        </w:rPr>
        <w:t>, legal assistance, information</w:t>
      </w:r>
      <w:r w:rsidR="00340D4A" w:rsidRPr="00FE0B25">
        <w:rPr>
          <w:rFonts w:ascii="Calibri Light" w:eastAsia="Calibri" w:hAnsi="Calibri Light" w:cs="Calibri Light"/>
          <w:iCs/>
        </w:rPr>
        <w:t xml:space="preserve"> </w:t>
      </w:r>
      <w:r w:rsidR="001A75ED" w:rsidRPr="00FE0B25">
        <w:rPr>
          <w:rFonts w:ascii="Calibri Light" w:eastAsia="Calibri" w:hAnsi="Calibri Light" w:cs="Calibri Light"/>
          <w:iCs/>
        </w:rPr>
        <w:t>and training</w:t>
      </w:r>
      <w:r w:rsidR="00340D4A" w:rsidRPr="00FE0B25">
        <w:rPr>
          <w:rFonts w:ascii="Calibri Light" w:eastAsia="Calibri" w:hAnsi="Calibri Light" w:cs="Calibri Light"/>
          <w:iCs/>
        </w:rPr>
        <w:t>.</w:t>
      </w:r>
      <w:r w:rsidR="004F6ADC" w:rsidRPr="001A75ED">
        <w:t xml:space="preserve"> </w:t>
      </w:r>
      <w:proofErr w:type="gramStart"/>
      <w:r w:rsidR="00D20A3B" w:rsidRPr="001A75ED">
        <w:t>71</w:t>
      </w:r>
      <w:r w:rsidR="004F6ADC" w:rsidRPr="001A75ED">
        <w:t xml:space="preserve"> per cent</w:t>
      </w:r>
      <w:proofErr w:type="gramEnd"/>
      <w:r w:rsidR="004F6ADC" w:rsidRPr="001A75ED">
        <w:t xml:space="preserve"> of MRCs received co-funding from national governments in six countries (exceeding the target of 64 per cent), an indicator of increased sustainability</w:t>
      </w:r>
      <w:r w:rsidR="0099334D" w:rsidRPr="001A75ED">
        <w:t xml:space="preserve">. </w:t>
      </w:r>
      <w:r w:rsidR="00253B42" w:rsidRPr="001A75ED">
        <w:t xml:space="preserve">During 2018-19, </w:t>
      </w:r>
      <w:proofErr w:type="spellStart"/>
      <w:r w:rsidR="00253B42" w:rsidRPr="001A75ED">
        <w:t>TiA</w:t>
      </w:r>
      <w:proofErr w:type="spellEnd"/>
      <w:r w:rsidR="00253B42" w:rsidRPr="001A75ED">
        <w:t xml:space="preserve"> influenced government policy and achieved its target for the year. Cambodia passed the Labour Migration Policy 2019-2023 with drafting and financial support for tripartite ‘plus’ consultation from </w:t>
      </w:r>
      <w:proofErr w:type="spellStart"/>
      <w:r w:rsidR="00253B42" w:rsidRPr="001A75ED">
        <w:t>TiA</w:t>
      </w:r>
      <w:proofErr w:type="spellEnd"/>
      <w:r w:rsidR="0099334D" w:rsidRPr="001A75ED">
        <w:t xml:space="preserve">. </w:t>
      </w:r>
      <w:r w:rsidR="00253B42" w:rsidRPr="001A75ED">
        <w:t>The program also provided technical support for an independent assessment of Law 72</w:t>
      </w:r>
      <w:r w:rsidR="00253B42" w:rsidRPr="001A75ED">
        <w:rPr>
          <w:b/>
          <w:bCs/>
        </w:rPr>
        <w:t xml:space="preserve"> </w:t>
      </w:r>
      <w:r w:rsidR="00253B42" w:rsidRPr="001A75ED">
        <w:t>governing the migration of workers from Vietnam, providing an important view in the revision of this law</w:t>
      </w:r>
      <w:r w:rsidR="0099334D" w:rsidRPr="001A75ED">
        <w:t xml:space="preserve">. </w:t>
      </w:r>
      <w:r w:rsidR="00340D4A" w:rsidRPr="001A75ED">
        <w:t>In Thailand, a gap analysis led to improved legislative protection for all domestic workers, including migrants</w:t>
      </w:r>
      <w:r w:rsidR="005A776D" w:rsidRPr="001A75ED">
        <w:t xml:space="preserve">. </w:t>
      </w:r>
      <w:proofErr w:type="spellStart"/>
      <w:r w:rsidR="005A776D" w:rsidRPr="001A75ED">
        <w:t>TiA</w:t>
      </w:r>
      <w:proofErr w:type="spellEnd"/>
      <w:r w:rsidR="005A776D" w:rsidRPr="001A75ED">
        <w:t xml:space="preserve"> </w:t>
      </w:r>
      <w:r w:rsidR="005A776D" w:rsidRPr="001A75ED">
        <w:rPr>
          <w:rFonts w:ascii="Calibri Light" w:eastAsia="Calibri" w:hAnsi="Calibri Light" w:cs="Calibri Light"/>
        </w:rPr>
        <w:t xml:space="preserve">provided </w:t>
      </w:r>
      <w:r w:rsidR="001A75ED" w:rsidRPr="001A75ED">
        <w:rPr>
          <w:rFonts w:ascii="Calibri Light" w:eastAsia="Calibri" w:hAnsi="Calibri Light" w:cs="Calibri Light"/>
        </w:rPr>
        <w:t>input to</w:t>
      </w:r>
      <w:r w:rsidR="005A776D" w:rsidRPr="001A75ED">
        <w:rPr>
          <w:rFonts w:ascii="Calibri Light" w:eastAsia="Calibri" w:hAnsi="Calibri Light" w:cs="Calibri Light"/>
        </w:rPr>
        <w:t xml:space="preserve"> proposed D</w:t>
      </w:r>
      <w:r w:rsidR="001A75ED" w:rsidRPr="001A75ED">
        <w:rPr>
          <w:rFonts w:ascii="Calibri Light" w:eastAsia="Calibri" w:hAnsi="Calibri Light" w:cs="Calibri Light"/>
        </w:rPr>
        <w:t>omestic Workers Regulations</w:t>
      </w:r>
      <w:r w:rsidR="005A776D" w:rsidRPr="001A75ED">
        <w:rPr>
          <w:rFonts w:ascii="Calibri Light" w:eastAsia="Calibri" w:hAnsi="Calibri Light" w:cs="Calibri Light"/>
        </w:rPr>
        <w:t xml:space="preserve"> to the Mi</w:t>
      </w:r>
      <w:r w:rsidR="001A75ED" w:rsidRPr="001A75ED">
        <w:rPr>
          <w:rFonts w:ascii="Calibri Light" w:eastAsia="Calibri" w:hAnsi="Calibri Light" w:cs="Calibri Light"/>
        </w:rPr>
        <w:t>nistry of Human Resources</w:t>
      </w:r>
      <w:r w:rsidR="005A776D" w:rsidRPr="001A75ED">
        <w:rPr>
          <w:rFonts w:ascii="Calibri Light" w:eastAsia="Calibri" w:hAnsi="Calibri Light" w:cs="Calibri Light"/>
        </w:rPr>
        <w:t xml:space="preserve">. A regional study on social protection for migrant workers in ASEAN, covering all 10 countries </w:t>
      </w:r>
      <w:proofErr w:type="gramStart"/>
      <w:r w:rsidR="005A776D" w:rsidRPr="001A75ED">
        <w:rPr>
          <w:rFonts w:ascii="Calibri Light" w:eastAsia="Calibri" w:hAnsi="Calibri Light" w:cs="Calibri Light"/>
        </w:rPr>
        <w:t>was released</w:t>
      </w:r>
      <w:proofErr w:type="gramEnd"/>
      <w:r w:rsidR="005A776D" w:rsidRPr="001A75ED">
        <w:rPr>
          <w:rFonts w:ascii="Calibri Light" w:eastAsia="Calibri" w:hAnsi="Calibri Light" w:cs="Calibri Light"/>
        </w:rPr>
        <w:t xml:space="preserve"> and offers a </w:t>
      </w:r>
      <w:r w:rsidR="00E62C5D">
        <w:rPr>
          <w:rFonts w:ascii="Calibri Light" w:eastAsia="Calibri" w:hAnsi="Calibri Light" w:cs="Calibri Light"/>
        </w:rPr>
        <w:t xml:space="preserve">comprehensive </w:t>
      </w:r>
      <w:r w:rsidR="005A776D" w:rsidRPr="001A75ED">
        <w:rPr>
          <w:rFonts w:ascii="Calibri Light" w:eastAsia="Calibri" w:hAnsi="Calibri Light" w:cs="Calibri Light"/>
        </w:rPr>
        <w:t>policy baseline</w:t>
      </w:r>
      <w:r w:rsidR="001D3187" w:rsidRPr="001A75ED">
        <w:rPr>
          <w:rFonts w:ascii="Calibri Light" w:eastAsia="Calibri" w:hAnsi="Calibri Light" w:cs="Calibri Light"/>
        </w:rPr>
        <w:t>.</w:t>
      </w:r>
    </w:p>
    <w:p w14:paraId="5BC0CC8E" w14:textId="4C36BA44" w:rsidR="00253B42" w:rsidRDefault="00E62C5D" w:rsidP="00EE3591">
      <w:pPr>
        <w:pStyle w:val="Bullet1"/>
        <w:numPr>
          <w:ilvl w:val="0"/>
          <w:numId w:val="0"/>
        </w:numPr>
        <w:spacing w:after="120"/>
      </w:pPr>
      <w:proofErr w:type="spellStart"/>
      <w:r>
        <w:t>TiA</w:t>
      </w:r>
      <w:proofErr w:type="spellEnd"/>
      <w:r w:rsidRPr="004F6ADC">
        <w:t xml:space="preserve"> </w:t>
      </w:r>
      <w:r w:rsidR="004F6ADC" w:rsidRPr="004F6ADC">
        <w:t xml:space="preserve">engages with ASEAN through various forums including </w:t>
      </w:r>
      <w:r>
        <w:t xml:space="preserve">a flagship activity with </w:t>
      </w:r>
      <w:r w:rsidR="004F6ADC" w:rsidRPr="004F6ADC">
        <w:t>the AFML</w:t>
      </w:r>
      <w:r w:rsidR="00252804">
        <w:rPr>
          <w:rStyle w:val="FootnoteReference"/>
        </w:rPr>
        <w:footnoteReference w:id="21"/>
      </w:r>
      <w:r w:rsidR="0099334D">
        <w:t xml:space="preserve">. </w:t>
      </w:r>
      <w:r w:rsidR="004F6ADC" w:rsidRPr="004F6ADC">
        <w:t xml:space="preserve">The 11th AFML, held in Singapore, on the theme of Digitalisation was the leading regional activity in 2018. Australia’s ongoing engagement through </w:t>
      </w:r>
      <w:proofErr w:type="spellStart"/>
      <w:r w:rsidR="004F6ADC" w:rsidRPr="004F6ADC">
        <w:t>T</w:t>
      </w:r>
      <w:r w:rsidR="00A84EB1">
        <w:t>iA</w:t>
      </w:r>
      <w:proofErr w:type="spellEnd"/>
      <w:r w:rsidR="004F6ADC" w:rsidRPr="004F6ADC">
        <w:t xml:space="preserve"> has enabled us to establish strong relationships with key tripartite constituents and </w:t>
      </w:r>
      <w:r>
        <w:t>the</w:t>
      </w:r>
      <w:r w:rsidR="004F6ADC" w:rsidRPr="004F6ADC">
        <w:t xml:space="preserve"> large number of </w:t>
      </w:r>
      <w:r>
        <w:t xml:space="preserve">AFML </w:t>
      </w:r>
      <w:r w:rsidR="004F6ADC" w:rsidRPr="004F6ADC">
        <w:t>delegates.</w:t>
      </w:r>
      <w:r w:rsidR="00253B42">
        <w:t xml:space="preserve"> </w:t>
      </w:r>
    </w:p>
    <w:p w14:paraId="6EB2D7E9" w14:textId="20BD5E2F" w:rsidR="009221F8" w:rsidRDefault="00AE0981" w:rsidP="00496AD3">
      <w:pPr>
        <w:pStyle w:val="Bullet1"/>
        <w:numPr>
          <w:ilvl w:val="0"/>
          <w:numId w:val="0"/>
        </w:numPr>
        <w:rPr>
          <w:b/>
        </w:rPr>
      </w:pPr>
      <w:r w:rsidRPr="00701E52">
        <w:t xml:space="preserve">A </w:t>
      </w:r>
      <w:r w:rsidR="00421337" w:rsidRPr="00701E52">
        <w:t xml:space="preserve">2019 </w:t>
      </w:r>
      <w:r w:rsidR="00FE0B25">
        <w:t>mid-term evaluation</w:t>
      </w:r>
      <w:r w:rsidRPr="00701E52">
        <w:t xml:space="preserve"> </w:t>
      </w:r>
      <w:r w:rsidRPr="00EB53E1">
        <w:t xml:space="preserve">concluded that </w:t>
      </w:r>
      <w:proofErr w:type="spellStart"/>
      <w:r w:rsidRPr="00EB53E1">
        <w:t>TiA</w:t>
      </w:r>
      <w:proofErr w:type="spellEnd"/>
      <w:r w:rsidRPr="00EB53E1">
        <w:t xml:space="preserve"> remains highly relevant for</w:t>
      </w:r>
      <w:r w:rsidR="00421337" w:rsidRPr="00295179">
        <w:t xml:space="preserve"> DFAT and for the region</w:t>
      </w:r>
      <w:r w:rsidR="000D603E">
        <w:t xml:space="preserve">. </w:t>
      </w:r>
      <w:r w:rsidR="00421337">
        <w:t xml:space="preserve">DFAT </w:t>
      </w:r>
      <w:r w:rsidR="00E62C5D">
        <w:t xml:space="preserve">will </w:t>
      </w:r>
      <w:r w:rsidR="00421337">
        <w:t>monitor implementation</w:t>
      </w:r>
      <w:r w:rsidR="00E62C5D">
        <w:t xml:space="preserve"> of the recommendations over the coming years</w:t>
      </w:r>
      <w:r w:rsidR="0099334D">
        <w:t xml:space="preserve">. </w:t>
      </w:r>
    </w:p>
    <w:p w14:paraId="19889A05" w14:textId="002D8E25" w:rsidR="005D64AF" w:rsidRPr="00FC5D30" w:rsidRDefault="00070766" w:rsidP="0099334D">
      <w:pPr>
        <w:pStyle w:val="Bullet1"/>
        <w:numPr>
          <w:ilvl w:val="0"/>
          <w:numId w:val="0"/>
        </w:numPr>
        <w:spacing w:before="120"/>
        <w:rPr>
          <w:b/>
        </w:rPr>
      </w:pPr>
      <w:r w:rsidRPr="00FC5D30">
        <w:rPr>
          <w:b/>
        </w:rPr>
        <w:t>Human rights</w:t>
      </w:r>
      <w:r>
        <w:rPr>
          <w:b/>
        </w:rPr>
        <w:t xml:space="preserve"> and </w:t>
      </w:r>
      <w:r w:rsidR="00DF6B56">
        <w:rPr>
          <w:b/>
        </w:rPr>
        <w:t xml:space="preserve">Security </w:t>
      </w:r>
      <w:r w:rsidR="000D5E4B">
        <w:rPr>
          <w:b/>
        </w:rPr>
        <w:t>Cooperation</w:t>
      </w:r>
      <w:r w:rsidR="00DF6B56">
        <w:rPr>
          <w:b/>
        </w:rPr>
        <w:t xml:space="preserve"> </w:t>
      </w:r>
    </w:p>
    <w:p w14:paraId="2770432A" w14:textId="5F447F3D" w:rsidR="00070766" w:rsidRDefault="008E31BA" w:rsidP="001D470C">
      <w:pPr>
        <w:rPr>
          <w:rFonts w:eastAsia="Times New Roman"/>
          <w:bCs/>
        </w:rPr>
      </w:pPr>
      <w:r>
        <w:rPr>
          <w:rFonts w:eastAsia="Times New Roman"/>
        </w:rPr>
        <w:t xml:space="preserve">The ASEAN and Mekong program </w:t>
      </w:r>
      <w:r w:rsidR="00D20A3B">
        <w:rPr>
          <w:rFonts w:eastAsia="Times New Roman"/>
        </w:rPr>
        <w:t xml:space="preserve">supported deepening </w:t>
      </w:r>
      <w:r w:rsidR="00070766">
        <w:rPr>
          <w:rFonts w:eastAsia="Times New Roman"/>
        </w:rPr>
        <w:t xml:space="preserve">human rights </w:t>
      </w:r>
      <w:r>
        <w:rPr>
          <w:rFonts w:eastAsia="Times New Roman"/>
        </w:rPr>
        <w:t>engagem</w:t>
      </w:r>
      <w:r w:rsidR="001750ED">
        <w:rPr>
          <w:rFonts w:eastAsia="Times New Roman"/>
        </w:rPr>
        <w:t xml:space="preserve">ent with </w:t>
      </w:r>
      <w:r w:rsidR="00070766">
        <w:rPr>
          <w:rFonts w:eastAsia="Times New Roman"/>
          <w:bCs/>
        </w:rPr>
        <w:t>AICHR</w:t>
      </w:r>
      <w:r w:rsidR="00070766">
        <w:rPr>
          <w:rStyle w:val="FootnoteReference"/>
          <w:rFonts w:eastAsia="Times New Roman"/>
          <w:bCs/>
        </w:rPr>
        <w:footnoteReference w:id="22"/>
      </w:r>
      <w:r w:rsidR="00D20A3B">
        <w:rPr>
          <w:rFonts w:eastAsia="Times New Roman"/>
        </w:rPr>
        <w:t>, including building ties</w:t>
      </w:r>
      <w:r w:rsidR="00D20A3B">
        <w:t xml:space="preserve"> </w:t>
      </w:r>
      <w:r w:rsidR="00070766">
        <w:t xml:space="preserve">between the </w:t>
      </w:r>
      <w:r w:rsidR="00070766" w:rsidRPr="009A72D9">
        <w:t xml:space="preserve">Australian Human Rights Commission and </w:t>
      </w:r>
      <w:r w:rsidR="00070766">
        <w:t>AICHR and</w:t>
      </w:r>
      <w:r w:rsidR="00D20A3B">
        <w:rPr>
          <w:rFonts w:eastAsia="Times New Roman"/>
        </w:rPr>
        <w:t xml:space="preserve"> funding</w:t>
      </w:r>
      <w:r w:rsidR="00A12C0D">
        <w:rPr>
          <w:rFonts w:eastAsia="Times New Roman"/>
        </w:rPr>
        <w:t xml:space="preserve"> </w:t>
      </w:r>
      <w:r w:rsidR="00070766">
        <w:rPr>
          <w:rFonts w:eastAsia="Times New Roman"/>
        </w:rPr>
        <w:t>the</w:t>
      </w:r>
      <w:r w:rsidR="002C71FB">
        <w:rPr>
          <w:rFonts w:eastAsia="Times New Roman"/>
        </w:rPr>
        <w:t xml:space="preserve"> </w:t>
      </w:r>
      <w:proofErr w:type="spellStart"/>
      <w:r w:rsidR="00927772">
        <w:rPr>
          <w:rFonts w:eastAsia="Times New Roman"/>
        </w:rPr>
        <w:t>DR</w:t>
      </w:r>
      <w:r w:rsidR="00E62C5D">
        <w:rPr>
          <w:rFonts w:eastAsia="Times New Roman"/>
        </w:rPr>
        <w:t>i</w:t>
      </w:r>
      <w:r w:rsidR="00927772">
        <w:rPr>
          <w:rFonts w:eastAsia="Times New Roman"/>
        </w:rPr>
        <w:t>A</w:t>
      </w:r>
      <w:proofErr w:type="spellEnd"/>
      <w:r w:rsidR="001750ED" w:rsidRPr="001B12C9">
        <w:rPr>
          <w:rFonts w:eastAsia="Times New Roman"/>
        </w:rPr>
        <w:t xml:space="preserve"> </w:t>
      </w:r>
      <w:r w:rsidR="001750ED" w:rsidRPr="004B0A64">
        <w:rPr>
          <w:rFonts w:eastAsia="Times New Roman"/>
          <w:bCs/>
        </w:rPr>
        <w:t>progra</w:t>
      </w:r>
      <w:r w:rsidR="002C71FB">
        <w:rPr>
          <w:rFonts w:eastAsia="Times New Roman"/>
          <w:bCs/>
        </w:rPr>
        <w:t>m</w:t>
      </w:r>
      <w:r w:rsidR="0099334D">
        <w:rPr>
          <w:rFonts w:eastAsia="Times New Roman"/>
          <w:bCs/>
        </w:rPr>
        <w:t xml:space="preserve">. </w:t>
      </w:r>
      <w:proofErr w:type="spellStart"/>
      <w:r w:rsidR="00A12C0D">
        <w:rPr>
          <w:bCs/>
        </w:rPr>
        <w:t>DRiA</w:t>
      </w:r>
      <w:proofErr w:type="spellEnd"/>
      <w:r w:rsidR="00070766">
        <w:rPr>
          <w:bCs/>
        </w:rPr>
        <w:t xml:space="preserve"> s</w:t>
      </w:r>
      <w:r w:rsidR="00070766" w:rsidRPr="007C75FD">
        <w:rPr>
          <w:bCs/>
        </w:rPr>
        <w:t xml:space="preserve">upported </w:t>
      </w:r>
      <w:r w:rsidR="00070766">
        <w:rPr>
          <w:bCs/>
        </w:rPr>
        <w:t xml:space="preserve">AICHR </w:t>
      </w:r>
      <w:r w:rsidR="00A12C0D">
        <w:rPr>
          <w:bCs/>
        </w:rPr>
        <w:t xml:space="preserve">to </w:t>
      </w:r>
      <w:r w:rsidR="00070766">
        <w:rPr>
          <w:bCs/>
        </w:rPr>
        <w:t xml:space="preserve">develop </w:t>
      </w:r>
      <w:r w:rsidR="00070766" w:rsidRPr="007C75FD">
        <w:rPr>
          <w:bCs/>
        </w:rPr>
        <w:t xml:space="preserve">the ASEAN Enabling Masterplan 2025: Mainstreaming the Rights of Persons with </w:t>
      </w:r>
      <w:proofErr w:type="gramStart"/>
      <w:r w:rsidR="00070766" w:rsidRPr="007C75FD">
        <w:rPr>
          <w:bCs/>
        </w:rPr>
        <w:t>Disabilities</w:t>
      </w:r>
      <w:r w:rsidR="00070766">
        <w:rPr>
          <w:bCs/>
        </w:rPr>
        <w:t xml:space="preserve"> which</w:t>
      </w:r>
      <w:proofErr w:type="gramEnd"/>
      <w:r w:rsidR="00070766">
        <w:rPr>
          <w:bCs/>
        </w:rPr>
        <w:t xml:space="preserve"> was adopted at the ASEAN Summit in November 2018</w:t>
      </w:r>
      <w:r w:rsidR="0099334D">
        <w:rPr>
          <w:bCs/>
        </w:rPr>
        <w:t xml:space="preserve">. </w:t>
      </w:r>
      <w:r w:rsidR="00A12C0D">
        <w:rPr>
          <w:bCs/>
        </w:rPr>
        <w:t>The investment continues to work with stakeholders to</w:t>
      </w:r>
      <w:r w:rsidR="00E62C5D">
        <w:rPr>
          <w:bCs/>
        </w:rPr>
        <w:t xml:space="preserve"> help</w:t>
      </w:r>
      <w:r w:rsidR="00A12C0D">
        <w:rPr>
          <w:bCs/>
        </w:rPr>
        <w:t xml:space="preserve"> implement the ASEAN Enabling Masterplan 2025.</w:t>
      </w:r>
      <w:r w:rsidR="00070766" w:rsidRPr="007C75FD">
        <w:rPr>
          <w:bCs/>
        </w:rPr>
        <w:t xml:space="preserve"> </w:t>
      </w:r>
    </w:p>
    <w:p w14:paraId="2F22BB4E" w14:textId="5D9FC60D" w:rsidR="00B562F7" w:rsidRDefault="00070766" w:rsidP="00496AD3">
      <w:pPr>
        <w:rPr>
          <w:rFonts w:asciiTheme="majorHAnsi" w:eastAsiaTheme="majorEastAsia" w:hAnsiTheme="majorHAnsi" w:cstheme="majorBidi"/>
          <w:caps/>
          <w:sz w:val="38"/>
          <w:szCs w:val="26"/>
        </w:rPr>
      </w:pPr>
      <w:r w:rsidRPr="005331CB">
        <w:rPr>
          <w:rFonts w:eastAsia="Times New Roman"/>
          <w:bCs/>
        </w:rPr>
        <w:t xml:space="preserve">We </w:t>
      </w:r>
      <w:r w:rsidR="00EB53E1" w:rsidRPr="00295179">
        <w:rPr>
          <w:rFonts w:eastAsia="Times New Roman"/>
          <w:bCs/>
        </w:rPr>
        <w:t xml:space="preserve">have </w:t>
      </w:r>
      <w:r w:rsidRPr="005331CB">
        <w:rPr>
          <w:rFonts w:eastAsia="Times New Roman"/>
          <w:bCs/>
        </w:rPr>
        <w:t xml:space="preserve">commenced scoping of a new </w:t>
      </w:r>
      <w:r w:rsidR="00D20A3B">
        <w:rPr>
          <w:rFonts w:eastAsia="Times New Roman"/>
          <w:bCs/>
        </w:rPr>
        <w:t>capacity-building</w:t>
      </w:r>
      <w:r w:rsidRPr="005331CB">
        <w:rPr>
          <w:rFonts w:eastAsia="Times New Roman"/>
          <w:bCs/>
        </w:rPr>
        <w:t xml:space="preserve"> program</w:t>
      </w:r>
      <w:r w:rsidR="00D20A3B">
        <w:rPr>
          <w:rFonts w:eastAsia="Times New Roman"/>
          <w:bCs/>
        </w:rPr>
        <w:t xml:space="preserve"> to support ASEAN’s political-security pillar. It</w:t>
      </w:r>
      <w:r w:rsidRPr="005331CB">
        <w:rPr>
          <w:rFonts w:eastAsia="Times New Roman"/>
          <w:bCs/>
        </w:rPr>
        <w:t xml:space="preserve"> will </w:t>
      </w:r>
      <w:r w:rsidR="00753DBC">
        <w:rPr>
          <w:rFonts w:eastAsia="Times New Roman"/>
          <w:bCs/>
        </w:rPr>
        <w:t xml:space="preserve">focus on </w:t>
      </w:r>
      <w:r w:rsidR="00D20A3B">
        <w:rPr>
          <w:rFonts w:eastAsia="Times New Roman"/>
          <w:bCs/>
        </w:rPr>
        <w:t>m</w:t>
      </w:r>
      <w:r w:rsidR="00753DBC">
        <w:rPr>
          <w:rFonts w:eastAsia="Times New Roman"/>
          <w:bCs/>
        </w:rPr>
        <w:t xml:space="preserve">aritime, </w:t>
      </w:r>
      <w:r w:rsidR="00D20A3B">
        <w:rPr>
          <w:rFonts w:eastAsia="Times New Roman"/>
          <w:bCs/>
        </w:rPr>
        <w:t>c</w:t>
      </w:r>
      <w:r w:rsidR="00753DBC">
        <w:rPr>
          <w:rFonts w:eastAsia="Times New Roman"/>
          <w:bCs/>
        </w:rPr>
        <w:t xml:space="preserve">yber </w:t>
      </w:r>
      <w:r w:rsidR="00D20A3B">
        <w:rPr>
          <w:rFonts w:eastAsia="Times New Roman"/>
          <w:bCs/>
        </w:rPr>
        <w:t xml:space="preserve">cooperation </w:t>
      </w:r>
      <w:r w:rsidR="00753DBC">
        <w:rPr>
          <w:rFonts w:eastAsia="Times New Roman"/>
          <w:bCs/>
        </w:rPr>
        <w:t xml:space="preserve">and </w:t>
      </w:r>
      <w:r w:rsidR="00604C3A">
        <w:rPr>
          <w:rFonts w:eastAsia="Times New Roman"/>
          <w:bCs/>
        </w:rPr>
        <w:t>the</w:t>
      </w:r>
      <w:r w:rsidR="00D20A3B">
        <w:rPr>
          <w:rFonts w:eastAsia="Times New Roman"/>
          <w:bCs/>
        </w:rPr>
        <w:t xml:space="preserve"> </w:t>
      </w:r>
      <w:r w:rsidR="002C71FB" w:rsidRPr="005F0CF6">
        <w:rPr>
          <w:rFonts w:eastAsia="Times New Roman"/>
          <w:bCs/>
        </w:rPr>
        <w:t>ASEAN-Australia Women, Peace and</w:t>
      </w:r>
      <w:r w:rsidR="00B63D5E" w:rsidRPr="005F0CF6">
        <w:rPr>
          <w:rFonts w:eastAsia="Times New Roman"/>
          <w:bCs/>
        </w:rPr>
        <w:t xml:space="preserve"> Security </w:t>
      </w:r>
      <w:r w:rsidR="00753DBC">
        <w:rPr>
          <w:rFonts w:eastAsia="Times New Roman"/>
          <w:bCs/>
        </w:rPr>
        <w:t xml:space="preserve">Dialogue </w:t>
      </w:r>
      <w:r w:rsidR="00604C3A">
        <w:rPr>
          <w:rFonts w:eastAsia="Times New Roman"/>
          <w:bCs/>
        </w:rPr>
        <w:t xml:space="preserve">activities, as </w:t>
      </w:r>
      <w:r w:rsidR="00753DBC">
        <w:rPr>
          <w:rFonts w:eastAsia="Times New Roman"/>
          <w:bCs/>
        </w:rPr>
        <w:t xml:space="preserve">announced at </w:t>
      </w:r>
      <w:r w:rsidR="00604C3A">
        <w:rPr>
          <w:rFonts w:eastAsia="Times New Roman"/>
          <w:bCs/>
        </w:rPr>
        <w:t xml:space="preserve">last year’s </w:t>
      </w:r>
      <w:r w:rsidR="00753DBC" w:rsidRPr="005F0CF6">
        <w:rPr>
          <w:rFonts w:eastAsia="Times New Roman"/>
          <w:bCs/>
        </w:rPr>
        <w:t>Special Summit</w:t>
      </w:r>
      <w:r w:rsidR="001750ED" w:rsidRPr="005F0CF6">
        <w:rPr>
          <w:rFonts w:eastAsia="Times New Roman"/>
          <w:bCs/>
        </w:rPr>
        <w:t>.</w:t>
      </w:r>
      <w:r w:rsidR="00807FF1">
        <w:rPr>
          <w:rFonts w:eastAsia="Times New Roman"/>
          <w:bCs/>
        </w:rPr>
        <w:t xml:space="preserve"> </w:t>
      </w:r>
    </w:p>
    <w:p w14:paraId="0DC8C75F" w14:textId="285DBCDA" w:rsidR="005B5769" w:rsidRPr="00015316" w:rsidRDefault="005B5769" w:rsidP="00496AD3">
      <w:pPr>
        <w:suppressAutoHyphens w:val="0"/>
        <w:spacing w:line="440" w:lineRule="atLeast"/>
        <w:rPr>
          <w:rFonts w:asciiTheme="majorHAnsi" w:eastAsiaTheme="majorEastAsia" w:hAnsiTheme="majorHAnsi" w:cstheme="majorBidi"/>
          <w:caps/>
          <w:sz w:val="38"/>
          <w:szCs w:val="26"/>
        </w:rPr>
      </w:pPr>
      <w:r w:rsidRPr="00015316">
        <w:rPr>
          <w:rFonts w:asciiTheme="majorHAnsi" w:eastAsiaTheme="majorEastAsia" w:hAnsiTheme="majorHAnsi" w:cstheme="majorBidi"/>
          <w:caps/>
          <w:sz w:val="38"/>
          <w:szCs w:val="26"/>
        </w:rPr>
        <w:t>Mutual Obligations</w:t>
      </w:r>
    </w:p>
    <w:p w14:paraId="121E89CC" w14:textId="0F30FFA0" w:rsidR="00FF7E6F" w:rsidRDefault="002C593E" w:rsidP="002C593E">
      <w:pPr>
        <w:spacing w:before="0"/>
      </w:pPr>
      <w:r w:rsidRPr="002C593E">
        <w:t>Australia’s engagement with ASEAN is governed by the ASEAN-Australia Strategic Partnership (2014) and</w:t>
      </w:r>
      <w:r w:rsidR="00FE0B25">
        <w:t xml:space="preserve"> associated Plan of Action</w:t>
      </w:r>
      <w:r w:rsidRPr="002C593E">
        <w:t xml:space="preserve">, which is divided into areas of cooperation under ASEAN’s three pillars (Political-Security, Economic, </w:t>
      </w:r>
      <w:proofErr w:type="gramStart"/>
      <w:r w:rsidRPr="002C593E">
        <w:t>Socio</w:t>
      </w:r>
      <w:proofErr w:type="gramEnd"/>
      <w:r w:rsidRPr="002C593E">
        <w:t>-Cultural)</w:t>
      </w:r>
      <w:r w:rsidR="0099334D">
        <w:t xml:space="preserve">. </w:t>
      </w:r>
      <w:r w:rsidR="00883778">
        <w:t xml:space="preserve">The overall purpose of the Strategic Partnership is to </w:t>
      </w:r>
      <w:r w:rsidR="00C3123F">
        <w:t>outline areas of shared interest and agree on priorities</w:t>
      </w:r>
      <w:r w:rsidR="00883778">
        <w:t xml:space="preserve">, including </w:t>
      </w:r>
      <w:r w:rsidR="00C3123F">
        <w:t xml:space="preserve">in </w:t>
      </w:r>
      <w:r w:rsidR="00883778">
        <w:t>development cooperation</w:t>
      </w:r>
      <w:r w:rsidR="0099334D">
        <w:t xml:space="preserve">. </w:t>
      </w:r>
      <w:r w:rsidR="00FF7E6F">
        <w:t>The ASEAN and Mekong program contributes to all three pillars</w:t>
      </w:r>
      <w:r w:rsidR="004022C5">
        <w:t xml:space="preserve"> and </w:t>
      </w:r>
      <w:r w:rsidR="00C3123F">
        <w:t xml:space="preserve">investments </w:t>
      </w:r>
      <w:proofErr w:type="gramStart"/>
      <w:r w:rsidR="00C3123F">
        <w:t xml:space="preserve">are embedded </w:t>
      </w:r>
      <w:r w:rsidR="00E8250D">
        <w:t xml:space="preserve">in </w:t>
      </w:r>
      <w:r w:rsidR="00C3123F">
        <w:t xml:space="preserve">and/or </w:t>
      </w:r>
      <w:r w:rsidR="00E8250D">
        <w:t xml:space="preserve">closely </w:t>
      </w:r>
      <w:r w:rsidR="00CD03DA">
        <w:t>engaged</w:t>
      </w:r>
      <w:r w:rsidR="00FF7E6F">
        <w:t xml:space="preserve"> with ASEAN bodies and</w:t>
      </w:r>
      <w:r w:rsidR="00C3123F">
        <w:t xml:space="preserve"> processes</w:t>
      </w:r>
      <w:proofErr w:type="gramEnd"/>
      <w:r w:rsidR="00FF7E6F">
        <w:t>.</w:t>
      </w:r>
      <w:r w:rsidR="001A75ED">
        <w:t xml:space="preserve"> </w:t>
      </w:r>
      <w:r w:rsidR="001A75ED" w:rsidRPr="001A75ED">
        <w:rPr>
          <w:lang w:val="en-AU"/>
        </w:rPr>
        <w:t>Ministerial meetings, Senior Official’s meetings and Ambassador-level engagement provide oversight to the relationship, including our programs.</w:t>
      </w:r>
    </w:p>
    <w:p w14:paraId="067EB2FD" w14:textId="064656DE" w:rsidR="002C593E" w:rsidRPr="002C593E" w:rsidRDefault="004022C5" w:rsidP="002C593E">
      <w:pPr>
        <w:spacing w:before="0"/>
      </w:pPr>
      <w:r w:rsidRPr="007661D3">
        <w:t>On the economic pillar</w:t>
      </w:r>
      <w:r>
        <w:t xml:space="preserve">, </w:t>
      </w:r>
      <w:r w:rsidR="002C593E" w:rsidRPr="002C593E">
        <w:t xml:space="preserve">Australia works directly with </w:t>
      </w:r>
      <w:r w:rsidR="00672526">
        <w:t>the ASEAN Secretariat (</w:t>
      </w:r>
      <w:r w:rsidR="002C593E" w:rsidRPr="002C593E">
        <w:t>A</w:t>
      </w:r>
      <w:r w:rsidR="00B63D5E">
        <w:t>S</w:t>
      </w:r>
      <w:r w:rsidR="002C593E" w:rsidRPr="002C593E">
        <w:t>EC</w:t>
      </w:r>
      <w:r w:rsidR="00672526">
        <w:t>)</w:t>
      </w:r>
      <w:r w:rsidR="002C593E" w:rsidRPr="002C593E">
        <w:t xml:space="preserve"> to implement AADCP II and AECSP in support of the AEC</w:t>
      </w:r>
      <w:r w:rsidR="00581BE6">
        <w:t>, with ASEC providing significant in-kind contributions for project implementation, office space and corporate support</w:t>
      </w:r>
      <w:r w:rsidR="0099334D">
        <w:t xml:space="preserve">. </w:t>
      </w:r>
      <w:r w:rsidR="002C593E" w:rsidRPr="002C593E">
        <w:t xml:space="preserve">ASEAN’s obligations under AADCP II </w:t>
      </w:r>
      <w:proofErr w:type="gramStart"/>
      <w:r w:rsidR="002C593E" w:rsidRPr="002C593E">
        <w:t>are outlined</w:t>
      </w:r>
      <w:proofErr w:type="gramEnd"/>
      <w:r w:rsidR="002C593E" w:rsidRPr="002C593E">
        <w:t xml:space="preserve"> in a program-level funding agreement, with the accountability of partners tracked and reported through the annual </w:t>
      </w:r>
      <w:r w:rsidR="005D64AF">
        <w:t xml:space="preserve">meeting of the </w:t>
      </w:r>
      <w:r w:rsidR="002C593E" w:rsidRPr="002C593E">
        <w:t xml:space="preserve">Joint Planning and Review Committee. </w:t>
      </w:r>
    </w:p>
    <w:p w14:paraId="45A55972" w14:textId="0AC4CA87" w:rsidR="002C593E" w:rsidRDefault="002C593E" w:rsidP="002C593E">
      <w:pPr>
        <w:spacing w:before="0"/>
      </w:pPr>
      <w:r w:rsidRPr="007661D3">
        <w:t>One of AANZFTA’s</w:t>
      </w:r>
      <w:r w:rsidRPr="002C593E">
        <w:t xml:space="preserve"> innovations was to incorporate economic cooperation as an integral part of the FTA. </w:t>
      </w:r>
      <w:proofErr w:type="gramStart"/>
      <w:r w:rsidRPr="002C593E">
        <w:t>AECSP projects are overseen by AANZFTA’s Joint Committee, chaired by Australia</w:t>
      </w:r>
      <w:r w:rsidR="001A2966">
        <w:t>,</w:t>
      </w:r>
      <w:r w:rsidRPr="002C593E">
        <w:t xml:space="preserve"> New Zealand and Brunei (representing ASEAN)</w:t>
      </w:r>
      <w:r w:rsidR="001A2966">
        <w:t xml:space="preserve"> and the Joint Committee’s subsidiary bodies</w:t>
      </w:r>
      <w:proofErr w:type="gramEnd"/>
      <w:r w:rsidR="0099334D">
        <w:t xml:space="preserve">. </w:t>
      </w:r>
      <w:r w:rsidRPr="002C593E">
        <w:t xml:space="preserve">Through the development </w:t>
      </w:r>
      <w:r w:rsidR="00833D6D">
        <w:t xml:space="preserve">and implementation </w:t>
      </w:r>
      <w:r w:rsidRPr="002C593E">
        <w:t>of AECSP projects</w:t>
      </w:r>
      <w:r w:rsidR="00833D6D">
        <w:t>,</w:t>
      </w:r>
      <w:r w:rsidRPr="002C593E">
        <w:t xml:space="preserve"> Australia can influence the regional economic integration agenda by working directly with ASEAN </w:t>
      </w:r>
      <w:r w:rsidR="00B548BC">
        <w:t>officials and sectoral bodies</w:t>
      </w:r>
      <w:r w:rsidR="0099334D">
        <w:t xml:space="preserve">. </w:t>
      </w:r>
      <w:r w:rsidRPr="002C593E">
        <w:t>This structure also creates strong connections between ASEAN and Australian officials working on specific issues, which is of long-term benefit to the relationship</w:t>
      </w:r>
      <w:r w:rsidR="0099334D">
        <w:t xml:space="preserve">. </w:t>
      </w:r>
    </w:p>
    <w:p w14:paraId="0D7CD9A0" w14:textId="00ACE13A" w:rsidR="002E16D1" w:rsidRDefault="004022C5" w:rsidP="002C593E">
      <w:pPr>
        <w:rPr>
          <w:lang w:val="en-AU"/>
        </w:rPr>
      </w:pPr>
      <w:r w:rsidRPr="007661D3">
        <w:t xml:space="preserve">Regional level </w:t>
      </w:r>
      <w:proofErr w:type="spellStart"/>
      <w:r w:rsidRPr="007661D3">
        <w:t>workplans</w:t>
      </w:r>
      <w:proofErr w:type="spellEnd"/>
      <w:r>
        <w:t xml:space="preserve"> </w:t>
      </w:r>
      <w:r w:rsidR="00C3123F">
        <w:t xml:space="preserve">for AAPTIP and </w:t>
      </w:r>
      <w:proofErr w:type="spellStart"/>
      <w:r w:rsidR="003D24EC">
        <w:t>TiA</w:t>
      </w:r>
      <w:proofErr w:type="spellEnd"/>
      <w:r w:rsidR="00C3123F">
        <w:t xml:space="preserve"> </w:t>
      </w:r>
      <w:proofErr w:type="gramStart"/>
      <w:r>
        <w:t>are developed</w:t>
      </w:r>
      <w:proofErr w:type="gramEnd"/>
      <w:r>
        <w:t xml:space="preserve"> in close consultation with </w:t>
      </w:r>
      <w:r w:rsidR="00C3123F">
        <w:t xml:space="preserve">the </w:t>
      </w:r>
      <w:r>
        <w:t>relevant ASEAN bodies</w:t>
      </w:r>
      <w:r w:rsidR="00CD03DA">
        <w:t xml:space="preserve"> from the other two pillars</w:t>
      </w:r>
      <w:r w:rsidR="0099334D">
        <w:t>.</w:t>
      </w:r>
      <w:r w:rsidR="002E16D1">
        <w:t xml:space="preserve"> </w:t>
      </w:r>
      <w:r w:rsidR="002E16D1" w:rsidRPr="002E16D1">
        <w:rPr>
          <w:lang w:val="en-AU"/>
        </w:rPr>
        <w:t xml:space="preserve">The Senior Officials Meeting on Transnational Crime (Political-Security pillar) endorses the ASEAN-AAPTIP </w:t>
      </w:r>
      <w:proofErr w:type="spellStart"/>
      <w:r w:rsidR="002E16D1" w:rsidRPr="002E16D1">
        <w:rPr>
          <w:lang w:val="en-AU"/>
        </w:rPr>
        <w:t>workplan</w:t>
      </w:r>
      <w:proofErr w:type="spellEnd"/>
      <w:r w:rsidR="002E16D1" w:rsidRPr="002E16D1">
        <w:rPr>
          <w:lang w:val="en-AU"/>
        </w:rPr>
        <w:t xml:space="preserve"> and the ASEAN Committee on the Implementation of the ASEAN Declaration on the Protection and Promotion of the Rights of Migrant Workers (Socio-Cultural pillar) </w:t>
      </w:r>
      <w:proofErr w:type="gramStart"/>
      <w:r w:rsidR="002E16D1" w:rsidRPr="002E16D1">
        <w:rPr>
          <w:lang w:val="en-AU"/>
        </w:rPr>
        <w:t>is represented</w:t>
      </w:r>
      <w:proofErr w:type="gramEnd"/>
      <w:r w:rsidR="002E16D1" w:rsidRPr="002E16D1">
        <w:rPr>
          <w:lang w:val="en-AU"/>
        </w:rPr>
        <w:t xml:space="preserve"> on the Regional Steering Committee that endorses the </w:t>
      </w:r>
      <w:proofErr w:type="spellStart"/>
      <w:r w:rsidR="00A84EB1">
        <w:rPr>
          <w:lang w:val="en-AU"/>
        </w:rPr>
        <w:t>TiA</w:t>
      </w:r>
      <w:proofErr w:type="spellEnd"/>
      <w:r w:rsidR="002E16D1" w:rsidRPr="002E16D1">
        <w:rPr>
          <w:lang w:val="en-AU"/>
        </w:rPr>
        <w:t xml:space="preserve"> </w:t>
      </w:r>
      <w:proofErr w:type="spellStart"/>
      <w:r w:rsidR="002E16D1" w:rsidRPr="002E16D1">
        <w:rPr>
          <w:lang w:val="en-AU"/>
        </w:rPr>
        <w:t>workplan</w:t>
      </w:r>
      <w:proofErr w:type="spellEnd"/>
      <w:r w:rsidR="002E16D1">
        <w:rPr>
          <w:lang w:val="en-AU"/>
        </w:rPr>
        <w:t xml:space="preserve">. </w:t>
      </w:r>
    </w:p>
    <w:p w14:paraId="0C62C394" w14:textId="0290B3D2" w:rsidR="004F4690" w:rsidRDefault="006A1533" w:rsidP="002C593E">
      <w:r>
        <w:t xml:space="preserve">Memoranda of Subsidiary </w:t>
      </w:r>
      <w:r w:rsidRPr="005331CB">
        <w:t>Agreements</w:t>
      </w:r>
      <w:r w:rsidR="00260C5D">
        <w:t xml:space="preserve"> for AACT</w:t>
      </w:r>
      <w:r w:rsidR="00070766">
        <w:t xml:space="preserve"> </w:t>
      </w:r>
      <w:proofErr w:type="gramStart"/>
      <w:r w:rsidR="00070766">
        <w:t>are being signed</w:t>
      </w:r>
      <w:proofErr w:type="gramEnd"/>
      <w:r w:rsidR="00070766">
        <w:t xml:space="preserve"> with </w:t>
      </w:r>
      <w:r>
        <w:t>partner governments</w:t>
      </w:r>
      <w:r w:rsidR="0099334D">
        <w:t xml:space="preserve">. </w:t>
      </w:r>
      <w:r w:rsidR="00FF7E6F" w:rsidRPr="002C593E">
        <w:t xml:space="preserve">Activities </w:t>
      </w:r>
      <w:r w:rsidR="001724BA">
        <w:t xml:space="preserve">to </w:t>
      </w:r>
      <w:proofErr w:type="gramStart"/>
      <w:r w:rsidR="001724BA">
        <w:t xml:space="preserve">be </w:t>
      </w:r>
      <w:r w:rsidR="00FF7E6F" w:rsidRPr="002C593E">
        <w:t>delivered</w:t>
      </w:r>
      <w:proofErr w:type="gramEnd"/>
      <w:r w:rsidR="00FF7E6F" w:rsidRPr="002C593E">
        <w:t xml:space="preserve"> under the </w:t>
      </w:r>
      <w:r w:rsidR="001724BA">
        <w:t xml:space="preserve">AACT </w:t>
      </w:r>
      <w:r w:rsidR="001A70AF">
        <w:t xml:space="preserve">subsidiary </w:t>
      </w:r>
      <w:r w:rsidR="00FF7E6F" w:rsidRPr="002C593E">
        <w:t xml:space="preserve">agreements </w:t>
      </w:r>
      <w:r w:rsidR="007C1CF3">
        <w:t xml:space="preserve">will </w:t>
      </w:r>
      <w:r w:rsidR="00FF7E6F" w:rsidRPr="002C593E">
        <w:t xml:space="preserve">support </w:t>
      </w:r>
      <w:r w:rsidR="00FF7E6F">
        <w:t>A</w:t>
      </w:r>
      <w:r w:rsidR="00252566">
        <w:t xml:space="preserve">SEAN Member </w:t>
      </w:r>
      <w:r w:rsidR="00FF7E6F">
        <w:t>S</w:t>
      </w:r>
      <w:r w:rsidR="00252566">
        <w:t>tates</w:t>
      </w:r>
      <w:r w:rsidR="00FF7E6F" w:rsidRPr="002C593E">
        <w:t xml:space="preserve"> to meet</w:t>
      </w:r>
      <w:r w:rsidR="001A70AF">
        <w:t xml:space="preserve"> ASEAN and national level responsibilities</w:t>
      </w:r>
      <w:r w:rsidR="0099334D">
        <w:t>.</w:t>
      </w:r>
      <w:r w:rsidR="00604C3A">
        <w:t xml:space="preserve"> </w:t>
      </w:r>
      <w:r w:rsidR="009A72D9" w:rsidRPr="006F1761">
        <w:t xml:space="preserve">ASEAN-ACT </w:t>
      </w:r>
      <w:r w:rsidR="00604C3A">
        <w:t xml:space="preserve">has </w:t>
      </w:r>
      <w:r w:rsidR="009A72D9">
        <w:t>commenced</w:t>
      </w:r>
      <w:r w:rsidR="009A72D9" w:rsidRPr="006F1761">
        <w:t xml:space="preserve"> </w:t>
      </w:r>
      <w:r w:rsidR="00604C3A">
        <w:t xml:space="preserve">consultations and </w:t>
      </w:r>
      <w:r w:rsidR="009A72D9" w:rsidRPr="006F1761">
        <w:t xml:space="preserve">project planning with partner governments to inform implementation in 2020. </w:t>
      </w:r>
      <w:proofErr w:type="gramStart"/>
      <w:r w:rsidR="00604C3A" w:rsidRPr="002C593E">
        <w:t xml:space="preserve">Australia’s </w:t>
      </w:r>
      <w:r w:rsidR="00604C3A">
        <w:t>engagement</w:t>
      </w:r>
      <w:r w:rsidR="00604C3A" w:rsidRPr="002C593E">
        <w:t xml:space="preserve"> with countries implementing </w:t>
      </w:r>
      <w:proofErr w:type="spellStart"/>
      <w:r w:rsidR="00604C3A">
        <w:t>TiA</w:t>
      </w:r>
      <w:proofErr w:type="spellEnd"/>
      <w:r w:rsidR="00604C3A" w:rsidRPr="002C593E">
        <w:t xml:space="preserve"> </w:t>
      </w:r>
      <w:r w:rsidR="00604C3A">
        <w:t>is</w:t>
      </w:r>
      <w:r w:rsidR="00604C3A" w:rsidRPr="002C593E">
        <w:t xml:space="preserve"> governed by</w:t>
      </w:r>
      <w:r w:rsidR="00604C3A">
        <w:t xml:space="preserve"> </w:t>
      </w:r>
      <w:r w:rsidR="00604C3A" w:rsidRPr="002C593E">
        <w:t>Memorandum of Understanding</w:t>
      </w:r>
      <w:r w:rsidR="00604C3A">
        <w:t>s</w:t>
      </w:r>
      <w:r w:rsidR="00604C3A" w:rsidRPr="002C593E">
        <w:t xml:space="preserve"> with the ILO</w:t>
      </w:r>
      <w:proofErr w:type="gramEnd"/>
      <w:r w:rsidR="00604C3A">
        <w:t>.</w:t>
      </w:r>
    </w:p>
    <w:p w14:paraId="3ECABC75" w14:textId="49C9122C" w:rsidR="0042620F" w:rsidRPr="002C593E" w:rsidRDefault="002C593E">
      <w:pPr>
        <w:spacing w:before="0"/>
      </w:pPr>
      <w:r w:rsidRPr="002C593E">
        <w:t>The GMWRP enjoys a high level of cooperation with Mekong governments and institutions, giving us the capacity to shape outcomes</w:t>
      </w:r>
      <w:r w:rsidR="0099334D">
        <w:t xml:space="preserve">. </w:t>
      </w:r>
      <w:r w:rsidR="0042620F" w:rsidRPr="00490E8D">
        <w:t>Fo</w:t>
      </w:r>
      <w:r w:rsidR="00FE61C5">
        <w:t xml:space="preserve">r example, 2018-19 saw a </w:t>
      </w:r>
      <w:r w:rsidR="0042620F" w:rsidRPr="00490E8D">
        <w:t xml:space="preserve">renewal of our water partnerships with Myanmar and Thailand, and </w:t>
      </w:r>
      <w:r w:rsidR="00D20A3B">
        <w:t xml:space="preserve">closer engagement with the </w:t>
      </w:r>
      <w:r w:rsidR="0042620F" w:rsidRPr="00490E8D">
        <w:t xml:space="preserve">MRC to support their new leadership regime at a time </w:t>
      </w:r>
      <w:r w:rsidR="00D20A3B">
        <w:t>of shifting strategic dynamics in the sub-region</w:t>
      </w:r>
      <w:r w:rsidR="0042620F" w:rsidRPr="00490E8D">
        <w:t>.</w:t>
      </w:r>
    </w:p>
    <w:p w14:paraId="5F2DCBF8" w14:textId="254B13D5" w:rsidR="00B63D5E" w:rsidRDefault="00FF7E6F" w:rsidP="00F162C9">
      <w:pPr>
        <w:spacing w:before="0"/>
      </w:pPr>
      <w:r>
        <w:t>T</w:t>
      </w:r>
      <w:r w:rsidR="002C593E" w:rsidRPr="002C593E">
        <w:t xml:space="preserve">he Program </w:t>
      </w:r>
      <w:r w:rsidR="00604C3A">
        <w:t>complements</w:t>
      </w:r>
      <w:r w:rsidR="002C593E" w:rsidRPr="002C593E">
        <w:t xml:space="preserve"> Australia’s bilateral</w:t>
      </w:r>
      <w:r w:rsidR="00604C3A">
        <w:t xml:space="preserve">, regional and </w:t>
      </w:r>
      <w:r w:rsidR="00E8250D">
        <w:t xml:space="preserve">broader </w:t>
      </w:r>
      <w:r w:rsidR="002C593E" w:rsidRPr="002C593E">
        <w:t xml:space="preserve">multilateral investments for Southeast Asia. A challenge is to ensure that </w:t>
      </w:r>
      <w:proofErr w:type="gramStart"/>
      <w:r w:rsidR="002C593E" w:rsidRPr="002C593E">
        <w:t>all  of</w:t>
      </w:r>
      <w:proofErr w:type="gramEnd"/>
      <w:r w:rsidR="002C593E" w:rsidRPr="002C593E">
        <w:t xml:space="preserve"> our contribution</w:t>
      </w:r>
      <w:r w:rsidR="00604C3A">
        <w:t>s</w:t>
      </w:r>
      <w:r w:rsidR="002C593E" w:rsidRPr="002C593E">
        <w:t xml:space="preserve"> are appropriately joined up to tell the full Australian </w:t>
      </w:r>
      <w:r w:rsidR="00604C3A">
        <w:t>development cooperation</w:t>
      </w:r>
      <w:r w:rsidR="00604C3A" w:rsidRPr="002C593E">
        <w:t xml:space="preserve"> </w:t>
      </w:r>
      <w:r w:rsidR="002C593E" w:rsidRPr="002C593E">
        <w:t>story in the region.</w:t>
      </w:r>
    </w:p>
    <w:p w14:paraId="2D852C31" w14:textId="77777777" w:rsidR="00B21804" w:rsidRDefault="00B21804" w:rsidP="00B21804">
      <w:pPr>
        <w:suppressAutoHyphens w:val="0"/>
        <w:spacing w:before="0" w:after="120" w:line="440" w:lineRule="atLeast"/>
        <w:rPr>
          <w:rFonts w:asciiTheme="majorHAnsi" w:eastAsiaTheme="majorEastAsia" w:hAnsiTheme="majorHAnsi" w:cstheme="majorBidi"/>
          <w:caps/>
          <w:sz w:val="38"/>
          <w:szCs w:val="26"/>
        </w:rPr>
      </w:pPr>
    </w:p>
    <w:p w14:paraId="6570020A" w14:textId="77777777" w:rsidR="00996056" w:rsidRDefault="00996056" w:rsidP="00B21804">
      <w:pPr>
        <w:suppressAutoHyphens w:val="0"/>
        <w:spacing w:before="0" w:after="120" w:line="440" w:lineRule="atLeast"/>
        <w:rPr>
          <w:rFonts w:asciiTheme="majorHAnsi" w:eastAsiaTheme="majorEastAsia" w:hAnsiTheme="majorHAnsi" w:cstheme="majorBidi"/>
          <w:caps/>
          <w:sz w:val="38"/>
          <w:szCs w:val="26"/>
        </w:rPr>
      </w:pPr>
    </w:p>
    <w:p w14:paraId="72480277" w14:textId="2DD87E3F" w:rsidR="005B5769" w:rsidRPr="00F61636" w:rsidRDefault="005B5769" w:rsidP="00B21804">
      <w:pPr>
        <w:suppressAutoHyphens w:val="0"/>
        <w:spacing w:before="0" w:after="120" w:line="440" w:lineRule="atLeast"/>
        <w:rPr>
          <w:rFonts w:asciiTheme="majorHAnsi" w:eastAsiaTheme="majorEastAsia" w:hAnsiTheme="majorHAnsi" w:cstheme="majorBidi"/>
          <w:caps/>
          <w:sz w:val="38"/>
          <w:szCs w:val="26"/>
        </w:rPr>
      </w:pPr>
      <w:r w:rsidRPr="00F61636">
        <w:rPr>
          <w:rFonts w:asciiTheme="majorHAnsi" w:eastAsiaTheme="majorEastAsia" w:hAnsiTheme="majorHAnsi" w:cstheme="majorBidi"/>
          <w:caps/>
          <w:sz w:val="38"/>
          <w:szCs w:val="26"/>
        </w:rPr>
        <w:t>Program Quality</w:t>
      </w:r>
    </w:p>
    <w:p w14:paraId="54212A37" w14:textId="4C449BF6" w:rsidR="00792EDC" w:rsidRDefault="00792EDC" w:rsidP="004B0A64">
      <w:pPr>
        <w:spacing w:before="0"/>
      </w:pPr>
      <w:r w:rsidRPr="00A723C0">
        <w:t>The</w:t>
      </w:r>
      <w:r w:rsidRPr="00CC5460">
        <w:t xml:space="preserve"> Program </w:t>
      </w:r>
      <w:r>
        <w:t>s</w:t>
      </w:r>
      <w:r w:rsidRPr="00CC5460">
        <w:t>trengthen</w:t>
      </w:r>
      <w:r>
        <w:t>ed</w:t>
      </w:r>
      <w:r w:rsidRPr="00CC5460">
        <w:t xml:space="preserve"> </w:t>
      </w:r>
      <w:r>
        <w:t xml:space="preserve">the </w:t>
      </w:r>
      <w:r w:rsidRPr="00CC5460">
        <w:t xml:space="preserve">quality of aid delivery, including through closer oversight of partners and </w:t>
      </w:r>
      <w:r w:rsidR="004C5C28">
        <w:t>sourcing relevant</w:t>
      </w:r>
      <w:r w:rsidRPr="00CC5460">
        <w:t xml:space="preserve"> </w:t>
      </w:r>
      <w:r w:rsidR="00361893">
        <w:t xml:space="preserve">external </w:t>
      </w:r>
      <w:r w:rsidRPr="00CC5460">
        <w:t>technical expertise</w:t>
      </w:r>
      <w:r w:rsidR="004C5C28">
        <w:t>.</w:t>
      </w:r>
    </w:p>
    <w:p w14:paraId="4832A80B" w14:textId="025891CA" w:rsidR="00262925" w:rsidRPr="00C34A10" w:rsidRDefault="00CC5460" w:rsidP="004B0A64">
      <w:pPr>
        <w:spacing w:before="0"/>
      </w:pPr>
      <w:r w:rsidRPr="00CC5460">
        <w:t xml:space="preserve">Aid Quality Checks </w:t>
      </w:r>
      <w:r w:rsidRPr="00A723C0">
        <w:t xml:space="preserve">(AQCs) </w:t>
      </w:r>
      <w:proofErr w:type="gramStart"/>
      <w:r w:rsidRPr="00A723C0">
        <w:t>were undertaken</w:t>
      </w:r>
      <w:proofErr w:type="gramEnd"/>
      <w:r w:rsidRPr="00A723C0">
        <w:t xml:space="preserve"> on </w:t>
      </w:r>
      <w:r w:rsidR="0017148C">
        <w:t>nine</w:t>
      </w:r>
      <w:r w:rsidRPr="00A723C0">
        <w:t xml:space="preserve"> investments</w:t>
      </w:r>
      <w:r w:rsidR="00672526" w:rsidRPr="00A723C0">
        <w:t xml:space="preserve"> and</w:t>
      </w:r>
      <w:r w:rsidR="00B40766" w:rsidRPr="00A723C0">
        <w:t xml:space="preserve"> Final Aid Quality Checks (FAQC) were completed on two investments</w:t>
      </w:r>
      <w:r w:rsidR="0099334D">
        <w:t xml:space="preserve">. </w:t>
      </w:r>
      <w:r w:rsidRPr="00CC5460">
        <w:t>AQC ratings showed no investments requiring improvement and ratings overall remained satisfactory</w:t>
      </w:r>
      <w:r w:rsidR="00792EDC">
        <w:t xml:space="preserve"> across most criteria</w:t>
      </w:r>
      <w:r w:rsidR="0099334D">
        <w:t xml:space="preserve">. </w:t>
      </w:r>
      <w:r w:rsidR="00792EDC">
        <w:t>Effectiveness of investments remained adequate</w:t>
      </w:r>
      <w:r w:rsidR="004C5C28">
        <w:t xml:space="preserve"> or above with some variation in gender ratings (see </w:t>
      </w:r>
      <w:r w:rsidR="004C5C28" w:rsidRPr="00EE7621">
        <w:t>below)</w:t>
      </w:r>
      <w:r w:rsidR="0099334D">
        <w:t xml:space="preserve">. </w:t>
      </w:r>
      <w:r w:rsidR="00792EDC" w:rsidRPr="00EE7621">
        <w:t>Risk management was consistently high across the program and remains a strength of the portfolio</w:t>
      </w:r>
      <w:r w:rsidR="0099334D">
        <w:t xml:space="preserve">. </w:t>
      </w:r>
      <w:r w:rsidR="00361893">
        <w:t xml:space="preserve">The relevance of the </w:t>
      </w:r>
      <w:r w:rsidRPr="00EE7621">
        <w:t>portfolio to Australian and ASEAN interests</w:t>
      </w:r>
      <w:r w:rsidR="008B0536" w:rsidRPr="00EE7621">
        <w:t xml:space="preserve"> and align</w:t>
      </w:r>
      <w:r w:rsidR="00361893">
        <w:t>ment</w:t>
      </w:r>
      <w:r w:rsidR="008B0536" w:rsidRPr="00EE7621">
        <w:t xml:space="preserve"> with </w:t>
      </w:r>
      <w:r w:rsidR="00543C69" w:rsidRPr="00EE7621">
        <w:t>Australia’s</w:t>
      </w:r>
      <w:r w:rsidR="008B0536" w:rsidRPr="00EE7621">
        <w:t xml:space="preserve"> Foreign Policy White Paper</w:t>
      </w:r>
      <w:r w:rsidR="00361893">
        <w:t xml:space="preserve"> </w:t>
      </w:r>
      <w:proofErr w:type="gramStart"/>
      <w:r w:rsidR="00361893">
        <w:t>is demonstrated</w:t>
      </w:r>
      <w:proofErr w:type="gramEnd"/>
      <w:r w:rsidR="00361893">
        <w:t xml:space="preserve"> in </w:t>
      </w:r>
      <w:r w:rsidR="000D33A7">
        <w:t>AQCs and program reports</w:t>
      </w:r>
      <w:r w:rsidR="0099334D">
        <w:t xml:space="preserve">. </w:t>
      </w:r>
      <w:r w:rsidR="000D33A7">
        <w:t xml:space="preserve">Most </w:t>
      </w:r>
      <w:r w:rsidR="00361893">
        <w:t xml:space="preserve">investments </w:t>
      </w:r>
      <w:proofErr w:type="gramStart"/>
      <w:r w:rsidR="000D33A7">
        <w:t>were considered</w:t>
      </w:r>
      <w:proofErr w:type="gramEnd"/>
      <w:r w:rsidR="000D33A7">
        <w:t xml:space="preserve"> to have adequate M&amp;E systems </w:t>
      </w:r>
      <w:r w:rsidR="00361893">
        <w:t xml:space="preserve">with </w:t>
      </w:r>
      <w:r w:rsidR="000D33A7">
        <w:t>dedicated resources for M&amp;E, regular reporting</w:t>
      </w:r>
      <w:r w:rsidR="00361893">
        <w:t xml:space="preserve"> and </w:t>
      </w:r>
      <w:r w:rsidR="008A57F6">
        <w:t>sex disaggregated data collection</w:t>
      </w:r>
      <w:r w:rsidR="0099334D">
        <w:t xml:space="preserve">. </w:t>
      </w:r>
      <w:r w:rsidR="008A57F6">
        <w:t xml:space="preserve">A number of reviews have found that M&amp;E </w:t>
      </w:r>
      <w:proofErr w:type="gramStart"/>
      <w:r w:rsidR="008A57F6">
        <w:t>could be further streamlined and strengthened, including more outcomes-focused reporting</w:t>
      </w:r>
      <w:proofErr w:type="gramEnd"/>
      <w:r w:rsidR="008A57F6">
        <w:t>.</w:t>
      </w:r>
    </w:p>
    <w:p w14:paraId="6A3F6433" w14:textId="7B783F4B" w:rsidR="004022C5" w:rsidRDefault="00B63D5E" w:rsidP="00262925">
      <w:pPr>
        <w:spacing w:before="0"/>
      </w:pPr>
      <w:r>
        <w:t xml:space="preserve">The ASEAN </w:t>
      </w:r>
      <w:r w:rsidR="00F162C9">
        <w:t xml:space="preserve">and </w:t>
      </w:r>
      <w:r w:rsidR="00262925">
        <w:t>Mekong Program contribute</w:t>
      </w:r>
      <w:r w:rsidR="005D64AF">
        <w:t>d</w:t>
      </w:r>
      <w:r w:rsidR="00262925">
        <w:t xml:space="preserve"> to </w:t>
      </w:r>
      <w:r w:rsidR="00A5731B">
        <w:t xml:space="preserve">the overall performance of DFAT through </w:t>
      </w:r>
      <w:r w:rsidR="00A12C0D">
        <w:t xml:space="preserve">four </w:t>
      </w:r>
      <w:r w:rsidR="00262925">
        <w:t>Aggregate Development Results including</w:t>
      </w:r>
      <w:r w:rsidR="004022C5">
        <w:t>:</w:t>
      </w:r>
      <w:r w:rsidR="00262925">
        <w:t xml:space="preserve"> </w:t>
      </w:r>
    </w:p>
    <w:p w14:paraId="1CA72432" w14:textId="16A9E050" w:rsidR="004022C5" w:rsidRDefault="004022C5" w:rsidP="00D8749D">
      <w:pPr>
        <w:spacing w:before="0"/>
        <w:ind w:left="720"/>
      </w:pPr>
      <w:r>
        <w:t xml:space="preserve">- </w:t>
      </w:r>
      <w:proofErr w:type="gramStart"/>
      <w:r w:rsidR="00262925">
        <w:t>number</w:t>
      </w:r>
      <w:proofErr w:type="gramEnd"/>
      <w:r w:rsidR="00262925">
        <w:t xml:space="preserve"> of police and law enforcement officials trained (women and men)</w:t>
      </w:r>
      <w:r w:rsidR="00A5731B">
        <w:t xml:space="preserve"> (AAPTIP);</w:t>
      </w:r>
    </w:p>
    <w:p w14:paraId="5C7E4F4E" w14:textId="7572B35A" w:rsidR="004022C5" w:rsidRDefault="004022C5" w:rsidP="00D8749D">
      <w:pPr>
        <w:spacing w:before="0"/>
        <w:ind w:left="720"/>
      </w:pPr>
      <w:r>
        <w:t xml:space="preserve">- </w:t>
      </w:r>
      <w:proofErr w:type="gramStart"/>
      <w:r w:rsidR="00262925">
        <w:t>number</w:t>
      </w:r>
      <w:proofErr w:type="gramEnd"/>
      <w:r w:rsidR="00262925">
        <w:t xml:space="preserve"> of poor women and men with increased access to financial services</w:t>
      </w:r>
      <w:r w:rsidR="00A5731B">
        <w:t xml:space="preserve"> (SHIFT);</w:t>
      </w:r>
    </w:p>
    <w:p w14:paraId="4FF7CE37" w14:textId="50B74AFA" w:rsidR="004022C5" w:rsidRDefault="004022C5" w:rsidP="00D8749D">
      <w:pPr>
        <w:spacing w:before="0"/>
        <w:ind w:left="720"/>
      </w:pPr>
      <w:r>
        <w:t xml:space="preserve">- </w:t>
      </w:r>
      <w:proofErr w:type="gramStart"/>
      <w:r w:rsidR="00262925">
        <w:t>value</w:t>
      </w:r>
      <w:proofErr w:type="gramEnd"/>
      <w:r w:rsidR="00262925">
        <w:t xml:space="preserve"> of private sector investment leveraged</w:t>
      </w:r>
      <w:r w:rsidR="00A5731B">
        <w:t xml:space="preserve"> (SHIFT/MBI) </w:t>
      </w:r>
    </w:p>
    <w:p w14:paraId="4172AACB" w14:textId="369EC07E" w:rsidR="00A5731B" w:rsidRDefault="00A5731B" w:rsidP="00D8749D">
      <w:pPr>
        <w:spacing w:before="0"/>
        <w:ind w:left="720"/>
      </w:pPr>
      <w:r>
        <w:t xml:space="preserve">- </w:t>
      </w:r>
      <w:proofErr w:type="gramStart"/>
      <w:r>
        <w:t>number</w:t>
      </w:r>
      <w:proofErr w:type="gramEnd"/>
      <w:r>
        <w:t xml:space="preserve"> of women and men trained in trade policy and regulation (AADCP</w:t>
      </w:r>
      <w:r w:rsidR="00CF1C92">
        <w:t xml:space="preserve"> </w:t>
      </w:r>
      <w:r>
        <w:t>II/AECSP)</w:t>
      </w:r>
    </w:p>
    <w:p w14:paraId="1163214D" w14:textId="2EB16AD1" w:rsidR="00A0082F" w:rsidRDefault="00471378" w:rsidP="004B0A64">
      <w:pPr>
        <w:spacing w:before="0"/>
      </w:pPr>
      <w:r>
        <w:t xml:space="preserve">Over the reporting period, </w:t>
      </w:r>
      <w:r w:rsidR="00B360B8">
        <w:t xml:space="preserve">the Program completed </w:t>
      </w:r>
      <w:r w:rsidR="003D3CBE">
        <w:t>three</w:t>
      </w:r>
      <w:r w:rsidR="00F162C9">
        <w:t xml:space="preserve"> </w:t>
      </w:r>
      <w:r w:rsidR="00652FE6">
        <w:t>large</w:t>
      </w:r>
      <w:r w:rsidR="008B0447">
        <w:t xml:space="preserve"> </w:t>
      </w:r>
      <w:r w:rsidR="00B360B8">
        <w:t>evaluations</w:t>
      </w:r>
      <w:r w:rsidR="000C00F0">
        <w:t xml:space="preserve">: </w:t>
      </w:r>
      <w:r w:rsidR="003D3CBE">
        <w:t>SHIFT</w:t>
      </w:r>
      <w:r w:rsidR="000C00F0">
        <w:t xml:space="preserve">, </w:t>
      </w:r>
      <w:proofErr w:type="spellStart"/>
      <w:r w:rsidR="000C00F0">
        <w:t>TiA</w:t>
      </w:r>
      <w:proofErr w:type="spellEnd"/>
      <w:r w:rsidR="000C00F0">
        <w:t xml:space="preserve"> and </w:t>
      </w:r>
      <w:r w:rsidR="003D3CBE">
        <w:t>AECSP</w:t>
      </w:r>
      <w:r w:rsidR="000D603E">
        <w:t xml:space="preserve">. </w:t>
      </w:r>
      <w:r w:rsidR="00F43488">
        <w:t>U</w:t>
      </w:r>
      <w:r w:rsidR="003D3CBE">
        <w:t>nder GMWRP</w:t>
      </w:r>
      <w:r w:rsidR="00F43488">
        <w:t>,</w:t>
      </w:r>
      <w:r w:rsidR="00F43488" w:rsidRPr="00F43488">
        <w:t xml:space="preserve"> a final independent evaluation of Oxfam’s Inclusion Project and a Mid-term Review of the MRC’s 2016-2020 Strategic Plan w</w:t>
      </w:r>
      <w:r w:rsidR="00F43488">
        <w:t>as</w:t>
      </w:r>
      <w:r w:rsidR="00F43488" w:rsidRPr="00F43488">
        <w:t xml:space="preserve"> completed</w:t>
      </w:r>
      <w:r w:rsidR="0099334D">
        <w:t xml:space="preserve">. </w:t>
      </w:r>
      <w:r w:rsidR="002208DC">
        <w:t xml:space="preserve">Findings </w:t>
      </w:r>
      <w:r w:rsidR="002208DC" w:rsidRPr="00CC5460">
        <w:t xml:space="preserve">contributed to </w:t>
      </w:r>
      <w:r w:rsidR="002A6287">
        <w:t xml:space="preserve">learning and </w:t>
      </w:r>
      <w:r w:rsidR="002208DC" w:rsidRPr="00CC5460">
        <w:t>improved effectiveness of these programs and planning for future investments</w:t>
      </w:r>
      <w:r w:rsidR="0099334D">
        <w:t xml:space="preserve">. </w:t>
      </w:r>
      <w:r w:rsidR="00B95619">
        <w:t>An i</w:t>
      </w:r>
      <w:r w:rsidR="0007316E">
        <w:t xml:space="preserve">ndependent </w:t>
      </w:r>
      <w:r>
        <w:t xml:space="preserve">evaluation of </w:t>
      </w:r>
      <w:r w:rsidR="002A6287">
        <w:t>AADCP II</w:t>
      </w:r>
      <w:r w:rsidR="00652FE6">
        <w:t xml:space="preserve"> </w:t>
      </w:r>
      <w:proofErr w:type="gramStart"/>
      <w:r w:rsidR="002A6287">
        <w:t xml:space="preserve">is </w:t>
      </w:r>
      <w:r>
        <w:t>expected to be completed</w:t>
      </w:r>
      <w:proofErr w:type="gramEnd"/>
      <w:r>
        <w:t xml:space="preserve"> in </w:t>
      </w:r>
      <w:r w:rsidR="00652FE6">
        <w:t>the next reporting period</w:t>
      </w:r>
      <w:r>
        <w:t>.</w:t>
      </w:r>
    </w:p>
    <w:p w14:paraId="51A392BF" w14:textId="270E92E7" w:rsidR="00553A0D" w:rsidRDefault="008D6EBA" w:rsidP="004B0A64">
      <w:pPr>
        <w:spacing w:before="0"/>
        <w:rPr>
          <w:rFonts w:eastAsia="Times New Roman"/>
        </w:rPr>
      </w:pPr>
      <w:r>
        <w:rPr>
          <w:rFonts w:eastAsia="Times New Roman"/>
        </w:rPr>
        <w:t>C</w:t>
      </w:r>
      <w:r w:rsidR="002C71FB">
        <w:rPr>
          <w:rFonts w:eastAsia="Times New Roman"/>
        </w:rPr>
        <w:t>ompletion</w:t>
      </w:r>
      <w:r>
        <w:rPr>
          <w:rFonts w:eastAsia="Times New Roman"/>
        </w:rPr>
        <w:t>/transition</w:t>
      </w:r>
      <w:r w:rsidR="002C71FB">
        <w:rPr>
          <w:rFonts w:eastAsia="Times New Roman"/>
        </w:rPr>
        <w:t xml:space="preserve"> activities </w:t>
      </w:r>
      <w:proofErr w:type="gramStart"/>
      <w:r w:rsidR="002C71FB">
        <w:rPr>
          <w:rFonts w:eastAsia="Times New Roman"/>
        </w:rPr>
        <w:t xml:space="preserve">were </w:t>
      </w:r>
      <w:r>
        <w:rPr>
          <w:rFonts w:eastAsia="Times New Roman"/>
        </w:rPr>
        <w:t>undertaken</w:t>
      </w:r>
      <w:proofErr w:type="gramEnd"/>
      <w:r>
        <w:rPr>
          <w:rFonts w:eastAsia="Times New Roman"/>
        </w:rPr>
        <w:t xml:space="preserve"> with two investments (AAPTIP and GMS-TTF). A</w:t>
      </w:r>
      <w:r w:rsidR="00050090">
        <w:rPr>
          <w:rFonts w:eastAsia="Times New Roman"/>
        </w:rPr>
        <w:t xml:space="preserve">chievements and </w:t>
      </w:r>
      <w:r>
        <w:rPr>
          <w:rFonts w:eastAsia="Times New Roman"/>
        </w:rPr>
        <w:t xml:space="preserve">learning </w:t>
      </w:r>
      <w:proofErr w:type="gramStart"/>
      <w:r w:rsidR="00050090">
        <w:rPr>
          <w:rFonts w:eastAsia="Times New Roman"/>
        </w:rPr>
        <w:t>were shared</w:t>
      </w:r>
      <w:proofErr w:type="gramEnd"/>
      <w:r w:rsidR="00050090">
        <w:rPr>
          <w:rFonts w:eastAsia="Times New Roman"/>
        </w:rPr>
        <w:t xml:space="preserve"> with relevant stakeholders </w:t>
      </w:r>
      <w:r>
        <w:rPr>
          <w:rFonts w:eastAsia="Times New Roman"/>
        </w:rPr>
        <w:t xml:space="preserve">and are expected to </w:t>
      </w:r>
      <w:r w:rsidR="00050090">
        <w:rPr>
          <w:rFonts w:eastAsia="Times New Roman"/>
        </w:rPr>
        <w:t>inform future programming</w:t>
      </w:r>
      <w:r w:rsidR="00B63D5E">
        <w:rPr>
          <w:rFonts w:eastAsia="Times New Roman"/>
        </w:rPr>
        <w:t xml:space="preserve"> and policy decisions</w:t>
      </w:r>
      <w:r w:rsidR="00050090">
        <w:rPr>
          <w:rFonts w:eastAsia="Times New Roman"/>
        </w:rPr>
        <w:t>.</w:t>
      </w:r>
      <w:r w:rsidR="00262925">
        <w:rPr>
          <w:rFonts w:eastAsia="Times New Roman"/>
        </w:rPr>
        <w:t xml:space="preserve"> </w:t>
      </w:r>
    </w:p>
    <w:p w14:paraId="7605A5D8" w14:textId="6AA42785" w:rsidR="002208DC" w:rsidRDefault="0044381F" w:rsidP="004B0A64">
      <w:pPr>
        <w:spacing w:before="0"/>
      </w:pPr>
      <w:r>
        <w:t>The Program is tracking well against its Equality and Inclusion Strategy</w:t>
      </w:r>
      <w:r w:rsidR="0099334D">
        <w:t xml:space="preserve">. </w:t>
      </w:r>
      <w:r w:rsidR="009C4BD1">
        <w:t>H</w:t>
      </w:r>
      <w:r w:rsidR="00050090">
        <w:t>ighlights in 201</w:t>
      </w:r>
      <w:r w:rsidR="00AC43DB">
        <w:t>8</w:t>
      </w:r>
      <w:r w:rsidR="00050090">
        <w:t>-1</w:t>
      </w:r>
      <w:r w:rsidR="00AC43DB">
        <w:t>9</w:t>
      </w:r>
      <w:r w:rsidR="00050090">
        <w:t xml:space="preserve"> </w:t>
      </w:r>
      <w:r w:rsidR="004C5C28">
        <w:t>w</w:t>
      </w:r>
      <w:r w:rsidR="009C4BD1">
        <w:t>ere</w:t>
      </w:r>
      <w:r w:rsidR="004C5C28">
        <w:t xml:space="preserve"> </w:t>
      </w:r>
      <w:r w:rsidR="00050090">
        <w:t>greater engagement with AICHR on disability rights</w:t>
      </w:r>
      <w:r w:rsidR="00CF5636">
        <w:t xml:space="preserve"> and the development of the </w:t>
      </w:r>
      <w:r w:rsidR="00CF5636" w:rsidRPr="00CF5636">
        <w:t>ASEAN Enabling Masterplan 2025: Mainstreaming the Rights of Persons with Disabilities</w:t>
      </w:r>
      <w:r w:rsidR="00CF5636">
        <w:t>.</w:t>
      </w:r>
      <w:r w:rsidR="00050090">
        <w:t xml:space="preserve"> </w:t>
      </w:r>
      <w:r w:rsidR="00262925">
        <w:t xml:space="preserve">AQC ratings </w:t>
      </w:r>
      <w:r w:rsidR="00262925" w:rsidRPr="007E3F39">
        <w:t xml:space="preserve">on gender equality </w:t>
      </w:r>
      <w:r w:rsidR="00207190" w:rsidRPr="007E3F39">
        <w:t>for 2018-19</w:t>
      </w:r>
      <w:r w:rsidR="001404BD" w:rsidRPr="007E3F39">
        <w:t xml:space="preserve"> </w:t>
      </w:r>
      <w:proofErr w:type="gramStart"/>
      <w:r w:rsidR="007E3F39" w:rsidRPr="00D8749D">
        <w:t>were mixed</w:t>
      </w:r>
      <w:proofErr w:type="gramEnd"/>
      <w:r w:rsidR="007E3F39" w:rsidRPr="00D8749D">
        <w:t xml:space="preserve">, with </w:t>
      </w:r>
      <w:r w:rsidR="004C5C28" w:rsidRPr="007E3F39">
        <w:t>two lower and one higher</w:t>
      </w:r>
      <w:r w:rsidR="0099334D">
        <w:t xml:space="preserve">. </w:t>
      </w:r>
      <w:r w:rsidR="004C5C28">
        <w:t>This h</w:t>
      </w:r>
      <w:r w:rsidR="001404BD">
        <w:t>ighlight</w:t>
      </w:r>
      <w:r w:rsidR="004C5C28">
        <w:t>s</w:t>
      </w:r>
      <w:r w:rsidR="001404BD">
        <w:t xml:space="preserve"> ongoing challenges </w:t>
      </w:r>
      <w:r w:rsidR="00337623">
        <w:t>in</w:t>
      </w:r>
      <w:r w:rsidR="001404BD">
        <w:t xml:space="preserve"> incorporat</w:t>
      </w:r>
      <w:r w:rsidR="00337623">
        <w:t>ing</w:t>
      </w:r>
      <w:r w:rsidR="001404BD">
        <w:t xml:space="preserve"> gender and inclusion </w:t>
      </w:r>
      <w:r w:rsidR="003614DB">
        <w:t xml:space="preserve">analysis </w:t>
      </w:r>
      <w:r w:rsidR="003E7484">
        <w:t xml:space="preserve">and </w:t>
      </w:r>
      <w:r w:rsidR="001404BD">
        <w:t>considerations into the design and implementation of activities</w:t>
      </w:r>
      <w:r w:rsidR="0099334D">
        <w:t xml:space="preserve">. </w:t>
      </w:r>
      <w:r w:rsidR="004C5C28">
        <w:t xml:space="preserve">We will continue to encourage our implementing partners </w:t>
      </w:r>
      <w:r w:rsidR="00265FEB">
        <w:t xml:space="preserve">to </w:t>
      </w:r>
      <w:r w:rsidR="001E3F59">
        <w:t>allocate resources to gender and inclusion expertise</w:t>
      </w:r>
      <w:r w:rsidR="002208DC">
        <w:t xml:space="preserve"> to ensure that </w:t>
      </w:r>
      <w:r w:rsidR="00A0518F">
        <w:t>these areas</w:t>
      </w:r>
      <w:r w:rsidR="002208DC">
        <w:t xml:space="preserve"> are</w:t>
      </w:r>
      <w:r w:rsidR="004C5C28">
        <w:t xml:space="preserve"> addressed. The Program</w:t>
      </w:r>
      <w:r w:rsidR="00290C4C">
        <w:t xml:space="preserve"> did not have a dedicated</w:t>
      </w:r>
      <w:r w:rsidR="004C5C28">
        <w:t xml:space="preserve"> </w:t>
      </w:r>
      <w:r w:rsidR="00290C4C">
        <w:t xml:space="preserve">internal </w:t>
      </w:r>
      <w:r w:rsidR="004C5C28">
        <w:t>Gender Adviser</w:t>
      </w:r>
      <w:r w:rsidR="00290C4C">
        <w:t xml:space="preserve"> </w:t>
      </w:r>
      <w:r w:rsidR="004C5C28">
        <w:t xml:space="preserve">over the reporting period and </w:t>
      </w:r>
      <w:proofErr w:type="gramStart"/>
      <w:r w:rsidR="004C5C28">
        <w:t xml:space="preserve">gender support </w:t>
      </w:r>
      <w:r w:rsidR="00290C4C">
        <w:t>to partners was</w:t>
      </w:r>
      <w:r w:rsidR="004C5C28" w:rsidRPr="004B7833">
        <w:t xml:space="preserve"> </w:t>
      </w:r>
      <w:r w:rsidR="00A12C0D" w:rsidRPr="0099334D">
        <w:t>provided by Program Managers</w:t>
      </w:r>
      <w:r w:rsidR="004C5C28" w:rsidRPr="004B7833">
        <w:t xml:space="preserve"> </w:t>
      </w:r>
      <w:r w:rsidR="00127DD6" w:rsidRPr="004B7833">
        <w:t xml:space="preserve">and </w:t>
      </w:r>
      <w:r w:rsidR="00290C4C">
        <w:t xml:space="preserve">an </w:t>
      </w:r>
      <w:r w:rsidR="004C5C28" w:rsidRPr="001D091A">
        <w:t>external provider</w:t>
      </w:r>
      <w:proofErr w:type="gramEnd"/>
      <w:r w:rsidR="004C5C28" w:rsidRPr="00CE0FAC">
        <w:t>.</w:t>
      </w:r>
    </w:p>
    <w:p w14:paraId="583503BA" w14:textId="2D010343" w:rsidR="00C07949" w:rsidRPr="00CC5460" w:rsidRDefault="00C07949" w:rsidP="00C07949">
      <w:pPr>
        <w:spacing w:before="0" w:after="120" w:line="240" w:lineRule="auto"/>
        <w:ind w:right="130"/>
      </w:pPr>
      <w:r w:rsidRPr="009030AB">
        <w:t xml:space="preserve">Examples of good </w:t>
      </w:r>
      <w:r w:rsidR="00EE3591">
        <w:t xml:space="preserve">equality and inclusion </w:t>
      </w:r>
      <w:r w:rsidRPr="009030AB">
        <w:t xml:space="preserve">performance over the </w:t>
      </w:r>
      <w:r w:rsidR="00EE3591">
        <w:t>reporting period follow</w:t>
      </w:r>
      <w:r w:rsidRPr="009030AB">
        <w:t>:</w:t>
      </w:r>
    </w:p>
    <w:p w14:paraId="40693303" w14:textId="356EFE45" w:rsidR="00F162C9" w:rsidRPr="009E5EDE" w:rsidRDefault="00A41C00" w:rsidP="007424F6">
      <w:pPr>
        <w:pStyle w:val="ListParagraph"/>
        <w:numPr>
          <w:ilvl w:val="0"/>
          <w:numId w:val="12"/>
        </w:numPr>
        <w:suppressAutoHyphens/>
        <w:spacing w:before="120" w:after="60" w:line="230" w:lineRule="atLeast"/>
        <w:contextualSpacing/>
        <w:rPr>
          <w:rFonts w:asciiTheme="minorHAnsi" w:hAnsiTheme="minorHAnsi" w:cstheme="minorBidi"/>
          <w:color w:val="495965" w:themeColor="text2"/>
          <w:lang w:val="en-GB"/>
        </w:rPr>
      </w:pPr>
      <w:r w:rsidRPr="009E5EDE">
        <w:rPr>
          <w:rFonts w:asciiTheme="minorHAnsi" w:hAnsiTheme="minorHAnsi" w:cstheme="minorBidi"/>
          <w:color w:val="495965" w:themeColor="text2"/>
          <w:lang w:val="en-GB"/>
        </w:rPr>
        <w:t xml:space="preserve">SHIFT </w:t>
      </w:r>
      <w:r w:rsidR="009E5EDE" w:rsidRPr="009E5EDE">
        <w:rPr>
          <w:rFonts w:asciiTheme="minorHAnsi" w:hAnsiTheme="minorHAnsi" w:cstheme="minorBidi"/>
          <w:color w:val="495965" w:themeColor="text2"/>
          <w:lang w:val="en-GB"/>
        </w:rPr>
        <w:t xml:space="preserve">Gender Equality Fund (GEF) activities </w:t>
      </w:r>
      <w:r w:rsidR="009E5EDE">
        <w:rPr>
          <w:rFonts w:asciiTheme="minorHAnsi" w:hAnsiTheme="minorHAnsi" w:cstheme="minorBidi"/>
          <w:color w:val="495965" w:themeColor="text2"/>
          <w:lang w:val="en-GB"/>
        </w:rPr>
        <w:t>produced a toolkit to</w:t>
      </w:r>
      <w:r w:rsidR="009E5EDE" w:rsidRPr="009E5EDE">
        <w:rPr>
          <w:rFonts w:asciiTheme="minorHAnsi" w:hAnsiTheme="minorHAnsi" w:cstheme="minorBidi"/>
          <w:color w:val="495965" w:themeColor="text2"/>
          <w:lang w:val="en-GB"/>
        </w:rPr>
        <w:t xml:space="preserve"> </w:t>
      </w:r>
      <w:r w:rsidR="009E5EDE">
        <w:rPr>
          <w:rFonts w:asciiTheme="minorHAnsi" w:hAnsiTheme="minorHAnsi" w:cstheme="minorBidi"/>
          <w:color w:val="495965" w:themeColor="text2"/>
          <w:lang w:val="en-GB"/>
        </w:rPr>
        <w:t>undertake</w:t>
      </w:r>
      <w:r w:rsidR="009E5EDE" w:rsidRPr="009E5EDE">
        <w:rPr>
          <w:rFonts w:asciiTheme="minorHAnsi" w:hAnsiTheme="minorHAnsi" w:cstheme="minorBidi"/>
          <w:color w:val="495965" w:themeColor="text2"/>
          <w:lang w:val="en-GB"/>
        </w:rPr>
        <w:t xml:space="preserve"> self-assessments of</w:t>
      </w:r>
      <w:r w:rsidR="009E5EDE">
        <w:rPr>
          <w:rFonts w:asciiTheme="minorHAnsi" w:hAnsiTheme="minorHAnsi" w:cstheme="minorBidi"/>
          <w:color w:val="495965" w:themeColor="text2"/>
          <w:lang w:val="en-GB"/>
        </w:rPr>
        <w:t xml:space="preserve"> Financial Service Providers practices </w:t>
      </w:r>
      <w:r w:rsidR="009E5EDE" w:rsidRPr="009E5EDE">
        <w:rPr>
          <w:rFonts w:asciiTheme="minorHAnsi" w:hAnsiTheme="minorHAnsi" w:cstheme="minorBidi"/>
          <w:color w:val="495965" w:themeColor="text2"/>
          <w:lang w:val="en-GB"/>
        </w:rPr>
        <w:t>and internal policies towards gender equality, women's participation, leadership in the workforce, and targeting of women as a specific client</w:t>
      </w:r>
      <w:r w:rsidR="0074380C">
        <w:rPr>
          <w:rFonts w:asciiTheme="minorHAnsi" w:hAnsiTheme="minorHAnsi" w:cstheme="minorBidi"/>
          <w:color w:val="495965" w:themeColor="text2"/>
          <w:lang w:val="en-GB"/>
        </w:rPr>
        <w:t xml:space="preserve"> segment.</w:t>
      </w:r>
      <w:r w:rsidR="009E5EDE">
        <w:rPr>
          <w:rFonts w:cs="Calibri"/>
          <w:sz w:val="24"/>
          <w:szCs w:val="24"/>
        </w:rPr>
        <w:t xml:space="preserve"> </w:t>
      </w:r>
    </w:p>
    <w:p w14:paraId="47DDEC47" w14:textId="2BC8F524" w:rsidR="00D130A8" w:rsidRDefault="00070ACD" w:rsidP="00C0741B">
      <w:pPr>
        <w:pStyle w:val="ListParagraph"/>
        <w:numPr>
          <w:ilvl w:val="0"/>
          <w:numId w:val="12"/>
        </w:numPr>
        <w:suppressAutoHyphens/>
        <w:spacing w:before="120" w:after="60" w:line="230" w:lineRule="atLeast"/>
        <w:contextualSpacing/>
        <w:rPr>
          <w:rFonts w:asciiTheme="minorHAnsi" w:hAnsiTheme="minorHAnsi" w:cstheme="minorBidi"/>
          <w:color w:val="495965" w:themeColor="text2"/>
          <w:lang w:val="en-GB"/>
        </w:rPr>
      </w:pPr>
      <w:r>
        <w:rPr>
          <w:rFonts w:asciiTheme="minorHAnsi" w:hAnsiTheme="minorHAnsi" w:cstheme="minorBidi"/>
          <w:color w:val="495965" w:themeColor="text2"/>
          <w:lang w:val="en-GB"/>
        </w:rPr>
        <w:t xml:space="preserve">MBI supported an </w:t>
      </w:r>
      <w:r w:rsidRPr="00070ACD">
        <w:rPr>
          <w:rFonts w:asciiTheme="minorHAnsi" w:hAnsiTheme="minorHAnsi" w:cstheme="minorBidi"/>
          <w:color w:val="495965" w:themeColor="text2"/>
          <w:lang w:val="en-GB"/>
        </w:rPr>
        <w:t xml:space="preserve">industry accelerator </w:t>
      </w:r>
      <w:r>
        <w:rPr>
          <w:rFonts w:asciiTheme="minorHAnsi" w:hAnsiTheme="minorHAnsi" w:cstheme="minorBidi"/>
          <w:color w:val="495965" w:themeColor="text2"/>
          <w:lang w:val="en-GB"/>
        </w:rPr>
        <w:t>w</w:t>
      </w:r>
      <w:r w:rsidRPr="00070ACD">
        <w:rPr>
          <w:rFonts w:asciiTheme="minorHAnsi" w:hAnsiTheme="minorHAnsi" w:cstheme="minorBidi"/>
          <w:color w:val="495965" w:themeColor="text2"/>
          <w:lang w:val="en-GB"/>
        </w:rPr>
        <w:t>ith WISE</w:t>
      </w:r>
      <w:r w:rsidR="00237C82">
        <w:rPr>
          <w:rStyle w:val="FootnoteReference"/>
          <w:rFonts w:asciiTheme="minorHAnsi" w:hAnsiTheme="minorHAnsi" w:cstheme="minorBidi"/>
          <w:color w:val="495965" w:themeColor="text2"/>
          <w:lang w:val="en-GB"/>
        </w:rPr>
        <w:footnoteReference w:id="23"/>
      </w:r>
      <w:r w:rsidRPr="00070ACD">
        <w:rPr>
          <w:rFonts w:asciiTheme="minorHAnsi" w:hAnsiTheme="minorHAnsi" w:cstheme="minorBidi"/>
          <w:color w:val="495965" w:themeColor="text2"/>
          <w:lang w:val="en-GB"/>
        </w:rPr>
        <w:t xml:space="preserve"> under the Women Innovation Challenge. WISE was the first competition held exclusively for women in </w:t>
      </w:r>
      <w:r w:rsidR="00290C4C">
        <w:rPr>
          <w:rFonts w:asciiTheme="minorHAnsi" w:hAnsiTheme="minorHAnsi" w:cstheme="minorBidi"/>
          <w:color w:val="495965" w:themeColor="text2"/>
          <w:lang w:val="en-GB"/>
        </w:rPr>
        <w:t xml:space="preserve">the </w:t>
      </w:r>
      <w:r w:rsidRPr="00070ACD">
        <w:rPr>
          <w:rFonts w:asciiTheme="minorHAnsi" w:hAnsiTheme="minorHAnsi" w:cstheme="minorBidi"/>
          <w:color w:val="495965" w:themeColor="text2"/>
          <w:lang w:val="en-GB"/>
        </w:rPr>
        <w:t>Mekong and of the 12 finalist</w:t>
      </w:r>
      <w:r>
        <w:rPr>
          <w:rFonts w:asciiTheme="minorHAnsi" w:hAnsiTheme="minorHAnsi" w:cstheme="minorBidi"/>
          <w:color w:val="495965" w:themeColor="text2"/>
          <w:lang w:val="en-GB"/>
        </w:rPr>
        <w:t>s,</w:t>
      </w:r>
      <w:r w:rsidRPr="00070ACD">
        <w:rPr>
          <w:rFonts w:asciiTheme="minorHAnsi" w:hAnsiTheme="minorHAnsi" w:cstheme="minorBidi"/>
          <w:color w:val="495965" w:themeColor="text2"/>
          <w:lang w:val="en-GB"/>
        </w:rPr>
        <w:t xml:space="preserve"> several have secured investment totalling over USD2</w:t>
      </w:r>
      <w:r>
        <w:rPr>
          <w:rFonts w:asciiTheme="minorHAnsi" w:hAnsiTheme="minorHAnsi" w:cstheme="minorBidi"/>
          <w:color w:val="495965" w:themeColor="text2"/>
          <w:lang w:val="en-GB"/>
        </w:rPr>
        <w:t>.4</w:t>
      </w:r>
      <w:r w:rsidRPr="00070ACD">
        <w:rPr>
          <w:rFonts w:asciiTheme="minorHAnsi" w:hAnsiTheme="minorHAnsi" w:cstheme="minorBidi"/>
          <w:color w:val="495965" w:themeColor="text2"/>
          <w:lang w:val="en-GB"/>
        </w:rPr>
        <w:t xml:space="preserve"> </w:t>
      </w:r>
      <w:proofErr w:type="gramStart"/>
      <w:r w:rsidRPr="00070ACD">
        <w:rPr>
          <w:rFonts w:asciiTheme="minorHAnsi" w:hAnsiTheme="minorHAnsi" w:cstheme="minorBidi"/>
          <w:color w:val="495965" w:themeColor="text2"/>
          <w:lang w:val="en-GB"/>
        </w:rPr>
        <w:t>million</w:t>
      </w:r>
      <w:proofErr w:type="gramEnd"/>
      <w:r w:rsidRPr="00070ACD">
        <w:rPr>
          <w:rFonts w:asciiTheme="minorHAnsi" w:hAnsiTheme="minorHAnsi" w:cstheme="minorBidi"/>
          <w:color w:val="495965" w:themeColor="text2"/>
          <w:lang w:val="en-GB"/>
        </w:rPr>
        <w:t>.</w:t>
      </w:r>
    </w:p>
    <w:p w14:paraId="6A442F21" w14:textId="368D0AAF" w:rsidR="00BF4162" w:rsidRPr="00C0741B" w:rsidRDefault="00BF4162" w:rsidP="00C0741B">
      <w:pPr>
        <w:pStyle w:val="ListParagraph"/>
        <w:numPr>
          <w:ilvl w:val="0"/>
          <w:numId w:val="12"/>
        </w:numPr>
        <w:suppressAutoHyphens/>
        <w:spacing w:before="120" w:after="60" w:line="230" w:lineRule="atLeast"/>
        <w:contextualSpacing/>
        <w:rPr>
          <w:rFonts w:asciiTheme="minorHAnsi" w:hAnsiTheme="minorHAnsi" w:cstheme="minorBidi"/>
          <w:color w:val="495965" w:themeColor="text2"/>
          <w:lang w:val="en-GB"/>
        </w:rPr>
      </w:pPr>
      <w:r>
        <w:rPr>
          <w:rFonts w:asciiTheme="minorHAnsi" w:hAnsiTheme="minorHAnsi" w:cstheme="minorBidi"/>
          <w:color w:val="495965" w:themeColor="text2"/>
          <w:lang w:val="en-GB"/>
        </w:rPr>
        <w:t>In</w:t>
      </w:r>
      <w:r w:rsidRPr="00BF4162">
        <w:rPr>
          <w:rFonts w:asciiTheme="minorHAnsi" w:hAnsiTheme="minorHAnsi" w:cstheme="minorBidi"/>
          <w:color w:val="495965" w:themeColor="text2"/>
          <w:lang w:val="en-GB"/>
        </w:rPr>
        <w:t xml:space="preserve"> Lao PDR, </w:t>
      </w:r>
      <w:proofErr w:type="spellStart"/>
      <w:r w:rsidRPr="00BF4162">
        <w:rPr>
          <w:rFonts w:asciiTheme="minorHAnsi" w:hAnsiTheme="minorHAnsi" w:cstheme="minorBidi"/>
          <w:color w:val="495965" w:themeColor="text2"/>
          <w:lang w:val="en-GB"/>
        </w:rPr>
        <w:t>TiA</w:t>
      </w:r>
      <w:proofErr w:type="spellEnd"/>
      <w:r w:rsidRPr="00BF4162">
        <w:rPr>
          <w:rFonts w:asciiTheme="minorHAnsi" w:hAnsiTheme="minorHAnsi" w:cstheme="minorBidi"/>
          <w:color w:val="495965" w:themeColor="text2"/>
          <w:lang w:val="en-GB"/>
        </w:rPr>
        <w:t xml:space="preserve"> reached over 1000 women working in garment factories with safe migration messaging, reflecting their potential onward international migration</w:t>
      </w:r>
      <w:r>
        <w:rPr>
          <w:rFonts w:asciiTheme="minorHAnsi" w:hAnsiTheme="minorHAnsi" w:cstheme="minorBidi"/>
          <w:color w:val="495965" w:themeColor="text2"/>
          <w:lang w:val="en-GB"/>
        </w:rPr>
        <w:t xml:space="preserve">. </w:t>
      </w:r>
      <w:r w:rsidR="00290C4C">
        <w:rPr>
          <w:rFonts w:asciiTheme="minorHAnsi" w:hAnsiTheme="minorHAnsi" w:cstheme="minorBidi"/>
          <w:color w:val="495965" w:themeColor="text2"/>
          <w:lang w:val="en-GB"/>
        </w:rPr>
        <w:t>I</w:t>
      </w:r>
      <w:r>
        <w:rPr>
          <w:rFonts w:asciiTheme="minorHAnsi" w:hAnsiTheme="minorHAnsi" w:cstheme="minorBidi"/>
          <w:color w:val="495965" w:themeColor="text2"/>
          <w:lang w:val="en-GB"/>
        </w:rPr>
        <w:t xml:space="preserve">n Myanmar, </w:t>
      </w:r>
      <w:proofErr w:type="spellStart"/>
      <w:r w:rsidRPr="00BF4162">
        <w:rPr>
          <w:rFonts w:asciiTheme="minorHAnsi" w:hAnsiTheme="minorHAnsi" w:cstheme="minorBidi"/>
          <w:color w:val="495965" w:themeColor="text2"/>
          <w:lang w:val="en-GB"/>
        </w:rPr>
        <w:t>TiA</w:t>
      </w:r>
      <w:proofErr w:type="spellEnd"/>
      <w:r w:rsidRPr="00BF4162">
        <w:rPr>
          <w:rFonts w:asciiTheme="minorHAnsi" w:hAnsiTheme="minorHAnsi" w:cstheme="minorBidi"/>
          <w:color w:val="495965" w:themeColor="text2"/>
          <w:lang w:val="en-GB"/>
        </w:rPr>
        <w:t xml:space="preserve"> supported women's peer and business groups facilitated by women-led civil society organisations; business and networking meetings reached over 700 women during the reporting period.</w:t>
      </w:r>
    </w:p>
    <w:p w14:paraId="41D06F96" w14:textId="54532BB8" w:rsidR="00C0741B" w:rsidRPr="00D130A8" w:rsidRDefault="00C0741B" w:rsidP="00F66C03">
      <w:pPr>
        <w:pStyle w:val="ListParagraph"/>
        <w:numPr>
          <w:ilvl w:val="0"/>
          <w:numId w:val="12"/>
        </w:numPr>
        <w:suppressAutoHyphens/>
        <w:spacing w:before="120" w:after="60" w:line="230" w:lineRule="atLeast"/>
        <w:contextualSpacing/>
        <w:rPr>
          <w:rFonts w:asciiTheme="minorHAnsi" w:hAnsiTheme="minorHAnsi" w:cstheme="minorBidi"/>
          <w:color w:val="495965" w:themeColor="text2"/>
          <w:lang w:val="en-GB"/>
        </w:rPr>
      </w:pPr>
      <w:r w:rsidRPr="00F66C03">
        <w:rPr>
          <w:rFonts w:asciiTheme="minorHAnsi" w:hAnsiTheme="minorHAnsi" w:cstheme="minorBidi"/>
          <w:color w:val="495965" w:themeColor="text2"/>
          <w:lang w:val="en-GB"/>
        </w:rPr>
        <w:t xml:space="preserve">CLIP </w:t>
      </w:r>
      <w:r w:rsidR="00F66C03" w:rsidRPr="00F66C03">
        <w:rPr>
          <w:rFonts w:asciiTheme="minorHAnsi" w:hAnsiTheme="minorHAnsi" w:cstheme="minorBidi"/>
          <w:color w:val="495965" w:themeColor="text2"/>
          <w:lang w:val="en-GB"/>
        </w:rPr>
        <w:t xml:space="preserve">III </w:t>
      </w:r>
      <w:r w:rsidR="008623BA">
        <w:rPr>
          <w:rFonts w:asciiTheme="minorHAnsi" w:hAnsiTheme="minorHAnsi" w:cstheme="minorBidi"/>
          <w:color w:val="495965" w:themeColor="text2"/>
          <w:lang w:val="en-GB"/>
        </w:rPr>
        <w:t>supported a</w:t>
      </w:r>
      <w:r w:rsidRPr="00F66C03">
        <w:rPr>
          <w:rFonts w:asciiTheme="minorHAnsi" w:hAnsiTheme="minorHAnsi" w:cstheme="minorBidi"/>
          <w:color w:val="495965" w:themeColor="text2"/>
          <w:lang w:val="en-GB"/>
        </w:rPr>
        <w:t xml:space="preserve"> workshop on “Evidence and Interviewing Skills,” </w:t>
      </w:r>
      <w:r w:rsidR="008623BA">
        <w:rPr>
          <w:rFonts w:asciiTheme="minorHAnsi" w:hAnsiTheme="minorHAnsi" w:cstheme="minorBidi"/>
          <w:color w:val="495965" w:themeColor="text2"/>
          <w:lang w:val="en-GB"/>
        </w:rPr>
        <w:t xml:space="preserve">that </w:t>
      </w:r>
      <w:proofErr w:type="gramStart"/>
      <w:r w:rsidR="00620421">
        <w:rPr>
          <w:rFonts w:asciiTheme="minorHAnsi" w:hAnsiTheme="minorHAnsi" w:cstheme="minorBidi"/>
          <w:color w:val="495965" w:themeColor="text2"/>
          <w:lang w:val="en-GB"/>
        </w:rPr>
        <w:t>was led</w:t>
      </w:r>
      <w:proofErr w:type="gramEnd"/>
      <w:r w:rsidR="00620421">
        <w:rPr>
          <w:rFonts w:asciiTheme="minorHAnsi" w:hAnsiTheme="minorHAnsi" w:cstheme="minorBidi"/>
          <w:color w:val="495965" w:themeColor="text2"/>
          <w:lang w:val="en-GB"/>
        </w:rPr>
        <w:t xml:space="preserve"> by </w:t>
      </w:r>
      <w:r w:rsidRPr="00F66C03">
        <w:rPr>
          <w:rFonts w:asciiTheme="minorHAnsi" w:hAnsiTheme="minorHAnsi" w:cstheme="minorBidi"/>
          <w:color w:val="495965" w:themeColor="text2"/>
          <w:lang w:val="en-GB"/>
        </w:rPr>
        <w:t xml:space="preserve">a female facilitator sharing first-hand experience on how she addressed challenges as an investigator when seeking evidence in industries susceptible to gender-based discrimination. </w:t>
      </w:r>
      <w:r w:rsidR="003771C8">
        <w:rPr>
          <w:rFonts w:asciiTheme="minorHAnsi" w:hAnsiTheme="minorHAnsi" w:cstheme="minorBidi"/>
          <w:color w:val="495965" w:themeColor="text2"/>
          <w:lang w:val="en-GB"/>
        </w:rPr>
        <w:t>The workshop also</w:t>
      </w:r>
      <w:r w:rsidRPr="00F66C03">
        <w:rPr>
          <w:rFonts w:asciiTheme="minorHAnsi" w:hAnsiTheme="minorHAnsi" w:cstheme="minorBidi"/>
          <w:color w:val="495965" w:themeColor="text2"/>
          <w:lang w:val="en-GB"/>
        </w:rPr>
        <w:t xml:space="preserve"> included a </w:t>
      </w:r>
      <w:r w:rsidR="003771C8">
        <w:rPr>
          <w:rFonts w:asciiTheme="minorHAnsi" w:hAnsiTheme="minorHAnsi" w:cstheme="minorBidi"/>
          <w:color w:val="495965" w:themeColor="text2"/>
          <w:lang w:val="en-GB"/>
        </w:rPr>
        <w:t>module</w:t>
      </w:r>
      <w:r w:rsidRPr="00F66C03">
        <w:rPr>
          <w:rFonts w:asciiTheme="minorHAnsi" w:hAnsiTheme="minorHAnsi" w:cstheme="minorBidi"/>
          <w:color w:val="495965" w:themeColor="text2"/>
          <w:lang w:val="en-GB"/>
        </w:rPr>
        <w:t xml:space="preserve"> on diversity and the benefits of gender diversity in investigative work.</w:t>
      </w:r>
    </w:p>
    <w:p w14:paraId="2F52FFF0" w14:textId="652B85B5" w:rsidR="003E756B" w:rsidRDefault="00A07756" w:rsidP="003E756B">
      <w:pPr>
        <w:pStyle w:val="ListParagraph"/>
        <w:numPr>
          <w:ilvl w:val="0"/>
          <w:numId w:val="12"/>
        </w:numPr>
        <w:suppressAutoHyphens/>
        <w:spacing w:before="120" w:after="60" w:line="230" w:lineRule="atLeast"/>
        <w:contextualSpacing/>
        <w:rPr>
          <w:rFonts w:asciiTheme="minorHAnsi" w:hAnsiTheme="minorHAnsi" w:cstheme="minorBidi"/>
          <w:color w:val="495965" w:themeColor="text2"/>
          <w:lang w:val="en-GB"/>
        </w:rPr>
      </w:pPr>
      <w:r w:rsidRPr="006342C2">
        <w:rPr>
          <w:rFonts w:asciiTheme="minorHAnsi" w:hAnsiTheme="minorHAnsi" w:cstheme="minorBidi"/>
          <w:color w:val="495965" w:themeColor="text2"/>
          <w:lang w:val="en-GB"/>
        </w:rPr>
        <w:t>The</w:t>
      </w:r>
      <w:r w:rsidR="007F4542" w:rsidRPr="006342C2">
        <w:rPr>
          <w:rFonts w:asciiTheme="minorHAnsi" w:hAnsiTheme="minorHAnsi" w:cstheme="minorBidi"/>
          <w:color w:val="495965" w:themeColor="text2"/>
          <w:lang w:val="en-GB"/>
        </w:rPr>
        <w:t xml:space="preserve"> GMWRP Oxfam’s Inclusion Project </w:t>
      </w:r>
      <w:r w:rsidRPr="006342C2">
        <w:rPr>
          <w:rFonts w:asciiTheme="minorHAnsi" w:hAnsiTheme="minorHAnsi" w:cstheme="minorBidi"/>
          <w:color w:val="495965" w:themeColor="text2"/>
          <w:lang w:val="en-GB"/>
        </w:rPr>
        <w:t xml:space="preserve">is widely recognised by partners across the Greater Mekong as </w:t>
      </w:r>
      <w:r w:rsidR="00F43488">
        <w:rPr>
          <w:rFonts w:asciiTheme="minorHAnsi" w:hAnsiTheme="minorHAnsi" w:cstheme="minorBidi"/>
          <w:color w:val="495965" w:themeColor="text2"/>
          <w:lang w:val="en-GB"/>
        </w:rPr>
        <w:t xml:space="preserve">making a significant contribution towards gender equality in the </w:t>
      </w:r>
      <w:r w:rsidRPr="006342C2">
        <w:rPr>
          <w:rFonts w:asciiTheme="minorHAnsi" w:hAnsiTheme="minorHAnsi" w:cstheme="minorBidi"/>
          <w:color w:val="495965" w:themeColor="text2"/>
          <w:lang w:val="en-GB"/>
        </w:rPr>
        <w:t xml:space="preserve">water sector. </w:t>
      </w:r>
      <w:r w:rsidR="004C3CE1">
        <w:rPr>
          <w:rFonts w:asciiTheme="minorHAnsi" w:hAnsiTheme="minorHAnsi" w:cstheme="minorBidi"/>
          <w:color w:val="495965" w:themeColor="text2"/>
          <w:lang w:val="en-GB"/>
        </w:rPr>
        <w:t xml:space="preserve">Highlights </w:t>
      </w:r>
      <w:proofErr w:type="gramStart"/>
      <w:r w:rsidRPr="006342C2">
        <w:rPr>
          <w:rFonts w:asciiTheme="minorHAnsi" w:hAnsiTheme="minorHAnsi" w:cstheme="minorBidi"/>
          <w:color w:val="495965" w:themeColor="text2"/>
          <w:lang w:val="en-GB"/>
        </w:rPr>
        <w:t>include:</w:t>
      </w:r>
      <w:proofErr w:type="gramEnd"/>
      <w:r w:rsidRPr="006342C2">
        <w:rPr>
          <w:rFonts w:asciiTheme="minorHAnsi" w:hAnsiTheme="minorHAnsi" w:cstheme="minorBidi"/>
          <w:color w:val="495965" w:themeColor="text2"/>
          <w:lang w:val="en-GB"/>
        </w:rPr>
        <w:t xml:space="preserve"> </w:t>
      </w:r>
      <w:r w:rsidR="003E756B" w:rsidRPr="006342C2">
        <w:rPr>
          <w:rFonts w:asciiTheme="minorHAnsi" w:hAnsiTheme="minorHAnsi" w:cstheme="minorBidi"/>
          <w:color w:val="495965" w:themeColor="text2"/>
          <w:lang w:val="en-GB"/>
        </w:rPr>
        <w:t>more informed and confident women leaders speaking</w:t>
      </w:r>
      <w:r w:rsidR="003E756B" w:rsidRPr="003E756B">
        <w:rPr>
          <w:rFonts w:asciiTheme="minorHAnsi" w:hAnsiTheme="minorHAnsi" w:cstheme="minorBidi"/>
          <w:color w:val="495965" w:themeColor="text2"/>
          <w:lang w:val="en-GB"/>
        </w:rPr>
        <w:t xml:space="preserve"> through Women on Air Radio Program in Cambodia on fisheries and water management; piloting the Gender Impact Assessment</w:t>
      </w:r>
      <w:r w:rsidR="00090842">
        <w:rPr>
          <w:rFonts w:asciiTheme="minorHAnsi" w:hAnsiTheme="minorHAnsi" w:cstheme="minorBidi"/>
          <w:color w:val="495965" w:themeColor="text2"/>
          <w:lang w:val="en-GB"/>
        </w:rPr>
        <w:t xml:space="preserve"> </w:t>
      </w:r>
      <w:r w:rsidR="003E756B" w:rsidRPr="003E756B">
        <w:rPr>
          <w:rFonts w:asciiTheme="minorHAnsi" w:hAnsiTheme="minorHAnsi" w:cstheme="minorBidi"/>
          <w:color w:val="495965" w:themeColor="text2"/>
          <w:lang w:val="en-GB"/>
        </w:rPr>
        <w:t xml:space="preserve">tool in </w:t>
      </w:r>
      <w:r w:rsidR="00090842">
        <w:rPr>
          <w:rFonts w:asciiTheme="minorHAnsi" w:hAnsiTheme="minorHAnsi" w:cstheme="minorBidi"/>
          <w:color w:val="495965" w:themeColor="text2"/>
          <w:lang w:val="en-GB"/>
        </w:rPr>
        <w:t xml:space="preserve">parts of </w:t>
      </w:r>
      <w:r w:rsidR="003E756B" w:rsidRPr="003E756B">
        <w:rPr>
          <w:rFonts w:asciiTheme="minorHAnsi" w:hAnsiTheme="minorHAnsi" w:cstheme="minorBidi"/>
          <w:color w:val="495965" w:themeColor="text2"/>
          <w:lang w:val="en-GB"/>
        </w:rPr>
        <w:t xml:space="preserve">Laos and Vietnam, which increased awareness of women's roles in hydropower development, and appointment of </w:t>
      </w:r>
      <w:r w:rsidR="00B75F33">
        <w:rPr>
          <w:rFonts w:asciiTheme="minorHAnsi" w:hAnsiTheme="minorHAnsi" w:cstheme="minorBidi"/>
          <w:color w:val="495965" w:themeColor="text2"/>
          <w:lang w:val="en-GB"/>
        </w:rPr>
        <w:t>women</w:t>
      </w:r>
      <w:r w:rsidR="003E756B" w:rsidRPr="003E756B">
        <w:rPr>
          <w:rFonts w:asciiTheme="minorHAnsi" w:hAnsiTheme="minorHAnsi" w:cstheme="minorBidi"/>
          <w:color w:val="495965" w:themeColor="text2"/>
          <w:lang w:val="en-GB"/>
        </w:rPr>
        <w:t xml:space="preserve"> representatives in the committee to manage the Daw Lar Community Lake in</w:t>
      </w:r>
      <w:r w:rsidR="003257A7">
        <w:rPr>
          <w:rFonts w:asciiTheme="minorHAnsi" w:hAnsiTheme="minorHAnsi" w:cstheme="minorBidi"/>
          <w:color w:val="495965" w:themeColor="text2"/>
          <w:lang w:val="en-GB"/>
        </w:rPr>
        <w:t xml:space="preserve"> </w:t>
      </w:r>
      <w:r w:rsidR="003E756B" w:rsidRPr="003E756B">
        <w:rPr>
          <w:rFonts w:asciiTheme="minorHAnsi" w:hAnsiTheme="minorHAnsi" w:cstheme="minorBidi"/>
          <w:color w:val="495965" w:themeColor="text2"/>
          <w:lang w:val="en-GB"/>
        </w:rPr>
        <w:t>Myanmar.</w:t>
      </w:r>
    </w:p>
    <w:p w14:paraId="6AD03C82" w14:textId="61E0CCEB" w:rsidR="007E1324" w:rsidRPr="007E1324" w:rsidRDefault="007E1324" w:rsidP="007E1324">
      <w:pPr>
        <w:pStyle w:val="ListParagraph"/>
        <w:numPr>
          <w:ilvl w:val="0"/>
          <w:numId w:val="12"/>
        </w:numPr>
        <w:contextualSpacing/>
        <w:rPr>
          <w:rFonts w:asciiTheme="minorHAnsi" w:hAnsiTheme="minorHAnsi" w:cstheme="minorBidi"/>
          <w:color w:val="495965" w:themeColor="text2"/>
          <w:lang w:val="en-GB"/>
        </w:rPr>
      </w:pPr>
      <w:r w:rsidRPr="007E1324">
        <w:rPr>
          <w:rFonts w:asciiTheme="minorHAnsi" w:hAnsiTheme="minorHAnsi" w:cstheme="minorBidi"/>
          <w:color w:val="495965" w:themeColor="text2"/>
          <w:lang w:val="en-GB"/>
        </w:rPr>
        <w:t>UNCDF SHIFT include</w:t>
      </w:r>
      <w:r w:rsidR="000B72CA">
        <w:rPr>
          <w:rFonts w:asciiTheme="minorHAnsi" w:hAnsiTheme="minorHAnsi" w:cstheme="minorBidi"/>
          <w:color w:val="495965" w:themeColor="text2"/>
          <w:lang w:val="en-GB"/>
        </w:rPr>
        <w:t>d</w:t>
      </w:r>
      <w:r w:rsidRPr="007E1324">
        <w:rPr>
          <w:rFonts w:asciiTheme="minorHAnsi" w:hAnsiTheme="minorHAnsi" w:cstheme="minorBidi"/>
          <w:color w:val="495965" w:themeColor="text2"/>
          <w:lang w:val="en-GB"/>
        </w:rPr>
        <w:t xml:space="preserve"> disability inclusion criteria in the terms of reference for its 2019 women’s MSME Innovation Fund</w:t>
      </w:r>
      <w:r w:rsidR="0099334D">
        <w:rPr>
          <w:rFonts w:asciiTheme="minorHAnsi" w:hAnsiTheme="minorHAnsi" w:cstheme="minorBidi"/>
          <w:color w:val="495965" w:themeColor="text2"/>
          <w:lang w:val="en-GB"/>
        </w:rPr>
        <w:t xml:space="preserve">. </w:t>
      </w:r>
      <w:r w:rsidRPr="007E1324">
        <w:rPr>
          <w:rFonts w:asciiTheme="minorHAnsi" w:hAnsiTheme="minorHAnsi" w:cstheme="minorBidi"/>
          <w:color w:val="495965" w:themeColor="text2"/>
          <w:lang w:val="en-GB"/>
        </w:rPr>
        <w:t xml:space="preserve">This resulted in projects with </w:t>
      </w:r>
      <w:r w:rsidR="00290C4C">
        <w:rPr>
          <w:rFonts w:asciiTheme="minorHAnsi" w:hAnsiTheme="minorHAnsi" w:cstheme="minorBidi"/>
          <w:color w:val="495965" w:themeColor="text2"/>
          <w:lang w:val="en-GB"/>
        </w:rPr>
        <w:t xml:space="preserve">a </w:t>
      </w:r>
      <w:r w:rsidRPr="007E1324">
        <w:rPr>
          <w:rFonts w:asciiTheme="minorHAnsi" w:hAnsiTheme="minorHAnsi" w:cstheme="minorBidi"/>
          <w:color w:val="495965" w:themeColor="text2"/>
          <w:lang w:val="en-GB"/>
        </w:rPr>
        <w:t xml:space="preserve">disability focus </w:t>
      </w:r>
      <w:proofErr w:type="gramStart"/>
      <w:r w:rsidRPr="007E1324">
        <w:rPr>
          <w:rFonts w:asciiTheme="minorHAnsi" w:hAnsiTheme="minorHAnsi" w:cstheme="minorBidi"/>
          <w:color w:val="495965" w:themeColor="text2"/>
          <w:lang w:val="en-GB"/>
        </w:rPr>
        <w:t>being selected</w:t>
      </w:r>
      <w:proofErr w:type="gramEnd"/>
      <w:r w:rsidRPr="007E1324">
        <w:rPr>
          <w:rFonts w:asciiTheme="minorHAnsi" w:hAnsiTheme="minorHAnsi" w:cstheme="minorBidi"/>
          <w:color w:val="495965" w:themeColor="text2"/>
          <w:lang w:val="en-GB"/>
        </w:rPr>
        <w:t>, including one project providing digital business/financial advice to women with disabilities in ASEAN.</w:t>
      </w:r>
    </w:p>
    <w:p w14:paraId="51AE2928" w14:textId="719043FE" w:rsidR="007E1324" w:rsidRPr="007E1324" w:rsidRDefault="000B72CA" w:rsidP="007E1324">
      <w:pPr>
        <w:pStyle w:val="ListParagraph"/>
        <w:numPr>
          <w:ilvl w:val="0"/>
          <w:numId w:val="12"/>
        </w:numPr>
        <w:contextualSpacing/>
        <w:rPr>
          <w:rFonts w:asciiTheme="minorHAnsi" w:hAnsiTheme="minorHAnsi" w:cstheme="minorBidi"/>
          <w:color w:val="495965" w:themeColor="text2"/>
          <w:lang w:val="en-GB"/>
        </w:rPr>
      </w:pPr>
      <w:r>
        <w:rPr>
          <w:rFonts w:asciiTheme="minorHAnsi" w:hAnsiTheme="minorHAnsi" w:cstheme="minorBidi"/>
          <w:color w:val="495965" w:themeColor="text2"/>
          <w:lang w:val="en-GB"/>
        </w:rPr>
        <w:t>I</w:t>
      </w:r>
      <w:r w:rsidR="007E1324" w:rsidRPr="007E1324">
        <w:rPr>
          <w:rFonts w:asciiTheme="minorHAnsi" w:hAnsiTheme="minorHAnsi" w:cstheme="minorBidi"/>
          <w:color w:val="495965" w:themeColor="text2"/>
          <w:lang w:val="en-GB"/>
        </w:rPr>
        <w:t>ncreased collaboration between regional networks of Disabled Peoples Organisations</w:t>
      </w:r>
      <w:r w:rsidR="00B94C1A">
        <w:rPr>
          <w:rFonts w:asciiTheme="minorHAnsi" w:hAnsiTheme="minorHAnsi" w:cstheme="minorBidi"/>
          <w:color w:val="495965" w:themeColor="text2"/>
          <w:lang w:val="en-GB"/>
        </w:rPr>
        <w:t xml:space="preserve"> </w:t>
      </w:r>
      <w:r w:rsidR="007E1324" w:rsidRPr="007E1324">
        <w:rPr>
          <w:rFonts w:asciiTheme="minorHAnsi" w:hAnsiTheme="minorHAnsi" w:cstheme="minorBidi"/>
          <w:color w:val="495965" w:themeColor="text2"/>
          <w:lang w:val="en-GB"/>
        </w:rPr>
        <w:t xml:space="preserve"> </w:t>
      </w:r>
      <w:r w:rsidR="00290C4C">
        <w:rPr>
          <w:rFonts w:asciiTheme="minorHAnsi" w:hAnsiTheme="minorHAnsi" w:cstheme="minorBidi"/>
          <w:color w:val="495965" w:themeColor="text2"/>
          <w:lang w:val="en-GB"/>
        </w:rPr>
        <w:t xml:space="preserve">was </w:t>
      </w:r>
      <w:r w:rsidR="007E1324" w:rsidRPr="007E1324">
        <w:rPr>
          <w:rFonts w:asciiTheme="minorHAnsi" w:hAnsiTheme="minorHAnsi" w:cstheme="minorBidi"/>
          <w:color w:val="495965" w:themeColor="text2"/>
          <w:lang w:val="en-GB"/>
        </w:rPr>
        <w:t>supported by a Memorandum of Understanding (</w:t>
      </w:r>
      <w:proofErr w:type="spellStart"/>
      <w:r w:rsidR="007E1324" w:rsidRPr="007E1324">
        <w:rPr>
          <w:rFonts w:asciiTheme="minorHAnsi" w:hAnsiTheme="minorHAnsi" w:cstheme="minorBidi"/>
          <w:color w:val="495965" w:themeColor="text2"/>
          <w:lang w:val="en-GB"/>
        </w:rPr>
        <w:t>MoU</w:t>
      </w:r>
      <w:proofErr w:type="spellEnd"/>
      <w:r w:rsidR="007E1324" w:rsidRPr="007E1324">
        <w:rPr>
          <w:rFonts w:asciiTheme="minorHAnsi" w:hAnsiTheme="minorHAnsi" w:cstheme="minorBidi"/>
          <w:color w:val="495965" w:themeColor="text2"/>
          <w:lang w:val="en-GB"/>
        </w:rPr>
        <w:t>) between two key regional networks, the General Election Network for Disability Access (AGENDA) and the ASEAN Disability Forum (ADF)</w:t>
      </w:r>
      <w:r w:rsidR="0099334D">
        <w:rPr>
          <w:rFonts w:asciiTheme="minorHAnsi" w:hAnsiTheme="minorHAnsi" w:cstheme="minorBidi"/>
          <w:color w:val="495965" w:themeColor="text2"/>
          <w:lang w:val="en-GB"/>
        </w:rPr>
        <w:t xml:space="preserve">. </w:t>
      </w:r>
      <w:r w:rsidR="007E1324" w:rsidRPr="007E1324">
        <w:rPr>
          <w:rFonts w:asciiTheme="minorHAnsi" w:hAnsiTheme="minorHAnsi" w:cstheme="minorBidi"/>
          <w:color w:val="495965" w:themeColor="text2"/>
          <w:lang w:val="en-GB"/>
        </w:rPr>
        <w:t xml:space="preserve">The </w:t>
      </w:r>
      <w:proofErr w:type="spellStart"/>
      <w:r w:rsidR="007E1324" w:rsidRPr="007E1324">
        <w:rPr>
          <w:rFonts w:asciiTheme="minorHAnsi" w:hAnsiTheme="minorHAnsi" w:cstheme="minorBidi"/>
          <w:color w:val="495965" w:themeColor="text2"/>
          <w:lang w:val="en-GB"/>
        </w:rPr>
        <w:t>MoU</w:t>
      </w:r>
      <w:proofErr w:type="spellEnd"/>
      <w:r w:rsidR="007E1324" w:rsidRPr="007E1324">
        <w:rPr>
          <w:rFonts w:asciiTheme="minorHAnsi" w:hAnsiTheme="minorHAnsi" w:cstheme="minorBidi"/>
          <w:color w:val="495965" w:themeColor="text2"/>
          <w:lang w:val="en-GB"/>
        </w:rPr>
        <w:t xml:space="preserve"> has resulted in more effective advocacy and implementation of the ASEAN Enabling Masterplan 2025: Mainstreaming the Rights of Persons with Disabilities though joint planning and activities. </w:t>
      </w:r>
    </w:p>
    <w:p w14:paraId="1A5C674B" w14:textId="3062F7A7" w:rsidR="005A34ED" w:rsidRPr="007E1324" w:rsidRDefault="007E1324">
      <w:pPr>
        <w:pStyle w:val="ListParagraph"/>
        <w:numPr>
          <w:ilvl w:val="0"/>
          <w:numId w:val="12"/>
        </w:numPr>
        <w:contextualSpacing/>
        <w:rPr>
          <w:lang w:val="en-GB"/>
        </w:rPr>
      </w:pPr>
      <w:r w:rsidRPr="007E1324">
        <w:rPr>
          <w:rFonts w:asciiTheme="minorHAnsi" w:hAnsiTheme="minorHAnsi" w:cstheme="minorBidi"/>
          <w:color w:val="495965" w:themeColor="text2"/>
          <w:lang w:val="en-GB"/>
        </w:rPr>
        <w:t>SHIFT</w:t>
      </w:r>
      <w:r w:rsidR="005A34ED">
        <w:rPr>
          <w:rFonts w:asciiTheme="minorHAnsi" w:hAnsiTheme="minorHAnsi" w:cstheme="minorBidi"/>
          <w:color w:val="495965" w:themeColor="text2"/>
          <w:lang w:val="en-GB"/>
        </w:rPr>
        <w:t xml:space="preserve"> </w:t>
      </w:r>
      <w:r w:rsidRPr="007E1324">
        <w:rPr>
          <w:rFonts w:asciiTheme="minorHAnsi" w:hAnsiTheme="minorHAnsi" w:cstheme="minorBidi"/>
          <w:color w:val="495965" w:themeColor="text2"/>
          <w:lang w:val="en-GB"/>
        </w:rPr>
        <w:t>extend</w:t>
      </w:r>
      <w:r w:rsidR="005A34ED">
        <w:rPr>
          <w:rFonts w:asciiTheme="minorHAnsi" w:hAnsiTheme="minorHAnsi" w:cstheme="minorBidi"/>
          <w:color w:val="495965" w:themeColor="text2"/>
          <w:lang w:val="en-GB"/>
        </w:rPr>
        <w:t>s</w:t>
      </w:r>
      <w:r w:rsidRPr="007E1324">
        <w:rPr>
          <w:rFonts w:asciiTheme="minorHAnsi" w:hAnsiTheme="minorHAnsi" w:cstheme="minorBidi"/>
          <w:color w:val="495965" w:themeColor="text2"/>
          <w:lang w:val="en-GB"/>
        </w:rPr>
        <w:t xml:space="preserve"> financial access to rural women and ethnic minorities</w:t>
      </w:r>
      <w:r w:rsidR="0099334D">
        <w:rPr>
          <w:rFonts w:asciiTheme="minorHAnsi" w:hAnsiTheme="minorHAnsi" w:cstheme="minorBidi"/>
          <w:color w:val="495965" w:themeColor="text2"/>
          <w:lang w:val="en-GB"/>
        </w:rPr>
        <w:t xml:space="preserve">. </w:t>
      </w:r>
      <w:r w:rsidR="005A34ED">
        <w:rPr>
          <w:rFonts w:asciiTheme="minorHAnsi" w:hAnsiTheme="minorHAnsi" w:cstheme="minorBidi"/>
          <w:color w:val="495965" w:themeColor="text2"/>
          <w:lang w:val="en-GB"/>
        </w:rPr>
        <w:t xml:space="preserve">A </w:t>
      </w:r>
      <w:r w:rsidRPr="007E1324">
        <w:rPr>
          <w:rFonts w:asciiTheme="minorHAnsi" w:hAnsiTheme="minorHAnsi" w:cstheme="minorBidi"/>
          <w:color w:val="495965" w:themeColor="text2"/>
          <w:lang w:val="en-GB"/>
        </w:rPr>
        <w:t>commercial bank partner in Vietnam is working with an INGO to deliver mobile e-wallet</w:t>
      </w:r>
      <w:r w:rsidR="005A34ED">
        <w:rPr>
          <w:rFonts w:asciiTheme="minorHAnsi" w:hAnsiTheme="minorHAnsi" w:cstheme="minorBidi"/>
          <w:color w:val="495965" w:themeColor="text2"/>
          <w:lang w:val="en-GB"/>
        </w:rPr>
        <w:t>s</w:t>
      </w:r>
      <w:r w:rsidRPr="007E1324">
        <w:rPr>
          <w:rFonts w:asciiTheme="minorHAnsi" w:hAnsiTheme="minorHAnsi" w:cstheme="minorBidi"/>
          <w:color w:val="495965" w:themeColor="text2"/>
          <w:lang w:val="en-GB"/>
        </w:rPr>
        <w:t xml:space="preserve"> to ethnic minority women in remote rural areas</w:t>
      </w:r>
      <w:r w:rsidR="0099334D">
        <w:rPr>
          <w:rFonts w:asciiTheme="minorHAnsi" w:hAnsiTheme="minorHAnsi" w:cstheme="minorBidi"/>
          <w:color w:val="495965" w:themeColor="text2"/>
          <w:lang w:val="en-GB"/>
        </w:rPr>
        <w:t xml:space="preserve">. </w:t>
      </w:r>
      <w:r w:rsidR="005A34ED">
        <w:rPr>
          <w:rFonts w:asciiTheme="minorHAnsi" w:hAnsiTheme="minorHAnsi" w:cstheme="minorBidi"/>
          <w:color w:val="495965" w:themeColor="text2"/>
          <w:lang w:val="en-GB"/>
        </w:rPr>
        <w:t>A 2018</w:t>
      </w:r>
      <w:r w:rsidRPr="007E1324">
        <w:rPr>
          <w:rFonts w:asciiTheme="minorHAnsi" w:hAnsiTheme="minorHAnsi" w:cstheme="minorBidi"/>
          <w:color w:val="495965" w:themeColor="text2"/>
          <w:lang w:val="en-GB"/>
        </w:rPr>
        <w:t xml:space="preserve"> field mission</w:t>
      </w:r>
      <w:r w:rsidR="005A34ED">
        <w:rPr>
          <w:rFonts w:asciiTheme="minorHAnsi" w:hAnsiTheme="minorHAnsi" w:cstheme="minorBidi"/>
          <w:color w:val="495965" w:themeColor="text2"/>
          <w:lang w:val="en-GB"/>
        </w:rPr>
        <w:t xml:space="preserve"> </w:t>
      </w:r>
      <w:r w:rsidRPr="007E1324">
        <w:rPr>
          <w:rFonts w:asciiTheme="minorHAnsi" w:hAnsiTheme="minorHAnsi" w:cstheme="minorBidi"/>
          <w:color w:val="495965" w:themeColor="text2"/>
          <w:lang w:val="en-GB"/>
        </w:rPr>
        <w:t>review</w:t>
      </w:r>
      <w:r w:rsidR="005A34ED">
        <w:rPr>
          <w:rFonts w:asciiTheme="minorHAnsi" w:hAnsiTheme="minorHAnsi" w:cstheme="minorBidi"/>
          <w:color w:val="495965" w:themeColor="text2"/>
          <w:lang w:val="en-GB"/>
        </w:rPr>
        <w:t xml:space="preserve">ed </w:t>
      </w:r>
      <w:r w:rsidRPr="007E1324">
        <w:rPr>
          <w:rFonts w:asciiTheme="minorHAnsi" w:hAnsiTheme="minorHAnsi" w:cstheme="minorBidi"/>
          <w:color w:val="495965" w:themeColor="text2"/>
          <w:lang w:val="en-GB"/>
        </w:rPr>
        <w:t>the impact of the e-wallet, used by Thai ethnic savings and loan group</w:t>
      </w:r>
      <w:r w:rsidR="005A34ED">
        <w:rPr>
          <w:rFonts w:asciiTheme="minorHAnsi" w:hAnsiTheme="minorHAnsi" w:cstheme="minorBidi"/>
          <w:color w:val="495965" w:themeColor="text2"/>
          <w:lang w:val="en-GB"/>
        </w:rPr>
        <w:t>s</w:t>
      </w:r>
      <w:r w:rsidR="0099334D">
        <w:rPr>
          <w:rFonts w:asciiTheme="minorHAnsi" w:hAnsiTheme="minorHAnsi" w:cstheme="minorBidi"/>
          <w:color w:val="495965" w:themeColor="text2"/>
          <w:lang w:val="en-GB"/>
        </w:rPr>
        <w:t xml:space="preserve">. </w:t>
      </w:r>
      <w:r w:rsidR="00290C4C">
        <w:rPr>
          <w:rFonts w:asciiTheme="minorHAnsi" w:hAnsiTheme="minorHAnsi" w:cstheme="minorBidi"/>
          <w:color w:val="495965" w:themeColor="text2"/>
          <w:lang w:val="en-GB"/>
        </w:rPr>
        <w:t>In Myanmar a</w:t>
      </w:r>
      <w:r w:rsidR="005A34ED">
        <w:rPr>
          <w:rFonts w:asciiTheme="minorHAnsi" w:hAnsiTheme="minorHAnsi" w:cstheme="minorBidi"/>
          <w:color w:val="495965" w:themeColor="text2"/>
          <w:lang w:val="en-GB"/>
        </w:rPr>
        <w:t xml:space="preserve"> </w:t>
      </w:r>
      <w:r w:rsidRPr="00295179">
        <w:rPr>
          <w:rFonts w:asciiTheme="minorHAnsi" w:hAnsiTheme="minorHAnsi" w:cstheme="minorBidi"/>
          <w:color w:val="495965" w:themeColor="text2"/>
        </w:rPr>
        <w:t xml:space="preserve">partnership with </w:t>
      </w:r>
      <w:proofErr w:type="spellStart"/>
      <w:r w:rsidRPr="00295179">
        <w:rPr>
          <w:rFonts w:asciiTheme="minorHAnsi" w:hAnsiTheme="minorHAnsi" w:cstheme="minorBidi"/>
          <w:color w:val="495965" w:themeColor="text2"/>
        </w:rPr>
        <w:t>WaveMoney</w:t>
      </w:r>
      <w:proofErr w:type="spellEnd"/>
      <w:r w:rsidRPr="00295179">
        <w:rPr>
          <w:rFonts w:asciiTheme="minorHAnsi" w:hAnsiTheme="minorHAnsi" w:cstheme="minorBidi"/>
          <w:color w:val="495965" w:themeColor="text2"/>
        </w:rPr>
        <w:t xml:space="preserve"> informed the introduction of ethnic language voice-overs to </w:t>
      </w:r>
      <w:r w:rsidR="005A34ED">
        <w:rPr>
          <w:rFonts w:asciiTheme="minorHAnsi" w:hAnsiTheme="minorHAnsi" w:cstheme="minorBidi"/>
          <w:color w:val="495965" w:themeColor="text2"/>
          <w:lang w:val="en-GB"/>
        </w:rPr>
        <w:t>a</w:t>
      </w:r>
      <w:r w:rsidRPr="00295179">
        <w:rPr>
          <w:rFonts w:asciiTheme="minorHAnsi" w:hAnsiTheme="minorHAnsi" w:cstheme="minorBidi"/>
          <w:color w:val="495965" w:themeColor="text2"/>
        </w:rPr>
        <w:t xml:space="preserve"> financial literacy application</w:t>
      </w:r>
      <w:r w:rsidR="00290C4C">
        <w:rPr>
          <w:rFonts w:asciiTheme="minorHAnsi" w:hAnsiTheme="minorHAnsi" w:cstheme="minorBidi"/>
          <w:color w:val="495965" w:themeColor="text2"/>
        </w:rPr>
        <w:t xml:space="preserve"> and </w:t>
      </w:r>
      <w:proofErr w:type="spellStart"/>
      <w:r w:rsidRPr="00295179">
        <w:rPr>
          <w:rFonts w:asciiTheme="minorHAnsi" w:hAnsiTheme="minorHAnsi" w:cstheme="minorBidi"/>
          <w:color w:val="495965" w:themeColor="text2"/>
        </w:rPr>
        <w:t>Awba's</w:t>
      </w:r>
      <w:proofErr w:type="spellEnd"/>
      <w:r w:rsidRPr="00295179">
        <w:rPr>
          <w:rFonts w:asciiTheme="minorHAnsi" w:hAnsiTheme="minorHAnsi" w:cstheme="minorBidi"/>
          <w:color w:val="495965" w:themeColor="text2"/>
        </w:rPr>
        <w:t xml:space="preserve"> 1-STOP digital convenience store service expanded</w:t>
      </w:r>
      <w:r w:rsidR="005A34ED">
        <w:rPr>
          <w:rFonts w:asciiTheme="minorHAnsi" w:hAnsiTheme="minorHAnsi" w:cstheme="minorBidi"/>
          <w:color w:val="495965" w:themeColor="text2"/>
          <w:lang w:val="en-GB"/>
        </w:rPr>
        <w:t xml:space="preserve"> into the</w:t>
      </w:r>
      <w:r w:rsidRPr="00295179">
        <w:rPr>
          <w:rFonts w:asciiTheme="minorHAnsi" w:hAnsiTheme="minorHAnsi" w:cstheme="minorBidi"/>
          <w:color w:val="495965" w:themeColor="text2"/>
        </w:rPr>
        <w:t xml:space="preserve"> </w:t>
      </w:r>
      <w:r w:rsidR="00290C4C">
        <w:rPr>
          <w:rFonts w:asciiTheme="minorHAnsi" w:hAnsiTheme="minorHAnsi" w:cstheme="minorBidi"/>
          <w:color w:val="495965" w:themeColor="text2"/>
        </w:rPr>
        <w:t>the</w:t>
      </w:r>
      <w:r w:rsidRPr="00295179">
        <w:rPr>
          <w:rFonts w:asciiTheme="minorHAnsi" w:hAnsiTheme="minorHAnsi" w:cstheme="minorBidi"/>
          <w:color w:val="495965" w:themeColor="text2"/>
        </w:rPr>
        <w:t xml:space="preserve"> States of Shan, </w:t>
      </w:r>
      <w:proofErr w:type="spellStart"/>
      <w:r w:rsidRPr="00295179">
        <w:rPr>
          <w:rFonts w:asciiTheme="minorHAnsi" w:hAnsiTheme="minorHAnsi" w:cstheme="minorBidi"/>
          <w:color w:val="495965" w:themeColor="text2"/>
        </w:rPr>
        <w:t>Rakhine</w:t>
      </w:r>
      <w:proofErr w:type="spellEnd"/>
      <w:r w:rsidRPr="00295179">
        <w:rPr>
          <w:rFonts w:asciiTheme="minorHAnsi" w:hAnsiTheme="minorHAnsi" w:cstheme="minorBidi"/>
          <w:color w:val="495965" w:themeColor="text2"/>
        </w:rPr>
        <w:t xml:space="preserve"> and Kachin</w:t>
      </w:r>
      <w:r w:rsidR="00290C4C">
        <w:rPr>
          <w:rFonts w:asciiTheme="minorHAnsi" w:hAnsiTheme="minorHAnsi" w:cstheme="minorBidi"/>
          <w:color w:val="495965" w:themeColor="text2"/>
        </w:rPr>
        <w:t xml:space="preserve"> (where there are large populations of ethnic minorities</w:t>
      </w:r>
      <w:r w:rsidRPr="00295179">
        <w:rPr>
          <w:rFonts w:asciiTheme="minorHAnsi" w:hAnsiTheme="minorHAnsi" w:cstheme="minorBidi"/>
          <w:color w:val="495965" w:themeColor="text2"/>
        </w:rPr>
        <w:t>.</w:t>
      </w:r>
    </w:p>
    <w:p w14:paraId="26CB2F34" w14:textId="42E1A1CD" w:rsidR="007E1324" w:rsidRPr="00295179" w:rsidRDefault="007E1324" w:rsidP="00295179">
      <w:pPr>
        <w:pStyle w:val="ListParagraph"/>
        <w:numPr>
          <w:ilvl w:val="0"/>
          <w:numId w:val="12"/>
        </w:numPr>
        <w:contextualSpacing/>
        <w:rPr>
          <w:rFonts w:asciiTheme="minorHAnsi" w:hAnsiTheme="minorHAnsi" w:cstheme="minorBidi"/>
          <w:color w:val="495965" w:themeColor="text2"/>
          <w:lang w:val="en-GB"/>
        </w:rPr>
      </w:pPr>
      <w:r w:rsidRPr="00295179">
        <w:rPr>
          <w:rFonts w:asciiTheme="minorHAnsi" w:hAnsiTheme="minorHAnsi" w:cstheme="minorBidi"/>
          <w:color w:val="495965" w:themeColor="text2"/>
        </w:rPr>
        <w:t>The MBI innovation challenges include criteria on social impact and inclusion in assessing finalists. For example, 2018 Fintech Vietnam Challenge finalist, Enable Code, specifically targets the recruitment of people with disability</w:t>
      </w:r>
      <w:r w:rsidR="0099334D">
        <w:rPr>
          <w:rFonts w:asciiTheme="minorHAnsi" w:hAnsiTheme="minorHAnsi" w:cstheme="minorBidi"/>
          <w:color w:val="495965" w:themeColor="text2"/>
        </w:rPr>
        <w:t xml:space="preserve">. </w:t>
      </w:r>
      <w:r w:rsidRPr="00295179">
        <w:rPr>
          <w:rFonts w:asciiTheme="minorHAnsi" w:hAnsiTheme="minorHAnsi" w:cstheme="minorBidi"/>
          <w:color w:val="495965" w:themeColor="text2"/>
        </w:rPr>
        <w:t xml:space="preserve">The </w:t>
      </w:r>
      <w:r w:rsidR="00996056">
        <w:rPr>
          <w:rFonts w:asciiTheme="minorHAnsi" w:hAnsiTheme="minorHAnsi" w:cstheme="minorBidi"/>
          <w:color w:val="495965" w:themeColor="text2"/>
        </w:rPr>
        <w:t xml:space="preserve">winner of the </w:t>
      </w:r>
      <w:r w:rsidRPr="00295179">
        <w:rPr>
          <w:rFonts w:asciiTheme="minorHAnsi" w:hAnsiTheme="minorHAnsi" w:cstheme="minorBidi"/>
          <w:color w:val="495965" w:themeColor="text2"/>
        </w:rPr>
        <w:t>2018 Mekong Innovative Start-ups in Tourism (MIST) accelerator</w:t>
      </w:r>
      <w:r w:rsidR="00996056">
        <w:rPr>
          <w:rFonts w:asciiTheme="minorHAnsi" w:hAnsiTheme="minorHAnsi" w:cstheme="minorBidi"/>
          <w:color w:val="495965" w:themeColor="text2"/>
        </w:rPr>
        <w:t xml:space="preserve">, </w:t>
      </w:r>
      <w:r w:rsidRPr="00295179">
        <w:rPr>
          <w:rFonts w:asciiTheme="minorHAnsi" w:hAnsiTheme="minorHAnsi" w:cstheme="minorBidi"/>
          <w:color w:val="495965" w:themeColor="text2"/>
        </w:rPr>
        <w:t xml:space="preserve">Bamboo Lao, </w:t>
      </w:r>
      <w:r w:rsidR="00996056">
        <w:rPr>
          <w:rFonts w:asciiTheme="minorHAnsi" w:hAnsiTheme="minorHAnsi" w:cstheme="minorBidi"/>
          <w:color w:val="495965" w:themeColor="text2"/>
        </w:rPr>
        <w:t xml:space="preserve">is </w:t>
      </w:r>
      <w:r w:rsidRPr="00295179">
        <w:rPr>
          <w:rFonts w:asciiTheme="minorHAnsi" w:hAnsiTheme="minorHAnsi" w:cstheme="minorBidi"/>
          <w:color w:val="495965" w:themeColor="text2"/>
        </w:rPr>
        <w:t>a manufacturer of sustainable bamboo straws</w:t>
      </w:r>
      <w:r w:rsidR="00E1032F">
        <w:rPr>
          <w:rFonts w:asciiTheme="minorHAnsi" w:hAnsiTheme="minorHAnsi" w:cstheme="minorBidi"/>
          <w:color w:val="495965" w:themeColor="text2"/>
        </w:rPr>
        <w:t xml:space="preserve">, </w:t>
      </w:r>
      <w:proofErr w:type="spellStart"/>
      <w:r w:rsidRPr="00295179">
        <w:rPr>
          <w:rFonts w:asciiTheme="minorHAnsi" w:hAnsiTheme="minorHAnsi" w:cstheme="minorBidi"/>
          <w:color w:val="495965" w:themeColor="text2"/>
        </w:rPr>
        <w:t>provid</w:t>
      </w:r>
      <w:r w:rsidR="005A34ED">
        <w:rPr>
          <w:rFonts w:asciiTheme="minorHAnsi" w:hAnsiTheme="minorHAnsi" w:cstheme="minorBidi"/>
          <w:color w:val="495965" w:themeColor="text2"/>
          <w:lang w:val="en-GB"/>
        </w:rPr>
        <w:t>es</w:t>
      </w:r>
      <w:proofErr w:type="spellEnd"/>
      <w:r w:rsidR="005A34ED">
        <w:rPr>
          <w:rFonts w:asciiTheme="minorHAnsi" w:hAnsiTheme="minorHAnsi" w:cstheme="minorBidi"/>
          <w:color w:val="495965" w:themeColor="text2"/>
          <w:lang w:val="en-GB"/>
        </w:rPr>
        <w:t xml:space="preserve"> </w:t>
      </w:r>
      <w:r w:rsidRPr="00295179">
        <w:rPr>
          <w:rFonts w:asciiTheme="minorHAnsi" w:hAnsiTheme="minorHAnsi" w:cstheme="minorBidi"/>
          <w:color w:val="495965" w:themeColor="text2"/>
        </w:rPr>
        <w:t xml:space="preserve">employment within small villages and works with the </w:t>
      </w:r>
      <w:proofErr w:type="spellStart"/>
      <w:r w:rsidRPr="00295179">
        <w:rPr>
          <w:rFonts w:asciiTheme="minorHAnsi" w:hAnsiTheme="minorHAnsi" w:cstheme="minorBidi"/>
          <w:color w:val="495965" w:themeColor="text2"/>
        </w:rPr>
        <w:t>Xonpao</w:t>
      </w:r>
      <w:proofErr w:type="spellEnd"/>
      <w:r w:rsidRPr="00295179">
        <w:rPr>
          <w:rFonts w:asciiTheme="minorHAnsi" w:hAnsiTheme="minorHAnsi" w:cstheme="minorBidi"/>
          <w:color w:val="495965" w:themeColor="text2"/>
        </w:rPr>
        <w:t xml:space="preserve"> Disabled Association to involve disabled Laotians in production. </w:t>
      </w:r>
    </w:p>
    <w:p w14:paraId="73FE680D" w14:textId="77777777" w:rsidR="00B05C2C" w:rsidRDefault="00B05C2C">
      <w:pPr>
        <w:suppressAutoHyphens w:val="0"/>
        <w:spacing w:before="0" w:after="120" w:line="440" w:lineRule="atLeast"/>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br w:type="page"/>
      </w:r>
    </w:p>
    <w:p w14:paraId="69DE737C" w14:textId="16AC8887" w:rsidR="005B5769" w:rsidRPr="00015316" w:rsidRDefault="005B5769" w:rsidP="00015316">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t xml:space="preserve">Management </w:t>
      </w:r>
      <w:r w:rsidR="00E65105">
        <w:rPr>
          <w:rFonts w:asciiTheme="majorHAnsi" w:eastAsiaTheme="majorEastAsia" w:hAnsiTheme="majorHAnsi" w:cstheme="majorBidi"/>
          <w:caps/>
          <w:color w:val="495965" w:themeColor="text2"/>
          <w:sz w:val="38"/>
          <w:szCs w:val="26"/>
          <w:lang w:val="en-GB" w:eastAsia="en-US"/>
        </w:rPr>
        <w:t>actions</w:t>
      </w:r>
      <w:bookmarkStart w:id="1" w:name="_GoBack"/>
      <w:bookmarkEnd w:id="1"/>
    </w:p>
    <w:p w14:paraId="35E9BE78" w14:textId="172311AF" w:rsidR="00CF39E3" w:rsidRDefault="00996056" w:rsidP="004B0A64">
      <w:r>
        <w:t>There are challenges in delivering a</w:t>
      </w:r>
      <w:r w:rsidR="00292E07" w:rsidRPr="006F43EF">
        <w:t xml:space="preserve"> diverse portfolio of investments through a range of implementing partners in multiple countries</w:t>
      </w:r>
      <w:r w:rsidR="0099334D">
        <w:t xml:space="preserve">. </w:t>
      </w:r>
      <w:r w:rsidR="00292E07" w:rsidRPr="006F43EF">
        <w:t xml:space="preserve">We have </w:t>
      </w:r>
      <w:r>
        <w:t>worked</w:t>
      </w:r>
      <w:r w:rsidR="00292E07" w:rsidRPr="006F43EF">
        <w:t xml:space="preserve"> to ensure all new investments contribute to the overarching AIP objectives </w:t>
      </w:r>
      <w:proofErr w:type="gramStart"/>
      <w:r w:rsidR="00292E07" w:rsidRPr="006F43EF">
        <w:t>and  to</w:t>
      </w:r>
      <w:proofErr w:type="gramEnd"/>
      <w:r w:rsidR="00292E07" w:rsidRPr="006F43EF">
        <w:t xml:space="preserve"> ASEAN’s development goals</w:t>
      </w:r>
      <w:r w:rsidR="0099334D">
        <w:t xml:space="preserve">. </w:t>
      </w:r>
      <w:r w:rsidR="00292E07" w:rsidRPr="006F43EF">
        <w:t>At the same time, the Program retain</w:t>
      </w:r>
      <w:r w:rsidR="00065012">
        <w:t>ed</w:t>
      </w:r>
      <w:r w:rsidR="00292E07" w:rsidRPr="006F43EF">
        <w:t xml:space="preserve"> flexibility to respond to emerging priorities </w:t>
      </w:r>
      <w:r>
        <w:t>within</w:t>
      </w:r>
      <w:r w:rsidRPr="006F43EF">
        <w:t xml:space="preserve"> </w:t>
      </w:r>
      <w:r w:rsidR="00292E07" w:rsidRPr="006F43EF">
        <w:t>the ASEAN-Australia Plan of Action under our Strategic Partnership</w:t>
      </w:r>
      <w:r w:rsidR="00CF39E3">
        <w:t xml:space="preserve">, </w:t>
      </w:r>
      <w:r w:rsidR="00EE3591">
        <w:t xml:space="preserve">implementation of </w:t>
      </w:r>
      <w:r w:rsidR="00CF39E3">
        <w:t xml:space="preserve">the ASEAN-Australia Special Summit </w:t>
      </w:r>
      <w:r w:rsidR="003379C1">
        <w:t xml:space="preserve">announcements </w:t>
      </w:r>
      <w:r w:rsidR="00CF39E3">
        <w:t>and Australia’s Foreign Policy White Paper</w:t>
      </w:r>
      <w:r w:rsidR="0099334D">
        <w:t xml:space="preserve">. </w:t>
      </w:r>
      <w:r w:rsidR="00292E07" w:rsidRPr="006F43EF">
        <w:t xml:space="preserve">The Program is performing well and </w:t>
      </w:r>
      <w:r w:rsidR="003A19FC">
        <w:t>has achieved</w:t>
      </w:r>
      <w:r w:rsidR="00292E07" w:rsidRPr="006F43EF">
        <w:t xml:space="preserve"> its performance benchmarks (see Annex B).</w:t>
      </w:r>
    </w:p>
    <w:p w14:paraId="54C95AF4" w14:textId="376A1BA0" w:rsidR="00EE3591" w:rsidRPr="00B05C2C" w:rsidRDefault="00CF39E3" w:rsidP="00EE3591">
      <w:pPr>
        <w:spacing w:before="0" w:after="120" w:line="240" w:lineRule="auto"/>
        <w:ind w:right="130"/>
      </w:pPr>
      <w:r>
        <w:t>The review of the Aid Investment Plan in 201</w:t>
      </w:r>
      <w:r w:rsidR="005D4D97">
        <w:t>9</w:t>
      </w:r>
      <w:r>
        <w:t>-</w:t>
      </w:r>
      <w:r w:rsidR="005D4D97">
        <w:t>20</w:t>
      </w:r>
      <w:r>
        <w:t xml:space="preserve"> will </w:t>
      </w:r>
      <w:r w:rsidR="00FF5FD8">
        <w:t>provide an</w:t>
      </w:r>
      <w:r>
        <w:t xml:space="preserve"> opportunity to </w:t>
      </w:r>
      <w:r w:rsidR="003A19FC">
        <w:t xml:space="preserve">consider the ASEAN and Mekong Program’s alignment with </w:t>
      </w:r>
      <w:r w:rsidR="00FF5FD8">
        <w:t xml:space="preserve">Australia’s strategic objectives, </w:t>
      </w:r>
      <w:r w:rsidR="00065012">
        <w:t>as</w:t>
      </w:r>
      <w:r w:rsidR="00FF5FD8">
        <w:t xml:space="preserve"> outlined in the</w:t>
      </w:r>
      <w:r w:rsidR="003A19FC">
        <w:t xml:space="preserve"> Foreign Policy White Paper</w:t>
      </w:r>
      <w:r w:rsidR="0099334D">
        <w:t xml:space="preserve">. </w:t>
      </w:r>
      <w:r w:rsidR="005D4D97">
        <w:t xml:space="preserve">Some of the management actions listed below </w:t>
      </w:r>
      <w:proofErr w:type="gramStart"/>
      <w:r w:rsidR="005D4D97">
        <w:t>have been extended</w:t>
      </w:r>
      <w:proofErr w:type="gramEnd"/>
      <w:r w:rsidR="005D4D97">
        <w:t xml:space="preserve"> over from the last reporting period as they remain relevant and DFAT will continue to </w:t>
      </w:r>
      <w:r w:rsidR="00996056">
        <w:t>implement</w:t>
      </w:r>
      <w:r w:rsidR="005D4D97">
        <w:t xml:space="preserve"> these measures</w:t>
      </w:r>
      <w:r w:rsidR="0099334D">
        <w:t xml:space="preserve">. </w:t>
      </w:r>
      <w:r w:rsidR="00BC74F9">
        <w:t xml:space="preserve">A few new actions </w:t>
      </w:r>
      <w:proofErr w:type="gramStart"/>
      <w:r w:rsidR="00BC74F9">
        <w:t>have been identified</w:t>
      </w:r>
      <w:proofErr w:type="gramEnd"/>
      <w:r w:rsidR="00BC74F9">
        <w:t xml:space="preserve"> for 2019-2020. </w:t>
      </w:r>
    </w:p>
    <w:p w14:paraId="562122AA" w14:textId="77777777" w:rsidR="00B05C2C" w:rsidRPr="007C32ED" w:rsidRDefault="00B05C2C" w:rsidP="00B05C2C">
      <w:pPr>
        <w:spacing w:before="0" w:after="120" w:line="240" w:lineRule="auto"/>
        <w:ind w:right="130"/>
      </w:pPr>
      <w:r>
        <w:t xml:space="preserve">Continue </w:t>
      </w:r>
      <w:proofErr w:type="gramStart"/>
      <w:r>
        <w:t xml:space="preserve">to </w:t>
      </w:r>
      <w:r w:rsidRPr="007C32ED">
        <w:t>effectively communicate</w:t>
      </w:r>
      <w:proofErr w:type="gramEnd"/>
      <w:r w:rsidRPr="007C32ED">
        <w:t xml:space="preserve"> about </w:t>
      </w:r>
      <w:r>
        <w:t xml:space="preserve">the contribution of </w:t>
      </w:r>
      <w:r w:rsidRPr="007C32ED">
        <w:t>our regional program:</w:t>
      </w:r>
    </w:p>
    <w:p w14:paraId="503BBFF4" w14:textId="58E68DAB" w:rsidR="00B05C2C" w:rsidRPr="007C32ED" w:rsidRDefault="00B05C2C" w:rsidP="00B05C2C">
      <w:pPr>
        <w:pStyle w:val="ListParagraph"/>
        <w:numPr>
          <w:ilvl w:val="0"/>
          <w:numId w:val="12"/>
        </w:numPr>
        <w:suppressAutoHyphens/>
        <w:spacing w:after="120"/>
        <w:ind w:right="130"/>
        <w:contextualSpacing/>
        <w:rPr>
          <w:rFonts w:asciiTheme="minorHAnsi" w:hAnsiTheme="minorHAnsi" w:cstheme="minorBidi"/>
          <w:i/>
          <w:color w:val="495965" w:themeColor="text2"/>
          <w:lang w:val="en-GB"/>
        </w:rPr>
      </w:pPr>
      <w:proofErr w:type="gramStart"/>
      <w:r w:rsidRPr="007C32ED">
        <w:rPr>
          <w:rFonts w:asciiTheme="minorHAnsi" w:hAnsiTheme="minorHAnsi" w:cstheme="minorBidi"/>
          <w:i/>
          <w:color w:val="495965" w:themeColor="text2"/>
          <w:lang w:val="en-GB"/>
        </w:rPr>
        <w:t>inform</w:t>
      </w:r>
      <w:proofErr w:type="gramEnd"/>
      <w:r w:rsidRPr="007C32ED">
        <w:rPr>
          <w:rFonts w:asciiTheme="minorHAnsi" w:hAnsiTheme="minorHAnsi" w:cstheme="minorBidi"/>
          <w:i/>
          <w:color w:val="495965" w:themeColor="text2"/>
          <w:lang w:val="en-GB"/>
        </w:rPr>
        <w:t xml:space="preserve"> </w:t>
      </w:r>
      <w:r>
        <w:rPr>
          <w:rFonts w:asciiTheme="minorHAnsi" w:hAnsiTheme="minorHAnsi" w:cstheme="minorBidi"/>
          <w:i/>
          <w:color w:val="495965" w:themeColor="text2"/>
          <w:lang w:val="en-GB"/>
        </w:rPr>
        <w:t xml:space="preserve">ASEAN </w:t>
      </w:r>
      <w:r w:rsidRPr="007C32ED">
        <w:rPr>
          <w:rFonts w:asciiTheme="minorHAnsi" w:hAnsiTheme="minorHAnsi" w:cstheme="minorBidi"/>
          <w:i/>
          <w:color w:val="495965" w:themeColor="text2"/>
          <w:lang w:val="en-GB"/>
        </w:rPr>
        <w:t>leaders</w:t>
      </w:r>
      <w:r>
        <w:rPr>
          <w:rFonts w:asciiTheme="minorHAnsi" w:hAnsiTheme="minorHAnsi" w:cstheme="minorBidi"/>
          <w:i/>
          <w:color w:val="495965" w:themeColor="text2"/>
          <w:lang w:val="en-GB"/>
        </w:rPr>
        <w:t>, Ministers and senior officials</w:t>
      </w:r>
      <w:r w:rsidRPr="007C32ED">
        <w:rPr>
          <w:rFonts w:asciiTheme="minorHAnsi" w:hAnsiTheme="minorHAnsi" w:cstheme="minorBidi"/>
          <w:i/>
          <w:color w:val="495965" w:themeColor="text2"/>
          <w:lang w:val="en-GB"/>
        </w:rPr>
        <w:t xml:space="preserve"> of program achievements and </w:t>
      </w:r>
      <w:r>
        <w:rPr>
          <w:rFonts w:asciiTheme="minorHAnsi" w:hAnsiTheme="minorHAnsi" w:cstheme="minorBidi"/>
          <w:i/>
          <w:color w:val="495965" w:themeColor="text2"/>
          <w:lang w:val="en-GB"/>
        </w:rPr>
        <w:t xml:space="preserve">our </w:t>
      </w:r>
      <w:r w:rsidR="00906C6F">
        <w:rPr>
          <w:rFonts w:asciiTheme="minorHAnsi" w:hAnsiTheme="minorHAnsi" w:cstheme="minorBidi"/>
          <w:i/>
          <w:color w:val="495965" w:themeColor="text2"/>
          <w:lang w:val="en-GB"/>
        </w:rPr>
        <w:t xml:space="preserve">demonstrated </w:t>
      </w:r>
      <w:r w:rsidRPr="007C32ED">
        <w:rPr>
          <w:rFonts w:asciiTheme="minorHAnsi" w:hAnsiTheme="minorHAnsi" w:cstheme="minorBidi"/>
          <w:i/>
          <w:color w:val="495965" w:themeColor="text2"/>
          <w:lang w:val="en-GB"/>
        </w:rPr>
        <w:t xml:space="preserve">support </w:t>
      </w:r>
      <w:r w:rsidR="00906C6F">
        <w:rPr>
          <w:rFonts w:asciiTheme="minorHAnsi" w:hAnsiTheme="minorHAnsi" w:cstheme="minorBidi"/>
          <w:i/>
          <w:color w:val="495965" w:themeColor="text2"/>
          <w:lang w:val="en-GB"/>
        </w:rPr>
        <w:t>of</w:t>
      </w:r>
      <w:r w:rsidRPr="007C32ED">
        <w:rPr>
          <w:rFonts w:asciiTheme="minorHAnsi" w:hAnsiTheme="minorHAnsi" w:cstheme="minorBidi"/>
          <w:i/>
          <w:color w:val="495965" w:themeColor="text2"/>
          <w:lang w:val="en-GB"/>
        </w:rPr>
        <w:t xml:space="preserve"> ASEAN-Australia cooperation.</w:t>
      </w:r>
    </w:p>
    <w:p w14:paraId="1F3FD892" w14:textId="77777777" w:rsidR="00B05C2C" w:rsidRPr="00DC73FC" w:rsidRDefault="00B05C2C" w:rsidP="00B05C2C">
      <w:pPr>
        <w:pStyle w:val="ListParagraph"/>
        <w:numPr>
          <w:ilvl w:val="0"/>
          <w:numId w:val="12"/>
        </w:numPr>
        <w:suppressAutoHyphens/>
        <w:spacing w:after="120"/>
        <w:ind w:right="130"/>
        <w:contextualSpacing/>
      </w:pPr>
      <w:proofErr w:type="gramStart"/>
      <w:r w:rsidRPr="00DC73FC">
        <w:rPr>
          <w:rFonts w:asciiTheme="minorHAnsi" w:hAnsiTheme="minorHAnsi" w:cstheme="minorBidi"/>
          <w:i/>
          <w:color w:val="495965" w:themeColor="text2"/>
          <w:lang w:val="en-GB"/>
        </w:rPr>
        <w:t>maintain</w:t>
      </w:r>
      <w:proofErr w:type="gramEnd"/>
      <w:r w:rsidRPr="00DC73FC">
        <w:rPr>
          <w:rFonts w:asciiTheme="minorHAnsi" w:hAnsiTheme="minorHAnsi" w:cstheme="minorBidi"/>
          <w:i/>
          <w:color w:val="495965" w:themeColor="text2"/>
          <w:lang w:val="en-GB"/>
        </w:rPr>
        <w:t xml:space="preserve"> engagement </w:t>
      </w:r>
      <w:r>
        <w:rPr>
          <w:rFonts w:asciiTheme="minorHAnsi" w:hAnsiTheme="minorHAnsi" w:cstheme="minorBidi"/>
          <w:i/>
          <w:color w:val="495965" w:themeColor="text2"/>
          <w:lang w:val="en-GB"/>
        </w:rPr>
        <w:t xml:space="preserve">and advocacy </w:t>
      </w:r>
      <w:r w:rsidRPr="00DC73FC">
        <w:rPr>
          <w:rFonts w:asciiTheme="minorHAnsi" w:hAnsiTheme="minorHAnsi" w:cstheme="minorBidi"/>
          <w:i/>
          <w:color w:val="495965" w:themeColor="text2"/>
          <w:lang w:val="en-GB"/>
        </w:rPr>
        <w:t>with key ASEAN stakeholders</w:t>
      </w:r>
      <w:r>
        <w:rPr>
          <w:rFonts w:asciiTheme="minorHAnsi" w:hAnsiTheme="minorHAnsi" w:cstheme="minorBidi"/>
          <w:i/>
          <w:color w:val="495965" w:themeColor="text2"/>
          <w:lang w:val="en-GB"/>
        </w:rPr>
        <w:t xml:space="preserve"> (including ASEC) to ensure alignment with plans and priorities of ASEAN sectoral bodies</w:t>
      </w:r>
      <w:r w:rsidRPr="00DC73FC">
        <w:rPr>
          <w:rFonts w:asciiTheme="minorHAnsi" w:hAnsiTheme="minorHAnsi" w:cstheme="minorBidi"/>
          <w:i/>
          <w:color w:val="495965" w:themeColor="text2"/>
          <w:lang w:val="en-GB"/>
        </w:rPr>
        <w:t>.</w:t>
      </w:r>
      <w:r w:rsidRPr="00DC73FC">
        <w:t xml:space="preserve"> </w:t>
      </w:r>
    </w:p>
    <w:p w14:paraId="6F642636" w14:textId="77777777" w:rsidR="00B05C2C" w:rsidRPr="007C32ED" w:rsidRDefault="00B05C2C" w:rsidP="00B05C2C">
      <w:pPr>
        <w:pStyle w:val="ListParagraph"/>
        <w:numPr>
          <w:ilvl w:val="0"/>
          <w:numId w:val="12"/>
        </w:numPr>
        <w:suppressAutoHyphens/>
        <w:spacing w:after="120"/>
        <w:ind w:right="130"/>
        <w:contextualSpacing/>
      </w:pPr>
      <w:proofErr w:type="gramStart"/>
      <w:r>
        <w:rPr>
          <w:rFonts w:asciiTheme="minorHAnsi" w:hAnsiTheme="minorHAnsi" w:cstheme="minorBidi"/>
          <w:i/>
          <w:color w:val="495965" w:themeColor="text2"/>
          <w:lang w:val="en-GB"/>
        </w:rPr>
        <w:t>m</w:t>
      </w:r>
      <w:r w:rsidRPr="00702286">
        <w:rPr>
          <w:rFonts w:asciiTheme="minorHAnsi" w:hAnsiTheme="minorHAnsi" w:cstheme="minorBidi"/>
          <w:i/>
          <w:color w:val="495965" w:themeColor="text2"/>
          <w:lang w:val="en-GB"/>
        </w:rPr>
        <w:t>aintain</w:t>
      </w:r>
      <w:proofErr w:type="gramEnd"/>
      <w:r w:rsidRPr="00702286">
        <w:rPr>
          <w:rFonts w:asciiTheme="minorHAnsi" w:hAnsiTheme="minorHAnsi" w:cstheme="minorBidi"/>
          <w:i/>
          <w:color w:val="495965" w:themeColor="text2"/>
          <w:lang w:val="en-GB"/>
        </w:rPr>
        <w:t xml:space="preserve"> </w:t>
      </w:r>
      <w:r w:rsidRPr="007C32ED">
        <w:rPr>
          <w:rFonts w:asciiTheme="minorHAnsi" w:hAnsiTheme="minorHAnsi" w:cstheme="minorBidi"/>
          <w:i/>
          <w:color w:val="495965" w:themeColor="text2"/>
          <w:lang w:val="en-GB"/>
        </w:rPr>
        <w:t xml:space="preserve">internal </w:t>
      </w:r>
      <w:r>
        <w:rPr>
          <w:rFonts w:asciiTheme="minorHAnsi" w:hAnsiTheme="minorHAnsi" w:cstheme="minorBidi"/>
          <w:i/>
          <w:color w:val="495965" w:themeColor="text2"/>
          <w:lang w:val="en-GB"/>
        </w:rPr>
        <w:t>communications with</w:t>
      </w:r>
      <w:r w:rsidRPr="00506BA0">
        <w:rPr>
          <w:rFonts w:asciiTheme="minorHAnsi" w:hAnsiTheme="minorHAnsi" w:cstheme="minorBidi"/>
          <w:i/>
          <w:color w:val="495965" w:themeColor="text2"/>
          <w:lang w:val="en-GB"/>
        </w:rPr>
        <w:t xml:space="preserve"> bilateral </w:t>
      </w:r>
      <w:r>
        <w:rPr>
          <w:rFonts w:asciiTheme="minorHAnsi" w:hAnsiTheme="minorHAnsi" w:cstheme="minorBidi"/>
          <w:i/>
          <w:color w:val="495965" w:themeColor="text2"/>
          <w:lang w:val="en-GB"/>
        </w:rPr>
        <w:t xml:space="preserve">colleagues and </w:t>
      </w:r>
      <w:r w:rsidRPr="007C32ED">
        <w:rPr>
          <w:rFonts w:asciiTheme="minorHAnsi" w:hAnsiTheme="minorHAnsi" w:cstheme="minorBidi"/>
          <w:i/>
          <w:color w:val="495965" w:themeColor="text2"/>
          <w:lang w:val="en-GB"/>
        </w:rPr>
        <w:t>regular reporting on the program’s alignment with A</w:t>
      </w:r>
      <w:r w:rsidRPr="00E77E16">
        <w:rPr>
          <w:rFonts w:asciiTheme="minorHAnsi" w:hAnsiTheme="minorHAnsi" w:cstheme="minorBidi"/>
          <w:i/>
          <w:color w:val="495965" w:themeColor="text2"/>
          <w:lang w:val="en-GB"/>
        </w:rPr>
        <w:t>us</w:t>
      </w:r>
      <w:r>
        <w:rPr>
          <w:rFonts w:asciiTheme="minorHAnsi" w:hAnsiTheme="minorHAnsi" w:cstheme="minorBidi"/>
          <w:i/>
          <w:color w:val="495965" w:themeColor="text2"/>
          <w:lang w:val="en-GB"/>
        </w:rPr>
        <w:t>tralia’s strategic priorities.</w:t>
      </w:r>
    </w:p>
    <w:p w14:paraId="701AE943" w14:textId="77777777" w:rsidR="00B05C2C" w:rsidRPr="007C32ED" w:rsidRDefault="00B05C2C" w:rsidP="00B05C2C">
      <w:pPr>
        <w:pStyle w:val="ListParagraph"/>
        <w:numPr>
          <w:ilvl w:val="0"/>
          <w:numId w:val="12"/>
        </w:numPr>
        <w:suppressAutoHyphens/>
        <w:spacing w:after="120"/>
        <w:ind w:right="130"/>
        <w:contextualSpacing/>
      </w:pPr>
      <w:proofErr w:type="gramStart"/>
      <w:r w:rsidRPr="007C32ED">
        <w:rPr>
          <w:rFonts w:asciiTheme="minorHAnsi" w:hAnsiTheme="minorHAnsi" w:cstheme="minorBidi"/>
          <w:i/>
          <w:color w:val="495965" w:themeColor="text2"/>
          <w:lang w:val="en-GB"/>
        </w:rPr>
        <w:t>ensure</w:t>
      </w:r>
      <w:proofErr w:type="gramEnd"/>
      <w:r w:rsidRPr="007C32ED">
        <w:rPr>
          <w:rFonts w:asciiTheme="minorHAnsi" w:hAnsiTheme="minorHAnsi" w:cstheme="minorBidi"/>
          <w:i/>
          <w:color w:val="495965" w:themeColor="text2"/>
          <w:lang w:val="en-GB"/>
        </w:rPr>
        <w:t xml:space="preserve"> partner communications are consistent with Australian communications policy and branding guidelines.</w:t>
      </w:r>
    </w:p>
    <w:p w14:paraId="5373B516" w14:textId="77777777" w:rsidR="00B05C2C" w:rsidRPr="00B05C2C" w:rsidRDefault="00B05C2C" w:rsidP="00B05C2C">
      <w:pPr>
        <w:pStyle w:val="ListParagraph"/>
        <w:numPr>
          <w:ilvl w:val="0"/>
          <w:numId w:val="12"/>
        </w:numPr>
        <w:suppressAutoHyphens/>
        <w:spacing w:after="120"/>
        <w:ind w:right="130"/>
        <w:contextualSpacing/>
        <w:rPr>
          <w:rFonts w:asciiTheme="minorHAnsi" w:hAnsiTheme="minorHAnsi" w:cstheme="minorBidi"/>
          <w:i/>
          <w:color w:val="495965" w:themeColor="text2"/>
          <w:lang w:val="en-GB"/>
        </w:rPr>
      </w:pPr>
      <w:proofErr w:type="gramStart"/>
      <w:r>
        <w:rPr>
          <w:rFonts w:asciiTheme="minorHAnsi" w:hAnsiTheme="minorHAnsi" w:cstheme="minorBidi"/>
          <w:i/>
          <w:color w:val="495965" w:themeColor="text2"/>
          <w:lang w:val="en-GB"/>
        </w:rPr>
        <w:t>harness</w:t>
      </w:r>
      <w:proofErr w:type="gramEnd"/>
      <w:r>
        <w:rPr>
          <w:rFonts w:asciiTheme="minorHAnsi" w:hAnsiTheme="minorHAnsi" w:cstheme="minorBidi"/>
          <w:i/>
          <w:color w:val="495965" w:themeColor="text2"/>
          <w:lang w:val="en-GB"/>
        </w:rPr>
        <w:t xml:space="preserve"> </w:t>
      </w:r>
      <w:r w:rsidRPr="003E35AA">
        <w:rPr>
          <w:rFonts w:asciiTheme="minorHAnsi" w:hAnsiTheme="minorHAnsi" w:cstheme="minorBidi"/>
          <w:i/>
          <w:color w:val="495965" w:themeColor="text2"/>
          <w:lang w:val="en-GB"/>
        </w:rPr>
        <w:t>complement</w:t>
      </w:r>
      <w:r>
        <w:rPr>
          <w:rFonts w:asciiTheme="minorHAnsi" w:hAnsiTheme="minorHAnsi" w:cstheme="minorBidi"/>
          <w:i/>
          <w:color w:val="495965" w:themeColor="text2"/>
          <w:lang w:val="en-GB"/>
        </w:rPr>
        <w:t xml:space="preserve">ary Australian aid investments in a joined-up way for greater influence in ASEAN. </w:t>
      </w:r>
    </w:p>
    <w:p w14:paraId="04DA1FEA" w14:textId="69D849C8" w:rsidR="005A34ED" w:rsidRPr="00EE3591" w:rsidRDefault="00634120" w:rsidP="00EE3591">
      <w:pPr>
        <w:spacing w:after="120"/>
        <w:ind w:right="130"/>
        <w:rPr>
          <w:b/>
        </w:rPr>
      </w:pPr>
      <w:r>
        <w:t>C</w:t>
      </w:r>
      <w:r w:rsidR="005A34ED" w:rsidRPr="00EE7621">
        <w:t>ontinue</w:t>
      </w:r>
      <w:r w:rsidR="00421AD2">
        <w:t xml:space="preserve"> to</w:t>
      </w:r>
      <w:r w:rsidR="005A34ED" w:rsidRPr="00EE7621">
        <w:t xml:space="preserve"> </w:t>
      </w:r>
      <w:r w:rsidR="00B63D5E" w:rsidRPr="00EE7621">
        <w:t>implemen</w:t>
      </w:r>
      <w:r w:rsidR="00421AD2" w:rsidRPr="00EE7621">
        <w:t xml:space="preserve">t and support </w:t>
      </w:r>
      <w:r w:rsidR="00B63D5E" w:rsidRPr="00EE7621">
        <w:t xml:space="preserve">key areas of </w:t>
      </w:r>
      <w:r w:rsidR="00FF5FD8" w:rsidRPr="00EE7621">
        <w:t xml:space="preserve">ASEAN-Australia </w:t>
      </w:r>
      <w:r w:rsidR="00B63D5E" w:rsidRPr="00EE7621">
        <w:t>cooperation announced at the ASEAN-Australia Special Summit</w:t>
      </w:r>
      <w:r w:rsidR="00421AD2" w:rsidRPr="00EE7621">
        <w:t xml:space="preserve">, </w:t>
      </w:r>
      <w:r w:rsidR="005A34ED" w:rsidRPr="00EE7621">
        <w:t xml:space="preserve">including </w:t>
      </w:r>
      <w:r w:rsidR="00FF5FD8" w:rsidRPr="00295179">
        <w:t>counter</w:t>
      </w:r>
      <w:r>
        <w:t xml:space="preserve"> </w:t>
      </w:r>
      <w:r w:rsidR="00FF5FD8" w:rsidRPr="00295179">
        <w:t>trafficking</w:t>
      </w:r>
      <w:r w:rsidR="005A1792">
        <w:t xml:space="preserve">, </w:t>
      </w:r>
      <w:r w:rsidR="00FF5FD8" w:rsidRPr="00295179">
        <w:t>connectivity</w:t>
      </w:r>
      <w:r w:rsidR="005A1792">
        <w:t xml:space="preserve">, Women Peace and Security </w:t>
      </w:r>
      <w:r w:rsidR="005A34ED" w:rsidRPr="00701E52">
        <w:t xml:space="preserve">and </w:t>
      </w:r>
      <w:r w:rsidR="00FF5FD8" w:rsidRPr="00295179">
        <w:t>other initiatives where appropriate</w:t>
      </w:r>
      <w:r w:rsidR="006610A4" w:rsidRPr="00295179">
        <w:t>.</w:t>
      </w:r>
    </w:p>
    <w:p w14:paraId="41AEBF6E" w14:textId="647DEFDB" w:rsidR="00B05C2C" w:rsidRPr="00295179" w:rsidRDefault="00996056" w:rsidP="00B05C2C">
      <w:pPr>
        <w:spacing w:before="0" w:after="120" w:line="240" w:lineRule="auto"/>
        <w:ind w:right="130"/>
      </w:pPr>
      <w:r>
        <w:t xml:space="preserve">Undertake </w:t>
      </w:r>
      <w:r w:rsidR="005A1792">
        <w:t xml:space="preserve">the </w:t>
      </w:r>
      <w:r w:rsidR="00B05C2C">
        <w:t>design work for new phases of two economic programs</w:t>
      </w:r>
      <w:r w:rsidR="005A1792">
        <w:t xml:space="preserve"> (AADCPII and AECSP) </w:t>
      </w:r>
      <w:r w:rsidR="00B05C2C">
        <w:t>and for new programs in security cooperation and connectivity.</w:t>
      </w:r>
    </w:p>
    <w:p w14:paraId="03B0C689" w14:textId="66B93615" w:rsidR="00B05C2C" w:rsidRDefault="00B05C2C" w:rsidP="00B05C2C">
      <w:pPr>
        <w:spacing w:before="0" w:after="120" w:line="240" w:lineRule="auto"/>
        <w:ind w:right="130"/>
      </w:pPr>
      <w:r>
        <w:t xml:space="preserve">Implement </w:t>
      </w:r>
      <w:r w:rsidRPr="00701E52">
        <w:t xml:space="preserve">a new phase of the GMWRP </w:t>
      </w:r>
      <w:r w:rsidR="00F43488">
        <w:t xml:space="preserve">beyond </w:t>
      </w:r>
      <w:r w:rsidRPr="00701E52">
        <w:t xml:space="preserve">2019 </w:t>
      </w:r>
      <w:r w:rsidRPr="00295179">
        <w:t xml:space="preserve">and </w:t>
      </w:r>
      <w:r w:rsidRPr="00701E52">
        <w:t>consolidat</w:t>
      </w:r>
      <w:r>
        <w:t>e</w:t>
      </w:r>
      <w:r w:rsidRPr="00701E52">
        <w:t xml:space="preserve"> our bilateral and regional working partnerships with Mekong governments an</w:t>
      </w:r>
      <w:r>
        <w:t>d other water governance actors.</w:t>
      </w:r>
    </w:p>
    <w:p w14:paraId="113187A4" w14:textId="74303203" w:rsidR="00634120" w:rsidRDefault="00634120" w:rsidP="00295179">
      <w:pPr>
        <w:spacing w:before="0" w:after="120" w:line="240" w:lineRule="auto"/>
        <w:ind w:right="130"/>
      </w:pPr>
      <w:r>
        <w:t>C</w:t>
      </w:r>
      <w:r w:rsidR="00292E07" w:rsidRPr="00EE7621">
        <w:t>ontinue to strengthen and improve gender mainstreaming</w:t>
      </w:r>
      <w:r w:rsidR="005A34ED" w:rsidRPr="00295179">
        <w:t xml:space="preserve"> through</w:t>
      </w:r>
      <w:r w:rsidR="00292E07" w:rsidRPr="00701E52">
        <w:t xml:space="preserve"> implement</w:t>
      </w:r>
      <w:r w:rsidR="005A34ED" w:rsidRPr="00295179">
        <w:t>ing</w:t>
      </w:r>
      <w:r w:rsidR="00292E07" w:rsidRPr="00701E52">
        <w:t xml:space="preserve"> the </w:t>
      </w:r>
      <w:r w:rsidR="00694B9F" w:rsidRPr="00701E52">
        <w:t>201</w:t>
      </w:r>
      <w:r w:rsidR="00AE2048" w:rsidRPr="00701E52">
        <w:t>9</w:t>
      </w:r>
      <w:r w:rsidR="00694B9F" w:rsidRPr="00EB53E1">
        <w:t>-</w:t>
      </w:r>
      <w:r w:rsidR="00AE2048" w:rsidRPr="00EB53E1">
        <w:t>20</w:t>
      </w:r>
      <w:r w:rsidR="00694B9F" w:rsidRPr="00EB53E1">
        <w:t xml:space="preserve"> </w:t>
      </w:r>
      <w:r w:rsidR="00292E07" w:rsidRPr="00EB53E1">
        <w:t xml:space="preserve">action items in the Program’s Equality </w:t>
      </w:r>
      <w:r w:rsidR="00292E07" w:rsidRPr="005331CB">
        <w:t>and Inclusion Strategy</w:t>
      </w:r>
      <w:r>
        <w:t xml:space="preserve"> </w:t>
      </w:r>
      <w:r w:rsidR="009E707F" w:rsidRPr="00701E52">
        <w:t>and</w:t>
      </w:r>
      <w:r w:rsidR="005A34ED" w:rsidRPr="00295179">
        <w:t xml:space="preserve"> </w:t>
      </w:r>
      <w:r w:rsidR="006C4C24" w:rsidRPr="00EE7621">
        <w:t>work</w:t>
      </w:r>
      <w:r w:rsidR="005A34ED" w:rsidRPr="00295179">
        <w:t>ing</w:t>
      </w:r>
      <w:r w:rsidR="006C4C24" w:rsidRPr="00EE7621">
        <w:t xml:space="preserve"> with </w:t>
      </w:r>
      <w:r w:rsidR="00F93C84" w:rsidRPr="00EE7621">
        <w:t xml:space="preserve">program partners </w:t>
      </w:r>
      <w:r w:rsidR="006C4C24" w:rsidRPr="00EE7621">
        <w:t xml:space="preserve">to ensure </w:t>
      </w:r>
      <w:r w:rsidR="00EC305A" w:rsidRPr="00EE7621">
        <w:t>adequate resources</w:t>
      </w:r>
      <w:r w:rsidR="006C4C24" w:rsidRPr="00EE7621">
        <w:t xml:space="preserve"> are dedicated to</w:t>
      </w:r>
      <w:r w:rsidR="00EC305A" w:rsidRPr="00EE7621">
        <w:t xml:space="preserve"> gender and inclusion expertise</w:t>
      </w:r>
      <w:r w:rsidR="006C4C24" w:rsidRPr="00EE7621">
        <w:t xml:space="preserve"> and related policy work</w:t>
      </w:r>
      <w:r w:rsidR="00EC305A" w:rsidRPr="00EE7621">
        <w:t>.</w:t>
      </w:r>
    </w:p>
    <w:p w14:paraId="71C458CE" w14:textId="0BA010AE" w:rsidR="006C4C24" w:rsidRPr="00EB53E1" w:rsidRDefault="00B05C2C" w:rsidP="00295179">
      <w:pPr>
        <w:spacing w:before="0" w:after="120" w:line="240" w:lineRule="auto"/>
        <w:ind w:right="130"/>
      </w:pPr>
      <w:r>
        <w:t xml:space="preserve">Strengthen </w:t>
      </w:r>
      <w:r w:rsidR="00634120">
        <w:t xml:space="preserve">program </w:t>
      </w:r>
      <w:r w:rsidR="006C4C24" w:rsidRPr="00EE7621">
        <w:t>performance</w:t>
      </w:r>
      <w:r>
        <w:t xml:space="preserve"> and use our</w:t>
      </w:r>
      <w:r w:rsidR="006C4C24" w:rsidRPr="00701E52">
        <w:t xml:space="preserve"> Quality Investment Support Service to </w:t>
      </w:r>
      <w:r w:rsidR="00634120">
        <w:t>ensure</w:t>
      </w:r>
      <w:r w:rsidR="00634120" w:rsidRPr="00701E52">
        <w:t xml:space="preserve"> </w:t>
      </w:r>
      <w:r>
        <w:t xml:space="preserve">our </w:t>
      </w:r>
      <w:r w:rsidR="006C4C24" w:rsidRPr="00701E52">
        <w:t>design</w:t>
      </w:r>
      <w:r>
        <w:t>s</w:t>
      </w:r>
      <w:r w:rsidR="006C4C24" w:rsidRPr="00701E52">
        <w:t>, monitoring, evaluation</w:t>
      </w:r>
      <w:r>
        <w:t>s</w:t>
      </w:r>
      <w:r w:rsidR="006C4C24" w:rsidRPr="00701E52">
        <w:t xml:space="preserve"> and reporting </w:t>
      </w:r>
      <w:r w:rsidR="006C4C24" w:rsidRPr="00EB53E1">
        <w:t xml:space="preserve">aligns with DFAT quality standards </w:t>
      </w:r>
      <w:r w:rsidR="00634120" w:rsidRPr="00EB53E1">
        <w:t>and</w:t>
      </w:r>
      <w:r w:rsidR="00634120">
        <w:t xml:space="preserve"> </w:t>
      </w:r>
      <w:r>
        <w:t>incorporates</w:t>
      </w:r>
      <w:r w:rsidR="00634120">
        <w:t xml:space="preserve"> learning</w:t>
      </w:r>
      <w:r w:rsidR="00634120" w:rsidRPr="00701E52">
        <w:t xml:space="preserve"> </w:t>
      </w:r>
      <w:r>
        <w:t xml:space="preserve">into </w:t>
      </w:r>
      <w:r w:rsidR="006C4C24" w:rsidRPr="00EB53E1">
        <w:t>new designs and plans where appropriate.</w:t>
      </w:r>
    </w:p>
    <w:p w14:paraId="3994A9DB" w14:textId="0974A7BB" w:rsidR="004B47C7" w:rsidRPr="00EB53E1" w:rsidRDefault="00EE3591" w:rsidP="00295179">
      <w:pPr>
        <w:spacing w:before="0" w:after="120" w:line="240" w:lineRule="auto"/>
        <w:ind w:right="130"/>
      </w:pPr>
      <w:r>
        <w:t>M</w:t>
      </w:r>
      <w:r w:rsidR="004B47C7">
        <w:t>aintain a coherent portfolio of i</w:t>
      </w:r>
      <w:r w:rsidR="004B47C7" w:rsidRPr="00C87FF7">
        <w:t xml:space="preserve">nvestments </w:t>
      </w:r>
      <w:r w:rsidR="004B47C7">
        <w:t xml:space="preserve">that </w:t>
      </w:r>
      <w:r w:rsidR="004B47C7" w:rsidRPr="00C87FF7">
        <w:t xml:space="preserve">are flexible, adaptive and fit </w:t>
      </w:r>
      <w:r w:rsidR="004B47C7">
        <w:t xml:space="preserve">for </w:t>
      </w:r>
      <w:r w:rsidR="004B47C7" w:rsidRPr="00480E4A">
        <w:t xml:space="preserve">diverse operating contexts </w:t>
      </w:r>
      <w:r w:rsidR="004B47C7">
        <w:t>and</w:t>
      </w:r>
      <w:r w:rsidR="00CA4288" w:rsidRPr="00EE7621">
        <w:t xml:space="preserve"> stakeholders</w:t>
      </w:r>
      <w:r w:rsidR="004B47C7">
        <w:t xml:space="preserve"> </w:t>
      </w:r>
      <w:r w:rsidR="00DB4CAA" w:rsidRPr="005331CB">
        <w:t xml:space="preserve">and </w:t>
      </w:r>
      <w:r w:rsidR="004B47C7">
        <w:t xml:space="preserve">are </w:t>
      </w:r>
      <w:r w:rsidR="00DB4CAA" w:rsidRPr="00701E52">
        <w:t xml:space="preserve">able to influence </w:t>
      </w:r>
      <w:r w:rsidR="00CE7316" w:rsidRPr="00701E52">
        <w:t xml:space="preserve">regional level </w:t>
      </w:r>
      <w:r w:rsidR="00DB4CAA" w:rsidRPr="00701E52">
        <w:t>outcomes</w:t>
      </w:r>
      <w:r>
        <w:t xml:space="preserve">, </w:t>
      </w:r>
    </w:p>
    <w:p w14:paraId="74B0572D" w14:textId="77777777" w:rsidR="00096B00" w:rsidRDefault="00EE3591" w:rsidP="00096B00">
      <w:pPr>
        <w:spacing w:before="0" w:after="120" w:line="240" w:lineRule="auto"/>
        <w:ind w:right="130"/>
      </w:pPr>
      <w:r>
        <w:t>A</w:t>
      </w:r>
      <w:r w:rsidR="00AA67A6" w:rsidRPr="00EB53E1">
        <w:t>ctively monitor risks and implementation challenges of investments and incorporate them into new designs and plans where appropriate.</w:t>
      </w:r>
      <w:r w:rsidR="00CA4288" w:rsidRPr="00EB53E1">
        <w:t xml:space="preserve"> </w:t>
      </w:r>
    </w:p>
    <w:p w14:paraId="148806B3" w14:textId="77777777" w:rsidR="00096B00" w:rsidRDefault="00096B00" w:rsidP="00096B00">
      <w:pPr>
        <w:spacing w:before="0" w:after="120" w:line="240" w:lineRule="auto"/>
        <w:ind w:right="130"/>
      </w:pPr>
    </w:p>
    <w:p w14:paraId="4EE682CE" w14:textId="77777777" w:rsidR="007B51B4" w:rsidRDefault="007B51B4" w:rsidP="00096B00">
      <w:pPr>
        <w:spacing w:before="0" w:after="120" w:line="240" w:lineRule="auto"/>
        <w:ind w:right="130"/>
        <w:rPr>
          <w:sz w:val="38"/>
          <w:szCs w:val="38"/>
        </w:rPr>
      </w:pPr>
    </w:p>
    <w:p w14:paraId="35394CAB" w14:textId="6F227DF9" w:rsidR="007B4B0B" w:rsidRPr="007B51B4" w:rsidRDefault="007B51B4" w:rsidP="00B562F7">
      <w:pPr>
        <w:suppressAutoHyphens w:val="0"/>
        <w:spacing w:before="0" w:after="120" w:line="440" w:lineRule="atLeast"/>
        <w:rPr>
          <w:sz w:val="32"/>
          <w:szCs w:val="32"/>
        </w:rPr>
      </w:pPr>
      <w:r>
        <w:rPr>
          <w:sz w:val="32"/>
          <w:szCs w:val="32"/>
        </w:rPr>
        <w:br w:type="page"/>
      </w:r>
      <w:r w:rsidR="007B4B0B" w:rsidRPr="007B51B4">
        <w:rPr>
          <w:sz w:val="32"/>
          <w:szCs w:val="32"/>
        </w:rPr>
        <w:t>A</w:t>
      </w:r>
      <w:r w:rsidRPr="007B51B4">
        <w:rPr>
          <w:sz w:val="32"/>
          <w:szCs w:val="32"/>
        </w:rPr>
        <w:t>NNEX</w:t>
      </w:r>
      <w:r w:rsidR="007B4B0B" w:rsidRPr="007B51B4">
        <w:rPr>
          <w:sz w:val="32"/>
          <w:szCs w:val="32"/>
        </w:rPr>
        <w:t xml:space="preserve"> A</w:t>
      </w:r>
      <w:r w:rsidRPr="007B51B4">
        <w:rPr>
          <w:sz w:val="32"/>
          <w:szCs w:val="32"/>
        </w:rPr>
        <w:t xml:space="preserve"> - </w:t>
      </w:r>
      <w:r w:rsidR="007B4B0B" w:rsidRPr="007B51B4">
        <w:rPr>
          <w:sz w:val="32"/>
          <w:szCs w:val="32"/>
        </w:rPr>
        <w:t>P</w:t>
      </w:r>
      <w:r w:rsidRPr="007B51B4">
        <w:rPr>
          <w:sz w:val="32"/>
          <w:szCs w:val="32"/>
        </w:rPr>
        <w:t>ROGRESS</w:t>
      </w:r>
      <w:r w:rsidR="007B4B0B" w:rsidRPr="007B51B4">
        <w:rPr>
          <w:sz w:val="32"/>
          <w:szCs w:val="32"/>
        </w:rPr>
        <w:t xml:space="preserve"> </w:t>
      </w:r>
      <w:r w:rsidRPr="007B51B4">
        <w:rPr>
          <w:sz w:val="32"/>
          <w:szCs w:val="32"/>
        </w:rPr>
        <w:t>IN</w:t>
      </w:r>
      <w:r w:rsidR="007B4B0B" w:rsidRPr="007B51B4">
        <w:rPr>
          <w:sz w:val="32"/>
          <w:szCs w:val="32"/>
        </w:rPr>
        <w:t xml:space="preserve"> </w:t>
      </w:r>
      <w:r w:rsidRPr="007B51B4">
        <w:rPr>
          <w:sz w:val="32"/>
          <w:szCs w:val="32"/>
        </w:rPr>
        <w:t>ADDRESSING</w:t>
      </w:r>
      <w:r w:rsidR="007B4B0B" w:rsidRPr="007B51B4">
        <w:rPr>
          <w:sz w:val="32"/>
          <w:szCs w:val="32"/>
        </w:rPr>
        <w:t xml:space="preserve"> M</w:t>
      </w:r>
      <w:r w:rsidRPr="007B51B4">
        <w:rPr>
          <w:sz w:val="32"/>
          <w:szCs w:val="32"/>
        </w:rPr>
        <w:t>ANAGEMENT</w:t>
      </w:r>
      <w:r w:rsidR="007B4B0B" w:rsidRPr="007B51B4">
        <w:rPr>
          <w:sz w:val="32"/>
          <w:szCs w:val="32"/>
        </w:rPr>
        <w:t xml:space="preserve"> R</w:t>
      </w:r>
      <w:r w:rsidRPr="007B51B4">
        <w:rPr>
          <w:sz w:val="32"/>
          <w:szCs w:val="32"/>
        </w:rPr>
        <w:t>ESPONSES</w:t>
      </w:r>
    </w:p>
    <w:tbl>
      <w:tblPr>
        <w:tblStyle w:val="APPR"/>
        <w:tblpPr w:leftFromText="180" w:rightFromText="180" w:vertAnchor="text" w:tblpY="1"/>
        <w:tblW w:w="5220" w:type="pct"/>
        <w:tblLayout w:type="fixed"/>
        <w:tblLook w:val="0000" w:firstRow="0" w:lastRow="0" w:firstColumn="0" w:lastColumn="0" w:noHBand="0" w:noVBand="0"/>
      </w:tblPr>
      <w:tblGrid>
        <w:gridCol w:w="4253"/>
        <w:gridCol w:w="1134"/>
        <w:gridCol w:w="4675"/>
      </w:tblGrid>
      <w:tr w:rsidR="007B4B0B" w:rsidRPr="00812509" w14:paraId="1A048B2E" w14:textId="77777777" w:rsidTr="00D8749D">
        <w:trPr>
          <w:cnfStyle w:val="000000010000" w:firstRow="0" w:lastRow="0" w:firstColumn="0" w:lastColumn="0" w:oddVBand="0" w:evenVBand="0" w:oddHBand="0" w:evenHBand="1" w:firstRowFirstColumn="0" w:firstRowLastColumn="0" w:lastRowFirstColumn="0" w:lastRowLastColumn="0"/>
          <w:trHeight w:val="368"/>
        </w:trPr>
        <w:tc>
          <w:tcPr>
            <w:tcW w:w="4211" w:type="dxa"/>
          </w:tcPr>
          <w:p w14:paraId="723F16A2" w14:textId="77777777" w:rsidR="007B4B0B" w:rsidRPr="00812509" w:rsidRDefault="007B4B0B" w:rsidP="007B4B0B">
            <w:pPr>
              <w:keepLines/>
              <w:spacing w:before="80" w:after="80" w:line="16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Management responses identified in 201</w:t>
            </w:r>
            <w:r>
              <w:rPr>
                <w:rFonts w:asciiTheme="minorHAnsi" w:eastAsia="Times New Roman" w:hAnsiTheme="minorHAnsi"/>
                <w:b/>
                <w:iCs/>
                <w:szCs w:val="17"/>
                <w:lang w:eastAsia="en-US"/>
              </w:rPr>
              <w:t>7</w:t>
            </w:r>
            <w:r w:rsidRPr="00812509">
              <w:rPr>
                <w:rFonts w:asciiTheme="minorHAnsi" w:eastAsia="Times New Roman" w:hAnsiTheme="minorHAnsi"/>
                <w:b/>
                <w:iCs/>
                <w:szCs w:val="17"/>
                <w:lang w:eastAsia="en-US"/>
              </w:rPr>
              <w:t>-1</w:t>
            </w:r>
            <w:r>
              <w:rPr>
                <w:rFonts w:asciiTheme="minorHAnsi" w:eastAsia="Times New Roman" w:hAnsiTheme="minorHAnsi"/>
                <w:b/>
                <w:iCs/>
                <w:szCs w:val="17"/>
                <w:lang w:eastAsia="en-US"/>
              </w:rPr>
              <w:t>8</w:t>
            </w:r>
            <w:r w:rsidRPr="00812509">
              <w:rPr>
                <w:rFonts w:asciiTheme="minorHAnsi" w:eastAsia="Times New Roman" w:hAnsiTheme="minorHAnsi"/>
                <w:b/>
                <w:iCs/>
                <w:szCs w:val="17"/>
                <w:lang w:eastAsia="en-US"/>
              </w:rPr>
              <w:t xml:space="preserve"> APPR</w:t>
            </w:r>
            <w:r w:rsidRPr="00812509">
              <w:rPr>
                <w:rFonts w:asciiTheme="minorHAnsi" w:eastAsia="Times New Roman" w:hAnsiTheme="minorHAnsi"/>
                <w:b/>
                <w:iCs/>
                <w:szCs w:val="17"/>
                <w:lang w:eastAsia="en-US"/>
              </w:rPr>
              <w:tab/>
            </w:r>
          </w:p>
        </w:tc>
        <w:tc>
          <w:tcPr>
            <w:tcW w:w="1106" w:type="dxa"/>
          </w:tcPr>
          <w:p w14:paraId="79542EDF" w14:textId="77777777" w:rsidR="007B4B0B" w:rsidRPr="00812509" w:rsidRDefault="007B4B0B" w:rsidP="007B4B0B">
            <w:pPr>
              <w:keepLines/>
              <w:spacing w:before="80" w:after="80" w:line="200" w:lineRule="atLeast"/>
              <w:jc w:val="center"/>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Rating</w:t>
            </w:r>
          </w:p>
        </w:tc>
        <w:tc>
          <w:tcPr>
            <w:tcW w:w="4633" w:type="dxa"/>
          </w:tcPr>
          <w:p w14:paraId="2D97221D" w14:textId="77777777" w:rsidR="007B4B0B" w:rsidRPr="00812509" w:rsidRDefault="007B4B0B" w:rsidP="007B4B0B">
            <w:pPr>
              <w:keepLines/>
              <w:spacing w:before="80" w:after="80" w:line="200" w:lineRule="atLeast"/>
              <w:jc w:val="center"/>
              <w:rPr>
                <w:rFonts w:asciiTheme="minorHAnsi" w:eastAsia="Times New Roman" w:hAnsiTheme="minorHAnsi"/>
                <w:b/>
                <w:iCs/>
                <w:szCs w:val="17"/>
                <w:lang w:eastAsia="en-US"/>
              </w:rPr>
            </w:pPr>
            <w:r>
              <w:rPr>
                <w:rFonts w:asciiTheme="minorHAnsi" w:eastAsia="Times New Roman" w:hAnsiTheme="minorHAnsi"/>
                <w:b/>
                <w:iCs/>
                <w:szCs w:val="17"/>
                <w:lang w:eastAsia="en-US"/>
              </w:rPr>
              <w:t xml:space="preserve">Progress made </w:t>
            </w:r>
            <w:r w:rsidRPr="00812509">
              <w:rPr>
                <w:rFonts w:asciiTheme="minorHAnsi" w:eastAsia="Times New Roman" w:hAnsiTheme="minorHAnsi"/>
                <w:b/>
                <w:iCs/>
                <w:szCs w:val="17"/>
                <w:lang w:eastAsia="en-US"/>
              </w:rPr>
              <w:t>in 201</w:t>
            </w:r>
            <w:r>
              <w:rPr>
                <w:rFonts w:asciiTheme="minorHAnsi" w:eastAsia="Times New Roman" w:hAnsiTheme="minorHAnsi"/>
                <w:b/>
                <w:iCs/>
                <w:szCs w:val="17"/>
                <w:lang w:eastAsia="en-US"/>
              </w:rPr>
              <w:t>8</w:t>
            </w:r>
            <w:r w:rsidRPr="00812509">
              <w:rPr>
                <w:rFonts w:asciiTheme="minorHAnsi" w:eastAsia="Times New Roman" w:hAnsiTheme="minorHAnsi"/>
                <w:b/>
                <w:iCs/>
                <w:szCs w:val="17"/>
                <w:lang w:eastAsia="en-US"/>
              </w:rPr>
              <w:t>-1</w:t>
            </w:r>
            <w:r>
              <w:rPr>
                <w:rFonts w:asciiTheme="minorHAnsi" w:eastAsia="Times New Roman" w:hAnsiTheme="minorHAnsi"/>
                <w:b/>
                <w:iCs/>
                <w:szCs w:val="17"/>
                <w:lang w:eastAsia="en-US"/>
              </w:rPr>
              <w:t>9</w:t>
            </w:r>
          </w:p>
        </w:tc>
      </w:tr>
      <w:tr w:rsidR="007B4B0B" w:rsidRPr="00812509" w14:paraId="0478132C" w14:textId="77777777" w:rsidTr="00D8749D">
        <w:trPr>
          <w:cnfStyle w:val="000000010000" w:firstRow="0" w:lastRow="0" w:firstColumn="0" w:lastColumn="0" w:oddVBand="0" w:evenVBand="0" w:oddHBand="0" w:evenHBand="1" w:firstRowFirstColumn="0" w:firstRowLastColumn="0" w:lastRowFirstColumn="0" w:lastRowLastColumn="0"/>
          <w:trHeight w:val="761"/>
        </w:trPr>
        <w:tc>
          <w:tcPr>
            <w:tcW w:w="4211" w:type="dxa"/>
          </w:tcPr>
          <w:p w14:paraId="3B5C129E" w14:textId="77777777" w:rsidR="007B4B0B" w:rsidRPr="00C74E9D" w:rsidRDefault="007B4B0B" w:rsidP="007B4B0B">
            <w:pPr>
              <w:spacing w:before="0" w:after="0" w:line="160" w:lineRule="atLeast"/>
              <w:ind w:right="130"/>
              <w:contextualSpacing/>
              <w:rPr>
                <w:rFonts w:asciiTheme="minorHAnsi" w:eastAsia="Times New Roman" w:hAnsiTheme="minorHAnsi"/>
                <w:iCs/>
                <w:sz w:val="16"/>
                <w:szCs w:val="16"/>
                <w:lang w:eastAsia="en-US"/>
              </w:rPr>
            </w:pPr>
            <w:r w:rsidRPr="00DB3E79">
              <w:rPr>
                <w:rFonts w:eastAsia="Times New Roman"/>
                <w:sz w:val="16"/>
                <w:szCs w:val="16"/>
              </w:rPr>
              <w:t>Our ASEAN Mission will implement counter-trafficking and connectivity initiatives announced at the Special Summit and support other initiatives where appropriate.</w:t>
            </w:r>
          </w:p>
        </w:tc>
        <w:tc>
          <w:tcPr>
            <w:tcW w:w="1106" w:type="dxa"/>
            <w:shd w:val="clear" w:color="auto" w:fill="72AF2F"/>
          </w:tcPr>
          <w:p w14:paraId="564305FF" w14:textId="77777777" w:rsidR="007B4B0B" w:rsidRPr="00C74E9D" w:rsidRDefault="007B4B0B" w:rsidP="007B4B0B">
            <w:pPr>
              <w:keepLines/>
              <w:spacing w:before="40" w:after="40" w:line="160" w:lineRule="atLeast"/>
              <w:jc w:val="center"/>
              <w:rPr>
                <w:rFonts w:asciiTheme="minorHAnsi" w:eastAsia="Times New Roman" w:hAnsiTheme="minorHAnsi"/>
                <w:iCs/>
                <w:color w:val="FFFFFF" w:themeColor="background1"/>
                <w:sz w:val="16"/>
                <w:szCs w:val="16"/>
                <w:lang w:eastAsia="en-US"/>
              </w:rPr>
            </w:pPr>
            <w:r w:rsidRPr="00C74E9D">
              <w:rPr>
                <w:rFonts w:eastAsia="Times New Roman"/>
                <w:iCs/>
                <w:color w:val="FFFFFF" w:themeColor="background1"/>
                <w:sz w:val="16"/>
                <w:szCs w:val="16"/>
              </w:rPr>
              <w:t>Achieved</w:t>
            </w:r>
          </w:p>
        </w:tc>
        <w:tc>
          <w:tcPr>
            <w:tcW w:w="4633" w:type="dxa"/>
          </w:tcPr>
          <w:p w14:paraId="6449F63B" w14:textId="76D26F85" w:rsidR="007B4B0B" w:rsidRPr="00C74E9D" w:rsidRDefault="007B4B0B" w:rsidP="007B4B0B">
            <w:pPr>
              <w:keepLines/>
              <w:spacing w:before="0" w:after="0" w:line="160" w:lineRule="atLeast"/>
              <w:rPr>
                <w:rFonts w:asciiTheme="minorHAnsi" w:eastAsia="Times New Roman" w:hAnsiTheme="minorHAnsi"/>
                <w:iCs/>
                <w:color w:val="92D050"/>
                <w:sz w:val="16"/>
                <w:szCs w:val="16"/>
                <w:lang w:eastAsia="en-US"/>
              </w:rPr>
            </w:pPr>
            <w:r w:rsidRPr="00DB3E79">
              <w:rPr>
                <w:rFonts w:eastAsia="Times New Roman"/>
                <w:sz w:val="16"/>
                <w:szCs w:val="16"/>
              </w:rPr>
              <w:t>AACT program commenced in November 2018 and</w:t>
            </w:r>
            <w:r>
              <w:rPr>
                <w:rFonts w:eastAsia="Times New Roman"/>
                <w:sz w:val="16"/>
                <w:szCs w:val="16"/>
              </w:rPr>
              <w:t xml:space="preserve"> is </w:t>
            </w:r>
            <w:r w:rsidRPr="00DB3E79">
              <w:rPr>
                <w:rFonts w:eastAsia="Times New Roman"/>
                <w:sz w:val="16"/>
                <w:szCs w:val="16"/>
              </w:rPr>
              <w:t>in inception phase. AADCPII continued support for ASEAN connectivity (see above) and design for new Connectivity Initiative commenced</w:t>
            </w:r>
            <w:r w:rsidR="0099334D">
              <w:rPr>
                <w:rFonts w:eastAsia="Times New Roman"/>
                <w:sz w:val="16"/>
                <w:szCs w:val="16"/>
              </w:rPr>
              <w:t xml:space="preserve">. </w:t>
            </w:r>
          </w:p>
        </w:tc>
      </w:tr>
      <w:tr w:rsidR="007B4B0B" w:rsidRPr="00812509" w14:paraId="08E9B00A" w14:textId="77777777" w:rsidTr="0099334D">
        <w:trPr>
          <w:cnfStyle w:val="000000010000" w:firstRow="0" w:lastRow="0" w:firstColumn="0" w:lastColumn="0" w:oddVBand="0" w:evenVBand="0" w:oddHBand="0" w:evenHBand="1" w:firstRowFirstColumn="0" w:firstRowLastColumn="0" w:lastRowFirstColumn="0" w:lastRowLastColumn="0"/>
          <w:trHeight w:val="956"/>
        </w:trPr>
        <w:tc>
          <w:tcPr>
            <w:tcW w:w="4211" w:type="dxa"/>
          </w:tcPr>
          <w:p w14:paraId="0D843B61" w14:textId="77777777" w:rsidR="007B4B0B" w:rsidRPr="00DB3E79" w:rsidRDefault="007B4B0B" w:rsidP="007B4B0B">
            <w:pPr>
              <w:keepLines/>
              <w:spacing w:before="40" w:after="40" w:line="160" w:lineRule="atLeast"/>
              <w:rPr>
                <w:rFonts w:eastAsia="Times New Roman"/>
                <w:sz w:val="16"/>
                <w:szCs w:val="16"/>
              </w:rPr>
            </w:pPr>
            <w:r w:rsidRPr="00DB3E79">
              <w:rPr>
                <w:rFonts w:eastAsia="Times New Roman"/>
                <w:sz w:val="16"/>
                <w:szCs w:val="16"/>
              </w:rPr>
              <w:t xml:space="preserve">Our ASEAN Mission will implement the 2018-19 action items in the Program’s Equality and Inclusion Strategy, and work with program partners to ensure adequate resources </w:t>
            </w:r>
            <w:proofErr w:type="gramStart"/>
            <w:r w:rsidRPr="00DB3E79">
              <w:rPr>
                <w:rFonts w:eastAsia="Times New Roman"/>
                <w:sz w:val="16"/>
                <w:szCs w:val="16"/>
              </w:rPr>
              <w:t>are dedicated</w:t>
            </w:r>
            <w:proofErr w:type="gramEnd"/>
            <w:r w:rsidRPr="00DB3E79">
              <w:rPr>
                <w:rFonts w:eastAsia="Times New Roman"/>
                <w:sz w:val="16"/>
                <w:szCs w:val="16"/>
              </w:rPr>
              <w:t xml:space="preserve"> to gender and inclusion expertise and related policy work.</w:t>
            </w:r>
          </w:p>
        </w:tc>
        <w:tc>
          <w:tcPr>
            <w:tcW w:w="1106" w:type="dxa"/>
            <w:shd w:val="clear" w:color="auto" w:fill="F99707"/>
          </w:tcPr>
          <w:p w14:paraId="24E6BB27" w14:textId="77777777" w:rsidR="007B4B0B" w:rsidRPr="00C74E9D" w:rsidRDefault="007B4B0B" w:rsidP="007B4B0B">
            <w:pPr>
              <w:keepLines/>
              <w:spacing w:before="40" w:after="40" w:line="160" w:lineRule="atLeast"/>
              <w:jc w:val="center"/>
              <w:rPr>
                <w:rFonts w:asciiTheme="minorHAnsi" w:eastAsia="Times New Roman" w:hAnsiTheme="minorHAnsi"/>
                <w:iCs/>
                <w:color w:val="FFFFFF" w:themeColor="background1"/>
                <w:sz w:val="16"/>
                <w:szCs w:val="16"/>
                <w:lang w:eastAsia="en-US"/>
              </w:rPr>
            </w:pPr>
            <w:r w:rsidRPr="00C74E9D">
              <w:rPr>
                <w:rFonts w:eastAsia="Times New Roman"/>
                <w:iCs/>
                <w:color w:val="FFFFFF" w:themeColor="background1"/>
                <w:sz w:val="16"/>
                <w:szCs w:val="16"/>
              </w:rPr>
              <w:t>Partly Achieved</w:t>
            </w:r>
            <w:r w:rsidRPr="00C74E9D">
              <w:rPr>
                <w:rFonts w:eastAsia="Times New Roman"/>
                <w:iCs/>
                <w:color w:val="FFFFFF" w:themeColor="background1"/>
                <w:sz w:val="16"/>
                <w:szCs w:val="16"/>
              </w:rPr>
              <w:fldChar w:fldCharType="begin"/>
            </w:r>
            <w:r w:rsidRPr="00C74E9D">
              <w:rPr>
                <w:rFonts w:eastAsia="Times New Roman"/>
                <w:iCs/>
                <w:color w:val="FFFFFF" w:themeColor="background1"/>
                <w:sz w:val="16"/>
                <w:szCs w:val="16"/>
              </w:rPr>
              <w:instrText xml:space="preserve"> AUTOTEXTLIST  \s "Rating bullet"\t "Right click to choose a rating" \* MERGEFORMAT </w:instrText>
            </w:r>
            <w:r w:rsidRPr="00C74E9D">
              <w:rPr>
                <w:rFonts w:eastAsia="Times New Roman"/>
                <w:iCs/>
                <w:color w:val="FFFFFF" w:themeColor="background1"/>
                <w:sz w:val="16"/>
                <w:szCs w:val="16"/>
              </w:rPr>
              <w:fldChar w:fldCharType="end"/>
            </w:r>
          </w:p>
        </w:tc>
        <w:tc>
          <w:tcPr>
            <w:tcW w:w="4633" w:type="dxa"/>
          </w:tcPr>
          <w:p w14:paraId="42A68283" w14:textId="77777777" w:rsidR="007B4B0B" w:rsidRPr="00DB3E79" w:rsidRDefault="007B4B0B" w:rsidP="007B4B0B">
            <w:pPr>
              <w:spacing w:before="0" w:after="0" w:line="160" w:lineRule="atLeast"/>
              <w:rPr>
                <w:rFonts w:eastAsia="Times New Roman"/>
                <w:sz w:val="16"/>
                <w:szCs w:val="16"/>
              </w:rPr>
            </w:pPr>
            <w:r w:rsidRPr="00DB3E79">
              <w:rPr>
                <w:rFonts w:eastAsia="Times New Roman"/>
                <w:iCs/>
                <w:sz w:val="16"/>
                <w:szCs w:val="16"/>
              </w:rPr>
              <w:t>Program continues to track well against the Strategy</w:t>
            </w:r>
            <w:r>
              <w:rPr>
                <w:rFonts w:eastAsia="Times New Roman"/>
                <w:iCs/>
                <w:sz w:val="16"/>
                <w:szCs w:val="16"/>
              </w:rPr>
              <w:t xml:space="preserve"> </w:t>
            </w:r>
            <w:r w:rsidRPr="00C55EDB">
              <w:rPr>
                <w:rFonts w:eastAsia="Times New Roman"/>
                <w:iCs/>
                <w:sz w:val="16"/>
                <w:szCs w:val="16"/>
              </w:rPr>
              <w:t xml:space="preserve">and overall good AQC </w:t>
            </w:r>
            <w:r>
              <w:rPr>
                <w:rFonts w:eastAsia="Times New Roman"/>
                <w:iCs/>
                <w:sz w:val="16"/>
                <w:szCs w:val="16"/>
              </w:rPr>
              <w:t xml:space="preserve">gender </w:t>
            </w:r>
            <w:r w:rsidRPr="00C55EDB">
              <w:rPr>
                <w:rFonts w:eastAsia="Times New Roman"/>
                <w:iCs/>
                <w:sz w:val="16"/>
                <w:szCs w:val="16"/>
              </w:rPr>
              <w:t>ratings</w:t>
            </w:r>
            <w:r>
              <w:rPr>
                <w:rFonts w:eastAsia="Times New Roman"/>
                <w:iCs/>
                <w:sz w:val="16"/>
                <w:szCs w:val="16"/>
              </w:rPr>
              <w:t xml:space="preserve">. </w:t>
            </w:r>
            <w:proofErr w:type="gramStart"/>
            <w:r>
              <w:rPr>
                <w:rFonts w:eastAsia="Times New Roman"/>
                <w:sz w:val="16"/>
                <w:szCs w:val="16"/>
              </w:rPr>
              <w:t xml:space="preserve">Some </w:t>
            </w:r>
            <w:r w:rsidRPr="00DB3E79">
              <w:rPr>
                <w:rFonts w:eastAsia="Times New Roman"/>
                <w:sz w:val="16"/>
                <w:szCs w:val="16"/>
              </w:rPr>
              <w:t>programs employ gender specialists</w:t>
            </w:r>
            <w:r>
              <w:rPr>
                <w:rFonts w:eastAsia="Times New Roman"/>
                <w:sz w:val="16"/>
                <w:szCs w:val="16"/>
              </w:rPr>
              <w:t>, have adequate</w:t>
            </w:r>
            <w:r w:rsidRPr="00F85D90">
              <w:rPr>
                <w:rFonts w:eastAsia="Times New Roman"/>
                <w:sz w:val="16"/>
                <w:szCs w:val="16"/>
              </w:rPr>
              <w:t xml:space="preserve"> resource</w:t>
            </w:r>
            <w:r>
              <w:rPr>
                <w:rFonts w:eastAsia="Times New Roman"/>
                <w:sz w:val="16"/>
                <w:szCs w:val="16"/>
              </w:rPr>
              <w:t xml:space="preserve">s and have taken steps on disability </w:t>
            </w:r>
            <w:r w:rsidRPr="00DB3E79">
              <w:rPr>
                <w:rFonts w:eastAsia="Times New Roman"/>
                <w:sz w:val="16"/>
                <w:szCs w:val="16"/>
              </w:rPr>
              <w:t>(examples above</w:t>
            </w:r>
            <w:r>
              <w:rPr>
                <w:rFonts w:eastAsia="Times New Roman"/>
                <w:sz w:val="16"/>
                <w:szCs w:val="16"/>
              </w:rPr>
              <w:t>).</w:t>
            </w:r>
            <w:proofErr w:type="gramEnd"/>
            <w:r>
              <w:rPr>
                <w:rFonts w:eastAsia="Times New Roman"/>
                <w:sz w:val="16"/>
                <w:szCs w:val="16"/>
              </w:rPr>
              <w:t xml:space="preserve"> T</w:t>
            </w:r>
            <w:r w:rsidRPr="00DB3E79">
              <w:rPr>
                <w:rFonts w:eastAsia="Times New Roman"/>
                <w:sz w:val="16"/>
                <w:szCs w:val="16"/>
              </w:rPr>
              <w:t>here is more work to do with</w:t>
            </w:r>
            <w:r>
              <w:rPr>
                <w:rFonts w:eastAsia="Times New Roman"/>
                <w:sz w:val="16"/>
                <w:szCs w:val="16"/>
              </w:rPr>
              <w:t xml:space="preserve"> others on gender and with all</w:t>
            </w:r>
            <w:r w:rsidRPr="00DB3E79">
              <w:rPr>
                <w:rFonts w:eastAsia="Times New Roman"/>
                <w:sz w:val="16"/>
                <w:szCs w:val="16"/>
              </w:rPr>
              <w:t xml:space="preserve"> </w:t>
            </w:r>
            <w:r>
              <w:rPr>
                <w:rFonts w:eastAsia="Times New Roman"/>
                <w:sz w:val="16"/>
                <w:szCs w:val="16"/>
              </w:rPr>
              <w:t>on disability.</w:t>
            </w:r>
          </w:p>
        </w:tc>
      </w:tr>
      <w:tr w:rsidR="007B4B0B" w:rsidRPr="00812509" w14:paraId="46A41CEF" w14:textId="77777777" w:rsidTr="00D32148">
        <w:trPr>
          <w:cnfStyle w:val="000000010000" w:firstRow="0" w:lastRow="0" w:firstColumn="0" w:lastColumn="0" w:oddVBand="0" w:evenVBand="0" w:oddHBand="0" w:evenHBand="1" w:firstRowFirstColumn="0" w:firstRowLastColumn="0" w:lastRowFirstColumn="0" w:lastRowLastColumn="0"/>
          <w:trHeight w:val="718"/>
        </w:trPr>
        <w:tc>
          <w:tcPr>
            <w:tcW w:w="4211" w:type="dxa"/>
          </w:tcPr>
          <w:p w14:paraId="081317F3" w14:textId="77777777" w:rsidR="007B4B0B" w:rsidRPr="00C74E9D" w:rsidRDefault="007B4B0B" w:rsidP="007B4B0B">
            <w:pPr>
              <w:spacing w:after="120" w:line="160" w:lineRule="atLeast"/>
              <w:ind w:right="130"/>
              <w:contextualSpacing/>
              <w:rPr>
                <w:rFonts w:asciiTheme="minorHAnsi" w:eastAsia="Times New Roman" w:hAnsiTheme="minorHAnsi"/>
                <w:iCs/>
                <w:sz w:val="16"/>
                <w:szCs w:val="16"/>
                <w:lang w:eastAsia="en-US"/>
              </w:rPr>
            </w:pPr>
            <w:r w:rsidRPr="00DB3E79">
              <w:rPr>
                <w:rFonts w:eastAsia="Times New Roman"/>
                <w:sz w:val="16"/>
                <w:szCs w:val="16"/>
              </w:rPr>
              <w:t>Continue to inform ASEAN leaders, Ministers and senior officials of program achievements and support to ASEAN-Australia cooperation, including greater use of ASEAN forums and policy organisations.</w:t>
            </w:r>
          </w:p>
        </w:tc>
        <w:tc>
          <w:tcPr>
            <w:tcW w:w="1106" w:type="dxa"/>
            <w:shd w:val="clear" w:color="auto" w:fill="72AF2F"/>
          </w:tcPr>
          <w:p w14:paraId="5F8A6E1D" w14:textId="77777777" w:rsidR="007B4B0B" w:rsidRPr="00C74E9D" w:rsidRDefault="007B4B0B" w:rsidP="007B4B0B">
            <w:pPr>
              <w:keepLines/>
              <w:spacing w:before="40" w:after="40" w:line="160" w:lineRule="atLeast"/>
              <w:jc w:val="center"/>
              <w:rPr>
                <w:rFonts w:asciiTheme="minorHAnsi" w:eastAsia="Times New Roman" w:hAnsiTheme="minorHAnsi"/>
                <w:iCs/>
                <w:color w:val="FFFFFF" w:themeColor="background1"/>
                <w:sz w:val="16"/>
                <w:szCs w:val="16"/>
                <w:lang w:eastAsia="en-US"/>
              </w:rPr>
            </w:pPr>
            <w:r w:rsidRPr="00C74E9D">
              <w:rPr>
                <w:rFonts w:eastAsia="Times New Roman"/>
                <w:iCs/>
                <w:color w:val="FFFFFF" w:themeColor="background1"/>
                <w:sz w:val="16"/>
                <w:szCs w:val="16"/>
              </w:rPr>
              <w:t>Achieved</w:t>
            </w:r>
          </w:p>
        </w:tc>
        <w:tc>
          <w:tcPr>
            <w:tcW w:w="4633" w:type="dxa"/>
          </w:tcPr>
          <w:p w14:paraId="5CAF2826" w14:textId="4E67872A" w:rsidR="007B4B0B" w:rsidRPr="00DB3E79" w:rsidRDefault="007B4B0B" w:rsidP="007B35D7">
            <w:pPr>
              <w:keepLines/>
              <w:spacing w:before="40" w:after="40" w:line="160" w:lineRule="atLeast"/>
              <w:rPr>
                <w:rFonts w:eastAsia="Times New Roman"/>
                <w:sz w:val="16"/>
                <w:szCs w:val="16"/>
              </w:rPr>
            </w:pPr>
            <w:r w:rsidRPr="00DB3E79">
              <w:rPr>
                <w:rFonts w:eastAsia="Times New Roman"/>
                <w:sz w:val="16"/>
                <w:szCs w:val="16"/>
              </w:rPr>
              <w:t xml:space="preserve">ASEAN Mission </w:t>
            </w:r>
            <w:r w:rsidR="007B35D7">
              <w:rPr>
                <w:rFonts w:eastAsia="Times New Roman"/>
                <w:sz w:val="16"/>
                <w:szCs w:val="16"/>
              </w:rPr>
              <w:t>used</w:t>
            </w:r>
            <w:r w:rsidRPr="00DB3E79">
              <w:rPr>
                <w:rFonts w:eastAsia="Times New Roman"/>
                <w:sz w:val="16"/>
                <w:szCs w:val="16"/>
              </w:rPr>
              <w:t xml:space="preserve"> ASEAN meetings and forums to inform A</w:t>
            </w:r>
            <w:r w:rsidR="007B35D7">
              <w:rPr>
                <w:rFonts w:eastAsia="Times New Roman"/>
                <w:sz w:val="16"/>
                <w:szCs w:val="16"/>
              </w:rPr>
              <w:t>SEAN leaders and officials of program achievements and</w:t>
            </w:r>
            <w:r w:rsidRPr="00DB3E79">
              <w:rPr>
                <w:rFonts w:eastAsia="Times New Roman"/>
                <w:sz w:val="16"/>
                <w:szCs w:val="16"/>
              </w:rPr>
              <w:t xml:space="preserve"> Australia’s strong ASEAN-Australia cooperation.</w:t>
            </w:r>
          </w:p>
        </w:tc>
      </w:tr>
      <w:tr w:rsidR="007B4B0B" w:rsidRPr="00812509" w14:paraId="125DB93C" w14:textId="77777777" w:rsidTr="0099334D">
        <w:tblPrEx>
          <w:tblCellSpacing w:w="0" w:type="nil"/>
          <w:tblBorders>
            <w:top w:val="none" w:sz="0" w:space="0" w:color="auto"/>
            <w:bottom w:val="none" w:sz="0" w:space="0" w:color="auto"/>
          </w:tblBorders>
        </w:tblPrEx>
        <w:trPr>
          <w:cnfStyle w:val="000000010000" w:firstRow="0" w:lastRow="0" w:firstColumn="0" w:lastColumn="0" w:oddVBand="0" w:evenVBand="0" w:oddHBand="0" w:evenHBand="1" w:firstRowFirstColumn="0" w:firstRowLastColumn="0" w:lastRowFirstColumn="0" w:lastRowLastColumn="0"/>
          <w:tblCellSpacing w:w="0" w:type="nil"/>
        </w:trPr>
        <w:tc>
          <w:tcPr>
            <w:tcW w:w="4211" w:type="dxa"/>
          </w:tcPr>
          <w:p w14:paraId="20F6E294" w14:textId="77777777" w:rsidR="007B4B0B" w:rsidRPr="00DB3E79" w:rsidRDefault="007B4B0B" w:rsidP="007B4B0B">
            <w:pPr>
              <w:spacing w:after="120" w:line="160" w:lineRule="atLeast"/>
              <w:ind w:right="130"/>
              <w:contextualSpacing/>
              <w:rPr>
                <w:rFonts w:eastAsia="Times New Roman"/>
                <w:sz w:val="16"/>
                <w:szCs w:val="16"/>
              </w:rPr>
            </w:pPr>
            <w:r w:rsidRPr="00DB3E79">
              <w:rPr>
                <w:rFonts w:eastAsia="Times New Roman"/>
                <w:sz w:val="16"/>
                <w:szCs w:val="16"/>
              </w:rPr>
              <w:t xml:space="preserve">Maintain engagement and advocacy with key ASEAN stakeholders (including ASEC) to ensure alignment with plans and priorities of ASEAN sectoral bodies. </w:t>
            </w:r>
          </w:p>
          <w:p w14:paraId="3A5F14DE" w14:textId="77777777" w:rsidR="007B4B0B" w:rsidRPr="00DB3E79" w:rsidRDefault="007B4B0B" w:rsidP="007B4B0B">
            <w:pPr>
              <w:keepLines/>
              <w:spacing w:before="40" w:after="40" w:line="160" w:lineRule="atLeast"/>
              <w:rPr>
                <w:rFonts w:eastAsia="Times New Roman"/>
                <w:sz w:val="16"/>
                <w:szCs w:val="16"/>
              </w:rPr>
            </w:pPr>
          </w:p>
        </w:tc>
        <w:tc>
          <w:tcPr>
            <w:tcW w:w="1106" w:type="dxa"/>
            <w:shd w:val="clear" w:color="auto" w:fill="72AF2F"/>
          </w:tcPr>
          <w:p w14:paraId="6CB05EF7" w14:textId="77777777" w:rsidR="007B4B0B" w:rsidRPr="007B4B0B" w:rsidRDefault="007B4B0B" w:rsidP="007B4B0B">
            <w:pPr>
              <w:keepLines/>
              <w:spacing w:before="40" w:after="40" w:line="160" w:lineRule="atLeast"/>
              <w:jc w:val="center"/>
              <w:rPr>
                <w:rFonts w:eastAsia="Times New Roman"/>
                <w:iCs/>
                <w:color w:val="FFFFFF" w:themeColor="background1"/>
                <w:sz w:val="16"/>
                <w:szCs w:val="16"/>
              </w:rPr>
            </w:pPr>
            <w:r w:rsidRPr="00C74E9D">
              <w:rPr>
                <w:rFonts w:eastAsia="Times New Roman"/>
                <w:iCs/>
                <w:color w:val="FFFFFF" w:themeColor="background1"/>
                <w:sz w:val="16"/>
                <w:szCs w:val="16"/>
              </w:rPr>
              <w:t>Achieved</w:t>
            </w:r>
          </w:p>
        </w:tc>
        <w:tc>
          <w:tcPr>
            <w:tcW w:w="4633" w:type="dxa"/>
          </w:tcPr>
          <w:p w14:paraId="45380D29" w14:textId="055DB397" w:rsidR="007B4B0B" w:rsidRPr="00DB3E79" w:rsidRDefault="007B35D7" w:rsidP="007B4B0B">
            <w:pPr>
              <w:keepLines/>
              <w:spacing w:before="40" w:after="40" w:line="160" w:lineRule="atLeast"/>
              <w:rPr>
                <w:rFonts w:eastAsia="Times New Roman"/>
                <w:sz w:val="16"/>
                <w:szCs w:val="16"/>
              </w:rPr>
            </w:pPr>
            <w:r>
              <w:rPr>
                <w:rFonts w:eastAsia="Times New Roman"/>
                <w:sz w:val="16"/>
                <w:szCs w:val="16"/>
              </w:rPr>
              <w:t xml:space="preserve">ASEAN Mission </w:t>
            </w:r>
            <w:r w:rsidR="007B4B0B" w:rsidRPr="00DB3E79">
              <w:rPr>
                <w:rFonts w:eastAsia="Times New Roman"/>
                <w:sz w:val="16"/>
                <w:szCs w:val="16"/>
              </w:rPr>
              <w:t>maintained engagement and advocacy with ASEAN and other ASEAN stakeholders, including the ASEAN Committee of Permanent Representatives, AICHR, SOMTC, ACMW, ACWC and ASEC.</w:t>
            </w:r>
          </w:p>
        </w:tc>
      </w:tr>
      <w:tr w:rsidR="007B4B0B" w:rsidRPr="00812509" w14:paraId="76D25841" w14:textId="77777777" w:rsidTr="0099334D">
        <w:tblPrEx>
          <w:tblCellSpacing w:w="0" w:type="nil"/>
          <w:tblBorders>
            <w:top w:val="none" w:sz="0" w:space="0" w:color="auto"/>
            <w:bottom w:val="none" w:sz="0" w:space="0" w:color="auto"/>
          </w:tblBorders>
        </w:tblPrEx>
        <w:trPr>
          <w:cnfStyle w:val="000000010000" w:firstRow="0" w:lastRow="0" w:firstColumn="0" w:lastColumn="0" w:oddVBand="0" w:evenVBand="0" w:oddHBand="0" w:evenHBand="1" w:firstRowFirstColumn="0" w:firstRowLastColumn="0" w:lastRowFirstColumn="0" w:lastRowLastColumn="0"/>
          <w:tblCellSpacing w:w="0" w:type="nil"/>
        </w:trPr>
        <w:tc>
          <w:tcPr>
            <w:tcW w:w="4211" w:type="dxa"/>
          </w:tcPr>
          <w:p w14:paraId="3097F662" w14:textId="77777777" w:rsidR="007B4B0B" w:rsidRPr="00DB3E79" w:rsidRDefault="007B4B0B" w:rsidP="007B4B0B">
            <w:pPr>
              <w:spacing w:after="120" w:line="160" w:lineRule="atLeast"/>
              <w:ind w:right="130"/>
              <w:contextualSpacing/>
              <w:rPr>
                <w:rFonts w:eastAsia="Times New Roman"/>
                <w:sz w:val="16"/>
                <w:szCs w:val="16"/>
              </w:rPr>
            </w:pPr>
            <w:r w:rsidRPr="00DB3E79">
              <w:rPr>
                <w:rFonts w:eastAsia="Times New Roman"/>
                <w:sz w:val="16"/>
                <w:szCs w:val="16"/>
              </w:rPr>
              <w:t>Maintain internal communications with bilateral colleagues and regular reporting on the program’s alignment with Australia’s strategic priorities.</w:t>
            </w:r>
          </w:p>
          <w:p w14:paraId="50D3E14C" w14:textId="77777777" w:rsidR="007B4B0B" w:rsidRPr="00DB3E79" w:rsidRDefault="007B4B0B" w:rsidP="007B4B0B">
            <w:pPr>
              <w:spacing w:after="120" w:line="160" w:lineRule="atLeast"/>
              <w:ind w:right="130"/>
              <w:contextualSpacing/>
              <w:rPr>
                <w:rFonts w:eastAsia="Times New Roman"/>
                <w:sz w:val="16"/>
                <w:szCs w:val="16"/>
              </w:rPr>
            </w:pPr>
          </w:p>
        </w:tc>
        <w:tc>
          <w:tcPr>
            <w:tcW w:w="1106" w:type="dxa"/>
            <w:shd w:val="clear" w:color="auto" w:fill="72AF2F"/>
          </w:tcPr>
          <w:p w14:paraId="6B76F653" w14:textId="77777777" w:rsidR="007B4B0B" w:rsidRPr="00C74E9D" w:rsidRDefault="007B4B0B" w:rsidP="00D8749D">
            <w:pPr>
              <w:keepLines/>
              <w:spacing w:before="40" w:after="40" w:line="160" w:lineRule="atLeast"/>
              <w:jc w:val="center"/>
              <w:rPr>
                <w:rFonts w:eastAsia="Times New Roman"/>
                <w:iCs/>
                <w:color w:val="FFFFFF" w:themeColor="background1"/>
                <w:sz w:val="16"/>
                <w:szCs w:val="16"/>
              </w:rPr>
            </w:pPr>
            <w:r w:rsidRPr="00C74E9D">
              <w:rPr>
                <w:rFonts w:eastAsia="Times New Roman"/>
                <w:iCs/>
                <w:color w:val="FFFFFF" w:themeColor="background1"/>
                <w:sz w:val="16"/>
                <w:szCs w:val="16"/>
              </w:rPr>
              <w:t>Achieved</w:t>
            </w:r>
          </w:p>
        </w:tc>
        <w:tc>
          <w:tcPr>
            <w:tcW w:w="4633" w:type="dxa"/>
          </w:tcPr>
          <w:p w14:paraId="4DD4C690" w14:textId="7CA97F6D" w:rsidR="007B4B0B" w:rsidRPr="00DB3E79" w:rsidRDefault="007B4B0B" w:rsidP="007B4B0B">
            <w:pPr>
              <w:keepLines/>
              <w:spacing w:before="40" w:after="40" w:line="160" w:lineRule="atLeast"/>
              <w:rPr>
                <w:rFonts w:eastAsia="Times New Roman"/>
                <w:sz w:val="16"/>
                <w:szCs w:val="16"/>
              </w:rPr>
            </w:pPr>
            <w:r>
              <w:rPr>
                <w:rFonts w:eastAsia="Times New Roman"/>
                <w:sz w:val="16"/>
                <w:szCs w:val="16"/>
              </w:rPr>
              <w:t>Re</w:t>
            </w:r>
            <w:r w:rsidRPr="00DB3E79">
              <w:rPr>
                <w:rFonts w:eastAsia="Times New Roman"/>
                <w:sz w:val="16"/>
                <w:szCs w:val="16"/>
              </w:rPr>
              <w:t xml:space="preserve">gularly report on program alignment with strategic priorities and </w:t>
            </w:r>
            <w:r>
              <w:rPr>
                <w:rFonts w:eastAsia="Times New Roman"/>
                <w:sz w:val="16"/>
                <w:szCs w:val="16"/>
              </w:rPr>
              <w:t>maintain</w:t>
            </w:r>
            <w:r w:rsidRPr="00DB3E79">
              <w:rPr>
                <w:rFonts w:eastAsia="Times New Roman"/>
                <w:sz w:val="16"/>
                <w:szCs w:val="16"/>
              </w:rPr>
              <w:t xml:space="preserve"> up to date factsheets. </w:t>
            </w:r>
            <w:r>
              <w:rPr>
                <w:rFonts w:eastAsia="Times New Roman"/>
                <w:sz w:val="16"/>
                <w:szCs w:val="16"/>
              </w:rPr>
              <w:t>S</w:t>
            </w:r>
            <w:r w:rsidRPr="00DB3E79">
              <w:rPr>
                <w:rFonts w:eastAsia="Times New Roman"/>
                <w:sz w:val="16"/>
                <w:szCs w:val="16"/>
              </w:rPr>
              <w:t xml:space="preserve">upport </w:t>
            </w:r>
            <w:r>
              <w:rPr>
                <w:rFonts w:eastAsia="Times New Roman"/>
                <w:sz w:val="16"/>
                <w:szCs w:val="16"/>
              </w:rPr>
              <w:t xml:space="preserve">for </w:t>
            </w:r>
            <w:r w:rsidRPr="00DB3E79">
              <w:rPr>
                <w:rFonts w:eastAsia="Times New Roman"/>
                <w:sz w:val="16"/>
                <w:szCs w:val="16"/>
              </w:rPr>
              <w:t xml:space="preserve">bilateral </w:t>
            </w:r>
            <w:r>
              <w:rPr>
                <w:rFonts w:eastAsia="Times New Roman"/>
                <w:sz w:val="16"/>
                <w:szCs w:val="16"/>
              </w:rPr>
              <w:t>post</w:t>
            </w:r>
            <w:r w:rsidRPr="00DB3E79">
              <w:rPr>
                <w:rFonts w:eastAsia="Times New Roman"/>
                <w:sz w:val="16"/>
                <w:szCs w:val="16"/>
              </w:rPr>
              <w:t xml:space="preserve"> to </w:t>
            </w:r>
            <w:r>
              <w:rPr>
                <w:rFonts w:eastAsia="Times New Roman"/>
                <w:sz w:val="16"/>
                <w:szCs w:val="16"/>
              </w:rPr>
              <w:t>participate in</w:t>
            </w:r>
            <w:r w:rsidRPr="00DB3E79">
              <w:rPr>
                <w:rFonts w:eastAsia="Times New Roman"/>
                <w:sz w:val="16"/>
                <w:szCs w:val="16"/>
              </w:rPr>
              <w:t xml:space="preserve"> p</w:t>
            </w:r>
            <w:r>
              <w:rPr>
                <w:rFonts w:eastAsia="Times New Roman"/>
                <w:sz w:val="16"/>
                <w:szCs w:val="16"/>
              </w:rPr>
              <w:t xml:space="preserve">rogram </w:t>
            </w:r>
            <w:r w:rsidRPr="00DB3E79">
              <w:rPr>
                <w:rFonts w:eastAsia="Times New Roman"/>
                <w:sz w:val="16"/>
                <w:szCs w:val="16"/>
              </w:rPr>
              <w:t>where possible.</w:t>
            </w:r>
            <w:r w:rsidR="001E3F93">
              <w:rPr>
                <w:rFonts w:eastAsia="Times New Roman"/>
                <w:sz w:val="16"/>
                <w:szCs w:val="16"/>
              </w:rPr>
              <w:t xml:space="preserve"> Input sought from regional posts for implementation of bilateral GMWRP activities.</w:t>
            </w:r>
          </w:p>
        </w:tc>
      </w:tr>
      <w:tr w:rsidR="007B4B0B" w:rsidRPr="00812509" w14:paraId="09693001" w14:textId="77777777" w:rsidTr="0099334D">
        <w:tblPrEx>
          <w:tblCellSpacing w:w="0" w:type="nil"/>
          <w:tblBorders>
            <w:top w:val="none" w:sz="0" w:space="0" w:color="auto"/>
            <w:bottom w:val="none" w:sz="0" w:space="0" w:color="auto"/>
          </w:tblBorders>
        </w:tblPrEx>
        <w:trPr>
          <w:cnfStyle w:val="000000010000" w:firstRow="0" w:lastRow="0" w:firstColumn="0" w:lastColumn="0" w:oddVBand="0" w:evenVBand="0" w:oddHBand="0" w:evenHBand="1" w:firstRowFirstColumn="0" w:firstRowLastColumn="0" w:lastRowFirstColumn="0" w:lastRowLastColumn="0"/>
          <w:tblCellSpacing w:w="0" w:type="nil"/>
        </w:trPr>
        <w:tc>
          <w:tcPr>
            <w:tcW w:w="4211" w:type="dxa"/>
          </w:tcPr>
          <w:p w14:paraId="7E909C90" w14:textId="77777777" w:rsidR="007B4B0B" w:rsidRPr="00DB3E79" w:rsidRDefault="007B4B0B" w:rsidP="007B4B0B">
            <w:pPr>
              <w:spacing w:after="120" w:line="160" w:lineRule="atLeast"/>
              <w:ind w:right="130"/>
              <w:contextualSpacing/>
              <w:rPr>
                <w:rFonts w:eastAsia="Times New Roman"/>
                <w:sz w:val="16"/>
                <w:szCs w:val="16"/>
              </w:rPr>
            </w:pPr>
            <w:r w:rsidRPr="00DB3E79">
              <w:rPr>
                <w:rFonts w:eastAsia="Times New Roman"/>
                <w:sz w:val="16"/>
                <w:szCs w:val="16"/>
              </w:rPr>
              <w:t>Ensure partner communications are consistent with Australian communications policy and branding guidelines.</w:t>
            </w:r>
          </w:p>
        </w:tc>
        <w:tc>
          <w:tcPr>
            <w:tcW w:w="1106" w:type="dxa"/>
            <w:shd w:val="clear" w:color="auto" w:fill="72AF2F"/>
          </w:tcPr>
          <w:p w14:paraId="0CD33055" w14:textId="77777777" w:rsidR="007B4B0B" w:rsidRPr="00C74E9D" w:rsidRDefault="007B4B0B" w:rsidP="007B4B0B">
            <w:pPr>
              <w:keepLines/>
              <w:spacing w:before="40" w:after="40" w:line="160" w:lineRule="atLeast"/>
              <w:jc w:val="center"/>
              <w:rPr>
                <w:rFonts w:eastAsia="Times New Roman" w:cstheme="minorHAnsi"/>
                <w:iCs/>
                <w:color w:val="FFFFFF" w:themeColor="background1"/>
                <w:sz w:val="16"/>
                <w:szCs w:val="16"/>
              </w:rPr>
            </w:pPr>
            <w:r w:rsidRPr="00C74E9D">
              <w:rPr>
                <w:rFonts w:eastAsia="Times New Roman" w:cstheme="minorHAnsi"/>
                <w:iCs/>
                <w:color w:val="FFFFFF" w:themeColor="background1"/>
                <w:sz w:val="16"/>
                <w:szCs w:val="16"/>
              </w:rPr>
              <w:t>Achieved</w:t>
            </w:r>
          </w:p>
        </w:tc>
        <w:tc>
          <w:tcPr>
            <w:tcW w:w="4633" w:type="dxa"/>
          </w:tcPr>
          <w:p w14:paraId="1CF1F5A3" w14:textId="20270CB8" w:rsidR="007B4B0B" w:rsidRPr="00DB3E79" w:rsidRDefault="00FC1EFA" w:rsidP="00FC1EFA">
            <w:pPr>
              <w:keepLines/>
              <w:spacing w:before="40" w:after="40" w:line="160" w:lineRule="atLeast"/>
              <w:rPr>
                <w:rFonts w:eastAsia="Times New Roman"/>
                <w:sz w:val="16"/>
                <w:szCs w:val="16"/>
              </w:rPr>
            </w:pPr>
            <w:r>
              <w:rPr>
                <w:rFonts w:eastAsia="Times New Roman"/>
                <w:sz w:val="16"/>
                <w:szCs w:val="16"/>
                <w:lang w:val="en-AU"/>
              </w:rPr>
              <w:t>P</w:t>
            </w:r>
            <w:r w:rsidRPr="00DB3E79">
              <w:rPr>
                <w:rFonts w:eastAsia="Times New Roman"/>
                <w:sz w:val="16"/>
                <w:szCs w:val="16"/>
                <w:lang w:val="en-AU"/>
              </w:rPr>
              <w:t xml:space="preserve">artners </w:t>
            </w:r>
            <w:proofErr w:type="gramStart"/>
            <w:r w:rsidRPr="00DB3E79">
              <w:rPr>
                <w:rFonts w:eastAsia="Times New Roman"/>
                <w:sz w:val="16"/>
                <w:szCs w:val="16"/>
                <w:lang w:val="en-AU"/>
              </w:rPr>
              <w:t xml:space="preserve">are </w:t>
            </w:r>
            <w:r>
              <w:rPr>
                <w:rFonts w:eastAsia="Times New Roman"/>
                <w:sz w:val="16"/>
                <w:szCs w:val="16"/>
                <w:lang w:val="en-AU"/>
              </w:rPr>
              <w:t>made</w:t>
            </w:r>
            <w:proofErr w:type="gramEnd"/>
            <w:r>
              <w:rPr>
                <w:rFonts w:eastAsia="Times New Roman"/>
                <w:sz w:val="16"/>
                <w:szCs w:val="16"/>
                <w:lang w:val="en-AU"/>
              </w:rPr>
              <w:t xml:space="preserve"> aware of communication/branding </w:t>
            </w:r>
            <w:r w:rsidRPr="00DB3E79">
              <w:rPr>
                <w:rFonts w:eastAsia="Times New Roman"/>
                <w:sz w:val="16"/>
                <w:szCs w:val="16"/>
                <w:lang w:val="en-AU"/>
              </w:rPr>
              <w:t>policies</w:t>
            </w:r>
            <w:r w:rsidRPr="00DB3E79" w:rsidDel="00FC1EFA">
              <w:rPr>
                <w:rFonts w:eastAsia="Times New Roman"/>
                <w:sz w:val="16"/>
                <w:szCs w:val="16"/>
                <w:lang w:val="en-AU"/>
              </w:rPr>
              <w:t xml:space="preserve"> </w:t>
            </w:r>
            <w:r>
              <w:rPr>
                <w:rFonts w:eastAsia="Times New Roman"/>
                <w:sz w:val="16"/>
                <w:szCs w:val="16"/>
                <w:lang w:val="en-AU"/>
              </w:rPr>
              <w:t xml:space="preserve">through </w:t>
            </w:r>
            <w:r w:rsidR="004117B0">
              <w:rPr>
                <w:rFonts w:eastAsia="Times New Roman"/>
                <w:sz w:val="16"/>
                <w:szCs w:val="16"/>
                <w:lang w:val="en-AU"/>
              </w:rPr>
              <w:t xml:space="preserve">agreements, </w:t>
            </w:r>
            <w:r>
              <w:rPr>
                <w:rFonts w:eastAsia="Times New Roman"/>
                <w:sz w:val="16"/>
                <w:szCs w:val="16"/>
                <w:lang w:val="en-AU"/>
              </w:rPr>
              <w:t>approvals</w:t>
            </w:r>
            <w:r w:rsidR="007B4B0B" w:rsidRPr="00DB3E79">
              <w:rPr>
                <w:rFonts w:eastAsia="Times New Roman"/>
                <w:sz w:val="16"/>
                <w:szCs w:val="16"/>
                <w:lang w:val="en-AU"/>
              </w:rPr>
              <w:t xml:space="preserve"> </w:t>
            </w:r>
            <w:r w:rsidR="004117B0">
              <w:rPr>
                <w:rFonts w:eastAsia="Times New Roman"/>
                <w:sz w:val="16"/>
                <w:szCs w:val="16"/>
                <w:lang w:val="en-AU"/>
              </w:rPr>
              <w:t xml:space="preserve">and </w:t>
            </w:r>
            <w:r w:rsidR="007B4B0B" w:rsidRPr="00DB3E79">
              <w:rPr>
                <w:rFonts w:eastAsia="Times New Roman"/>
                <w:sz w:val="16"/>
                <w:szCs w:val="16"/>
                <w:lang w:val="en-AU"/>
              </w:rPr>
              <w:t>annual Partner Performance Assessment</w:t>
            </w:r>
            <w:r w:rsidR="007B4B0B">
              <w:rPr>
                <w:rFonts w:eastAsia="Times New Roman"/>
                <w:sz w:val="16"/>
                <w:szCs w:val="16"/>
                <w:lang w:val="en-AU"/>
              </w:rPr>
              <w:t>s</w:t>
            </w:r>
            <w:r>
              <w:rPr>
                <w:rFonts w:eastAsia="Times New Roman"/>
                <w:sz w:val="16"/>
                <w:szCs w:val="16"/>
                <w:lang w:val="en-AU"/>
              </w:rPr>
              <w:t>.</w:t>
            </w:r>
            <w:r w:rsidR="007B4B0B" w:rsidRPr="00DB3E79">
              <w:rPr>
                <w:rFonts w:eastAsia="Times New Roman"/>
                <w:sz w:val="16"/>
                <w:szCs w:val="16"/>
                <w:lang w:val="en-AU"/>
              </w:rPr>
              <w:t xml:space="preserve">  Active monitoring ensure</w:t>
            </w:r>
            <w:r w:rsidR="007B4B0B">
              <w:rPr>
                <w:rFonts w:eastAsia="Times New Roman"/>
                <w:sz w:val="16"/>
                <w:szCs w:val="16"/>
                <w:lang w:val="en-AU"/>
              </w:rPr>
              <w:t>s</w:t>
            </w:r>
            <w:r w:rsidR="007B4B0B" w:rsidRPr="00DB3E79">
              <w:rPr>
                <w:rFonts w:eastAsia="Times New Roman"/>
                <w:sz w:val="16"/>
                <w:szCs w:val="16"/>
                <w:lang w:val="en-AU"/>
              </w:rPr>
              <w:t xml:space="preserve"> compliance</w:t>
            </w:r>
            <w:r w:rsidR="007B4B0B">
              <w:rPr>
                <w:rFonts w:eastAsia="Times New Roman"/>
                <w:sz w:val="16"/>
                <w:szCs w:val="16"/>
                <w:lang w:val="en-AU"/>
              </w:rPr>
              <w:t xml:space="preserve"> and there </w:t>
            </w:r>
            <w:r>
              <w:rPr>
                <w:rFonts w:eastAsia="Times New Roman"/>
                <w:sz w:val="16"/>
                <w:szCs w:val="16"/>
                <w:lang w:val="en-AU"/>
              </w:rPr>
              <w:t>has been</w:t>
            </w:r>
            <w:r w:rsidR="007B4B0B">
              <w:rPr>
                <w:rFonts w:eastAsia="Times New Roman"/>
                <w:sz w:val="16"/>
                <w:szCs w:val="16"/>
                <w:lang w:val="en-AU"/>
              </w:rPr>
              <w:t xml:space="preserve"> overall </w:t>
            </w:r>
            <w:r w:rsidR="007B4B0B" w:rsidRPr="00DB3E79">
              <w:rPr>
                <w:rFonts w:eastAsia="Times New Roman"/>
                <w:sz w:val="16"/>
                <w:szCs w:val="16"/>
                <w:lang w:val="en-AU"/>
              </w:rPr>
              <w:t>improvement</w:t>
            </w:r>
            <w:r w:rsidR="000D603E">
              <w:rPr>
                <w:rFonts w:eastAsia="Times New Roman"/>
                <w:sz w:val="16"/>
                <w:szCs w:val="16"/>
                <w:lang w:val="en-AU"/>
              </w:rPr>
              <w:t xml:space="preserve">. </w:t>
            </w:r>
          </w:p>
        </w:tc>
      </w:tr>
      <w:tr w:rsidR="007B4B0B" w:rsidRPr="00812509" w14:paraId="3457B6AE" w14:textId="77777777" w:rsidTr="007B35D7">
        <w:tblPrEx>
          <w:tblCellSpacing w:w="0" w:type="nil"/>
          <w:tblBorders>
            <w:top w:val="none" w:sz="0" w:space="0" w:color="auto"/>
            <w:bottom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829"/>
          <w:tblCellSpacing w:w="0" w:type="nil"/>
        </w:trPr>
        <w:tc>
          <w:tcPr>
            <w:tcW w:w="4211" w:type="dxa"/>
          </w:tcPr>
          <w:p w14:paraId="23635C46" w14:textId="77777777" w:rsidR="007B4B0B" w:rsidRPr="00DB3E79" w:rsidRDefault="007B4B0B" w:rsidP="007B4B0B">
            <w:pPr>
              <w:spacing w:after="120" w:line="160" w:lineRule="atLeast"/>
              <w:ind w:right="130"/>
              <w:contextualSpacing/>
              <w:rPr>
                <w:rFonts w:eastAsia="Times New Roman"/>
                <w:sz w:val="16"/>
                <w:szCs w:val="16"/>
              </w:rPr>
            </w:pPr>
            <w:r w:rsidRPr="00DB3E79">
              <w:rPr>
                <w:rFonts w:eastAsia="Times New Roman"/>
                <w:sz w:val="16"/>
                <w:szCs w:val="16"/>
              </w:rPr>
              <w:t>Continue to harness complementary Australian aid investments in a joined-up way for greater influence in ASEAN</w:t>
            </w:r>
          </w:p>
        </w:tc>
        <w:tc>
          <w:tcPr>
            <w:tcW w:w="1106" w:type="dxa"/>
            <w:shd w:val="clear" w:color="auto" w:fill="72AF2F"/>
          </w:tcPr>
          <w:p w14:paraId="35D7AEF7" w14:textId="77777777" w:rsidR="007B4B0B" w:rsidRPr="00C74E9D" w:rsidRDefault="007B4B0B" w:rsidP="007B4B0B">
            <w:pPr>
              <w:keepLines/>
              <w:spacing w:before="40" w:after="40" w:line="160" w:lineRule="atLeast"/>
              <w:jc w:val="center"/>
              <w:rPr>
                <w:rFonts w:eastAsia="Times New Roman"/>
                <w:iCs/>
                <w:color w:val="FFFFFF" w:themeColor="background1"/>
                <w:sz w:val="16"/>
                <w:szCs w:val="16"/>
              </w:rPr>
            </w:pPr>
            <w:r w:rsidRPr="00C74E9D">
              <w:rPr>
                <w:rFonts w:eastAsia="Times New Roman"/>
                <w:iCs/>
                <w:color w:val="FFFFFF" w:themeColor="background1"/>
                <w:sz w:val="16"/>
                <w:szCs w:val="16"/>
              </w:rPr>
              <w:t>Achieved</w:t>
            </w:r>
          </w:p>
        </w:tc>
        <w:tc>
          <w:tcPr>
            <w:tcW w:w="4633" w:type="dxa"/>
          </w:tcPr>
          <w:p w14:paraId="2E6002C9" w14:textId="151FB61A" w:rsidR="007B4B0B" w:rsidRPr="00DB3E79" w:rsidRDefault="007B35D7" w:rsidP="007B35D7">
            <w:pPr>
              <w:keepLines/>
              <w:spacing w:before="40" w:after="40" w:line="160" w:lineRule="atLeast"/>
              <w:rPr>
                <w:rFonts w:eastAsia="Times New Roman"/>
                <w:sz w:val="16"/>
                <w:szCs w:val="16"/>
              </w:rPr>
            </w:pPr>
            <w:r>
              <w:rPr>
                <w:rFonts w:eastAsia="Times New Roman"/>
                <w:sz w:val="16"/>
                <w:szCs w:val="16"/>
                <w:lang w:val="en-AU"/>
              </w:rPr>
              <w:t>W</w:t>
            </w:r>
            <w:r w:rsidR="007B4B0B">
              <w:rPr>
                <w:rFonts w:eastAsia="Times New Roman"/>
                <w:sz w:val="16"/>
                <w:szCs w:val="16"/>
                <w:lang w:val="en-AU"/>
              </w:rPr>
              <w:t xml:space="preserve">ork </w:t>
            </w:r>
            <w:r>
              <w:rPr>
                <w:rFonts w:eastAsia="Times New Roman"/>
                <w:sz w:val="16"/>
                <w:szCs w:val="16"/>
                <w:lang w:val="en-AU"/>
              </w:rPr>
              <w:t xml:space="preserve">with </w:t>
            </w:r>
            <w:r w:rsidR="007B4B0B" w:rsidRPr="00A23C3C">
              <w:rPr>
                <w:rFonts w:eastAsia="Times New Roman"/>
                <w:sz w:val="16"/>
                <w:szCs w:val="16"/>
                <w:lang w:val="en-AU"/>
              </w:rPr>
              <w:t xml:space="preserve">ASEAN Secretariat </w:t>
            </w:r>
            <w:r>
              <w:rPr>
                <w:rFonts w:eastAsia="Times New Roman"/>
                <w:sz w:val="16"/>
                <w:szCs w:val="16"/>
                <w:lang w:val="en-AU"/>
              </w:rPr>
              <w:t>as implementing partner for</w:t>
            </w:r>
            <w:r w:rsidR="007B4B0B" w:rsidRPr="00A23C3C">
              <w:rPr>
                <w:rFonts w:eastAsia="Times New Roman"/>
                <w:sz w:val="16"/>
                <w:szCs w:val="16"/>
                <w:lang w:val="en-AU"/>
              </w:rPr>
              <w:t xml:space="preserve"> AECSP and AADCP II</w:t>
            </w:r>
            <w:r w:rsidR="0099334D">
              <w:rPr>
                <w:rFonts w:eastAsia="Times New Roman"/>
                <w:sz w:val="16"/>
                <w:szCs w:val="16"/>
                <w:lang w:val="en-AU"/>
              </w:rPr>
              <w:t xml:space="preserve">. </w:t>
            </w:r>
            <w:r w:rsidR="007B4B0B">
              <w:rPr>
                <w:rFonts w:eastAsia="Times New Roman"/>
                <w:sz w:val="16"/>
                <w:szCs w:val="16"/>
                <w:lang w:val="en-AU"/>
              </w:rPr>
              <w:t>Three</w:t>
            </w:r>
            <w:r w:rsidR="007B4B0B" w:rsidRPr="00A23C3C">
              <w:rPr>
                <w:rFonts w:eastAsia="Times New Roman"/>
                <w:sz w:val="16"/>
                <w:szCs w:val="16"/>
                <w:lang w:val="en-AU"/>
              </w:rPr>
              <w:t xml:space="preserve"> programs (</w:t>
            </w:r>
            <w:proofErr w:type="spellStart"/>
            <w:r w:rsidR="007B4B0B" w:rsidRPr="00A23C3C">
              <w:rPr>
                <w:rFonts w:eastAsia="Times New Roman"/>
                <w:sz w:val="16"/>
                <w:szCs w:val="16"/>
                <w:lang w:val="en-AU"/>
              </w:rPr>
              <w:t>T</w:t>
            </w:r>
            <w:r w:rsidR="00A84EB1">
              <w:rPr>
                <w:rFonts w:eastAsia="Times New Roman"/>
                <w:sz w:val="16"/>
                <w:szCs w:val="16"/>
                <w:lang w:val="en-AU"/>
              </w:rPr>
              <w:t>iA</w:t>
            </w:r>
            <w:proofErr w:type="spellEnd"/>
            <w:r w:rsidR="007B4B0B" w:rsidRPr="00A23C3C">
              <w:rPr>
                <w:rFonts w:eastAsia="Times New Roman"/>
                <w:sz w:val="16"/>
                <w:szCs w:val="16"/>
                <w:lang w:val="en-AU"/>
              </w:rPr>
              <w:t>, A</w:t>
            </w:r>
            <w:r w:rsidR="007B4B0B">
              <w:rPr>
                <w:rFonts w:eastAsia="Times New Roman"/>
                <w:sz w:val="16"/>
                <w:szCs w:val="16"/>
                <w:lang w:val="en-AU"/>
              </w:rPr>
              <w:t xml:space="preserve">IP, </w:t>
            </w:r>
            <w:proofErr w:type="gramStart"/>
            <w:r w:rsidR="007B4B0B">
              <w:rPr>
                <w:rFonts w:eastAsia="Times New Roman"/>
                <w:sz w:val="16"/>
                <w:szCs w:val="16"/>
                <w:lang w:val="en-AU"/>
              </w:rPr>
              <w:t>AACT</w:t>
            </w:r>
            <w:proofErr w:type="gramEnd"/>
            <w:r w:rsidR="007B4B0B">
              <w:rPr>
                <w:rFonts w:eastAsia="Times New Roman"/>
                <w:sz w:val="16"/>
                <w:szCs w:val="16"/>
                <w:lang w:val="en-AU"/>
              </w:rPr>
              <w:t xml:space="preserve">) cooperated on </w:t>
            </w:r>
            <w:r w:rsidR="007B4B0B" w:rsidRPr="00A23C3C">
              <w:rPr>
                <w:rFonts w:eastAsia="Times New Roman"/>
                <w:sz w:val="16"/>
                <w:szCs w:val="16"/>
                <w:lang w:val="en-AU"/>
              </w:rPr>
              <w:t xml:space="preserve">labour inspectors </w:t>
            </w:r>
            <w:r w:rsidR="007B4B0B">
              <w:rPr>
                <w:rFonts w:eastAsia="Times New Roman"/>
                <w:sz w:val="16"/>
                <w:szCs w:val="16"/>
                <w:lang w:val="en-AU"/>
              </w:rPr>
              <w:t xml:space="preserve">workshop. </w:t>
            </w:r>
            <w:proofErr w:type="spellStart"/>
            <w:r w:rsidR="00D32148">
              <w:rPr>
                <w:rFonts w:eastAsia="Times New Roman"/>
                <w:sz w:val="16"/>
                <w:szCs w:val="16"/>
                <w:lang w:val="en-AU"/>
              </w:rPr>
              <w:t>DRiA</w:t>
            </w:r>
            <w:proofErr w:type="spellEnd"/>
            <w:r>
              <w:rPr>
                <w:rFonts w:eastAsia="Times New Roman"/>
                <w:sz w:val="16"/>
                <w:szCs w:val="16"/>
                <w:lang w:val="en-AU"/>
              </w:rPr>
              <w:t xml:space="preserve"> partner</w:t>
            </w:r>
            <w:r w:rsidR="007B4B0B" w:rsidRPr="00DB3E79">
              <w:rPr>
                <w:rFonts w:eastAsia="Times New Roman"/>
                <w:sz w:val="16"/>
                <w:szCs w:val="16"/>
                <w:lang w:val="en-AU"/>
              </w:rPr>
              <w:t xml:space="preserve"> support</w:t>
            </w:r>
            <w:r>
              <w:rPr>
                <w:rFonts w:eastAsia="Times New Roman"/>
                <w:sz w:val="16"/>
                <w:szCs w:val="16"/>
                <w:lang w:val="en-AU"/>
              </w:rPr>
              <w:t>s</w:t>
            </w:r>
            <w:r w:rsidR="007B4B0B" w:rsidRPr="00DB3E79">
              <w:rPr>
                <w:rFonts w:eastAsia="Times New Roman"/>
                <w:sz w:val="16"/>
                <w:szCs w:val="16"/>
                <w:lang w:val="en-AU"/>
              </w:rPr>
              <w:t xml:space="preserve"> other Mission investments (SHIFT and AADCP II</w:t>
            </w:r>
            <w:r w:rsidR="00703094">
              <w:rPr>
                <w:rFonts w:eastAsia="Times New Roman"/>
                <w:sz w:val="16"/>
                <w:szCs w:val="16"/>
                <w:lang w:val="en-AU"/>
              </w:rPr>
              <w:t>).</w:t>
            </w:r>
          </w:p>
        </w:tc>
      </w:tr>
      <w:tr w:rsidR="007B4B0B" w:rsidRPr="00812509" w14:paraId="1C5C3455" w14:textId="77777777" w:rsidTr="00D8749D">
        <w:trPr>
          <w:cnfStyle w:val="000000010000" w:firstRow="0" w:lastRow="0" w:firstColumn="0" w:lastColumn="0" w:oddVBand="0" w:evenVBand="0" w:oddHBand="0" w:evenHBand="1" w:firstRowFirstColumn="0" w:firstRowLastColumn="0" w:lastRowFirstColumn="0" w:lastRowLastColumn="0"/>
          <w:trHeight w:val="804"/>
        </w:trPr>
        <w:tc>
          <w:tcPr>
            <w:tcW w:w="4211" w:type="dxa"/>
          </w:tcPr>
          <w:p w14:paraId="24080D00" w14:textId="77777777" w:rsidR="007B4B0B" w:rsidRPr="00DB3E79" w:rsidRDefault="007B4B0B" w:rsidP="007B4B0B">
            <w:pPr>
              <w:spacing w:before="0" w:line="160" w:lineRule="atLeast"/>
              <w:rPr>
                <w:rFonts w:eastAsia="Times New Roman"/>
                <w:sz w:val="16"/>
                <w:szCs w:val="16"/>
              </w:rPr>
            </w:pPr>
            <w:r w:rsidRPr="00DB3E79">
              <w:rPr>
                <w:rFonts w:eastAsia="Times New Roman"/>
                <w:sz w:val="16"/>
                <w:szCs w:val="16"/>
              </w:rPr>
              <w:t>Step-up engagement with Mekong governments for greater cooperation and coordination on water management issues</w:t>
            </w:r>
          </w:p>
          <w:p w14:paraId="63E78008" w14:textId="77777777" w:rsidR="007B4B0B" w:rsidRPr="00DB3E79" w:rsidRDefault="007B4B0B" w:rsidP="007B4B0B">
            <w:pPr>
              <w:spacing w:after="120" w:line="160" w:lineRule="atLeast"/>
              <w:ind w:right="130"/>
              <w:contextualSpacing/>
              <w:rPr>
                <w:rFonts w:eastAsia="Times New Roman"/>
                <w:sz w:val="16"/>
                <w:szCs w:val="16"/>
              </w:rPr>
            </w:pPr>
          </w:p>
        </w:tc>
        <w:tc>
          <w:tcPr>
            <w:tcW w:w="1106" w:type="dxa"/>
            <w:shd w:val="clear" w:color="auto" w:fill="72AF2F"/>
          </w:tcPr>
          <w:p w14:paraId="4327943D" w14:textId="77777777" w:rsidR="007B4B0B" w:rsidRPr="00C74E9D" w:rsidRDefault="007B4B0B" w:rsidP="007B4B0B">
            <w:pPr>
              <w:keepLines/>
              <w:spacing w:before="40" w:after="40" w:line="160" w:lineRule="atLeast"/>
              <w:jc w:val="center"/>
              <w:rPr>
                <w:rFonts w:eastAsia="Times New Roman"/>
                <w:iCs/>
                <w:color w:val="FFFFFF" w:themeColor="background1"/>
                <w:sz w:val="16"/>
                <w:szCs w:val="16"/>
              </w:rPr>
            </w:pPr>
            <w:r w:rsidRPr="00C74E9D">
              <w:rPr>
                <w:rFonts w:eastAsia="Times New Roman"/>
                <w:iCs/>
                <w:color w:val="FFFFFF" w:themeColor="background1"/>
                <w:sz w:val="16"/>
                <w:szCs w:val="16"/>
              </w:rPr>
              <w:t>Achieved</w:t>
            </w:r>
          </w:p>
        </w:tc>
        <w:tc>
          <w:tcPr>
            <w:tcW w:w="4633" w:type="dxa"/>
          </w:tcPr>
          <w:p w14:paraId="593D3662" w14:textId="22C381D4" w:rsidR="007B4B0B" w:rsidRPr="007B35D7" w:rsidRDefault="007B4B0B" w:rsidP="007B35D7">
            <w:pPr>
              <w:spacing w:before="0" w:line="160" w:lineRule="atLeast"/>
              <w:rPr>
                <w:rFonts w:eastAsia="Times New Roman"/>
                <w:sz w:val="16"/>
                <w:szCs w:val="16"/>
              </w:rPr>
            </w:pPr>
            <w:proofErr w:type="gramStart"/>
            <w:r>
              <w:rPr>
                <w:rFonts w:eastAsia="Times New Roman"/>
                <w:sz w:val="16"/>
                <w:szCs w:val="16"/>
              </w:rPr>
              <w:t xml:space="preserve">Program </w:t>
            </w:r>
            <w:r w:rsidRPr="00DB3E79">
              <w:rPr>
                <w:rFonts w:eastAsia="Times New Roman"/>
                <w:sz w:val="16"/>
                <w:szCs w:val="16"/>
              </w:rPr>
              <w:t>successfully work</w:t>
            </w:r>
            <w:r>
              <w:rPr>
                <w:rFonts w:eastAsia="Times New Roman"/>
                <w:sz w:val="16"/>
                <w:szCs w:val="16"/>
              </w:rPr>
              <w:t>s</w:t>
            </w:r>
            <w:r w:rsidRPr="00DB3E79">
              <w:rPr>
                <w:rFonts w:eastAsia="Times New Roman"/>
                <w:sz w:val="16"/>
                <w:szCs w:val="16"/>
              </w:rPr>
              <w:t xml:space="preserve"> with all Mekong Governments:</w:t>
            </w:r>
            <w:r w:rsidR="007B35D7">
              <w:rPr>
                <w:rFonts w:eastAsia="Times New Roman"/>
                <w:sz w:val="16"/>
                <w:szCs w:val="16"/>
              </w:rPr>
              <w:t xml:space="preserve"> 1)</w:t>
            </w:r>
            <w:r w:rsidRPr="007B35D7">
              <w:rPr>
                <w:rFonts w:eastAsia="Times New Roman"/>
                <w:sz w:val="16"/>
                <w:szCs w:val="16"/>
              </w:rPr>
              <w:t xml:space="preserve"> new MOU with Myanmar, </w:t>
            </w:r>
            <w:r w:rsidR="007B35D7">
              <w:rPr>
                <w:rFonts w:eastAsia="Times New Roman"/>
                <w:sz w:val="16"/>
                <w:szCs w:val="16"/>
              </w:rPr>
              <w:t>focusing</w:t>
            </w:r>
            <w:r w:rsidRPr="007B35D7">
              <w:rPr>
                <w:rFonts w:eastAsia="Times New Roman"/>
                <w:sz w:val="16"/>
                <w:szCs w:val="16"/>
              </w:rPr>
              <w:t xml:space="preserve"> on river basin management and young water professionals;</w:t>
            </w:r>
            <w:r w:rsidR="007B35D7">
              <w:rPr>
                <w:rFonts w:eastAsia="Times New Roman"/>
                <w:sz w:val="16"/>
                <w:szCs w:val="16"/>
              </w:rPr>
              <w:t xml:space="preserve"> 2) </w:t>
            </w:r>
            <w:r w:rsidRPr="007B35D7">
              <w:rPr>
                <w:rFonts w:eastAsia="Times New Roman"/>
                <w:sz w:val="16"/>
                <w:szCs w:val="16"/>
              </w:rPr>
              <w:t>agreement with Thailand and Office of National Water Resources to upscale Australia-Thailand water partnership on water data and water pricing;</w:t>
            </w:r>
            <w:r w:rsidR="007B35D7">
              <w:rPr>
                <w:rFonts w:eastAsia="Times New Roman"/>
                <w:sz w:val="16"/>
                <w:szCs w:val="16"/>
              </w:rPr>
              <w:t xml:space="preserve"> 3) </w:t>
            </w:r>
            <w:r w:rsidRPr="007B35D7">
              <w:rPr>
                <w:rFonts w:eastAsia="Times New Roman"/>
                <w:sz w:val="16"/>
                <w:szCs w:val="16"/>
              </w:rPr>
              <w:t xml:space="preserve">agreement with Vietnam to strengthen water partnership </w:t>
            </w:r>
            <w:r w:rsidR="00096B00" w:rsidRPr="007B35D7">
              <w:rPr>
                <w:rFonts w:eastAsia="Times New Roman"/>
                <w:sz w:val="16"/>
                <w:szCs w:val="16"/>
              </w:rPr>
              <w:t>focusing on</w:t>
            </w:r>
            <w:r w:rsidRPr="007B35D7">
              <w:rPr>
                <w:rFonts w:eastAsia="Times New Roman"/>
                <w:sz w:val="16"/>
                <w:szCs w:val="16"/>
              </w:rPr>
              <w:t xml:space="preserve"> new water charging regime for the irrigation sector; </w:t>
            </w:r>
            <w:r w:rsidR="007B35D7">
              <w:rPr>
                <w:rFonts w:eastAsia="Times New Roman"/>
                <w:sz w:val="16"/>
                <w:szCs w:val="16"/>
              </w:rPr>
              <w:t xml:space="preserve">4) </w:t>
            </w:r>
            <w:r w:rsidRPr="007B35D7">
              <w:rPr>
                <w:rFonts w:eastAsia="Times New Roman"/>
                <w:sz w:val="16"/>
                <w:szCs w:val="16"/>
              </w:rPr>
              <w:t xml:space="preserve">strong relations with Laos on water resources </w:t>
            </w:r>
            <w:r w:rsidR="001E3F93" w:rsidRPr="007B35D7">
              <w:rPr>
                <w:rFonts w:eastAsia="Times New Roman"/>
                <w:sz w:val="16"/>
                <w:szCs w:val="16"/>
              </w:rPr>
              <w:t>management and dam safety</w:t>
            </w:r>
            <w:r w:rsidRPr="007B35D7">
              <w:rPr>
                <w:rFonts w:eastAsia="Times New Roman"/>
                <w:sz w:val="16"/>
                <w:szCs w:val="16"/>
              </w:rPr>
              <w:t xml:space="preserve">; </w:t>
            </w:r>
            <w:r w:rsidR="007B35D7">
              <w:rPr>
                <w:rFonts w:eastAsia="Times New Roman"/>
                <w:sz w:val="16"/>
                <w:szCs w:val="16"/>
              </w:rPr>
              <w:t xml:space="preserve">and 5) </w:t>
            </w:r>
            <w:r w:rsidRPr="007B35D7">
              <w:rPr>
                <w:rFonts w:eastAsia="Times New Roman"/>
                <w:sz w:val="16"/>
                <w:szCs w:val="16"/>
              </w:rPr>
              <w:t>new Australia Mekong Water Facility</w:t>
            </w:r>
            <w:r w:rsidR="001E3F93" w:rsidRPr="007B35D7">
              <w:rPr>
                <w:rFonts w:eastAsia="Times New Roman"/>
                <w:sz w:val="16"/>
                <w:szCs w:val="16"/>
              </w:rPr>
              <w:t xml:space="preserve"> set up</w:t>
            </w:r>
            <w:r w:rsidRPr="007B35D7">
              <w:rPr>
                <w:rFonts w:eastAsia="Times New Roman"/>
                <w:sz w:val="16"/>
                <w:szCs w:val="16"/>
              </w:rPr>
              <w:t xml:space="preserve"> to </w:t>
            </w:r>
            <w:r w:rsidR="001E3F93" w:rsidRPr="007B35D7">
              <w:rPr>
                <w:rFonts w:eastAsia="Times New Roman"/>
                <w:sz w:val="16"/>
                <w:szCs w:val="16"/>
              </w:rPr>
              <w:t>facilitate</w:t>
            </w:r>
            <w:r w:rsidRPr="007B35D7">
              <w:rPr>
                <w:rFonts w:eastAsia="Times New Roman"/>
                <w:sz w:val="16"/>
                <w:szCs w:val="16"/>
              </w:rPr>
              <w:t xml:space="preserve"> mobilisation of Australian expertise.</w:t>
            </w:r>
            <w:proofErr w:type="gramEnd"/>
          </w:p>
        </w:tc>
      </w:tr>
      <w:tr w:rsidR="007B4B0B" w:rsidRPr="00812509" w14:paraId="70266886" w14:textId="77777777" w:rsidTr="00D8749D">
        <w:trPr>
          <w:cnfStyle w:val="000000010000" w:firstRow="0" w:lastRow="0" w:firstColumn="0" w:lastColumn="0" w:oddVBand="0" w:evenVBand="0" w:oddHBand="0" w:evenHBand="1" w:firstRowFirstColumn="0" w:firstRowLastColumn="0" w:lastRowFirstColumn="0" w:lastRowLastColumn="0"/>
          <w:trHeight w:val="578"/>
        </w:trPr>
        <w:tc>
          <w:tcPr>
            <w:tcW w:w="4211" w:type="dxa"/>
          </w:tcPr>
          <w:p w14:paraId="1850557B" w14:textId="77777777" w:rsidR="007B4B0B" w:rsidRPr="00DB3E79" w:rsidRDefault="007B4B0B" w:rsidP="007B4B0B">
            <w:pPr>
              <w:spacing w:before="0" w:after="0" w:line="160" w:lineRule="atLeast"/>
              <w:rPr>
                <w:rFonts w:eastAsia="Times New Roman"/>
                <w:sz w:val="16"/>
                <w:szCs w:val="16"/>
              </w:rPr>
            </w:pPr>
            <w:r w:rsidRPr="00DB3E79">
              <w:rPr>
                <w:rFonts w:eastAsia="Times New Roman"/>
                <w:sz w:val="16"/>
                <w:szCs w:val="16"/>
              </w:rPr>
              <w:t>Develop a high quality and strategic next phase of engagement for Australia in Mekong water governance that will identify key actors and factors of change.</w:t>
            </w:r>
          </w:p>
          <w:p w14:paraId="5CEC16CA" w14:textId="77777777" w:rsidR="007B4B0B" w:rsidRPr="00DB3E79" w:rsidRDefault="007B4B0B" w:rsidP="007B4B0B">
            <w:pPr>
              <w:spacing w:after="120" w:line="160" w:lineRule="atLeast"/>
              <w:ind w:right="130"/>
              <w:contextualSpacing/>
              <w:rPr>
                <w:rFonts w:eastAsia="Times New Roman"/>
                <w:sz w:val="16"/>
                <w:szCs w:val="16"/>
              </w:rPr>
            </w:pPr>
          </w:p>
        </w:tc>
        <w:tc>
          <w:tcPr>
            <w:tcW w:w="1106" w:type="dxa"/>
            <w:shd w:val="clear" w:color="auto" w:fill="72AF2F"/>
          </w:tcPr>
          <w:p w14:paraId="68332BAE" w14:textId="77777777" w:rsidR="007B4B0B" w:rsidRPr="00C74E9D" w:rsidRDefault="007B4B0B" w:rsidP="007B4B0B">
            <w:pPr>
              <w:keepLines/>
              <w:spacing w:before="40" w:after="40" w:line="160" w:lineRule="atLeast"/>
              <w:jc w:val="center"/>
              <w:rPr>
                <w:rFonts w:eastAsia="Times New Roman"/>
                <w:iCs/>
                <w:color w:val="FFFFFF" w:themeColor="background1"/>
                <w:sz w:val="16"/>
                <w:szCs w:val="16"/>
              </w:rPr>
            </w:pPr>
            <w:r w:rsidRPr="00C74E9D">
              <w:rPr>
                <w:rFonts w:eastAsia="Times New Roman"/>
                <w:iCs/>
                <w:color w:val="FFFFFF" w:themeColor="background1"/>
                <w:sz w:val="16"/>
                <w:szCs w:val="16"/>
              </w:rPr>
              <w:t>Achieved</w:t>
            </w:r>
          </w:p>
        </w:tc>
        <w:tc>
          <w:tcPr>
            <w:tcW w:w="4633" w:type="dxa"/>
          </w:tcPr>
          <w:p w14:paraId="0E1FAC6C" w14:textId="686DD1F4" w:rsidR="007B4B0B" w:rsidRPr="00DB3E79" w:rsidRDefault="001E3F93" w:rsidP="007B4B0B">
            <w:pPr>
              <w:spacing w:before="0" w:after="0" w:line="160" w:lineRule="atLeast"/>
              <w:rPr>
                <w:rFonts w:eastAsia="Times New Roman"/>
                <w:sz w:val="16"/>
                <w:szCs w:val="16"/>
              </w:rPr>
            </w:pPr>
            <w:r>
              <w:rPr>
                <w:rFonts w:eastAsia="Times New Roman"/>
                <w:sz w:val="16"/>
                <w:szCs w:val="16"/>
              </w:rPr>
              <w:t>New Strategic Direction set for the next phase of the GMWRP after consultation</w:t>
            </w:r>
            <w:r w:rsidR="007B4B0B" w:rsidRPr="00DB3E79">
              <w:rPr>
                <w:rFonts w:eastAsia="Times New Roman"/>
                <w:sz w:val="16"/>
                <w:szCs w:val="16"/>
              </w:rPr>
              <w:t xml:space="preserve"> with all Mekong Posts</w:t>
            </w:r>
            <w:r>
              <w:rPr>
                <w:rFonts w:eastAsia="Times New Roman"/>
                <w:sz w:val="16"/>
                <w:szCs w:val="16"/>
              </w:rPr>
              <w:t xml:space="preserve"> and Canberra</w:t>
            </w:r>
            <w:r w:rsidR="007B4B0B" w:rsidRPr="00DB3E79">
              <w:rPr>
                <w:rFonts w:eastAsia="Times New Roman"/>
                <w:sz w:val="16"/>
                <w:szCs w:val="16"/>
              </w:rPr>
              <w:t xml:space="preserve">. Prime Minister </w:t>
            </w:r>
            <w:r w:rsidR="007B4B0B">
              <w:rPr>
                <w:rFonts w:eastAsia="Times New Roman"/>
                <w:sz w:val="16"/>
                <w:szCs w:val="16"/>
              </w:rPr>
              <w:t xml:space="preserve">announced </w:t>
            </w:r>
            <w:r w:rsidR="007B4B0B" w:rsidRPr="00DB3E79">
              <w:rPr>
                <w:rFonts w:eastAsia="Times New Roman"/>
                <w:sz w:val="16"/>
                <w:szCs w:val="16"/>
              </w:rPr>
              <w:t>new 5-year phase of Water Program</w:t>
            </w:r>
            <w:r w:rsidR="007B4B0B">
              <w:rPr>
                <w:rFonts w:eastAsia="Times New Roman"/>
                <w:sz w:val="16"/>
                <w:szCs w:val="16"/>
              </w:rPr>
              <w:t xml:space="preserve"> at EAS</w:t>
            </w:r>
            <w:r w:rsidR="007B4B0B" w:rsidRPr="00DB3E79">
              <w:rPr>
                <w:rFonts w:eastAsia="Times New Roman"/>
                <w:sz w:val="16"/>
                <w:szCs w:val="16"/>
              </w:rPr>
              <w:t>.</w:t>
            </w:r>
            <w:r w:rsidR="007B4B0B">
              <w:rPr>
                <w:rFonts w:eastAsia="Times New Roman"/>
                <w:sz w:val="16"/>
                <w:szCs w:val="16"/>
              </w:rPr>
              <w:t xml:space="preserve"> Initial scoping complete.</w:t>
            </w:r>
            <w:r>
              <w:rPr>
                <w:rFonts w:eastAsia="Times New Roman"/>
                <w:sz w:val="16"/>
                <w:szCs w:val="16"/>
              </w:rPr>
              <w:t xml:space="preserve"> New Program Framework to replace 2014-19 Sector Investment Plan </w:t>
            </w:r>
            <w:proofErr w:type="gramStart"/>
            <w:r>
              <w:rPr>
                <w:rFonts w:eastAsia="Times New Roman"/>
                <w:sz w:val="16"/>
                <w:szCs w:val="16"/>
              </w:rPr>
              <w:t>being prepared</w:t>
            </w:r>
            <w:proofErr w:type="gramEnd"/>
            <w:r>
              <w:rPr>
                <w:rFonts w:eastAsia="Times New Roman"/>
                <w:sz w:val="16"/>
                <w:szCs w:val="16"/>
              </w:rPr>
              <w:t>.</w:t>
            </w:r>
          </w:p>
        </w:tc>
      </w:tr>
      <w:tr w:rsidR="007B4B0B" w:rsidRPr="00812509" w14:paraId="34177A84" w14:textId="77777777" w:rsidTr="007B35D7">
        <w:trPr>
          <w:cnfStyle w:val="000000010000" w:firstRow="0" w:lastRow="0" w:firstColumn="0" w:lastColumn="0" w:oddVBand="0" w:evenVBand="0" w:oddHBand="0" w:evenHBand="1" w:firstRowFirstColumn="0" w:firstRowLastColumn="0" w:lastRowFirstColumn="0" w:lastRowLastColumn="0"/>
          <w:trHeight w:val="749"/>
        </w:trPr>
        <w:tc>
          <w:tcPr>
            <w:tcW w:w="4211" w:type="dxa"/>
          </w:tcPr>
          <w:p w14:paraId="0C84CCDA" w14:textId="77777777" w:rsidR="007B4B0B" w:rsidRPr="00C74E9D" w:rsidRDefault="007B4B0B" w:rsidP="007B4B0B">
            <w:pPr>
              <w:spacing w:after="120" w:line="160" w:lineRule="atLeast"/>
              <w:ind w:right="130"/>
              <w:contextualSpacing/>
              <w:rPr>
                <w:rFonts w:eastAsia="Times New Roman"/>
                <w:sz w:val="16"/>
                <w:szCs w:val="16"/>
              </w:rPr>
            </w:pPr>
            <w:r w:rsidRPr="00DB3E79">
              <w:rPr>
                <w:rFonts w:eastAsia="Times New Roman"/>
                <w:sz w:val="16"/>
                <w:szCs w:val="16"/>
              </w:rPr>
              <w:t>Continue to use the Quality Investment Support Service to improve design, monitoring, evaluation and reporting that aligns with DFAT quality standards and policies on gender and inclusion</w:t>
            </w:r>
            <w:r>
              <w:rPr>
                <w:rFonts w:eastAsia="Times New Roman"/>
                <w:sz w:val="16"/>
                <w:szCs w:val="16"/>
              </w:rPr>
              <w:t>.</w:t>
            </w:r>
          </w:p>
        </w:tc>
        <w:tc>
          <w:tcPr>
            <w:tcW w:w="1106" w:type="dxa"/>
            <w:shd w:val="clear" w:color="auto" w:fill="72AF2F"/>
          </w:tcPr>
          <w:p w14:paraId="5DB37786" w14:textId="77777777" w:rsidR="007B4B0B" w:rsidRPr="00C74E9D" w:rsidRDefault="007B4B0B" w:rsidP="007B4B0B">
            <w:pPr>
              <w:keepLines/>
              <w:spacing w:before="40" w:after="40" w:line="160" w:lineRule="atLeast"/>
              <w:jc w:val="center"/>
              <w:rPr>
                <w:rFonts w:eastAsia="Times New Roman"/>
                <w:iCs/>
                <w:color w:val="FFFFFF" w:themeColor="background1"/>
                <w:sz w:val="16"/>
                <w:szCs w:val="16"/>
              </w:rPr>
            </w:pPr>
            <w:r w:rsidRPr="00C74E9D">
              <w:rPr>
                <w:rFonts w:eastAsia="Times New Roman"/>
                <w:iCs/>
                <w:color w:val="FFFFFF" w:themeColor="background1"/>
                <w:sz w:val="16"/>
                <w:szCs w:val="16"/>
              </w:rPr>
              <w:t>Achieved</w:t>
            </w:r>
          </w:p>
        </w:tc>
        <w:tc>
          <w:tcPr>
            <w:tcW w:w="4633" w:type="dxa"/>
          </w:tcPr>
          <w:p w14:paraId="48FD2F96" w14:textId="49F832A1" w:rsidR="007B4B0B" w:rsidRPr="00DB3E79" w:rsidRDefault="007B4B0B" w:rsidP="007B4B0B">
            <w:pPr>
              <w:keepLines/>
              <w:spacing w:before="0" w:after="40" w:line="160" w:lineRule="atLeast"/>
              <w:rPr>
                <w:rFonts w:eastAsia="Times New Roman"/>
                <w:sz w:val="16"/>
                <w:szCs w:val="16"/>
              </w:rPr>
            </w:pPr>
            <w:r w:rsidRPr="00DB3E79">
              <w:rPr>
                <w:rFonts w:eastAsia="Times New Roman"/>
                <w:sz w:val="16"/>
                <w:szCs w:val="16"/>
              </w:rPr>
              <w:t>Program continu</w:t>
            </w:r>
            <w:r>
              <w:rPr>
                <w:rFonts w:eastAsia="Times New Roman"/>
                <w:sz w:val="16"/>
                <w:szCs w:val="16"/>
              </w:rPr>
              <w:t>es</w:t>
            </w:r>
            <w:r w:rsidR="000D603E">
              <w:rPr>
                <w:rFonts w:eastAsia="Times New Roman"/>
                <w:sz w:val="16"/>
                <w:szCs w:val="16"/>
              </w:rPr>
              <w:t xml:space="preserve"> to draw on QISS to</w:t>
            </w:r>
            <w:r w:rsidRPr="00DB3E79">
              <w:rPr>
                <w:rFonts w:eastAsia="Times New Roman"/>
                <w:sz w:val="16"/>
                <w:szCs w:val="16"/>
              </w:rPr>
              <w:t xml:space="preserve"> improve design, M&amp;E, and reporting</w:t>
            </w:r>
            <w:r>
              <w:rPr>
                <w:rFonts w:eastAsia="Times New Roman"/>
                <w:sz w:val="16"/>
                <w:szCs w:val="16"/>
              </w:rPr>
              <w:t xml:space="preserve"> and </w:t>
            </w:r>
            <w:r w:rsidRPr="00DB3E79">
              <w:rPr>
                <w:rFonts w:eastAsia="Times New Roman"/>
                <w:sz w:val="16"/>
                <w:szCs w:val="16"/>
              </w:rPr>
              <w:t>support with AQCs, FAQC and APPR reporting against performance benchmarks.</w:t>
            </w:r>
          </w:p>
        </w:tc>
      </w:tr>
      <w:tr w:rsidR="007B4B0B" w:rsidRPr="00812509" w14:paraId="7DF1F2BE" w14:textId="77777777" w:rsidTr="007B35D7">
        <w:trPr>
          <w:cnfStyle w:val="000000010000" w:firstRow="0" w:lastRow="0" w:firstColumn="0" w:lastColumn="0" w:oddVBand="0" w:evenVBand="0" w:oddHBand="0" w:evenHBand="1" w:firstRowFirstColumn="0" w:firstRowLastColumn="0" w:lastRowFirstColumn="0" w:lastRowLastColumn="0"/>
          <w:trHeight w:val="547"/>
        </w:trPr>
        <w:tc>
          <w:tcPr>
            <w:tcW w:w="4211" w:type="dxa"/>
          </w:tcPr>
          <w:p w14:paraId="03C3D873" w14:textId="77777777" w:rsidR="007B4B0B" w:rsidRPr="00DB3E79" w:rsidRDefault="007B4B0B" w:rsidP="007B4B0B">
            <w:pPr>
              <w:spacing w:after="120" w:line="160" w:lineRule="atLeast"/>
              <w:ind w:right="130"/>
              <w:contextualSpacing/>
              <w:rPr>
                <w:rFonts w:eastAsia="Times New Roman"/>
                <w:sz w:val="16"/>
                <w:szCs w:val="16"/>
              </w:rPr>
            </w:pPr>
            <w:r w:rsidRPr="00DB3E79">
              <w:rPr>
                <w:rFonts w:eastAsia="Times New Roman"/>
                <w:sz w:val="16"/>
                <w:szCs w:val="16"/>
              </w:rPr>
              <w:t>Actively monitor implementation of all evaluation recommendations and incorporate them into new designs and plans where appropriate.</w:t>
            </w:r>
          </w:p>
          <w:p w14:paraId="0B5353A0" w14:textId="77777777" w:rsidR="007B4B0B" w:rsidRPr="00DB3E79" w:rsidRDefault="007B4B0B" w:rsidP="007B4B0B">
            <w:pPr>
              <w:spacing w:after="120" w:line="160" w:lineRule="atLeast"/>
              <w:ind w:right="130"/>
              <w:contextualSpacing/>
              <w:rPr>
                <w:rFonts w:eastAsia="Times New Roman"/>
                <w:sz w:val="16"/>
                <w:szCs w:val="16"/>
              </w:rPr>
            </w:pPr>
          </w:p>
        </w:tc>
        <w:tc>
          <w:tcPr>
            <w:tcW w:w="1106" w:type="dxa"/>
            <w:shd w:val="clear" w:color="auto" w:fill="72AF2F"/>
          </w:tcPr>
          <w:p w14:paraId="16BBDC2C" w14:textId="77777777" w:rsidR="007B4B0B" w:rsidRPr="00C74E9D" w:rsidRDefault="007B4B0B" w:rsidP="007B4B0B">
            <w:pPr>
              <w:keepLines/>
              <w:spacing w:before="40" w:after="40" w:line="160" w:lineRule="atLeast"/>
              <w:jc w:val="center"/>
              <w:rPr>
                <w:rFonts w:eastAsia="Times New Roman"/>
                <w:iCs/>
                <w:color w:val="FFFFFF" w:themeColor="background1"/>
                <w:sz w:val="16"/>
                <w:szCs w:val="16"/>
              </w:rPr>
            </w:pPr>
            <w:r w:rsidRPr="00C74E9D">
              <w:rPr>
                <w:rFonts w:eastAsia="Times New Roman"/>
                <w:iCs/>
                <w:color w:val="FFFFFF" w:themeColor="background1"/>
                <w:sz w:val="16"/>
                <w:szCs w:val="16"/>
              </w:rPr>
              <w:t>Achieved</w:t>
            </w:r>
          </w:p>
        </w:tc>
        <w:tc>
          <w:tcPr>
            <w:tcW w:w="4633" w:type="dxa"/>
          </w:tcPr>
          <w:p w14:paraId="3FFA3C8E" w14:textId="7EE42CCE" w:rsidR="007B4B0B" w:rsidRPr="00DB3E79" w:rsidRDefault="007B4B0B" w:rsidP="004117B0">
            <w:pPr>
              <w:keepLines/>
              <w:spacing w:before="0" w:after="40" w:line="160" w:lineRule="atLeast"/>
              <w:rPr>
                <w:rFonts w:eastAsia="Times New Roman"/>
                <w:sz w:val="16"/>
                <w:szCs w:val="16"/>
              </w:rPr>
            </w:pPr>
            <w:r w:rsidRPr="00DB3E79">
              <w:rPr>
                <w:rFonts w:eastAsia="Times New Roman"/>
                <w:sz w:val="16"/>
                <w:szCs w:val="16"/>
              </w:rPr>
              <w:t xml:space="preserve">Program </w:t>
            </w:r>
            <w:r w:rsidR="004117B0">
              <w:rPr>
                <w:rFonts w:eastAsia="Times New Roman"/>
                <w:sz w:val="16"/>
                <w:szCs w:val="16"/>
              </w:rPr>
              <w:t xml:space="preserve">managers routinely </w:t>
            </w:r>
            <w:r w:rsidRPr="00DB3E79">
              <w:rPr>
                <w:rFonts w:eastAsia="Times New Roman"/>
                <w:sz w:val="16"/>
                <w:szCs w:val="16"/>
              </w:rPr>
              <w:t>monitor evaluation recommendations</w:t>
            </w:r>
            <w:r w:rsidRPr="009A29C6">
              <w:rPr>
                <w:rFonts w:eastAsia="Times New Roman"/>
                <w:sz w:val="16"/>
                <w:szCs w:val="16"/>
              </w:rPr>
              <w:t xml:space="preserve"> to ensure </w:t>
            </w:r>
            <w:r>
              <w:rPr>
                <w:rFonts w:eastAsia="Times New Roman"/>
                <w:sz w:val="16"/>
                <w:szCs w:val="16"/>
              </w:rPr>
              <w:t>continual improvement</w:t>
            </w:r>
            <w:r w:rsidRPr="00DB3E79">
              <w:rPr>
                <w:rFonts w:eastAsia="Times New Roman"/>
                <w:sz w:val="16"/>
                <w:szCs w:val="16"/>
              </w:rPr>
              <w:t xml:space="preserve">. For example, the new AACT design </w:t>
            </w:r>
            <w:r>
              <w:rPr>
                <w:rFonts w:eastAsia="Times New Roman"/>
                <w:sz w:val="16"/>
                <w:szCs w:val="16"/>
              </w:rPr>
              <w:t xml:space="preserve">adopts </w:t>
            </w:r>
            <w:r w:rsidRPr="00DB3E79">
              <w:rPr>
                <w:rFonts w:eastAsia="Times New Roman"/>
                <w:sz w:val="16"/>
                <w:szCs w:val="16"/>
              </w:rPr>
              <w:t xml:space="preserve">recommendations from the AAPTIP MTR. </w:t>
            </w:r>
          </w:p>
        </w:tc>
      </w:tr>
      <w:tr w:rsidR="007B4B0B" w:rsidRPr="00812509" w14:paraId="2A6024C7" w14:textId="77777777" w:rsidTr="00D8749D">
        <w:trPr>
          <w:cnfStyle w:val="000000010000" w:firstRow="0" w:lastRow="0" w:firstColumn="0" w:lastColumn="0" w:oddVBand="0" w:evenVBand="0" w:oddHBand="0" w:evenHBand="1" w:firstRowFirstColumn="0" w:firstRowLastColumn="0" w:lastRowFirstColumn="0" w:lastRowLastColumn="0"/>
        </w:trPr>
        <w:tc>
          <w:tcPr>
            <w:tcW w:w="4211" w:type="dxa"/>
          </w:tcPr>
          <w:p w14:paraId="45FA5716" w14:textId="77777777" w:rsidR="007B4B0B" w:rsidRPr="00DB3E79" w:rsidRDefault="007B4B0B" w:rsidP="007B4B0B">
            <w:pPr>
              <w:spacing w:after="120" w:line="160" w:lineRule="atLeast"/>
              <w:ind w:right="130"/>
              <w:contextualSpacing/>
              <w:rPr>
                <w:rFonts w:eastAsia="Times New Roman"/>
                <w:sz w:val="16"/>
                <w:szCs w:val="16"/>
              </w:rPr>
            </w:pPr>
            <w:r w:rsidRPr="00DB3E79">
              <w:rPr>
                <w:rFonts w:eastAsia="Times New Roman"/>
                <w:sz w:val="16"/>
                <w:szCs w:val="16"/>
              </w:rPr>
              <w:t>Continue to ensure that investments are flexible, adaptive and fit for diverse operating contexts and are also strategically coherent and able to influence regional level outcomes</w:t>
            </w:r>
          </w:p>
        </w:tc>
        <w:tc>
          <w:tcPr>
            <w:tcW w:w="1106" w:type="dxa"/>
            <w:shd w:val="clear" w:color="auto" w:fill="72AF2F"/>
          </w:tcPr>
          <w:p w14:paraId="2FEBCEC5" w14:textId="77777777" w:rsidR="007B4B0B" w:rsidRPr="00C74E9D" w:rsidRDefault="007B4B0B" w:rsidP="007B4B0B">
            <w:pPr>
              <w:keepLines/>
              <w:spacing w:before="40" w:after="40" w:line="160" w:lineRule="atLeast"/>
              <w:jc w:val="center"/>
              <w:rPr>
                <w:rFonts w:eastAsia="Times New Roman"/>
                <w:iCs/>
                <w:color w:val="FFFFFF" w:themeColor="background1"/>
                <w:sz w:val="16"/>
                <w:szCs w:val="16"/>
              </w:rPr>
            </w:pPr>
            <w:r w:rsidRPr="00C74E9D">
              <w:rPr>
                <w:rFonts w:eastAsia="Times New Roman"/>
                <w:iCs/>
                <w:color w:val="FFFFFF" w:themeColor="background1"/>
                <w:sz w:val="16"/>
                <w:szCs w:val="16"/>
              </w:rPr>
              <w:t>Achieved</w:t>
            </w:r>
          </w:p>
        </w:tc>
        <w:tc>
          <w:tcPr>
            <w:tcW w:w="4633" w:type="dxa"/>
          </w:tcPr>
          <w:p w14:paraId="04682500" w14:textId="77777777" w:rsidR="007B4B0B" w:rsidRPr="00DB3E79" w:rsidRDefault="007B4B0B" w:rsidP="007B4B0B">
            <w:pPr>
              <w:keepLines/>
              <w:spacing w:before="40" w:after="40" w:line="160" w:lineRule="atLeast"/>
              <w:rPr>
                <w:rFonts w:eastAsia="Times New Roman"/>
                <w:sz w:val="16"/>
                <w:szCs w:val="16"/>
              </w:rPr>
            </w:pPr>
            <w:r w:rsidRPr="00DB3E79">
              <w:rPr>
                <w:rFonts w:eastAsia="Times New Roman"/>
                <w:sz w:val="16"/>
                <w:szCs w:val="16"/>
              </w:rPr>
              <w:t xml:space="preserve">Program </w:t>
            </w:r>
            <w:r>
              <w:rPr>
                <w:rFonts w:eastAsia="Times New Roman"/>
                <w:sz w:val="16"/>
                <w:szCs w:val="16"/>
              </w:rPr>
              <w:t>works</w:t>
            </w:r>
            <w:r w:rsidRPr="00DB3E79">
              <w:rPr>
                <w:rFonts w:eastAsia="Times New Roman"/>
                <w:sz w:val="16"/>
                <w:szCs w:val="16"/>
              </w:rPr>
              <w:t xml:space="preserve"> with partners to adapt existing investments and new program designs are increasingly flexible and focused on regional level outcomes.</w:t>
            </w:r>
          </w:p>
        </w:tc>
      </w:tr>
      <w:tr w:rsidR="007B4B0B" w:rsidRPr="00812509" w14:paraId="19AC5D94" w14:textId="77777777" w:rsidTr="00D8749D">
        <w:trPr>
          <w:cnfStyle w:val="000000010000" w:firstRow="0" w:lastRow="0" w:firstColumn="0" w:lastColumn="0" w:oddVBand="0" w:evenVBand="0" w:oddHBand="0" w:evenHBand="1" w:firstRowFirstColumn="0" w:firstRowLastColumn="0" w:lastRowFirstColumn="0" w:lastRowLastColumn="0"/>
          <w:trHeight w:val="837"/>
        </w:trPr>
        <w:tc>
          <w:tcPr>
            <w:tcW w:w="4211" w:type="dxa"/>
          </w:tcPr>
          <w:p w14:paraId="456FAD7A" w14:textId="77777777" w:rsidR="007B4B0B" w:rsidRDefault="007B4B0B" w:rsidP="007B4B0B">
            <w:pPr>
              <w:spacing w:after="120" w:line="160" w:lineRule="atLeast"/>
              <w:ind w:right="130"/>
              <w:contextualSpacing/>
              <w:rPr>
                <w:rFonts w:eastAsia="Times New Roman"/>
                <w:sz w:val="16"/>
                <w:szCs w:val="16"/>
              </w:rPr>
            </w:pPr>
          </w:p>
          <w:p w14:paraId="685EEA39" w14:textId="77777777" w:rsidR="007B4B0B" w:rsidRPr="00DB3E79" w:rsidRDefault="007B4B0B" w:rsidP="007B4B0B">
            <w:pPr>
              <w:spacing w:after="120" w:line="160" w:lineRule="atLeast"/>
              <w:ind w:right="130"/>
              <w:contextualSpacing/>
              <w:rPr>
                <w:rFonts w:eastAsia="Times New Roman"/>
                <w:sz w:val="16"/>
                <w:szCs w:val="16"/>
              </w:rPr>
            </w:pPr>
            <w:r w:rsidRPr="00DB3E79">
              <w:rPr>
                <w:rFonts w:eastAsia="Times New Roman"/>
                <w:sz w:val="16"/>
                <w:szCs w:val="16"/>
              </w:rPr>
              <w:t>Actively monitor risks and implementation challenges of investments and incorporate them into new designs and plans where appropriate</w:t>
            </w:r>
          </w:p>
        </w:tc>
        <w:tc>
          <w:tcPr>
            <w:tcW w:w="1106" w:type="dxa"/>
            <w:shd w:val="clear" w:color="auto" w:fill="72AF2F"/>
          </w:tcPr>
          <w:p w14:paraId="1C4C82CC" w14:textId="77777777" w:rsidR="007B4B0B" w:rsidRPr="00C74E9D" w:rsidRDefault="007B4B0B" w:rsidP="007B4B0B">
            <w:pPr>
              <w:keepLines/>
              <w:spacing w:before="40" w:after="40" w:line="160" w:lineRule="atLeast"/>
              <w:jc w:val="center"/>
              <w:rPr>
                <w:rFonts w:eastAsia="Times New Roman"/>
                <w:iCs/>
                <w:color w:val="FFFFFF" w:themeColor="background1"/>
                <w:sz w:val="16"/>
                <w:szCs w:val="16"/>
              </w:rPr>
            </w:pPr>
            <w:r w:rsidRPr="00C74E9D">
              <w:rPr>
                <w:rFonts w:eastAsia="Times New Roman"/>
                <w:iCs/>
                <w:color w:val="FFFFFF" w:themeColor="background1"/>
                <w:sz w:val="16"/>
                <w:szCs w:val="16"/>
              </w:rPr>
              <w:t>Achieved</w:t>
            </w:r>
          </w:p>
        </w:tc>
        <w:tc>
          <w:tcPr>
            <w:tcW w:w="4633" w:type="dxa"/>
          </w:tcPr>
          <w:p w14:paraId="3E4289C7" w14:textId="77777777" w:rsidR="007B4B0B" w:rsidRPr="00DB3E79" w:rsidRDefault="007B4B0B" w:rsidP="007B4B0B">
            <w:pPr>
              <w:keepLines/>
              <w:spacing w:before="0" w:after="0" w:line="160" w:lineRule="atLeast"/>
              <w:rPr>
                <w:rFonts w:eastAsia="Times New Roman"/>
                <w:sz w:val="16"/>
                <w:szCs w:val="16"/>
              </w:rPr>
            </w:pPr>
            <w:r w:rsidRPr="00DB3E79">
              <w:rPr>
                <w:rFonts w:eastAsia="Times New Roman"/>
                <w:sz w:val="16"/>
                <w:szCs w:val="16"/>
              </w:rPr>
              <w:t>A</w:t>
            </w:r>
            <w:r>
              <w:rPr>
                <w:rFonts w:eastAsia="Times New Roman"/>
                <w:sz w:val="16"/>
                <w:szCs w:val="16"/>
              </w:rPr>
              <w:t xml:space="preserve">ll investments maintain and update </w:t>
            </w:r>
            <w:r w:rsidRPr="00DB3E79">
              <w:rPr>
                <w:rFonts w:eastAsia="Times New Roman"/>
                <w:sz w:val="16"/>
                <w:szCs w:val="16"/>
              </w:rPr>
              <w:t>risk register</w:t>
            </w:r>
            <w:r>
              <w:rPr>
                <w:rFonts w:eastAsia="Times New Roman"/>
                <w:sz w:val="16"/>
                <w:szCs w:val="16"/>
              </w:rPr>
              <w:t xml:space="preserve">s </w:t>
            </w:r>
            <w:r w:rsidRPr="00DB3E79">
              <w:rPr>
                <w:rFonts w:eastAsia="Times New Roman"/>
                <w:sz w:val="16"/>
                <w:szCs w:val="16"/>
              </w:rPr>
              <w:t>on a regular basis.</w:t>
            </w:r>
            <w:r w:rsidRPr="00DB3E79">
              <w:rPr>
                <w:rFonts w:eastAsia="Times New Roman"/>
                <w:sz w:val="16"/>
                <w:szCs w:val="16"/>
                <w:lang w:val="en-AU"/>
              </w:rPr>
              <w:t xml:space="preserve"> </w:t>
            </w:r>
            <w:r w:rsidRPr="00DB3E79">
              <w:rPr>
                <w:rFonts w:eastAsia="Times New Roman"/>
                <w:bCs/>
                <w:sz w:val="16"/>
                <w:szCs w:val="16"/>
                <w:lang w:val="en-AU"/>
              </w:rPr>
              <w:t xml:space="preserve">Risks and challenges </w:t>
            </w:r>
            <w:proofErr w:type="gramStart"/>
            <w:r w:rsidRPr="00DB3E79">
              <w:rPr>
                <w:rFonts w:eastAsia="Times New Roman"/>
                <w:bCs/>
                <w:sz w:val="16"/>
                <w:szCs w:val="16"/>
                <w:lang w:val="en-AU"/>
              </w:rPr>
              <w:t>are discussed</w:t>
            </w:r>
            <w:proofErr w:type="gramEnd"/>
            <w:r w:rsidRPr="00DB3E79">
              <w:rPr>
                <w:rFonts w:eastAsia="Times New Roman"/>
                <w:bCs/>
                <w:sz w:val="16"/>
                <w:szCs w:val="16"/>
                <w:lang w:val="en-AU"/>
              </w:rPr>
              <w:t xml:space="preserve"> with partners to ensure effective management and incorporat</w:t>
            </w:r>
            <w:r>
              <w:rPr>
                <w:rFonts w:eastAsia="Times New Roman"/>
                <w:bCs/>
                <w:sz w:val="16"/>
                <w:szCs w:val="16"/>
                <w:lang w:val="en-AU"/>
              </w:rPr>
              <w:t>ion</w:t>
            </w:r>
            <w:r w:rsidRPr="00DB3E79">
              <w:rPr>
                <w:rFonts w:eastAsia="Times New Roman"/>
                <w:bCs/>
                <w:sz w:val="16"/>
                <w:szCs w:val="16"/>
                <w:lang w:val="en-AU"/>
              </w:rPr>
              <w:t xml:space="preserve"> into new activity designs.</w:t>
            </w:r>
            <w:r w:rsidRPr="00DB3E79">
              <w:rPr>
                <w:rFonts w:eastAsia="Times New Roman"/>
                <w:sz w:val="16"/>
                <w:szCs w:val="16"/>
              </w:rPr>
              <w:t xml:space="preserve"> </w:t>
            </w:r>
          </w:p>
        </w:tc>
      </w:tr>
    </w:tbl>
    <w:p w14:paraId="048EB8C8" w14:textId="77777777" w:rsidR="007B4B0B" w:rsidRPr="00C74E9D" w:rsidRDefault="007B4B0B" w:rsidP="007B4B0B">
      <w:pPr>
        <w:spacing w:before="20" w:after="20" w:line="180" w:lineRule="atLeast"/>
        <w:jc w:val="both"/>
        <w:rPr>
          <w:rFonts w:eastAsia="Times New Roman"/>
          <w:b/>
          <w:sz w:val="12"/>
          <w:szCs w:val="12"/>
        </w:rPr>
      </w:pPr>
      <w:r w:rsidRPr="00C74E9D">
        <w:rPr>
          <w:rFonts w:eastAsia="Times New Roman"/>
          <w:b/>
          <w:sz w:val="12"/>
          <w:szCs w:val="12"/>
        </w:rPr>
        <w:t xml:space="preserve">Note: </w:t>
      </w:r>
    </w:p>
    <w:p w14:paraId="7253851A" w14:textId="3B2FDA36" w:rsidR="007B4B0B" w:rsidRPr="00C74E9D" w:rsidRDefault="007B4B0B" w:rsidP="007B4B0B">
      <w:pPr>
        <w:spacing w:before="20" w:after="20" w:line="180" w:lineRule="atLeast"/>
        <w:jc w:val="both"/>
        <w:rPr>
          <w:rFonts w:eastAsia="Times New Roman"/>
          <w:b/>
          <w:sz w:val="12"/>
          <w:szCs w:val="12"/>
        </w:rPr>
      </w:pPr>
      <w:r w:rsidRPr="00C74E9D">
        <w:rPr>
          <w:rFonts w:eastAsia="Times New Roman"/>
          <w:b/>
          <w:color w:val="72AF2F"/>
          <w:sz w:val="12"/>
          <w:szCs w:val="12"/>
        </w:rPr>
        <w:sym w:font="Webdings" w:char="F067"/>
      </w:r>
      <w:r w:rsidRPr="00C74E9D">
        <w:rPr>
          <w:rFonts w:eastAsia="Times New Roman"/>
          <w:b/>
          <w:sz w:val="12"/>
          <w:szCs w:val="12"/>
        </w:rPr>
        <w:t> </w:t>
      </w:r>
      <w:r w:rsidRPr="00C74E9D">
        <w:rPr>
          <w:rFonts w:eastAsia="Times New Roman"/>
          <w:b/>
          <w:sz w:val="12"/>
          <w:szCs w:val="12"/>
        </w:rPr>
        <w:t xml:space="preserve"> Achieved</w:t>
      </w:r>
      <w:r w:rsidR="0099334D">
        <w:rPr>
          <w:rFonts w:eastAsia="Times New Roman"/>
          <w:b/>
          <w:sz w:val="12"/>
          <w:szCs w:val="12"/>
        </w:rPr>
        <w:t xml:space="preserve">. </w:t>
      </w:r>
      <w:r w:rsidRPr="00C74E9D">
        <w:rPr>
          <w:rFonts w:eastAsia="Times New Roman"/>
          <w:b/>
          <w:sz w:val="12"/>
          <w:szCs w:val="12"/>
        </w:rPr>
        <w:t xml:space="preserve">Significant progress </w:t>
      </w:r>
      <w:proofErr w:type="gramStart"/>
      <w:r w:rsidRPr="00C74E9D">
        <w:rPr>
          <w:rFonts w:eastAsia="Times New Roman"/>
          <w:b/>
          <w:sz w:val="12"/>
          <w:szCs w:val="12"/>
        </w:rPr>
        <w:t>has been made</w:t>
      </w:r>
      <w:proofErr w:type="gramEnd"/>
      <w:r w:rsidRPr="00C74E9D">
        <w:rPr>
          <w:rFonts w:eastAsia="Times New Roman"/>
          <w:b/>
          <w:sz w:val="12"/>
          <w:szCs w:val="12"/>
        </w:rPr>
        <w:t xml:space="preserve"> in addressing the issue </w:t>
      </w:r>
    </w:p>
    <w:p w14:paraId="09263C59" w14:textId="35D32302" w:rsidR="007B4B0B" w:rsidRPr="00C74E9D" w:rsidRDefault="007B4B0B" w:rsidP="007B4B0B">
      <w:pPr>
        <w:spacing w:before="20" w:after="20" w:line="180" w:lineRule="atLeast"/>
        <w:jc w:val="both"/>
        <w:rPr>
          <w:rFonts w:eastAsia="Times New Roman"/>
          <w:b/>
          <w:sz w:val="12"/>
          <w:szCs w:val="12"/>
        </w:rPr>
      </w:pPr>
      <w:r w:rsidRPr="00C74E9D">
        <w:rPr>
          <w:rFonts w:eastAsia="Times New Roman"/>
          <w:b/>
          <w:color w:val="E36C0A"/>
          <w:sz w:val="12"/>
          <w:szCs w:val="12"/>
        </w:rPr>
        <w:sym w:font="Webdings" w:char="F067"/>
      </w:r>
      <w:r w:rsidRPr="00C74E9D">
        <w:rPr>
          <w:rFonts w:eastAsia="Times New Roman"/>
          <w:b/>
          <w:sz w:val="12"/>
          <w:szCs w:val="12"/>
        </w:rPr>
        <w:t> </w:t>
      </w:r>
      <w:r w:rsidRPr="00C74E9D">
        <w:rPr>
          <w:rFonts w:eastAsia="Times New Roman"/>
          <w:b/>
          <w:sz w:val="12"/>
          <w:szCs w:val="12"/>
        </w:rPr>
        <w:t xml:space="preserve"> Partly achieved</w:t>
      </w:r>
      <w:r w:rsidR="0099334D">
        <w:rPr>
          <w:rFonts w:eastAsia="Times New Roman"/>
          <w:b/>
          <w:sz w:val="12"/>
          <w:szCs w:val="12"/>
        </w:rPr>
        <w:t xml:space="preserve">. </w:t>
      </w:r>
      <w:r w:rsidRPr="00C74E9D">
        <w:rPr>
          <w:rFonts w:eastAsia="Times New Roman"/>
          <w:b/>
          <w:sz w:val="12"/>
          <w:szCs w:val="12"/>
        </w:rPr>
        <w:t xml:space="preserve">Some progress </w:t>
      </w:r>
      <w:proofErr w:type="gramStart"/>
      <w:r w:rsidRPr="00C74E9D">
        <w:rPr>
          <w:rFonts w:eastAsia="Times New Roman"/>
          <w:b/>
          <w:sz w:val="12"/>
          <w:szCs w:val="12"/>
        </w:rPr>
        <w:t>has been made</w:t>
      </w:r>
      <w:proofErr w:type="gramEnd"/>
      <w:r w:rsidRPr="00C74E9D">
        <w:rPr>
          <w:rFonts w:eastAsia="Times New Roman"/>
          <w:b/>
          <w:sz w:val="12"/>
          <w:szCs w:val="12"/>
        </w:rPr>
        <w:t xml:space="preserve"> in addressing the issue, but the issue has not been resolved </w:t>
      </w:r>
    </w:p>
    <w:p w14:paraId="1AE5C63A" w14:textId="77777777" w:rsidR="007B4B0B" w:rsidRPr="00C74E9D" w:rsidRDefault="007B4B0B" w:rsidP="007B4B0B">
      <w:pPr>
        <w:spacing w:before="20" w:after="20" w:line="180" w:lineRule="atLeast"/>
        <w:jc w:val="both"/>
        <w:rPr>
          <w:rFonts w:eastAsia="Times New Roman"/>
          <w:b/>
          <w:sz w:val="12"/>
          <w:szCs w:val="12"/>
        </w:rPr>
      </w:pPr>
      <w:r w:rsidRPr="00C74E9D">
        <w:rPr>
          <w:rFonts w:eastAsia="Times New Roman"/>
          <w:b/>
          <w:color w:val="FF0000"/>
          <w:sz w:val="12"/>
          <w:szCs w:val="12"/>
        </w:rPr>
        <w:sym w:font="Webdings" w:char="F067"/>
      </w:r>
      <w:r w:rsidRPr="00C74E9D">
        <w:rPr>
          <w:rFonts w:eastAsia="Times New Roman"/>
          <w:b/>
          <w:sz w:val="12"/>
          <w:szCs w:val="12"/>
        </w:rPr>
        <w:t> </w:t>
      </w:r>
      <w:r w:rsidRPr="00C74E9D">
        <w:rPr>
          <w:rFonts w:eastAsia="Times New Roman"/>
          <w:b/>
          <w:sz w:val="12"/>
          <w:szCs w:val="12"/>
        </w:rPr>
        <w:t xml:space="preserve"> Not achieved. Progress in addressing the issue has been significantly below expectations</w:t>
      </w:r>
    </w:p>
    <w:p w14:paraId="7BF252C4" w14:textId="77777777" w:rsidR="007B4B0B" w:rsidRDefault="007B4B0B" w:rsidP="007B4B0B"/>
    <w:p w14:paraId="13493389" w14:textId="23AC3360" w:rsidR="007B441B" w:rsidRPr="00256FBD" w:rsidRDefault="00184F1E" w:rsidP="007B441B">
      <w:pPr>
        <w:pStyle w:val="Subtitle"/>
        <w:numPr>
          <w:ilvl w:val="0"/>
          <w:numId w:val="0"/>
        </w:numPr>
        <w:spacing w:after="120"/>
        <w:rPr>
          <w:rFonts w:eastAsia="Times New Roman" w:cstheme="minorHAnsi"/>
          <w:b/>
          <w:sz w:val="24"/>
        </w:rPr>
      </w:pPr>
      <w:r w:rsidRPr="00256FBD">
        <w:rPr>
          <w:b/>
        </w:rPr>
        <w:t>Annex B –</w:t>
      </w:r>
      <w:bookmarkStart w:id="2" w:name="_Hlk15469266"/>
      <w:r w:rsidR="007B441B" w:rsidRPr="00256FBD">
        <w:rPr>
          <w:b/>
        </w:rPr>
        <w:t xml:space="preserve"> </w:t>
      </w:r>
      <w:r w:rsidR="005A4D66" w:rsidRPr="00256FBD">
        <w:rPr>
          <w:rFonts w:eastAsia="Times New Roman" w:cstheme="minorHAnsi"/>
          <w:b/>
          <w:szCs w:val="38"/>
        </w:rPr>
        <w:t xml:space="preserve">Performance Benchmarks </w:t>
      </w:r>
    </w:p>
    <w:p w14:paraId="203BA5AC" w14:textId="1B35FDB7" w:rsidR="007B441B" w:rsidRPr="007B441B" w:rsidRDefault="007B51B4" w:rsidP="007B441B">
      <w:pPr>
        <w:rPr>
          <w:rFonts w:ascii="Franklin Gothic Book" w:hAnsi="Franklin Gothic Book"/>
          <w:sz w:val="24"/>
          <w:szCs w:val="24"/>
        </w:rPr>
      </w:pPr>
      <w:proofErr w:type="gramStart"/>
      <w:r>
        <w:rPr>
          <w:rFonts w:ascii="Franklin Gothic Book" w:hAnsi="Franklin Gothic Book"/>
          <w:sz w:val="24"/>
          <w:szCs w:val="24"/>
        </w:rPr>
        <w:t>1</w:t>
      </w:r>
      <w:proofErr w:type="gramEnd"/>
      <w:r>
        <w:rPr>
          <w:rFonts w:ascii="Franklin Gothic Book" w:hAnsi="Franklin Gothic Book"/>
          <w:sz w:val="24"/>
          <w:szCs w:val="24"/>
        </w:rPr>
        <w:t xml:space="preserve"> </w:t>
      </w:r>
      <w:r w:rsidR="007B441B">
        <w:rPr>
          <w:rFonts w:ascii="Franklin Gothic Book" w:hAnsi="Franklin Gothic Book"/>
          <w:sz w:val="24"/>
          <w:szCs w:val="24"/>
        </w:rPr>
        <w:t>Progress towards Performance Benchmarks</w:t>
      </w:r>
      <w:r>
        <w:rPr>
          <w:rFonts w:ascii="Franklin Gothic Book" w:hAnsi="Franklin Gothic Book"/>
          <w:sz w:val="24"/>
          <w:szCs w:val="24"/>
        </w:rPr>
        <w:t xml:space="preserve"> in 2018-19</w:t>
      </w:r>
    </w:p>
    <w:tbl>
      <w:tblPr>
        <w:tblStyle w:val="DFATTable10"/>
        <w:tblW w:w="5000" w:type="pct"/>
        <w:tblLayout w:type="fixed"/>
        <w:tblLook w:val="04A0" w:firstRow="1" w:lastRow="0" w:firstColumn="1" w:lastColumn="0" w:noHBand="0" w:noVBand="1"/>
      </w:tblPr>
      <w:tblGrid>
        <w:gridCol w:w="1259"/>
        <w:gridCol w:w="1575"/>
        <w:gridCol w:w="871"/>
        <w:gridCol w:w="5933"/>
      </w:tblGrid>
      <w:tr w:rsidR="005A4D66" w:rsidRPr="005A4D66" w14:paraId="56DC82A7" w14:textId="77777777" w:rsidTr="0099334D">
        <w:trPr>
          <w:trHeight w:val="350"/>
        </w:trPr>
        <w:tc>
          <w:tcPr>
            <w:tcW w:w="653" w:type="pct"/>
          </w:tcPr>
          <w:p w14:paraId="06BD00ED" w14:textId="77777777" w:rsidR="005A4D66" w:rsidRPr="005A4D66" w:rsidRDefault="005A4D66" w:rsidP="005A4D66">
            <w:pPr>
              <w:keepNext/>
              <w:keepLines/>
              <w:suppressAutoHyphens w:val="0"/>
              <w:spacing w:before="80" w:after="80" w:line="240" w:lineRule="auto"/>
              <w:rPr>
                <w:rFonts w:asciiTheme="minorHAnsi" w:eastAsia="Times New Roman" w:hAnsiTheme="minorHAnsi" w:cs="Times New Roman"/>
                <w:b/>
                <w:iCs/>
                <w:color w:val="auto"/>
                <w:szCs w:val="17"/>
                <w:lang w:val="en-AU"/>
              </w:rPr>
            </w:pPr>
            <w:bookmarkStart w:id="3" w:name="_Hlk16670221"/>
            <w:r w:rsidRPr="005A4D66">
              <w:rPr>
                <w:rFonts w:asciiTheme="minorHAnsi" w:eastAsia="Times New Roman" w:hAnsiTheme="minorHAnsi" w:cs="Times New Roman"/>
                <w:b/>
                <w:iCs/>
                <w:color w:val="auto"/>
                <w:szCs w:val="17"/>
                <w:lang w:val="en-AU"/>
              </w:rPr>
              <w:t>Aid objective</w:t>
            </w:r>
          </w:p>
        </w:tc>
        <w:tc>
          <w:tcPr>
            <w:tcW w:w="817" w:type="pct"/>
          </w:tcPr>
          <w:p w14:paraId="1BD93507" w14:textId="77777777" w:rsidR="005A4D66" w:rsidRPr="005A4D66" w:rsidRDefault="005A4D66" w:rsidP="005A4D66">
            <w:pPr>
              <w:keepNext/>
              <w:keepLines/>
              <w:suppressAutoHyphens w:val="0"/>
              <w:spacing w:before="80" w:after="80" w:line="240" w:lineRule="auto"/>
              <w:rPr>
                <w:rFonts w:asciiTheme="minorHAnsi" w:eastAsia="Times New Roman" w:hAnsiTheme="minorHAnsi" w:cs="Times New Roman"/>
                <w:b/>
                <w:iCs/>
                <w:color w:val="auto"/>
                <w:szCs w:val="17"/>
                <w:lang w:val="en-AU"/>
              </w:rPr>
            </w:pPr>
            <w:r w:rsidRPr="005A4D66">
              <w:rPr>
                <w:rFonts w:asciiTheme="minorHAnsi" w:eastAsia="Times New Roman" w:hAnsiTheme="minorHAnsi" w:cs="Times New Roman"/>
                <w:b/>
                <w:iCs/>
                <w:color w:val="auto"/>
                <w:szCs w:val="17"/>
                <w:lang w:val="en-AU"/>
              </w:rPr>
              <w:t xml:space="preserve">Performance benchmark </w:t>
            </w:r>
          </w:p>
        </w:tc>
        <w:tc>
          <w:tcPr>
            <w:tcW w:w="452" w:type="pct"/>
            <w:shd w:val="clear" w:color="auto" w:fill="73AF2F"/>
          </w:tcPr>
          <w:p w14:paraId="76D41878" w14:textId="77777777" w:rsidR="005A4D66" w:rsidRPr="005A4D66" w:rsidRDefault="005A4D66" w:rsidP="005A4D66">
            <w:pPr>
              <w:keepNext/>
              <w:keepLines/>
              <w:suppressAutoHyphens w:val="0"/>
              <w:spacing w:before="80" w:after="80" w:line="240" w:lineRule="auto"/>
              <w:jc w:val="center"/>
              <w:rPr>
                <w:rFonts w:asciiTheme="minorHAnsi" w:eastAsia="Times New Roman" w:hAnsiTheme="minorHAnsi" w:cs="Times New Roman"/>
                <w:b/>
                <w:iCs/>
                <w:color w:val="auto"/>
                <w:szCs w:val="17"/>
                <w:lang w:val="en-AU"/>
              </w:rPr>
            </w:pPr>
            <w:r w:rsidRPr="005A4D66">
              <w:rPr>
                <w:rFonts w:asciiTheme="minorHAnsi" w:eastAsia="Times New Roman" w:hAnsiTheme="minorHAnsi" w:cs="Times New Roman"/>
                <w:b/>
                <w:iCs/>
                <w:color w:val="auto"/>
                <w:szCs w:val="17"/>
                <w:lang w:val="en-AU"/>
              </w:rPr>
              <w:t>Rating</w:t>
            </w:r>
          </w:p>
        </w:tc>
        <w:tc>
          <w:tcPr>
            <w:tcW w:w="3078" w:type="pct"/>
          </w:tcPr>
          <w:p w14:paraId="41BBA602" w14:textId="77777777" w:rsidR="005A4D66" w:rsidRPr="005A4D66" w:rsidRDefault="005A4D66" w:rsidP="005A4D66">
            <w:pPr>
              <w:keepNext/>
              <w:keepLines/>
              <w:suppressAutoHyphens w:val="0"/>
              <w:spacing w:before="80" w:after="80" w:line="240" w:lineRule="auto"/>
              <w:jc w:val="center"/>
              <w:rPr>
                <w:rFonts w:asciiTheme="minorHAnsi" w:eastAsia="Times New Roman" w:hAnsiTheme="minorHAnsi" w:cs="Times New Roman"/>
                <w:b/>
                <w:iCs/>
                <w:color w:val="auto"/>
                <w:szCs w:val="17"/>
                <w:lang w:val="en-AU"/>
              </w:rPr>
            </w:pPr>
            <w:r w:rsidRPr="005A4D66">
              <w:rPr>
                <w:rFonts w:asciiTheme="minorHAnsi" w:eastAsia="Times New Roman" w:hAnsiTheme="minorHAnsi" w:cs="Times New Roman"/>
                <w:b/>
                <w:iCs/>
                <w:color w:val="auto"/>
                <w:szCs w:val="17"/>
                <w:lang w:val="en-AU"/>
              </w:rPr>
              <w:t>Progress in 2018-19</w:t>
            </w:r>
          </w:p>
        </w:tc>
      </w:tr>
      <w:tr w:rsidR="005A4D66" w:rsidRPr="005A4D66" w14:paraId="0AAC2D9C" w14:textId="77777777" w:rsidTr="00EB093E">
        <w:trPr>
          <w:trHeight w:val="3456"/>
        </w:trPr>
        <w:tc>
          <w:tcPr>
            <w:tcW w:w="653" w:type="pct"/>
            <w:vMerge w:val="restart"/>
          </w:tcPr>
          <w:p w14:paraId="648D1808" w14:textId="77777777" w:rsidR="005A4D66" w:rsidRPr="005A4D66" w:rsidRDefault="005A4D66" w:rsidP="005A4D66">
            <w:pPr>
              <w:suppressAutoHyphens w:val="0"/>
              <w:snapToGrid w:val="0"/>
              <w:spacing w:before="40" w:after="40" w:line="240" w:lineRule="auto"/>
              <w:rPr>
                <w:rFonts w:ascii="Franklin Gothic Book" w:eastAsia="Times New Roman" w:hAnsi="Franklin Gothic Book"/>
                <w:sz w:val="16"/>
                <w:szCs w:val="16"/>
              </w:rPr>
            </w:pPr>
            <w:r w:rsidRPr="005A4D66">
              <w:rPr>
                <w:rFonts w:ascii="Franklin Gothic Book" w:eastAsia="Times New Roman" w:hAnsi="Franklin Gothic Book"/>
                <w:sz w:val="16"/>
                <w:szCs w:val="16"/>
              </w:rPr>
              <w:t>Enabling regional economic cooperation and inclusive growth</w:t>
            </w:r>
          </w:p>
        </w:tc>
        <w:tc>
          <w:tcPr>
            <w:tcW w:w="817" w:type="pct"/>
          </w:tcPr>
          <w:p w14:paraId="13DFE32B" w14:textId="77777777" w:rsidR="005A4D66" w:rsidRPr="005A4D66" w:rsidRDefault="005A4D66" w:rsidP="005A4D66">
            <w:pPr>
              <w:suppressAutoHyphens w:val="0"/>
              <w:snapToGrid w:val="0"/>
              <w:spacing w:before="40" w:after="40" w:line="240" w:lineRule="auto"/>
              <w:rPr>
                <w:rFonts w:ascii="Franklin Gothic Book" w:eastAsia="Times New Roman" w:hAnsi="Franklin Gothic Book"/>
                <w:sz w:val="16"/>
                <w:szCs w:val="16"/>
              </w:rPr>
            </w:pPr>
            <w:r w:rsidRPr="005A4D66">
              <w:rPr>
                <w:rFonts w:ascii="Franklin Gothic Book" w:eastAsia="Times New Roman" w:hAnsi="Franklin Gothic Book"/>
                <w:sz w:val="16"/>
                <w:szCs w:val="16"/>
              </w:rPr>
              <w:t>Evidence of high quality and timely economic research, policy advice and policy implementation support to ASEAN on priority AEC issues (Australia’s economic research, policy advice and implementation is high quality, timely and supports priority AEC issues)</w:t>
            </w:r>
          </w:p>
          <w:p w14:paraId="0F1AB08E" w14:textId="77777777" w:rsidR="005A4D66" w:rsidRPr="005A4D66" w:rsidRDefault="005A4D66" w:rsidP="005A4D66">
            <w:pPr>
              <w:suppressAutoHyphens w:val="0"/>
              <w:snapToGrid w:val="0"/>
              <w:spacing w:before="40" w:after="40" w:line="240" w:lineRule="auto"/>
              <w:rPr>
                <w:rFonts w:ascii="Franklin Gothic Book" w:eastAsia="Times New Roman" w:hAnsi="Franklin Gothic Book"/>
                <w:sz w:val="16"/>
                <w:szCs w:val="16"/>
              </w:rPr>
            </w:pPr>
          </w:p>
        </w:tc>
        <w:tc>
          <w:tcPr>
            <w:tcW w:w="452" w:type="pct"/>
            <w:shd w:val="clear" w:color="auto" w:fill="72AF2F"/>
          </w:tcPr>
          <w:p w14:paraId="0DF3F974" w14:textId="4B9938D7" w:rsidR="005A4D66" w:rsidRPr="005A4D66" w:rsidRDefault="00EB093E" w:rsidP="005A4D66">
            <w:pPr>
              <w:suppressAutoHyphens w:val="0"/>
              <w:snapToGrid w:val="0"/>
              <w:spacing w:before="40" w:after="40" w:line="240" w:lineRule="auto"/>
              <w:jc w:val="center"/>
              <w:rPr>
                <w:rFonts w:asciiTheme="minorHAnsi" w:eastAsia="Times New Roman" w:hAnsiTheme="minorHAnsi" w:cs="Times New Roman"/>
                <w:iCs/>
                <w:color w:val="FFFFFF" w:themeColor="background1"/>
                <w:szCs w:val="17"/>
                <w:lang w:val="en-AU"/>
              </w:rPr>
            </w:pPr>
            <w:r>
              <w:rPr>
                <w:rFonts w:asciiTheme="minorHAnsi" w:eastAsia="Times New Roman" w:hAnsiTheme="minorHAnsi" w:cs="Times New Roman"/>
                <w:iCs/>
                <w:color w:val="FFFFFF" w:themeColor="background1"/>
                <w:szCs w:val="17"/>
                <w:lang w:val="en-AU"/>
              </w:rPr>
              <w:t>Achi</w:t>
            </w:r>
            <w:r w:rsidR="005A4D66" w:rsidRPr="005A4D66">
              <w:rPr>
                <w:rFonts w:asciiTheme="minorHAnsi" w:eastAsia="Times New Roman" w:hAnsiTheme="minorHAnsi" w:cs="Times New Roman"/>
                <w:iCs/>
                <w:color w:val="FFFFFF" w:themeColor="background1"/>
                <w:szCs w:val="17"/>
                <w:lang w:val="en-AU"/>
              </w:rPr>
              <w:t>eved</w:t>
            </w:r>
          </w:p>
        </w:tc>
        <w:tc>
          <w:tcPr>
            <w:tcW w:w="3078" w:type="pct"/>
          </w:tcPr>
          <w:p w14:paraId="230179D9" w14:textId="0D18FB3C" w:rsidR="005A4D66" w:rsidRPr="008F3586" w:rsidRDefault="005A4D66" w:rsidP="008F3586">
            <w:pPr>
              <w:suppressAutoHyphens w:val="0"/>
              <w:spacing w:before="60" w:line="264" w:lineRule="auto"/>
              <w:rPr>
                <w:rFonts w:ascii="Franklin Gothic Book" w:hAnsi="Franklin Gothic Book" w:cs="Times New Roman"/>
                <w:color w:val="44546A"/>
                <w:sz w:val="16"/>
                <w:szCs w:val="16"/>
              </w:rPr>
            </w:pPr>
            <w:r w:rsidRPr="005A4D66">
              <w:rPr>
                <w:rFonts w:ascii="Franklin Gothic Book" w:eastAsia="Times New Roman" w:hAnsi="Franklin Gothic Book"/>
                <w:sz w:val="16"/>
                <w:szCs w:val="16"/>
              </w:rPr>
              <w:t xml:space="preserve">AADCP II met its performance benchmark. </w:t>
            </w:r>
            <w:r w:rsidRPr="005A4D66">
              <w:rPr>
                <w:rFonts w:ascii="Franklin Gothic Book" w:eastAsia="Times New Roman" w:hAnsi="Franklin Gothic Book" w:cs="Times New Roman"/>
                <w:sz w:val="16"/>
                <w:szCs w:val="16"/>
              </w:rPr>
              <w:t>S</w:t>
            </w:r>
            <w:r w:rsidRPr="005A4D66">
              <w:rPr>
                <w:rFonts w:ascii="Franklin Gothic Book" w:hAnsi="Franklin Gothic Book" w:cs="Times New Roman"/>
                <w:color w:val="44546A"/>
                <w:sz w:val="16"/>
                <w:szCs w:val="16"/>
              </w:rPr>
              <w:t>everal program reports and publications were finalised</w:t>
            </w:r>
            <w:r w:rsidRPr="005A4D66">
              <w:rPr>
                <w:rFonts w:ascii="Franklin Gothic Book" w:eastAsia="Times New Roman" w:hAnsi="Franklin Gothic Book"/>
                <w:sz w:val="16"/>
                <w:szCs w:val="16"/>
              </w:rPr>
              <w:t xml:space="preserve"> with positive feedback from stakeholders, noting reports were relevant and useful for policymaking</w:t>
            </w:r>
            <w:r w:rsidR="0099334D">
              <w:rPr>
                <w:rFonts w:ascii="Franklin Gothic Book" w:eastAsia="Times New Roman" w:hAnsi="Franklin Gothic Book"/>
                <w:sz w:val="16"/>
                <w:szCs w:val="16"/>
              </w:rPr>
              <w:t xml:space="preserve">. </w:t>
            </w:r>
            <w:r w:rsidRPr="005A4D66">
              <w:rPr>
                <w:rFonts w:ascii="Franklin Gothic Book" w:eastAsia="Times New Roman" w:hAnsi="Franklin Gothic Book"/>
                <w:sz w:val="16"/>
                <w:szCs w:val="16"/>
              </w:rPr>
              <w:t xml:space="preserve">Most program outputs </w:t>
            </w:r>
            <w:proofErr w:type="gramStart"/>
            <w:r w:rsidRPr="005A4D66">
              <w:rPr>
                <w:rFonts w:ascii="Franklin Gothic Book" w:eastAsia="Times New Roman" w:hAnsi="Franklin Gothic Book"/>
                <w:sz w:val="16"/>
                <w:szCs w:val="16"/>
              </w:rPr>
              <w:t xml:space="preserve">were </w:t>
            </w:r>
            <w:r w:rsidRPr="005A4D66">
              <w:rPr>
                <w:rFonts w:ascii="Franklin Gothic Book" w:hAnsi="Franklin Gothic Book" w:cs="Times New Roman"/>
                <w:color w:val="44546A"/>
                <w:sz w:val="16"/>
                <w:szCs w:val="16"/>
              </w:rPr>
              <w:t>delivered</w:t>
            </w:r>
            <w:proofErr w:type="gramEnd"/>
            <w:r w:rsidRPr="005A4D66">
              <w:rPr>
                <w:rFonts w:ascii="Franklin Gothic Book" w:hAnsi="Franklin Gothic Book" w:cs="Times New Roman"/>
                <w:color w:val="44546A"/>
                <w:sz w:val="16"/>
                <w:szCs w:val="16"/>
              </w:rPr>
              <w:t xml:space="preserve"> in a timely manner and time sensitive products, such as the ASEAN Sustainable Urbanisation Strategy (ASUS) and the ASEAN Investment Report 2018 met deadlines</w:t>
            </w:r>
            <w:r w:rsidR="0099334D">
              <w:rPr>
                <w:rFonts w:ascii="Franklin Gothic Book" w:hAnsi="Franklin Gothic Book" w:cs="Times New Roman"/>
                <w:color w:val="44546A"/>
                <w:sz w:val="16"/>
                <w:szCs w:val="16"/>
              </w:rPr>
              <w:t xml:space="preserve">. </w:t>
            </w:r>
            <w:proofErr w:type="gramStart"/>
            <w:r w:rsidRPr="005A4D66">
              <w:rPr>
                <w:rFonts w:ascii="Franklin Gothic Book" w:hAnsi="Franklin Gothic Book" w:cs="Times New Roman"/>
                <w:color w:val="44546A"/>
                <w:sz w:val="16"/>
                <w:szCs w:val="16"/>
              </w:rPr>
              <w:t xml:space="preserve">AADCP II’s publications continued to support AEC priority issues in sustainable urbanisation, energy, tourism and connectivity, including: </w:t>
            </w:r>
            <w:r w:rsidRPr="005A4D66">
              <w:rPr>
                <w:rFonts w:ascii="Franklin Gothic Book" w:eastAsia="Times New Roman" w:hAnsi="Franklin Gothic Book"/>
                <w:sz w:val="16"/>
                <w:szCs w:val="16"/>
              </w:rPr>
              <w:t xml:space="preserve">a study to progress implementation of ASEAN Power Trade </w:t>
            </w:r>
            <w:r w:rsidRPr="005A4D66">
              <w:rPr>
                <w:rFonts w:ascii="Franklin Gothic Book" w:hAnsi="Franklin Gothic Book" w:cs="Times New Roman"/>
                <w:color w:val="44546A"/>
                <w:sz w:val="16"/>
                <w:szCs w:val="16"/>
              </w:rPr>
              <w:t>to advance multilateral trading</w:t>
            </w:r>
            <w:r w:rsidRPr="005A4D66">
              <w:rPr>
                <w:rFonts w:ascii="Franklin Gothic Book" w:eastAsia="Times New Roman" w:hAnsi="Franklin Gothic Book"/>
                <w:sz w:val="16"/>
                <w:szCs w:val="16"/>
              </w:rPr>
              <w:t>; the ASUS which provides a common framework for A</w:t>
            </w:r>
            <w:r w:rsidR="00252566">
              <w:rPr>
                <w:rFonts w:ascii="Franklin Gothic Book" w:eastAsia="Times New Roman" w:hAnsi="Franklin Gothic Book"/>
                <w:sz w:val="16"/>
                <w:szCs w:val="16"/>
              </w:rPr>
              <w:t xml:space="preserve">SEAN </w:t>
            </w:r>
            <w:r w:rsidRPr="005A4D66">
              <w:rPr>
                <w:rFonts w:ascii="Franklin Gothic Book" w:eastAsia="Times New Roman" w:hAnsi="Franklin Gothic Book"/>
                <w:sz w:val="16"/>
                <w:szCs w:val="16"/>
              </w:rPr>
              <w:t>M</w:t>
            </w:r>
            <w:r w:rsidR="00252566">
              <w:rPr>
                <w:rFonts w:ascii="Franklin Gothic Book" w:eastAsia="Times New Roman" w:hAnsi="Franklin Gothic Book"/>
                <w:sz w:val="16"/>
                <w:szCs w:val="16"/>
              </w:rPr>
              <w:t xml:space="preserve">ember </w:t>
            </w:r>
            <w:r w:rsidRPr="005A4D66">
              <w:rPr>
                <w:rFonts w:ascii="Franklin Gothic Book" w:eastAsia="Times New Roman" w:hAnsi="Franklin Gothic Book"/>
                <w:sz w:val="16"/>
                <w:szCs w:val="16"/>
              </w:rPr>
              <w:t>S</w:t>
            </w:r>
            <w:r w:rsidR="00252566">
              <w:rPr>
                <w:rFonts w:ascii="Franklin Gothic Book" w:eastAsia="Times New Roman" w:hAnsi="Franklin Gothic Book"/>
                <w:sz w:val="16"/>
                <w:szCs w:val="16"/>
              </w:rPr>
              <w:t>tates (AMS)</w:t>
            </w:r>
            <w:r w:rsidRPr="005A4D66">
              <w:rPr>
                <w:rFonts w:ascii="Franklin Gothic Book" w:eastAsia="Times New Roman" w:hAnsi="Franklin Gothic Book"/>
                <w:sz w:val="16"/>
                <w:szCs w:val="16"/>
              </w:rPr>
              <w:t xml:space="preserve"> to develop smart and sustainable cities; a study to advance implementation of a mutual recognition arrangement for tourism professionals which was adopted by Ministers in January 2019; manuals for the establishment of common certification and accreditation systems for ASEAN Good Agriculture Practices; a framework for assessing and improving ASEAN infrastructure planning and productivity; and the ASEAN Investment Report 2018: Foreign Direct Investment and the Digital Economy in ASEAN which was disseminated through the ASEAN Business and Investment Summit and through ASEC networks including to the private sector.</w:t>
            </w:r>
            <w:proofErr w:type="gramEnd"/>
          </w:p>
        </w:tc>
      </w:tr>
      <w:bookmarkEnd w:id="3"/>
      <w:tr w:rsidR="005A4D66" w:rsidRPr="005A4D66" w14:paraId="56CFB952" w14:textId="77777777" w:rsidTr="008F3586">
        <w:trPr>
          <w:trHeight w:val="2679"/>
        </w:trPr>
        <w:tc>
          <w:tcPr>
            <w:tcW w:w="653" w:type="pct"/>
            <w:vMerge/>
          </w:tcPr>
          <w:p w14:paraId="0A5E80DB" w14:textId="5CA9B290" w:rsidR="005A4D66" w:rsidRPr="005A4D66" w:rsidRDefault="005A4D66" w:rsidP="005A4D66">
            <w:pPr>
              <w:suppressAutoHyphens w:val="0"/>
              <w:snapToGrid w:val="0"/>
              <w:spacing w:before="40" w:after="40" w:line="240" w:lineRule="auto"/>
              <w:rPr>
                <w:rFonts w:ascii="Franklin Gothic Book" w:eastAsia="Times New Roman" w:hAnsi="Franklin Gothic Book"/>
                <w:sz w:val="16"/>
                <w:szCs w:val="16"/>
              </w:rPr>
            </w:pPr>
          </w:p>
        </w:tc>
        <w:tc>
          <w:tcPr>
            <w:tcW w:w="817" w:type="pct"/>
          </w:tcPr>
          <w:p w14:paraId="66821A76" w14:textId="4540AF17" w:rsidR="005A4D66" w:rsidRPr="005A4D66" w:rsidRDefault="005A4D66" w:rsidP="005A4D66">
            <w:pPr>
              <w:suppressAutoHyphens w:val="0"/>
              <w:snapToGrid w:val="0"/>
              <w:spacing w:before="40" w:after="40" w:line="240" w:lineRule="auto"/>
              <w:rPr>
                <w:rFonts w:ascii="Franklin Gothic Book" w:eastAsia="Times New Roman" w:hAnsi="Franklin Gothic Book"/>
                <w:sz w:val="16"/>
                <w:szCs w:val="16"/>
              </w:rPr>
            </w:pPr>
            <w:r w:rsidRPr="005A4D66">
              <w:rPr>
                <w:rFonts w:ascii="Franklin Gothic Book" w:eastAsia="Times New Roman" w:hAnsi="Franklin Gothic Book"/>
                <w:sz w:val="16"/>
                <w:szCs w:val="16"/>
              </w:rPr>
              <w:t>Evidence of AECSP capacity building projects supporting AANZFTA implementation (AECSP capacity building projects support AANZFTA implementation)</w:t>
            </w:r>
          </w:p>
          <w:p w14:paraId="283E16F5" w14:textId="77777777" w:rsidR="005A4D66" w:rsidRPr="005A4D66" w:rsidRDefault="005A4D66" w:rsidP="005A4D66">
            <w:pPr>
              <w:suppressAutoHyphens w:val="0"/>
              <w:snapToGrid w:val="0"/>
              <w:spacing w:before="40" w:after="40" w:line="240" w:lineRule="auto"/>
              <w:rPr>
                <w:rFonts w:ascii="Franklin Gothic Book" w:eastAsia="Times New Roman" w:hAnsi="Franklin Gothic Book"/>
                <w:sz w:val="16"/>
                <w:szCs w:val="16"/>
              </w:rPr>
            </w:pPr>
          </w:p>
        </w:tc>
        <w:tc>
          <w:tcPr>
            <w:tcW w:w="452" w:type="pct"/>
            <w:shd w:val="clear" w:color="auto" w:fill="72AF2F"/>
          </w:tcPr>
          <w:p w14:paraId="710372AB" w14:textId="77777777" w:rsidR="005A4D66" w:rsidRPr="005A4D66" w:rsidRDefault="005A4D66" w:rsidP="005A4D66">
            <w:pPr>
              <w:suppressAutoHyphens w:val="0"/>
              <w:snapToGrid w:val="0"/>
              <w:spacing w:before="40" w:after="40" w:line="240" w:lineRule="auto"/>
              <w:rPr>
                <w:rFonts w:asciiTheme="minorHAnsi" w:eastAsia="Times New Roman" w:hAnsiTheme="minorHAnsi" w:cs="Times New Roman"/>
                <w:iCs/>
                <w:color w:val="FFFFFF" w:themeColor="background1"/>
                <w:szCs w:val="17"/>
                <w:lang w:val="en-AU"/>
              </w:rPr>
            </w:pPr>
            <w:r w:rsidRPr="005A4D66">
              <w:rPr>
                <w:rFonts w:asciiTheme="minorHAnsi" w:eastAsia="Times New Roman" w:hAnsiTheme="minorHAnsi" w:cs="Times New Roman"/>
                <w:iCs/>
                <w:color w:val="FFFFFF" w:themeColor="background1"/>
                <w:szCs w:val="17"/>
                <w:lang w:val="en-AU"/>
              </w:rPr>
              <w:t>Achieved</w:t>
            </w:r>
          </w:p>
        </w:tc>
        <w:tc>
          <w:tcPr>
            <w:tcW w:w="3078" w:type="pct"/>
          </w:tcPr>
          <w:p w14:paraId="05D1A5BB" w14:textId="35B6E461" w:rsidR="005A4D66" w:rsidRPr="008F3586" w:rsidRDefault="005A4D66" w:rsidP="005A4D66">
            <w:pPr>
              <w:suppressAutoHyphens w:val="0"/>
              <w:spacing w:before="60" w:line="264" w:lineRule="auto"/>
              <w:rPr>
                <w:rFonts w:ascii="Franklin Gothic Book" w:eastAsia="Times New Roman" w:hAnsi="Franklin Gothic Book"/>
                <w:sz w:val="16"/>
                <w:szCs w:val="16"/>
              </w:rPr>
            </w:pPr>
            <w:r w:rsidRPr="005A4D66">
              <w:rPr>
                <w:rFonts w:ascii="Franklin Gothic Book" w:eastAsia="Times New Roman" w:hAnsi="Franklin Gothic Book"/>
                <w:sz w:val="16"/>
                <w:szCs w:val="16"/>
              </w:rPr>
              <w:t>AECSP met its performance benchmark</w:t>
            </w:r>
            <w:r w:rsidR="0099334D">
              <w:rPr>
                <w:rFonts w:ascii="Franklin Gothic Book" w:eastAsia="Times New Roman" w:hAnsi="Franklin Gothic Book"/>
                <w:sz w:val="16"/>
                <w:szCs w:val="16"/>
              </w:rPr>
              <w:t xml:space="preserve">. </w:t>
            </w:r>
            <w:r w:rsidRPr="005A4D66">
              <w:rPr>
                <w:rFonts w:ascii="Franklin Gothic Book" w:eastAsia="Times New Roman" w:hAnsi="Franklin Gothic Book"/>
                <w:sz w:val="16"/>
                <w:szCs w:val="16"/>
              </w:rPr>
              <w:t>The AECSP Independent Review 2018-19 noted that AECSP outputs made important contributions to advancing AANZFTA implementation and to advancing regional economic integration. In 2018, 1,216 participants from AMS (958-government; 258-private sector) benefitted from AECSP capacity development activities</w:t>
            </w:r>
            <w:r w:rsidR="0099334D">
              <w:rPr>
                <w:rFonts w:ascii="Franklin Gothic Book" w:eastAsia="Times New Roman" w:hAnsi="Franklin Gothic Book"/>
                <w:sz w:val="16"/>
                <w:szCs w:val="16"/>
              </w:rPr>
              <w:t xml:space="preserve">. </w:t>
            </w:r>
            <w:r w:rsidRPr="005A4D66">
              <w:rPr>
                <w:rFonts w:ascii="Franklin Gothic Book" w:eastAsia="Times New Roman" w:hAnsi="Franklin Gothic Book"/>
                <w:sz w:val="16"/>
                <w:szCs w:val="16"/>
              </w:rPr>
              <w:t xml:space="preserve">For instance, AECSP helped build technical and regulatory capacity to implement Sanitary and </w:t>
            </w:r>
            <w:proofErr w:type="spellStart"/>
            <w:r w:rsidRPr="005A4D66">
              <w:rPr>
                <w:rFonts w:ascii="Franklin Gothic Book" w:eastAsia="Times New Roman" w:hAnsi="Franklin Gothic Book"/>
                <w:sz w:val="16"/>
                <w:szCs w:val="16"/>
              </w:rPr>
              <w:t>Phytosanitary</w:t>
            </w:r>
            <w:proofErr w:type="spellEnd"/>
            <w:r w:rsidRPr="005A4D66">
              <w:rPr>
                <w:rFonts w:ascii="Franklin Gothic Book" w:eastAsia="Times New Roman" w:hAnsi="Franklin Gothic Book"/>
                <w:sz w:val="16"/>
                <w:szCs w:val="16"/>
              </w:rPr>
              <w:t xml:space="preserve"> (SPS) measures helping facilitate trade in agricultural products</w:t>
            </w:r>
            <w:r w:rsidR="0099334D">
              <w:rPr>
                <w:rFonts w:ascii="Franklin Gothic Book" w:eastAsia="Times New Roman" w:hAnsi="Franklin Gothic Book"/>
                <w:sz w:val="16"/>
                <w:szCs w:val="16"/>
              </w:rPr>
              <w:t xml:space="preserve">. </w:t>
            </w:r>
            <w:r w:rsidRPr="005A4D66">
              <w:rPr>
                <w:rFonts w:ascii="Franklin Gothic Book" w:eastAsia="Times New Roman" w:hAnsi="Franklin Gothic Book"/>
                <w:sz w:val="16"/>
                <w:szCs w:val="16"/>
              </w:rPr>
              <w:t xml:space="preserve">AECSP supported trainings on AANZFTA Rules of Origin for officials and industry representatives from nine </w:t>
            </w:r>
            <w:proofErr w:type="spellStart"/>
            <w:r w:rsidRPr="005A4D66">
              <w:rPr>
                <w:rFonts w:ascii="Franklin Gothic Book" w:eastAsia="Times New Roman" w:hAnsi="Franklin Gothic Book"/>
                <w:sz w:val="16"/>
                <w:szCs w:val="16"/>
              </w:rPr>
              <w:t>AMS</w:t>
            </w:r>
            <w:proofErr w:type="gramStart"/>
            <w:r w:rsidRPr="005A4D66">
              <w:rPr>
                <w:rFonts w:ascii="Franklin Gothic Book" w:eastAsia="Times New Roman" w:hAnsi="Franklin Gothic Book"/>
                <w:sz w:val="16"/>
                <w:szCs w:val="16"/>
              </w:rPr>
              <w:t>,that</w:t>
            </w:r>
            <w:proofErr w:type="spellEnd"/>
            <w:proofErr w:type="gramEnd"/>
            <w:r w:rsidRPr="005A4D66">
              <w:rPr>
                <w:rFonts w:ascii="Franklin Gothic Book" w:eastAsia="Times New Roman" w:hAnsi="Franklin Gothic Book"/>
                <w:sz w:val="16"/>
                <w:szCs w:val="16"/>
              </w:rPr>
              <w:t xml:space="preserve"> contributed to increased business use of AANZFTA and AMS participation in regional supply chains</w:t>
            </w:r>
            <w:r w:rsidR="0099334D">
              <w:rPr>
                <w:rFonts w:ascii="Franklin Gothic Book" w:eastAsia="Times New Roman" w:hAnsi="Franklin Gothic Book"/>
                <w:sz w:val="16"/>
                <w:szCs w:val="16"/>
              </w:rPr>
              <w:t xml:space="preserve">. </w:t>
            </w:r>
            <w:r w:rsidRPr="005A4D66">
              <w:rPr>
                <w:rFonts w:ascii="Franklin Gothic Book" w:eastAsia="Times New Roman" w:hAnsi="Franklin Gothic Book"/>
                <w:sz w:val="16"/>
                <w:szCs w:val="16"/>
              </w:rPr>
              <w:t>CLIP III supported AANZFTA implementation by building regional networks of competition institutions through regional meetings and trainings. In 2018-19, CLIP benefitted 299 participants (48% female) through workshops, secondments, a</w:t>
            </w:r>
            <w:r w:rsidR="008F3586">
              <w:rPr>
                <w:rFonts w:ascii="Franklin Gothic Book" w:eastAsia="Times New Roman" w:hAnsi="Franklin Gothic Book"/>
                <w:sz w:val="16"/>
                <w:szCs w:val="16"/>
              </w:rPr>
              <w:t>nd expert placements in ASEAN, Australia and NZ.</w:t>
            </w:r>
          </w:p>
        </w:tc>
      </w:tr>
      <w:tr w:rsidR="005A4D66" w:rsidRPr="005A4D66" w14:paraId="6D3EFAB7" w14:textId="77777777" w:rsidTr="00EB093E">
        <w:trPr>
          <w:trHeight w:val="566"/>
        </w:trPr>
        <w:tc>
          <w:tcPr>
            <w:tcW w:w="653" w:type="pct"/>
            <w:vMerge/>
          </w:tcPr>
          <w:p w14:paraId="7A055614" w14:textId="77777777" w:rsidR="005A4D66" w:rsidRPr="005A4D66" w:rsidRDefault="005A4D66" w:rsidP="005A4D66">
            <w:pPr>
              <w:suppressAutoHyphens w:val="0"/>
              <w:snapToGrid w:val="0"/>
              <w:spacing w:before="40" w:after="40" w:line="240" w:lineRule="auto"/>
              <w:rPr>
                <w:rFonts w:ascii="Franklin Gothic Book" w:eastAsia="Times New Roman" w:hAnsi="Franklin Gothic Book"/>
                <w:sz w:val="16"/>
                <w:szCs w:val="16"/>
              </w:rPr>
            </w:pPr>
            <w:bookmarkStart w:id="4" w:name="_Hlk16684334"/>
          </w:p>
        </w:tc>
        <w:tc>
          <w:tcPr>
            <w:tcW w:w="817" w:type="pct"/>
          </w:tcPr>
          <w:p w14:paraId="54F4A190" w14:textId="428F2B85" w:rsidR="005A4D66" w:rsidRPr="00EB093E" w:rsidRDefault="005A4D66" w:rsidP="008F3586">
            <w:pPr>
              <w:suppressAutoHyphens w:val="0"/>
              <w:snapToGrid w:val="0"/>
              <w:spacing w:before="40" w:after="40" w:line="240" w:lineRule="auto"/>
              <w:rPr>
                <w:rFonts w:ascii="Franklin Gothic Book" w:eastAsia="Times New Roman" w:hAnsi="Franklin Gothic Book"/>
                <w:sz w:val="16"/>
                <w:szCs w:val="16"/>
              </w:rPr>
            </w:pPr>
            <w:r w:rsidRPr="005A4D66">
              <w:rPr>
                <w:rFonts w:ascii="Franklin Gothic Book" w:eastAsia="Times New Roman" w:hAnsi="Franklin Gothic Book"/>
                <w:sz w:val="16"/>
                <w:szCs w:val="16"/>
              </w:rPr>
              <w:t>Better functioning national policy and financing environment for SME scale-up (</w:t>
            </w:r>
            <w:r w:rsidR="008F3586">
              <w:rPr>
                <w:rFonts w:ascii="Franklin Gothic Book" w:eastAsia="Times New Roman" w:hAnsi="Franklin Gothic Book"/>
                <w:sz w:val="16"/>
                <w:szCs w:val="16"/>
              </w:rPr>
              <w:t xml:space="preserve">Target: </w:t>
            </w:r>
            <w:r w:rsidRPr="005A4D66">
              <w:rPr>
                <w:rFonts w:ascii="Franklin Gothic Book" w:eastAsia="Times New Roman" w:hAnsi="Franklin Gothic Book"/>
                <w:sz w:val="16"/>
                <w:szCs w:val="16"/>
              </w:rPr>
              <w:t xml:space="preserve">Evidence of effective implementation of private sector development regulations, policies and programmes, </w:t>
            </w:r>
            <w:r w:rsidRPr="005A4D66">
              <w:rPr>
                <w:rFonts w:ascii="Franklin Gothic Book" w:eastAsia="Times New Roman" w:hAnsi="Franklin Gothic Book"/>
                <w:iCs/>
                <w:sz w:val="16"/>
                <w:szCs w:val="16"/>
              </w:rPr>
              <w:t xml:space="preserve">financing mechanism, expanded market access </w:t>
            </w:r>
            <w:r w:rsidR="008F3586">
              <w:rPr>
                <w:rFonts w:ascii="Franklin Gothic Book" w:eastAsia="Times New Roman" w:hAnsi="Franklin Gothic Book"/>
                <w:iCs/>
                <w:sz w:val="16"/>
                <w:szCs w:val="16"/>
              </w:rPr>
              <w:t xml:space="preserve">- </w:t>
            </w:r>
            <w:r w:rsidRPr="005A4D66">
              <w:rPr>
                <w:rFonts w:ascii="Franklin Gothic Book" w:eastAsia="Times New Roman" w:hAnsi="Franklin Gothic Book"/>
                <w:iCs/>
                <w:sz w:val="16"/>
                <w:szCs w:val="16"/>
              </w:rPr>
              <w:t xml:space="preserve">focus on women led enterprises and young entrepreneurs) </w:t>
            </w:r>
          </w:p>
        </w:tc>
        <w:tc>
          <w:tcPr>
            <w:tcW w:w="452" w:type="pct"/>
            <w:shd w:val="clear" w:color="auto" w:fill="72AF2F"/>
          </w:tcPr>
          <w:p w14:paraId="0E1617DB" w14:textId="77777777" w:rsidR="005A4D66" w:rsidRPr="005A4D66" w:rsidRDefault="005A4D66" w:rsidP="005A4D66">
            <w:pPr>
              <w:suppressAutoHyphens w:val="0"/>
              <w:snapToGrid w:val="0"/>
              <w:spacing w:before="40" w:after="40" w:line="240" w:lineRule="auto"/>
              <w:jc w:val="center"/>
              <w:rPr>
                <w:rFonts w:asciiTheme="minorHAnsi" w:eastAsia="Times New Roman" w:hAnsiTheme="minorHAnsi" w:cs="Times New Roman"/>
                <w:iCs/>
                <w:color w:val="FFFFFF" w:themeColor="background1"/>
                <w:szCs w:val="17"/>
                <w:lang w:val="en-AU"/>
              </w:rPr>
            </w:pPr>
            <w:r w:rsidRPr="005A4D66">
              <w:rPr>
                <w:rFonts w:asciiTheme="minorHAnsi" w:eastAsia="Times New Roman" w:hAnsiTheme="minorHAnsi" w:cs="Times New Roman"/>
                <w:iCs/>
                <w:color w:val="FFFFFF" w:themeColor="background1"/>
                <w:szCs w:val="17"/>
                <w:lang w:val="en-AU"/>
              </w:rPr>
              <w:t>Achieved</w:t>
            </w:r>
          </w:p>
        </w:tc>
        <w:tc>
          <w:tcPr>
            <w:tcW w:w="3078" w:type="pct"/>
          </w:tcPr>
          <w:p w14:paraId="423E5B3D" w14:textId="26D0F72F" w:rsidR="005A4D66" w:rsidRPr="008F3586" w:rsidRDefault="005A4D66" w:rsidP="005A4D66">
            <w:pPr>
              <w:spacing w:before="60" w:line="264" w:lineRule="auto"/>
              <w:rPr>
                <w:rFonts w:eastAsia="Times New Roman"/>
                <w:sz w:val="16"/>
                <w:szCs w:val="16"/>
                <w:lang w:val="en-AU"/>
              </w:rPr>
            </w:pPr>
            <w:r w:rsidRPr="005A4D66">
              <w:rPr>
                <w:rFonts w:ascii="Franklin Gothic Book" w:eastAsia="Times New Roman" w:hAnsi="Franklin Gothic Book"/>
                <w:sz w:val="16"/>
                <w:szCs w:val="16"/>
              </w:rPr>
              <w:t xml:space="preserve">MBI met its performance benchmark. It has improved the </w:t>
            </w:r>
            <w:proofErr w:type="gramStart"/>
            <w:r w:rsidRPr="005A4D66">
              <w:rPr>
                <w:rFonts w:ascii="Franklin Gothic Book" w:eastAsia="Times New Roman" w:hAnsi="Franklin Gothic Book"/>
                <w:sz w:val="16"/>
                <w:szCs w:val="16"/>
              </w:rPr>
              <w:t>business enabling</w:t>
            </w:r>
            <w:proofErr w:type="gramEnd"/>
            <w:r w:rsidRPr="005A4D66">
              <w:rPr>
                <w:rFonts w:ascii="Franklin Gothic Book" w:eastAsia="Times New Roman" w:hAnsi="Franklin Gothic Book"/>
                <w:sz w:val="16"/>
                <w:szCs w:val="16"/>
              </w:rPr>
              <w:t xml:space="preserve"> environment for SMEs in CLMV</w:t>
            </w:r>
            <w:r w:rsidR="0099334D">
              <w:rPr>
                <w:rFonts w:ascii="Franklin Gothic Book" w:eastAsia="Times New Roman" w:hAnsi="Franklin Gothic Book"/>
                <w:sz w:val="16"/>
                <w:szCs w:val="16"/>
              </w:rPr>
              <w:t xml:space="preserve">. </w:t>
            </w:r>
            <w:proofErr w:type="gramStart"/>
            <w:r w:rsidRPr="005A4D66">
              <w:rPr>
                <w:rFonts w:ascii="Franklin Gothic Book" w:eastAsia="Times New Roman" w:hAnsi="Franklin Gothic Book"/>
                <w:sz w:val="16"/>
                <w:szCs w:val="16"/>
              </w:rPr>
              <w:t>In 2018, there were two additional business regulations created or changed, bringing the total to 18 – (</w:t>
            </w:r>
            <w:proofErr w:type="spellStart"/>
            <w:r w:rsidRPr="005A4D66">
              <w:rPr>
                <w:rFonts w:ascii="Franklin Gothic Book" w:eastAsia="Times New Roman" w:hAnsi="Franklin Gothic Book"/>
                <w:sz w:val="16"/>
                <w:szCs w:val="16"/>
              </w:rPr>
              <w:t>i</w:t>
            </w:r>
            <w:proofErr w:type="spellEnd"/>
            <w:r w:rsidRPr="005A4D66">
              <w:rPr>
                <w:rFonts w:ascii="Franklin Gothic Book" w:eastAsia="Times New Roman" w:hAnsi="Franklin Gothic Book"/>
                <w:sz w:val="16"/>
                <w:szCs w:val="16"/>
              </w:rPr>
              <w:t>) the Provincial Facilitation for Investment and Trade Index in Lao PDR (</w:t>
            </w:r>
            <w:proofErr w:type="spellStart"/>
            <w:r w:rsidRPr="005A4D66">
              <w:rPr>
                <w:rFonts w:ascii="Franklin Gothic Book" w:eastAsia="Times New Roman" w:hAnsi="Franklin Gothic Book"/>
                <w:sz w:val="16"/>
                <w:szCs w:val="16"/>
              </w:rPr>
              <w:t>ProFIT</w:t>
            </w:r>
            <w:proofErr w:type="spellEnd"/>
            <w:r w:rsidRPr="005A4D66">
              <w:rPr>
                <w:rFonts w:ascii="Franklin Gothic Book" w:eastAsia="Times New Roman" w:hAnsi="Franklin Gothic Book"/>
                <w:sz w:val="16"/>
                <w:szCs w:val="16"/>
              </w:rPr>
              <w:t>) used as a means of prosecuting regulatory reform, enhancing transparency and thus improving future investment settings for SMEs; (ii) the launch of the Myanmar Companies Online Registry (</w:t>
            </w:r>
            <w:proofErr w:type="spellStart"/>
            <w:r w:rsidRPr="005A4D66">
              <w:rPr>
                <w:rFonts w:ascii="Franklin Gothic Book" w:eastAsia="Times New Roman" w:hAnsi="Franklin Gothic Book"/>
                <w:sz w:val="16"/>
                <w:szCs w:val="16"/>
              </w:rPr>
              <w:t>MyCO</w:t>
            </w:r>
            <w:proofErr w:type="spellEnd"/>
            <w:r w:rsidRPr="005A4D66">
              <w:rPr>
                <w:rFonts w:ascii="Franklin Gothic Book" w:eastAsia="Times New Roman" w:hAnsi="Franklin Gothic Book"/>
                <w:sz w:val="16"/>
                <w:szCs w:val="16"/>
              </w:rPr>
              <w:t>) which provides a transparent and easier means of business registration in Myanmar leading to about 20,000 registrations.</w:t>
            </w:r>
            <w:proofErr w:type="gramEnd"/>
            <w:r w:rsidRPr="005A4D66">
              <w:rPr>
                <w:rFonts w:ascii="Franklin Gothic Book" w:eastAsia="Times New Roman" w:hAnsi="Franklin Gothic Book"/>
                <w:sz w:val="16"/>
                <w:szCs w:val="16"/>
              </w:rPr>
              <w:t xml:space="preserve"> MBI’s successful Fintech Challenge Vietnam stimulated interest across several AMS and is supporting a more regionally integrated </w:t>
            </w:r>
            <w:proofErr w:type="spellStart"/>
            <w:r w:rsidRPr="005A4D66">
              <w:rPr>
                <w:rFonts w:ascii="Franklin Gothic Book" w:eastAsia="Times New Roman" w:hAnsi="Franklin Gothic Book"/>
                <w:sz w:val="16"/>
                <w:szCs w:val="16"/>
              </w:rPr>
              <w:t>fintech</w:t>
            </w:r>
            <w:proofErr w:type="spellEnd"/>
            <w:r w:rsidRPr="005A4D66">
              <w:rPr>
                <w:rFonts w:ascii="Franklin Gothic Book" w:eastAsia="Times New Roman" w:hAnsi="Franklin Gothic Book"/>
                <w:sz w:val="16"/>
                <w:szCs w:val="16"/>
              </w:rPr>
              <w:t xml:space="preserve"> market for businesses</w:t>
            </w:r>
            <w:r w:rsidR="0099334D">
              <w:rPr>
                <w:rFonts w:ascii="Franklin Gothic Book" w:eastAsia="Times New Roman" w:hAnsi="Franklin Gothic Book"/>
                <w:sz w:val="16"/>
                <w:szCs w:val="16"/>
              </w:rPr>
              <w:t xml:space="preserve">. </w:t>
            </w:r>
            <w:r w:rsidR="005F0CF6" w:rsidRPr="005F0CF6">
              <w:rPr>
                <w:rFonts w:ascii="Franklin Gothic Book" w:eastAsia="Times New Roman" w:hAnsi="Franklin Gothic Book"/>
                <w:sz w:val="16"/>
                <w:szCs w:val="16"/>
              </w:rPr>
              <w:t xml:space="preserve">An additional USD15.3million of private sector funds </w:t>
            </w:r>
            <w:proofErr w:type="gramStart"/>
            <w:r w:rsidR="005F0CF6" w:rsidRPr="005F0CF6">
              <w:rPr>
                <w:rFonts w:ascii="Franklin Gothic Book" w:eastAsia="Times New Roman" w:hAnsi="Franklin Gothic Book"/>
                <w:sz w:val="16"/>
                <w:szCs w:val="16"/>
              </w:rPr>
              <w:t>were leveraged</w:t>
            </w:r>
            <w:proofErr w:type="gramEnd"/>
            <w:r w:rsidR="005F0CF6" w:rsidRPr="005F0CF6">
              <w:rPr>
                <w:rFonts w:ascii="Franklin Gothic Book" w:eastAsia="Times New Roman" w:hAnsi="Franklin Gothic Book"/>
                <w:sz w:val="16"/>
                <w:szCs w:val="16"/>
              </w:rPr>
              <w:t>, for example, by companies graduating from MBI’s current and past accelerator programs and other MBI supported investor networks</w:t>
            </w:r>
            <w:r w:rsidR="0099334D">
              <w:rPr>
                <w:rFonts w:ascii="Franklin Gothic Book" w:eastAsia="Times New Roman" w:hAnsi="Franklin Gothic Book"/>
                <w:sz w:val="16"/>
                <w:szCs w:val="16"/>
              </w:rPr>
              <w:t xml:space="preserve">. </w:t>
            </w:r>
            <w:r w:rsidR="005F0CF6" w:rsidRPr="00496AD3">
              <w:rPr>
                <w:rFonts w:ascii="Franklin Gothic Book" w:eastAsia="Times New Roman" w:hAnsi="Franklin Gothic Book"/>
                <w:sz w:val="16"/>
                <w:szCs w:val="16"/>
              </w:rPr>
              <w:t xml:space="preserve">In 2018, an additional industry accelerator was launched and completed - </w:t>
            </w:r>
            <w:r w:rsidR="00237C82" w:rsidRPr="00496AD3">
              <w:rPr>
                <w:rFonts w:ascii="Franklin Gothic Book" w:eastAsia="Times New Roman" w:hAnsi="Franklin Gothic Book"/>
                <w:sz w:val="16"/>
                <w:szCs w:val="16"/>
              </w:rPr>
              <w:t>WISE</w:t>
            </w:r>
            <w:r w:rsidR="005F0CF6" w:rsidRPr="00496AD3">
              <w:rPr>
                <w:rFonts w:ascii="Franklin Gothic Book" w:eastAsia="Times New Roman" w:hAnsi="Franklin Gothic Book"/>
                <w:sz w:val="16"/>
                <w:szCs w:val="16"/>
              </w:rPr>
              <w:t xml:space="preserve"> Women Innovation Challenge - the first competition exclusively for women in the Mekong region; the 12 </w:t>
            </w:r>
            <w:proofErr w:type="gramStart"/>
            <w:r w:rsidR="005F0CF6" w:rsidRPr="00496AD3">
              <w:rPr>
                <w:rFonts w:ascii="Franklin Gothic Book" w:eastAsia="Times New Roman" w:hAnsi="Franklin Gothic Book"/>
                <w:sz w:val="16"/>
                <w:szCs w:val="16"/>
              </w:rPr>
              <w:t>finalists</w:t>
            </w:r>
            <w:proofErr w:type="gramEnd"/>
            <w:r w:rsidR="005F0CF6" w:rsidRPr="00496AD3">
              <w:rPr>
                <w:rFonts w:ascii="Franklin Gothic Book" w:eastAsia="Times New Roman" w:hAnsi="Franklin Gothic Book"/>
                <w:sz w:val="16"/>
                <w:szCs w:val="16"/>
              </w:rPr>
              <w:t xml:space="preserve"> </w:t>
            </w:r>
            <w:r w:rsidR="00237C82" w:rsidRPr="00496AD3">
              <w:rPr>
                <w:rFonts w:ascii="Franklin Gothic Book" w:eastAsia="Times New Roman" w:hAnsi="Franklin Gothic Book"/>
                <w:sz w:val="16"/>
                <w:szCs w:val="16"/>
              </w:rPr>
              <w:t>secured</w:t>
            </w:r>
            <w:r w:rsidR="005F0CF6" w:rsidRPr="00496AD3">
              <w:rPr>
                <w:rFonts w:ascii="Franklin Gothic Book" w:eastAsia="Times New Roman" w:hAnsi="Franklin Gothic Book"/>
                <w:sz w:val="16"/>
                <w:szCs w:val="16"/>
              </w:rPr>
              <w:t xml:space="preserve"> investments totalling over USD2.4 million</w:t>
            </w:r>
            <w:r w:rsidR="0099334D" w:rsidRPr="00496AD3">
              <w:rPr>
                <w:rFonts w:ascii="Franklin Gothic Book" w:eastAsia="Times New Roman" w:hAnsi="Franklin Gothic Book"/>
                <w:sz w:val="16"/>
                <w:szCs w:val="16"/>
              </w:rPr>
              <w:t>.</w:t>
            </w:r>
            <w:r w:rsidR="0099334D">
              <w:rPr>
                <w:rFonts w:eastAsia="Times New Roman"/>
                <w:sz w:val="16"/>
                <w:szCs w:val="16"/>
                <w:lang w:val="en-AU"/>
              </w:rPr>
              <w:t xml:space="preserve"> </w:t>
            </w:r>
          </w:p>
        </w:tc>
      </w:tr>
      <w:bookmarkEnd w:id="4"/>
      <w:tr w:rsidR="005A4D66" w:rsidRPr="005A4D66" w14:paraId="71B5CDAA" w14:textId="77777777" w:rsidTr="007B441B">
        <w:trPr>
          <w:trHeight w:val="80"/>
        </w:trPr>
        <w:tc>
          <w:tcPr>
            <w:tcW w:w="653" w:type="pct"/>
          </w:tcPr>
          <w:p w14:paraId="242535B2" w14:textId="77777777" w:rsidR="005A4D66" w:rsidRPr="005A4D66" w:rsidRDefault="005A4D66" w:rsidP="005A4D66">
            <w:pPr>
              <w:suppressAutoHyphens w:val="0"/>
              <w:snapToGrid w:val="0"/>
              <w:spacing w:before="40" w:after="40" w:line="240" w:lineRule="auto"/>
              <w:rPr>
                <w:rFonts w:asciiTheme="minorHAnsi" w:eastAsia="Times New Roman" w:hAnsiTheme="minorHAnsi" w:cs="Times New Roman"/>
                <w:iCs/>
                <w:color w:val="auto"/>
                <w:szCs w:val="17"/>
                <w:lang w:val="en-AU"/>
              </w:rPr>
            </w:pPr>
          </w:p>
        </w:tc>
        <w:tc>
          <w:tcPr>
            <w:tcW w:w="817" w:type="pct"/>
          </w:tcPr>
          <w:p w14:paraId="34EC3445" w14:textId="62D3E7D6" w:rsidR="005A4D66" w:rsidRPr="005A4D66" w:rsidRDefault="005A4D66" w:rsidP="005A4D66">
            <w:pPr>
              <w:suppressAutoHyphens w:val="0"/>
              <w:snapToGrid w:val="0"/>
              <w:spacing w:before="40" w:after="40" w:line="240" w:lineRule="auto"/>
              <w:rPr>
                <w:rFonts w:ascii="Franklin Gothic Book" w:eastAsia="Times New Roman" w:hAnsi="Franklin Gothic Book"/>
                <w:sz w:val="16"/>
                <w:szCs w:val="16"/>
              </w:rPr>
            </w:pPr>
            <w:r w:rsidRPr="005A4D66">
              <w:rPr>
                <w:rFonts w:ascii="Franklin Gothic Book" w:eastAsia="Times New Roman" w:hAnsi="Franklin Gothic Book"/>
                <w:sz w:val="16"/>
                <w:szCs w:val="16"/>
              </w:rPr>
              <w:t>Number of challenge fund grant agreement frameworks that include women’s financial inclusion under implementation – (Target: 2 new agreements)</w:t>
            </w:r>
          </w:p>
        </w:tc>
        <w:tc>
          <w:tcPr>
            <w:tcW w:w="452" w:type="pct"/>
            <w:shd w:val="clear" w:color="auto" w:fill="72AF2F"/>
          </w:tcPr>
          <w:p w14:paraId="649DFE93" w14:textId="77777777" w:rsidR="005A4D66" w:rsidRPr="005A4D66" w:rsidRDefault="005A4D66" w:rsidP="00EB093E">
            <w:pPr>
              <w:suppressAutoHyphens w:val="0"/>
              <w:snapToGrid w:val="0"/>
              <w:spacing w:before="40" w:after="40" w:line="240" w:lineRule="auto"/>
              <w:rPr>
                <w:rFonts w:asciiTheme="minorHAnsi" w:eastAsia="Times New Roman" w:hAnsiTheme="minorHAnsi" w:cs="Times New Roman"/>
                <w:iCs/>
                <w:color w:val="auto"/>
                <w:szCs w:val="17"/>
                <w:lang w:val="en-AU"/>
              </w:rPr>
            </w:pPr>
            <w:r w:rsidRPr="005A4D66">
              <w:rPr>
                <w:rFonts w:asciiTheme="minorHAnsi" w:eastAsia="Times New Roman" w:hAnsiTheme="minorHAnsi" w:cs="Times New Roman"/>
                <w:iCs/>
                <w:color w:val="FFFFFF" w:themeColor="background1"/>
                <w:szCs w:val="17"/>
                <w:lang w:val="en-AU"/>
              </w:rPr>
              <w:t>Achieved</w:t>
            </w:r>
          </w:p>
        </w:tc>
        <w:tc>
          <w:tcPr>
            <w:tcW w:w="3078" w:type="pct"/>
          </w:tcPr>
          <w:p w14:paraId="1C3C407F" w14:textId="276460D9" w:rsidR="005A4D66" w:rsidRPr="005A4D66" w:rsidRDefault="005A4D66" w:rsidP="005A4D66">
            <w:pPr>
              <w:suppressAutoHyphens w:val="0"/>
              <w:snapToGrid w:val="0"/>
              <w:spacing w:before="0" w:after="0" w:line="240" w:lineRule="auto"/>
              <w:rPr>
                <w:rFonts w:ascii="Franklin Gothic Book" w:eastAsia="Times New Roman" w:hAnsi="Franklin Gothic Book"/>
                <w:sz w:val="16"/>
                <w:szCs w:val="16"/>
              </w:rPr>
            </w:pPr>
            <w:r w:rsidRPr="005A4D66">
              <w:rPr>
                <w:rFonts w:ascii="Franklin Gothic Book" w:eastAsia="Times New Roman" w:hAnsi="Franklin Gothic Book"/>
                <w:sz w:val="16"/>
                <w:szCs w:val="16"/>
              </w:rPr>
              <w:t>SHIFT met its performance benchmark. In 2018/19,</w:t>
            </w:r>
            <w:r w:rsidR="00A12C0D">
              <w:rPr>
                <w:rFonts w:ascii="Franklin Gothic Book" w:eastAsia="Times New Roman" w:hAnsi="Franklin Gothic Book"/>
                <w:sz w:val="16"/>
                <w:szCs w:val="16"/>
              </w:rPr>
              <w:t xml:space="preserve"> 3 new remittance agreements </w:t>
            </w:r>
            <w:proofErr w:type="gramStart"/>
            <w:r w:rsidR="00A12C0D">
              <w:rPr>
                <w:rFonts w:ascii="Franklin Gothic Book" w:eastAsia="Times New Roman" w:hAnsi="Franklin Gothic Book"/>
                <w:sz w:val="16"/>
                <w:szCs w:val="16"/>
              </w:rPr>
              <w:t>were signed</w:t>
            </w:r>
            <w:proofErr w:type="gramEnd"/>
            <w:r w:rsidR="00A12C0D">
              <w:rPr>
                <w:rFonts w:ascii="Franklin Gothic Book" w:eastAsia="Times New Roman" w:hAnsi="Franklin Gothic Book"/>
                <w:sz w:val="16"/>
                <w:szCs w:val="16"/>
              </w:rPr>
              <w:t>, exceeding targets with 80,000 transfers (see above).</w:t>
            </w:r>
            <w:r w:rsidRPr="005A4D66">
              <w:rPr>
                <w:rFonts w:ascii="Franklin Gothic Book" w:eastAsia="Times New Roman" w:hAnsi="Franklin Gothic Book"/>
                <w:sz w:val="16"/>
                <w:szCs w:val="16"/>
              </w:rPr>
              <w:t xml:space="preserve"> 12 projects were under implementation and 8 on track against set program milestones</w:t>
            </w:r>
            <w:r w:rsidR="00A12C0D">
              <w:rPr>
                <w:rFonts w:ascii="Franklin Gothic Book" w:eastAsia="Times New Roman" w:hAnsi="Franklin Gothic Book"/>
                <w:sz w:val="16"/>
                <w:szCs w:val="16"/>
              </w:rPr>
              <w:t xml:space="preserve"> (2018)</w:t>
            </w:r>
            <w:r w:rsidR="0099334D">
              <w:rPr>
                <w:rFonts w:ascii="Franklin Gothic Book" w:eastAsia="Times New Roman" w:hAnsi="Franklin Gothic Book"/>
                <w:sz w:val="16"/>
                <w:szCs w:val="16"/>
              </w:rPr>
              <w:t xml:space="preserve">. </w:t>
            </w:r>
            <w:r w:rsidRPr="005A4D66">
              <w:rPr>
                <w:rFonts w:ascii="Franklin Gothic Book" w:eastAsia="Times New Roman" w:hAnsi="Franklin Gothic Book"/>
                <w:sz w:val="16"/>
                <w:szCs w:val="16"/>
              </w:rPr>
              <w:t xml:space="preserve">The Challenge Fund Facility </w:t>
            </w:r>
            <w:proofErr w:type="gramStart"/>
            <w:r w:rsidRPr="005A4D66">
              <w:rPr>
                <w:rFonts w:ascii="Franklin Gothic Book" w:eastAsia="Times New Roman" w:hAnsi="Franklin Gothic Book"/>
                <w:sz w:val="16"/>
                <w:szCs w:val="16"/>
              </w:rPr>
              <w:t>has been further applied</w:t>
            </w:r>
            <w:proofErr w:type="gramEnd"/>
            <w:r w:rsidRPr="005A4D66">
              <w:rPr>
                <w:rFonts w:ascii="Franklin Gothic Book" w:eastAsia="Times New Roman" w:hAnsi="Franklin Gothic Book"/>
                <w:sz w:val="16"/>
                <w:szCs w:val="16"/>
              </w:rPr>
              <w:t xml:space="preserve"> in Indonesia, and across the Asia-Pacific (including ASEAN) to support Women’s MSME innovation funds. </w:t>
            </w:r>
            <w:r w:rsidR="00A12C0D">
              <w:rPr>
                <w:rFonts w:ascii="Franklin Gothic Book" w:eastAsia="Times New Roman" w:hAnsi="Franklin Gothic Book"/>
                <w:sz w:val="16"/>
                <w:szCs w:val="16"/>
              </w:rPr>
              <w:t>In 2018</w:t>
            </w:r>
            <w:r w:rsidRPr="005A4D66">
              <w:rPr>
                <w:rFonts w:ascii="Franklin Gothic Book" w:eastAsia="Times New Roman" w:hAnsi="Franklin Gothic Book"/>
                <w:sz w:val="16"/>
                <w:szCs w:val="16"/>
              </w:rPr>
              <w:t>, over 516,000 additional direct beneficiaries (38% women) accessed services</w:t>
            </w:r>
            <w:bookmarkStart w:id="5" w:name="_Hlk14958183"/>
            <w:r w:rsidRPr="005A4D66">
              <w:rPr>
                <w:rFonts w:ascii="Franklin Gothic Book" w:eastAsia="Times New Roman" w:hAnsi="Franklin Gothic Book"/>
                <w:sz w:val="16"/>
                <w:szCs w:val="16"/>
              </w:rPr>
              <w:t>.</w:t>
            </w:r>
            <w:bookmarkEnd w:id="5"/>
            <w:r w:rsidRPr="005A4D66">
              <w:rPr>
                <w:rFonts w:ascii="Franklin Gothic Book" w:eastAsia="Times New Roman" w:hAnsi="Franklin Gothic Book"/>
                <w:sz w:val="16"/>
                <w:szCs w:val="16"/>
              </w:rPr>
              <w:t xml:space="preserve"> </w:t>
            </w:r>
          </w:p>
          <w:p w14:paraId="4E82FB9D" w14:textId="77777777" w:rsidR="005A4D66" w:rsidRPr="005A4D66" w:rsidRDefault="005A4D66" w:rsidP="005A4D66">
            <w:pPr>
              <w:suppressAutoHyphens w:val="0"/>
              <w:snapToGrid w:val="0"/>
              <w:spacing w:before="0" w:after="0" w:line="240" w:lineRule="auto"/>
              <w:rPr>
                <w:rFonts w:ascii="Franklin Gothic Book" w:eastAsia="Times New Roman" w:hAnsi="Franklin Gothic Book"/>
                <w:iCs/>
                <w:sz w:val="16"/>
                <w:szCs w:val="16"/>
              </w:rPr>
            </w:pPr>
          </w:p>
          <w:p w14:paraId="11FB87B6" w14:textId="77777777" w:rsidR="005A4D66" w:rsidRPr="005A4D66" w:rsidRDefault="005A4D66" w:rsidP="005A4D66">
            <w:pPr>
              <w:suppressAutoHyphens w:val="0"/>
              <w:snapToGrid w:val="0"/>
              <w:spacing w:before="0" w:after="0" w:line="240" w:lineRule="auto"/>
              <w:rPr>
                <w:rFonts w:ascii="Franklin Gothic Book" w:eastAsia="Times New Roman" w:hAnsi="Franklin Gothic Book"/>
                <w:sz w:val="16"/>
                <w:szCs w:val="16"/>
              </w:rPr>
            </w:pPr>
          </w:p>
          <w:p w14:paraId="79920424" w14:textId="77777777" w:rsidR="005A4D66" w:rsidRPr="005A4D66" w:rsidRDefault="005A4D66" w:rsidP="005A4D66">
            <w:pPr>
              <w:suppressAutoHyphens w:val="0"/>
              <w:snapToGrid w:val="0"/>
              <w:spacing w:before="0" w:after="0" w:line="240" w:lineRule="auto"/>
              <w:rPr>
                <w:rFonts w:asciiTheme="minorHAnsi" w:eastAsia="Times New Roman" w:hAnsiTheme="minorHAnsi" w:cs="Times New Roman"/>
                <w:iCs/>
                <w:color w:val="auto"/>
                <w:szCs w:val="17"/>
                <w:lang w:val="en-AU"/>
              </w:rPr>
            </w:pPr>
          </w:p>
        </w:tc>
      </w:tr>
      <w:tr w:rsidR="005A4D66" w:rsidRPr="005A4D66" w14:paraId="4A983FB4" w14:textId="77777777" w:rsidTr="0099334D">
        <w:trPr>
          <w:trHeight w:val="750"/>
          <w:tblHeader/>
        </w:trPr>
        <w:tc>
          <w:tcPr>
            <w:tcW w:w="653" w:type="pct"/>
            <w:tcMar>
              <w:top w:w="57" w:type="dxa"/>
              <w:bottom w:w="57" w:type="dxa"/>
            </w:tcMar>
          </w:tcPr>
          <w:p w14:paraId="669FE4DF" w14:textId="77777777" w:rsidR="005A4D66" w:rsidRPr="005A4D66" w:rsidRDefault="005A4D66" w:rsidP="005A4D66">
            <w:pPr>
              <w:suppressAutoHyphens w:val="0"/>
              <w:snapToGrid w:val="0"/>
              <w:spacing w:before="40" w:after="40" w:line="240" w:lineRule="auto"/>
              <w:rPr>
                <w:rFonts w:asciiTheme="minorHAnsi" w:eastAsia="Times New Roman" w:hAnsiTheme="minorHAnsi" w:cs="Times New Roman"/>
                <w:iCs/>
                <w:color w:val="auto"/>
                <w:szCs w:val="17"/>
                <w:lang w:val="en-AU"/>
              </w:rPr>
            </w:pPr>
          </w:p>
        </w:tc>
        <w:tc>
          <w:tcPr>
            <w:tcW w:w="817" w:type="pct"/>
          </w:tcPr>
          <w:p w14:paraId="1F1C316E" w14:textId="216080A3" w:rsidR="005A4D66" w:rsidRPr="005A4D66" w:rsidRDefault="005A4D66" w:rsidP="005A4D66">
            <w:pPr>
              <w:suppressAutoHyphens w:val="0"/>
              <w:autoSpaceDE w:val="0"/>
              <w:autoSpaceDN w:val="0"/>
              <w:adjustRightInd w:val="0"/>
              <w:spacing w:before="0" w:after="0" w:line="240" w:lineRule="auto"/>
              <w:rPr>
                <w:rFonts w:ascii="Franklin Gothic Book" w:eastAsia="Times New Roman" w:hAnsi="Franklin Gothic Book"/>
                <w:sz w:val="16"/>
                <w:szCs w:val="16"/>
              </w:rPr>
            </w:pPr>
            <w:r w:rsidRPr="005A4D66">
              <w:rPr>
                <w:rFonts w:ascii="Franklin Gothic Book" w:eastAsia="Times New Roman" w:hAnsi="Franklin Gothic Book"/>
                <w:sz w:val="16"/>
                <w:szCs w:val="16"/>
              </w:rPr>
              <w:t xml:space="preserve">Legal frameworks in place for pilot implementation of the </w:t>
            </w:r>
            <w:r w:rsidR="008F3586">
              <w:rPr>
                <w:rFonts w:ascii="Franklin Gothic Book" w:eastAsia="Times New Roman" w:hAnsi="Franklin Gothic Book"/>
                <w:sz w:val="16"/>
                <w:szCs w:val="16"/>
              </w:rPr>
              <w:t>CBTA.</w:t>
            </w:r>
            <w:r w:rsidRPr="005A4D66">
              <w:rPr>
                <w:rFonts w:ascii="Franklin Gothic Book" w:eastAsia="Times New Roman" w:hAnsi="Franklin Gothic Book"/>
                <w:sz w:val="16"/>
                <w:szCs w:val="16"/>
              </w:rPr>
              <w:t xml:space="preserve"> (</w:t>
            </w:r>
            <w:r w:rsidR="008F3586">
              <w:rPr>
                <w:rFonts w:ascii="Franklin Gothic Book" w:eastAsia="Times New Roman" w:hAnsi="Franklin Gothic Book"/>
                <w:sz w:val="16"/>
                <w:szCs w:val="16"/>
              </w:rPr>
              <w:t xml:space="preserve">Target: </w:t>
            </w:r>
            <w:r w:rsidRPr="005A4D66">
              <w:rPr>
                <w:rFonts w:ascii="Franklin Gothic Book" w:eastAsia="Times New Roman" w:hAnsi="Franklin Gothic Book"/>
                <w:sz w:val="16"/>
                <w:szCs w:val="16"/>
              </w:rPr>
              <w:t>Updating of CBTA has been informed by pilot learning)</w:t>
            </w:r>
          </w:p>
          <w:p w14:paraId="17A10A73" w14:textId="77777777" w:rsidR="005A4D66" w:rsidRPr="005A4D66" w:rsidRDefault="005A4D66" w:rsidP="005A4D66">
            <w:pPr>
              <w:suppressAutoHyphens w:val="0"/>
              <w:autoSpaceDE w:val="0"/>
              <w:autoSpaceDN w:val="0"/>
              <w:adjustRightInd w:val="0"/>
              <w:spacing w:before="0" w:after="0" w:line="240" w:lineRule="auto"/>
              <w:rPr>
                <w:rFonts w:ascii="Calibri Light" w:hAnsi="Calibri Light"/>
                <w:iCs/>
                <w:sz w:val="16"/>
                <w:szCs w:val="16"/>
              </w:rPr>
            </w:pPr>
          </w:p>
        </w:tc>
        <w:tc>
          <w:tcPr>
            <w:tcW w:w="452" w:type="pct"/>
            <w:shd w:val="clear" w:color="auto" w:fill="73AF2F"/>
          </w:tcPr>
          <w:p w14:paraId="181AAE2E" w14:textId="77777777" w:rsidR="005A4D66" w:rsidRPr="005A4D66" w:rsidRDefault="005A4D66" w:rsidP="007B441B">
            <w:pPr>
              <w:suppressAutoHyphens w:val="0"/>
              <w:snapToGrid w:val="0"/>
              <w:spacing w:before="40" w:after="40" w:line="240" w:lineRule="auto"/>
              <w:rPr>
                <w:rFonts w:asciiTheme="minorHAnsi" w:eastAsia="Times New Roman" w:hAnsiTheme="minorHAnsi" w:cs="Times New Roman"/>
                <w:iCs/>
                <w:color w:val="FFFFFF" w:themeColor="background1"/>
                <w:szCs w:val="17"/>
                <w:lang w:val="en-AU"/>
              </w:rPr>
            </w:pPr>
            <w:r w:rsidRPr="005A4D66">
              <w:rPr>
                <w:rFonts w:asciiTheme="minorHAnsi" w:eastAsia="Times New Roman" w:hAnsiTheme="minorHAnsi" w:cs="Times New Roman"/>
                <w:iCs/>
                <w:color w:val="FFFFFF" w:themeColor="background1"/>
                <w:szCs w:val="17"/>
                <w:lang w:val="en-AU"/>
              </w:rPr>
              <w:t>Achieved</w:t>
            </w:r>
          </w:p>
        </w:tc>
        <w:tc>
          <w:tcPr>
            <w:tcW w:w="3078" w:type="pct"/>
          </w:tcPr>
          <w:p w14:paraId="5298CA5D" w14:textId="0DBFAC86" w:rsidR="005A4D66" w:rsidRPr="005A4D66" w:rsidRDefault="0093041D" w:rsidP="005A4D66">
            <w:pPr>
              <w:suppressAutoHyphens w:val="0"/>
              <w:snapToGrid w:val="0"/>
              <w:spacing w:before="0" w:after="0" w:line="240" w:lineRule="auto"/>
              <w:rPr>
                <w:rFonts w:ascii="Franklin Gothic Book" w:eastAsia="Times New Roman" w:hAnsi="Franklin Gothic Book" w:cs="Times New Roman"/>
                <w:iCs/>
                <w:color w:val="auto"/>
                <w:sz w:val="16"/>
                <w:szCs w:val="16"/>
              </w:rPr>
            </w:pPr>
            <w:r w:rsidRPr="0093041D">
              <w:rPr>
                <w:rFonts w:ascii="Franklin Gothic Book" w:eastAsia="Times New Roman" w:hAnsi="Franklin Gothic Book"/>
                <w:sz w:val="16"/>
                <w:szCs w:val="16"/>
              </w:rPr>
              <w:t>GMS TTF met its performance benchmark. Operational implementation of the CBTA came into force from 1 August 2018 and has enabled the implementation of the CBTA pilot</w:t>
            </w:r>
            <w:r w:rsidR="0099334D">
              <w:rPr>
                <w:rFonts w:ascii="Franklin Gothic Book" w:eastAsia="Times New Roman" w:hAnsi="Franklin Gothic Book"/>
                <w:sz w:val="16"/>
                <w:szCs w:val="16"/>
              </w:rPr>
              <w:t xml:space="preserve">. </w:t>
            </w:r>
            <w:r w:rsidRPr="0093041D">
              <w:rPr>
                <w:rFonts w:ascii="Franklin Gothic Book" w:eastAsia="Times New Roman" w:hAnsi="Franklin Gothic Book"/>
                <w:sz w:val="16"/>
                <w:szCs w:val="16"/>
              </w:rPr>
              <w:t xml:space="preserve">Updating of CBTA provisions and future route extensions mapping </w:t>
            </w:r>
            <w:proofErr w:type="gramStart"/>
            <w:r w:rsidRPr="0093041D">
              <w:rPr>
                <w:rFonts w:ascii="Franklin Gothic Book" w:eastAsia="Times New Roman" w:hAnsi="Franklin Gothic Book"/>
                <w:sz w:val="16"/>
                <w:szCs w:val="16"/>
              </w:rPr>
              <w:t>were informed</w:t>
            </w:r>
            <w:proofErr w:type="gramEnd"/>
            <w:r w:rsidRPr="0093041D">
              <w:rPr>
                <w:rFonts w:ascii="Franklin Gothic Book" w:eastAsia="Times New Roman" w:hAnsi="Franklin Gothic Book"/>
                <w:sz w:val="16"/>
                <w:szCs w:val="16"/>
              </w:rPr>
              <w:t xml:space="preserve"> by the pilot operations to enable their future availability for the pilot extension</w:t>
            </w:r>
            <w:r w:rsidR="0099334D">
              <w:rPr>
                <w:rFonts w:ascii="Franklin Gothic Book" w:eastAsia="Times New Roman" w:hAnsi="Franklin Gothic Book"/>
                <w:sz w:val="16"/>
                <w:szCs w:val="16"/>
              </w:rPr>
              <w:t xml:space="preserve">. </w:t>
            </w:r>
            <w:r w:rsidRPr="0093041D">
              <w:rPr>
                <w:rFonts w:ascii="Franklin Gothic Book" w:eastAsia="Times New Roman" w:hAnsi="Franklin Gothic Book"/>
                <w:sz w:val="16"/>
                <w:szCs w:val="16"/>
              </w:rPr>
              <w:t>M&amp;E conducted during the pilot operations continue to inform the practical operation of the CBTA and adoption of the CBTA by GMS Member States</w:t>
            </w:r>
            <w:r w:rsidR="0099334D">
              <w:rPr>
                <w:rFonts w:ascii="Franklin Gothic Book" w:eastAsia="Times New Roman" w:hAnsi="Franklin Gothic Book"/>
                <w:sz w:val="16"/>
                <w:szCs w:val="16"/>
              </w:rPr>
              <w:t xml:space="preserve">. </w:t>
            </w:r>
            <w:r w:rsidRPr="0093041D">
              <w:rPr>
                <w:rFonts w:ascii="Franklin Gothic Book" w:eastAsia="Times New Roman" w:hAnsi="Franklin Gothic Book"/>
                <w:sz w:val="16"/>
                <w:szCs w:val="16"/>
              </w:rPr>
              <w:t>GMS Ministers extended the CBTA pilot implementation for an additional two years until 31 May 2021 in line with the expanded routes and border crossings.</w:t>
            </w:r>
          </w:p>
        </w:tc>
      </w:tr>
      <w:tr w:rsidR="005A4D66" w:rsidRPr="005A4D66" w14:paraId="5C431235" w14:textId="77777777" w:rsidTr="008F3586">
        <w:trPr>
          <w:trHeight w:val="1690"/>
          <w:tblHeader/>
        </w:trPr>
        <w:tc>
          <w:tcPr>
            <w:tcW w:w="653" w:type="pct"/>
            <w:tcMar>
              <w:top w:w="57" w:type="dxa"/>
              <w:bottom w:w="57" w:type="dxa"/>
            </w:tcMar>
          </w:tcPr>
          <w:p w14:paraId="4DD0C823" w14:textId="77777777" w:rsidR="005A4D66" w:rsidRPr="005A4D66" w:rsidRDefault="005A4D66" w:rsidP="005A4D66">
            <w:pPr>
              <w:suppressAutoHyphens w:val="0"/>
              <w:snapToGrid w:val="0"/>
              <w:spacing w:before="40" w:after="40" w:line="240" w:lineRule="auto"/>
              <w:rPr>
                <w:rFonts w:asciiTheme="minorHAnsi" w:eastAsia="Times New Roman" w:hAnsiTheme="minorHAnsi" w:cs="Times New Roman"/>
                <w:iCs/>
                <w:color w:val="auto"/>
                <w:szCs w:val="17"/>
                <w:lang w:val="en-AU"/>
              </w:rPr>
            </w:pPr>
          </w:p>
        </w:tc>
        <w:tc>
          <w:tcPr>
            <w:tcW w:w="817" w:type="pct"/>
          </w:tcPr>
          <w:p w14:paraId="15FF0C12" w14:textId="60DA36A9" w:rsidR="005A4D66" w:rsidRPr="005A4D66" w:rsidRDefault="005A4D66" w:rsidP="005A4D66">
            <w:pPr>
              <w:suppressAutoHyphens w:val="0"/>
              <w:snapToGrid w:val="0"/>
              <w:spacing w:before="40" w:after="40" w:line="240" w:lineRule="auto"/>
              <w:rPr>
                <w:rFonts w:ascii="Franklin Gothic Book" w:eastAsia="Times New Roman" w:hAnsi="Franklin Gothic Book"/>
                <w:sz w:val="16"/>
                <w:szCs w:val="16"/>
              </w:rPr>
            </w:pPr>
            <w:r w:rsidRPr="005A4D66">
              <w:rPr>
                <w:rFonts w:ascii="Franklin Gothic Book" w:eastAsia="Times New Roman" w:hAnsi="Franklin Gothic Book"/>
                <w:sz w:val="16"/>
                <w:szCs w:val="16"/>
              </w:rPr>
              <w:t>Strengthened institutional water resource management frameworks (Target: 4)</w:t>
            </w:r>
          </w:p>
          <w:p w14:paraId="747EC336" w14:textId="77777777" w:rsidR="005A4D66" w:rsidRPr="005A4D66" w:rsidRDefault="005A4D66" w:rsidP="005A4D66">
            <w:pPr>
              <w:suppressAutoHyphens w:val="0"/>
              <w:snapToGrid w:val="0"/>
              <w:spacing w:before="40" w:after="40" w:line="240" w:lineRule="auto"/>
              <w:rPr>
                <w:rFonts w:asciiTheme="minorHAnsi" w:eastAsia="Times New Roman" w:hAnsiTheme="minorHAnsi" w:cs="Times New Roman"/>
                <w:iCs/>
                <w:color w:val="auto"/>
                <w:szCs w:val="17"/>
                <w:lang w:val="en-AU"/>
              </w:rPr>
            </w:pPr>
          </w:p>
        </w:tc>
        <w:tc>
          <w:tcPr>
            <w:tcW w:w="452" w:type="pct"/>
            <w:shd w:val="clear" w:color="auto" w:fill="73AF2F"/>
          </w:tcPr>
          <w:p w14:paraId="3E13E30E" w14:textId="77777777" w:rsidR="005A4D66" w:rsidRPr="005A4D66" w:rsidRDefault="005A4D66" w:rsidP="005A4D66">
            <w:pPr>
              <w:suppressAutoHyphens w:val="0"/>
              <w:snapToGrid w:val="0"/>
              <w:spacing w:before="40" w:after="40" w:line="240" w:lineRule="auto"/>
              <w:jc w:val="center"/>
              <w:rPr>
                <w:rFonts w:asciiTheme="minorHAnsi" w:eastAsia="Times New Roman" w:hAnsiTheme="minorHAnsi" w:cs="Times New Roman"/>
                <w:iCs/>
                <w:color w:val="FFFFFF" w:themeColor="background1"/>
                <w:szCs w:val="17"/>
                <w:lang w:val="en-AU"/>
              </w:rPr>
            </w:pPr>
          </w:p>
          <w:p w14:paraId="1BFA746B" w14:textId="77777777" w:rsidR="005A4D66" w:rsidRPr="005A4D66" w:rsidRDefault="005A4D66" w:rsidP="005A4D66">
            <w:pPr>
              <w:suppressAutoHyphens w:val="0"/>
              <w:snapToGrid w:val="0"/>
              <w:spacing w:before="40" w:after="40" w:line="240" w:lineRule="auto"/>
              <w:jc w:val="center"/>
              <w:rPr>
                <w:rFonts w:asciiTheme="minorHAnsi" w:eastAsia="Times New Roman" w:hAnsiTheme="minorHAnsi" w:cs="Times New Roman"/>
                <w:iCs/>
                <w:color w:val="auto"/>
                <w:szCs w:val="17"/>
                <w:lang w:val="en-AU"/>
              </w:rPr>
            </w:pPr>
            <w:r w:rsidRPr="005A4D66">
              <w:rPr>
                <w:rFonts w:asciiTheme="minorHAnsi" w:eastAsia="Times New Roman" w:hAnsiTheme="minorHAnsi" w:cs="Times New Roman"/>
                <w:iCs/>
                <w:color w:val="FFFFFF" w:themeColor="background1"/>
                <w:szCs w:val="17"/>
                <w:lang w:val="en-AU"/>
              </w:rPr>
              <w:t>Achieved</w:t>
            </w:r>
          </w:p>
        </w:tc>
        <w:tc>
          <w:tcPr>
            <w:tcW w:w="3078" w:type="pct"/>
          </w:tcPr>
          <w:p w14:paraId="447BCBB7" w14:textId="01B77C4B" w:rsidR="00EB093E" w:rsidRPr="007B441B" w:rsidRDefault="005A4D66" w:rsidP="00966BAC">
            <w:pPr>
              <w:suppressAutoHyphens w:val="0"/>
              <w:snapToGrid w:val="0"/>
              <w:spacing w:before="0" w:after="0" w:line="240" w:lineRule="auto"/>
              <w:rPr>
                <w:rFonts w:ascii="Franklin Gothic Book" w:eastAsia="Times New Roman" w:hAnsi="Franklin Gothic Book"/>
                <w:iCs/>
                <w:sz w:val="16"/>
                <w:szCs w:val="16"/>
              </w:rPr>
            </w:pPr>
            <w:r w:rsidRPr="005A4D66">
              <w:rPr>
                <w:rFonts w:ascii="Franklin Gothic Book" w:eastAsia="Times New Roman" w:hAnsi="Franklin Gothic Book"/>
                <w:iCs/>
                <w:sz w:val="16"/>
                <w:szCs w:val="16"/>
              </w:rPr>
              <w:t>GMWRP met its performance benchmark with 4 frameworks strengthened</w:t>
            </w:r>
            <w:r w:rsidR="0099334D">
              <w:rPr>
                <w:rFonts w:ascii="Franklin Gothic Book" w:eastAsia="Times New Roman" w:hAnsi="Franklin Gothic Book"/>
                <w:iCs/>
                <w:sz w:val="16"/>
                <w:szCs w:val="16"/>
              </w:rPr>
              <w:t xml:space="preserve">. </w:t>
            </w:r>
            <w:proofErr w:type="gramStart"/>
            <w:r w:rsidRPr="005A4D66">
              <w:rPr>
                <w:rFonts w:ascii="Franklin Gothic Book" w:eastAsia="Times New Roman" w:hAnsi="Franklin Gothic Book"/>
                <w:iCs/>
                <w:sz w:val="16"/>
                <w:szCs w:val="16"/>
              </w:rPr>
              <w:t>It (</w:t>
            </w:r>
            <w:proofErr w:type="spellStart"/>
            <w:r w:rsidRPr="005A4D66">
              <w:rPr>
                <w:rFonts w:ascii="Franklin Gothic Book" w:eastAsia="Times New Roman" w:hAnsi="Franklin Gothic Book"/>
                <w:iCs/>
                <w:sz w:val="16"/>
                <w:szCs w:val="16"/>
              </w:rPr>
              <w:t>i</w:t>
            </w:r>
            <w:proofErr w:type="spellEnd"/>
            <w:r w:rsidRPr="005A4D66">
              <w:rPr>
                <w:rFonts w:ascii="Franklin Gothic Book" w:eastAsia="Times New Roman" w:hAnsi="Franklin Gothic Book"/>
                <w:iCs/>
                <w:sz w:val="16"/>
                <w:szCs w:val="16"/>
              </w:rPr>
              <w:t xml:space="preserve">) supported MRC to implement a critical operational requirement under the 1995 Mekong Agreement, the Procedure on Prior Notification, Prior Consultation and Agreement (PNPCA), most recently for the proposed Pak Lay hydropower project on the </w:t>
            </w:r>
            <w:r w:rsidR="00F43488">
              <w:rPr>
                <w:rFonts w:ascii="Franklin Gothic Book" w:eastAsia="Times New Roman" w:hAnsi="Franklin Gothic Book"/>
                <w:iCs/>
                <w:sz w:val="16"/>
                <w:szCs w:val="16"/>
              </w:rPr>
              <w:t xml:space="preserve">mainstream of the </w:t>
            </w:r>
            <w:r w:rsidRPr="005A4D66">
              <w:rPr>
                <w:rFonts w:ascii="Franklin Gothic Book" w:eastAsia="Times New Roman" w:hAnsi="Franklin Gothic Book"/>
                <w:iCs/>
                <w:sz w:val="16"/>
                <w:szCs w:val="16"/>
              </w:rPr>
              <w:t>Mekong River</w:t>
            </w:r>
            <w:r w:rsidR="00F43488">
              <w:rPr>
                <w:rFonts w:ascii="Franklin Gothic Book" w:eastAsia="Times New Roman" w:hAnsi="Franklin Gothic Book"/>
                <w:iCs/>
                <w:sz w:val="16"/>
                <w:szCs w:val="16"/>
              </w:rPr>
              <w:t xml:space="preserve"> </w:t>
            </w:r>
            <w:r w:rsidR="00F43488" w:rsidRPr="00F43488">
              <w:rPr>
                <w:rFonts w:ascii="Franklin Gothic Book" w:eastAsia="Times New Roman" w:hAnsi="Franklin Gothic Book"/>
                <w:iCs/>
                <w:sz w:val="16"/>
                <w:szCs w:val="16"/>
              </w:rPr>
              <w:t>which culminated in a Joint Action Plan agreed by all four MRC Member Countries</w:t>
            </w:r>
            <w:r w:rsidRPr="005A4D66">
              <w:rPr>
                <w:rFonts w:ascii="Franklin Gothic Book" w:eastAsia="Times New Roman" w:hAnsi="Franklin Gothic Book"/>
                <w:iCs/>
                <w:sz w:val="16"/>
                <w:szCs w:val="16"/>
              </w:rPr>
              <w:t>; (ii) supported MRC to renew its formal agreement on water data sharing with China; (iii) aided Myanmar</w:t>
            </w:r>
            <w:r w:rsidR="00966BAC">
              <w:rPr>
                <w:rFonts w:ascii="Franklin Gothic Book" w:eastAsia="Times New Roman" w:hAnsi="Franklin Gothic Book"/>
                <w:iCs/>
                <w:sz w:val="16"/>
                <w:szCs w:val="16"/>
              </w:rPr>
              <w:t xml:space="preserve"> Government</w:t>
            </w:r>
            <w:r w:rsidRPr="005A4D66">
              <w:rPr>
                <w:rFonts w:ascii="Franklin Gothic Book" w:eastAsia="Times New Roman" w:hAnsi="Franklin Gothic Book"/>
                <w:iCs/>
                <w:sz w:val="16"/>
                <w:szCs w:val="16"/>
              </w:rPr>
              <w:t xml:space="preserve"> to partner with IFC </w:t>
            </w:r>
            <w:r w:rsidR="00966BAC">
              <w:rPr>
                <w:rFonts w:ascii="Franklin Gothic Book" w:eastAsia="Times New Roman" w:hAnsi="Franklin Gothic Book"/>
                <w:iCs/>
                <w:sz w:val="16"/>
                <w:szCs w:val="16"/>
              </w:rPr>
              <w:t>preparing</w:t>
            </w:r>
            <w:r w:rsidRPr="005A4D66">
              <w:rPr>
                <w:rFonts w:ascii="Franklin Gothic Book" w:eastAsia="Times New Roman" w:hAnsi="Franklin Gothic Book"/>
                <w:iCs/>
                <w:sz w:val="16"/>
                <w:szCs w:val="16"/>
              </w:rPr>
              <w:t xml:space="preserve"> a high-quality Strategic Environmental Assessment of the Myanmar Hydropower Sector; and (iv)</w:t>
            </w:r>
            <w:bookmarkStart w:id="6" w:name="_Hlk15302100"/>
            <w:r w:rsidRPr="005A4D66">
              <w:rPr>
                <w:rFonts w:ascii="Franklin Gothic Book" w:eastAsia="Times New Roman" w:hAnsi="Franklin Gothic Book"/>
                <w:iCs/>
                <w:sz w:val="16"/>
                <w:szCs w:val="16"/>
              </w:rPr>
              <w:t xml:space="preserve"> helped civil society to</w:t>
            </w:r>
            <w:r w:rsidR="00F43488">
              <w:rPr>
                <w:rFonts w:ascii="Franklin Gothic Book" w:eastAsia="Times New Roman" w:hAnsi="Franklin Gothic Book"/>
                <w:iCs/>
                <w:sz w:val="16"/>
                <w:szCs w:val="16"/>
              </w:rPr>
              <w:t xml:space="preserve"> influence key water governance processes across the region, including re</w:t>
            </w:r>
            <w:r w:rsidRPr="005A4D66">
              <w:rPr>
                <w:rFonts w:ascii="Franklin Gothic Book" w:eastAsia="Times New Roman" w:hAnsi="Franklin Gothic Book"/>
                <w:iCs/>
                <w:sz w:val="16"/>
                <w:szCs w:val="16"/>
              </w:rPr>
              <w:t>shap</w:t>
            </w:r>
            <w:r w:rsidR="00F43488">
              <w:rPr>
                <w:rFonts w:ascii="Franklin Gothic Book" w:eastAsia="Times New Roman" w:hAnsi="Franklin Gothic Book"/>
                <w:iCs/>
                <w:sz w:val="16"/>
                <w:szCs w:val="16"/>
              </w:rPr>
              <w:t>ing</w:t>
            </w:r>
            <w:r w:rsidRPr="005A4D66">
              <w:rPr>
                <w:rFonts w:ascii="Franklin Gothic Book" w:eastAsia="Times New Roman" w:hAnsi="Franklin Gothic Book"/>
                <w:iCs/>
                <w:sz w:val="16"/>
                <w:szCs w:val="16"/>
              </w:rPr>
              <w:t xml:space="preserve"> Vietnam’s water pollution law.</w:t>
            </w:r>
            <w:proofErr w:type="gramEnd"/>
            <w:r w:rsidRPr="005A4D66">
              <w:rPr>
                <w:rFonts w:ascii="Franklin Gothic Book" w:eastAsia="Times New Roman" w:hAnsi="Franklin Gothic Book"/>
                <w:iCs/>
                <w:sz w:val="16"/>
                <w:szCs w:val="16"/>
              </w:rPr>
              <w:t xml:space="preserve"> </w:t>
            </w:r>
            <w:bookmarkEnd w:id="6"/>
          </w:p>
        </w:tc>
      </w:tr>
      <w:tr w:rsidR="005A4D66" w:rsidRPr="005A4D66" w14:paraId="6B7E79E5" w14:textId="77777777" w:rsidTr="0099334D">
        <w:trPr>
          <w:trHeight w:val="6049"/>
          <w:tblHeader/>
        </w:trPr>
        <w:tc>
          <w:tcPr>
            <w:tcW w:w="653" w:type="pct"/>
            <w:tcMar>
              <w:top w:w="57" w:type="dxa"/>
              <w:bottom w:w="57" w:type="dxa"/>
            </w:tcMar>
          </w:tcPr>
          <w:p w14:paraId="141E5638" w14:textId="77777777" w:rsidR="005A4D66" w:rsidRPr="005A4D66" w:rsidRDefault="005A4D66" w:rsidP="005A4D66">
            <w:pPr>
              <w:suppressAutoHyphens w:val="0"/>
              <w:snapToGrid w:val="0"/>
              <w:spacing w:before="40" w:after="40" w:line="240" w:lineRule="auto"/>
              <w:rPr>
                <w:rFonts w:asciiTheme="minorHAnsi" w:eastAsia="Times New Roman" w:hAnsiTheme="minorHAnsi" w:cs="Times New Roman"/>
                <w:iCs/>
                <w:color w:val="auto"/>
                <w:szCs w:val="17"/>
                <w:lang w:val="en-AU"/>
              </w:rPr>
            </w:pPr>
            <w:r w:rsidRPr="005A4D66">
              <w:rPr>
                <w:rFonts w:asciiTheme="minorHAnsi" w:eastAsia="Times New Roman" w:hAnsiTheme="minorHAnsi" w:cs="Times New Roman"/>
                <w:b/>
                <w:iCs/>
                <w:color w:val="auto"/>
                <w:szCs w:val="17"/>
                <w:lang w:val="en-AU"/>
              </w:rPr>
              <w:t>Strengthening regional responses to trafficking and the exploitation of migrant workers</w:t>
            </w:r>
          </w:p>
        </w:tc>
        <w:tc>
          <w:tcPr>
            <w:tcW w:w="817" w:type="pct"/>
          </w:tcPr>
          <w:p w14:paraId="6ADE6973" w14:textId="77777777" w:rsidR="005A4D66" w:rsidRPr="005A4D66" w:rsidRDefault="005A4D66" w:rsidP="005A4D66">
            <w:pPr>
              <w:suppressAutoHyphens w:val="0"/>
              <w:snapToGrid w:val="0"/>
              <w:spacing w:before="40" w:after="40" w:line="240" w:lineRule="auto"/>
              <w:rPr>
                <w:rFonts w:asciiTheme="minorHAnsi" w:eastAsia="Times New Roman" w:hAnsiTheme="minorHAnsi" w:cs="Times New Roman"/>
                <w:color w:val="auto"/>
                <w:szCs w:val="17"/>
                <w:lang w:val="en-AU" w:eastAsia="en-US"/>
              </w:rPr>
            </w:pPr>
            <w:r w:rsidRPr="005A4D66">
              <w:rPr>
                <w:rFonts w:ascii="Franklin Gothic Book" w:eastAsia="Times New Roman" w:hAnsi="Franklin Gothic Book"/>
                <w:sz w:val="16"/>
                <w:szCs w:val="16"/>
              </w:rPr>
              <w:t>Number of TIP case investigations in which partners are cooperating</w:t>
            </w:r>
            <w:r w:rsidRPr="005A4D66">
              <w:rPr>
                <w:rFonts w:asciiTheme="minorHAnsi" w:eastAsia="Times New Roman" w:hAnsiTheme="minorHAnsi" w:cs="Times New Roman"/>
                <w:color w:val="auto"/>
                <w:szCs w:val="17"/>
                <w:lang w:val="en-AU" w:eastAsia="en-US"/>
              </w:rPr>
              <w:t xml:space="preserve"> </w:t>
            </w:r>
          </w:p>
          <w:p w14:paraId="71804913" w14:textId="77777777" w:rsidR="005A4D66" w:rsidRPr="005A4D66" w:rsidRDefault="005A4D66" w:rsidP="005A4D66">
            <w:pPr>
              <w:suppressAutoHyphens w:val="0"/>
              <w:snapToGrid w:val="0"/>
              <w:spacing w:before="40" w:after="40" w:line="240" w:lineRule="auto"/>
              <w:rPr>
                <w:rFonts w:ascii="Franklin Gothic Book" w:eastAsia="Times New Roman" w:hAnsi="Franklin Gothic Book"/>
                <w:sz w:val="16"/>
                <w:szCs w:val="16"/>
              </w:rPr>
            </w:pPr>
            <w:r w:rsidRPr="005A4D66">
              <w:rPr>
                <w:rFonts w:ascii="Franklin Gothic Book" w:eastAsia="Times New Roman" w:hAnsi="Franklin Gothic Book"/>
                <w:sz w:val="16"/>
                <w:szCs w:val="16"/>
              </w:rPr>
              <w:t>(Target- 5 or more TIP case investigations in which partners are cooperating)</w:t>
            </w:r>
          </w:p>
          <w:p w14:paraId="7B892832" w14:textId="77777777" w:rsidR="00966BAC" w:rsidRDefault="00966BAC" w:rsidP="005A4D66">
            <w:pPr>
              <w:suppressAutoHyphens w:val="0"/>
              <w:snapToGrid w:val="0"/>
              <w:spacing w:before="40" w:after="40" w:line="240" w:lineRule="auto"/>
              <w:rPr>
                <w:rFonts w:asciiTheme="minorHAnsi" w:eastAsia="Times New Roman" w:hAnsiTheme="minorHAnsi" w:cs="Times New Roman"/>
                <w:iCs/>
                <w:color w:val="auto"/>
                <w:szCs w:val="17"/>
                <w:lang w:val="en-AU"/>
              </w:rPr>
            </w:pPr>
          </w:p>
          <w:p w14:paraId="41E283CC" w14:textId="58100F88" w:rsidR="005A4D66" w:rsidRPr="005A4D66" w:rsidRDefault="008F3586" w:rsidP="005A4D66">
            <w:pPr>
              <w:suppressAutoHyphens w:val="0"/>
              <w:snapToGrid w:val="0"/>
              <w:spacing w:before="40" w:after="40" w:line="240" w:lineRule="auto"/>
              <w:rPr>
                <w:rFonts w:ascii="Franklin Gothic Book" w:eastAsia="Times New Roman" w:hAnsi="Franklin Gothic Book"/>
                <w:sz w:val="16"/>
                <w:szCs w:val="16"/>
              </w:rPr>
            </w:pPr>
            <w:r>
              <w:rPr>
                <w:rFonts w:ascii="Franklin Gothic Book" w:eastAsia="Times New Roman" w:hAnsi="Franklin Gothic Book"/>
                <w:sz w:val="16"/>
                <w:szCs w:val="16"/>
              </w:rPr>
              <w:t xml:space="preserve">% </w:t>
            </w:r>
            <w:r w:rsidR="005A4D66" w:rsidRPr="005A4D66">
              <w:rPr>
                <w:rFonts w:ascii="Franklin Gothic Book" w:eastAsia="Times New Roman" w:hAnsi="Franklin Gothic Book"/>
                <w:sz w:val="16"/>
                <w:szCs w:val="16"/>
              </w:rPr>
              <w:t xml:space="preserve">of </w:t>
            </w:r>
            <w:r w:rsidR="00966BAC">
              <w:rPr>
                <w:rFonts w:ascii="Franklin Gothic Book" w:eastAsia="Times New Roman" w:hAnsi="Franklin Gothic Book"/>
                <w:sz w:val="16"/>
                <w:szCs w:val="16"/>
              </w:rPr>
              <w:t>people</w:t>
            </w:r>
            <w:r w:rsidR="005A4D66" w:rsidRPr="005A4D66">
              <w:rPr>
                <w:rFonts w:ascii="Franklin Gothic Book" w:eastAsia="Times New Roman" w:hAnsi="Franklin Gothic Book"/>
                <w:sz w:val="16"/>
                <w:szCs w:val="16"/>
              </w:rPr>
              <w:t xml:space="preserve"> trained under AAPTIP projects recording follow-on skill and knowledge changes demonstrated in the workplace (Target: 50 </w:t>
            </w:r>
            <w:r>
              <w:rPr>
                <w:rFonts w:ascii="Franklin Gothic Book" w:eastAsia="Times New Roman" w:hAnsi="Franklin Gothic Book"/>
                <w:sz w:val="16"/>
                <w:szCs w:val="16"/>
              </w:rPr>
              <w:t>% of sample</w:t>
            </w:r>
            <w:r w:rsidR="005A4D66" w:rsidRPr="005A4D66">
              <w:rPr>
                <w:rFonts w:ascii="Franklin Gothic Book" w:eastAsia="Times New Roman" w:hAnsi="Franklin Gothic Book"/>
                <w:sz w:val="16"/>
                <w:szCs w:val="16"/>
              </w:rPr>
              <w:t xml:space="preserve"> reporting change) </w:t>
            </w:r>
          </w:p>
          <w:p w14:paraId="4249A1F7" w14:textId="77777777" w:rsidR="00966BAC" w:rsidRDefault="00966BAC" w:rsidP="005A4D66">
            <w:pPr>
              <w:suppressAutoHyphens w:val="0"/>
              <w:snapToGrid w:val="0"/>
              <w:spacing w:before="40" w:after="40" w:line="240" w:lineRule="auto"/>
              <w:rPr>
                <w:rFonts w:asciiTheme="minorHAnsi" w:eastAsia="Times New Roman" w:hAnsiTheme="minorHAnsi" w:cs="Times New Roman"/>
                <w:iCs/>
                <w:color w:val="auto"/>
                <w:szCs w:val="17"/>
                <w:lang w:val="en-AU"/>
              </w:rPr>
            </w:pPr>
          </w:p>
          <w:p w14:paraId="1E57B6BA" w14:textId="338CF96D" w:rsidR="005A4D66" w:rsidRPr="005A4D66" w:rsidRDefault="005A4D66" w:rsidP="005A4D66">
            <w:pPr>
              <w:suppressAutoHyphens w:val="0"/>
              <w:snapToGrid w:val="0"/>
              <w:spacing w:before="40" w:after="40" w:line="240" w:lineRule="auto"/>
              <w:rPr>
                <w:rFonts w:ascii="Franklin Gothic Book" w:eastAsia="Times New Roman" w:hAnsi="Franklin Gothic Book"/>
                <w:sz w:val="16"/>
                <w:szCs w:val="16"/>
              </w:rPr>
            </w:pPr>
            <w:r w:rsidRPr="005A4D66">
              <w:rPr>
                <w:rFonts w:ascii="Franklin Gothic Book" w:eastAsia="Times New Roman" w:hAnsi="Franklin Gothic Book"/>
                <w:sz w:val="16"/>
                <w:szCs w:val="16"/>
              </w:rPr>
              <w:t>Number of women and men who receive support services through Migrant Resource Centres (Target: 12,000- W43%/M57%)</w:t>
            </w:r>
          </w:p>
          <w:p w14:paraId="2609C953" w14:textId="77777777" w:rsidR="005A4D66" w:rsidRPr="005A4D66" w:rsidRDefault="005A4D66" w:rsidP="005A4D66">
            <w:pPr>
              <w:suppressAutoHyphens w:val="0"/>
              <w:snapToGrid w:val="0"/>
              <w:spacing w:before="40" w:after="40" w:line="240" w:lineRule="auto"/>
              <w:rPr>
                <w:rFonts w:asciiTheme="minorHAnsi" w:eastAsia="Times New Roman" w:hAnsiTheme="minorHAnsi" w:cs="Times New Roman"/>
                <w:iCs/>
                <w:color w:val="auto"/>
                <w:szCs w:val="17"/>
                <w:lang w:val="en-AU"/>
              </w:rPr>
            </w:pPr>
          </w:p>
          <w:p w14:paraId="607D4121" w14:textId="5E607DAC" w:rsidR="005A4D66" w:rsidRPr="005A4D66" w:rsidRDefault="005A4D66" w:rsidP="005A4D66">
            <w:pPr>
              <w:suppressAutoHyphens w:val="0"/>
              <w:snapToGrid w:val="0"/>
              <w:spacing w:before="40" w:after="40" w:line="240" w:lineRule="auto"/>
              <w:rPr>
                <w:rFonts w:ascii="Franklin Gothic Book" w:eastAsia="Times New Roman" w:hAnsi="Franklin Gothic Book"/>
                <w:sz w:val="16"/>
                <w:szCs w:val="16"/>
              </w:rPr>
            </w:pPr>
            <w:r w:rsidRPr="005A4D66">
              <w:rPr>
                <w:rFonts w:ascii="Franklin Gothic Book" w:eastAsia="Times New Roman" w:hAnsi="Franklin Gothic Book"/>
                <w:sz w:val="16"/>
                <w:szCs w:val="16"/>
              </w:rPr>
              <w:t>Number of policies adopted or amended with ILO input on labour protection and gender equality for women and men migrant workers</w:t>
            </w:r>
            <w:r w:rsidR="0099334D">
              <w:rPr>
                <w:rFonts w:ascii="Franklin Gothic Book" w:eastAsia="Times New Roman" w:hAnsi="Franklin Gothic Book"/>
                <w:sz w:val="16"/>
                <w:szCs w:val="16"/>
              </w:rPr>
              <w:t xml:space="preserve">. </w:t>
            </w:r>
            <w:r w:rsidRPr="005A4D66">
              <w:rPr>
                <w:rFonts w:ascii="Franklin Gothic Book" w:eastAsia="Times New Roman" w:hAnsi="Franklin Gothic Book"/>
                <w:sz w:val="16"/>
                <w:szCs w:val="16"/>
              </w:rPr>
              <w:t>(Target: 5)</w:t>
            </w:r>
          </w:p>
          <w:p w14:paraId="40386FDF" w14:textId="77777777" w:rsidR="005A4D66" w:rsidRPr="005A4D66" w:rsidRDefault="005A4D66" w:rsidP="005A4D66">
            <w:pPr>
              <w:suppressAutoHyphens w:val="0"/>
              <w:snapToGrid w:val="0"/>
              <w:spacing w:before="40" w:after="40" w:line="240" w:lineRule="auto"/>
              <w:rPr>
                <w:rFonts w:asciiTheme="minorHAnsi" w:eastAsia="Times New Roman" w:hAnsiTheme="minorHAnsi" w:cs="Times New Roman"/>
                <w:iCs/>
                <w:color w:val="auto"/>
                <w:szCs w:val="17"/>
                <w:lang w:val="en-AU"/>
              </w:rPr>
            </w:pPr>
          </w:p>
        </w:tc>
        <w:tc>
          <w:tcPr>
            <w:tcW w:w="452" w:type="pct"/>
            <w:shd w:val="clear" w:color="auto" w:fill="73AF2F"/>
          </w:tcPr>
          <w:p w14:paraId="50289288" w14:textId="77777777" w:rsidR="005A4D66" w:rsidRPr="005A4D66" w:rsidRDefault="005A4D66" w:rsidP="00EB093E">
            <w:pPr>
              <w:suppressAutoHyphens w:val="0"/>
              <w:snapToGrid w:val="0"/>
              <w:spacing w:before="40" w:after="40" w:line="240" w:lineRule="auto"/>
              <w:rPr>
                <w:rFonts w:asciiTheme="minorHAnsi" w:eastAsia="Times New Roman" w:hAnsiTheme="minorHAnsi" w:cs="Times New Roman"/>
                <w:iCs/>
                <w:color w:val="FFFFFF" w:themeColor="background1"/>
                <w:szCs w:val="17"/>
                <w:lang w:val="en-AU"/>
              </w:rPr>
            </w:pPr>
            <w:r w:rsidRPr="005A4D66">
              <w:rPr>
                <w:rFonts w:asciiTheme="minorHAnsi" w:eastAsia="Times New Roman" w:hAnsiTheme="minorHAnsi" w:cs="Times New Roman"/>
                <w:iCs/>
                <w:color w:val="FFFFFF" w:themeColor="background1"/>
                <w:szCs w:val="17"/>
                <w:lang w:val="en-AU"/>
              </w:rPr>
              <w:t>Achieved</w:t>
            </w:r>
          </w:p>
          <w:p w14:paraId="3F8A410D" w14:textId="77777777" w:rsidR="005A4D66" w:rsidRPr="005A4D66" w:rsidRDefault="005A4D66" w:rsidP="005A4D66">
            <w:pPr>
              <w:suppressAutoHyphens w:val="0"/>
              <w:snapToGrid w:val="0"/>
              <w:spacing w:before="40" w:after="40" w:line="240" w:lineRule="auto"/>
              <w:jc w:val="center"/>
              <w:rPr>
                <w:rFonts w:asciiTheme="minorHAnsi" w:eastAsia="Times New Roman" w:hAnsiTheme="minorHAnsi" w:cs="Times New Roman"/>
                <w:iCs/>
                <w:color w:val="FFFFFF" w:themeColor="background1"/>
                <w:szCs w:val="17"/>
                <w:lang w:val="en-AU"/>
              </w:rPr>
            </w:pPr>
          </w:p>
          <w:p w14:paraId="35EE5ACD" w14:textId="77777777" w:rsidR="005A4D66" w:rsidRPr="005A4D66" w:rsidRDefault="005A4D66" w:rsidP="005A4D66">
            <w:pPr>
              <w:suppressAutoHyphens w:val="0"/>
              <w:snapToGrid w:val="0"/>
              <w:spacing w:before="40" w:after="40" w:line="240" w:lineRule="auto"/>
              <w:jc w:val="center"/>
              <w:rPr>
                <w:rFonts w:asciiTheme="minorHAnsi" w:eastAsia="Times New Roman" w:hAnsiTheme="minorHAnsi" w:cs="Times New Roman"/>
                <w:iCs/>
                <w:color w:val="FFFFFF" w:themeColor="background1"/>
                <w:szCs w:val="17"/>
                <w:lang w:val="en-AU"/>
              </w:rPr>
            </w:pPr>
          </w:p>
          <w:p w14:paraId="141E4477" w14:textId="77777777" w:rsidR="005A4D66" w:rsidRPr="005A4D66" w:rsidRDefault="005A4D66" w:rsidP="005A4D66">
            <w:pPr>
              <w:suppressAutoHyphens w:val="0"/>
              <w:snapToGrid w:val="0"/>
              <w:spacing w:before="40" w:after="40" w:line="240" w:lineRule="auto"/>
              <w:jc w:val="center"/>
              <w:rPr>
                <w:rFonts w:asciiTheme="minorHAnsi" w:eastAsia="Times New Roman" w:hAnsiTheme="minorHAnsi" w:cs="Times New Roman"/>
                <w:iCs/>
                <w:color w:val="FFFFFF" w:themeColor="background1"/>
                <w:szCs w:val="17"/>
                <w:lang w:val="en-AU"/>
              </w:rPr>
            </w:pPr>
          </w:p>
          <w:p w14:paraId="68354279" w14:textId="77777777" w:rsidR="005A4D66" w:rsidRPr="005A4D66" w:rsidRDefault="005A4D66" w:rsidP="005A4D66">
            <w:pPr>
              <w:suppressAutoHyphens w:val="0"/>
              <w:snapToGrid w:val="0"/>
              <w:spacing w:before="40" w:after="40" w:line="240" w:lineRule="auto"/>
              <w:jc w:val="center"/>
              <w:rPr>
                <w:rFonts w:asciiTheme="minorHAnsi" w:eastAsia="Times New Roman" w:hAnsiTheme="minorHAnsi" w:cs="Times New Roman"/>
                <w:iCs/>
                <w:color w:val="FFFFFF" w:themeColor="background1"/>
                <w:szCs w:val="17"/>
                <w:lang w:val="en-AU"/>
              </w:rPr>
            </w:pPr>
          </w:p>
          <w:p w14:paraId="06B878F5" w14:textId="45278A14" w:rsidR="005A4D66" w:rsidRDefault="005A4D66" w:rsidP="001E3F93">
            <w:pPr>
              <w:suppressAutoHyphens w:val="0"/>
              <w:snapToGrid w:val="0"/>
              <w:spacing w:before="40" w:after="40" w:line="240" w:lineRule="auto"/>
              <w:rPr>
                <w:rFonts w:asciiTheme="minorHAnsi" w:eastAsia="Times New Roman" w:hAnsiTheme="minorHAnsi" w:cs="Times New Roman"/>
                <w:iCs/>
                <w:color w:val="FFFFFF" w:themeColor="background1"/>
                <w:szCs w:val="17"/>
                <w:lang w:val="en-AU"/>
              </w:rPr>
            </w:pPr>
          </w:p>
          <w:p w14:paraId="18E8F50A" w14:textId="77777777" w:rsidR="001E3F93" w:rsidRPr="005A4D66" w:rsidRDefault="001E3F93" w:rsidP="001E3F93">
            <w:pPr>
              <w:suppressAutoHyphens w:val="0"/>
              <w:snapToGrid w:val="0"/>
              <w:spacing w:before="40" w:after="40" w:line="240" w:lineRule="auto"/>
              <w:rPr>
                <w:rFonts w:asciiTheme="minorHAnsi" w:eastAsia="Times New Roman" w:hAnsiTheme="minorHAnsi" w:cs="Times New Roman"/>
                <w:iCs/>
                <w:color w:val="FFFFFF" w:themeColor="background1"/>
                <w:szCs w:val="17"/>
                <w:lang w:val="en-AU"/>
              </w:rPr>
            </w:pPr>
          </w:p>
          <w:p w14:paraId="6E05144F" w14:textId="77777777" w:rsidR="005A4D66" w:rsidRPr="005A4D66" w:rsidRDefault="005A4D66" w:rsidP="005A4D66">
            <w:pPr>
              <w:suppressAutoHyphens w:val="0"/>
              <w:snapToGrid w:val="0"/>
              <w:spacing w:before="40" w:after="40" w:line="240" w:lineRule="auto"/>
              <w:jc w:val="center"/>
              <w:rPr>
                <w:rFonts w:asciiTheme="minorHAnsi" w:eastAsia="Times New Roman" w:hAnsiTheme="minorHAnsi" w:cs="Times New Roman"/>
                <w:iCs/>
                <w:color w:val="FFFFFF" w:themeColor="background1"/>
                <w:szCs w:val="17"/>
                <w:lang w:val="en-AU"/>
              </w:rPr>
            </w:pPr>
          </w:p>
          <w:p w14:paraId="53E91B93" w14:textId="77777777" w:rsidR="005A4D66" w:rsidRPr="005A4D66" w:rsidRDefault="005A4D66" w:rsidP="005A4D66">
            <w:pPr>
              <w:suppressAutoHyphens w:val="0"/>
              <w:snapToGrid w:val="0"/>
              <w:spacing w:before="40" w:after="40" w:line="240" w:lineRule="auto"/>
              <w:rPr>
                <w:rFonts w:asciiTheme="minorHAnsi" w:eastAsia="Times New Roman" w:hAnsiTheme="minorHAnsi" w:cs="Times New Roman"/>
                <w:iCs/>
                <w:color w:val="FFFFFF" w:themeColor="background1"/>
                <w:szCs w:val="17"/>
                <w:lang w:val="en-AU"/>
              </w:rPr>
            </w:pPr>
            <w:r w:rsidRPr="005A4D66">
              <w:rPr>
                <w:rFonts w:asciiTheme="minorHAnsi" w:eastAsia="Times New Roman" w:hAnsiTheme="minorHAnsi" w:cs="Times New Roman"/>
                <w:iCs/>
                <w:color w:val="FFFFFF" w:themeColor="background1"/>
                <w:szCs w:val="17"/>
                <w:lang w:val="en-AU"/>
              </w:rPr>
              <w:t>Achieved</w:t>
            </w:r>
          </w:p>
          <w:p w14:paraId="30D3C06D" w14:textId="77777777" w:rsidR="005A4D66" w:rsidRPr="005A4D66" w:rsidRDefault="005A4D66" w:rsidP="005A4D66">
            <w:pPr>
              <w:suppressAutoHyphens w:val="0"/>
              <w:snapToGrid w:val="0"/>
              <w:spacing w:before="40" w:after="40" w:line="240" w:lineRule="auto"/>
              <w:jc w:val="center"/>
              <w:rPr>
                <w:rFonts w:asciiTheme="minorHAnsi" w:eastAsia="Times New Roman" w:hAnsiTheme="minorHAnsi" w:cs="Times New Roman"/>
                <w:iCs/>
                <w:color w:val="FFFFFF" w:themeColor="background1"/>
                <w:szCs w:val="17"/>
                <w:lang w:val="en-AU"/>
              </w:rPr>
            </w:pPr>
          </w:p>
          <w:p w14:paraId="4689F043" w14:textId="77777777" w:rsidR="005A4D66" w:rsidRPr="005A4D66" w:rsidRDefault="005A4D66" w:rsidP="005A4D66">
            <w:pPr>
              <w:suppressAutoHyphens w:val="0"/>
              <w:snapToGrid w:val="0"/>
              <w:spacing w:before="40" w:after="40" w:line="240" w:lineRule="auto"/>
              <w:jc w:val="center"/>
              <w:rPr>
                <w:rFonts w:asciiTheme="minorHAnsi" w:eastAsia="Times New Roman" w:hAnsiTheme="minorHAnsi" w:cs="Times New Roman"/>
                <w:iCs/>
                <w:color w:val="FFFFFF" w:themeColor="background1"/>
                <w:szCs w:val="17"/>
                <w:lang w:val="en-AU"/>
              </w:rPr>
            </w:pPr>
          </w:p>
          <w:p w14:paraId="34D30BF0" w14:textId="77777777" w:rsidR="005A4D66" w:rsidRPr="005A4D66" w:rsidRDefault="005A4D66" w:rsidP="005A4D66">
            <w:pPr>
              <w:suppressAutoHyphens w:val="0"/>
              <w:snapToGrid w:val="0"/>
              <w:spacing w:before="40" w:after="40" w:line="240" w:lineRule="auto"/>
              <w:jc w:val="center"/>
              <w:rPr>
                <w:rFonts w:asciiTheme="minorHAnsi" w:eastAsia="Times New Roman" w:hAnsiTheme="minorHAnsi" w:cs="Times New Roman"/>
                <w:iCs/>
                <w:color w:val="FFFFFF" w:themeColor="background1"/>
                <w:szCs w:val="17"/>
                <w:lang w:val="en-AU"/>
              </w:rPr>
            </w:pPr>
          </w:p>
          <w:p w14:paraId="1F7DC89C" w14:textId="77777777" w:rsidR="005A4D66" w:rsidRPr="005A4D66" w:rsidRDefault="005A4D66" w:rsidP="005A4D66">
            <w:pPr>
              <w:suppressAutoHyphens w:val="0"/>
              <w:snapToGrid w:val="0"/>
              <w:spacing w:before="40" w:after="40" w:line="240" w:lineRule="auto"/>
              <w:jc w:val="center"/>
              <w:rPr>
                <w:rFonts w:asciiTheme="minorHAnsi" w:eastAsia="Times New Roman" w:hAnsiTheme="minorHAnsi" w:cs="Times New Roman"/>
                <w:iCs/>
                <w:color w:val="FFFFFF" w:themeColor="background1"/>
                <w:szCs w:val="17"/>
                <w:lang w:val="en-AU"/>
              </w:rPr>
            </w:pPr>
          </w:p>
          <w:p w14:paraId="3785DB05" w14:textId="77777777" w:rsidR="005A4D66" w:rsidRPr="005A4D66" w:rsidRDefault="005A4D66" w:rsidP="005A4D66">
            <w:pPr>
              <w:suppressAutoHyphens w:val="0"/>
              <w:snapToGrid w:val="0"/>
              <w:spacing w:before="40" w:after="40" w:line="240" w:lineRule="auto"/>
              <w:rPr>
                <w:rFonts w:asciiTheme="minorHAnsi" w:eastAsia="Times New Roman" w:hAnsiTheme="minorHAnsi" w:cs="Times New Roman"/>
                <w:iCs/>
                <w:color w:val="FFFFFF" w:themeColor="background1"/>
                <w:szCs w:val="17"/>
                <w:lang w:val="en-AU"/>
              </w:rPr>
            </w:pPr>
            <w:r w:rsidRPr="005A4D66">
              <w:rPr>
                <w:rFonts w:asciiTheme="minorHAnsi" w:eastAsia="Times New Roman" w:hAnsiTheme="minorHAnsi" w:cs="Times New Roman"/>
                <w:iCs/>
                <w:color w:val="FFFFFF" w:themeColor="background1"/>
                <w:szCs w:val="17"/>
                <w:lang w:val="en-AU"/>
              </w:rPr>
              <w:t xml:space="preserve">      </w:t>
            </w:r>
          </w:p>
          <w:p w14:paraId="25301A32" w14:textId="77777777" w:rsidR="005A4D66" w:rsidRPr="005A4D66" w:rsidRDefault="005A4D66" w:rsidP="005A4D66">
            <w:pPr>
              <w:suppressAutoHyphens w:val="0"/>
              <w:snapToGrid w:val="0"/>
              <w:spacing w:before="40" w:after="40" w:line="240" w:lineRule="auto"/>
              <w:rPr>
                <w:rFonts w:asciiTheme="minorHAnsi" w:eastAsia="Times New Roman" w:hAnsiTheme="minorHAnsi" w:cs="Times New Roman"/>
                <w:iCs/>
                <w:color w:val="FFFFFF" w:themeColor="background1"/>
                <w:szCs w:val="17"/>
                <w:lang w:val="en-AU"/>
              </w:rPr>
            </w:pPr>
            <w:r w:rsidRPr="005A4D66">
              <w:rPr>
                <w:rFonts w:asciiTheme="minorHAnsi" w:eastAsia="Times New Roman" w:hAnsiTheme="minorHAnsi" w:cs="Times New Roman"/>
                <w:iCs/>
                <w:color w:val="FFFFFF" w:themeColor="background1"/>
                <w:szCs w:val="17"/>
                <w:lang w:val="en-AU"/>
              </w:rPr>
              <w:t xml:space="preserve">       </w:t>
            </w:r>
          </w:p>
          <w:p w14:paraId="4169BFAA" w14:textId="77777777" w:rsidR="005A4D66" w:rsidRPr="005A4D66" w:rsidRDefault="005A4D66" w:rsidP="005A4D66">
            <w:pPr>
              <w:suppressAutoHyphens w:val="0"/>
              <w:snapToGrid w:val="0"/>
              <w:spacing w:before="40" w:after="40" w:line="240" w:lineRule="auto"/>
              <w:rPr>
                <w:rFonts w:asciiTheme="minorHAnsi" w:eastAsia="Times New Roman" w:hAnsiTheme="minorHAnsi" w:cs="Times New Roman"/>
                <w:iCs/>
                <w:color w:val="FFFFFF" w:themeColor="background1"/>
                <w:szCs w:val="17"/>
                <w:lang w:val="en-AU"/>
              </w:rPr>
            </w:pPr>
            <w:r w:rsidRPr="005A4D66">
              <w:rPr>
                <w:rFonts w:asciiTheme="minorHAnsi" w:eastAsia="Times New Roman" w:hAnsiTheme="minorHAnsi" w:cs="Times New Roman"/>
                <w:iCs/>
                <w:color w:val="FFFFFF" w:themeColor="background1"/>
                <w:szCs w:val="17"/>
                <w:lang w:val="en-AU"/>
              </w:rPr>
              <w:t xml:space="preserve">       </w:t>
            </w:r>
          </w:p>
          <w:p w14:paraId="10EAABE3" w14:textId="77777777" w:rsidR="005A4D66" w:rsidRPr="005A4D66" w:rsidRDefault="005A4D66" w:rsidP="005A4D66">
            <w:pPr>
              <w:suppressAutoHyphens w:val="0"/>
              <w:snapToGrid w:val="0"/>
              <w:spacing w:before="40" w:after="40" w:line="240" w:lineRule="auto"/>
              <w:rPr>
                <w:rFonts w:asciiTheme="minorHAnsi" w:eastAsia="Times New Roman" w:hAnsiTheme="minorHAnsi" w:cs="Times New Roman"/>
                <w:iCs/>
                <w:color w:val="FFFFFF" w:themeColor="background1"/>
                <w:szCs w:val="17"/>
                <w:lang w:val="en-AU"/>
              </w:rPr>
            </w:pPr>
            <w:r w:rsidRPr="005A4D66">
              <w:rPr>
                <w:rFonts w:asciiTheme="minorHAnsi" w:eastAsia="Times New Roman" w:hAnsiTheme="minorHAnsi" w:cs="Times New Roman"/>
                <w:iCs/>
                <w:color w:val="FFFFFF" w:themeColor="background1"/>
                <w:szCs w:val="17"/>
                <w:lang w:val="en-AU"/>
              </w:rPr>
              <w:t xml:space="preserve">   </w:t>
            </w:r>
          </w:p>
          <w:p w14:paraId="1100B4FE" w14:textId="77777777" w:rsidR="00966BAC" w:rsidRDefault="00966BAC" w:rsidP="00966BAC">
            <w:pPr>
              <w:suppressAutoHyphens w:val="0"/>
              <w:snapToGrid w:val="0"/>
              <w:spacing w:before="40" w:after="40" w:line="240" w:lineRule="auto"/>
              <w:rPr>
                <w:rFonts w:asciiTheme="minorHAnsi" w:eastAsia="Times New Roman" w:hAnsiTheme="minorHAnsi" w:cs="Times New Roman"/>
                <w:iCs/>
                <w:color w:val="FFFFFF" w:themeColor="background1"/>
                <w:szCs w:val="17"/>
                <w:lang w:val="en-AU"/>
              </w:rPr>
            </w:pPr>
          </w:p>
          <w:p w14:paraId="2332A2D8" w14:textId="2D758875" w:rsidR="005A4D66" w:rsidRPr="005A4D66" w:rsidRDefault="005A4D66" w:rsidP="00966BAC">
            <w:pPr>
              <w:suppressAutoHyphens w:val="0"/>
              <w:snapToGrid w:val="0"/>
              <w:spacing w:before="40" w:after="40" w:line="240" w:lineRule="auto"/>
              <w:rPr>
                <w:rFonts w:asciiTheme="minorHAnsi" w:eastAsia="Times New Roman" w:hAnsiTheme="minorHAnsi" w:cs="Times New Roman"/>
                <w:iCs/>
                <w:color w:val="FFFFFF" w:themeColor="background1"/>
                <w:szCs w:val="17"/>
                <w:lang w:val="en-AU"/>
              </w:rPr>
            </w:pPr>
            <w:r w:rsidRPr="005A4D66">
              <w:rPr>
                <w:rFonts w:asciiTheme="minorHAnsi" w:eastAsia="Times New Roman" w:hAnsiTheme="minorHAnsi" w:cs="Times New Roman"/>
                <w:iCs/>
                <w:color w:val="FFFFFF" w:themeColor="background1"/>
                <w:szCs w:val="17"/>
                <w:lang w:val="en-AU"/>
              </w:rPr>
              <w:t>Achieved</w:t>
            </w:r>
          </w:p>
          <w:p w14:paraId="689DFD07" w14:textId="77777777" w:rsidR="005A4D66" w:rsidRPr="005A4D66" w:rsidRDefault="005A4D66" w:rsidP="005A4D66">
            <w:pPr>
              <w:suppressAutoHyphens w:val="0"/>
              <w:snapToGrid w:val="0"/>
              <w:spacing w:before="40" w:after="40" w:line="240" w:lineRule="auto"/>
              <w:rPr>
                <w:rFonts w:asciiTheme="minorHAnsi" w:eastAsia="Times New Roman" w:hAnsiTheme="minorHAnsi" w:cs="Times New Roman"/>
                <w:iCs/>
                <w:color w:val="FFFFFF" w:themeColor="background1"/>
                <w:szCs w:val="17"/>
                <w:lang w:val="en-AU"/>
              </w:rPr>
            </w:pPr>
          </w:p>
          <w:p w14:paraId="1000D71A" w14:textId="77777777" w:rsidR="005A4D66" w:rsidRPr="005A4D66" w:rsidRDefault="005A4D66" w:rsidP="005A4D66">
            <w:pPr>
              <w:suppressAutoHyphens w:val="0"/>
              <w:snapToGrid w:val="0"/>
              <w:spacing w:before="40" w:after="40" w:line="240" w:lineRule="auto"/>
              <w:rPr>
                <w:rFonts w:asciiTheme="minorHAnsi" w:eastAsia="Times New Roman" w:hAnsiTheme="minorHAnsi" w:cs="Times New Roman"/>
                <w:iCs/>
                <w:color w:val="FFFFFF" w:themeColor="background1"/>
                <w:szCs w:val="17"/>
                <w:lang w:val="en-AU"/>
              </w:rPr>
            </w:pPr>
          </w:p>
          <w:p w14:paraId="0B48C6F5" w14:textId="77777777" w:rsidR="005A4D66" w:rsidRPr="005A4D66" w:rsidRDefault="005A4D66" w:rsidP="005A4D66">
            <w:pPr>
              <w:suppressAutoHyphens w:val="0"/>
              <w:snapToGrid w:val="0"/>
              <w:spacing w:before="40" w:after="40" w:line="240" w:lineRule="auto"/>
              <w:rPr>
                <w:rFonts w:asciiTheme="minorHAnsi" w:eastAsia="Times New Roman" w:hAnsiTheme="minorHAnsi" w:cs="Times New Roman"/>
                <w:iCs/>
                <w:color w:val="FFFFFF" w:themeColor="background1"/>
                <w:szCs w:val="17"/>
                <w:lang w:val="en-AU"/>
              </w:rPr>
            </w:pPr>
          </w:p>
          <w:p w14:paraId="02055590" w14:textId="77777777" w:rsidR="005A4D66" w:rsidRPr="005A4D66" w:rsidRDefault="005A4D66" w:rsidP="005A4D66">
            <w:pPr>
              <w:suppressAutoHyphens w:val="0"/>
              <w:snapToGrid w:val="0"/>
              <w:spacing w:before="40" w:after="40" w:line="240" w:lineRule="auto"/>
              <w:rPr>
                <w:rFonts w:asciiTheme="minorHAnsi" w:eastAsia="Times New Roman" w:hAnsiTheme="minorHAnsi" w:cs="Times New Roman"/>
                <w:iCs/>
                <w:color w:val="FFFFFF" w:themeColor="background1"/>
                <w:szCs w:val="17"/>
                <w:lang w:val="en-AU"/>
              </w:rPr>
            </w:pPr>
          </w:p>
          <w:p w14:paraId="7C64B2B6" w14:textId="77777777" w:rsidR="005A4D66" w:rsidRPr="005A4D66" w:rsidRDefault="005A4D66" w:rsidP="005A4D66">
            <w:pPr>
              <w:suppressAutoHyphens w:val="0"/>
              <w:snapToGrid w:val="0"/>
              <w:spacing w:before="40" w:after="40" w:line="240" w:lineRule="auto"/>
              <w:rPr>
                <w:rFonts w:asciiTheme="minorHAnsi" w:eastAsia="Times New Roman" w:hAnsiTheme="minorHAnsi" w:cs="Times New Roman"/>
                <w:iCs/>
                <w:color w:val="FFFFFF" w:themeColor="background1"/>
                <w:szCs w:val="17"/>
                <w:lang w:val="en-AU"/>
              </w:rPr>
            </w:pPr>
            <w:r w:rsidRPr="005A4D66">
              <w:rPr>
                <w:rFonts w:asciiTheme="minorHAnsi" w:eastAsia="Times New Roman" w:hAnsiTheme="minorHAnsi" w:cs="Times New Roman"/>
                <w:iCs/>
                <w:color w:val="FFFFFF" w:themeColor="background1"/>
                <w:szCs w:val="17"/>
                <w:lang w:val="en-AU"/>
              </w:rPr>
              <w:t>Achieved</w:t>
            </w:r>
          </w:p>
        </w:tc>
        <w:tc>
          <w:tcPr>
            <w:tcW w:w="3078" w:type="pct"/>
          </w:tcPr>
          <w:p w14:paraId="08F48B59" w14:textId="04E3D70F" w:rsidR="00680BE8" w:rsidRPr="00680BE8" w:rsidRDefault="005A4D66" w:rsidP="00680BE8">
            <w:pPr>
              <w:suppressAutoHyphens w:val="0"/>
              <w:snapToGrid w:val="0"/>
              <w:spacing w:before="0" w:after="0" w:line="240" w:lineRule="auto"/>
              <w:rPr>
                <w:rFonts w:ascii="Franklin Gothic Book" w:eastAsia="Times New Roman" w:hAnsi="Franklin Gothic Book"/>
                <w:sz w:val="16"/>
                <w:szCs w:val="16"/>
              </w:rPr>
            </w:pPr>
            <w:r w:rsidRPr="005A4D66">
              <w:rPr>
                <w:rFonts w:ascii="Franklin Gothic Book" w:eastAsia="Times New Roman" w:hAnsi="Franklin Gothic Book"/>
                <w:sz w:val="16"/>
                <w:szCs w:val="16"/>
              </w:rPr>
              <w:t>AAPTIP has exceeded its performance benchmark</w:t>
            </w:r>
            <w:r w:rsidR="0099334D">
              <w:rPr>
                <w:rFonts w:ascii="Franklin Gothic Book" w:eastAsia="Times New Roman" w:hAnsi="Franklin Gothic Book"/>
                <w:sz w:val="16"/>
                <w:szCs w:val="16"/>
              </w:rPr>
              <w:t xml:space="preserve">. </w:t>
            </w:r>
            <w:r w:rsidR="00680BE8">
              <w:rPr>
                <w:rFonts w:ascii="Franklin Gothic Book" w:eastAsia="Times New Roman" w:hAnsi="Franklin Gothic Book"/>
                <w:iCs/>
                <w:sz w:val="16"/>
                <w:szCs w:val="16"/>
              </w:rPr>
              <w:t xml:space="preserve">From January-December </w:t>
            </w:r>
            <w:r w:rsidRPr="005A4D66">
              <w:rPr>
                <w:rFonts w:ascii="Franklin Gothic Book" w:eastAsia="Times New Roman" w:hAnsi="Franklin Gothic Book"/>
                <w:iCs/>
                <w:sz w:val="16"/>
                <w:szCs w:val="16"/>
              </w:rPr>
              <w:t>2018</w:t>
            </w:r>
            <w:r w:rsidRPr="005A4D66">
              <w:rPr>
                <w:rFonts w:ascii="Franklin Gothic Book" w:eastAsia="Times New Roman" w:hAnsi="Franklin Gothic Book"/>
                <w:sz w:val="16"/>
                <w:szCs w:val="16"/>
              </w:rPr>
              <w:t>, 50 TIP cases</w:t>
            </w:r>
            <w:r w:rsidRPr="005A4D66">
              <w:rPr>
                <w:rFonts w:ascii="Franklin Gothic Book" w:eastAsia="Times New Roman" w:hAnsi="Franklin Gothic Book"/>
                <w:iCs/>
                <w:sz w:val="16"/>
                <w:szCs w:val="16"/>
              </w:rPr>
              <w:t xml:space="preserve"> </w:t>
            </w:r>
            <w:proofErr w:type="gramStart"/>
            <w:r w:rsidRPr="005A4D66">
              <w:rPr>
                <w:rFonts w:ascii="Franklin Gothic Book" w:eastAsia="Times New Roman" w:hAnsi="Franklin Gothic Book"/>
                <w:iCs/>
                <w:sz w:val="16"/>
                <w:szCs w:val="16"/>
              </w:rPr>
              <w:t>were recorded</w:t>
            </w:r>
            <w:proofErr w:type="gramEnd"/>
            <w:r w:rsidRPr="005A4D66">
              <w:rPr>
                <w:rFonts w:ascii="Franklin Gothic Book" w:eastAsia="Times New Roman" w:hAnsi="Franklin Gothic Book"/>
                <w:iCs/>
                <w:sz w:val="16"/>
                <w:szCs w:val="16"/>
              </w:rPr>
              <w:t xml:space="preserve"> involving 7 countries– Cambodia, Indonesia, Malaysia, Myanmar, Philippines, Thailand and Vietnam</w:t>
            </w:r>
            <w:r w:rsidR="0099334D">
              <w:rPr>
                <w:rFonts w:ascii="Franklin Gothic Book" w:eastAsia="Times New Roman" w:hAnsi="Franklin Gothic Book"/>
                <w:iCs/>
                <w:sz w:val="16"/>
                <w:szCs w:val="16"/>
              </w:rPr>
              <w:t xml:space="preserve">. </w:t>
            </w:r>
            <w:r w:rsidRPr="005A4D66">
              <w:rPr>
                <w:rFonts w:ascii="Franklin Gothic Book" w:eastAsia="Times New Roman" w:hAnsi="Franklin Gothic Book"/>
                <w:iCs/>
                <w:sz w:val="16"/>
                <w:szCs w:val="16"/>
              </w:rPr>
              <w:t>The cases led to identification of more than 66 possible TIP victims in Thailand and Malaysia</w:t>
            </w:r>
            <w:r w:rsidR="0099334D">
              <w:rPr>
                <w:rFonts w:ascii="Franklin Gothic Book" w:eastAsia="Times New Roman" w:hAnsi="Franklin Gothic Book"/>
                <w:iCs/>
                <w:sz w:val="16"/>
                <w:szCs w:val="16"/>
              </w:rPr>
              <w:t>.</w:t>
            </w:r>
            <w:r w:rsidR="0099334D">
              <w:rPr>
                <w:rFonts w:ascii="Franklin Gothic Book" w:eastAsia="Times New Roman" w:hAnsi="Franklin Gothic Book"/>
                <w:sz w:val="16"/>
                <w:szCs w:val="16"/>
              </w:rPr>
              <w:t xml:space="preserve"> </w:t>
            </w:r>
            <w:r w:rsidRPr="005A4D66">
              <w:rPr>
                <w:rFonts w:ascii="Franklin Gothic Book" w:eastAsia="Times New Roman" w:hAnsi="Franklin Gothic Book"/>
                <w:sz w:val="16"/>
                <w:szCs w:val="16"/>
              </w:rPr>
              <w:t>Most Significant Change stories undertaken by the program demonstrated that prosecutors were cooperating more and directing the investigations of TIP cases, leading to better evidence collection</w:t>
            </w:r>
            <w:r w:rsidR="0099334D">
              <w:rPr>
                <w:rFonts w:ascii="Franklin Gothic Book" w:eastAsia="Times New Roman" w:hAnsi="Franklin Gothic Book"/>
                <w:sz w:val="16"/>
                <w:szCs w:val="16"/>
              </w:rPr>
              <w:t xml:space="preserve">. </w:t>
            </w:r>
            <w:r w:rsidR="00680BE8" w:rsidRPr="00680BE8">
              <w:rPr>
                <w:rFonts w:ascii="Franklin Gothic Book" w:eastAsia="Times New Roman" w:hAnsi="Franklin Gothic Book"/>
                <w:sz w:val="16"/>
                <w:szCs w:val="16"/>
              </w:rPr>
              <w:t>From January – June 2019, AACT supported one partnership (Thailand-Myanmar) involving 27 cases, 20 continued from AAPTIP and 7 new cases. </w:t>
            </w:r>
          </w:p>
          <w:p w14:paraId="3E28ED19" w14:textId="14822660" w:rsidR="005A4D66" w:rsidRPr="005A4D66" w:rsidRDefault="005A4D66" w:rsidP="005A4D66">
            <w:pPr>
              <w:suppressAutoHyphens w:val="0"/>
              <w:snapToGrid w:val="0"/>
              <w:spacing w:before="0" w:after="0" w:line="240" w:lineRule="auto"/>
              <w:rPr>
                <w:rFonts w:ascii="Franklin Gothic Book" w:eastAsia="Times New Roman" w:hAnsi="Franklin Gothic Book"/>
                <w:sz w:val="16"/>
                <w:szCs w:val="16"/>
              </w:rPr>
            </w:pPr>
          </w:p>
          <w:p w14:paraId="3EBFFDF5" w14:textId="77FC64EB" w:rsidR="005A4D66" w:rsidRPr="001E3F93" w:rsidRDefault="005A4D66" w:rsidP="001E3F93">
            <w:pPr>
              <w:suppressAutoHyphens w:val="0"/>
              <w:snapToGrid w:val="0"/>
              <w:spacing w:before="0" w:after="0" w:line="240" w:lineRule="auto"/>
              <w:rPr>
                <w:rFonts w:ascii="Franklin Gothic Book" w:eastAsia="Times New Roman" w:hAnsi="Franklin Gothic Book"/>
                <w:sz w:val="16"/>
                <w:szCs w:val="16"/>
              </w:rPr>
            </w:pPr>
            <w:r w:rsidRPr="005A4D66">
              <w:rPr>
                <w:rFonts w:ascii="Franklin Gothic Book" w:eastAsiaTheme="minorEastAsia" w:hAnsi="Franklin Gothic Book"/>
                <w:iCs/>
                <w:sz w:val="16"/>
                <w:szCs w:val="16"/>
              </w:rPr>
              <w:t>AAPTIP has exceeded its performance benchmark</w:t>
            </w:r>
            <w:r w:rsidR="0099334D">
              <w:rPr>
                <w:rFonts w:ascii="Franklin Gothic Book" w:eastAsiaTheme="minorEastAsia" w:hAnsi="Franklin Gothic Book"/>
                <w:iCs/>
                <w:sz w:val="16"/>
                <w:szCs w:val="16"/>
              </w:rPr>
              <w:t xml:space="preserve">. </w:t>
            </w:r>
            <w:r w:rsidRPr="005A4D66">
              <w:rPr>
                <w:rFonts w:ascii="Franklin Gothic Book" w:eastAsiaTheme="minorEastAsia" w:hAnsi="Franklin Gothic Book"/>
                <w:iCs/>
                <w:sz w:val="16"/>
                <w:szCs w:val="16"/>
              </w:rPr>
              <w:t xml:space="preserve">In the 2 </w:t>
            </w:r>
            <w:proofErr w:type="gramStart"/>
            <w:r w:rsidRPr="005A4D66">
              <w:rPr>
                <w:rFonts w:ascii="Franklin Gothic Book" w:eastAsiaTheme="minorEastAsia" w:hAnsi="Franklin Gothic Book"/>
                <w:iCs/>
                <w:sz w:val="16"/>
                <w:szCs w:val="16"/>
              </w:rPr>
              <w:t>tracer</w:t>
            </w:r>
            <w:proofErr w:type="gramEnd"/>
            <w:r w:rsidRPr="005A4D66">
              <w:rPr>
                <w:rFonts w:ascii="Franklin Gothic Book" w:eastAsiaTheme="minorEastAsia" w:hAnsi="Franklin Gothic Book"/>
                <w:iCs/>
                <w:sz w:val="16"/>
                <w:szCs w:val="16"/>
              </w:rPr>
              <w:t xml:space="preserve"> studies completed in 2018-19, over 80% of respondents reported using skills and knowledge in the workplace. In one tracer study, 89% of the Filipino judges (19 respondents), reported applying newly acquired skills and knowledge focused </w:t>
            </w:r>
            <w:proofErr w:type="gramStart"/>
            <w:r w:rsidRPr="005A4D66">
              <w:rPr>
                <w:rFonts w:ascii="Franklin Gothic Book" w:eastAsiaTheme="minorEastAsia" w:hAnsi="Franklin Gothic Book"/>
                <w:iCs/>
                <w:sz w:val="16"/>
                <w:szCs w:val="16"/>
              </w:rPr>
              <w:t>on:</w:t>
            </w:r>
            <w:proofErr w:type="gramEnd"/>
            <w:r w:rsidRPr="005A4D66">
              <w:rPr>
                <w:rFonts w:ascii="Franklin Gothic Book" w:eastAsiaTheme="minorEastAsia" w:hAnsi="Franklin Gothic Book"/>
                <w:iCs/>
                <w:sz w:val="16"/>
                <w:szCs w:val="16"/>
              </w:rPr>
              <w:t xml:space="preserve"> definitions of TIP law, victims’ psychology and gender sensitivity, knowledge sharing outside the courtroom, and preservation of evidence in TIP cases</w:t>
            </w:r>
            <w:r w:rsidR="0099334D">
              <w:rPr>
                <w:rFonts w:ascii="Franklin Gothic Book" w:eastAsiaTheme="minorEastAsia" w:hAnsi="Franklin Gothic Book"/>
                <w:iCs/>
                <w:sz w:val="16"/>
                <w:szCs w:val="16"/>
              </w:rPr>
              <w:t xml:space="preserve">. </w:t>
            </w:r>
            <w:r w:rsidRPr="005A4D66">
              <w:rPr>
                <w:rFonts w:ascii="Franklin Gothic Book" w:eastAsiaTheme="minorEastAsia" w:hAnsi="Franklin Gothic Book"/>
                <w:iCs/>
                <w:sz w:val="16"/>
                <w:szCs w:val="16"/>
              </w:rPr>
              <w:t>In the tracer study with Vietnamese police, 100% of respondents (13 respondents) reported follow-on application of skills and knowledge</w:t>
            </w:r>
            <w:r w:rsidR="0099334D">
              <w:rPr>
                <w:rFonts w:ascii="Franklin Gothic Book" w:eastAsiaTheme="minorEastAsia" w:hAnsi="Franklin Gothic Book"/>
                <w:iCs/>
                <w:sz w:val="16"/>
                <w:szCs w:val="16"/>
              </w:rPr>
              <w:t xml:space="preserve">. </w:t>
            </w:r>
            <w:r w:rsidRPr="005A4D66">
              <w:rPr>
                <w:rFonts w:ascii="Franklin Gothic Book" w:eastAsiaTheme="minorEastAsia" w:hAnsi="Franklin Gothic Book"/>
                <w:iCs/>
                <w:sz w:val="16"/>
                <w:szCs w:val="16"/>
              </w:rPr>
              <w:t xml:space="preserve">These changes </w:t>
            </w:r>
            <w:r w:rsidR="00560494">
              <w:rPr>
                <w:rFonts w:ascii="Franklin Gothic Book" w:eastAsiaTheme="minorEastAsia" w:hAnsi="Franklin Gothic Book"/>
                <w:iCs/>
                <w:sz w:val="16"/>
                <w:szCs w:val="16"/>
              </w:rPr>
              <w:t>contributed to</w:t>
            </w:r>
            <w:r w:rsidR="00560494" w:rsidRPr="005A4D66">
              <w:rPr>
                <w:rFonts w:ascii="Franklin Gothic Book" w:eastAsiaTheme="minorEastAsia" w:hAnsi="Franklin Gothic Book"/>
                <w:iCs/>
                <w:sz w:val="16"/>
                <w:szCs w:val="16"/>
              </w:rPr>
              <w:t xml:space="preserve"> </w:t>
            </w:r>
            <w:r w:rsidRPr="005A4D66">
              <w:rPr>
                <w:rFonts w:ascii="Franklin Gothic Book" w:eastAsiaTheme="minorEastAsia" w:hAnsi="Franklin Gothic Book"/>
                <w:iCs/>
                <w:sz w:val="16"/>
                <w:szCs w:val="16"/>
              </w:rPr>
              <w:t>positive outcomes for the respondents</w:t>
            </w:r>
            <w:r w:rsidR="00560494">
              <w:rPr>
                <w:rFonts w:ascii="Franklin Gothic Book" w:eastAsiaTheme="minorEastAsia" w:hAnsi="Franklin Gothic Book"/>
                <w:iCs/>
                <w:sz w:val="16"/>
                <w:szCs w:val="16"/>
              </w:rPr>
              <w:t xml:space="preserve">, </w:t>
            </w:r>
            <w:r w:rsidRPr="005A4D66">
              <w:rPr>
                <w:rFonts w:ascii="Franklin Gothic Book" w:eastAsiaTheme="minorEastAsia" w:hAnsi="Franklin Gothic Book"/>
                <w:iCs/>
                <w:sz w:val="16"/>
                <w:szCs w:val="16"/>
              </w:rPr>
              <w:t xml:space="preserve">for </w:t>
            </w:r>
            <w:r w:rsidR="00560494">
              <w:rPr>
                <w:rFonts w:ascii="Franklin Gothic Book" w:eastAsiaTheme="minorEastAsia" w:hAnsi="Franklin Gothic Book"/>
                <w:iCs/>
                <w:sz w:val="16"/>
                <w:szCs w:val="16"/>
              </w:rPr>
              <w:t xml:space="preserve">the </w:t>
            </w:r>
            <w:r w:rsidRPr="005A4D66">
              <w:rPr>
                <w:rFonts w:ascii="Franklin Gothic Book" w:eastAsiaTheme="minorEastAsia" w:hAnsi="Franklin Gothic Book"/>
                <w:iCs/>
                <w:sz w:val="16"/>
                <w:szCs w:val="16"/>
              </w:rPr>
              <w:t xml:space="preserve">victims they worked with </w:t>
            </w:r>
            <w:r w:rsidR="00560494">
              <w:rPr>
                <w:rFonts w:ascii="Franklin Gothic Book" w:eastAsiaTheme="minorEastAsia" w:hAnsi="Franklin Gothic Book"/>
                <w:iCs/>
                <w:sz w:val="16"/>
                <w:szCs w:val="16"/>
              </w:rPr>
              <w:t>and</w:t>
            </w:r>
            <w:r w:rsidR="00560494" w:rsidRPr="005A4D66">
              <w:rPr>
                <w:rFonts w:ascii="Franklin Gothic Book" w:eastAsiaTheme="minorEastAsia" w:hAnsi="Franklin Gothic Book"/>
                <w:iCs/>
                <w:sz w:val="16"/>
                <w:szCs w:val="16"/>
              </w:rPr>
              <w:t xml:space="preserve"> </w:t>
            </w:r>
            <w:proofErr w:type="gramStart"/>
            <w:r w:rsidR="00560494">
              <w:rPr>
                <w:rFonts w:ascii="Franklin Gothic Book" w:eastAsiaTheme="minorEastAsia" w:hAnsi="Franklin Gothic Book"/>
                <w:iCs/>
                <w:sz w:val="16"/>
                <w:szCs w:val="16"/>
              </w:rPr>
              <w:t xml:space="preserve">improved </w:t>
            </w:r>
            <w:r w:rsidRPr="005A4D66">
              <w:rPr>
                <w:rFonts w:ascii="Franklin Gothic Book" w:eastAsiaTheme="minorEastAsia" w:hAnsi="Franklin Gothic Book"/>
                <w:iCs/>
                <w:sz w:val="16"/>
                <w:szCs w:val="16"/>
              </w:rPr>
              <w:t xml:space="preserve"> case</w:t>
            </w:r>
            <w:r w:rsidR="00560494">
              <w:rPr>
                <w:rFonts w:ascii="Franklin Gothic Book" w:eastAsiaTheme="minorEastAsia" w:hAnsi="Franklin Gothic Book"/>
                <w:iCs/>
                <w:sz w:val="16"/>
                <w:szCs w:val="16"/>
              </w:rPr>
              <w:t>work</w:t>
            </w:r>
            <w:proofErr w:type="gramEnd"/>
            <w:r w:rsidR="0099334D">
              <w:rPr>
                <w:rFonts w:ascii="Franklin Gothic Book" w:eastAsiaTheme="minorEastAsia" w:hAnsi="Franklin Gothic Book"/>
                <w:iCs/>
                <w:sz w:val="16"/>
                <w:szCs w:val="16"/>
              </w:rPr>
              <w:t xml:space="preserve">. </w:t>
            </w:r>
            <w:r w:rsidRPr="005A4D66">
              <w:rPr>
                <w:rFonts w:ascii="Franklin Gothic Book" w:hAnsi="Franklin Gothic Book" w:cs="Times New Roman"/>
                <w:color w:val="44546A"/>
                <w:sz w:val="16"/>
                <w:szCs w:val="16"/>
              </w:rPr>
              <w:t>Over the life of AAPTIP, 70% (n = 231: 42 </w:t>
            </w:r>
            <w:r w:rsidR="000D603E">
              <w:rPr>
                <w:rFonts w:ascii="Franklin Gothic Book" w:hAnsi="Franklin Gothic Book" w:cs="Times New Roman"/>
                <w:color w:val="44546A"/>
                <w:sz w:val="16"/>
                <w:szCs w:val="16"/>
              </w:rPr>
              <w:t>%</w:t>
            </w:r>
            <w:r w:rsidRPr="005A4D66">
              <w:rPr>
                <w:rFonts w:ascii="Franklin Gothic Book" w:hAnsi="Franklin Gothic Book" w:cs="Times New Roman"/>
                <w:color w:val="44546A"/>
                <w:sz w:val="16"/>
                <w:szCs w:val="16"/>
              </w:rPr>
              <w:t xml:space="preserve"> Female) of traced participants in AAPTIP capacity development have been able to apply new skills in their work. </w:t>
            </w:r>
          </w:p>
          <w:p w14:paraId="667E847B" w14:textId="77777777" w:rsidR="005A4D66" w:rsidRPr="005A4D66" w:rsidRDefault="005A4D66" w:rsidP="005A4D66">
            <w:pPr>
              <w:suppressAutoHyphens w:val="0"/>
              <w:snapToGrid w:val="0"/>
              <w:spacing w:before="0" w:after="0" w:line="240" w:lineRule="auto"/>
              <w:rPr>
                <w:rFonts w:ascii="Franklin Gothic Book" w:eastAsia="Times New Roman" w:hAnsi="Franklin Gothic Book"/>
                <w:sz w:val="16"/>
                <w:szCs w:val="16"/>
              </w:rPr>
            </w:pPr>
          </w:p>
          <w:p w14:paraId="0732D99E" w14:textId="18A7F6D1" w:rsidR="005A4D66" w:rsidRPr="005A4D66" w:rsidRDefault="005A4D66" w:rsidP="005A4D66">
            <w:pPr>
              <w:suppressAutoHyphens w:val="0"/>
              <w:snapToGrid w:val="0"/>
              <w:spacing w:before="0" w:after="0" w:line="240" w:lineRule="auto"/>
              <w:rPr>
                <w:rFonts w:ascii="Franklin Gothic Book" w:eastAsia="Times New Roman" w:hAnsi="Franklin Gothic Book"/>
                <w:iCs/>
                <w:sz w:val="16"/>
                <w:szCs w:val="16"/>
              </w:rPr>
            </w:pPr>
            <w:proofErr w:type="spellStart"/>
            <w:r w:rsidRPr="005A4D66">
              <w:rPr>
                <w:rFonts w:ascii="Franklin Gothic Book" w:eastAsia="Times New Roman" w:hAnsi="Franklin Gothic Book"/>
                <w:sz w:val="16"/>
                <w:szCs w:val="16"/>
              </w:rPr>
              <w:t>TiA</w:t>
            </w:r>
            <w:proofErr w:type="spellEnd"/>
            <w:r w:rsidRPr="005A4D66">
              <w:rPr>
                <w:rFonts w:ascii="Franklin Gothic Book" w:eastAsia="Times New Roman" w:hAnsi="Franklin Gothic Book"/>
                <w:sz w:val="16"/>
                <w:szCs w:val="16"/>
              </w:rPr>
              <w:t xml:space="preserve"> has exceeded its performance benchmark</w:t>
            </w:r>
            <w:r w:rsidR="0099334D">
              <w:rPr>
                <w:rFonts w:ascii="Franklin Gothic Book" w:eastAsia="Times New Roman" w:hAnsi="Franklin Gothic Book"/>
                <w:sz w:val="16"/>
                <w:szCs w:val="16"/>
              </w:rPr>
              <w:t xml:space="preserve">. </w:t>
            </w:r>
            <w:r w:rsidRPr="005A4D66">
              <w:rPr>
                <w:rFonts w:ascii="Franklin Gothic Book" w:eastAsia="Times New Roman" w:hAnsi="Franklin Gothic Book"/>
                <w:iCs/>
                <w:sz w:val="16"/>
                <w:szCs w:val="16"/>
              </w:rPr>
              <w:t>MRCs served a total of 30,053 migrant workers in this reporting period (M</w:t>
            </w:r>
            <w:proofErr w:type="gramStart"/>
            <w:r w:rsidRPr="005A4D66">
              <w:rPr>
                <w:rFonts w:ascii="Franklin Gothic Book" w:eastAsia="Times New Roman" w:hAnsi="Franklin Gothic Book"/>
                <w:iCs/>
                <w:sz w:val="16"/>
                <w:szCs w:val="16"/>
              </w:rPr>
              <w:t>:48</w:t>
            </w:r>
            <w:proofErr w:type="gramEnd"/>
            <w:r w:rsidRPr="005A4D66">
              <w:rPr>
                <w:rFonts w:ascii="Franklin Gothic Book" w:eastAsia="Times New Roman" w:hAnsi="Franklin Gothic Book"/>
                <w:iCs/>
                <w:sz w:val="16"/>
                <w:szCs w:val="16"/>
              </w:rPr>
              <w:t>%/W:52%), providing counselling, legal assistance, information, education and training, and networking</w:t>
            </w:r>
            <w:r w:rsidR="0099334D">
              <w:rPr>
                <w:rFonts w:ascii="Franklin Gothic Book" w:eastAsia="Times New Roman" w:hAnsi="Franklin Gothic Book"/>
                <w:iCs/>
                <w:sz w:val="16"/>
                <w:szCs w:val="16"/>
              </w:rPr>
              <w:t xml:space="preserve">. </w:t>
            </w:r>
            <w:r w:rsidRPr="005A4D66">
              <w:rPr>
                <w:rFonts w:ascii="Franklin Gothic Book" w:eastAsia="Times New Roman" w:hAnsi="Franklin Gothic Book"/>
                <w:iCs/>
                <w:sz w:val="16"/>
                <w:szCs w:val="16"/>
              </w:rPr>
              <w:t xml:space="preserve">The MRC network also expanded from 33 to 35 locations over this reporting period. </w:t>
            </w:r>
          </w:p>
          <w:p w14:paraId="44D32697" w14:textId="77777777" w:rsidR="005A4D66" w:rsidRPr="005A4D66" w:rsidRDefault="005A4D66" w:rsidP="005A4D66">
            <w:pPr>
              <w:suppressAutoHyphens w:val="0"/>
              <w:snapToGrid w:val="0"/>
              <w:spacing w:before="0" w:after="0" w:line="240" w:lineRule="auto"/>
              <w:rPr>
                <w:rFonts w:ascii="Franklin Gothic Book" w:eastAsia="Times New Roman" w:hAnsi="Franklin Gothic Book"/>
                <w:sz w:val="16"/>
                <w:szCs w:val="16"/>
              </w:rPr>
            </w:pPr>
          </w:p>
          <w:p w14:paraId="737C3E6D" w14:textId="77777777" w:rsidR="005A4D66" w:rsidRPr="005A4D66" w:rsidRDefault="005A4D66" w:rsidP="005A4D66">
            <w:pPr>
              <w:suppressAutoHyphens w:val="0"/>
              <w:snapToGrid w:val="0"/>
              <w:spacing w:before="0" w:after="0" w:line="240" w:lineRule="auto"/>
              <w:rPr>
                <w:rFonts w:ascii="Franklin Gothic Book" w:eastAsia="Times New Roman" w:hAnsi="Franklin Gothic Book"/>
                <w:sz w:val="16"/>
                <w:szCs w:val="16"/>
              </w:rPr>
            </w:pPr>
          </w:p>
          <w:p w14:paraId="0073D80F" w14:textId="77777777" w:rsidR="005A4D66" w:rsidRPr="005A4D66" w:rsidRDefault="005A4D66" w:rsidP="005A4D66">
            <w:pPr>
              <w:suppressAutoHyphens w:val="0"/>
              <w:snapToGrid w:val="0"/>
              <w:spacing w:before="0" w:after="0" w:line="240" w:lineRule="auto"/>
              <w:rPr>
                <w:rFonts w:ascii="Franklin Gothic Book" w:eastAsia="Times New Roman" w:hAnsi="Franklin Gothic Book"/>
                <w:sz w:val="16"/>
                <w:szCs w:val="16"/>
              </w:rPr>
            </w:pPr>
          </w:p>
          <w:p w14:paraId="77345FAF" w14:textId="77777777" w:rsidR="005A4D66" w:rsidRPr="005A4D66" w:rsidRDefault="005A4D66" w:rsidP="005A4D66">
            <w:pPr>
              <w:suppressAutoHyphens w:val="0"/>
              <w:snapToGrid w:val="0"/>
              <w:spacing w:before="0" w:after="0" w:line="240" w:lineRule="auto"/>
              <w:rPr>
                <w:rFonts w:ascii="Franklin Gothic Book" w:eastAsia="Times New Roman" w:hAnsi="Franklin Gothic Book"/>
                <w:sz w:val="16"/>
                <w:szCs w:val="16"/>
              </w:rPr>
            </w:pPr>
          </w:p>
          <w:p w14:paraId="6C61408B" w14:textId="77777777" w:rsidR="00966BAC" w:rsidRDefault="00966BAC" w:rsidP="007B441B">
            <w:pPr>
              <w:suppressAutoHyphens w:val="0"/>
              <w:snapToGrid w:val="0"/>
              <w:spacing w:before="0" w:after="0" w:line="240" w:lineRule="auto"/>
              <w:rPr>
                <w:rFonts w:ascii="Franklin Gothic Book" w:eastAsia="Times New Roman" w:hAnsi="Franklin Gothic Book"/>
                <w:sz w:val="16"/>
                <w:szCs w:val="16"/>
              </w:rPr>
            </w:pPr>
          </w:p>
          <w:p w14:paraId="2F47AB2C" w14:textId="5CA8F95E" w:rsidR="005A4D66" w:rsidRPr="005A4D66" w:rsidRDefault="005A4D66" w:rsidP="00B562F7">
            <w:pPr>
              <w:suppressAutoHyphens w:val="0"/>
              <w:snapToGrid w:val="0"/>
              <w:spacing w:before="0" w:after="0" w:line="240" w:lineRule="auto"/>
              <w:rPr>
                <w:rFonts w:ascii="Franklin Gothic Book" w:eastAsia="Times New Roman" w:hAnsi="Franklin Gothic Book"/>
                <w:sz w:val="16"/>
                <w:szCs w:val="16"/>
              </w:rPr>
            </w:pPr>
            <w:proofErr w:type="spellStart"/>
            <w:r w:rsidRPr="005A4D66">
              <w:rPr>
                <w:rFonts w:ascii="Franklin Gothic Book" w:eastAsia="Times New Roman" w:hAnsi="Franklin Gothic Book"/>
                <w:sz w:val="16"/>
                <w:szCs w:val="16"/>
              </w:rPr>
              <w:t>TiA</w:t>
            </w:r>
            <w:proofErr w:type="spellEnd"/>
            <w:r w:rsidRPr="005A4D66">
              <w:rPr>
                <w:rFonts w:ascii="Franklin Gothic Book" w:eastAsia="Times New Roman" w:hAnsi="Franklin Gothic Book"/>
                <w:sz w:val="16"/>
                <w:szCs w:val="16"/>
              </w:rPr>
              <w:t xml:space="preserve"> has achieved its performance benchmark</w:t>
            </w:r>
            <w:r w:rsidR="0099334D">
              <w:rPr>
                <w:rFonts w:ascii="Franklin Gothic Book" w:eastAsia="Times New Roman" w:hAnsi="Franklin Gothic Book"/>
                <w:sz w:val="16"/>
                <w:szCs w:val="16"/>
              </w:rPr>
              <w:t xml:space="preserve">. </w:t>
            </w:r>
            <w:proofErr w:type="gramStart"/>
            <w:r w:rsidRPr="005A4D66">
              <w:rPr>
                <w:rFonts w:ascii="Franklin Gothic Book" w:eastAsia="Times New Roman" w:hAnsi="Franklin Gothic Book"/>
                <w:sz w:val="16"/>
                <w:szCs w:val="16"/>
              </w:rPr>
              <w:t xml:space="preserve">Through technical assistance, ILO has supported protection policies to be adopted or amended: (1) Cambodia passed the Labour Migration Policy 2019-2023 with guidance in drafting, technical support and financial support for tripartite ‘plus’ consultation from </w:t>
            </w:r>
            <w:proofErr w:type="spellStart"/>
            <w:r w:rsidRPr="005A4D66">
              <w:rPr>
                <w:rFonts w:ascii="Franklin Gothic Book" w:eastAsia="Times New Roman" w:hAnsi="Franklin Gothic Book"/>
                <w:sz w:val="16"/>
                <w:szCs w:val="16"/>
              </w:rPr>
              <w:t>TiA</w:t>
            </w:r>
            <w:proofErr w:type="spellEnd"/>
            <w:r w:rsidRPr="005A4D66">
              <w:rPr>
                <w:rFonts w:ascii="Franklin Gothic Book" w:eastAsia="Times New Roman" w:hAnsi="Franklin Gothic Book"/>
                <w:sz w:val="16"/>
                <w:szCs w:val="16"/>
              </w:rPr>
              <w:t>; (2) an independent assessment of Law 72 governing the migration of</w:t>
            </w:r>
            <w:r w:rsidR="00966BAC">
              <w:rPr>
                <w:rFonts w:ascii="Franklin Gothic Book" w:eastAsia="Times New Roman" w:hAnsi="Franklin Gothic Book"/>
                <w:sz w:val="16"/>
                <w:szCs w:val="16"/>
              </w:rPr>
              <w:t xml:space="preserve"> workers from Vietnam,</w:t>
            </w:r>
            <w:r w:rsidRPr="005A4D66">
              <w:rPr>
                <w:rFonts w:ascii="Franklin Gothic Book" w:eastAsia="Times New Roman" w:hAnsi="Franklin Gothic Book"/>
                <w:sz w:val="16"/>
                <w:szCs w:val="16"/>
              </w:rPr>
              <w:t xml:space="preserve"> an important voice in the revision of this law;</w:t>
            </w:r>
            <w:r w:rsidRPr="005A4D66">
              <w:rPr>
                <w:rFonts w:ascii="Franklin Gothic Book" w:eastAsia="Times New Roman" w:hAnsi="Franklin Gothic Book" w:cs="Times New Roman"/>
                <w:iCs/>
                <w:color w:val="auto"/>
                <w:szCs w:val="17"/>
                <w:lang w:val="en-AU"/>
              </w:rPr>
              <w:t xml:space="preserve"> </w:t>
            </w:r>
            <w:r w:rsidRPr="005A4D66">
              <w:rPr>
                <w:rFonts w:ascii="Franklin Gothic Book" w:eastAsia="Times New Roman" w:hAnsi="Franklin Gothic Book"/>
                <w:sz w:val="16"/>
                <w:szCs w:val="16"/>
              </w:rPr>
              <w:t xml:space="preserve">(3) In Thailand, a gap analysis </w:t>
            </w:r>
            <w:r w:rsidR="00966BAC">
              <w:rPr>
                <w:rFonts w:ascii="Franklin Gothic Book" w:eastAsia="Times New Roman" w:hAnsi="Franklin Gothic Book"/>
                <w:sz w:val="16"/>
                <w:szCs w:val="16"/>
              </w:rPr>
              <w:t xml:space="preserve">mapped </w:t>
            </w:r>
            <w:r w:rsidRPr="005A4D66">
              <w:rPr>
                <w:rFonts w:ascii="Franklin Gothic Book" w:eastAsia="Times New Roman" w:hAnsi="Franklin Gothic Book"/>
                <w:sz w:val="16"/>
                <w:szCs w:val="16"/>
              </w:rPr>
              <w:t>the cohesion between the Thai legal framework and the ILO’s Domestic Work Co</w:t>
            </w:r>
            <w:r w:rsidR="00966BAC">
              <w:rPr>
                <w:rFonts w:ascii="Franklin Gothic Book" w:eastAsia="Times New Roman" w:hAnsi="Franklin Gothic Book"/>
                <w:sz w:val="16"/>
                <w:szCs w:val="16"/>
              </w:rPr>
              <w:t>nvention (No. 189), to improve</w:t>
            </w:r>
            <w:r w:rsidRPr="005A4D66">
              <w:rPr>
                <w:rFonts w:ascii="Franklin Gothic Book" w:eastAsia="Times New Roman" w:hAnsi="Franklin Gothic Book"/>
                <w:sz w:val="16"/>
                <w:szCs w:val="16"/>
              </w:rPr>
              <w:t xml:space="preserve"> legislative protection for all domestic workers, including migrants, and potentially led towards ratification of the Convention; (4) important changes were made to the revised version of the Thailand Royal Ordinance concerning the Management of Migrant Workers which was adopted in March 2018; (5) a regional study on Social protectio</w:t>
            </w:r>
            <w:r w:rsidR="007B441B">
              <w:rPr>
                <w:rFonts w:ascii="Franklin Gothic Book" w:eastAsia="Times New Roman" w:hAnsi="Franklin Gothic Book"/>
                <w:sz w:val="16"/>
                <w:szCs w:val="16"/>
              </w:rPr>
              <w:t xml:space="preserve">n for migrant workers in ASEAN </w:t>
            </w:r>
            <w:r w:rsidRPr="005A4D66">
              <w:rPr>
                <w:rFonts w:ascii="Franklin Gothic Book" w:eastAsia="Times New Roman" w:hAnsi="Franklin Gothic Book"/>
                <w:sz w:val="16"/>
                <w:szCs w:val="16"/>
              </w:rPr>
              <w:t>was released in 2018</w:t>
            </w:r>
            <w:r w:rsidR="0099334D">
              <w:rPr>
                <w:rFonts w:ascii="Franklin Gothic Book" w:eastAsia="Times New Roman" w:hAnsi="Franklin Gothic Book"/>
                <w:sz w:val="16"/>
                <w:szCs w:val="16"/>
              </w:rPr>
              <w:t>.</w:t>
            </w:r>
            <w:proofErr w:type="gramEnd"/>
            <w:r w:rsidR="0099334D">
              <w:rPr>
                <w:rFonts w:ascii="Franklin Gothic Book" w:eastAsia="Times New Roman" w:hAnsi="Franklin Gothic Book"/>
                <w:sz w:val="16"/>
                <w:szCs w:val="16"/>
              </w:rPr>
              <w:t xml:space="preserve"> </w:t>
            </w:r>
            <w:r w:rsidRPr="005A4D66">
              <w:rPr>
                <w:rFonts w:ascii="Franklin Gothic Book" w:eastAsia="Times New Roman" w:hAnsi="Franklin Gothic Book"/>
                <w:sz w:val="16"/>
                <w:szCs w:val="16"/>
              </w:rPr>
              <w:t xml:space="preserve">This </w:t>
            </w:r>
            <w:r w:rsidR="00966BAC">
              <w:rPr>
                <w:rFonts w:ascii="Franklin Gothic Book" w:eastAsia="Times New Roman" w:hAnsi="Franklin Gothic Book"/>
                <w:sz w:val="16"/>
                <w:szCs w:val="16"/>
              </w:rPr>
              <w:t>covered</w:t>
            </w:r>
            <w:r w:rsidRPr="005A4D66">
              <w:rPr>
                <w:rFonts w:ascii="Franklin Gothic Book" w:eastAsia="Times New Roman" w:hAnsi="Franklin Gothic Book"/>
                <w:sz w:val="16"/>
                <w:szCs w:val="16"/>
              </w:rPr>
              <w:t xml:space="preserve"> al</w:t>
            </w:r>
            <w:r w:rsidR="00966BAC">
              <w:rPr>
                <w:rFonts w:ascii="Franklin Gothic Book" w:eastAsia="Times New Roman" w:hAnsi="Franklin Gothic Book"/>
                <w:sz w:val="16"/>
                <w:szCs w:val="16"/>
              </w:rPr>
              <w:t>l 10 ASEAN countries, and offered</w:t>
            </w:r>
            <w:r w:rsidRPr="005A4D66">
              <w:rPr>
                <w:rFonts w:ascii="Franklin Gothic Book" w:eastAsia="Times New Roman" w:hAnsi="Franklin Gothic Book"/>
                <w:sz w:val="16"/>
                <w:szCs w:val="16"/>
              </w:rPr>
              <w:t xml:space="preserve"> a policy baseline social protection </w:t>
            </w:r>
            <w:r w:rsidR="007B441B">
              <w:rPr>
                <w:rFonts w:ascii="Franklin Gothic Book" w:eastAsia="Times New Roman" w:hAnsi="Franklin Gothic Book"/>
                <w:sz w:val="16"/>
                <w:szCs w:val="16"/>
              </w:rPr>
              <w:t>of</w:t>
            </w:r>
            <w:r w:rsidRPr="005A4D66">
              <w:rPr>
                <w:rFonts w:ascii="Franklin Gothic Book" w:eastAsia="Times New Roman" w:hAnsi="Franklin Gothic Book"/>
                <w:sz w:val="16"/>
                <w:szCs w:val="16"/>
              </w:rPr>
              <w:t xml:space="preserve"> migrant workers in ASEAN</w:t>
            </w:r>
            <w:r w:rsidR="007B441B">
              <w:rPr>
                <w:rFonts w:ascii="Franklin Gothic Book" w:eastAsia="Times New Roman" w:hAnsi="Franklin Gothic Book"/>
                <w:sz w:val="16"/>
                <w:szCs w:val="16"/>
              </w:rPr>
              <w:t>.</w:t>
            </w:r>
            <w:r w:rsidRPr="005A4D66">
              <w:rPr>
                <w:rFonts w:ascii="Franklin Gothic Book" w:eastAsia="Times New Roman" w:hAnsi="Franklin Gothic Book"/>
                <w:sz w:val="16"/>
                <w:szCs w:val="16"/>
              </w:rPr>
              <w:t xml:space="preserve"> </w:t>
            </w:r>
            <w:proofErr w:type="spellStart"/>
            <w:r w:rsidRPr="005A4D66">
              <w:rPr>
                <w:rFonts w:ascii="Franklin Gothic Book" w:eastAsia="Times New Roman" w:hAnsi="Franklin Gothic Book"/>
                <w:sz w:val="16"/>
                <w:szCs w:val="16"/>
              </w:rPr>
              <w:t>Ti</w:t>
            </w:r>
            <w:r w:rsidR="007B441B">
              <w:rPr>
                <w:rFonts w:ascii="Franklin Gothic Book" w:eastAsia="Times New Roman" w:hAnsi="Franklin Gothic Book"/>
                <w:sz w:val="16"/>
                <w:szCs w:val="16"/>
              </w:rPr>
              <w:t>A</w:t>
            </w:r>
            <w:proofErr w:type="spellEnd"/>
            <w:r w:rsidR="007B441B">
              <w:rPr>
                <w:rFonts w:ascii="Franklin Gothic Book" w:eastAsia="Times New Roman" w:hAnsi="Franklin Gothic Book"/>
                <w:sz w:val="16"/>
                <w:szCs w:val="16"/>
              </w:rPr>
              <w:t xml:space="preserve"> provided comments on </w:t>
            </w:r>
            <w:r w:rsidRPr="005A4D66">
              <w:rPr>
                <w:rFonts w:ascii="Franklin Gothic Book" w:eastAsia="Times New Roman" w:hAnsi="Franklin Gothic Book"/>
                <w:sz w:val="16"/>
                <w:szCs w:val="16"/>
              </w:rPr>
              <w:t xml:space="preserve">proposed Domestic Workers Regulations 2019 </w:t>
            </w:r>
            <w:r w:rsidR="007B441B">
              <w:rPr>
                <w:rFonts w:ascii="Franklin Gothic Book" w:eastAsia="Times New Roman" w:hAnsi="Franklin Gothic Book"/>
                <w:sz w:val="16"/>
                <w:szCs w:val="16"/>
              </w:rPr>
              <w:t xml:space="preserve">to </w:t>
            </w:r>
            <w:r w:rsidRPr="005A4D66">
              <w:rPr>
                <w:rFonts w:ascii="Franklin Gothic Book" w:eastAsia="Times New Roman" w:hAnsi="Franklin Gothic Book"/>
                <w:sz w:val="16"/>
                <w:szCs w:val="16"/>
              </w:rPr>
              <w:t>the Ministry</w:t>
            </w:r>
            <w:r w:rsidR="00B562F7">
              <w:rPr>
                <w:rFonts w:ascii="Franklin Gothic Book" w:eastAsia="Times New Roman" w:hAnsi="Franklin Gothic Book"/>
                <w:sz w:val="16"/>
                <w:szCs w:val="16"/>
              </w:rPr>
              <w:t xml:space="preserve"> of Human Resources</w:t>
            </w:r>
            <w:r w:rsidR="007B441B">
              <w:rPr>
                <w:rFonts w:ascii="Franklin Gothic Book" w:eastAsia="Times New Roman" w:hAnsi="Franklin Gothic Book"/>
                <w:sz w:val="16"/>
                <w:szCs w:val="16"/>
              </w:rPr>
              <w:t xml:space="preserve">, Malaysia, and </w:t>
            </w:r>
            <w:r w:rsidRPr="005A4D66">
              <w:rPr>
                <w:rFonts w:ascii="Franklin Gothic Book" w:eastAsia="Times New Roman" w:hAnsi="Franklin Gothic Book"/>
                <w:sz w:val="16"/>
                <w:szCs w:val="16"/>
              </w:rPr>
              <w:t>will support this proce</w:t>
            </w:r>
            <w:r w:rsidR="007B441B">
              <w:rPr>
                <w:rFonts w:ascii="Franklin Gothic Book" w:eastAsia="Times New Roman" w:hAnsi="Franklin Gothic Book"/>
                <w:sz w:val="16"/>
                <w:szCs w:val="16"/>
              </w:rPr>
              <w:t>ss as requested.</w:t>
            </w:r>
          </w:p>
        </w:tc>
      </w:tr>
      <w:tr w:rsidR="005A4D66" w:rsidRPr="005A4D66" w14:paraId="3A576CDD" w14:textId="77777777" w:rsidTr="00496AD3">
        <w:trPr>
          <w:trHeight w:val="115"/>
          <w:tblHeader/>
        </w:trPr>
        <w:tc>
          <w:tcPr>
            <w:tcW w:w="653" w:type="pct"/>
            <w:tcMar>
              <w:top w:w="57" w:type="dxa"/>
              <w:bottom w:w="57" w:type="dxa"/>
            </w:tcMar>
          </w:tcPr>
          <w:p w14:paraId="6E1727E5" w14:textId="77777777" w:rsidR="005A4D66" w:rsidRPr="005A4D66" w:rsidRDefault="005A4D66" w:rsidP="005A4D66">
            <w:pPr>
              <w:suppressAutoHyphens w:val="0"/>
              <w:snapToGrid w:val="0"/>
              <w:spacing w:before="40" w:after="40" w:line="240" w:lineRule="auto"/>
              <w:rPr>
                <w:rFonts w:asciiTheme="minorHAnsi" w:eastAsia="Times New Roman" w:hAnsiTheme="minorHAnsi" w:cs="Times New Roman"/>
                <w:b/>
                <w:iCs/>
                <w:color w:val="auto"/>
                <w:szCs w:val="17"/>
                <w:lang w:val="en-AU"/>
              </w:rPr>
            </w:pPr>
          </w:p>
        </w:tc>
        <w:tc>
          <w:tcPr>
            <w:tcW w:w="817" w:type="pct"/>
          </w:tcPr>
          <w:p w14:paraId="09627701" w14:textId="77777777" w:rsidR="005A4D66" w:rsidRPr="005A4D66" w:rsidRDefault="005A4D66" w:rsidP="005A4D66">
            <w:pPr>
              <w:suppressAutoHyphens w:val="0"/>
              <w:snapToGrid w:val="0"/>
              <w:spacing w:before="40" w:after="40" w:line="240" w:lineRule="auto"/>
              <w:rPr>
                <w:rFonts w:asciiTheme="minorHAnsi" w:eastAsia="Times New Roman" w:hAnsiTheme="minorHAnsi" w:cstheme="minorHAnsi"/>
                <w:color w:val="auto"/>
                <w:szCs w:val="17"/>
                <w:lang w:val="en-AU"/>
              </w:rPr>
            </w:pPr>
          </w:p>
        </w:tc>
        <w:tc>
          <w:tcPr>
            <w:tcW w:w="452" w:type="pct"/>
            <w:shd w:val="clear" w:color="auto" w:fill="73AF2F"/>
          </w:tcPr>
          <w:p w14:paraId="217C09C0" w14:textId="77777777" w:rsidR="005A4D66" w:rsidRPr="005A4D66" w:rsidRDefault="005A4D66" w:rsidP="005A4D66">
            <w:pPr>
              <w:suppressAutoHyphens w:val="0"/>
              <w:snapToGrid w:val="0"/>
              <w:spacing w:before="40" w:after="40" w:line="240" w:lineRule="auto"/>
              <w:jc w:val="center"/>
              <w:rPr>
                <w:rFonts w:asciiTheme="minorHAnsi" w:eastAsia="Times New Roman" w:hAnsiTheme="minorHAnsi" w:cs="Times New Roman"/>
                <w:iCs/>
                <w:color w:val="FFFFFF" w:themeColor="background1"/>
                <w:szCs w:val="17"/>
                <w:lang w:val="en-AU"/>
              </w:rPr>
            </w:pPr>
          </w:p>
        </w:tc>
        <w:tc>
          <w:tcPr>
            <w:tcW w:w="3078" w:type="pct"/>
          </w:tcPr>
          <w:p w14:paraId="2E8EE0EB" w14:textId="77777777" w:rsidR="005A4D66" w:rsidRPr="005A4D66" w:rsidRDefault="005A4D66" w:rsidP="005A4D66">
            <w:pPr>
              <w:suppressAutoHyphens w:val="0"/>
              <w:snapToGrid w:val="0"/>
              <w:spacing w:before="0" w:after="0" w:line="240" w:lineRule="auto"/>
              <w:rPr>
                <w:rFonts w:asciiTheme="minorHAnsi" w:eastAsia="Times New Roman" w:hAnsiTheme="minorHAnsi" w:cstheme="minorHAnsi"/>
                <w:color w:val="auto"/>
                <w:szCs w:val="17"/>
                <w:lang w:val="en-AU"/>
              </w:rPr>
            </w:pPr>
          </w:p>
        </w:tc>
      </w:tr>
    </w:tbl>
    <w:p w14:paraId="46F83DCA" w14:textId="77777777" w:rsidR="005A4D66" w:rsidRPr="005A4D66" w:rsidRDefault="005A4D66" w:rsidP="005A4D66">
      <w:pPr>
        <w:spacing w:before="20" w:after="20" w:line="180" w:lineRule="atLeast"/>
        <w:jc w:val="both"/>
        <w:rPr>
          <w:rFonts w:eastAsia="Times New Roman"/>
          <w:b/>
          <w:sz w:val="16"/>
          <w:szCs w:val="14"/>
        </w:rPr>
      </w:pPr>
      <w:r w:rsidRPr="005A4D66">
        <w:rPr>
          <w:rFonts w:eastAsia="Times New Roman"/>
          <w:b/>
          <w:sz w:val="16"/>
          <w:szCs w:val="14"/>
        </w:rPr>
        <w:t xml:space="preserve">Note: </w:t>
      </w:r>
    </w:p>
    <w:p w14:paraId="3C67509D" w14:textId="6466E1D5" w:rsidR="005A4D66" w:rsidRPr="005A4D66" w:rsidRDefault="005A4D66" w:rsidP="005A4D66">
      <w:pPr>
        <w:spacing w:before="20" w:after="20" w:line="180" w:lineRule="atLeast"/>
        <w:jc w:val="both"/>
        <w:rPr>
          <w:rFonts w:eastAsia="Times New Roman"/>
          <w:b/>
          <w:sz w:val="16"/>
          <w:szCs w:val="14"/>
        </w:rPr>
      </w:pPr>
      <w:r w:rsidRPr="005A4D66">
        <w:rPr>
          <w:rFonts w:eastAsia="Times New Roman"/>
          <w:b/>
          <w:color w:val="72AF2F"/>
          <w:sz w:val="16"/>
          <w:szCs w:val="14"/>
        </w:rPr>
        <w:sym w:font="Webdings" w:char="F067"/>
      </w:r>
      <w:r w:rsidRPr="005A4D66">
        <w:rPr>
          <w:rFonts w:eastAsia="Times New Roman"/>
          <w:b/>
          <w:sz w:val="16"/>
          <w:szCs w:val="14"/>
        </w:rPr>
        <w:t> </w:t>
      </w:r>
      <w:r w:rsidRPr="005A4D66">
        <w:rPr>
          <w:rFonts w:eastAsia="Times New Roman"/>
          <w:b/>
          <w:sz w:val="16"/>
          <w:szCs w:val="14"/>
        </w:rPr>
        <w:t xml:space="preserve"> Achieved</w:t>
      </w:r>
      <w:r w:rsidR="0099334D">
        <w:rPr>
          <w:rFonts w:eastAsia="Times New Roman"/>
          <w:b/>
          <w:sz w:val="16"/>
          <w:szCs w:val="14"/>
        </w:rPr>
        <w:t xml:space="preserve">. </w:t>
      </w:r>
      <w:r w:rsidRPr="005A4D66">
        <w:rPr>
          <w:rFonts w:eastAsia="Times New Roman"/>
          <w:b/>
          <w:sz w:val="16"/>
          <w:szCs w:val="14"/>
        </w:rPr>
        <w:t xml:space="preserve">Significant progress </w:t>
      </w:r>
      <w:proofErr w:type="gramStart"/>
      <w:r w:rsidRPr="005A4D66">
        <w:rPr>
          <w:rFonts w:eastAsia="Times New Roman"/>
          <w:b/>
          <w:sz w:val="16"/>
          <w:szCs w:val="14"/>
        </w:rPr>
        <w:t>has been made</w:t>
      </w:r>
      <w:proofErr w:type="gramEnd"/>
      <w:r w:rsidRPr="005A4D66">
        <w:rPr>
          <w:rFonts w:eastAsia="Times New Roman"/>
          <w:b/>
          <w:sz w:val="16"/>
          <w:szCs w:val="14"/>
        </w:rPr>
        <w:t xml:space="preserve"> and the performance benchmark was achieved </w:t>
      </w:r>
    </w:p>
    <w:p w14:paraId="628C75E5" w14:textId="59F28583" w:rsidR="005A4D66" w:rsidRPr="005A4D66" w:rsidRDefault="005A4D66" w:rsidP="005A4D66">
      <w:pPr>
        <w:spacing w:before="20" w:after="20" w:line="180" w:lineRule="atLeast"/>
        <w:jc w:val="both"/>
        <w:rPr>
          <w:rFonts w:eastAsia="Times New Roman"/>
          <w:b/>
          <w:sz w:val="16"/>
          <w:szCs w:val="14"/>
        </w:rPr>
      </w:pPr>
      <w:r w:rsidRPr="005A4D66">
        <w:rPr>
          <w:rFonts w:eastAsia="Times New Roman"/>
          <w:b/>
          <w:color w:val="E36C0A"/>
          <w:sz w:val="16"/>
          <w:szCs w:val="14"/>
        </w:rPr>
        <w:sym w:font="Webdings" w:char="F067"/>
      </w:r>
      <w:r w:rsidRPr="005A4D66">
        <w:rPr>
          <w:rFonts w:eastAsia="Times New Roman"/>
          <w:b/>
          <w:sz w:val="16"/>
          <w:szCs w:val="14"/>
        </w:rPr>
        <w:t> </w:t>
      </w:r>
      <w:r w:rsidRPr="005A4D66">
        <w:rPr>
          <w:rFonts w:eastAsia="Times New Roman"/>
          <w:b/>
          <w:sz w:val="16"/>
          <w:szCs w:val="14"/>
        </w:rPr>
        <w:t xml:space="preserve"> Partly achieved</w:t>
      </w:r>
      <w:r w:rsidR="0099334D">
        <w:rPr>
          <w:rFonts w:eastAsia="Times New Roman"/>
          <w:b/>
          <w:sz w:val="16"/>
          <w:szCs w:val="14"/>
        </w:rPr>
        <w:t xml:space="preserve">. </w:t>
      </w:r>
      <w:r w:rsidRPr="005A4D66">
        <w:rPr>
          <w:rFonts w:eastAsia="Times New Roman"/>
          <w:b/>
          <w:sz w:val="16"/>
          <w:szCs w:val="14"/>
        </w:rPr>
        <w:t xml:space="preserve">Some progress </w:t>
      </w:r>
      <w:proofErr w:type="gramStart"/>
      <w:r w:rsidRPr="005A4D66">
        <w:rPr>
          <w:rFonts w:eastAsia="Times New Roman"/>
          <w:b/>
          <w:sz w:val="16"/>
          <w:szCs w:val="14"/>
        </w:rPr>
        <w:t>has been made</w:t>
      </w:r>
      <w:proofErr w:type="gramEnd"/>
      <w:r w:rsidRPr="005A4D66">
        <w:rPr>
          <w:rFonts w:eastAsia="Times New Roman"/>
          <w:b/>
          <w:sz w:val="16"/>
          <w:szCs w:val="14"/>
        </w:rPr>
        <w:t xml:space="preserve"> towards achieving the performance benchmark, but progress was less than anticipated. </w:t>
      </w:r>
    </w:p>
    <w:p w14:paraId="4193AA62" w14:textId="58FC436C" w:rsidR="005A4D66" w:rsidRPr="005A4D66" w:rsidRDefault="005A4D66" w:rsidP="005A4D66">
      <w:pPr>
        <w:spacing w:before="20" w:after="20" w:line="180" w:lineRule="atLeast"/>
        <w:jc w:val="both"/>
        <w:rPr>
          <w:rFonts w:eastAsia="Times New Roman"/>
          <w:b/>
          <w:sz w:val="16"/>
          <w:szCs w:val="14"/>
        </w:rPr>
      </w:pPr>
      <w:r w:rsidRPr="005A4D66">
        <w:rPr>
          <w:rFonts w:eastAsia="Times New Roman"/>
          <w:b/>
          <w:color w:val="FF0000"/>
          <w:sz w:val="16"/>
          <w:szCs w:val="14"/>
        </w:rPr>
        <w:sym w:font="Webdings" w:char="F067"/>
      </w:r>
      <w:r w:rsidRPr="005A4D66">
        <w:rPr>
          <w:rFonts w:eastAsia="Times New Roman"/>
          <w:b/>
          <w:sz w:val="16"/>
          <w:szCs w:val="14"/>
        </w:rPr>
        <w:t> </w:t>
      </w:r>
      <w:r w:rsidRPr="005A4D66">
        <w:rPr>
          <w:rFonts w:eastAsia="Times New Roman"/>
          <w:b/>
          <w:sz w:val="16"/>
          <w:szCs w:val="14"/>
        </w:rPr>
        <w:t xml:space="preserve"> Not achieved. Progress towards the performance benchmark has been significantly below expectations</w:t>
      </w:r>
      <w:bookmarkEnd w:id="2"/>
    </w:p>
    <w:p w14:paraId="28B25B50" w14:textId="19A47D9B" w:rsidR="005A4D66" w:rsidRPr="007B51B4" w:rsidRDefault="00B62D0C" w:rsidP="00966BAC">
      <w:pPr>
        <w:spacing w:before="20" w:after="20" w:line="180" w:lineRule="atLeast"/>
        <w:jc w:val="both"/>
        <w:rPr>
          <w:rFonts w:eastAsia="Times New Roman"/>
          <w:sz w:val="16"/>
          <w:szCs w:val="14"/>
        </w:rPr>
      </w:pPr>
      <w:r>
        <w:rPr>
          <w:rFonts w:ascii="Franklin Gothic Book" w:eastAsia="Times New Roman" w:hAnsi="Franklin Gothic Book"/>
          <w:b/>
          <w:sz w:val="24"/>
          <w:szCs w:val="24"/>
        </w:rPr>
        <w:br w:type="page"/>
      </w:r>
      <w:proofErr w:type="gramStart"/>
      <w:r w:rsidR="007B51B4">
        <w:rPr>
          <w:rFonts w:ascii="Franklin Gothic Book" w:eastAsia="Times New Roman" w:hAnsi="Franklin Gothic Book"/>
          <w:b/>
          <w:sz w:val="24"/>
          <w:szCs w:val="24"/>
        </w:rPr>
        <w:t>2</w:t>
      </w:r>
      <w:proofErr w:type="gramEnd"/>
      <w:r w:rsidR="007B51B4">
        <w:rPr>
          <w:rFonts w:ascii="Franklin Gothic Book" w:eastAsia="Times New Roman" w:hAnsi="Franklin Gothic Book"/>
          <w:b/>
          <w:sz w:val="24"/>
          <w:szCs w:val="24"/>
        </w:rPr>
        <w:t xml:space="preserve"> </w:t>
      </w:r>
      <w:r w:rsidR="005A4D66" w:rsidRPr="007B51B4">
        <w:rPr>
          <w:rFonts w:ascii="Franklin Gothic Book" w:eastAsia="Times New Roman" w:hAnsi="Franklin Gothic Book"/>
          <w:sz w:val="24"/>
          <w:szCs w:val="24"/>
        </w:rPr>
        <w:t xml:space="preserve">Performance Benchmarks </w:t>
      </w:r>
      <w:r w:rsidR="007B51B4">
        <w:rPr>
          <w:rFonts w:ascii="Franklin Gothic Book" w:eastAsia="Times New Roman" w:hAnsi="Franklin Gothic Book"/>
          <w:sz w:val="24"/>
          <w:szCs w:val="24"/>
        </w:rPr>
        <w:t>for 2019-20</w:t>
      </w:r>
    </w:p>
    <w:tbl>
      <w:tblPr>
        <w:tblStyle w:val="DFATTable2"/>
        <w:tblW w:w="5000" w:type="pct"/>
        <w:tblLook w:val="04A0" w:firstRow="1" w:lastRow="0" w:firstColumn="1" w:lastColumn="0" w:noHBand="0" w:noVBand="1"/>
      </w:tblPr>
      <w:tblGrid>
        <w:gridCol w:w="1540"/>
        <w:gridCol w:w="2901"/>
        <w:gridCol w:w="2568"/>
        <w:gridCol w:w="2629"/>
      </w:tblGrid>
      <w:tr w:rsidR="005A4D66" w:rsidRPr="005A4D66" w14:paraId="1A0E624B" w14:textId="77777777" w:rsidTr="00350C90">
        <w:trPr>
          <w:trHeight w:val="245"/>
        </w:trPr>
        <w:tc>
          <w:tcPr>
            <w:tcW w:w="799" w:type="pct"/>
            <w:tcBorders>
              <w:top w:val="single" w:sz="12" w:space="0" w:color="auto"/>
              <w:left w:val="nil"/>
              <w:bottom w:val="nil"/>
              <w:right w:val="nil"/>
            </w:tcBorders>
          </w:tcPr>
          <w:p w14:paraId="5D65D5A4" w14:textId="77777777" w:rsidR="005A4D66" w:rsidRPr="005A4D66" w:rsidRDefault="005A4D66" w:rsidP="005A4D66">
            <w:pPr>
              <w:ind w:left="284"/>
              <w:rPr>
                <w:rFonts w:asciiTheme="minorHAnsi" w:hAnsiTheme="minorHAnsi"/>
              </w:rPr>
            </w:pPr>
            <w:r w:rsidRPr="005A4D66">
              <w:rPr>
                <w:rFonts w:asciiTheme="minorHAnsi" w:eastAsia="Times New Roman" w:hAnsiTheme="minorHAnsi"/>
                <w:b/>
                <w:iCs/>
                <w:szCs w:val="17"/>
                <w:lang w:eastAsia="en-US"/>
              </w:rPr>
              <w:t>Aid objective</w:t>
            </w:r>
          </w:p>
        </w:tc>
        <w:tc>
          <w:tcPr>
            <w:tcW w:w="1505" w:type="pct"/>
            <w:tcBorders>
              <w:top w:val="single" w:sz="12" w:space="0" w:color="auto"/>
              <w:left w:val="nil"/>
              <w:bottom w:val="nil"/>
              <w:right w:val="nil"/>
            </w:tcBorders>
          </w:tcPr>
          <w:p w14:paraId="26C1DCA8" w14:textId="77777777" w:rsidR="005A4D66" w:rsidRPr="005A4D66" w:rsidRDefault="005A4D66" w:rsidP="005A4D66">
            <w:pPr>
              <w:ind w:left="284"/>
              <w:rPr>
                <w:rFonts w:asciiTheme="minorHAnsi" w:hAnsiTheme="minorHAnsi"/>
              </w:rPr>
            </w:pPr>
            <w:r w:rsidRPr="005A4D66">
              <w:rPr>
                <w:rFonts w:asciiTheme="minorHAnsi" w:eastAsia="Times New Roman" w:hAnsiTheme="minorHAnsi"/>
                <w:b/>
                <w:iCs/>
                <w:szCs w:val="17"/>
                <w:lang w:eastAsia="en-US"/>
              </w:rPr>
              <w:t xml:space="preserve">Performance Benchmark </w:t>
            </w:r>
          </w:p>
        </w:tc>
        <w:tc>
          <w:tcPr>
            <w:tcW w:w="1332" w:type="pct"/>
            <w:tcBorders>
              <w:top w:val="single" w:sz="12" w:space="0" w:color="auto"/>
              <w:left w:val="nil"/>
              <w:bottom w:val="nil"/>
              <w:right w:val="nil"/>
            </w:tcBorders>
            <w:hideMark/>
          </w:tcPr>
          <w:p w14:paraId="763AD7F8" w14:textId="77777777" w:rsidR="005A4D66" w:rsidRPr="005A4D66" w:rsidRDefault="005A4D66" w:rsidP="005A4D66">
            <w:pPr>
              <w:jc w:val="center"/>
              <w:rPr>
                <w:rFonts w:asciiTheme="minorHAnsi" w:hAnsiTheme="minorHAnsi"/>
                <w:b/>
              </w:rPr>
            </w:pPr>
            <w:r w:rsidRPr="005A4D66">
              <w:rPr>
                <w:rFonts w:asciiTheme="minorHAnsi" w:hAnsiTheme="minorHAnsi"/>
                <w:b/>
              </w:rPr>
              <w:t>2019-20 (Performance Benchmarks may be updated as part of the Program’s AIP revision in 2019)</w:t>
            </w:r>
          </w:p>
        </w:tc>
        <w:tc>
          <w:tcPr>
            <w:tcW w:w="1364" w:type="pct"/>
            <w:tcBorders>
              <w:top w:val="single" w:sz="12" w:space="0" w:color="auto"/>
              <w:left w:val="nil"/>
              <w:bottom w:val="nil"/>
              <w:right w:val="nil"/>
            </w:tcBorders>
            <w:hideMark/>
          </w:tcPr>
          <w:p w14:paraId="4A7C351C" w14:textId="77777777" w:rsidR="005A4D66" w:rsidRPr="005A4D66" w:rsidRDefault="005A4D66" w:rsidP="005A4D66">
            <w:pPr>
              <w:ind w:left="33"/>
              <w:jc w:val="center"/>
              <w:rPr>
                <w:rFonts w:asciiTheme="minorHAnsi" w:hAnsiTheme="minorHAnsi"/>
                <w:b/>
              </w:rPr>
            </w:pPr>
            <w:r w:rsidRPr="005A4D66">
              <w:rPr>
                <w:rFonts w:asciiTheme="minorHAnsi" w:hAnsiTheme="minorHAnsi"/>
                <w:b/>
              </w:rPr>
              <w:t>2020-21 (Performance Benchmarks may be updated as part of the Program’s AIP revision in 2019)</w:t>
            </w:r>
          </w:p>
        </w:tc>
      </w:tr>
      <w:tr w:rsidR="005A4D66" w:rsidRPr="005A4D66" w14:paraId="4AC10E3E" w14:textId="77777777" w:rsidTr="00350C90">
        <w:trPr>
          <w:trHeight w:val="315"/>
        </w:trPr>
        <w:tc>
          <w:tcPr>
            <w:tcW w:w="799" w:type="pct"/>
            <w:tcBorders>
              <w:top w:val="nil"/>
              <w:left w:val="nil"/>
              <w:bottom w:val="nil"/>
              <w:right w:val="nil"/>
            </w:tcBorders>
            <w:hideMark/>
          </w:tcPr>
          <w:p w14:paraId="34DD9909" w14:textId="77777777" w:rsidR="005A4D66" w:rsidRPr="005A4D66" w:rsidRDefault="005A4D66" w:rsidP="005A4D66">
            <w:pPr>
              <w:ind w:left="284"/>
              <w:rPr>
                <w:rFonts w:asciiTheme="minorHAnsi" w:hAnsiTheme="minorHAnsi"/>
                <w:i/>
                <w:color w:val="808080" w:themeColor="background1" w:themeShade="80"/>
                <w:sz w:val="18"/>
              </w:rPr>
            </w:pPr>
          </w:p>
        </w:tc>
        <w:tc>
          <w:tcPr>
            <w:tcW w:w="4201" w:type="pct"/>
            <w:gridSpan w:val="3"/>
            <w:tcBorders>
              <w:top w:val="nil"/>
              <w:left w:val="nil"/>
              <w:bottom w:val="nil"/>
            </w:tcBorders>
            <w:hideMark/>
          </w:tcPr>
          <w:p w14:paraId="3444B42E" w14:textId="77777777" w:rsidR="005A4D66" w:rsidRPr="005A4D66" w:rsidRDefault="005A4D66" w:rsidP="005A4D66">
            <w:pPr>
              <w:ind w:left="284"/>
              <w:rPr>
                <w:i/>
                <w:color w:val="808080" w:themeColor="background1" w:themeShade="80"/>
              </w:rPr>
            </w:pPr>
          </w:p>
        </w:tc>
      </w:tr>
      <w:tr w:rsidR="005A4D66" w:rsidRPr="005A4D66" w14:paraId="68AA7DAC" w14:textId="77777777" w:rsidTr="00350C90">
        <w:trPr>
          <w:trHeight w:val="730"/>
        </w:trPr>
        <w:tc>
          <w:tcPr>
            <w:tcW w:w="799" w:type="pct"/>
            <w:tcBorders>
              <w:top w:val="nil"/>
              <w:left w:val="nil"/>
              <w:bottom w:val="nil"/>
              <w:right w:val="nil"/>
            </w:tcBorders>
          </w:tcPr>
          <w:p w14:paraId="6B4C4FF1" w14:textId="77777777" w:rsidR="005A4D66" w:rsidRPr="005A4D66" w:rsidRDefault="005A4D66" w:rsidP="005A4D66">
            <w:pPr>
              <w:ind w:left="284"/>
              <w:rPr>
                <w:rFonts w:asciiTheme="minorHAnsi" w:hAnsiTheme="minorHAnsi"/>
                <w:b/>
                <w:i/>
                <w:color w:val="808080" w:themeColor="background1" w:themeShade="80"/>
                <w:sz w:val="18"/>
              </w:rPr>
            </w:pPr>
            <w:r w:rsidRPr="005A4D66">
              <w:rPr>
                <w:rFonts w:asciiTheme="minorHAnsi" w:eastAsia="Times New Roman" w:hAnsiTheme="minorHAnsi"/>
                <w:b/>
                <w:iCs/>
                <w:szCs w:val="17"/>
                <w:lang w:eastAsia="en-US"/>
              </w:rPr>
              <w:t>Enabling regional economic cooperation and inclusive growth</w:t>
            </w:r>
            <w:r w:rsidRPr="005A4D66">
              <w:rPr>
                <w:rFonts w:asciiTheme="minorHAnsi" w:eastAsia="Times New Roman" w:hAnsiTheme="minorHAnsi"/>
                <w:b/>
                <w:iCs/>
                <w:sz w:val="16"/>
                <w:szCs w:val="16"/>
                <w:lang w:eastAsia="en-US"/>
              </w:rPr>
              <w:t xml:space="preserve"> </w:t>
            </w:r>
            <w:r w:rsidRPr="005A4D66">
              <w:rPr>
                <w:rFonts w:asciiTheme="minorHAnsi" w:eastAsia="Times New Roman" w:hAnsiTheme="minorHAnsi"/>
                <w:b/>
                <w:iCs/>
                <w:szCs w:val="17"/>
                <w:lang w:eastAsia="en-US"/>
              </w:rPr>
              <w:t xml:space="preserve"> </w:t>
            </w:r>
          </w:p>
        </w:tc>
        <w:tc>
          <w:tcPr>
            <w:tcW w:w="1505" w:type="pct"/>
            <w:tcBorders>
              <w:top w:val="nil"/>
              <w:left w:val="nil"/>
              <w:bottom w:val="nil"/>
              <w:right w:val="nil"/>
            </w:tcBorders>
          </w:tcPr>
          <w:p w14:paraId="69A3AE35" w14:textId="77777777" w:rsidR="005A4D66" w:rsidRPr="005A4D66" w:rsidRDefault="005A4D66" w:rsidP="005A4D66">
            <w:pPr>
              <w:ind w:left="284"/>
              <w:rPr>
                <w:rFonts w:asciiTheme="minorHAnsi" w:hAnsiTheme="minorHAnsi"/>
                <w:i/>
                <w:color w:val="808080" w:themeColor="background1" w:themeShade="80"/>
                <w:szCs w:val="20"/>
                <w:lang w:eastAsia="en-US"/>
              </w:rPr>
            </w:pPr>
            <w:r w:rsidRPr="005A4D66">
              <w:rPr>
                <w:rFonts w:asciiTheme="minorHAnsi" w:eastAsia="Times New Roman" w:hAnsiTheme="minorHAnsi"/>
                <w:iCs/>
                <w:szCs w:val="17"/>
                <w:lang w:eastAsia="en-US"/>
              </w:rPr>
              <w:t>Evidence of high quality and timely economic research, policy advice and policy implementation support to ASEAN on priority AEC issues</w:t>
            </w:r>
          </w:p>
        </w:tc>
        <w:tc>
          <w:tcPr>
            <w:tcW w:w="1332" w:type="pct"/>
            <w:tcBorders>
              <w:top w:val="nil"/>
              <w:left w:val="nil"/>
              <w:bottom w:val="nil"/>
              <w:right w:val="nil"/>
            </w:tcBorders>
            <w:hideMark/>
          </w:tcPr>
          <w:p w14:paraId="475F298E" w14:textId="1C2D403F" w:rsidR="005A4D66" w:rsidRPr="005A4D66" w:rsidRDefault="00A415D6" w:rsidP="005A4D66">
            <w:pPr>
              <w:ind w:left="33"/>
              <w:rPr>
                <w:rFonts w:asciiTheme="minorHAnsi" w:hAnsiTheme="minorHAnsi"/>
                <w:i/>
                <w:color w:val="808080" w:themeColor="background1" w:themeShade="80"/>
                <w:szCs w:val="20"/>
                <w:lang w:eastAsia="en-US"/>
              </w:rPr>
            </w:pPr>
            <w:r>
              <w:rPr>
                <w:rFonts w:asciiTheme="minorHAnsi" w:eastAsia="Times New Roman" w:hAnsiTheme="minorHAnsi"/>
                <w:iCs/>
                <w:szCs w:val="17"/>
                <w:lang w:eastAsia="en-US"/>
              </w:rPr>
              <w:t>Survey results confirmed satisfaction by ASEAN regarding quality and timeliness of relevant research, advice and support.</w:t>
            </w:r>
          </w:p>
        </w:tc>
        <w:tc>
          <w:tcPr>
            <w:tcW w:w="1364" w:type="pct"/>
            <w:tcBorders>
              <w:top w:val="nil"/>
              <w:left w:val="nil"/>
              <w:bottom w:val="nil"/>
              <w:right w:val="nil"/>
            </w:tcBorders>
            <w:hideMark/>
          </w:tcPr>
          <w:p w14:paraId="28CA018E" w14:textId="0E09C171" w:rsidR="005A4D66" w:rsidRPr="005A4D66" w:rsidRDefault="00A415D6" w:rsidP="005A4D66">
            <w:pPr>
              <w:ind w:left="33"/>
              <w:rPr>
                <w:rFonts w:asciiTheme="minorHAnsi" w:eastAsia="Times New Roman" w:hAnsiTheme="minorHAnsi"/>
                <w:iCs/>
                <w:szCs w:val="17"/>
                <w:lang w:eastAsia="en-US"/>
              </w:rPr>
            </w:pPr>
            <w:r w:rsidRPr="00A415D6">
              <w:rPr>
                <w:rFonts w:asciiTheme="minorHAnsi" w:eastAsia="Times New Roman" w:hAnsiTheme="minorHAnsi"/>
                <w:iCs/>
                <w:szCs w:val="17"/>
                <w:lang w:eastAsia="en-US"/>
              </w:rPr>
              <w:t>Survey results confirmed satisfaction by ASEAN regarding quality and timeliness of relevant research, advice and support.</w:t>
            </w:r>
          </w:p>
        </w:tc>
      </w:tr>
      <w:tr w:rsidR="005A4D66" w:rsidRPr="005A4D66" w14:paraId="2D68D8BE" w14:textId="77777777" w:rsidTr="00350C90">
        <w:trPr>
          <w:trHeight w:val="730"/>
        </w:trPr>
        <w:tc>
          <w:tcPr>
            <w:tcW w:w="799" w:type="pct"/>
            <w:tcBorders>
              <w:top w:val="nil"/>
              <w:left w:val="nil"/>
              <w:bottom w:val="nil"/>
              <w:right w:val="nil"/>
            </w:tcBorders>
          </w:tcPr>
          <w:p w14:paraId="6FA42E8F" w14:textId="77777777" w:rsidR="005A4D66" w:rsidRPr="005A4D66" w:rsidRDefault="005A4D66" w:rsidP="005A4D66">
            <w:pPr>
              <w:ind w:left="284"/>
              <w:rPr>
                <w:rFonts w:eastAsia="Times New Roman"/>
                <w:iCs/>
                <w:szCs w:val="17"/>
              </w:rPr>
            </w:pPr>
          </w:p>
        </w:tc>
        <w:tc>
          <w:tcPr>
            <w:tcW w:w="1505" w:type="pct"/>
            <w:tcBorders>
              <w:top w:val="nil"/>
              <w:left w:val="nil"/>
              <w:bottom w:val="nil"/>
              <w:right w:val="nil"/>
            </w:tcBorders>
          </w:tcPr>
          <w:p w14:paraId="089B268E" w14:textId="77777777" w:rsidR="005A4D66" w:rsidRPr="005A4D66" w:rsidRDefault="005A4D66" w:rsidP="005A4D66">
            <w:pPr>
              <w:ind w:left="284"/>
              <w:rPr>
                <w:rFonts w:asciiTheme="minorHAnsi" w:eastAsia="Times New Roman" w:hAnsiTheme="minorHAnsi"/>
                <w:iCs/>
                <w:szCs w:val="17"/>
                <w:lang w:eastAsia="en-US"/>
              </w:rPr>
            </w:pPr>
            <w:r w:rsidRPr="005A4D66">
              <w:rPr>
                <w:rFonts w:asciiTheme="minorHAnsi" w:eastAsia="Times New Roman" w:hAnsiTheme="minorHAnsi"/>
                <w:iCs/>
                <w:szCs w:val="17"/>
                <w:lang w:eastAsia="en-US"/>
              </w:rPr>
              <w:t>Evidence of AECSP capacity building projects supporting AANZFTA implementation</w:t>
            </w:r>
          </w:p>
        </w:tc>
        <w:tc>
          <w:tcPr>
            <w:tcW w:w="1332" w:type="pct"/>
            <w:tcBorders>
              <w:top w:val="nil"/>
              <w:left w:val="nil"/>
              <w:bottom w:val="nil"/>
              <w:right w:val="nil"/>
            </w:tcBorders>
          </w:tcPr>
          <w:p w14:paraId="4322B9C7" w14:textId="122CD6DE" w:rsidR="005A4D66" w:rsidRPr="005A4D66" w:rsidRDefault="00E51791" w:rsidP="005A4D66">
            <w:pPr>
              <w:ind w:left="33"/>
              <w:rPr>
                <w:rFonts w:asciiTheme="minorHAnsi" w:eastAsia="Times New Roman" w:hAnsiTheme="minorHAnsi"/>
                <w:iCs/>
                <w:szCs w:val="17"/>
                <w:lang w:eastAsia="en-US"/>
              </w:rPr>
            </w:pPr>
            <w:r w:rsidRPr="00E51791">
              <w:rPr>
                <w:rFonts w:asciiTheme="minorHAnsi" w:eastAsia="Times New Roman" w:hAnsiTheme="minorHAnsi"/>
                <w:iCs/>
                <w:szCs w:val="17"/>
                <w:lang w:eastAsia="en-US"/>
              </w:rPr>
              <w:t>20 capacity building projects support AANZFTA</w:t>
            </w:r>
          </w:p>
        </w:tc>
        <w:tc>
          <w:tcPr>
            <w:tcW w:w="1364" w:type="pct"/>
            <w:tcBorders>
              <w:top w:val="nil"/>
              <w:left w:val="nil"/>
              <w:bottom w:val="nil"/>
              <w:right w:val="nil"/>
            </w:tcBorders>
          </w:tcPr>
          <w:p w14:paraId="263DD6DE" w14:textId="2729DE73" w:rsidR="005A4D66" w:rsidRPr="005A4D66" w:rsidRDefault="00E51791" w:rsidP="005A4D66">
            <w:pPr>
              <w:ind w:left="33"/>
              <w:rPr>
                <w:rFonts w:asciiTheme="minorHAnsi" w:eastAsia="Times New Roman" w:hAnsiTheme="minorHAnsi"/>
                <w:iCs/>
                <w:szCs w:val="17"/>
                <w:lang w:eastAsia="en-US"/>
              </w:rPr>
            </w:pPr>
            <w:r w:rsidRPr="00E51791">
              <w:rPr>
                <w:rFonts w:asciiTheme="minorHAnsi" w:eastAsia="Times New Roman" w:hAnsiTheme="minorHAnsi"/>
                <w:iCs/>
                <w:szCs w:val="17"/>
                <w:lang w:eastAsia="en-US"/>
              </w:rPr>
              <w:t>20 capacity building projects support AANZFTA</w:t>
            </w:r>
          </w:p>
        </w:tc>
      </w:tr>
      <w:tr w:rsidR="005A4D66" w:rsidRPr="005A4D66" w14:paraId="5F58CF67" w14:textId="77777777" w:rsidTr="00350C90">
        <w:trPr>
          <w:trHeight w:val="730"/>
        </w:trPr>
        <w:tc>
          <w:tcPr>
            <w:tcW w:w="799" w:type="pct"/>
            <w:tcBorders>
              <w:top w:val="nil"/>
              <w:left w:val="nil"/>
              <w:bottom w:val="nil"/>
              <w:right w:val="nil"/>
            </w:tcBorders>
          </w:tcPr>
          <w:p w14:paraId="2A4FBF8D" w14:textId="77777777" w:rsidR="005A4D66" w:rsidRPr="005A4D66" w:rsidRDefault="005A4D66" w:rsidP="005A4D66">
            <w:pPr>
              <w:ind w:left="284"/>
              <w:rPr>
                <w:rFonts w:eastAsia="Times New Roman"/>
                <w:iCs/>
                <w:szCs w:val="17"/>
              </w:rPr>
            </w:pPr>
          </w:p>
        </w:tc>
        <w:tc>
          <w:tcPr>
            <w:tcW w:w="1505" w:type="pct"/>
            <w:tcBorders>
              <w:top w:val="nil"/>
              <w:left w:val="nil"/>
              <w:bottom w:val="nil"/>
              <w:right w:val="nil"/>
            </w:tcBorders>
          </w:tcPr>
          <w:p w14:paraId="5074457C" w14:textId="77777777" w:rsidR="005A4D66" w:rsidRPr="005A4D66" w:rsidRDefault="005A4D66" w:rsidP="005A4D66">
            <w:pPr>
              <w:ind w:left="284"/>
              <w:rPr>
                <w:rFonts w:asciiTheme="minorHAnsi" w:eastAsia="Times New Roman" w:hAnsiTheme="minorHAnsi"/>
                <w:iCs/>
                <w:szCs w:val="17"/>
                <w:lang w:eastAsia="en-US"/>
              </w:rPr>
            </w:pPr>
            <w:r w:rsidRPr="005A4D66">
              <w:rPr>
                <w:rFonts w:asciiTheme="minorHAnsi" w:eastAsia="Times New Roman" w:hAnsiTheme="minorHAnsi"/>
                <w:iCs/>
                <w:szCs w:val="17"/>
                <w:lang w:eastAsia="en-US"/>
              </w:rPr>
              <w:t>Number of new challenge fund grant agreements that improve women’s financial inclusion under implementation</w:t>
            </w:r>
          </w:p>
        </w:tc>
        <w:tc>
          <w:tcPr>
            <w:tcW w:w="1332" w:type="pct"/>
            <w:tcBorders>
              <w:top w:val="nil"/>
              <w:left w:val="nil"/>
              <w:bottom w:val="nil"/>
              <w:right w:val="nil"/>
            </w:tcBorders>
          </w:tcPr>
          <w:p w14:paraId="179A87E8" w14:textId="77777777" w:rsidR="005A4D66" w:rsidRPr="005A4D66" w:rsidRDefault="005A4D66" w:rsidP="005A4D66">
            <w:pPr>
              <w:ind w:left="33"/>
              <w:rPr>
                <w:rFonts w:asciiTheme="minorHAnsi" w:eastAsia="Times New Roman" w:hAnsiTheme="minorHAnsi"/>
                <w:iCs/>
                <w:szCs w:val="17"/>
                <w:lang w:eastAsia="en-US"/>
              </w:rPr>
            </w:pPr>
            <w:r w:rsidRPr="005A4D66">
              <w:rPr>
                <w:rFonts w:asciiTheme="minorHAnsi" w:eastAsia="Times New Roman" w:hAnsiTheme="minorHAnsi"/>
                <w:iCs/>
                <w:szCs w:val="17"/>
                <w:lang w:eastAsia="en-US"/>
              </w:rPr>
              <w:t>2</w:t>
            </w:r>
          </w:p>
        </w:tc>
        <w:tc>
          <w:tcPr>
            <w:tcW w:w="1364" w:type="pct"/>
            <w:tcBorders>
              <w:top w:val="nil"/>
              <w:left w:val="nil"/>
              <w:bottom w:val="nil"/>
              <w:right w:val="nil"/>
            </w:tcBorders>
          </w:tcPr>
          <w:p w14:paraId="1E5C8B4D" w14:textId="432AA543" w:rsidR="005A4D66" w:rsidRPr="005A4D66" w:rsidRDefault="005A4D66" w:rsidP="005A4D66">
            <w:pPr>
              <w:rPr>
                <w:i/>
                <w:color w:val="808080" w:themeColor="background1" w:themeShade="80"/>
                <w:szCs w:val="20"/>
              </w:rPr>
            </w:pPr>
            <w:r w:rsidRPr="005A4D66">
              <w:rPr>
                <w:rFonts w:asciiTheme="minorHAnsi" w:eastAsia="Times New Roman" w:hAnsiTheme="minorHAnsi"/>
                <w:iCs/>
                <w:szCs w:val="17"/>
                <w:lang w:eastAsia="en-US"/>
              </w:rPr>
              <w:t>N/A (</w:t>
            </w:r>
            <w:r w:rsidR="00D01C8F">
              <w:rPr>
                <w:rFonts w:asciiTheme="minorHAnsi" w:eastAsia="Times New Roman" w:hAnsiTheme="minorHAnsi"/>
                <w:iCs/>
                <w:szCs w:val="17"/>
                <w:lang w:eastAsia="en-US"/>
              </w:rPr>
              <w:t>R</w:t>
            </w:r>
            <w:r w:rsidRPr="005A4D66">
              <w:rPr>
                <w:rFonts w:asciiTheme="minorHAnsi" w:eastAsia="Times New Roman" w:hAnsiTheme="minorHAnsi"/>
                <w:iCs/>
                <w:szCs w:val="17"/>
                <w:lang w:eastAsia="en-US"/>
              </w:rPr>
              <w:t>esults reporting only)</w:t>
            </w:r>
          </w:p>
        </w:tc>
      </w:tr>
      <w:tr w:rsidR="005A4D66" w:rsidRPr="005A4D66" w14:paraId="7FADD2BA" w14:textId="77777777" w:rsidTr="00350C90">
        <w:trPr>
          <w:trHeight w:val="730"/>
        </w:trPr>
        <w:tc>
          <w:tcPr>
            <w:tcW w:w="799" w:type="pct"/>
            <w:tcBorders>
              <w:top w:val="nil"/>
              <w:left w:val="nil"/>
              <w:bottom w:val="nil"/>
              <w:right w:val="nil"/>
            </w:tcBorders>
          </w:tcPr>
          <w:p w14:paraId="6D1998BA" w14:textId="77777777" w:rsidR="005A4D66" w:rsidRPr="005A4D66" w:rsidRDefault="005A4D66" w:rsidP="005A4D66">
            <w:pPr>
              <w:ind w:left="284"/>
              <w:rPr>
                <w:rFonts w:eastAsia="Times New Roman"/>
                <w:iCs/>
                <w:szCs w:val="17"/>
              </w:rPr>
            </w:pPr>
          </w:p>
        </w:tc>
        <w:tc>
          <w:tcPr>
            <w:tcW w:w="1505" w:type="pct"/>
            <w:tcBorders>
              <w:top w:val="nil"/>
              <w:left w:val="nil"/>
              <w:bottom w:val="nil"/>
              <w:right w:val="nil"/>
            </w:tcBorders>
          </w:tcPr>
          <w:p w14:paraId="0A051082" w14:textId="77777777" w:rsidR="005A4D66" w:rsidRPr="005A4D66" w:rsidRDefault="005A4D66" w:rsidP="005A4D66">
            <w:pPr>
              <w:ind w:left="284"/>
              <w:rPr>
                <w:rFonts w:asciiTheme="minorHAnsi" w:eastAsia="Times New Roman" w:hAnsiTheme="minorHAnsi"/>
                <w:iCs/>
                <w:szCs w:val="17"/>
                <w:lang w:eastAsia="en-US"/>
              </w:rPr>
            </w:pPr>
            <w:r w:rsidRPr="005A4D66">
              <w:rPr>
                <w:rFonts w:asciiTheme="minorHAnsi" w:eastAsia="Times New Roman" w:hAnsiTheme="minorHAnsi"/>
                <w:iCs/>
                <w:szCs w:val="17"/>
                <w:lang w:eastAsia="en-US"/>
              </w:rPr>
              <w:t>Strengthened institutional water resource management frameworks</w:t>
            </w:r>
          </w:p>
        </w:tc>
        <w:tc>
          <w:tcPr>
            <w:tcW w:w="1332" w:type="pct"/>
            <w:tcBorders>
              <w:top w:val="nil"/>
              <w:left w:val="nil"/>
              <w:bottom w:val="nil"/>
              <w:right w:val="nil"/>
            </w:tcBorders>
          </w:tcPr>
          <w:p w14:paraId="7F57054B" w14:textId="77777777" w:rsidR="005A4D66" w:rsidRPr="005A4D66" w:rsidRDefault="005A4D66" w:rsidP="005A4D66">
            <w:pPr>
              <w:ind w:left="33"/>
              <w:rPr>
                <w:rFonts w:asciiTheme="minorHAnsi" w:eastAsia="Times New Roman" w:hAnsiTheme="minorHAnsi"/>
                <w:iCs/>
                <w:szCs w:val="17"/>
                <w:lang w:eastAsia="en-US"/>
              </w:rPr>
            </w:pPr>
            <w:r w:rsidRPr="005A4D66">
              <w:rPr>
                <w:rFonts w:asciiTheme="minorHAnsi" w:eastAsia="Times New Roman" w:hAnsiTheme="minorHAnsi"/>
                <w:iCs/>
                <w:szCs w:val="17"/>
                <w:lang w:eastAsia="en-US"/>
              </w:rPr>
              <w:t>4</w:t>
            </w:r>
          </w:p>
        </w:tc>
        <w:tc>
          <w:tcPr>
            <w:tcW w:w="1364" w:type="pct"/>
            <w:tcBorders>
              <w:top w:val="nil"/>
              <w:left w:val="nil"/>
              <w:bottom w:val="nil"/>
              <w:right w:val="nil"/>
            </w:tcBorders>
          </w:tcPr>
          <w:p w14:paraId="487305AE" w14:textId="77777777" w:rsidR="005A4D66" w:rsidRPr="005A4D66" w:rsidRDefault="005A4D66" w:rsidP="005A4D66">
            <w:pPr>
              <w:rPr>
                <w:i/>
                <w:color w:val="808080" w:themeColor="background1" w:themeShade="80"/>
                <w:szCs w:val="20"/>
              </w:rPr>
            </w:pPr>
            <w:r w:rsidRPr="005A4D66">
              <w:rPr>
                <w:rFonts w:asciiTheme="minorHAnsi" w:eastAsia="Times New Roman" w:hAnsiTheme="minorHAnsi"/>
                <w:iCs/>
                <w:szCs w:val="17"/>
                <w:lang w:eastAsia="en-US"/>
              </w:rPr>
              <w:t>4</w:t>
            </w:r>
          </w:p>
        </w:tc>
      </w:tr>
      <w:tr w:rsidR="005A4D66" w:rsidRPr="005A4D66" w14:paraId="377535A0" w14:textId="77777777" w:rsidTr="00350C90">
        <w:trPr>
          <w:trHeight w:val="257"/>
        </w:trPr>
        <w:tc>
          <w:tcPr>
            <w:tcW w:w="799" w:type="pct"/>
            <w:tcBorders>
              <w:top w:val="nil"/>
              <w:left w:val="nil"/>
              <w:bottom w:val="nil"/>
              <w:right w:val="nil"/>
            </w:tcBorders>
          </w:tcPr>
          <w:p w14:paraId="4A7A26B3" w14:textId="77777777" w:rsidR="005A4D66" w:rsidRPr="005A4D66" w:rsidRDefault="005A4D66" w:rsidP="005A4D66">
            <w:pPr>
              <w:rPr>
                <w:rFonts w:eastAsia="Times New Roman"/>
                <w:iCs/>
                <w:szCs w:val="17"/>
              </w:rPr>
            </w:pPr>
          </w:p>
        </w:tc>
        <w:tc>
          <w:tcPr>
            <w:tcW w:w="1505" w:type="pct"/>
            <w:tcBorders>
              <w:top w:val="nil"/>
              <w:left w:val="nil"/>
              <w:bottom w:val="nil"/>
              <w:right w:val="nil"/>
            </w:tcBorders>
          </w:tcPr>
          <w:p w14:paraId="4B2B880E" w14:textId="77777777" w:rsidR="005A4D66" w:rsidRPr="005A4D66" w:rsidRDefault="005A4D66" w:rsidP="005A4D66">
            <w:pPr>
              <w:ind w:left="284"/>
              <w:rPr>
                <w:rFonts w:ascii="Franklin Gothic Book" w:hAnsi="Franklin Gothic Book"/>
                <w:sz w:val="16"/>
                <w:szCs w:val="16"/>
              </w:rPr>
            </w:pPr>
          </w:p>
        </w:tc>
        <w:tc>
          <w:tcPr>
            <w:tcW w:w="1332" w:type="pct"/>
            <w:tcBorders>
              <w:top w:val="nil"/>
              <w:left w:val="nil"/>
              <w:bottom w:val="nil"/>
              <w:right w:val="nil"/>
            </w:tcBorders>
          </w:tcPr>
          <w:p w14:paraId="600F518F" w14:textId="77777777" w:rsidR="005A4D66" w:rsidRPr="005A4D66" w:rsidRDefault="005A4D66" w:rsidP="005A4D66">
            <w:pPr>
              <w:ind w:left="33"/>
              <w:rPr>
                <w:rFonts w:ascii="Franklin Gothic Book" w:hAnsi="Franklin Gothic Book"/>
                <w:sz w:val="16"/>
                <w:szCs w:val="16"/>
              </w:rPr>
            </w:pPr>
          </w:p>
        </w:tc>
        <w:tc>
          <w:tcPr>
            <w:tcW w:w="1364" w:type="pct"/>
            <w:tcBorders>
              <w:top w:val="nil"/>
              <w:left w:val="nil"/>
              <w:bottom w:val="nil"/>
              <w:right w:val="nil"/>
            </w:tcBorders>
          </w:tcPr>
          <w:p w14:paraId="46B8B7EF" w14:textId="77777777" w:rsidR="005A4D66" w:rsidRPr="005A4D66" w:rsidRDefault="005A4D66" w:rsidP="005A4D66">
            <w:pPr>
              <w:ind w:left="284"/>
              <w:jc w:val="center"/>
              <w:rPr>
                <w:i/>
                <w:color w:val="808080" w:themeColor="background1" w:themeShade="80"/>
                <w:szCs w:val="20"/>
              </w:rPr>
            </w:pPr>
          </w:p>
        </w:tc>
      </w:tr>
      <w:tr w:rsidR="005A4D66" w:rsidRPr="005A4D66" w14:paraId="3D1A5676" w14:textId="77777777" w:rsidTr="00350C90">
        <w:trPr>
          <w:trHeight w:val="455"/>
        </w:trPr>
        <w:tc>
          <w:tcPr>
            <w:tcW w:w="799" w:type="pct"/>
            <w:tcBorders>
              <w:top w:val="nil"/>
              <w:left w:val="nil"/>
              <w:bottom w:val="nil"/>
              <w:right w:val="nil"/>
            </w:tcBorders>
          </w:tcPr>
          <w:p w14:paraId="269700E3" w14:textId="0DA2D1D7" w:rsidR="005A4D66" w:rsidRPr="005A4D66" w:rsidRDefault="005A4D66" w:rsidP="005A4D66">
            <w:pPr>
              <w:ind w:left="284"/>
              <w:rPr>
                <w:rFonts w:asciiTheme="minorHAnsi" w:hAnsiTheme="minorHAnsi"/>
                <w:i/>
                <w:color w:val="808080" w:themeColor="background1" w:themeShade="80"/>
                <w:sz w:val="18"/>
              </w:rPr>
            </w:pPr>
            <w:r w:rsidRPr="005A4D66">
              <w:rPr>
                <w:rFonts w:asciiTheme="minorHAnsi" w:eastAsia="Times New Roman" w:hAnsiTheme="minorHAnsi"/>
                <w:b/>
                <w:iCs/>
                <w:szCs w:val="17"/>
                <w:lang w:eastAsia="en-US"/>
              </w:rPr>
              <w:t xml:space="preserve">Strengthening regional </w:t>
            </w:r>
            <w:r w:rsidR="00966BAC">
              <w:rPr>
                <w:rFonts w:asciiTheme="minorHAnsi" w:eastAsia="Times New Roman" w:hAnsiTheme="minorHAnsi"/>
                <w:b/>
                <w:iCs/>
                <w:szCs w:val="17"/>
                <w:lang w:eastAsia="en-US"/>
              </w:rPr>
              <w:t xml:space="preserve">responses to trafficking and </w:t>
            </w:r>
            <w:r w:rsidRPr="005A4D66">
              <w:rPr>
                <w:rFonts w:asciiTheme="minorHAnsi" w:eastAsia="Times New Roman" w:hAnsiTheme="minorHAnsi"/>
                <w:b/>
                <w:iCs/>
                <w:szCs w:val="17"/>
                <w:lang w:eastAsia="en-US"/>
              </w:rPr>
              <w:t xml:space="preserve"> exploitation of migrant workers</w:t>
            </w:r>
          </w:p>
        </w:tc>
        <w:tc>
          <w:tcPr>
            <w:tcW w:w="1505" w:type="pct"/>
            <w:tcBorders>
              <w:top w:val="nil"/>
              <w:left w:val="nil"/>
              <w:bottom w:val="nil"/>
              <w:right w:val="nil"/>
            </w:tcBorders>
          </w:tcPr>
          <w:p w14:paraId="0A09BC11" w14:textId="77777777" w:rsidR="005A4D66" w:rsidRPr="005A4D66" w:rsidRDefault="005A4D66" w:rsidP="005A4D66">
            <w:pPr>
              <w:ind w:left="284"/>
              <w:rPr>
                <w:rFonts w:asciiTheme="minorHAnsi" w:eastAsia="Times New Roman" w:hAnsiTheme="minorHAnsi"/>
                <w:iCs/>
                <w:szCs w:val="17"/>
                <w:lang w:eastAsia="en-US"/>
              </w:rPr>
            </w:pPr>
            <w:r w:rsidRPr="005A4D66">
              <w:rPr>
                <w:rFonts w:asciiTheme="minorHAnsi" w:eastAsia="Times New Roman" w:hAnsiTheme="minorHAnsi"/>
                <w:iCs/>
                <w:szCs w:val="17"/>
                <w:lang w:eastAsia="en-US"/>
              </w:rPr>
              <w:t>Number of TIP case investigations in which partners are cooperating (5 or more TIP case investigations)</w:t>
            </w:r>
          </w:p>
        </w:tc>
        <w:tc>
          <w:tcPr>
            <w:tcW w:w="1332" w:type="pct"/>
            <w:tcBorders>
              <w:top w:val="nil"/>
              <w:left w:val="nil"/>
              <w:bottom w:val="nil"/>
              <w:right w:val="nil"/>
            </w:tcBorders>
          </w:tcPr>
          <w:p w14:paraId="3280831C" w14:textId="5612C24C" w:rsidR="005A4D66" w:rsidRPr="005A4D66" w:rsidRDefault="00263FAD" w:rsidP="005A4D66">
            <w:pPr>
              <w:ind w:left="33"/>
              <w:rPr>
                <w:rFonts w:asciiTheme="minorHAnsi" w:eastAsia="Times New Roman" w:hAnsiTheme="minorHAnsi"/>
                <w:iCs/>
                <w:szCs w:val="17"/>
                <w:lang w:eastAsia="en-US"/>
              </w:rPr>
            </w:pPr>
            <w:r>
              <w:rPr>
                <w:rFonts w:asciiTheme="minorHAnsi" w:eastAsia="Times New Roman" w:hAnsiTheme="minorHAnsi"/>
                <w:iCs/>
                <w:szCs w:val="17"/>
                <w:lang w:eastAsia="en-US"/>
              </w:rPr>
              <w:t>10</w:t>
            </w:r>
            <w:r w:rsidR="005A4D66" w:rsidRPr="005A4D66">
              <w:rPr>
                <w:rFonts w:asciiTheme="minorHAnsi" w:eastAsia="Times New Roman" w:hAnsiTheme="minorHAnsi"/>
                <w:iCs/>
                <w:szCs w:val="17"/>
                <w:lang w:eastAsia="en-US"/>
              </w:rPr>
              <w:t xml:space="preserve"> or more TIP case investigations</w:t>
            </w:r>
          </w:p>
        </w:tc>
        <w:tc>
          <w:tcPr>
            <w:tcW w:w="1364" w:type="pct"/>
            <w:tcBorders>
              <w:top w:val="nil"/>
              <w:left w:val="nil"/>
              <w:bottom w:val="nil"/>
              <w:right w:val="nil"/>
            </w:tcBorders>
          </w:tcPr>
          <w:p w14:paraId="0732A616" w14:textId="3802A78B" w:rsidR="005A4D66" w:rsidRPr="005A4D66" w:rsidRDefault="00DB54A4" w:rsidP="005A4D66">
            <w:pPr>
              <w:ind w:left="33"/>
              <w:rPr>
                <w:rFonts w:asciiTheme="minorHAnsi" w:hAnsiTheme="minorHAnsi"/>
                <w:iCs/>
                <w:color w:val="808080" w:themeColor="background1" w:themeShade="80"/>
                <w:szCs w:val="20"/>
                <w:lang w:eastAsia="en-US"/>
              </w:rPr>
            </w:pPr>
            <w:r>
              <w:rPr>
                <w:rFonts w:asciiTheme="minorHAnsi" w:eastAsia="Times New Roman" w:hAnsiTheme="minorHAnsi"/>
                <w:iCs/>
                <w:szCs w:val="17"/>
                <w:lang w:eastAsia="en-US"/>
              </w:rPr>
              <w:t>10</w:t>
            </w:r>
            <w:r w:rsidR="005A4D66" w:rsidRPr="005A4D66">
              <w:rPr>
                <w:rFonts w:asciiTheme="minorHAnsi" w:eastAsia="Times New Roman" w:hAnsiTheme="minorHAnsi"/>
                <w:iCs/>
                <w:szCs w:val="17"/>
                <w:lang w:eastAsia="en-US"/>
              </w:rPr>
              <w:t xml:space="preserve"> or more TIP case investigations</w:t>
            </w:r>
          </w:p>
        </w:tc>
      </w:tr>
      <w:tr w:rsidR="005A4D66" w:rsidRPr="005A4D66" w14:paraId="4F1929DF" w14:textId="77777777" w:rsidTr="00350C90">
        <w:trPr>
          <w:trHeight w:val="455"/>
        </w:trPr>
        <w:tc>
          <w:tcPr>
            <w:tcW w:w="799" w:type="pct"/>
            <w:tcBorders>
              <w:top w:val="nil"/>
              <w:left w:val="nil"/>
              <w:bottom w:val="nil"/>
              <w:right w:val="nil"/>
            </w:tcBorders>
          </w:tcPr>
          <w:p w14:paraId="3673B6BF" w14:textId="77777777" w:rsidR="005A4D66" w:rsidRPr="005A4D66" w:rsidRDefault="005A4D66" w:rsidP="005A4D66">
            <w:pPr>
              <w:ind w:left="284"/>
              <w:rPr>
                <w:rFonts w:eastAsia="Times New Roman"/>
                <w:iCs/>
                <w:szCs w:val="17"/>
              </w:rPr>
            </w:pPr>
          </w:p>
        </w:tc>
        <w:tc>
          <w:tcPr>
            <w:tcW w:w="1505" w:type="pct"/>
            <w:tcBorders>
              <w:top w:val="nil"/>
              <w:left w:val="nil"/>
              <w:bottom w:val="nil"/>
              <w:right w:val="nil"/>
            </w:tcBorders>
          </w:tcPr>
          <w:p w14:paraId="10369AFA" w14:textId="0F5DD940" w:rsidR="005A4D66" w:rsidRPr="005A4D66" w:rsidRDefault="005A4D66" w:rsidP="00AD324F">
            <w:pPr>
              <w:ind w:left="284"/>
              <w:rPr>
                <w:rFonts w:asciiTheme="minorHAnsi" w:eastAsia="Times New Roman" w:hAnsiTheme="minorHAnsi"/>
                <w:iCs/>
                <w:szCs w:val="17"/>
                <w:lang w:eastAsia="en-US"/>
              </w:rPr>
            </w:pPr>
            <w:r w:rsidRPr="005A4D66">
              <w:rPr>
                <w:rFonts w:asciiTheme="minorHAnsi" w:eastAsia="Times New Roman" w:hAnsiTheme="minorHAnsi"/>
                <w:iCs/>
                <w:szCs w:val="17"/>
                <w:lang w:eastAsia="en-US"/>
              </w:rPr>
              <w:t>Percentage of women and men trained under AAPTIP</w:t>
            </w:r>
            <w:r w:rsidR="00AD324F">
              <w:rPr>
                <w:rFonts w:asciiTheme="minorHAnsi" w:eastAsia="Times New Roman" w:hAnsiTheme="minorHAnsi"/>
                <w:iCs/>
                <w:szCs w:val="17"/>
                <w:lang w:eastAsia="en-US"/>
              </w:rPr>
              <w:t>/AACT</w:t>
            </w:r>
            <w:r w:rsidRPr="005A4D66">
              <w:rPr>
                <w:rFonts w:asciiTheme="minorHAnsi" w:eastAsia="Times New Roman" w:hAnsiTheme="minorHAnsi"/>
                <w:iCs/>
                <w:szCs w:val="17"/>
                <w:lang w:eastAsia="en-US"/>
              </w:rPr>
              <w:t xml:space="preserve"> recording follow-on skill and</w:t>
            </w:r>
            <w:r w:rsidR="00263FAD">
              <w:rPr>
                <w:rFonts w:asciiTheme="minorHAnsi" w:eastAsia="Times New Roman" w:hAnsiTheme="minorHAnsi"/>
                <w:iCs/>
                <w:szCs w:val="17"/>
                <w:lang w:eastAsia="en-US"/>
              </w:rPr>
              <w:t>/or</w:t>
            </w:r>
            <w:r w:rsidRPr="005A4D66">
              <w:rPr>
                <w:rFonts w:asciiTheme="minorHAnsi" w:eastAsia="Times New Roman" w:hAnsiTheme="minorHAnsi"/>
                <w:iCs/>
                <w:szCs w:val="17"/>
                <w:lang w:eastAsia="en-US"/>
              </w:rPr>
              <w:t xml:space="preserve"> knowledge changes demonstrated in the workplace</w:t>
            </w:r>
            <w:r w:rsidR="00AD324F">
              <w:rPr>
                <w:rFonts w:asciiTheme="minorHAnsi" w:eastAsia="Times New Roman" w:hAnsiTheme="minorHAnsi"/>
                <w:iCs/>
                <w:szCs w:val="17"/>
                <w:lang w:eastAsia="en-US"/>
              </w:rPr>
              <w:t>.</w:t>
            </w:r>
          </w:p>
        </w:tc>
        <w:tc>
          <w:tcPr>
            <w:tcW w:w="1332" w:type="pct"/>
            <w:tcBorders>
              <w:top w:val="nil"/>
              <w:left w:val="nil"/>
              <w:bottom w:val="nil"/>
              <w:right w:val="nil"/>
            </w:tcBorders>
          </w:tcPr>
          <w:p w14:paraId="19E41747" w14:textId="58E26266" w:rsidR="005A4D66" w:rsidRPr="005C42DB" w:rsidRDefault="00263FAD" w:rsidP="005A4D66">
            <w:pPr>
              <w:ind w:left="33"/>
              <w:rPr>
                <w:rFonts w:asciiTheme="minorHAnsi" w:eastAsia="Times New Roman" w:hAnsiTheme="minorHAnsi"/>
                <w:iCs/>
                <w:szCs w:val="17"/>
                <w:lang w:eastAsia="en-US"/>
              </w:rPr>
            </w:pPr>
            <w:r w:rsidRPr="005C42DB">
              <w:rPr>
                <w:rFonts w:asciiTheme="minorHAnsi" w:eastAsia="Times New Roman" w:hAnsiTheme="minorHAnsi"/>
                <w:iCs/>
                <w:szCs w:val="17"/>
              </w:rPr>
              <w:t>50 percent or more of sampled people reporting change</w:t>
            </w:r>
          </w:p>
        </w:tc>
        <w:tc>
          <w:tcPr>
            <w:tcW w:w="1364" w:type="pct"/>
            <w:tcBorders>
              <w:top w:val="nil"/>
              <w:left w:val="nil"/>
              <w:bottom w:val="nil"/>
              <w:right w:val="nil"/>
            </w:tcBorders>
          </w:tcPr>
          <w:p w14:paraId="5E5DC9F2" w14:textId="5F6D3E09" w:rsidR="005A4D66" w:rsidRPr="005C42DB" w:rsidRDefault="005A4D66" w:rsidP="005A4D66">
            <w:pPr>
              <w:ind w:left="33"/>
              <w:rPr>
                <w:rFonts w:asciiTheme="minorHAnsi" w:hAnsiTheme="minorHAnsi"/>
                <w:i/>
                <w:color w:val="808080" w:themeColor="background1" w:themeShade="80"/>
                <w:szCs w:val="20"/>
              </w:rPr>
            </w:pPr>
            <w:r w:rsidRPr="005C42DB">
              <w:rPr>
                <w:rFonts w:asciiTheme="minorHAnsi" w:eastAsia="Times New Roman" w:hAnsiTheme="minorHAnsi"/>
                <w:iCs/>
                <w:szCs w:val="17"/>
              </w:rPr>
              <w:t>50 percent or more of sampled people reporting change</w:t>
            </w:r>
          </w:p>
        </w:tc>
      </w:tr>
      <w:tr w:rsidR="005A4D66" w:rsidRPr="005A4D66" w14:paraId="0B47B1F2" w14:textId="77777777" w:rsidTr="00350C90">
        <w:trPr>
          <w:trHeight w:val="455"/>
        </w:trPr>
        <w:tc>
          <w:tcPr>
            <w:tcW w:w="799" w:type="pct"/>
            <w:tcBorders>
              <w:top w:val="nil"/>
              <w:left w:val="nil"/>
              <w:bottom w:val="nil"/>
              <w:right w:val="nil"/>
            </w:tcBorders>
          </w:tcPr>
          <w:p w14:paraId="13682B81" w14:textId="77777777" w:rsidR="005A4D66" w:rsidRPr="005A4D66" w:rsidRDefault="005A4D66" w:rsidP="005A4D66">
            <w:pPr>
              <w:ind w:left="284"/>
              <w:rPr>
                <w:rFonts w:eastAsia="Times New Roman"/>
                <w:iCs/>
                <w:szCs w:val="17"/>
              </w:rPr>
            </w:pPr>
          </w:p>
        </w:tc>
        <w:tc>
          <w:tcPr>
            <w:tcW w:w="1505" w:type="pct"/>
            <w:tcBorders>
              <w:top w:val="nil"/>
              <w:left w:val="nil"/>
              <w:bottom w:val="nil"/>
              <w:right w:val="nil"/>
            </w:tcBorders>
          </w:tcPr>
          <w:p w14:paraId="1E599F06" w14:textId="77777777" w:rsidR="005A4D66" w:rsidRPr="005A4D66" w:rsidRDefault="005A4D66" w:rsidP="005A4D66">
            <w:pPr>
              <w:ind w:left="284"/>
              <w:rPr>
                <w:rFonts w:asciiTheme="minorHAnsi" w:eastAsia="Times New Roman" w:hAnsiTheme="minorHAnsi"/>
                <w:iCs/>
                <w:szCs w:val="17"/>
                <w:lang w:eastAsia="en-US"/>
              </w:rPr>
            </w:pPr>
            <w:r w:rsidRPr="005A4D66">
              <w:rPr>
                <w:rFonts w:asciiTheme="minorHAnsi" w:eastAsia="Times New Roman" w:hAnsiTheme="minorHAnsi"/>
                <w:iCs/>
                <w:szCs w:val="17"/>
                <w:lang w:eastAsia="en-US"/>
              </w:rPr>
              <w:t>Number of women and men who receive support services through Migrant Resource Centres.</w:t>
            </w:r>
          </w:p>
        </w:tc>
        <w:tc>
          <w:tcPr>
            <w:tcW w:w="1332" w:type="pct"/>
            <w:tcBorders>
              <w:top w:val="nil"/>
              <w:left w:val="nil"/>
              <w:bottom w:val="nil"/>
              <w:right w:val="nil"/>
            </w:tcBorders>
          </w:tcPr>
          <w:p w14:paraId="6F3674A1" w14:textId="76068AF8" w:rsidR="005A4D66" w:rsidRPr="005C42DB" w:rsidRDefault="00B562F7" w:rsidP="00D32148">
            <w:pPr>
              <w:ind w:left="33"/>
              <w:rPr>
                <w:rFonts w:asciiTheme="minorHAnsi" w:eastAsia="Times New Roman" w:hAnsiTheme="minorHAnsi"/>
                <w:iCs/>
                <w:szCs w:val="17"/>
                <w:lang w:eastAsia="en-US"/>
              </w:rPr>
            </w:pPr>
            <w:r>
              <w:rPr>
                <w:rFonts w:asciiTheme="minorHAnsi" w:eastAsia="Times New Roman" w:hAnsiTheme="minorHAnsi"/>
                <w:iCs/>
                <w:szCs w:val="17"/>
              </w:rPr>
              <w:t>15,000 (W44</w:t>
            </w:r>
            <w:r w:rsidR="005A4D66" w:rsidRPr="005C42DB">
              <w:rPr>
                <w:rFonts w:asciiTheme="minorHAnsi" w:eastAsia="Times New Roman" w:hAnsiTheme="minorHAnsi"/>
                <w:iCs/>
                <w:szCs w:val="17"/>
              </w:rPr>
              <w:t>%/M5</w:t>
            </w:r>
            <w:r>
              <w:rPr>
                <w:rFonts w:asciiTheme="minorHAnsi" w:eastAsia="Times New Roman" w:hAnsiTheme="minorHAnsi"/>
                <w:iCs/>
                <w:szCs w:val="17"/>
              </w:rPr>
              <w:t>6</w:t>
            </w:r>
            <w:r w:rsidR="005A4D66" w:rsidRPr="005C42DB">
              <w:rPr>
                <w:rFonts w:asciiTheme="minorHAnsi" w:eastAsia="Times New Roman" w:hAnsiTheme="minorHAnsi"/>
                <w:iCs/>
                <w:szCs w:val="17"/>
              </w:rPr>
              <w:t>%)</w:t>
            </w:r>
          </w:p>
        </w:tc>
        <w:tc>
          <w:tcPr>
            <w:tcW w:w="1364" w:type="pct"/>
            <w:tcBorders>
              <w:top w:val="nil"/>
              <w:left w:val="nil"/>
              <w:bottom w:val="nil"/>
              <w:right w:val="nil"/>
            </w:tcBorders>
          </w:tcPr>
          <w:p w14:paraId="17254152" w14:textId="441BD376" w:rsidR="005A4D66" w:rsidRPr="005C42DB" w:rsidRDefault="00D32148" w:rsidP="005A4D66">
            <w:pPr>
              <w:ind w:left="33"/>
              <w:rPr>
                <w:rFonts w:asciiTheme="minorHAnsi" w:hAnsiTheme="minorHAnsi"/>
                <w:i/>
                <w:color w:val="808080" w:themeColor="background1" w:themeShade="80"/>
                <w:szCs w:val="20"/>
              </w:rPr>
            </w:pPr>
            <w:r w:rsidRPr="005C42DB">
              <w:rPr>
                <w:rFonts w:asciiTheme="minorHAnsi" w:eastAsia="Times New Roman" w:hAnsiTheme="minorHAnsi"/>
                <w:iCs/>
                <w:szCs w:val="17"/>
              </w:rPr>
              <w:t>15,000 (W45%/M55</w:t>
            </w:r>
            <w:r w:rsidR="005A4D66" w:rsidRPr="005C42DB">
              <w:rPr>
                <w:rFonts w:asciiTheme="minorHAnsi" w:eastAsia="Times New Roman" w:hAnsiTheme="minorHAnsi"/>
                <w:iCs/>
                <w:szCs w:val="17"/>
              </w:rPr>
              <w:t>%)</w:t>
            </w:r>
          </w:p>
        </w:tc>
      </w:tr>
      <w:tr w:rsidR="005A4D66" w:rsidRPr="005A4D66" w14:paraId="60624C64" w14:textId="77777777" w:rsidTr="00350C90">
        <w:trPr>
          <w:trHeight w:val="455"/>
        </w:trPr>
        <w:tc>
          <w:tcPr>
            <w:tcW w:w="799" w:type="pct"/>
            <w:tcBorders>
              <w:top w:val="nil"/>
              <w:left w:val="nil"/>
              <w:bottom w:val="single" w:sz="12" w:space="0" w:color="auto"/>
              <w:right w:val="nil"/>
            </w:tcBorders>
          </w:tcPr>
          <w:p w14:paraId="58824B82" w14:textId="77777777" w:rsidR="005A4D66" w:rsidRPr="005A4D66" w:rsidRDefault="005A4D66" w:rsidP="005A4D66">
            <w:pPr>
              <w:ind w:left="284"/>
              <w:rPr>
                <w:rFonts w:eastAsia="Times New Roman"/>
                <w:iCs/>
                <w:szCs w:val="17"/>
              </w:rPr>
            </w:pPr>
          </w:p>
        </w:tc>
        <w:tc>
          <w:tcPr>
            <w:tcW w:w="1505" w:type="pct"/>
            <w:tcBorders>
              <w:top w:val="nil"/>
              <w:left w:val="nil"/>
              <w:bottom w:val="single" w:sz="12" w:space="0" w:color="auto"/>
              <w:right w:val="nil"/>
            </w:tcBorders>
          </w:tcPr>
          <w:p w14:paraId="199795B7" w14:textId="77777777" w:rsidR="005A4D66" w:rsidRPr="005A4D66" w:rsidRDefault="005A4D66" w:rsidP="005A4D66">
            <w:pPr>
              <w:ind w:left="284"/>
              <w:rPr>
                <w:rFonts w:asciiTheme="minorHAnsi" w:eastAsia="Times New Roman" w:hAnsiTheme="minorHAnsi"/>
                <w:iCs/>
                <w:szCs w:val="17"/>
                <w:lang w:eastAsia="en-US"/>
              </w:rPr>
            </w:pPr>
            <w:r w:rsidRPr="005A4D66">
              <w:rPr>
                <w:rFonts w:asciiTheme="minorHAnsi" w:eastAsia="Times New Roman" w:hAnsiTheme="minorHAnsi"/>
                <w:iCs/>
                <w:szCs w:val="17"/>
                <w:lang w:eastAsia="en-US"/>
              </w:rPr>
              <w:t>Number of policies adopted or amended with ILO input on labour protection and gender equality for women and men migrant workers.</w:t>
            </w:r>
          </w:p>
        </w:tc>
        <w:tc>
          <w:tcPr>
            <w:tcW w:w="1332" w:type="pct"/>
            <w:tcBorders>
              <w:top w:val="nil"/>
              <w:left w:val="nil"/>
              <w:bottom w:val="single" w:sz="12" w:space="0" w:color="auto"/>
              <w:right w:val="nil"/>
            </w:tcBorders>
          </w:tcPr>
          <w:p w14:paraId="67575F00" w14:textId="6A299A74" w:rsidR="005A4D66" w:rsidRPr="005A4D66" w:rsidRDefault="007B51B4" w:rsidP="005A4D66">
            <w:pPr>
              <w:ind w:left="33"/>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1364" w:type="pct"/>
            <w:tcBorders>
              <w:top w:val="nil"/>
              <w:left w:val="nil"/>
              <w:bottom w:val="single" w:sz="12" w:space="0" w:color="auto"/>
              <w:right w:val="nil"/>
            </w:tcBorders>
          </w:tcPr>
          <w:p w14:paraId="1DE474D2" w14:textId="539DEEDE" w:rsidR="005A4D66" w:rsidRPr="005A4D66" w:rsidRDefault="007B51B4" w:rsidP="005A4D66">
            <w:pPr>
              <w:ind w:left="33"/>
              <w:rPr>
                <w:i/>
                <w:color w:val="808080" w:themeColor="background1" w:themeShade="80"/>
                <w:szCs w:val="20"/>
              </w:rPr>
            </w:pPr>
            <w:r>
              <w:rPr>
                <w:rFonts w:asciiTheme="minorHAnsi" w:eastAsia="Times New Roman" w:hAnsiTheme="minorHAnsi"/>
                <w:iCs/>
                <w:szCs w:val="17"/>
                <w:lang w:eastAsia="en-US"/>
              </w:rPr>
              <w:t>4</w:t>
            </w:r>
          </w:p>
        </w:tc>
      </w:tr>
    </w:tbl>
    <w:p w14:paraId="613C6A09" w14:textId="77777777" w:rsidR="005A4D66" w:rsidRDefault="005A4D66" w:rsidP="00184F1E">
      <w:pPr>
        <w:spacing w:after="120" w:line="280" w:lineRule="exact"/>
        <w:rPr>
          <w:rFonts w:ascii="Franklin Gothic Book" w:eastAsia="Times New Roman" w:hAnsi="Franklin Gothic Book"/>
          <w:sz w:val="21"/>
        </w:rPr>
        <w:sectPr w:rsidR="005A4D66" w:rsidSect="003B6BD8">
          <w:headerReference w:type="default" r:id="rId35"/>
          <w:pgSz w:w="11906" w:h="16838" w:code="9"/>
          <w:pgMar w:top="1527" w:right="1134" w:bottom="851" w:left="1134" w:header="1418" w:footer="192" w:gutter="0"/>
          <w:cols w:space="397"/>
          <w:docGrid w:linePitch="360"/>
        </w:sectPr>
      </w:pPr>
    </w:p>
    <w:p w14:paraId="0027CEFC" w14:textId="57648516" w:rsidR="00AF1B85" w:rsidRPr="00256FBD" w:rsidRDefault="00AF1B85" w:rsidP="00256FBD">
      <w:pPr>
        <w:pStyle w:val="Subtitle"/>
        <w:numPr>
          <w:ilvl w:val="0"/>
          <w:numId w:val="0"/>
        </w:numPr>
        <w:spacing w:after="120"/>
        <w:rPr>
          <w:b/>
        </w:rPr>
      </w:pPr>
      <w:r w:rsidRPr="00256FBD">
        <w:rPr>
          <w:b/>
        </w:rPr>
        <w:t xml:space="preserve">Annex </w:t>
      </w:r>
      <w:proofErr w:type="gramStart"/>
      <w:r w:rsidR="00184F1E" w:rsidRPr="00256FBD">
        <w:rPr>
          <w:b/>
        </w:rPr>
        <w:t>C</w:t>
      </w:r>
      <w:r w:rsidRPr="00256FBD">
        <w:rPr>
          <w:b/>
        </w:rPr>
        <w:t xml:space="preserve"> </w:t>
      </w:r>
      <w:r w:rsidR="00560494">
        <w:rPr>
          <w:b/>
        </w:rPr>
        <w:t xml:space="preserve"> </w:t>
      </w:r>
      <w:r w:rsidRPr="00256FBD">
        <w:rPr>
          <w:b/>
        </w:rPr>
        <w:t>-</w:t>
      </w:r>
      <w:proofErr w:type="gramEnd"/>
      <w:r w:rsidRPr="00256FBD">
        <w:rPr>
          <w:b/>
        </w:rPr>
        <w:t xml:space="preserve"> Evaluation Planning</w:t>
      </w:r>
    </w:p>
    <w:p w14:paraId="123C5258" w14:textId="21C9AF36" w:rsidR="00AF1B85" w:rsidRPr="005E606B" w:rsidRDefault="007B51B4" w:rsidP="00256FBD">
      <w:pPr>
        <w:pStyle w:val="ListBullet"/>
        <w:tabs>
          <w:tab w:val="clear" w:pos="284"/>
        </w:tabs>
        <w:spacing w:before="240"/>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color w:val="495965" w:themeColor="text2"/>
          <w:sz w:val="38"/>
          <w:szCs w:val="26"/>
          <w:lang w:val="en-GB" w:eastAsia="en-US"/>
        </w:rPr>
        <w:t xml:space="preserve">1 </w:t>
      </w:r>
      <w:r w:rsidR="00AF1B85" w:rsidRPr="005E606B">
        <w:rPr>
          <w:rFonts w:asciiTheme="majorHAnsi" w:eastAsiaTheme="majorEastAsia" w:hAnsiTheme="majorHAnsi" w:cstheme="majorBidi"/>
          <w:caps/>
          <w:color w:val="495965" w:themeColor="text2"/>
          <w:sz w:val="38"/>
          <w:szCs w:val="26"/>
          <w:lang w:val="en-GB" w:eastAsia="en-US"/>
        </w:rPr>
        <w:t xml:space="preserve">List of evaluations completed in the reporting period </w:t>
      </w:r>
    </w:p>
    <w:tbl>
      <w:tblPr>
        <w:tblStyle w:val="APPR"/>
        <w:tblW w:w="14311" w:type="dxa"/>
        <w:tblLayout w:type="fixed"/>
        <w:tblLook w:val="04A0" w:firstRow="1" w:lastRow="0" w:firstColumn="1" w:lastColumn="0" w:noHBand="0" w:noVBand="1"/>
      </w:tblPr>
      <w:tblGrid>
        <w:gridCol w:w="3106"/>
        <w:gridCol w:w="3693"/>
        <w:gridCol w:w="1425"/>
        <w:gridCol w:w="1981"/>
        <w:gridCol w:w="1699"/>
        <w:gridCol w:w="2407"/>
      </w:tblGrid>
      <w:tr w:rsidR="005127A9" w:rsidRPr="00C61187" w14:paraId="32FDD116" w14:textId="77777777" w:rsidTr="00D51F48">
        <w:trPr>
          <w:cnfStyle w:val="100000000000" w:firstRow="1" w:lastRow="0" w:firstColumn="0" w:lastColumn="0" w:oddVBand="0" w:evenVBand="0" w:oddHBand="0" w:evenHBand="0" w:firstRowFirstColumn="0" w:firstRowLastColumn="0" w:lastRowFirstColumn="0" w:lastRowLastColumn="0"/>
        </w:trPr>
        <w:tc>
          <w:tcPr>
            <w:tcW w:w="3064" w:type="dxa"/>
          </w:tcPr>
          <w:p w14:paraId="7A31245D" w14:textId="77777777" w:rsidR="005127A9" w:rsidRPr="00812509" w:rsidRDefault="005127A9" w:rsidP="00D51F48">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 xml:space="preserve">Investment number and name </w:t>
            </w:r>
          </w:p>
          <w:p w14:paraId="4A4D0CD4" w14:textId="77777777" w:rsidR="005127A9" w:rsidRPr="00812509" w:rsidRDefault="005127A9" w:rsidP="00D51F48">
            <w:pPr>
              <w:keepLines/>
              <w:spacing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 xml:space="preserve">(if applicable) </w:t>
            </w:r>
          </w:p>
        </w:tc>
        <w:tc>
          <w:tcPr>
            <w:tcW w:w="3665" w:type="dxa"/>
          </w:tcPr>
          <w:p w14:paraId="08F20366" w14:textId="77777777" w:rsidR="005127A9" w:rsidRPr="00812509" w:rsidRDefault="005127A9" w:rsidP="00D51F48">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Name of evaluation</w:t>
            </w:r>
          </w:p>
        </w:tc>
        <w:tc>
          <w:tcPr>
            <w:tcW w:w="1397" w:type="dxa"/>
          </w:tcPr>
          <w:p w14:paraId="4779267D" w14:textId="77777777" w:rsidR="005127A9" w:rsidRPr="00812509" w:rsidRDefault="005127A9" w:rsidP="00D51F48">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completed</w:t>
            </w:r>
          </w:p>
        </w:tc>
        <w:tc>
          <w:tcPr>
            <w:tcW w:w="1953" w:type="dxa"/>
          </w:tcPr>
          <w:p w14:paraId="0DC6595D" w14:textId="77777777" w:rsidR="005127A9" w:rsidRPr="00812509" w:rsidRDefault="005127A9" w:rsidP="00D51F48">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Evaluation report Uploaded into AidWorks</w:t>
            </w:r>
          </w:p>
        </w:tc>
        <w:tc>
          <w:tcPr>
            <w:tcW w:w="1671" w:type="dxa"/>
          </w:tcPr>
          <w:p w14:paraId="0D5EF0FF" w14:textId="77777777" w:rsidR="005127A9" w:rsidRPr="00812509" w:rsidRDefault="005127A9" w:rsidP="00D51F48">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Management response uploaded into AidWorks</w:t>
            </w:r>
          </w:p>
        </w:tc>
        <w:tc>
          <w:tcPr>
            <w:tcW w:w="2365" w:type="dxa"/>
          </w:tcPr>
          <w:p w14:paraId="0E50208F" w14:textId="77777777" w:rsidR="005127A9" w:rsidRPr="00812509" w:rsidRDefault="005127A9" w:rsidP="00D51F48">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Published on website</w:t>
            </w:r>
          </w:p>
        </w:tc>
      </w:tr>
      <w:tr w:rsidR="005127A9" w:rsidRPr="003B5EE5" w14:paraId="2BBF6E43" w14:textId="77777777" w:rsidTr="00D51F48">
        <w:trPr>
          <w:cnfStyle w:val="100000000000" w:firstRow="1" w:lastRow="0" w:firstColumn="0" w:lastColumn="0" w:oddVBand="0" w:evenVBand="0" w:oddHBand="0" w:evenHBand="0" w:firstRowFirstColumn="0" w:firstRowLastColumn="0" w:lastRowFirstColumn="0" w:lastRowLastColumn="0"/>
        </w:trPr>
        <w:tc>
          <w:tcPr>
            <w:tcW w:w="3064" w:type="dxa"/>
          </w:tcPr>
          <w:p w14:paraId="4E63A51B" w14:textId="70E227A6" w:rsidR="00B62D0C" w:rsidRPr="00812509" w:rsidRDefault="0020135E" w:rsidP="00295179">
            <w:pPr>
              <w:keepLines/>
              <w:spacing w:before="80" w:after="80" w:line="200" w:lineRule="atLeast"/>
              <w:rPr>
                <w:rFonts w:asciiTheme="minorHAnsi" w:eastAsia="Times New Roman" w:hAnsiTheme="minorHAnsi"/>
                <w:b w:val="0"/>
                <w:iCs/>
                <w:szCs w:val="17"/>
                <w:lang w:eastAsia="en-US"/>
              </w:rPr>
            </w:pPr>
            <w:r w:rsidRPr="00EA2AAF">
              <w:rPr>
                <w:rFonts w:asciiTheme="minorHAnsi" w:eastAsia="Times New Roman" w:hAnsiTheme="minorHAnsi"/>
                <w:b w:val="0"/>
                <w:bCs/>
                <w:iCs/>
                <w:szCs w:val="17"/>
              </w:rPr>
              <w:t xml:space="preserve">INL413 Shaping Inclusive Finance Transformations </w:t>
            </w:r>
          </w:p>
        </w:tc>
        <w:tc>
          <w:tcPr>
            <w:tcW w:w="3665" w:type="dxa"/>
          </w:tcPr>
          <w:p w14:paraId="0D271ED9" w14:textId="2F17EF1C" w:rsidR="0020135E" w:rsidRPr="00BF3D4D" w:rsidRDefault="00EA2AAF" w:rsidP="0020135E">
            <w:pPr>
              <w:keepLines/>
              <w:spacing w:before="80" w:after="80" w:line="200" w:lineRule="atLeast"/>
              <w:rPr>
                <w:rFonts w:asciiTheme="minorHAnsi" w:eastAsia="Times New Roman" w:hAnsiTheme="minorHAnsi"/>
                <w:b w:val="0"/>
                <w:iCs/>
                <w:szCs w:val="17"/>
              </w:rPr>
            </w:pPr>
            <w:r w:rsidRPr="00EA2AAF">
              <w:rPr>
                <w:rFonts w:asciiTheme="minorHAnsi" w:eastAsia="Times New Roman" w:hAnsiTheme="minorHAnsi"/>
                <w:b w:val="0"/>
                <w:bCs/>
                <w:iCs/>
                <w:szCs w:val="17"/>
              </w:rPr>
              <w:t>Program</w:t>
            </w:r>
            <w:r w:rsidR="0020135E" w:rsidRPr="00BF3D4D">
              <w:rPr>
                <w:rFonts w:asciiTheme="minorHAnsi" w:eastAsia="Times New Roman" w:hAnsiTheme="minorHAnsi"/>
                <w:b w:val="0"/>
                <w:iCs/>
                <w:szCs w:val="17"/>
              </w:rPr>
              <w:t xml:space="preserve"> Independent Mid-term Review </w:t>
            </w:r>
          </w:p>
          <w:p w14:paraId="5FC1E7CE" w14:textId="0AFCE3D2" w:rsidR="005127A9" w:rsidRPr="00812509" w:rsidRDefault="005127A9" w:rsidP="00D51F48">
            <w:pPr>
              <w:keepLines/>
              <w:spacing w:before="40" w:after="40" w:line="200" w:lineRule="atLeast"/>
              <w:rPr>
                <w:rFonts w:asciiTheme="minorHAnsi" w:eastAsia="Times New Roman" w:hAnsiTheme="minorHAnsi"/>
                <w:b w:val="0"/>
                <w:iCs/>
                <w:szCs w:val="17"/>
                <w:lang w:eastAsia="en-US"/>
              </w:rPr>
            </w:pPr>
          </w:p>
        </w:tc>
        <w:tc>
          <w:tcPr>
            <w:tcW w:w="1397" w:type="dxa"/>
          </w:tcPr>
          <w:p w14:paraId="2CE6B25D" w14:textId="3C653E75" w:rsidR="005127A9" w:rsidRPr="00812509" w:rsidRDefault="00EA2AAF" w:rsidP="00D51F48">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20</w:t>
            </w:r>
            <w:r w:rsidR="005127A9">
              <w:rPr>
                <w:rFonts w:asciiTheme="minorHAnsi" w:eastAsia="Times New Roman" w:hAnsiTheme="minorHAnsi"/>
                <w:b w:val="0"/>
                <w:iCs/>
                <w:szCs w:val="17"/>
                <w:lang w:eastAsia="en-US"/>
              </w:rPr>
              <w:t xml:space="preserve"> </w:t>
            </w:r>
            <w:r>
              <w:rPr>
                <w:rFonts w:asciiTheme="minorHAnsi" w:eastAsia="Times New Roman" w:hAnsiTheme="minorHAnsi"/>
                <w:b w:val="0"/>
                <w:iCs/>
                <w:szCs w:val="17"/>
                <w:lang w:eastAsia="en-US"/>
              </w:rPr>
              <w:t>November</w:t>
            </w:r>
            <w:r w:rsidR="005127A9">
              <w:rPr>
                <w:rFonts w:asciiTheme="minorHAnsi" w:eastAsia="Times New Roman" w:hAnsiTheme="minorHAnsi"/>
                <w:b w:val="0"/>
                <w:iCs/>
                <w:szCs w:val="17"/>
                <w:lang w:eastAsia="en-US"/>
              </w:rPr>
              <w:t xml:space="preserve"> 201</w:t>
            </w:r>
            <w:r>
              <w:rPr>
                <w:rFonts w:asciiTheme="minorHAnsi" w:eastAsia="Times New Roman" w:hAnsiTheme="minorHAnsi"/>
                <w:b w:val="0"/>
                <w:iCs/>
                <w:szCs w:val="17"/>
                <w:lang w:eastAsia="en-US"/>
              </w:rPr>
              <w:t>8</w:t>
            </w:r>
          </w:p>
        </w:tc>
        <w:tc>
          <w:tcPr>
            <w:tcW w:w="1953" w:type="dxa"/>
          </w:tcPr>
          <w:p w14:paraId="29555C2C" w14:textId="4D103AFA" w:rsidR="005127A9" w:rsidRPr="000B72CA" w:rsidRDefault="00BF3D4D" w:rsidP="00D51F48">
            <w:pPr>
              <w:keepLines/>
              <w:spacing w:before="40" w:after="40" w:line="200" w:lineRule="atLeast"/>
              <w:rPr>
                <w:rFonts w:asciiTheme="minorHAnsi" w:eastAsia="Times New Roman" w:hAnsiTheme="minorHAnsi" w:cstheme="minorHAnsi"/>
                <w:b w:val="0"/>
                <w:iCs/>
                <w:szCs w:val="17"/>
                <w:lang w:eastAsia="en-US"/>
              </w:rPr>
            </w:pPr>
            <w:r w:rsidRPr="000B72CA">
              <w:rPr>
                <w:rFonts w:asciiTheme="minorHAnsi" w:eastAsia="Times New Roman" w:hAnsiTheme="minorHAnsi" w:cstheme="minorHAnsi"/>
                <w:b w:val="0"/>
                <w:iCs/>
                <w:szCs w:val="17"/>
                <w:lang w:eastAsia="en-US"/>
              </w:rPr>
              <w:t>19 December 2018</w:t>
            </w:r>
          </w:p>
        </w:tc>
        <w:tc>
          <w:tcPr>
            <w:tcW w:w="1671" w:type="dxa"/>
          </w:tcPr>
          <w:p w14:paraId="4ABDDB47" w14:textId="121DC884" w:rsidR="005127A9" w:rsidRPr="00B94C1A" w:rsidRDefault="00BF3D4D" w:rsidP="00D51F48">
            <w:pPr>
              <w:keepLines/>
              <w:spacing w:before="40" w:after="40" w:line="200" w:lineRule="atLeast"/>
              <w:rPr>
                <w:rFonts w:asciiTheme="minorHAnsi" w:eastAsia="Times New Roman" w:hAnsiTheme="minorHAnsi" w:cstheme="minorHAnsi"/>
                <w:b w:val="0"/>
                <w:iCs/>
                <w:szCs w:val="17"/>
                <w:lang w:eastAsia="en-US"/>
              </w:rPr>
            </w:pPr>
            <w:r w:rsidRPr="00B94C1A">
              <w:rPr>
                <w:rFonts w:asciiTheme="minorHAnsi" w:eastAsia="Times New Roman" w:hAnsiTheme="minorHAnsi" w:cstheme="minorHAnsi"/>
                <w:b w:val="0"/>
                <w:iCs/>
                <w:szCs w:val="17"/>
                <w:lang w:eastAsia="en-US"/>
              </w:rPr>
              <w:t>19 December 2018</w:t>
            </w:r>
          </w:p>
        </w:tc>
        <w:tc>
          <w:tcPr>
            <w:tcW w:w="2365" w:type="dxa"/>
          </w:tcPr>
          <w:p w14:paraId="7091FDB8" w14:textId="253A243C" w:rsidR="005127A9" w:rsidRPr="00B94C1A" w:rsidRDefault="00EE4F76" w:rsidP="00D51F48">
            <w:pPr>
              <w:keepLines/>
              <w:spacing w:before="40" w:after="40" w:line="200" w:lineRule="atLeast"/>
              <w:rPr>
                <w:rFonts w:asciiTheme="minorHAnsi" w:eastAsia="Times New Roman" w:hAnsiTheme="minorHAnsi" w:cstheme="minorHAnsi"/>
                <w:b w:val="0"/>
                <w:iCs/>
                <w:szCs w:val="17"/>
                <w:lang w:eastAsia="en-US"/>
              </w:rPr>
            </w:pPr>
            <w:r>
              <w:rPr>
                <w:rFonts w:asciiTheme="minorHAnsi" w:eastAsia="Times New Roman" w:hAnsiTheme="minorHAnsi" w:cstheme="minorHAnsi"/>
                <w:b w:val="0"/>
                <w:iCs/>
                <w:szCs w:val="17"/>
                <w:lang w:eastAsia="en-US"/>
              </w:rPr>
              <w:t>30 November 2018</w:t>
            </w:r>
          </w:p>
        </w:tc>
      </w:tr>
      <w:tr w:rsidR="00883388" w:rsidRPr="003B5EE5" w14:paraId="3F9444DD" w14:textId="77777777" w:rsidTr="00D51F48">
        <w:trPr>
          <w:cnfStyle w:val="100000000000" w:firstRow="1" w:lastRow="0" w:firstColumn="0" w:lastColumn="0" w:oddVBand="0" w:evenVBand="0" w:oddHBand="0" w:evenHBand="0" w:firstRowFirstColumn="0" w:firstRowLastColumn="0" w:lastRowFirstColumn="0" w:lastRowLastColumn="0"/>
        </w:trPr>
        <w:tc>
          <w:tcPr>
            <w:tcW w:w="3064" w:type="dxa"/>
          </w:tcPr>
          <w:p w14:paraId="7AC18613" w14:textId="443CDCEA" w:rsidR="00883388" w:rsidRPr="00883388" w:rsidRDefault="0020135E" w:rsidP="00883388">
            <w:pPr>
              <w:keepLines/>
              <w:spacing w:before="80" w:after="80" w:line="200" w:lineRule="atLeast"/>
              <w:rPr>
                <w:rFonts w:eastAsia="Times New Roman"/>
                <w:b w:val="0"/>
                <w:iCs/>
                <w:szCs w:val="17"/>
              </w:rPr>
            </w:pPr>
            <w:r w:rsidRPr="00883388">
              <w:rPr>
                <w:rFonts w:asciiTheme="minorHAnsi" w:hAnsiTheme="minorHAnsi"/>
                <w:b w:val="0"/>
              </w:rPr>
              <w:t>INI358 AANZFTA Economic Cooperation Support Program</w:t>
            </w:r>
          </w:p>
        </w:tc>
        <w:tc>
          <w:tcPr>
            <w:tcW w:w="3665" w:type="dxa"/>
          </w:tcPr>
          <w:p w14:paraId="6D417EDC" w14:textId="6DF3CB61" w:rsidR="00883388" w:rsidRPr="00883388" w:rsidRDefault="0020135E" w:rsidP="00883388">
            <w:pPr>
              <w:keepLines/>
              <w:spacing w:before="40" w:after="40" w:line="200" w:lineRule="atLeast"/>
              <w:rPr>
                <w:rFonts w:eastAsia="Times New Roman"/>
                <w:b w:val="0"/>
                <w:iCs/>
                <w:szCs w:val="17"/>
              </w:rPr>
            </w:pPr>
            <w:r>
              <w:rPr>
                <w:rFonts w:asciiTheme="minorHAnsi" w:hAnsiTheme="minorHAnsi"/>
                <w:b w:val="0"/>
              </w:rPr>
              <w:t>Independent Review</w:t>
            </w:r>
          </w:p>
        </w:tc>
        <w:tc>
          <w:tcPr>
            <w:tcW w:w="1397" w:type="dxa"/>
          </w:tcPr>
          <w:p w14:paraId="04ACB6C9" w14:textId="42486C56" w:rsidR="00883388" w:rsidRDefault="00883388" w:rsidP="00883388">
            <w:pPr>
              <w:keepLines/>
              <w:spacing w:before="40" w:after="40" w:line="200" w:lineRule="atLeast"/>
              <w:rPr>
                <w:rFonts w:eastAsia="Times New Roman"/>
                <w:b w:val="0"/>
                <w:iCs/>
                <w:szCs w:val="17"/>
              </w:rPr>
            </w:pPr>
            <w:r w:rsidRPr="00883388">
              <w:rPr>
                <w:rFonts w:asciiTheme="minorHAnsi" w:eastAsia="Times New Roman" w:hAnsiTheme="minorHAnsi"/>
                <w:b w:val="0"/>
                <w:iCs/>
                <w:szCs w:val="17"/>
                <w:lang w:eastAsia="en-US"/>
              </w:rPr>
              <w:t>19 February 2019</w:t>
            </w:r>
          </w:p>
        </w:tc>
        <w:tc>
          <w:tcPr>
            <w:tcW w:w="1953" w:type="dxa"/>
          </w:tcPr>
          <w:p w14:paraId="70ECF00B" w14:textId="28343400" w:rsidR="00883388" w:rsidRPr="004B7833" w:rsidRDefault="00630896" w:rsidP="00630896">
            <w:pPr>
              <w:keepLines/>
              <w:spacing w:before="40" w:after="40" w:line="200" w:lineRule="atLeast"/>
              <w:rPr>
                <w:rFonts w:asciiTheme="minorHAnsi" w:eastAsia="Times New Roman" w:hAnsiTheme="minorHAnsi" w:cstheme="minorHAnsi"/>
                <w:b w:val="0"/>
                <w:iCs/>
                <w:szCs w:val="17"/>
              </w:rPr>
            </w:pPr>
            <w:r>
              <w:rPr>
                <w:rFonts w:asciiTheme="minorHAnsi" w:eastAsia="Times New Roman" w:hAnsiTheme="minorHAnsi" w:cstheme="minorHAnsi"/>
                <w:b w:val="0"/>
                <w:iCs/>
                <w:szCs w:val="17"/>
              </w:rPr>
              <w:t>September</w:t>
            </w:r>
            <w:r w:rsidR="00973533" w:rsidRPr="0099334D">
              <w:rPr>
                <w:rFonts w:asciiTheme="minorHAnsi" w:eastAsia="Times New Roman" w:hAnsiTheme="minorHAnsi" w:cstheme="minorHAnsi"/>
                <w:b w:val="0"/>
                <w:iCs/>
                <w:szCs w:val="17"/>
              </w:rPr>
              <w:t xml:space="preserve"> 2019 </w:t>
            </w:r>
          </w:p>
        </w:tc>
        <w:tc>
          <w:tcPr>
            <w:tcW w:w="1671" w:type="dxa"/>
          </w:tcPr>
          <w:p w14:paraId="4CC1CA96" w14:textId="5A56AC8D" w:rsidR="00883388" w:rsidRPr="004B7833" w:rsidRDefault="00630896" w:rsidP="00630896">
            <w:pPr>
              <w:keepLines/>
              <w:spacing w:before="40" w:after="40" w:line="200" w:lineRule="atLeast"/>
              <w:rPr>
                <w:rFonts w:asciiTheme="minorHAnsi" w:eastAsia="Times New Roman" w:hAnsiTheme="minorHAnsi" w:cstheme="minorHAnsi"/>
                <w:b w:val="0"/>
                <w:iCs/>
                <w:szCs w:val="17"/>
              </w:rPr>
            </w:pPr>
            <w:r>
              <w:rPr>
                <w:rFonts w:asciiTheme="minorHAnsi" w:eastAsia="Times New Roman" w:hAnsiTheme="minorHAnsi" w:cstheme="minorHAnsi"/>
                <w:b w:val="0"/>
                <w:iCs/>
                <w:szCs w:val="17"/>
              </w:rPr>
              <w:t xml:space="preserve">October </w:t>
            </w:r>
            <w:r w:rsidR="00973533" w:rsidRPr="0099334D">
              <w:rPr>
                <w:rFonts w:asciiTheme="minorHAnsi" w:eastAsia="Times New Roman" w:hAnsiTheme="minorHAnsi" w:cstheme="minorHAnsi"/>
                <w:b w:val="0"/>
                <w:iCs/>
                <w:szCs w:val="17"/>
              </w:rPr>
              <w:t xml:space="preserve">2019 </w:t>
            </w:r>
          </w:p>
        </w:tc>
        <w:tc>
          <w:tcPr>
            <w:tcW w:w="2365" w:type="dxa"/>
          </w:tcPr>
          <w:p w14:paraId="4185A83F" w14:textId="62146DF6" w:rsidR="00883388" w:rsidRPr="004B7833" w:rsidRDefault="00630896" w:rsidP="00630896">
            <w:pPr>
              <w:keepLines/>
              <w:spacing w:before="40" w:after="40" w:line="200" w:lineRule="atLeast"/>
              <w:rPr>
                <w:rFonts w:asciiTheme="minorHAnsi" w:eastAsia="Times New Roman" w:hAnsiTheme="minorHAnsi" w:cstheme="minorHAnsi"/>
                <w:b w:val="0"/>
                <w:iCs/>
                <w:szCs w:val="17"/>
              </w:rPr>
            </w:pPr>
            <w:r>
              <w:rPr>
                <w:rFonts w:asciiTheme="minorHAnsi" w:eastAsia="Times New Roman" w:hAnsiTheme="minorHAnsi" w:cstheme="minorHAnsi"/>
                <w:b w:val="0"/>
                <w:iCs/>
                <w:szCs w:val="17"/>
              </w:rPr>
              <w:t xml:space="preserve">October </w:t>
            </w:r>
            <w:r w:rsidR="00973533" w:rsidRPr="0099334D">
              <w:rPr>
                <w:rFonts w:asciiTheme="minorHAnsi" w:eastAsia="Times New Roman" w:hAnsiTheme="minorHAnsi" w:cstheme="minorHAnsi"/>
                <w:b w:val="0"/>
                <w:iCs/>
                <w:szCs w:val="17"/>
              </w:rPr>
              <w:t xml:space="preserve">2019 </w:t>
            </w:r>
          </w:p>
        </w:tc>
      </w:tr>
      <w:tr w:rsidR="004A26FE" w:rsidRPr="003B5EE5" w14:paraId="30119D59" w14:textId="77777777" w:rsidTr="00D51F48">
        <w:trPr>
          <w:cnfStyle w:val="100000000000" w:firstRow="1" w:lastRow="0" w:firstColumn="0" w:lastColumn="0" w:oddVBand="0" w:evenVBand="0" w:oddHBand="0" w:evenHBand="0" w:firstRowFirstColumn="0" w:firstRowLastColumn="0" w:lastRowFirstColumn="0" w:lastRowLastColumn="0"/>
        </w:trPr>
        <w:tc>
          <w:tcPr>
            <w:tcW w:w="3064" w:type="dxa"/>
          </w:tcPr>
          <w:p w14:paraId="7918148C" w14:textId="179DB74C" w:rsidR="004A26FE" w:rsidRPr="00883388" w:rsidRDefault="0020135E">
            <w:pPr>
              <w:keepLines/>
              <w:spacing w:before="80" w:after="80" w:line="200" w:lineRule="atLeast"/>
              <w:rPr>
                <w:b w:val="0"/>
              </w:rPr>
            </w:pPr>
            <w:r w:rsidRPr="00352ED6">
              <w:rPr>
                <w:rFonts w:asciiTheme="minorHAnsi" w:hAnsiTheme="minorHAnsi"/>
                <w:b w:val="0"/>
                <w:bCs/>
              </w:rPr>
              <w:t xml:space="preserve">INL499 TRIANGLE in ASEAN </w:t>
            </w:r>
          </w:p>
        </w:tc>
        <w:tc>
          <w:tcPr>
            <w:tcW w:w="3665" w:type="dxa"/>
          </w:tcPr>
          <w:p w14:paraId="2BD92CB5" w14:textId="188D8B6B" w:rsidR="004A26FE" w:rsidRPr="00883388" w:rsidRDefault="0020135E" w:rsidP="004A26FE">
            <w:pPr>
              <w:keepLines/>
              <w:spacing w:before="40" w:after="40" w:line="200" w:lineRule="atLeast"/>
              <w:rPr>
                <w:b w:val="0"/>
              </w:rPr>
            </w:pPr>
            <w:r>
              <w:rPr>
                <w:rFonts w:asciiTheme="minorHAnsi" w:hAnsiTheme="minorHAnsi"/>
                <w:b w:val="0"/>
                <w:bCs/>
              </w:rPr>
              <w:t>Independent Mid-term Evaluation</w:t>
            </w:r>
          </w:p>
        </w:tc>
        <w:tc>
          <w:tcPr>
            <w:tcW w:w="1397" w:type="dxa"/>
          </w:tcPr>
          <w:p w14:paraId="4594DA52" w14:textId="15631CC5" w:rsidR="004A26FE" w:rsidRPr="00883388" w:rsidRDefault="004A26FE" w:rsidP="004A26FE">
            <w:pPr>
              <w:keepLines/>
              <w:spacing w:before="40" w:after="40" w:line="200" w:lineRule="atLeast"/>
              <w:rPr>
                <w:rFonts w:eastAsia="Times New Roman"/>
                <w:b w:val="0"/>
                <w:iCs/>
                <w:szCs w:val="17"/>
              </w:rPr>
            </w:pPr>
            <w:r w:rsidRPr="004A26FE">
              <w:rPr>
                <w:rFonts w:asciiTheme="minorHAnsi" w:eastAsia="Times New Roman" w:hAnsiTheme="minorHAnsi"/>
                <w:b w:val="0"/>
                <w:iCs/>
                <w:szCs w:val="17"/>
                <w:lang w:eastAsia="en-US"/>
              </w:rPr>
              <w:t>25 March 2019</w:t>
            </w:r>
          </w:p>
        </w:tc>
        <w:tc>
          <w:tcPr>
            <w:tcW w:w="1953" w:type="dxa"/>
          </w:tcPr>
          <w:p w14:paraId="7A8848F6" w14:textId="03C5E583" w:rsidR="004A26FE" w:rsidRPr="004B7833" w:rsidRDefault="00630896" w:rsidP="00630896">
            <w:pPr>
              <w:keepLines/>
              <w:spacing w:before="40" w:after="40" w:line="200" w:lineRule="atLeast"/>
              <w:rPr>
                <w:rFonts w:asciiTheme="minorHAnsi" w:eastAsia="Times New Roman" w:hAnsiTheme="minorHAnsi" w:cstheme="minorHAnsi"/>
                <w:b w:val="0"/>
                <w:iCs/>
                <w:szCs w:val="17"/>
              </w:rPr>
            </w:pPr>
            <w:r>
              <w:rPr>
                <w:rFonts w:asciiTheme="minorHAnsi" w:eastAsia="Times New Roman" w:hAnsiTheme="minorHAnsi" w:cstheme="minorHAnsi"/>
                <w:b w:val="0"/>
                <w:iCs/>
                <w:szCs w:val="17"/>
              </w:rPr>
              <w:t>September</w:t>
            </w:r>
            <w:r w:rsidR="0017111B">
              <w:rPr>
                <w:rFonts w:asciiTheme="minorHAnsi" w:eastAsia="Times New Roman" w:hAnsiTheme="minorHAnsi" w:cstheme="minorHAnsi"/>
                <w:b w:val="0"/>
                <w:iCs/>
                <w:szCs w:val="17"/>
              </w:rPr>
              <w:t xml:space="preserve"> </w:t>
            </w:r>
            <w:r w:rsidR="0020135E" w:rsidRPr="0099334D">
              <w:rPr>
                <w:rFonts w:asciiTheme="minorHAnsi" w:eastAsia="Times New Roman" w:hAnsiTheme="minorHAnsi" w:cstheme="minorHAnsi"/>
                <w:b w:val="0"/>
                <w:iCs/>
                <w:szCs w:val="17"/>
              </w:rPr>
              <w:t xml:space="preserve">2019 </w:t>
            </w:r>
          </w:p>
        </w:tc>
        <w:tc>
          <w:tcPr>
            <w:tcW w:w="1671" w:type="dxa"/>
          </w:tcPr>
          <w:p w14:paraId="59640904" w14:textId="28E040F0" w:rsidR="004A26FE" w:rsidRPr="004B7833" w:rsidRDefault="0017111B" w:rsidP="00630896">
            <w:pPr>
              <w:keepLines/>
              <w:spacing w:before="40" w:after="40" w:line="200" w:lineRule="atLeast"/>
              <w:rPr>
                <w:rFonts w:asciiTheme="minorHAnsi" w:eastAsia="Times New Roman" w:hAnsiTheme="minorHAnsi" w:cstheme="minorHAnsi"/>
                <w:b w:val="0"/>
                <w:iCs/>
                <w:szCs w:val="17"/>
              </w:rPr>
            </w:pPr>
            <w:r>
              <w:rPr>
                <w:rFonts w:asciiTheme="minorHAnsi" w:eastAsia="Times New Roman" w:hAnsiTheme="minorHAnsi" w:cstheme="minorHAnsi"/>
                <w:b w:val="0"/>
                <w:iCs/>
                <w:szCs w:val="17"/>
              </w:rPr>
              <w:t>Oct</w:t>
            </w:r>
            <w:r w:rsidR="00CA4BA1">
              <w:rPr>
                <w:rFonts w:asciiTheme="minorHAnsi" w:eastAsia="Times New Roman" w:hAnsiTheme="minorHAnsi" w:cstheme="minorHAnsi"/>
                <w:b w:val="0"/>
                <w:iCs/>
                <w:szCs w:val="17"/>
              </w:rPr>
              <w:t>ober</w:t>
            </w:r>
            <w:r w:rsidR="0020135E" w:rsidRPr="0099334D">
              <w:rPr>
                <w:rFonts w:asciiTheme="minorHAnsi" w:eastAsia="Times New Roman" w:hAnsiTheme="minorHAnsi" w:cstheme="minorHAnsi"/>
                <w:b w:val="0"/>
                <w:iCs/>
                <w:szCs w:val="17"/>
              </w:rPr>
              <w:t xml:space="preserve"> 2019 </w:t>
            </w:r>
          </w:p>
        </w:tc>
        <w:tc>
          <w:tcPr>
            <w:tcW w:w="2365" w:type="dxa"/>
          </w:tcPr>
          <w:p w14:paraId="6DBABDD6" w14:textId="54F48F45" w:rsidR="004A26FE" w:rsidRPr="004B7833" w:rsidRDefault="0017111B" w:rsidP="00630896">
            <w:pPr>
              <w:keepLines/>
              <w:spacing w:before="40" w:after="40" w:line="200" w:lineRule="atLeast"/>
              <w:rPr>
                <w:rFonts w:asciiTheme="minorHAnsi" w:eastAsia="Times New Roman" w:hAnsiTheme="minorHAnsi" w:cstheme="minorHAnsi"/>
                <w:b w:val="0"/>
                <w:iCs/>
                <w:szCs w:val="17"/>
              </w:rPr>
            </w:pPr>
            <w:r>
              <w:rPr>
                <w:rFonts w:asciiTheme="minorHAnsi" w:eastAsia="Times New Roman" w:hAnsiTheme="minorHAnsi" w:cstheme="minorHAnsi"/>
                <w:b w:val="0"/>
                <w:iCs/>
                <w:szCs w:val="17"/>
              </w:rPr>
              <w:t>Oct</w:t>
            </w:r>
            <w:r w:rsidR="00CA4BA1">
              <w:rPr>
                <w:rFonts w:asciiTheme="minorHAnsi" w:eastAsia="Times New Roman" w:hAnsiTheme="minorHAnsi" w:cstheme="minorHAnsi"/>
                <w:b w:val="0"/>
                <w:iCs/>
                <w:szCs w:val="17"/>
              </w:rPr>
              <w:t>ober</w:t>
            </w:r>
            <w:r w:rsidR="00630896">
              <w:rPr>
                <w:rFonts w:asciiTheme="minorHAnsi" w:eastAsia="Times New Roman" w:hAnsiTheme="minorHAnsi" w:cstheme="minorHAnsi"/>
                <w:b w:val="0"/>
                <w:iCs/>
                <w:szCs w:val="17"/>
              </w:rPr>
              <w:t xml:space="preserve"> 2019</w:t>
            </w:r>
          </w:p>
        </w:tc>
      </w:tr>
      <w:tr w:rsidR="005A461F" w:rsidRPr="003B5EE5" w14:paraId="1D801B8F" w14:textId="77777777" w:rsidTr="00D51F48">
        <w:trPr>
          <w:cnfStyle w:val="100000000000" w:firstRow="1" w:lastRow="0" w:firstColumn="0" w:lastColumn="0" w:oddVBand="0" w:evenVBand="0" w:oddHBand="0" w:evenHBand="0" w:firstRowFirstColumn="0" w:firstRowLastColumn="0" w:lastRowFirstColumn="0" w:lastRowLastColumn="0"/>
        </w:trPr>
        <w:tc>
          <w:tcPr>
            <w:tcW w:w="3064" w:type="dxa"/>
          </w:tcPr>
          <w:p w14:paraId="25A42A19" w14:textId="03DA4516" w:rsidR="005A461F" w:rsidRPr="00352ED6" w:rsidRDefault="0020135E" w:rsidP="00F43488">
            <w:pPr>
              <w:keepLines/>
              <w:spacing w:before="80" w:after="80" w:line="200" w:lineRule="atLeast"/>
              <w:rPr>
                <w:b w:val="0"/>
                <w:bCs/>
              </w:rPr>
            </w:pPr>
            <w:r w:rsidRPr="0084002D">
              <w:rPr>
                <w:rFonts w:asciiTheme="minorHAnsi" w:hAnsiTheme="minorHAnsi"/>
                <w:b w:val="0"/>
                <w:bCs/>
              </w:rPr>
              <w:t>INL</w:t>
            </w:r>
            <w:r w:rsidR="00F43488">
              <w:rPr>
                <w:rFonts w:asciiTheme="minorHAnsi" w:hAnsiTheme="minorHAnsi"/>
                <w:b w:val="0"/>
                <w:bCs/>
              </w:rPr>
              <w:t>191 Oxfam Inclusion Projects</w:t>
            </w:r>
            <w:r w:rsidRPr="00D36762">
              <w:rPr>
                <w:rFonts w:asciiTheme="minorHAnsi" w:hAnsiTheme="minorHAnsi"/>
                <w:b w:val="0"/>
                <w:bCs/>
              </w:rPr>
              <w:t xml:space="preserve"> </w:t>
            </w:r>
          </w:p>
        </w:tc>
        <w:tc>
          <w:tcPr>
            <w:tcW w:w="3665" w:type="dxa"/>
          </w:tcPr>
          <w:p w14:paraId="25EFD5FA" w14:textId="5D60A6DC" w:rsidR="005A461F" w:rsidRPr="00352ED6" w:rsidRDefault="00F43488" w:rsidP="005A461F">
            <w:pPr>
              <w:keepLines/>
              <w:spacing w:before="40" w:after="40" w:line="200" w:lineRule="atLeast"/>
              <w:rPr>
                <w:b w:val="0"/>
                <w:bCs/>
              </w:rPr>
            </w:pPr>
            <w:r>
              <w:rPr>
                <w:rFonts w:asciiTheme="minorHAnsi" w:hAnsiTheme="minorHAnsi"/>
                <w:b w:val="0"/>
                <w:bCs/>
              </w:rPr>
              <w:t>Independent Final Evaluation</w:t>
            </w:r>
          </w:p>
        </w:tc>
        <w:tc>
          <w:tcPr>
            <w:tcW w:w="1397" w:type="dxa"/>
          </w:tcPr>
          <w:p w14:paraId="7CF0A9F0" w14:textId="5FEE29A6" w:rsidR="005A461F" w:rsidRPr="004A26FE" w:rsidRDefault="00F43488" w:rsidP="005A461F">
            <w:pPr>
              <w:keepLines/>
              <w:spacing w:before="40" w:after="40" w:line="200" w:lineRule="atLeast"/>
              <w:rPr>
                <w:rFonts w:eastAsia="Times New Roman"/>
                <w:b w:val="0"/>
                <w:iCs/>
                <w:szCs w:val="17"/>
              </w:rPr>
            </w:pPr>
            <w:r>
              <w:rPr>
                <w:rFonts w:asciiTheme="minorHAnsi" w:eastAsia="Times New Roman" w:hAnsiTheme="minorHAnsi"/>
                <w:b w:val="0"/>
                <w:iCs/>
                <w:szCs w:val="17"/>
                <w:lang w:eastAsia="en-US"/>
              </w:rPr>
              <w:t>1 April 2019</w:t>
            </w:r>
          </w:p>
        </w:tc>
        <w:tc>
          <w:tcPr>
            <w:tcW w:w="1953" w:type="dxa"/>
          </w:tcPr>
          <w:p w14:paraId="37B45F63" w14:textId="4EC0BC71" w:rsidR="005A461F" w:rsidRPr="004B7833" w:rsidRDefault="00F43488" w:rsidP="005A461F">
            <w:pPr>
              <w:keepLines/>
              <w:spacing w:before="40" w:after="40" w:line="200" w:lineRule="atLeast"/>
              <w:rPr>
                <w:rFonts w:asciiTheme="minorHAnsi" w:eastAsia="Times New Roman" w:hAnsiTheme="minorHAnsi" w:cstheme="minorHAnsi"/>
                <w:b w:val="0"/>
                <w:iCs/>
                <w:szCs w:val="17"/>
              </w:rPr>
            </w:pPr>
            <w:r w:rsidRPr="0099334D">
              <w:rPr>
                <w:rFonts w:asciiTheme="minorHAnsi" w:eastAsia="Times New Roman" w:hAnsiTheme="minorHAnsi" w:cstheme="minorHAnsi"/>
                <w:b w:val="0"/>
                <w:iCs/>
                <w:szCs w:val="17"/>
              </w:rPr>
              <w:t>August 2019</w:t>
            </w:r>
          </w:p>
        </w:tc>
        <w:tc>
          <w:tcPr>
            <w:tcW w:w="1671" w:type="dxa"/>
          </w:tcPr>
          <w:p w14:paraId="1DBC34E7" w14:textId="530A0D8C" w:rsidR="005A461F" w:rsidRPr="004B7833" w:rsidRDefault="00F43488" w:rsidP="005A461F">
            <w:pPr>
              <w:keepLines/>
              <w:spacing w:before="40" w:after="40" w:line="200" w:lineRule="atLeast"/>
              <w:rPr>
                <w:rFonts w:asciiTheme="minorHAnsi" w:eastAsia="Times New Roman" w:hAnsiTheme="minorHAnsi" w:cstheme="minorHAnsi"/>
                <w:b w:val="0"/>
                <w:iCs/>
                <w:szCs w:val="17"/>
              </w:rPr>
            </w:pPr>
            <w:r w:rsidRPr="0099334D">
              <w:rPr>
                <w:rFonts w:asciiTheme="minorHAnsi" w:eastAsia="Times New Roman" w:hAnsiTheme="minorHAnsi" w:cstheme="minorHAnsi"/>
                <w:b w:val="0"/>
                <w:iCs/>
                <w:szCs w:val="17"/>
              </w:rPr>
              <w:t>TBC</w:t>
            </w:r>
          </w:p>
        </w:tc>
        <w:tc>
          <w:tcPr>
            <w:tcW w:w="2365" w:type="dxa"/>
          </w:tcPr>
          <w:p w14:paraId="584656E3" w14:textId="4FBA3288" w:rsidR="005A461F" w:rsidRPr="004B7833" w:rsidRDefault="00F43488" w:rsidP="005A461F">
            <w:pPr>
              <w:keepLines/>
              <w:spacing w:before="40" w:after="40" w:line="200" w:lineRule="atLeast"/>
              <w:rPr>
                <w:rFonts w:asciiTheme="minorHAnsi" w:eastAsia="Times New Roman" w:hAnsiTheme="minorHAnsi" w:cstheme="minorHAnsi"/>
                <w:b w:val="0"/>
                <w:iCs/>
                <w:szCs w:val="17"/>
                <w:highlight w:val="yellow"/>
              </w:rPr>
            </w:pPr>
            <w:r w:rsidRPr="0099334D">
              <w:rPr>
                <w:rFonts w:asciiTheme="minorHAnsi" w:eastAsia="Times New Roman" w:hAnsiTheme="minorHAnsi" w:cstheme="minorHAnsi"/>
                <w:b w:val="0"/>
                <w:iCs/>
                <w:szCs w:val="17"/>
              </w:rPr>
              <w:t>TBC</w:t>
            </w:r>
          </w:p>
        </w:tc>
      </w:tr>
      <w:tr w:rsidR="005A461F" w:rsidRPr="003B5EE5" w14:paraId="465BD7E1" w14:textId="77777777" w:rsidTr="00D51F48">
        <w:trPr>
          <w:cnfStyle w:val="100000000000" w:firstRow="1" w:lastRow="0" w:firstColumn="0" w:lastColumn="0" w:oddVBand="0" w:evenVBand="0" w:oddHBand="0" w:evenHBand="0" w:firstRowFirstColumn="0" w:firstRowLastColumn="0" w:lastRowFirstColumn="0" w:lastRowLastColumn="0"/>
        </w:trPr>
        <w:tc>
          <w:tcPr>
            <w:tcW w:w="3064" w:type="dxa"/>
          </w:tcPr>
          <w:p w14:paraId="358B89E1" w14:textId="0003A31C" w:rsidR="005A461F" w:rsidRPr="00D36762" w:rsidRDefault="0020135E" w:rsidP="005A461F">
            <w:pPr>
              <w:keepLines/>
              <w:spacing w:before="80" w:after="80" w:line="200" w:lineRule="atLeast"/>
              <w:rPr>
                <w:bCs/>
              </w:rPr>
            </w:pPr>
            <w:r w:rsidRPr="0084002D">
              <w:rPr>
                <w:rFonts w:asciiTheme="minorHAnsi" w:hAnsiTheme="minorHAnsi"/>
                <w:b w:val="0"/>
                <w:bCs/>
              </w:rPr>
              <w:t>INL223 Supporting MRC and Mekong Governments</w:t>
            </w:r>
            <w:r w:rsidRPr="005A461F">
              <w:rPr>
                <w:rFonts w:asciiTheme="minorHAnsi" w:hAnsiTheme="minorHAnsi"/>
                <w:b w:val="0"/>
                <w:bCs/>
              </w:rPr>
              <w:t xml:space="preserve"> </w:t>
            </w:r>
          </w:p>
        </w:tc>
        <w:tc>
          <w:tcPr>
            <w:tcW w:w="3665" w:type="dxa"/>
          </w:tcPr>
          <w:p w14:paraId="45355049" w14:textId="26952651" w:rsidR="005A461F" w:rsidRPr="00D36762" w:rsidRDefault="0020135E" w:rsidP="005A461F">
            <w:pPr>
              <w:keepLines/>
              <w:spacing w:before="40" w:after="40" w:line="200" w:lineRule="atLeast"/>
              <w:rPr>
                <w:b w:val="0"/>
                <w:bCs/>
                <w:highlight w:val="yellow"/>
              </w:rPr>
            </w:pPr>
            <w:r w:rsidRPr="005A461F">
              <w:rPr>
                <w:rFonts w:asciiTheme="minorHAnsi" w:hAnsiTheme="minorHAnsi"/>
                <w:b w:val="0"/>
                <w:bCs/>
              </w:rPr>
              <w:t>Strategic Plan 2016-2020 Mid-Term Review</w:t>
            </w:r>
          </w:p>
        </w:tc>
        <w:tc>
          <w:tcPr>
            <w:tcW w:w="1397" w:type="dxa"/>
          </w:tcPr>
          <w:p w14:paraId="2955C84D" w14:textId="211DEA19" w:rsidR="005A461F" w:rsidRPr="00D36762" w:rsidRDefault="005A461F" w:rsidP="005A461F">
            <w:pPr>
              <w:keepLines/>
              <w:spacing w:before="40" w:after="40" w:line="200" w:lineRule="atLeast"/>
              <w:rPr>
                <w:rFonts w:eastAsia="Times New Roman"/>
                <w:b w:val="0"/>
                <w:iCs/>
                <w:szCs w:val="17"/>
              </w:rPr>
            </w:pPr>
            <w:r w:rsidRPr="005A461F">
              <w:rPr>
                <w:rFonts w:asciiTheme="minorHAnsi" w:eastAsia="Times New Roman" w:hAnsiTheme="minorHAnsi"/>
                <w:b w:val="0"/>
                <w:iCs/>
                <w:szCs w:val="17"/>
                <w:lang w:eastAsia="en-US"/>
              </w:rPr>
              <w:t>22 January 2019</w:t>
            </w:r>
          </w:p>
        </w:tc>
        <w:tc>
          <w:tcPr>
            <w:tcW w:w="1953" w:type="dxa"/>
          </w:tcPr>
          <w:p w14:paraId="5AF20C43" w14:textId="43B68D2D" w:rsidR="005A461F" w:rsidRPr="004B7833" w:rsidRDefault="00F43488" w:rsidP="005A461F">
            <w:pPr>
              <w:keepLines/>
              <w:spacing w:before="40" w:after="40" w:line="200" w:lineRule="atLeast"/>
              <w:rPr>
                <w:rFonts w:asciiTheme="minorHAnsi" w:eastAsia="Times New Roman" w:hAnsiTheme="minorHAnsi" w:cstheme="minorHAnsi"/>
                <w:b w:val="0"/>
                <w:iCs/>
                <w:szCs w:val="17"/>
              </w:rPr>
            </w:pPr>
            <w:r w:rsidRPr="0099334D">
              <w:rPr>
                <w:rFonts w:asciiTheme="minorHAnsi" w:eastAsia="Times New Roman" w:hAnsiTheme="minorHAnsi" w:cstheme="minorHAnsi"/>
                <w:b w:val="0"/>
                <w:iCs/>
                <w:szCs w:val="17"/>
              </w:rPr>
              <w:t>August 2019</w:t>
            </w:r>
          </w:p>
        </w:tc>
        <w:tc>
          <w:tcPr>
            <w:tcW w:w="1671" w:type="dxa"/>
          </w:tcPr>
          <w:p w14:paraId="12CD3B76" w14:textId="1CA04C8B" w:rsidR="005A461F" w:rsidRPr="004B7833" w:rsidRDefault="00F43488" w:rsidP="005A461F">
            <w:pPr>
              <w:keepLines/>
              <w:spacing w:before="40" w:after="40" w:line="200" w:lineRule="atLeast"/>
              <w:rPr>
                <w:rFonts w:asciiTheme="minorHAnsi" w:eastAsia="Times New Roman" w:hAnsiTheme="minorHAnsi" w:cstheme="minorHAnsi"/>
                <w:b w:val="0"/>
                <w:iCs/>
                <w:szCs w:val="17"/>
              </w:rPr>
            </w:pPr>
            <w:r w:rsidRPr="0099334D">
              <w:rPr>
                <w:rFonts w:asciiTheme="minorHAnsi" w:eastAsia="Times New Roman" w:hAnsiTheme="minorHAnsi" w:cstheme="minorHAnsi"/>
                <w:b w:val="0"/>
                <w:iCs/>
                <w:szCs w:val="17"/>
              </w:rPr>
              <w:t>TBC</w:t>
            </w:r>
          </w:p>
        </w:tc>
        <w:tc>
          <w:tcPr>
            <w:tcW w:w="2365" w:type="dxa"/>
          </w:tcPr>
          <w:p w14:paraId="666EDE87" w14:textId="48F93CDA" w:rsidR="005A461F" w:rsidRPr="00CE0FAC" w:rsidRDefault="006623ED" w:rsidP="005A461F">
            <w:pPr>
              <w:keepLines/>
              <w:spacing w:before="40" w:after="40" w:line="200" w:lineRule="atLeast"/>
              <w:rPr>
                <w:rFonts w:asciiTheme="minorHAnsi" w:eastAsia="Times New Roman" w:hAnsiTheme="minorHAnsi" w:cstheme="minorHAnsi"/>
                <w:b w:val="0"/>
                <w:iCs/>
                <w:szCs w:val="17"/>
                <w:highlight w:val="yellow"/>
              </w:rPr>
            </w:pPr>
            <w:r w:rsidRPr="001D091A">
              <w:rPr>
                <w:rFonts w:asciiTheme="minorHAnsi" w:eastAsia="Times New Roman" w:hAnsiTheme="minorHAnsi" w:cstheme="minorHAnsi"/>
                <w:b w:val="0"/>
                <w:iCs/>
                <w:szCs w:val="17"/>
                <w:lang w:eastAsia="en-US"/>
              </w:rPr>
              <w:t>TBC</w:t>
            </w:r>
          </w:p>
        </w:tc>
      </w:tr>
    </w:tbl>
    <w:p w14:paraId="5307296B" w14:textId="08B4B4B8" w:rsidR="00AF1B85" w:rsidRPr="005E606B" w:rsidRDefault="007B51B4" w:rsidP="00256FBD">
      <w:pPr>
        <w:pStyle w:val="ListBullet"/>
        <w:tabs>
          <w:tab w:val="clear" w:pos="284"/>
        </w:tabs>
        <w:spacing w:before="240"/>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color w:val="495965" w:themeColor="text2"/>
          <w:sz w:val="38"/>
          <w:szCs w:val="26"/>
          <w:lang w:val="en-GB" w:eastAsia="en-US"/>
        </w:rPr>
        <w:t xml:space="preserve">2 </w:t>
      </w:r>
      <w:r w:rsidR="00AF1B85" w:rsidRPr="005E606B">
        <w:rPr>
          <w:rFonts w:asciiTheme="majorHAnsi" w:eastAsiaTheme="majorEastAsia" w:hAnsiTheme="majorHAnsi" w:cstheme="majorBidi"/>
          <w:caps/>
          <w:color w:val="495965" w:themeColor="text2"/>
          <w:sz w:val="38"/>
          <w:szCs w:val="26"/>
          <w:lang w:val="en-GB" w:eastAsia="en-US"/>
        </w:rPr>
        <w:t xml:space="preserve">List of program prioritised evaluations planned for the next 12 months </w:t>
      </w:r>
    </w:p>
    <w:tbl>
      <w:tblPr>
        <w:tblStyle w:val="APPR"/>
        <w:tblW w:w="14548" w:type="dxa"/>
        <w:tblLook w:val="0600" w:firstRow="0" w:lastRow="0" w:firstColumn="0" w:lastColumn="0" w:noHBand="1" w:noVBand="1"/>
      </w:tblPr>
      <w:tblGrid>
        <w:gridCol w:w="2486"/>
        <w:gridCol w:w="2384"/>
        <w:gridCol w:w="1793"/>
        <w:gridCol w:w="1984"/>
        <w:gridCol w:w="3827"/>
        <w:gridCol w:w="2074"/>
      </w:tblGrid>
      <w:tr w:rsidR="002449C2" w:rsidRPr="00C61187" w14:paraId="7A747178" w14:textId="77777777" w:rsidTr="00B62D0C">
        <w:tc>
          <w:tcPr>
            <w:tcW w:w="2444" w:type="dxa"/>
          </w:tcPr>
          <w:p w14:paraId="6B26F750" w14:textId="77777777" w:rsidR="002449C2" w:rsidRPr="00812509" w:rsidRDefault="002449C2" w:rsidP="00D51F48">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Evaluation title</w:t>
            </w:r>
          </w:p>
        </w:tc>
        <w:tc>
          <w:tcPr>
            <w:tcW w:w="2356" w:type="dxa"/>
          </w:tcPr>
          <w:p w14:paraId="50EA962C" w14:textId="77777777" w:rsidR="002449C2" w:rsidRPr="00812509" w:rsidRDefault="002449C2" w:rsidP="00D51F48">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 xml:space="preserve">Investment number and name (if applicable) </w:t>
            </w:r>
          </w:p>
        </w:tc>
        <w:tc>
          <w:tcPr>
            <w:tcW w:w="1765" w:type="dxa"/>
          </w:tcPr>
          <w:p w14:paraId="528FF538" w14:textId="77777777" w:rsidR="002449C2" w:rsidRPr="00812509" w:rsidRDefault="002449C2" w:rsidP="00D51F48">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Date – planned commencement (month/year)</w:t>
            </w:r>
          </w:p>
        </w:tc>
        <w:tc>
          <w:tcPr>
            <w:tcW w:w="1956" w:type="dxa"/>
          </w:tcPr>
          <w:p w14:paraId="77BF3A02" w14:textId="77777777" w:rsidR="002449C2" w:rsidRPr="00812509" w:rsidRDefault="002449C2" w:rsidP="00D51F48">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Date – planned completion (month/year)</w:t>
            </w:r>
          </w:p>
        </w:tc>
        <w:tc>
          <w:tcPr>
            <w:tcW w:w="3799" w:type="dxa"/>
          </w:tcPr>
          <w:p w14:paraId="7E2168AB" w14:textId="77777777" w:rsidR="002449C2" w:rsidRPr="00812509" w:rsidRDefault="002449C2" w:rsidP="00D51F48">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Purpose of evaluation</w:t>
            </w:r>
          </w:p>
        </w:tc>
        <w:tc>
          <w:tcPr>
            <w:tcW w:w="2032" w:type="dxa"/>
          </w:tcPr>
          <w:p w14:paraId="62B95165" w14:textId="77777777" w:rsidR="002449C2" w:rsidRPr="00812509" w:rsidRDefault="002449C2" w:rsidP="00D51F48">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Evaluation type</w:t>
            </w:r>
          </w:p>
        </w:tc>
      </w:tr>
      <w:tr w:rsidR="005D3326" w:rsidRPr="00C61187" w14:paraId="792407E3" w14:textId="77777777" w:rsidTr="00B62D0C">
        <w:tc>
          <w:tcPr>
            <w:tcW w:w="2444" w:type="dxa"/>
          </w:tcPr>
          <w:p w14:paraId="60320A5E" w14:textId="0ADD9490" w:rsidR="005D3326" w:rsidRPr="005D3326" w:rsidRDefault="005D3326" w:rsidP="005D3326">
            <w:pPr>
              <w:rPr>
                <w:rFonts w:asciiTheme="minorHAnsi" w:eastAsia="Times New Roman" w:hAnsiTheme="minorHAnsi"/>
                <w:iCs/>
                <w:szCs w:val="17"/>
              </w:rPr>
            </w:pPr>
            <w:r w:rsidRPr="005D3326">
              <w:rPr>
                <w:rFonts w:asciiTheme="minorHAnsi" w:hAnsiTheme="minorHAnsi"/>
              </w:rPr>
              <w:t>External Review</w:t>
            </w:r>
          </w:p>
        </w:tc>
        <w:tc>
          <w:tcPr>
            <w:tcW w:w="2356" w:type="dxa"/>
          </w:tcPr>
          <w:p w14:paraId="7AC4A910" w14:textId="698FE537" w:rsidR="005D3326" w:rsidRPr="00CE0FAC" w:rsidRDefault="005D3326" w:rsidP="005D3326">
            <w:pPr>
              <w:keepLines/>
              <w:spacing w:before="80" w:after="80" w:line="200" w:lineRule="atLeast"/>
              <w:rPr>
                <w:rFonts w:asciiTheme="minorHAnsi" w:eastAsia="Times New Roman" w:hAnsiTheme="minorHAnsi"/>
                <w:iCs/>
                <w:szCs w:val="17"/>
              </w:rPr>
            </w:pPr>
            <w:r w:rsidRPr="001D091A">
              <w:rPr>
                <w:rFonts w:asciiTheme="minorHAnsi" w:hAnsiTheme="minorHAnsi"/>
              </w:rPr>
              <w:t>INH157 ASEAN Australia Development Cooperation Program Phase II</w:t>
            </w:r>
          </w:p>
        </w:tc>
        <w:tc>
          <w:tcPr>
            <w:tcW w:w="1765" w:type="dxa"/>
          </w:tcPr>
          <w:p w14:paraId="6596C0BF" w14:textId="11C09743" w:rsidR="005D3326" w:rsidRPr="00CE0FAC" w:rsidRDefault="005D3326" w:rsidP="005D3326">
            <w:pPr>
              <w:keepLines/>
              <w:spacing w:before="80" w:after="80" w:line="200" w:lineRule="atLeast"/>
              <w:rPr>
                <w:rFonts w:asciiTheme="minorHAnsi" w:eastAsia="Times New Roman" w:hAnsiTheme="minorHAnsi"/>
                <w:iCs/>
                <w:szCs w:val="17"/>
              </w:rPr>
            </w:pPr>
            <w:r w:rsidRPr="00CE0FAC">
              <w:rPr>
                <w:rFonts w:asciiTheme="minorHAnsi" w:hAnsiTheme="minorHAnsi"/>
              </w:rPr>
              <w:t>September 2019</w:t>
            </w:r>
          </w:p>
        </w:tc>
        <w:tc>
          <w:tcPr>
            <w:tcW w:w="1956" w:type="dxa"/>
          </w:tcPr>
          <w:p w14:paraId="636D5BFE" w14:textId="5EE4A6AD" w:rsidR="005D3326" w:rsidRPr="001D091A" w:rsidRDefault="005D3326" w:rsidP="005D3326">
            <w:pPr>
              <w:keepLines/>
              <w:spacing w:before="80" w:after="80" w:line="200" w:lineRule="atLeast"/>
              <w:rPr>
                <w:rFonts w:asciiTheme="minorHAnsi" w:eastAsia="Times New Roman" w:hAnsiTheme="minorHAnsi"/>
                <w:iCs/>
                <w:szCs w:val="17"/>
                <w:highlight w:val="yellow"/>
              </w:rPr>
            </w:pPr>
          </w:p>
        </w:tc>
        <w:tc>
          <w:tcPr>
            <w:tcW w:w="3799" w:type="dxa"/>
          </w:tcPr>
          <w:p w14:paraId="24053E80" w14:textId="77777777" w:rsidR="005D3326" w:rsidRPr="001D091A" w:rsidRDefault="005D3326" w:rsidP="005D3326">
            <w:pPr>
              <w:pStyle w:val="ListParagraph"/>
              <w:keepLines/>
              <w:numPr>
                <w:ilvl w:val="0"/>
                <w:numId w:val="15"/>
              </w:numPr>
              <w:suppressAutoHyphens/>
              <w:spacing w:before="80" w:after="80" w:line="200" w:lineRule="atLeast"/>
              <w:ind w:left="198" w:hanging="198"/>
              <w:contextualSpacing/>
              <w:rPr>
                <w:rFonts w:asciiTheme="minorHAnsi" w:hAnsiTheme="minorHAnsi" w:cstheme="minorBidi"/>
                <w:color w:val="495965" w:themeColor="text2"/>
                <w:lang w:val="en-GB"/>
              </w:rPr>
            </w:pPr>
            <w:r w:rsidRPr="001D091A">
              <w:rPr>
                <w:rFonts w:asciiTheme="minorHAnsi" w:hAnsiTheme="minorHAnsi" w:cstheme="minorBidi"/>
                <w:color w:val="495965" w:themeColor="text2"/>
                <w:lang w:val="en-GB"/>
              </w:rPr>
              <w:t>Assess program’s performance</w:t>
            </w:r>
          </w:p>
          <w:p w14:paraId="756EFBBB" w14:textId="783B8917" w:rsidR="005D3326" w:rsidRPr="0099334D" w:rsidRDefault="005D3326" w:rsidP="005D3326">
            <w:pPr>
              <w:pStyle w:val="ListParagraph"/>
              <w:keepLines/>
              <w:numPr>
                <w:ilvl w:val="0"/>
                <w:numId w:val="15"/>
              </w:numPr>
              <w:suppressAutoHyphens/>
              <w:spacing w:before="80" w:after="80" w:line="200" w:lineRule="atLeast"/>
              <w:ind w:left="198" w:hanging="198"/>
              <w:contextualSpacing/>
              <w:rPr>
                <w:rFonts w:asciiTheme="minorHAnsi" w:eastAsia="Times New Roman" w:hAnsiTheme="minorHAnsi"/>
                <w:iCs/>
                <w:szCs w:val="17"/>
              </w:rPr>
            </w:pPr>
            <w:r w:rsidRPr="0099334D">
              <w:rPr>
                <w:rFonts w:asciiTheme="minorHAnsi" w:hAnsiTheme="minorHAnsi" w:cstheme="minorBidi"/>
                <w:color w:val="495965" w:themeColor="text2"/>
                <w:lang w:val="en-GB"/>
              </w:rPr>
              <w:t>Inform current phase and new design</w:t>
            </w:r>
          </w:p>
        </w:tc>
        <w:tc>
          <w:tcPr>
            <w:tcW w:w="2032" w:type="dxa"/>
          </w:tcPr>
          <w:p w14:paraId="3DBC3AAE" w14:textId="735595D5" w:rsidR="005D3326" w:rsidRPr="0099334D" w:rsidRDefault="005D3326" w:rsidP="005D3326">
            <w:pPr>
              <w:keepLines/>
              <w:spacing w:before="80" w:after="80" w:line="200" w:lineRule="atLeast"/>
              <w:rPr>
                <w:rFonts w:asciiTheme="minorHAnsi" w:eastAsia="Times New Roman" w:hAnsiTheme="minorHAnsi"/>
                <w:iCs/>
                <w:szCs w:val="17"/>
              </w:rPr>
            </w:pPr>
            <w:r w:rsidRPr="0099334D">
              <w:rPr>
                <w:rFonts w:asciiTheme="minorHAnsi" w:hAnsiTheme="minorHAnsi"/>
              </w:rPr>
              <w:t>DFAT-led</w:t>
            </w:r>
          </w:p>
        </w:tc>
      </w:tr>
      <w:tr w:rsidR="00C20318" w:rsidRPr="00C20318" w14:paraId="5191F7AA" w14:textId="77777777" w:rsidTr="00B62D0C">
        <w:tc>
          <w:tcPr>
            <w:tcW w:w="2444" w:type="dxa"/>
          </w:tcPr>
          <w:p w14:paraId="0A3BB04F" w14:textId="0586C5C8" w:rsidR="00C20318" w:rsidRPr="00D8749D" w:rsidRDefault="006623ED" w:rsidP="00C20318">
            <w:pPr>
              <w:rPr>
                <w:rFonts w:asciiTheme="minorHAnsi" w:hAnsiTheme="minorHAnsi" w:cstheme="minorHAnsi"/>
              </w:rPr>
            </w:pPr>
            <w:r w:rsidRPr="0026443C">
              <w:rPr>
                <w:rFonts w:cstheme="minorHAnsi"/>
              </w:rPr>
              <w:t>Independent Final Evaluation</w:t>
            </w:r>
          </w:p>
        </w:tc>
        <w:tc>
          <w:tcPr>
            <w:tcW w:w="2356" w:type="dxa"/>
          </w:tcPr>
          <w:p w14:paraId="2EE78005" w14:textId="278AD7BA" w:rsidR="00C20318" w:rsidRPr="001D091A" w:rsidRDefault="006623ED" w:rsidP="00C20318">
            <w:pPr>
              <w:rPr>
                <w:rFonts w:asciiTheme="minorHAnsi" w:hAnsiTheme="minorHAnsi" w:cstheme="minorHAnsi"/>
              </w:rPr>
            </w:pPr>
            <w:r w:rsidRPr="0099334D">
              <w:rPr>
                <w:rFonts w:asciiTheme="minorHAnsi" w:hAnsiTheme="minorHAnsi" w:cstheme="minorHAnsi"/>
              </w:rPr>
              <w:t>INL215 IFC Sustainable Hydropower in Mekong Countries</w:t>
            </w:r>
          </w:p>
        </w:tc>
        <w:tc>
          <w:tcPr>
            <w:tcW w:w="1765" w:type="dxa"/>
          </w:tcPr>
          <w:p w14:paraId="022717F0" w14:textId="68646652" w:rsidR="00C20318" w:rsidRPr="001D091A" w:rsidRDefault="006623ED" w:rsidP="00C20318">
            <w:pPr>
              <w:rPr>
                <w:rFonts w:asciiTheme="minorHAnsi" w:hAnsiTheme="minorHAnsi" w:cstheme="minorHAnsi"/>
              </w:rPr>
            </w:pPr>
            <w:r w:rsidRPr="0099334D">
              <w:rPr>
                <w:rFonts w:asciiTheme="minorHAnsi" w:hAnsiTheme="minorHAnsi" w:cstheme="minorHAnsi"/>
              </w:rPr>
              <w:t>June 2019</w:t>
            </w:r>
          </w:p>
        </w:tc>
        <w:tc>
          <w:tcPr>
            <w:tcW w:w="1956" w:type="dxa"/>
          </w:tcPr>
          <w:p w14:paraId="30CDF6AE" w14:textId="5B490238" w:rsidR="00C20318" w:rsidRPr="001D091A" w:rsidRDefault="006623ED" w:rsidP="00C20318">
            <w:pPr>
              <w:rPr>
                <w:rFonts w:asciiTheme="minorHAnsi" w:hAnsiTheme="minorHAnsi" w:cstheme="minorHAnsi"/>
              </w:rPr>
            </w:pPr>
            <w:r w:rsidRPr="0099334D">
              <w:rPr>
                <w:rFonts w:asciiTheme="minorHAnsi" w:hAnsiTheme="minorHAnsi" w:cstheme="minorHAnsi"/>
              </w:rPr>
              <w:t>October 2019</w:t>
            </w:r>
          </w:p>
        </w:tc>
        <w:tc>
          <w:tcPr>
            <w:tcW w:w="3799" w:type="dxa"/>
          </w:tcPr>
          <w:p w14:paraId="495F35D1" w14:textId="77777777" w:rsidR="006623ED" w:rsidRPr="00CE0FAC" w:rsidRDefault="006623ED" w:rsidP="006623ED">
            <w:pPr>
              <w:pStyle w:val="ListParagraph"/>
              <w:keepLines/>
              <w:numPr>
                <w:ilvl w:val="0"/>
                <w:numId w:val="15"/>
              </w:numPr>
              <w:suppressAutoHyphens/>
              <w:spacing w:before="80" w:after="80" w:line="200" w:lineRule="atLeast"/>
              <w:ind w:left="198" w:hanging="198"/>
              <w:contextualSpacing/>
              <w:rPr>
                <w:rFonts w:asciiTheme="minorHAnsi" w:hAnsiTheme="minorHAnsi" w:cstheme="minorHAnsi"/>
                <w:color w:val="495965" w:themeColor="text2"/>
                <w:lang w:val="en-GB"/>
              </w:rPr>
            </w:pPr>
            <w:r w:rsidRPr="001D091A">
              <w:rPr>
                <w:rFonts w:asciiTheme="minorHAnsi" w:hAnsiTheme="minorHAnsi" w:cstheme="minorHAnsi"/>
                <w:color w:val="495965" w:themeColor="text2"/>
                <w:lang w:val="en-GB"/>
              </w:rPr>
              <w:t>Assess p</w:t>
            </w:r>
            <w:r w:rsidRPr="00CE0FAC">
              <w:rPr>
                <w:rFonts w:asciiTheme="minorHAnsi" w:hAnsiTheme="minorHAnsi" w:cstheme="minorHAnsi"/>
                <w:color w:val="495965" w:themeColor="text2"/>
                <w:lang w:val="en-GB"/>
              </w:rPr>
              <w:t>rogram’s performance</w:t>
            </w:r>
          </w:p>
          <w:p w14:paraId="687D364C" w14:textId="64A067F8" w:rsidR="00C20318" w:rsidRPr="0099334D" w:rsidRDefault="006623ED" w:rsidP="006623ED">
            <w:pPr>
              <w:pStyle w:val="ListParagraph"/>
              <w:keepLines/>
              <w:numPr>
                <w:ilvl w:val="0"/>
                <w:numId w:val="15"/>
              </w:numPr>
              <w:suppressAutoHyphens/>
              <w:spacing w:before="80" w:after="80" w:line="200" w:lineRule="atLeast"/>
              <w:ind w:left="198" w:hanging="198"/>
              <w:contextualSpacing/>
              <w:rPr>
                <w:rFonts w:asciiTheme="minorHAnsi" w:hAnsiTheme="minorHAnsi" w:cstheme="minorHAnsi"/>
                <w:color w:val="495965" w:themeColor="text2"/>
                <w:lang w:val="en-GB"/>
              </w:rPr>
            </w:pPr>
            <w:r w:rsidRPr="0099334D">
              <w:rPr>
                <w:rFonts w:asciiTheme="minorHAnsi" w:hAnsiTheme="minorHAnsi" w:cstheme="minorHAnsi"/>
                <w:color w:val="495965" w:themeColor="text2"/>
                <w:lang w:val="en-GB"/>
              </w:rPr>
              <w:t>Inform design of next phase</w:t>
            </w:r>
          </w:p>
        </w:tc>
        <w:tc>
          <w:tcPr>
            <w:tcW w:w="2032" w:type="dxa"/>
          </w:tcPr>
          <w:p w14:paraId="2698DE39" w14:textId="0CD5B7E0" w:rsidR="00C20318" w:rsidRPr="001D091A" w:rsidRDefault="006623ED" w:rsidP="00C20318">
            <w:pPr>
              <w:rPr>
                <w:rFonts w:asciiTheme="minorHAnsi" w:hAnsiTheme="minorHAnsi" w:cstheme="minorHAnsi"/>
              </w:rPr>
            </w:pPr>
            <w:r w:rsidRPr="0099334D">
              <w:rPr>
                <w:rFonts w:asciiTheme="minorHAnsi" w:hAnsiTheme="minorHAnsi" w:cstheme="minorHAnsi"/>
              </w:rPr>
              <w:t>Partner-led</w:t>
            </w:r>
          </w:p>
        </w:tc>
      </w:tr>
      <w:tr w:rsidR="00C20318" w:rsidRPr="008B18BC" w14:paraId="49366411" w14:textId="77777777" w:rsidTr="00B62D0C">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Pr>
        <w:tc>
          <w:tcPr>
            <w:tcW w:w="2444" w:type="dxa"/>
          </w:tcPr>
          <w:p w14:paraId="298052C6" w14:textId="60C8A85C" w:rsidR="00C20318" w:rsidRPr="00352ED6" w:rsidRDefault="00C20318" w:rsidP="00C20318">
            <w:pPr>
              <w:rPr>
                <w:rFonts w:asciiTheme="minorHAnsi" w:hAnsiTheme="minorHAnsi"/>
                <w:b w:val="0"/>
                <w:bCs/>
              </w:rPr>
            </w:pPr>
          </w:p>
        </w:tc>
        <w:tc>
          <w:tcPr>
            <w:tcW w:w="2356" w:type="dxa"/>
          </w:tcPr>
          <w:p w14:paraId="3AF434CC" w14:textId="2CA8BF89" w:rsidR="00C20318" w:rsidRPr="001D091A" w:rsidRDefault="00C20318" w:rsidP="00C20318">
            <w:pPr>
              <w:rPr>
                <w:rFonts w:asciiTheme="minorHAnsi" w:hAnsiTheme="minorHAnsi"/>
                <w:b w:val="0"/>
                <w:bCs/>
              </w:rPr>
            </w:pPr>
          </w:p>
        </w:tc>
        <w:tc>
          <w:tcPr>
            <w:tcW w:w="1765" w:type="dxa"/>
          </w:tcPr>
          <w:p w14:paraId="459A38CC" w14:textId="3707432C" w:rsidR="00C20318" w:rsidRPr="001D091A" w:rsidRDefault="00C20318" w:rsidP="00C20318">
            <w:pPr>
              <w:rPr>
                <w:rFonts w:asciiTheme="minorHAnsi" w:hAnsiTheme="minorHAnsi"/>
                <w:b w:val="0"/>
                <w:bCs/>
              </w:rPr>
            </w:pPr>
          </w:p>
        </w:tc>
        <w:tc>
          <w:tcPr>
            <w:tcW w:w="1956" w:type="dxa"/>
          </w:tcPr>
          <w:p w14:paraId="4881B6E9" w14:textId="06D51159" w:rsidR="00C20318" w:rsidRPr="0099334D" w:rsidRDefault="00C20318" w:rsidP="00C20318">
            <w:pPr>
              <w:rPr>
                <w:rFonts w:asciiTheme="minorHAnsi" w:hAnsiTheme="minorHAnsi"/>
                <w:b w:val="0"/>
                <w:bCs/>
              </w:rPr>
            </w:pPr>
          </w:p>
        </w:tc>
        <w:tc>
          <w:tcPr>
            <w:tcW w:w="3799" w:type="dxa"/>
          </w:tcPr>
          <w:p w14:paraId="3352E974" w14:textId="3CCC5B3D" w:rsidR="00C20318" w:rsidRPr="0099334D" w:rsidRDefault="00C20318" w:rsidP="00D8749D">
            <w:pPr>
              <w:keepLines/>
              <w:spacing w:before="80" w:after="80" w:line="200" w:lineRule="atLeast"/>
              <w:contextualSpacing/>
              <w:rPr>
                <w:rFonts w:asciiTheme="minorHAnsi" w:hAnsiTheme="minorHAnsi"/>
              </w:rPr>
            </w:pPr>
          </w:p>
        </w:tc>
        <w:tc>
          <w:tcPr>
            <w:tcW w:w="2032" w:type="dxa"/>
          </w:tcPr>
          <w:p w14:paraId="0ED2D4B2" w14:textId="5BFE1083" w:rsidR="00C20318" w:rsidRPr="0099334D" w:rsidRDefault="00C20318" w:rsidP="00C20318">
            <w:pPr>
              <w:rPr>
                <w:rFonts w:asciiTheme="minorHAnsi" w:hAnsiTheme="minorHAnsi"/>
                <w:b w:val="0"/>
                <w:bCs/>
              </w:rPr>
            </w:pPr>
          </w:p>
        </w:tc>
      </w:tr>
      <w:tr w:rsidR="00C20318" w:rsidRPr="008B18BC" w14:paraId="2D572938" w14:textId="77777777" w:rsidTr="00B62D0C">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Pr>
        <w:tc>
          <w:tcPr>
            <w:tcW w:w="2444" w:type="dxa"/>
          </w:tcPr>
          <w:p w14:paraId="22239A45" w14:textId="5E33AD81" w:rsidR="00C20318" w:rsidRPr="00352ED6" w:rsidRDefault="00C20318" w:rsidP="00C20318">
            <w:pPr>
              <w:rPr>
                <w:b w:val="0"/>
                <w:bCs/>
              </w:rPr>
            </w:pPr>
          </w:p>
        </w:tc>
        <w:tc>
          <w:tcPr>
            <w:tcW w:w="2356" w:type="dxa"/>
          </w:tcPr>
          <w:p w14:paraId="4AE21425" w14:textId="10BDD8D2" w:rsidR="00C20318" w:rsidRPr="00352ED6" w:rsidRDefault="00C20318" w:rsidP="00C20318">
            <w:pPr>
              <w:rPr>
                <w:b w:val="0"/>
                <w:bCs/>
              </w:rPr>
            </w:pPr>
          </w:p>
        </w:tc>
        <w:tc>
          <w:tcPr>
            <w:tcW w:w="1765" w:type="dxa"/>
          </w:tcPr>
          <w:p w14:paraId="5E2BA96E" w14:textId="6A63C65D" w:rsidR="00C20318" w:rsidRPr="00352ED6" w:rsidRDefault="00C20318" w:rsidP="00C20318">
            <w:pPr>
              <w:rPr>
                <w:b w:val="0"/>
                <w:bCs/>
              </w:rPr>
            </w:pPr>
          </w:p>
        </w:tc>
        <w:tc>
          <w:tcPr>
            <w:tcW w:w="1956" w:type="dxa"/>
          </w:tcPr>
          <w:p w14:paraId="4C0FC092" w14:textId="1E958D8B" w:rsidR="00C20318" w:rsidRPr="00352ED6" w:rsidRDefault="00C20318" w:rsidP="00C20318">
            <w:pPr>
              <w:rPr>
                <w:b w:val="0"/>
                <w:bCs/>
              </w:rPr>
            </w:pPr>
          </w:p>
        </w:tc>
        <w:tc>
          <w:tcPr>
            <w:tcW w:w="3799" w:type="dxa"/>
          </w:tcPr>
          <w:p w14:paraId="135B7231" w14:textId="3AEFDA46" w:rsidR="00C20318" w:rsidRPr="00D8749D" w:rsidRDefault="00C20318" w:rsidP="00D8749D">
            <w:pPr>
              <w:keepLines/>
              <w:spacing w:before="80" w:after="80" w:line="200" w:lineRule="atLeast"/>
              <w:contextualSpacing/>
              <w:rPr>
                <w:rFonts w:asciiTheme="minorHAnsi" w:hAnsiTheme="minorHAnsi"/>
              </w:rPr>
            </w:pPr>
          </w:p>
        </w:tc>
        <w:tc>
          <w:tcPr>
            <w:tcW w:w="2032" w:type="dxa"/>
          </w:tcPr>
          <w:p w14:paraId="36386A6A" w14:textId="27607832" w:rsidR="00C20318" w:rsidRDefault="00C20318" w:rsidP="00C20318">
            <w:pPr>
              <w:rPr>
                <w:b w:val="0"/>
                <w:bCs/>
              </w:rPr>
            </w:pPr>
          </w:p>
        </w:tc>
      </w:tr>
    </w:tbl>
    <w:p w14:paraId="2358D29A" w14:textId="77777777" w:rsidR="002414EA" w:rsidRDefault="002414EA" w:rsidP="00A8197B">
      <w:pPr>
        <w:pStyle w:val="Subtitle"/>
        <w:sectPr w:rsidR="002414EA" w:rsidSect="003B6BD8">
          <w:type w:val="continuous"/>
          <w:pgSz w:w="16838" w:h="11906" w:orient="landscape" w:code="9"/>
          <w:pgMar w:top="1134" w:right="1527" w:bottom="1134" w:left="851" w:header="1418" w:footer="192" w:gutter="0"/>
          <w:cols w:space="397"/>
          <w:docGrid w:linePitch="360"/>
        </w:sectPr>
      </w:pPr>
    </w:p>
    <w:p w14:paraId="2EB3E93D" w14:textId="77777777" w:rsidR="005E606B" w:rsidRPr="00256FBD" w:rsidRDefault="005E606B" w:rsidP="00256FBD">
      <w:pPr>
        <w:pStyle w:val="Subtitle"/>
        <w:spacing w:after="120"/>
        <w:rPr>
          <w:b/>
        </w:rPr>
      </w:pPr>
      <w:r w:rsidRPr="00256FBD">
        <w:rPr>
          <w:b/>
        </w:rPr>
        <w:t xml:space="preserve">Annex </w:t>
      </w:r>
      <w:r w:rsidR="00184F1E" w:rsidRPr="00256FBD">
        <w:rPr>
          <w:b/>
        </w:rPr>
        <w:t>D</w:t>
      </w:r>
      <w:r w:rsidRPr="00256FBD">
        <w:rPr>
          <w:b/>
        </w:rPr>
        <w:t xml:space="preserve"> - Aid Quality Check ratings</w:t>
      </w:r>
    </w:p>
    <w:p w14:paraId="47078FBE" w14:textId="7DE3DD75" w:rsidR="005E606B" w:rsidRPr="00A8197B" w:rsidRDefault="007B51B4" w:rsidP="00256FBD">
      <w:pPr>
        <w:pStyle w:val="ListBullet"/>
        <w:tabs>
          <w:tab w:val="clear" w:pos="284"/>
        </w:tabs>
        <w:spacing w:before="240"/>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color w:val="495965" w:themeColor="text2"/>
          <w:sz w:val="38"/>
          <w:szCs w:val="26"/>
          <w:lang w:val="en-GB" w:eastAsia="en-US"/>
        </w:rPr>
        <w:t xml:space="preserve">1 </w:t>
      </w:r>
      <w:r w:rsidR="005E606B" w:rsidRPr="00A8197B">
        <w:rPr>
          <w:rFonts w:asciiTheme="majorHAnsi" w:eastAsiaTheme="majorEastAsia" w:hAnsiTheme="majorHAnsi" w:cstheme="majorBidi"/>
          <w:caps/>
          <w:color w:val="495965" w:themeColor="text2"/>
          <w:sz w:val="38"/>
          <w:szCs w:val="26"/>
          <w:lang w:val="en-GB" w:eastAsia="en-US"/>
        </w:rPr>
        <w:t>AQC ratings</w:t>
      </w:r>
    </w:p>
    <w:p w14:paraId="082249EA" w14:textId="77777777" w:rsidR="005E606B" w:rsidRPr="00C61187" w:rsidRDefault="005E606B" w:rsidP="00A8197B">
      <w:r w:rsidRPr="00C61187">
        <w:t>AQC investment performance over the previous 12 months and where available last</w:t>
      </w:r>
      <w:r>
        <w:t xml:space="preserve"> year’s AQC ratings</w:t>
      </w:r>
      <w:r w:rsidRPr="00C61187">
        <w:t>.</w:t>
      </w:r>
    </w:p>
    <w:tbl>
      <w:tblPr>
        <w:tblW w:w="10000" w:type="dxa"/>
        <w:tblLook w:val="04A0" w:firstRow="1" w:lastRow="0" w:firstColumn="1" w:lastColumn="0" w:noHBand="0" w:noVBand="1"/>
      </w:tblPr>
      <w:tblGrid>
        <w:gridCol w:w="2900"/>
        <w:gridCol w:w="960"/>
        <w:gridCol w:w="960"/>
        <w:gridCol w:w="740"/>
        <w:gridCol w:w="740"/>
        <w:gridCol w:w="740"/>
        <w:gridCol w:w="740"/>
        <w:gridCol w:w="740"/>
        <w:gridCol w:w="740"/>
        <w:gridCol w:w="740"/>
      </w:tblGrid>
      <w:tr w:rsidR="00031750" w:rsidRPr="00E57552" w14:paraId="3F4C250B" w14:textId="77777777" w:rsidTr="00031750">
        <w:trPr>
          <w:trHeight w:val="1347"/>
        </w:trPr>
        <w:tc>
          <w:tcPr>
            <w:tcW w:w="2900" w:type="dxa"/>
            <w:tcBorders>
              <w:top w:val="single" w:sz="12" w:space="0" w:color="000000"/>
              <w:left w:val="nil"/>
              <w:bottom w:val="nil"/>
              <w:right w:val="nil"/>
            </w:tcBorders>
            <w:shd w:val="clear" w:color="auto" w:fill="auto"/>
            <w:vAlign w:val="center"/>
            <w:hideMark/>
          </w:tcPr>
          <w:p w14:paraId="083AFDD9" w14:textId="77777777" w:rsidR="00031750" w:rsidRPr="00E57552" w:rsidRDefault="00031750" w:rsidP="00031750">
            <w:pPr>
              <w:suppressAutoHyphens w:val="0"/>
              <w:spacing w:before="0" w:after="0" w:line="240" w:lineRule="auto"/>
              <w:rPr>
                <w:rFonts w:ascii="Calibri Light" w:eastAsia="Times New Roman" w:hAnsi="Calibri Light" w:cs="Times New Roman"/>
                <w:b/>
                <w:bCs/>
                <w:color w:val="495965"/>
                <w:sz w:val="14"/>
                <w:szCs w:val="14"/>
                <w:lang w:val="en-AU" w:eastAsia="en-AU"/>
              </w:rPr>
            </w:pPr>
            <w:r w:rsidRPr="00E57552">
              <w:rPr>
                <w:rFonts w:ascii="Calibri Light" w:eastAsia="Times New Roman" w:hAnsi="Calibri Light" w:cs="Times New Roman"/>
                <w:b/>
                <w:bCs/>
                <w:iCs/>
                <w:noProof/>
                <w:color w:val="495965"/>
                <w:sz w:val="14"/>
                <w:szCs w:val="14"/>
                <w:lang w:val="en-AU" w:eastAsia="en-AU"/>
              </w:rPr>
              <w:drawing>
                <wp:anchor distT="0" distB="0" distL="114300" distR="114300" simplePos="0" relativeHeight="251678720" behindDoc="0" locked="0" layoutInCell="1" allowOverlap="1" wp14:anchorId="77DCFB31" wp14:editId="739D7B63">
                  <wp:simplePos x="0" y="0"/>
                  <wp:positionH relativeFrom="column">
                    <wp:posOffset>0</wp:posOffset>
                  </wp:positionH>
                  <wp:positionV relativeFrom="paragraph">
                    <wp:posOffset>0</wp:posOffset>
                  </wp:positionV>
                  <wp:extent cx="3086100" cy="228600"/>
                  <wp:effectExtent l="0" t="0" r="0" b="0"/>
                  <wp:wrapNone/>
                  <wp:docPr id="4" name="Picture 4" hidden="1"/>
                  <wp:cNvGraphicFramePr/>
                  <a:graphic xmlns:a="http://schemas.openxmlformats.org/drawingml/2006/main">
                    <a:graphicData uri="http://schemas.openxmlformats.org/drawingml/2006/picture">
                      <pic:pic xmlns:pic="http://schemas.openxmlformats.org/drawingml/2006/picture">
                        <pic:nvPicPr>
                          <pic:cNvPr id="2" name="Picture 26" hidden="1"/>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E57552">
              <w:rPr>
                <w:rFonts w:ascii="Calibri Light" w:eastAsia="Times New Roman" w:hAnsi="Calibri Light" w:cs="Times New Roman"/>
                <w:b/>
                <w:bCs/>
                <w:iCs/>
                <w:color w:val="495965"/>
                <w:sz w:val="14"/>
                <w:szCs w:val="14"/>
                <w:lang w:eastAsia="en-AU"/>
              </w:rPr>
              <w:t>Investment name</w:t>
            </w:r>
          </w:p>
        </w:tc>
        <w:tc>
          <w:tcPr>
            <w:tcW w:w="960" w:type="dxa"/>
            <w:tcBorders>
              <w:top w:val="single" w:sz="12" w:space="0" w:color="000000"/>
              <w:left w:val="nil"/>
              <w:bottom w:val="nil"/>
              <w:right w:val="nil"/>
            </w:tcBorders>
            <w:shd w:val="clear" w:color="auto" w:fill="auto"/>
            <w:vAlign w:val="center"/>
            <w:hideMark/>
          </w:tcPr>
          <w:p w14:paraId="5A29117F" w14:textId="77777777" w:rsidR="00031750" w:rsidRPr="00E57552" w:rsidRDefault="00031750" w:rsidP="00031750">
            <w:pPr>
              <w:suppressAutoHyphens w:val="0"/>
              <w:spacing w:before="0" w:after="0" w:line="240" w:lineRule="auto"/>
              <w:jc w:val="center"/>
              <w:rPr>
                <w:rFonts w:ascii="Calibri Light" w:eastAsia="Times New Roman" w:hAnsi="Calibri Light" w:cs="Times New Roman"/>
                <w:b/>
                <w:bCs/>
                <w:color w:val="495965"/>
                <w:sz w:val="14"/>
                <w:szCs w:val="14"/>
                <w:lang w:val="en-AU" w:eastAsia="en-AU"/>
              </w:rPr>
            </w:pPr>
            <w:r w:rsidRPr="00E57552">
              <w:rPr>
                <w:rFonts w:ascii="Calibri Light" w:eastAsia="Times New Roman" w:hAnsi="Calibri Light" w:cs="Times New Roman"/>
                <w:b/>
                <w:bCs/>
                <w:iCs/>
                <w:color w:val="495965"/>
                <w:sz w:val="14"/>
                <w:szCs w:val="14"/>
                <w:lang w:eastAsia="en-AU"/>
              </w:rPr>
              <w:t>Approved budget and duration</w:t>
            </w:r>
          </w:p>
        </w:tc>
        <w:tc>
          <w:tcPr>
            <w:tcW w:w="960" w:type="dxa"/>
            <w:tcBorders>
              <w:top w:val="single" w:sz="12" w:space="0" w:color="000000"/>
              <w:left w:val="nil"/>
              <w:bottom w:val="nil"/>
              <w:right w:val="nil"/>
            </w:tcBorders>
            <w:shd w:val="clear" w:color="auto" w:fill="auto"/>
            <w:vAlign w:val="center"/>
            <w:hideMark/>
          </w:tcPr>
          <w:p w14:paraId="749120A8" w14:textId="77777777" w:rsidR="00031750" w:rsidRPr="00E57552" w:rsidRDefault="00031750" w:rsidP="00031750">
            <w:pPr>
              <w:suppressAutoHyphens w:val="0"/>
              <w:spacing w:before="0" w:after="0" w:line="240" w:lineRule="auto"/>
              <w:jc w:val="center"/>
              <w:rPr>
                <w:rFonts w:ascii="Calibri Light" w:eastAsia="Times New Roman" w:hAnsi="Calibri Light" w:cs="Times New Roman"/>
                <w:b/>
                <w:bCs/>
                <w:color w:val="495965"/>
                <w:sz w:val="14"/>
                <w:szCs w:val="14"/>
                <w:lang w:val="en-AU" w:eastAsia="en-AU"/>
              </w:rPr>
            </w:pPr>
            <w:r w:rsidRPr="00E57552">
              <w:rPr>
                <w:rFonts w:ascii="Calibri Light" w:eastAsia="Times New Roman" w:hAnsi="Calibri Light" w:cs="Times New Roman"/>
                <w:b/>
                <w:bCs/>
                <w:iCs/>
                <w:color w:val="495965"/>
                <w:sz w:val="14"/>
                <w:szCs w:val="14"/>
                <w:lang w:eastAsia="en-AU"/>
              </w:rPr>
              <w:t>year on year</w:t>
            </w:r>
          </w:p>
        </w:tc>
        <w:tc>
          <w:tcPr>
            <w:tcW w:w="740" w:type="dxa"/>
            <w:tcBorders>
              <w:top w:val="single" w:sz="12" w:space="0" w:color="000000"/>
              <w:left w:val="nil"/>
              <w:bottom w:val="nil"/>
              <w:right w:val="nil"/>
            </w:tcBorders>
            <w:shd w:val="clear" w:color="auto" w:fill="auto"/>
            <w:textDirection w:val="btLr"/>
            <w:vAlign w:val="bottom"/>
            <w:hideMark/>
          </w:tcPr>
          <w:p w14:paraId="7E9EBFF8" w14:textId="77777777" w:rsidR="00031750" w:rsidRPr="00E57552" w:rsidRDefault="00031750" w:rsidP="00031750">
            <w:pPr>
              <w:suppressAutoHyphens w:val="0"/>
              <w:spacing w:before="0" w:after="0" w:line="240" w:lineRule="auto"/>
              <w:rPr>
                <w:rFonts w:ascii="Calibri Light" w:eastAsia="Times New Roman" w:hAnsi="Calibri Light" w:cs="Times New Roman"/>
                <w:b/>
                <w:bCs/>
                <w:color w:val="495965"/>
                <w:sz w:val="14"/>
                <w:szCs w:val="14"/>
                <w:lang w:val="en-AU" w:eastAsia="en-AU"/>
              </w:rPr>
            </w:pPr>
            <w:r w:rsidRPr="00E57552">
              <w:rPr>
                <w:rFonts w:ascii="Calibri Light" w:eastAsia="Times New Roman" w:hAnsi="Calibri Light" w:cs="Times New Roman"/>
                <w:b/>
                <w:bCs/>
                <w:iCs/>
                <w:color w:val="495965"/>
                <w:sz w:val="14"/>
                <w:szCs w:val="14"/>
                <w:lang w:eastAsia="en-AU"/>
              </w:rPr>
              <w:t>Relevance</w:t>
            </w:r>
          </w:p>
        </w:tc>
        <w:tc>
          <w:tcPr>
            <w:tcW w:w="740" w:type="dxa"/>
            <w:tcBorders>
              <w:top w:val="single" w:sz="12" w:space="0" w:color="000000"/>
              <w:left w:val="nil"/>
              <w:bottom w:val="nil"/>
              <w:right w:val="nil"/>
            </w:tcBorders>
            <w:shd w:val="clear" w:color="auto" w:fill="auto"/>
            <w:textDirection w:val="btLr"/>
            <w:vAlign w:val="bottom"/>
            <w:hideMark/>
          </w:tcPr>
          <w:p w14:paraId="2B377F83" w14:textId="77777777" w:rsidR="00031750" w:rsidRPr="00E57552" w:rsidRDefault="00031750" w:rsidP="00031750">
            <w:pPr>
              <w:suppressAutoHyphens w:val="0"/>
              <w:spacing w:before="0" w:after="0" w:line="240" w:lineRule="auto"/>
              <w:rPr>
                <w:rFonts w:ascii="Calibri Light" w:eastAsia="Times New Roman" w:hAnsi="Calibri Light" w:cs="Times New Roman"/>
                <w:b/>
                <w:bCs/>
                <w:color w:val="495965"/>
                <w:sz w:val="14"/>
                <w:szCs w:val="14"/>
                <w:lang w:val="en-AU" w:eastAsia="en-AU"/>
              </w:rPr>
            </w:pPr>
            <w:r w:rsidRPr="00E57552">
              <w:rPr>
                <w:rFonts w:ascii="Calibri Light" w:eastAsia="Times New Roman" w:hAnsi="Calibri Light" w:cs="Times New Roman"/>
                <w:b/>
                <w:bCs/>
                <w:iCs/>
                <w:color w:val="495965"/>
                <w:sz w:val="14"/>
                <w:szCs w:val="14"/>
                <w:lang w:eastAsia="en-AU"/>
              </w:rPr>
              <w:t>Effectiveness</w:t>
            </w:r>
          </w:p>
        </w:tc>
        <w:tc>
          <w:tcPr>
            <w:tcW w:w="740" w:type="dxa"/>
            <w:tcBorders>
              <w:top w:val="single" w:sz="12" w:space="0" w:color="000000"/>
              <w:left w:val="nil"/>
              <w:bottom w:val="nil"/>
              <w:right w:val="nil"/>
            </w:tcBorders>
            <w:shd w:val="clear" w:color="auto" w:fill="auto"/>
            <w:textDirection w:val="btLr"/>
            <w:vAlign w:val="bottom"/>
            <w:hideMark/>
          </w:tcPr>
          <w:p w14:paraId="0B238628" w14:textId="77777777" w:rsidR="00031750" w:rsidRPr="00E57552" w:rsidRDefault="00031750" w:rsidP="00031750">
            <w:pPr>
              <w:suppressAutoHyphens w:val="0"/>
              <w:spacing w:before="0" w:after="0" w:line="240" w:lineRule="auto"/>
              <w:rPr>
                <w:rFonts w:ascii="Calibri Light" w:eastAsia="Times New Roman" w:hAnsi="Calibri Light" w:cs="Times New Roman"/>
                <w:b/>
                <w:bCs/>
                <w:color w:val="495965"/>
                <w:sz w:val="14"/>
                <w:szCs w:val="14"/>
                <w:lang w:val="en-AU" w:eastAsia="en-AU"/>
              </w:rPr>
            </w:pPr>
            <w:r w:rsidRPr="00E57552">
              <w:rPr>
                <w:rFonts w:ascii="Calibri Light" w:eastAsia="Times New Roman" w:hAnsi="Calibri Light" w:cs="Times New Roman"/>
                <w:b/>
                <w:bCs/>
                <w:iCs/>
                <w:color w:val="495965"/>
                <w:sz w:val="14"/>
                <w:szCs w:val="14"/>
                <w:lang w:eastAsia="en-AU"/>
              </w:rPr>
              <w:t>Efficiency</w:t>
            </w:r>
          </w:p>
        </w:tc>
        <w:tc>
          <w:tcPr>
            <w:tcW w:w="740" w:type="dxa"/>
            <w:tcBorders>
              <w:top w:val="single" w:sz="12" w:space="0" w:color="000000"/>
              <w:left w:val="nil"/>
              <w:bottom w:val="nil"/>
              <w:right w:val="nil"/>
            </w:tcBorders>
            <w:shd w:val="clear" w:color="auto" w:fill="auto"/>
            <w:textDirection w:val="btLr"/>
            <w:vAlign w:val="bottom"/>
            <w:hideMark/>
          </w:tcPr>
          <w:p w14:paraId="6CDE5D88" w14:textId="77777777" w:rsidR="00031750" w:rsidRPr="00E57552" w:rsidRDefault="00031750" w:rsidP="00031750">
            <w:pPr>
              <w:suppressAutoHyphens w:val="0"/>
              <w:spacing w:before="0" w:after="0" w:line="240" w:lineRule="auto"/>
              <w:rPr>
                <w:rFonts w:ascii="Calibri Light" w:eastAsia="Times New Roman" w:hAnsi="Calibri Light" w:cs="Times New Roman"/>
                <w:b/>
                <w:bCs/>
                <w:color w:val="495965"/>
                <w:sz w:val="14"/>
                <w:szCs w:val="14"/>
                <w:lang w:val="en-AU" w:eastAsia="en-AU"/>
              </w:rPr>
            </w:pPr>
            <w:r w:rsidRPr="00E57552">
              <w:rPr>
                <w:rFonts w:ascii="Calibri Light" w:eastAsia="Times New Roman" w:hAnsi="Calibri Light" w:cs="Times New Roman"/>
                <w:b/>
                <w:bCs/>
                <w:iCs/>
                <w:color w:val="495965"/>
                <w:sz w:val="14"/>
                <w:szCs w:val="14"/>
                <w:lang w:eastAsia="en-AU"/>
              </w:rPr>
              <w:t>Monitoring and Evaluation</w:t>
            </w:r>
          </w:p>
        </w:tc>
        <w:tc>
          <w:tcPr>
            <w:tcW w:w="740" w:type="dxa"/>
            <w:tcBorders>
              <w:top w:val="single" w:sz="12" w:space="0" w:color="000000"/>
              <w:left w:val="nil"/>
              <w:bottom w:val="nil"/>
              <w:right w:val="nil"/>
            </w:tcBorders>
            <w:shd w:val="clear" w:color="auto" w:fill="auto"/>
            <w:textDirection w:val="btLr"/>
            <w:vAlign w:val="bottom"/>
            <w:hideMark/>
          </w:tcPr>
          <w:p w14:paraId="29B722AB" w14:textId="77777777" w:rsidR="00031750" w:rsidRPr="00E57552" w:rsidRDefault="00031750" w:rsidP="00031750">
            <w:pPr>
              <w:suppressAutoHyphens w:val="0"/>
              <w:spacing w:before="0" w:after="0" w:line="240" w:lineRule="auto"/>
              <w:rPr>
                <w:rFonts w:ascii="Calibri Light" w:eastAsia="Times New Roman" w:hAnsi="Calibri Light" w:cs="Times New Roman"/>
                <w:b/>
                <w:bCs/>
                <w:color w:val="495965"/>
                <w:sz w:val="14"/>
                <w:szCs w:val="14"/>
                <w:lang w:val="en-AU" w:eastAsia="en-AU"/>
              </w:rPr>
            </w:pPr>
            <w:r w:rsidRPr="00E57552">
              <w:rPr>
                <w:rFonts w:ascii="Calibri Light" w:eastAsia="Times New Roman" w:hAnsi="Calibri Light" w:cs="Times New Roman"/>
                <w:b/>
                <w:bCs/>
                <w:iCs/>
                <w:color w:val="495965"/>
                <w:sz w:val="14"/>
                <w:szCs w:val="14"/>
                <w:lang w:eastAsia="en-AU"/>
              </w:rPr>
              <w:t>Sustainability</w:t>
            </w:r>
          </w:p>
        </w:tc>
        <w:tc>
          <w:tcPr>
            <w:tcW w:w="740" w:type="dxa"/>
            <w:tcBorders>
              <w:top w:val="single" w:sz="12" w:space="0" w:color="000000"/>
              <w:left w:val="nil"/>
              <w:bottom w:val="nil"/>
              <w:right w:val="nil"/>
            </w:tcBorders>
            <w:shd w:val="clear" w:color="auto" w:fill="auto"/>
            <w:textDirection w:val="btLr"/>
            <w:vAlign w:val="bottom"/>
            <w:hideMark/>
          </w:tcPr>
          <w:p w14:paraId="71B9C220" w14:textId="77777777" w:rsidR="00031750" w:rsidRPr="00E57552" w:rsidRDefault="00031750" w:rsidP="00031750">
            <w:pPr>
              <w:suppressAutoHyphens w:val="0"/>
              <w:spacing w:before="0" w:after="0" w:line="240" w:lineRule="auto"/>
              <w:rPr>
                <w:rFonts w:ascii="Calibri Light" w:eastAsia="Times New Roman" w:hAnsi="Calibri Light" w:cs="Times New Roman"/>
                <w:b/>
                <w:bCs/>
                <w:color w:val="495965"/>
                <w:sz w:val="14"/>
                <w:szCs w:val="14"/>
                <w:lang w:val="en-AU" w:eastAsia="en-AU"/>
              </w:rPr>
            </w:pPr>
            <w:r w:rsidRPr="00E57552">
              <w:rPr>
                <w:rFonts w:ascii="Calibri Light" w:eastAsia="Times New Roman" w:hAnsi="Calibri Light" w:cs="Times New Roman"/>
                <w:b/>
                <w:bCs/>
                <w:iCs/>
                <w:color w:val="495965"/>
                <w:sz w:val="14"/>
                <w:szCs w:val="14"/>
                <w:lang w:eastAsia="en-AU"/>
              </w:rPr>
              <w:t>Gender equality</w:t>
            </w:r>
          </w:p>
        </w:tc>
        <w:tc>
          <w:tcPr>
            <w:tcW w:w="740" w:type="dxa"/>
            <w:tcBorders>
              <w:top w:val="single" w:sz="12" w:space="0" w:color="000000"/>
              <w:left w:val="nil"/>
              <w:bottom w:val="single" w:sz="4" w:space="0" w:color="auto"/>
              <w:right w:val="nil"/>
            </w:tcBorders>
            <w:shd w:val="clear" w:color="auto" w:fill="auto"/>
            <w:textDirection w:val="btLr"/>
            <w:vAlign w:val="bottom"/>
            <w:hideMark/>
          </w:tcPr>
          <w:p w14:paraId="7E5934D1" w14:textId="77777777" w:rsidR="00031750" w:rsidRPr="00E57552" w:rsidRDefault="00031750" w:rsidP="00031750">
            <w:pPr>
              <w:suppressAutoHyphens w:val="0"/>
              <w:spacing w:before="0" w:after="0" w:line="240" w:lineRule="auto"/>
              <w:rPr>
                <w:rFonts w:ascii="Calibri Light" w:eastAsia="Times New Roman" w:hAnsi="Calibri Light" w:cs="Times New Roman"/>
                <w:b/>
                <w:bCs/>
                <w:color w:val="495965"/>
                <w:sz w:val="14"/>
                <w:szCs w:val="14"/>
                <w:lang w:val="en-AU" w:eastAsia="en-AU"/>
              </w:rPr>
            </w:pPr>
            <w:r w:rsidRPr="00E57552">
              <w:rPr>
                <w:rFonts w:ascii="Calibri Light" w:eastAsia="Times New Roman" w:hAnsi="Calibri Light" w:cs="Times New Roman"/>
                <w:b/>
                <w:bCs/>
                <w:iCs/>
                <w:color w:val="495965"/>
                <w:sz w:val="14"/>
                <w:szCs w:val="14"/>
                <w:lang w:eastAsia="en-AU"/>
              </w:rPr>
              <w:t>Risks  and Safeguards *</w:t>
            </w:r>
          </w:p>
        </w:tc>
      </w:tr>
      <w:tr w:rsidR="00031750" w:rsidRPr="00E57552" w14:paraId="088EA18F" w14:textId="77777777" w:rsidTr="00D93884">
        <w:trPr>
          <w:trHeight w:val="360"/>
        </w:trPr>
        <w:tc>
          <w:tcPr>
            <w:tcW w:w="2900" w:type="dxa"/>
            <w:tcBorders>
              <w:top w:val="single" w:sz="8" w:space="0" w:color="auto"/>
              <w:left w:val="nil"/>
              <w:bottom w:val="nil"/>
              <w:right w:val="nil"/>
            </w:tcBorders>
            <w:shd w:val="clear" w:color="auto" w:fill="auto"/>
            <w:vAlign w:val="center"/>
            <w:hideMark/>
          </w:tcPr>
          <w:p w14:paraId="6735FF38" w14:textId="74FF0288" w:rsidR="00031750" w:rsidRPr="00E57552" w:rsidRDefault="00031750" w:rsidP="00031750">
            <w:pPr>
              <w:suppressAutoHyphens w:val="0"/>
              <w:spacing w:before="0" w:after="0" w:line="240" w:lineRule="auto"/>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ASEAN-Australia Development Cooperation Program Phase II</w:t>
            </w:r>
          </w:p>
        </w:tc>
        <w:tc>
          <w:tcPr>
            <w:tcW w:w="960" w:type="dxa"/>
            <w:tcBorders>
              <w:top w:val="single" w:sz="8" w:space="0" w:color="auto"/>
              <w:left w:val="nil"/>
              <w:bottom w:val="nil"/>
              <w:right w:val="nil"/>
            </w:tcBorders>
            <w:shd w:val="clear" w:color="auto" w:fill="auto"/>
            <w:vAlign w:val="center"/>
            <w:hideMark/>
          </w:tcPr>
          <w:p w14:paraId="1D8CFA96"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000000"/>
                <w:sz w:val="14"/>
                <w:szCs w:val="14"/>
                <w:lang w:val="en-AU" w:eastAsia="en-AU"/>
              </w:rPr>
            </w:pPr>
            <w:r w:rsidRPr="00E57552">
              <w:rPr>
                <w:rFonts w:ascii="Calibri Light" w:eastAsia="Times New Roman" w:hAnsi="Calibri Light" w:cs="Times New Roman"/>
                <w:color w:val="000000"/>
                <w:sz w:val="14"/>
                <w:szCs w:val="14"/>
                <w:lang w:eastAsia="en-AU"/>
              </w:rPr>
              <w:t>$</w:t>
            </w:r>
            <w:r>
              <w:rPr>
                <w:rFonts w:ascii="Calibri Light" w:eastAsia="Times New Roman" w:hAnsi="Calibri Light" w:cs="Times New Roman"/>
                <w:color w:val="000000"/>
                <w:sz w:val="14"/>
                <w:szCs w:val="14"/>
                <w:lang w:eastAsia="en-AU"/>
              </w:rPr>
              <w:t>62.4</w:t>
            </w:r>
            <w:r w:rsidRPr="00E57552">
              <w:rPr>
                <w:rFonts w:ascii="Calibri Light" w:eastAsia="Times New Roman" w:hAnsi="Calibri Light" w:cs="Times New Roman"/>
                <w:color w:val="000000"/>
                <w:sz w:val="14"/>
                <w:szCs w:val="14"/>
                <w:lang w:eastAsia="en-AU"/>
              </w:rPr>
              <w:t xml:space="preserve">m </w:t>
            </w:r>
          </w:p>
        </w:tc>
        <w:tc>
          <w:tcPr>
            <w:tcW w:w="960" w:type="dxa"/>
            <w:tcBorders>
              <w:top w:val="single" w:sz="8" w:space="0" w:color="auto"/>
              <w:left w:val="nil"/>
              <w:bottom w:val="nil"/>
              <w:right w:val="nil"/>
            </w:tcBorders>
            <w:shd w:val="clear" w:color="auto" w:fill="auto"/>
            <w:vAlign w:val="center"/>
            <w:hideMark/>
          </w:tcPr>
          <w:p w14:paraId="44760DE8" w14:textId="7961DF55" w:rsidR="00031750" w:rsidRPr="00E57552" w:rsidRDefault="00031750" w:rsidP="00031750">
            <w:pPr>
              <w:suppressAutoHyphens w:val="0"/>
              <w:spacing w:before="0" w:after="0" w:line="240" w:lineRule="auto"/>
              <w:jc w:val="center"/>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w:t>
            </w:r>
            <w:r w:rsidR="00E41DA1">
              <w:rPr>
                <w:rFonts w:ascii="Calibri Light" w:eastAsia="Times New Roman" w:hAnsi="Calibri Light" w:cs="Times New Roman"/>
                <w:iCs/>
                <w:color w:val="495965"/>
                <w:sz w:val="14"/>
                <w:szCs w:val="14"/>
                <w:lang w:eastAsia="en-AU"/>
              </w:rPr>
              <w:t>9</w:t>
            </w:r>
            <w:r w:rsidRPr="00E57552">
              <w:rPr>
                <w:rFonts w:ascii="Calibri Light" w:eastAsia="Times New Roman" w:hAnsi="Calibri Light" w:cs="Times New Roman"/>
                <w:iCs/>
                <w:color w:val="495965"/>
                <w:sz w:val="14"/>
                <w:szCs w:val="14"/>
                <w:lang w:eastAsia="en-AU"/>
              </w:rPr>
              <w:t xml:space="preserve"> AQC</w:t>
            </w:r>
          </w:p>
        </w:tc>
        <w:tc>
          <w:tcPr>
            <w:tcW w:w="740" w:type="dxa"/>
            <w:tcBorders>
              <w:top w:val="single" w:sz="8" w:space="0" w:color="auto"/>
              <w:left w:val="nil"/>
              <w:bottom w:val="nil"/>
              <w:right w:val="nil"/>
            </w:tcBorders>
            <w:shd w:val="clear" w:color="auto" w:fill="FFFFFF" w:themeFill="background1"/>
            <w:noWrap/>
            <w:vAlign w:val="center"/>
          </w:tcPr>
          <w:p w14:paraId="000046B7" w14:textId="3DBF3443" w:rsidR="00031750" w:rsidRPr="00E57552" w:rsidRDefault="00C61BA8"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N/A</w:t>
            </w:r>
          </w:p>
        </w:tc>
        <w:tc>
          <w:tcPr>
            <w:tcW w:w="740" w:type="dxa"/>
            <w:tcBorders>
              <w:top w:val="single" w:sz="8" w:space="0" w:color="auto"/>
              <w:left w:val="nil"/>
              <w:bottom w:val="nil"/>
              <w:right w:val="nil"/>
            </w:tcBorders>
            <w:shd w:val="clear" w:color="auto" w:fill="FFFF00"/>
            <w:noWrap/>
            <w:vAlign w:val="center"/>
          </w:tcPr>
          <w:p w14:paraId="25A58E42" w14:textId="2D84C11E" w:rsidR="00031750" w:rsidRPr="00E57552" w:rsidRDefault="00BD7DF6"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color w:val="495965"/>
                <w:sz w:val="14"/>
                <w:szCs w:val="14"/>
                <w:lang w:val="en-AU" w:eastAsia="en-AU"/>
              </w:rPr>
              <w:t>4</w:t>
            </w:r>
          </w:p>
        </w:tc>
        <w:tc>
          <w:tcPr>
            <w:tcW w:w="740" w:type="dxa"/>
            <w:tcBorders>
              <w:top w:val="single" w:sz="8" w:space="0" w:color="auto"/>
              <w:left w:val="nil"/>
              <w:bottom w:val="nil"/>
              <w:right w:val="nil"/>
            </w:tcBorders>
            <w:shd w:val="clear" w:color="auto" w:fill="FFFF00"/>
            <w:noWrap/>
            <w:vAlign w:val="center"/>
          </w:tcPr>
          <w:p w14:paraId="5B4F4129" w14:textId="58F1724A" w:rsidR="00031750" w:rsidRPr="00E57552" w:rsidRDefault="00BD7DF6"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color w:val="495965"/>
                <w:sz w:val="14"/>
                <w:szCs w:val="14"/>
                <w:lang w:val="en-AU" w:eastAsia="en-AU"/>
              </w:rPr>
              <w:t>4</w:t>
            </w:r>
          </w:p>
        </w:tc>
        <w:tc>
          <w:tcPr>
            <w:tcW w:w="740" w:type="dxa"/>
            <w:tcBorders>
              <w:top w:val="single" w:sz="8" w:space="0" w:color="auto"/>
              <w:left w:val="nil"/>
              <w:bottom w:val="nil"/>
              <w:right w:val="nil"/>
            </w:tcBorders>
            <w:shd w:val="clear" w:color="auto" w:fill="FFFFFF" w:themeFill="background1"/>
            <w:noWrap/>
            <w:vAlign w:val="center"/>
          </w:tcPr>
          <w:p w14:paraId="0A839897" w14:textId="7C007567" w:rsidR="00031750" w:rsidRPr="00E57552" w:rsidRDefault="00C61BA8"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color w:val="495965"/>
                <w:sz w:val="14"/>
                <w:szCs w:val="14"/>
                <w:lang w:val="en-AU" w:eastAsia="en-AU"/>
              </w:rPr>
              <w:t>N/A</w:t>
            </w:r>
          </w:p>
        </w:tc>
        <w:tc>
          <w:tcPr>
            <w:tcW w:w="740" w:type="dxa"/>
            <w:tcBorders>
              <w:top w:val="single" w:sz="8" w:space="0" w:color="auto"/>
              <w:left w:val="nil"/>
              <w:bottom w:val="nil"/>
              <w:right w:val="nil"/>
            </w:tcBorders>
            <w:shd w:val="clear" w:color="auto" w:fill="FFFFFF" w:themeFill="background1"/>
            <w:noWrap/>
            <w:vAlign w:val="center"/>
          </w:tcPr>
          <w:p w14:paraId="75819266" w14:textId="085B26B2" w:rsidR="00031750" w:rsidRPr="00E57552" w:rsidRDefault="00C61BA8"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color w:val="495965"/>
                <w:sz w:val="14"/>
                <w:szCs w:val="14"/>
                <w:lang w:val="en-AU" w:eastAsia="en-AU"/>
              </w:rPr>
              <w:t>N/A</w:t>
            </w:r>
          </w:p>
        </w:tc>
        <w:tc>
          <w:tcPr>
            <w:tcW w:w="740" w:type="dxa"/>
            <w:tcBorders>
              <w:top w:val="single" w:sz="8" w:space="0" w:color="auto"/>
              <w:left w:val="nil"/>
              <w:bottom w:val="nil"/>
              <w:right w:val="nil"/>
            </w:tcBorders>
            <w:shd w:val="clear" w:color="auto" w:fill="FFC000"/>
            <w:noWrap/>
            <w:vAlign w:val="center"/>
          </w:tcPr>
          <w:p w14:paraId="06DA4014" w14:textId="41BA6B48" w:rsidR="00031750" w:rsidRPr="007C32ED" w:rsidRDefault="00BD7DF6" w:rsidP="00031750">
            <w:pPr>
              <w:suppressAutoHyphens w:val="0"/>
              <w:spacing w:before="0" w:after="0" w:line="240" w:lineRule="auto"/>
              <w:jc w:val="right"/>
              <w:rPr>
                <w:rFonts w:ascii="Calibri Light" w:eastAsia="Times New Roman" w:hAnsi="Calibri Light" w:cs="Times New Roman"/>
                <w:iCs/>
                <w:color w:val="495965"/>
                <w:sz w:val="14"/>
                <w:szCs w:val="14"/>
                <w:lang w:eastAsia="en-AU"/>
              </w:rPr>
            </w:pPr>
            <w:r>
              <w:rPr>
                <w:rFonts w:ascii="Calibri Light" w:eastAsia="Times New Roman" w:hAnsi="Calibri Light" w:cs="Times New Roman"/>
                <w:iCs/>
                <w:color w:val="495965"/>
                <w:sz w:val="14"/>
                <w:szCs w:val="14"/>
                <w:lang w:eastAsia="en-AU"/>
              </w:rPr>
              <w:t>3</w:t>
            </w:r>
          </w:p>
        </w:tc>
        <w:tc>
          <w:tcPr>
            <w:tcW w:w="740" w:type="dxa"/>
            <w:tcBorders>
              <w:top w:val="single" w:sz="4" w:space="0" w:color="auto"/>
              <w:left w:val="nil"/>
              <w:right w:val="nil"/>
            </w:tcBorders>
            <w:shd w:val="clear" w:color="auto" w:fill="auto"/>
            <w:vAlign w:val="center"/>
            <w:hideMark/>
          </w:tcPr>
          <w:p w14:paraId="7DD8FDD4"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color w:val="495965"/>
                <w:sz w:val="14"/>
                <w:szCs w:val="14"/>
                <w:lang w:val="en-AU" w:eastAsia="en-AU"/>
              </w:rPr>
              <w:t>Y</w:t>
            </w:r>
          </w:p>
        </w:tc>
      </w:tr>
      <w:tr w:rsidR="005E0855" w:rsidRPr="00E57552" w14:paraId="68781B93" w14:textId="77777777" w:rsidTr="003E13E2">
        <w:trPr>
          <w:trHeight w:val="315"/>
        </w:trPr>
        <w:tc>
          <w:tcPr>
            <w:tcW w:w="2900" w:type="dxa"/>
            <w:tcBorders>
              <w:top w:val="nil"/>
              <w:left w:val="nil"/>
              <w:bottom w:val="single" w:sz="8" w:space="0" w:color="auto"/>
              <w:right w:val="nil"/>
            </w:tcBorders>
            <w:shd w:val="clear" w:color="auto" w:fill="auto"/>
            <w:vAlign w:val="center"/>
            <w:hideMark/>
          </w:tcPr>
          <w:p w14:paraId="62D8A205" w14:textId="77777777" w:rsidR="005E0855" w:rsidRPr="00E57552" w:rsidRDefault="005E0855" w:rsidP="005E0855">
            <w:pPr>
              <w:suppressAutoHyphens w:val="0"/>
              <w:spacing w:before="0" w:after="0" w:line="240" w:lineRule="auto"/>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color w:val="495965"/>
                <w:sz w:val="14"/>
                <w:szCs w:val="14"/>
                <w:lang w:val="en-AU" w:eastAsia="en-AU"/>
              </w:rPr>
              <w:t> </w:t>
            </w:r>
          </w:p>
        </w:tc>
        <w:tc>
          <w:tcPr>
            <w:tcW w:w="960" w:type="dxa"/>
            <w:tcBorders>
              <w:top w:val="nil"/>
              <w:left w:val="nil"/>
              <w:bottom w:val="single" w:sz="8" w:space="0" w:color="auto"/>
              <w:right w:val="nil"/>
            </w:tcBorders>
            <w:shd w:val="clear" w:color="auto" w:fill="auto"/>
            <w:vAlign w:val="center"/>
            <w:hideMark/>
          </w:tcPr>
          <w:p w14:paraId="2BCC8710" w14:textId="77777777"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2007</w:t>
            </w:r>
            <w:r w:rsidRPr="00E57552">
              <w:rPr>
                <w:rFonts w:ascii="Calibri Light" w:eastAsia="Times New Roman" w:hAnsi="Calibri Light" w:cs="Times New Roman"/>
                <w:iCs/>
                <w:color w:val="495965"/>
                <w:sz w:val="14"/>
                <w:szCs w:val="14"/>
                <w:lang w:eastAsia="en-AU"/>
              </w:rPr>
              <w:t>-2019</w:t>
            </w:r>
          </w:p>
        </w:tc>
        <w:tc>
          <w:tcPr>
            <w:tcW w:w="960" w:type="dxa"/>
            <w:tcBorders>
              <w:top w:val="nil"/>
              <w:left w:val="nil"/>
              <w:bottom w:val="single" w:sz="8" w:space="0" w:color="auto"/>
              <w:right w:val="nil"/>
            </w:tcBorders>
            <w:shd w:val="clear" w:color="auto" w:fill="auto"/>
            <w:vAlign w:val="center"/>
            <w:hideMark/>
          </w:tcPr>
          <w:p w14:paraId="60664435" w14:textId="3460497B" w:rsidR="005E0855" w:rsidRPr="00E57552" w:rsidRDefault="005E0855" w:rsidP="005E0855">
            <w:pPr>
              <w:suppressAutoHyphens w:val="0"/>
              <w:spacing w:before="0" w:after="0" w:line="240" w:lineRule="auto"/>
              <w:jc w:val="center"/>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w:t>
            </w:r>
            <w:r>
              <w:rPr>
                <w:rFonts w:ascii="Calibri Light" w:eastAsia="Times New Roman" w:hAnsi="Calibri Light" w:cs="Times New Roman"/>
                <w:iCs/>
                <w:color w:val="495965"/>
                <w:sz w:val="14"/>
                <w:szCs w:val="14"/>
                <w:lang w:eastAsia="en-AU"/>
              </w:rPr>
              <w:t>8</w:t>
            </w:r>
            <w:r w:rsidRPr="00E57552">
              <w:rPr>
                <w:rFonts w:ascii="Calibri Light" w:eastAsia="Times New Roman" w:hAnsi="Calibri Light" w:cs="Times New Roman"/>
                <w:iCs/>
                <w:color w:val="495965"/>
                <w:sz w:val="14"/>
                <w:szCs w:val="14"/>
                <w:lang w:eastAsia="en-AU"/>
              </w:rPr>
              <w:t xml:space="preserve"> AQC</w:t>
            </w:r>
          </w:p>
        </w:tc>
        <w:tc>
          <w:tcPr>
            <w:tcW w:w="740" w:type="dxa"/>
            <w:tcBorders>
              <w:top w:val="nil"/>
              <w:left w:val="nil"/>
              <w:bottom w:val="single" w:sz="8" w:space="0" w:color="auto"/>
              <w:right w:val="nil"/>
            </w:tcBorders>
            <w:shd w:val="clear" w:color="000000" w:fill="92D050"/>
            <w:noWrap/>
            <w:vAlign w:val="center"/>
          </w:tcPr>
          <w:p w14:paraId="4E538576" w14:textId="1678BC68"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6</w:t>
            </w:r>
          </w:p>
        </w:tc>
        <w:tc>
          <w:tcPr>
            <w:tcW w:w="740" w:type="dxa"/>
            <w:tcBorders>
              <w:top w:val="nil"/>
              <w:left w:val="nil"/>
              <w:bottom w:val="single" w:sz="8" w:space="0" w:color="auto"/>
              <w:right w:val="nil"/>
            </w:tcBorders>
            <w:shd w:val="clear" w:color="auto" w:fill="92D050"/>
            <w:noWrap/>
            <w:vAlign w:val="center"/>
          </w:tcPr>
          <w:p w14:paraId="7533E265" w14:textId="30E09C9A"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single" w:sz="8" w:space="0" w:color="auto"/>
              <w:right w:val="nil"/>
            </w:tcBorders>
            <w:shd w:val="clear" w:color="000000" w:fill="92D050"/>
            <w:noWrap/>
            <w:vAlign w:val="center"/>
          </w:tcPr>
          <w:p w14:paraId="6281376C" w14:textId="33E49858"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6</w:t>
            </w:r>
          </w:p>
        </w:tc>
        <w:tc>
          <w:tcPr>
            <w:tcW w:w="740" w:type="dxa"/>
            <w:tcBorders>
              <w:top w:val="nil"/>
              <w:left w:val="nil"/>
              <w:bottom w:val="single" w:sz="8" w:space="0" w:color="auto"/>
              <w:right w:val="nil"/>
            </w:tcBorders>
            <w:shd w:val="clear" w:color="000000" w:fill="FFFF00"/>
            <w:noWrap/>
            <w:vAlign w:val="center"/>
          </w:tcPr>
          <w:p w14:paraId="12381875" w14:textId="63B53033"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nil"/>
              <w:left w:val="nil"/>
              <w:bottom w:val="single" w:sz="8" w:space="0" w:color="auto"/>
              <w:right w:val="nil"/>
            </w:tcBorders>
            <w:shd w:val="clear" w:color="000000" w:fill="92D050"/>
            <w:noWrap/>
            <w:vAlign w:val="center"/>
          </w:tcPr>
          <w:p w14:paraId="0D0EFB67" w14:textId="3906F243"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single" w:sz="8" w:space="0" w:color="auto"/>
              <w:right w:val="nil"/>
            </w:tcBorders>
            <w:shd w:val="clear" w:color="auto" w:fill="FFFF00"/>
            <w:noWrap/>
            <w:vAlign w:val="center"/>
          </w:tcPr>
          <w:p w14:paraId="12CF490E" w14:textId="5A88D718"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left w:val="nil"/>
              <w:bottom w:val="single" w:sz="8" w:space="0" w:color="auto"/>
              <w:right w:val="nil"/>
            </w:tcBorders>
            <w:shd w:val="clear" w:color="auto" w:fill="auto"/>
            <w:vAlign w:val="center"/>
          </w:tcPr>
          <w:p w14:paraId="35325F20" w14:textId="6A45F2D8"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color w:val="495965"/>
                <w:sz w:val="14"/>
                <w:szCs w:val="14"/>
                <w:lang w:val="en-AU" w:eastAsia="en-AU"/>
              </w:rPr>
              <w:t>Y</w:t>
            </w:r>
          </w:p>
        </w:tc>
      </w:tr>
      <w:tr w:rsidR="005E0855" w:rsidRPr="00E57552" w14:paraId="24472F23" w14:textId="77777777" w:rsidTr="00182F31">
        <w:trPr>
          <w:trHeight w:val="360"/>
        </w:trPr>
        <w:tc>
          <w:tcPr>
            <w:tcW w:w="2900" w:type="dxa"/>
            <w:tcBorders>
              <w:top w:val="nil"/>
              <w:left w:val="nil"/>
              <w:bottom w:val="nil"/>
              <w:right w:val="nil"/>
            </w:tcBorders>
            <w:shd w:val="clear" w:color="auto" w:fill="auto"/>
            <w:vAlign w:val="center"/>
            <w:hideMark/>
          </w:tcPr>
          <w:p w14:paraId="62C6C525" w14:textId="77777777" w:rsidR="005E0855" w:rsidRPr="00E57552" w:rsidRDefault="005E0855" w:rsidP="005E0855">
            <w:pPr>
              <w:suppressAutoHyphens w:val="0"/>
              <w:spacing w:before="0" w:after="0" w:line="240" w:lineRule="auto"/>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AANZFTA Economic Cooperation Support Program</w:t>
            </w:r>
          </w:p>
        </w:tc>
        <w:tc>
          <w:tcPr>
            <w:tcW w:w="960" w:type="dxa"/>
            <w:tcBorders>
              <w:top w:val="nil"/>
              <w:left w:val="nil"/>
              <w:bottom w:val="nil"/>
              <w:right w:val="nil"/>
            </w:tcBorders>
            <w:shd w:val="clear" w:color="auto" w:fill="auto"/>
            <w:vAlign w:val="center"/>
            <w:hideMark/>
          </w:tcPr>
          <w:p w14:paraId="7E86081C" w14:textId="77777777" w:rsidR="005E0855" w:rsidRPr="00E57552" w:rsidRDefault="005E0855" w:rsidP="005E0855">
            <w:pPr>
              <w:suppressAutoHyphens w:val="0"/>
              <w:spacing w:before="0" w:after="0" w:line="240" w:lineRule="auto"/>
              <w:jc w:val="right"/>
              <w:rPr>
                <w:rFonts w:ascii="Calibri Light" w:eastAsia="Times New Roman" w:hAnsi="Calibri Light" w:cs="Times New Roman"/>
                <w:color w:val="000000"/>
                <w:sz w:val="14"/>
                <w:szCs w:val="14"/>
                <w:lang w:val="en-AU" w:eastAsia="en-AU"/>
              </w:rPr>
            </w:pPr>
            <w:r w:rsidRPr="00E57552">
              <w:rPr>
                <w:rFonts w:ascii="Calibri Light" w:eastAsia="Times New Roman" w:hAnsi="Calibri Light" w:cs="Times New Roman"/>
                <w:color w:val="000000"/>
                <w:sz w:val="14"/>
                <w:szCs w:val="14"/>
                <w:lang w:eastAsia="en-AU"/>
              </w:rPr>
              <w:t xml:space="preserve">$32.7m </w:t>
            </w:r>
          </w:p>
        </w:tc>
        <w:tc>
          <w:tcPr>
            <w:tcW w:w="960" w:type="dxa"/>
            <w:tcBorders>
              <w:top w:val="nil"/>
              <w:left w:val="nil"/>
              <w:bottom w:val="nil"/>
              <w:right w:val="nil"/>
            </w:tcBorders>
            <w:shd w:val="clear" w:color="auto" w:fill="auto"/>
            <w:vAlign w:val="center"/>
            <w:hideMark/>
          </w:tcPr>
          <w:p w14:paraId="76F21B0C" w14:textId="7037DEAD" w:rsidR="005E0855" w:rsidRPr="00E57552" w:rsidRDefault="005E0855" w:rsidP="005E0855">
            <w:pPr>
              <w:suppressAutoHyphens w:val="0"/>
              <w:spacing w:before="0" w:after="0" w:line="240" w:lineRule="auto"/>
              <w:jc w:val="center"/>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w:t>
            </w:r>
            <w:r>
              <w:rPr>
                <w:rFonts w:ascii="Calibri Light" w:eastAsia="Times New Roman" w:hAnsi="Calibri Light" w:cs="Times New Roman"/>
                <w:iCs/>
                <w:color w:val="495965"/>
                <w:sz w:val="14"/>
                <w:szCs w:val="14"/>
                <w:lang w:eastAsia="en-AU"/>
              </w:rPr>
              <w:t>9</w:t>
            </w:r>
            <w:r w:rsidRPr="00E57552">
              <w:rPr>
                <w:rFonts w:ascii="Calibri Light" w:eastAsia="Times New Roman" w:hAnsi="Calibri Light" w:cs="Times New Roman"/>
                <w:iCs/>
                <w:color w:val="495965"/>
                <w:sz w:val="14"/>
                <w:szCs w:val="14"/>
                <w:lang w:eastAsia="en-AU"/>
              </w:rPr>
              <w:t xml:space="preserve"> AQC</w:t>
            </w:r>
          </w:p>
        </w:tc>
        <w:tc>
          <w:tcPr>
            <w:tcW w:w="740" w:type="dxa"/>
            <w:tcBorders>
              <w:top w:val="nil"/>
              <w:left w:val="nil"/>
              <w:bottom w:val="nil"/>
              <w:right w:val="nil"/>
            </w:tcBorders>
            <w:shd w:val="clear" w:color="auto" w:fill="FFFFFF" w:themeFill="background1"/>
            <w:noWrap/>
            <w:vAlign w:val="center"/>
          </w:tcPr>
          <w:p w14:paraId="41048562" w14:textId="07DC0E62" w:rsidR="005E0855" w:rsidRPr="00E57552" w:rsidRDefault="001F23DE"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N/A</w:t>
            </w:r>
          </w:p>
        </w:tc>
        <w:tc>
          <w:tcPr>
            <w:tcW w:w="740" w:type="dxa"/>
            <w:tcBorders>
              <w:top w:val="nil"/>
              <w:left w:val="nil"/>
              <w:bottom w:val="nil"/>
              <w:right w:val="nil"/>
            </w:tcBorders>
            <w:shd w:val="clear" w:color="auto" w:fill="FFFF00"/>
            <w:noWrap/>
            <w:vAlign w:val="center"/>
          </w:tcPr>
          <w:p w14:paraId="657DDB56" w14:textId="1686212A" w:rsidR="005E0855" w:rsidRPr="00E57552" w:rsidRDefault="00A704C8"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color w:val="495965"/>
                <w:sz w:val="14"/>
                <w:szCs w:val="14"/>
                <w:lang w:val="en-AU" w:eastAsia="en-AU"/>
              </w:rPr>
              <w:t>4</w:t>
            </w:r>
          </w:p>
        </w:tc>
        <w:tc>
          <w:tcPr>
            <w:tcW w:w="740" w:type="dxa"/>
            <w:tcBorders>
              <w:top w:val="nil"/>
              <w:left w:val="nil"/>
              <w:bottom w:val="nil"/>
              <w:right w:val="nil"/>
            </w:tcBorders>
            <w:shd w:val="clear" w:color="auto" w:fill="FFC000"/>
            <w:noWrap/>
            <w:vAlign w:val="center"/>
          </w:tcPr>
          <w:p w14:paraId="2854712C" w14:textId="32B3106A" w:rsidR="005E0855" w:rsidRPr="00E57552" w:rsidRDefault="00A704C8"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color w:val="495965"/>
                <w:sz w:val="14"/>
                <w:szCs w:val="14"/>
                <w:lang w:val="en-AU" w:eastAsia="en-AU"/>
              </w:rPr>
              <w:t>3</w:t>
            </w:r>
          </w:p>
        </w:tc>
        <w:tc>
          <w:tcPr>
            <w:tcW w:w="740" w:type="dxa"/>
            <w:tcBorders>
              <w:top w:val="nil"/>
              <w:left w:val="nil"/>
              <w:bottom w:val="nil"/>
              <w:right w:val="nil"/>
            </w:tcBorders>
            <w:shd w:val="clear" w:color="auto" w:fill="FFFFFF" w:themeFill="background1"/>
            <w:noWrap/>
            <w:vAlign w:val="center"/>
          </w:tcPr>
          <w:p w14:paraId="4A867349" w14:textId="1F72A5FE" w:rsidR="005E0855" w:rsidRPr="00E57552" w:rsidRDefault="001F23DE"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color w:val="495965"/>
                <w:sz w:val="14"/>
                <w:szCs w:val="14"/>
                <w:lang w:val="en-AU" w:eastAsia="en-AU"/>
              </w:rPr>
              <w:t>N/A</w:t>
            </w:r>
          </w:p>
        </w:tc>
        <w:tc>
          <w:tcPr>
            <w:tcW w:w="740" w:type="dxa"/>
            <w:tcBorders>
              <w:top w:val="nil"/>
              <w:left w:val="nil"/>
              <w:bottom w:val="nil"/>
              <w:right w:val="nil"/>
            </w:tcBorders>
            <w:shd w:val="clear" w:color="auto" w:fill="FFFFFF" w:themeFill="background1"/>
            <w:noWrap/>
            <w:vAlign w:val="center"/>
          </w:tcPr>
          <w:p w14:paraId="23018A3E" w14:textId="2867FFC1" w:rsidR="005E0855" w:rsidRPr="00E57552" w:rsidRDefault="001F23DE"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color w:val="495965"/>
                <w:sz w:val="14"/>
                <w:szCs w:val="14"/>
                <w:lang w:val="en-AU" w:eastAsia="en-AU"/>
              </w:rPr>
              <w:t>N/A</w:t>
            </w:r>
          </w:p>
        </w:tc>
        <w:tc>
          <w:tcPr>
            <w:tcW w:w="740" w:type="dxa"/>
            <w:tcBorders>
              <w:top w:val="nil"/>
              <w:left w:val="nil"/>
              <w:bottom w:val="nil"/>
              <w:right w:val="nil"/>
            </w:tcBorders>
            <w:shd w:val="clear" w:color="auto" w:fill="FFC000"/>
            <w:noWrap/>
            <w:vAlign w:val="center"/>
          </w:tcPr>
          <w:p w14:paraId="0D213462" w14:textId="1A898947" w:rsidR="005E0855" w:rsidRPr="00E57552" w:rsidRDefault="00A704C8"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color w:val="495965"/>
                <w:sz w:val="14"/>
                <w:szCs w:val="14"/>
                <w:lang w:val="en-AU" w:eastAsia="en-AU"/>
              </w:rPr>
              <w:t>3</w:t>
            </w:r>
          </w:p>
        </w:tc>
        <w:tc>
          <w:tcPr>
            <w:tcW w:w="740" w:type="dxa"/>
            <w:tcBorders>
              <w:top w:val="nil"/>
              <w:left w:val="nil"/>
              <w:bottom w:val="nil"/>
              <w:right w:val="nil"/>
            </w:tcBorders>
            <w:shd w:val="clear" w:color="auto" w:fill="auto"/>
            <w:vAlign w:val="center"/>
            <w:hideMark/>
          </w:tcPr>
          <w:p w14:paraId="4DE34E7F" w14:textId="77777777"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color w:val="495965"/>
                <w:sz w:val="14"/>
                <w:szCs w:val="14"/>
                <w:lang w:val="en-AU" w:eastAsia="en-AU"/>
              </w:rPr>
              <w:t>Y</w:t>
            </w:r>
          </w:p>
        </w:tc>
      </w:tr>
      <w:tr w:rsidR="005E0855" w:rsidRPr="00E57552" w14:paraId="4D20DD0C" w14:textId="77777777" w:rsidTr="00286B1C">
        <w:trPr>
          <w:trHeight w:val="315"/>
        </w:trPr>
        <w:tc>
          <w:tcPr>
            <w:tcW w:w="2900" w:type="dxa"/>
            <w:tcBorders>
              <w:top w:val="nil"/>
              <w:left w:val="nil"/>
              <w:bottom w:val="single" w:sz="8" w:space="0" w:color="auto"/>
              <w:right w:val="nil"/>
            </w:tcBorders>
            <w:shd w:val="clear" w:color="auto" w:fill="auto"/>
            <w:vAlign w:val="center"/>
            <w:hideMark/>
          </w:tcPr>
          <w:p w14:paraId="59E812C0" w14:textId="77777777" w:rsidR="005E0855" w:rsidRPr="00E57552" w:rsidRDefault="005E0855" w:rsidP="005E0855">
            <w:pPr>
              <w:suppressAutoHyphens w:val="0"/>
              <w:spacing w:before="0" w:after="0" w:line="240" w:lineRule="auto"/>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color w:val="495965"/>
                <w:sz w:val="14"/>
                <w:szCs w:val="14"/>
                <w:lang w:val="en-AU" w:eastAsia="en-AU"/>
              </w:rPr>
              <w:t> </w:t>
            </w:r>
          </w:p>
        </w:tc>
        <w:tc>
          <w:tcPr>
            <w:tcW w:w="960" w:type="dxa"/>
            <w:tcBorders>
              <w:top w:val="nil"/>
              <w:left w:val="nil"/>
              <w:bottom w:val="nil"/>
              <w:right w:val="nil"/>
            </w:tcBorders>
            <w:shd w:val="clear" w:color="auto" w:fill="auto"/>
            <w:vAlign w:val="center"/>
            <w:hideMark/>
          </w:tcPr>
          <w:p w14:paraId="37244311" w14:textId="77777777"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w:t>
            </w:r>
            <w:r>
              <w:rPr>
                <w:rFonts w:ascii="Calibri Light" w:eastAsia="Times New Roman" w:hAnsi="Calibri Light" w:cs="Times New Roman"/>
                <w:iCs/>
                <w:color w:val="495965"/>
                <w:sz w:val="14"/>
                <w:szCs w:val="14"/>
                <w:lang w:eastAsia="en-AU"/>
              </w:rPr>
              <w:t>08</w:t>
            </w:r>
            <w:r w:rsidRPr="00E57552">
              <w:rPr>
                <w:rFonts w:ascii="Calibri Light" w:eastAsia="Times New Roman" w:hAnsi="Calibri Light" w:cs="Times New Roman"/>
                <w:iCs/>
                <w:color w:val="495965"/>
                <w:sz w:val="14"/>
                <w:szCs w:val="14"/>
                <w:lang w:eastAsia="en-AU"/>
              </w:rPr>
              <w:t xml:space="preserve">-2019 </w:t>
            </w:r>
          </w:p>
        </w:tc>
        <w:tc>
          <w:tcPr>
            <w:tcW w:w="960" w:type="dxa"/>
            <w:tcBorders>
              <w:top w:val="nil"/>
              <w:left w:val="nil"/>
              <w:bottom w:val="nil"/>
              <w:right w:val="nil"/>
            </w:tcBorders>
            <w:shd w:val="clear" w:color="auto" w:fill="auto"/>
            <w:vAlign w:val="center"/>
            <w:hideMark/>
          </w:tcPr>
          <w:p w14:paraId="052DAB8F" w14:textId="3C242B78" w:rsidR="005E0855" w:rsidRPr="00E57552" w:rsidRDefault="005E0855" w:rsidP="005E0855">
            <w:pPr>
              <w:suppressAutoHyphens w:val="0"/>
              <w:spacing w:before="0" w:after="0" w:line="240" w:lineRule="auto"/>
              <w:jc w:val="center"/>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w:t>
            </w:r>
            <w:r>
              <w:rPr>
                <w:rFonts w:ascii="Calibri Light" w:eastAsia="Times New Roman" w:hAnsi="Calibri Light" w:cs="Times New Roman"/>
                <w:iCs/>
                <w:color w:val="495965"/>
                <w:sz w:val="14"/>
                <w:szCs w:val="14"/>
                <w:lang w:eastAsia="en-AU"/>
              </w:rPr>
              <w:t>8</w:t>
            </w:r>
            <w:r w:rsidRPr="00E57552">
              <w:rPr>
                <w:rFonts w:ascii="Calibri Light" w:eastAsia="Times New Roman" w:hAnsi="Calibri Light" w:cs="Times New Roman"/>
                <w:iCs/>
                <w:color w:val="495965"/>
                <w:sz w:val="14"/>
                <w:szCs w:val="14"/>
                <w:lang w:eastAsia="en-AU"/>
              </w:rPr>
              <w:t xml:space="preserve"> AQC</w:t>
            </w:r>
          </w:p>
        </w:tc>
        <w:tc>
          <w:tcPr>
            <w:tcW w:w="740" w:type="dxa"/>
            <w:tcBorders>
              <w:top w:val="nil"/>
              <w:left w:val="nil"/>
              <w:bottom w:val="nil"/>
              <w:right w:val="nil"/>
            </w:tcBorders>
            <w:shd w:val="clear" w:color="000000" w:fill="92D050"/>
            <w:noWrap/>
            <w:vAlign w:val="center"/>
          </w:tcPr>
          <w:p w14:paraId="441B5242" w14:textId="4085EE77"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6</w:t>
            </w:r>
          </w:p>
        </w:tc>
        <w:tc>
          <w:tcPr>
            <w:tcW w:w="740" w:type="dxa"/>
            <w:tcBorders>
              <w:top w:val="nil"/>
              <w:left w:val="nil"/>
              <w:bottom w:val="nil"/>
              <w:right w:val="nil"/>
            </w:tcBorders>
            <w:shd w:val="clear" w:color="000000" w:fill="92D050"/>
            <w:noWrap/>
            <w:vAlign w:val="center"/>
          </w:tcPr>
          <w:p w14:paraId="672F887D" w14:textId="6D1A218C"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nil"/>
              <w:right w:val="nil"/>
            </w:tcBorders>
            <w:shd w:val="clear" w:color="auto" w:fill="FFFF00"/>
            <w:noWrap/>
            <w:vAlign w:val="center"/>
          </w:tcPr>
          <w:p w14:paraId="25940D70" w14:textId="1E85DB4B"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4</w:t>
            </w:r>
          </w:p>
        </w:tc>
        <w:tc>
          <w:tcPr>
            <w:tcW w:w="740" w:type="dxa"/>
            <w:tcBorders>
              <w:top w:val="nil"/>
              <w:left w:val="nil"/>
              <w:bottom w:val="nil"/>
              <w:right w:val="nil"/>
            </w:tcBorders>
            <w:shd w:val="clear" w:color="000000" w:fill="FFFF00"/>
            <w:noWrap/>
            <w:vAlign w:val="center"/>
          </w:tcPr>
          <w:p w14:paraId="3BD435FD" w14:textId="103A8139"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nil"/>
              <w:left w:val="nil"/>
              <w:bottom w:val="nil"/>
              <w:right w:val="nil"/>
            </w:tcBorders>
            <w:shd w:val="clear" w:color="000000" w:fill="92D050"/>
            <w:noWrap/>
            <w:vAlign w:val="center"/>
          </w:tcPr>
          <w:p w14:paraId="5727FC82" w14:textId="2F7C2B4B"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nil"/>
              <w:right w:val="nil"/>
            </w:tcBorders>
            <w:shd w:val="clear" w:color="auto" w:fill="FFFF00"/>
            <w:noWrap/>
            <w:vAlign w:val="center"/>
            <w:hideMark/>
          </w:tcPr>
          <w:p w14:paraId="340ED9A6" w14:textId="4995AFF1"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nil"/>
              <w:left w:val="nil"/>
              <w:bottom w:val="nil"/>
              <w:right w:val="nil"/>
            </w:tcBorders>
            <w:shd w:val="clear" w:color="auto" w:fill="auto"/>
            <w:vAlign w:val="center"/>
            <w:hideMark/>
          </w:tcPr>
          <w:p w14:paraId="38C087A7" w14:textId="46D81261"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color w:val="495965"/>
                <w:sz w:val="14"/>
                <w:szCs w:val="14"/>
                <w:lang w:val="en-AU" w:eastAsia="en-AU"/>
              </w:rPr>
              <w:t>Y</w:t>
            </w:r>
          </w:p>
        </w:tc>
      </w:tr>
      <w:tr w:rsidR="005E0855" w:rsidRPr="00E57552" w14:paraId="7B2B26F7" w14:textId="77777777" w:rsidTr="00C20A90">
        <w:trPr>
          <w:trHeight w:val="300"/>
        </w:trPr>
        <w:tc>
          <w:tcPr>
            <w:tcW w:w="2900" w:type="dxa"/>
            <w:tcBorders>
              <w:top w:val="nil"/>
              <w:left w:val="nil"/>
              <w:bottom w:val="nil"/>
              <w:right w:val="nil"/>
            </w:tcBorders>
            <w:shd w:val="clear" w:color="auto" w:fill="auto"/>
            <w:vAlign w:val="center"/>
            <w:hideMark/>
          </w:tcPr>
          <w:p w14:paraId="1CE7F5E1" w14:textId="77777777" w:rsidR="005E0855" w:rsidRPr="00E57552" w:rsidRDefault="005E0855" w:rsidP="005E0855">
            <w:pPr>
              <w:suppressAutoHyphens w:val="0"/>
              <w:spacing w:before="0" w:after="0" w:line="240" w:lineRule="auto"/>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Mekong Business Initiative</w:t>
            </w:r>
          </w:p>
        </w:tc>
        <w:tc>
          <w:tcPr>
            <w:tcW w:w="960" w:type="dxa"/>
            <w:tcBorders>
              <w:top w:val="nil"/>
              <w:left w:val="nil"/>
              <w:bottom w:val="nil"/>
              <w:right w:val="nil"/>
            </w:tcBorders>
            <w:shd w:val="clear" w:color="auto" w:fill="auto"/>
            <w:vAlign w:val="center"/>
            <w:hideMark/>
          </w:tcPr>
          <w:p w14:paraId="09D081B9" w14:textId="77777777" w:rsidR="005E0855" w:rsidRPr="00E57552" w:rsidRDefault="005E0855" w:rsidP="005E0855">
            <w:pPr>
              <w:suppressAutoHyphens w:val="0"/>
              <w:spacing w:before="0" w:after="0" w:line="240" w:lineRule="auto"/>
              <w:jc w:val="right"/>
              <w:rPr>
                <w:rFonts w:ascii="Calibri Light" w:eastAsia="Times New Roman" w:hAnsi="Calibri Light" w:cs="Times New Roman"/>
                <w:color w:val="000000"/>
                <w:sz w:val="14"/>
                <w:szCs w:val="14"/>
                <w:lang w:val="en-AU" w:eastAsia="en-AU"/>
              </w:rPr>
            </w:pPr>
            <w:r w:rsidRPr="00E57552">
              <w:rPr>
                <w:rFonts w:ascii="Calibri Light" w:eastAsia="Times New Roman" w:hAnsi="Calibri Light" w:cs="Times New Roman"/>
                <w:color w:val="000000"/>
                <w:sz w:val="14"/>
                <w:szCs w:val="14"/>
                <w:lang w:eastAsia="en-AU"/>
              </w:rPr>
              <w:t>$13.</w:t>
            </w:r>
            <w:r>
              <w:rPr>
                <w:rFonts w:ascii="Calibri Light" w:eastAsia="Times New Roman" w:hAnsi="Calibri Light" w:cs="Times New Roman"/>
                <w:color w:val="000000"/>
                <w:sz w:val="14"/>
                <w:szCs w:val="14"/>
                <w:lang w:eastAsia="en-AU"/>
              </w:rPr>
              <w:t>3</w:t>
            </w:r>
            <w:r w:rsidRPr="00E57552">
              <w:rPr>
                <w:rFonts w:ascii="Calibri Light" w:eastAsia="Times New Roman" w:hAnsi="Calibri Light" w:cs="Times New Roman"/>
                <w:color w:val="000000"/>
                <w:sz w:val="14"/>
                <w:szCs w:val="14"/>
                <w:lang w:eastAsia="en-AU"/>
              </w:rPr>
              <w:t xml:space="preserve">m </w:t>
            </w:r>
          </w:p>
        </w:tc>
        <w:tc>
          <w:tcPr>
            <w:tcW w:w="960" w:type="dxa"/>
            <w:tcBorders>
              <w:top w:val="nil"/>
              <w:left w:val="nil"/>
              <w:bottom w:val="nil"/>
              <w:right w:val="nil"/>
            </w:tcBorders>
            <w:shd w:val="clear" w:color="auto" w:fill="auto"/>
            <w:vAlign w:val="center"/>
            <w:hideMark/>
          </w:tcPr>
          <w:p w14:paraId="1F0D468A" w14:textId="1EE08665" w:rsidR="005E0855" w:rsidRPr="00E57552" w:rsidRDefault="005E0855" w:rsidP="005E0855">
            <w:pPr>
              <w:suppressAutoHyphens w:val="0"/>
              <w:spacing w:before="0" w:after="0" w:line="240" w:lineRule="auto"/>
              <w:jc w:val="center"/>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w:t>
            </w:r>
            <w:r>
              <w:rPr>
                <w:rFonts w:ascii="Calibri Light" w:eastAsia="Times New Roman" w:hAnsi="Calibri Light" w:cs="Times New Roman"/>
                <w:iCs/>
                <w:color w:val="495965"/>
                <w:sz w:val="14"/>
                <w:szCs w:val="14"/>
                <w:lang w:eastAsia="en-AU"/>
              </w:rPr>
              <w:t>9</w:t>
            </w:r>
            <w:r w:rsidRPr="00E57552">
              <w:rPr>
                <w:rFonts w:ascii="Calibri Light" w:eastAsia="Times New Roman" w:hAnsi="Calibri Light" w:cs="Times New Roman"/>
                <w:iCs/>
                <w:color w:val="495965"/>
                <w:sz w:val="14"/>
                <w:szCs w:val="14"/>
                <w:lang w:eastAsia="en-AU"/>
              </w:rPr>
              <w:t xml:space="preserve"> AQC</w:t>
            </w:r>
          </w:p>
        </w:tc>
        <w:tc>
          <w:tcPr>
            <w:tcW w:w="740" w:type="dxa"/>
            <w:tcBorders>
              <w:top w:val="nil"/>
              <w:left w:val="nil"/>
              <w:bottom w:val="nil"/>
              <w:right w:val="nil"/>
            </w:tcBorders>
            <w:shd w:val="clear" w:color="auto" w:fill="FFFFFF" w:themeFill="background1"/>
            <w:noWrap/>
            <w:vAlign w:val="center"/>
          </w:tcPr>
          <w:p w14:paraId="5B57D5AD" w14:textId="5D487E52"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N/A</w:t>
            </w:r>
          </w:p>
        </w:tc>
        <w:tc>
          <w:tcPr>
            <w:tcW w:w="740" w:type="dxa"/>
            <w:tcBorders>
              <w:top w:val="nil"/>
              <w:left w:val="nil"/>
              <w:bottom w:val="nil"/>
              <w:right w:val="nil"/>
            </w:tcBorders>
            <w:shd w:val="clear" w:color="auto" w:fill="92D050"/>
            <w:noWrap/>
            <w:vAlign w:val="center"/>
          </w:tcPr>
          <w:p w14:paraId="53AD3ADE" w14:textId="280776C2"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color w:val="495965"/>
                <w:sz w:val="14"/>
                <w:szCs w:val="14"/>
                <w:lang w:val="en-AU" w:eastAsia="en-AU"/>
              </w:rPr>
              <w:t>5</w:t>
            </w:r>
          </w:p>
        </w:tc>
        <w:tc>
          <w:tcPr>
            <w:tcW w:w="740" w:type="dxa"/>
            <w:tcBorders>
              <w:top w:val="nil"/>
              <w:left w:val="nil"/>
              <w:bottom w:val="nil"/>
              <w:right w:val="nil"/>
            </w:tcBorders>
            <w:shd w:val="clear" w:color="000000" w:fill="92D050"/>
            <w:noWrap/>
            <w:vAlign w:val="center"/>
          </w:tcPr>
          <w:p w14:paraId="37B83B81" w14:textId="4163CB4A"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color w:val="495965"/>
                <w:sz w:val="14"/>
                <w:szCs w:val="14"/>
                <w:lang w:val="en-AU" w:eastAsia="en-AU"/>
              </w:rPr>
              <w:t>5</w:t>
            </w:r>
          </w:p>
        </w:tc>
        <w:tc>
          <w:tcPr>
            <w:tcW w:w="740" w:type="dxa"/>
            <w:tcBorders>
              <w:top w:val="nil"/>
              <w:left w:val="nil"/>
              <w:bottom w:val="nil"/>
              <w:right w:val="nil"/>
            </w:tcBorders>
            <w:shd w:val="clear" w:color="auto" w:fill="FFFFFF" w:themeFill="background1"/>
            <w:noWrap/>
            <w:vAlign w:val="center"/>
          </w:tcPr>
          <w:p w14:paraId="31CF8A13" w14:textId="41230A99"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N/A</w:t>
            </w:r>
          </w:p>
        </w:tc>
        <w:tc>
          <w:tcPr>
            <w:tcW w:w="740" w:type="dxa"/>
            <w:tcBorders>
              <w:top w:val="nil"/>
              <w:left w:val="nil"/>
              <w:bottom w:val="nil"/>
              <w:right w:val="nil"/>
            </w:tcBorders>
            <w:shd w:val="clear" w:color="auto" w:fill="FFFFFF" w:themeFill="background1"/>
            <w:noWrap/>
            <w:vAlign w:val="center"/>
          </w:tcPr>
          <w:p w14:paraId="01F0B5F3" w14:textId="785A5E41"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N/A</w:t>
            </w:r>
          </w:p>
        </w:tc>
        <w:tc>
          <w:tcPr>
            <w:tcW w:w="740" w:type="dxa"/>
            <w:tcBorders>
              <w:top w:val="nil"/>
              <w:left w:val="nil"/>
              <w:bottom w:val="nil"/>
              <w:right w:val="nil"/>
            </w:tcBorders>
            <w:shd w:val="clear" w:color="000000" w:fill="FFFF00"/>
            <w:noWrap/>
            <w:vAlign w:val="center"/>
          </w:tcPr>
          <w:p w14:paraId="0A80E3DA" w14:textId="2C7AB56B"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color w:val="495965"/>
                <w:sz w:val="14"/>
                <w:szCs w:val="14"/>
                <w:lang w:val="en-AU" w:eastAsia="en-AU"/>
              </w:rPr>
              <w:t>4</w:t>
            </w:r>
          </w:p>
        </w:tc>
        <w:tc>
          <w:tcPr>
            <w:tcW w:w="740" w:type="dxa"/>
            <w:tcBorders>
              <w:top w:val="nil"/>
              <w:left w:val="nil"/>
              <w:bottom w:val="nil"/>
              <w:right w:val="nil"/>
            </w:tcBorders>
            <w:shd w:val="clear" w:color="auto" w:fill="auto"/>
            <w:vAlign w:val="center"/>
            <w:hideMark/>
          </w:tcPr>
          <w:p w14:paraId="0DB1DAFF" w14:textId="77777777"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color w:val="495965"/>
                <w:sz w:val="14"/>
                <w:szCs w:val="14"/>
                <w:lang w:val="en-AU" w:eastAsia="en-AU"/>
              </w:rPr>
              <w:t>Y</w:t>
            </w:r>
          </w:p>
        </w:tc>
      </w:tr>
      <w:tr w:rsidR="005E0855" w:rsidRPr="00E57552" w14:paraId="3FB8C5B6" w14:textId="77777777" w:rsidTr="009169DE">
        <w:trPr>
          <w:trHeight w:val="315"/>
        </w:trPr>
        <w:tc>
          <w:tcPr>
            <w:tcW w:w="2900" w:type="dxa"/>
            <w:tcBorders>
              <w:top w:val="nil"/>
              <w:left w:val="nil"/>
              <w:bottom w:val="single" w:sz="8" w:space="0" w:color="auto"/>
              <w:right w:val="nil"/>
            </w:tcBorders>
            <w:shd w:val="clear" w:color="auto" w:fill="auto"/>
            <w:vAlign w:val="center"/>
            <w:hideMark/>
          </w:tcPr>
          <w:p w14:paraId="4182C77B" w14:textId="77777777" w:rsidR="005E0855" w:rsidRPr="00E57552" w:rsidRDefault="005E0855" w:rsidP="005E0855">
            <w:pPr>
              <w:suppressAutoHyphens w:val="0"/>
              <w:spacing w:before="0" w:after="0" w:line="240" w:lineRule="auto"/>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color w:val="495965"/>
                <w:sz w:val="14"/>
                <w:szCs w:val="14"/>
                <w:lang w:val="en-AU" w:eastAsia="en-AU"/>
              </w:rPr>
              <w:t> </w:t>
            </w:r>
          </w:p>
        </w:tc>
        <w:tc>
          <w:tcPr>
            <w:tcW w:w="960" w:type="dxa"/>
            <w:tcBorders>
              <w:top w:val="nil"/>
              <w:left w:val="nil"/>
              <w:bottom w:val="nil"/>
              <w:right w:val="nil"/>
            </w:tcBorders>
            <w:shd w:val="clear" w:color="auto" w:fill="auto"/>
            <w:vAlign w:val="center"/>
            <w:hideMark/>
          </w:tcPr>
          <w:p w14:paraId="512B9193" w14:textId="77777777"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 xml:space="preserve">2013-2018 </w:t>
            </w:r>
          </w:p>
        </w:tc>
        <w:tc>
          <w:tcPr>
            <w:tcW w:w="960" w:type="dxa"/>
            <w:tcBorders>
              <w:top w:val="nil"/>
              <w:left w:val="nil"/>
              <w:bottom w:val="nil"/>
              <w:right w:val="nil"/>
            </w:tcBorders>
            <w:shd w:val="clear" w:color="auto" w:fill="auto"/>
            <w:vAlign w:val="center"/>
            <w:hideMark/>
          </w:tcPr>
          <w:p w14:paraId="0F7C90B8" w14:textId="10B83C78" w:rsidR="005E0855" w:rsidRPr="00E57552" w:rsidRDefault="005E0855" w:rsidP="005E0855">
            <w:pPr>
              <w:suppressAutoHyphens w:val="0"/>
              <w:spacing w:before="0" w:after="0" w:line="240" w:lineRule="auto"/>
              <w:jc w:val="center"/>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w:t>
            </w:r>
            <w:r>
              <w:rPr>
                <w:rFonts w:ascii="Calibri Light" w:eastAsia="Times New Roman" w:hAnsi="Calibri Light" w:cs="Times New Roman"/>
                <w:iCs/>
                <w:color w:val="495965"/>
                <w:sz w:val="14"/>
                <w:szCs w:val="14"/>
                <w:lang w:eastAsia="en-AU"/>
              </w:rPr>
              <w:t>8</w:t>
            </w:r>
            <w:r w:rsidRPr="00E57552">
              <w:rPr>
                <w:rFonts w:ascii="Calibri Light" w:eastAsia="Times New Roman" w:hAnsi="Calibri Light" w:cs="Times New Roman"/>
                <w:iCs/>
                <w:color w:val="495965"/>
                <w:sz w:val="14"/>
                <w:szCs w:val="14"/>
                <w:lang w:eastAsia="en-AU"/>
              </w:rPr>
              <w:t xml:space="preserve"> AQC</w:t>
            </w:r>
          </w:p>
        </w:tc>
        <w:tc>
          <w:tcPr>
            <w:tcW w:w="740" w:type="dxa"/>
            <w:tcBorders>
              <w:top w:val="nil"/>
              <w:left w:val="nil"/>
              <w:bottom w:val="nil"/>
              <w:right w:val="nil"/>
            </w:tcBorders>
            <w:shd w:val="clear" w:color="auto" w:fill="92D050"/>
            <w:noWrap/>
            <w:vAlign w:val="center"/>
          </w:tcPr>
          <w:p w14:paraId="38C88DEE" w14:textId="1CEDCB8E"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6</w:t>
            </w:r>
          </w:p>
        </w:tc>
        <w:tc>
          <w:tcPr>
            <w:tcW w:w="740" w:type="dxa"/>
            <w:tcBorders>
              <w:top w:val="nil"/>
              <w:left w:val="nil"/>
              <w:bottom w:val="nil"/>
              <w:right w:val="nil"/>
            </w:tcBorders>
            <w:shd w:val="clear" w:color="auto" w:fill="92D050"/>
            <w:noWrap/>
            <w:vAlign w:val="center"/>
          </w:tcPr>
          <w:p w14:paraId="00F9A7F3" w14:textId="69A6BCFB"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5</w:t>
            </w:r>
          </w:p>
        </w:tc>
        <w:tc>
          <w:tcPr>
            <w:tcW w:w="740" w:type="dxa"/>
            <w:tcBorders>
              <w:top w:val="nil"/>
              <w:left w:val="nil"/>
              <w:bottom w:val="nil"/>
              <w:right w:val="nil"/>
            </w:tcBorders>
            <w:shd w:val="clear" w:color="auto" w:fill="92D050"/>
            <w:noWrap/>
            <w:vAlign w:val="center"/>
          </w:tcPr>
          <w:p w14:paraId="04ACC982" w14:textId="3CACE471"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6</w:t>
            </w:r>
          </w:p>
        </w:tc>
        <w:tc>
          <w:tcPr>
            <w:tcW w:w="740" w:type="dxa"/>
            <w:tcBorders>
              <w:top w:val="nil"/>
              <w:left w:val="nil"/>
              <w:bottom w:val="nil"/>
              <w:right w:val="nil"/>
            </w:tcBorders>
            <w:shd w:val="clear" w:color="000000" w:fill="FFFF00"/>
            <w:noWrap/>
            <w:vAlign w:val="center"/>
          </w:tcPr>
          <w:p w14:paraId="73BB247D" w14:textId="4FC4952C"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nil"/>
              <w:left w:val="nil"/>
              <w:bottom w:val="nil"/>
              <w:right w:val="nil"/>
            </w:tcBorders>
            <w:shd w:val="clear" w:color="auto" w:fill="FFFF00"/>
            <w:noWrap/>
            <w:vAlign w:val="center"/>
          </w:tcPr>
          <w:p w14:paraId="6D73D7CF" w14:textId="439B95D2"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4</w:t>
            </w:r>
          </w:p>
        </w:tc>
        <w:tc>
          <w:tcPr>
            <w:tcW w:w="740" w:type="dxa"/>
            <w:tcBorders>
              <w:top w:val="nil"/>
              <w:left w:val="nil"/>
              <w:bottom w:val="nil"/>
              <w:right w:val="nil"/>
            </w:tcBorders>
            <w:shd w:val="clear" w:color="000000" w:fill="FFFF00"/>
            <w:noWrap/>
            <w:vAlign w:val="center"/>
          </w:tcPr>
          <w:p w14:paraId="102B1FA8" w14:textId="42CF7527"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nil"/>
              <w:left w:val="nil"/>
              <w:bottom w:val="nil"/>
              <w:right w:val="nil"/>
            </w:tcBorders>
            <w:shd w:val="clear" w:color="auto" w:fill="auto"/>
            <w:vAlign w:val="center"/>
            <w:hideMark/>
          </w:tcPr>
          <w:p w14:paraId="616A2275" w14:textId="54A9453A"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color w:val="495965"/>
                <w:sz w:val="14"/>
                <w:szCs w:val="14"/>
                <w:lang w:val="en-AU" w:eastAsia="en-AU"/>
              </w:rPr>
              <w:t>Y</w:t>
            </w:r>
          </w:p>
        </w:tc>
      </w:tr>
      <w:tr w:rsidR="005E0855" w:rsidRPr="00E57552" w14:paraId="3E7AD504" w14:textId="77777777" w:rsidTr="00A820CD">
        <w:trPr>
          <w:trHeight w:val="360"/>
        </w:trPr>
        <w:tc>
          <w:tcPr>
            <w:tcW w:w="2900" w:type="dxa"/>
            <w:tcBorders>
              <w:top w:val="nil"/>
              <w:left w:val="nil"/>
              <w:bottom w:val="nil"/>
              <w:right w:val="nil"/>
            </w:tcBorders>
            <w:shd w:val="clear" w:color="auto" w:fill="auto"/>
            <w:vAlign w:val="center"/>
            <w:hideMark/>
          </w:tcPr>
          <w:p w14:paraId="2E859D7A" w14:textId="24BF3BEE" w:rsidR="005E0855" w:rsidRPr="00E57552" w:rsidRDefault="005E0855" w:rsidP="005E0855">
            <w:pPr>
              <w:suppressAutoHyphens w:val="0"/>
              <w:spacing w:before="0" w:after="0" w:line="240" w:lineRule="auto"/>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Shaping Inclusive Finance Transformations</w:t>
            </w:r>
            <w:r w:rsidR="00D01C8F">
              <w:rPr>
                <w:rFonts w:ascii="Calibri Light" w:eastAsia="Times New Roman" w:hAnsi="Calibri Light" w:cs="Times New Roman"/>
                <w:iCs/>
                <w:color w:val="495965"/>
                <w:sz w:val="14"/>
                <w:szCs w:val="14"/>
                <w:lang w:eastAsia="en-AU"/>
              </w:rPr>
              <w:t xml:space="preserve"> in ASEAN</w:t>
            </w:r>
            <w:r w:rsidRPr="00E57552">
              <w:rPr>
                <w:rFonts w:ascii="Calibri Light" w:eastAsia="Times New Roman" w:hAnsi="Calibri Light" w:cs="Times New Roman"/>
                <w:iCs/>
                <w:color w:val="495965"/>
                <w:sz w:val="14"/>
                <w:szCs w:val="14"/>
                <w:lang w:eastAsia="en-AU"/>
              </w:rPr>
              <w:t xml:space="preserve"> Program </w:t>
            </w:r>
          </w:p>
        </w:tc>
        <w:tc>
          <w:tcPr>
            <w:tcW w:w="960" w:type="dxa"/>
            <w:tcBorders>
              <w:top w:val="single" w:sz="8" w:space="0" w:color="auto"/>
              <w:left w:val="nil"/>
              <w:bottom w:val="nil"/>
              <w:right w:val="nil"/>
            </w:tcBorders>
            <w:shd w:val="clear" w:color="auto" w:fill="auto"/>
            <w:vAlign w:val="center"/>
            <w:hideMark/>
          </w:tcPr>
          <w:p w14:paraId="56F71A4D" w14:textId="77777777" w:rsidR="005E0855" w:rsidRPr="00E57552" w:rsidRDefault="005E0855" w:rsidP="005E0855">
            <w:pPr>
              <w:suppressAutoHyphens w:val="0"/>
              <w:spacing w:before="0" w:after="0" w:line="240" w:lineRule="auto"/>
              <w:jc w:val="right"/>
              <w:rPr>
                <w:rFonts w:ascii="Calibri Light" w:eastAsia="Times New Roman" w:hAnsi="Calibri Light" w:cs="Times New Roman"/>
                <w:color w:val="000000"/>
                <w:sz w:val="14"/>
                <w:szCs w:val="14"/>
                <w:lang w:val="en-AU" w:eastAsia="en-AU"/>
              </w:rPr>
            </w:pPr>
            <w:r w:rsidRPr="00E57552">
              <w:rPr>
                <w:rFonts w:ascii="Calibri Light" w:eastAsia="Times New Roman" w:hAnsi="Calibri Light" w:cs="Times New Roman"/>
                <w:color w:val="000000"/>
                <w:sz w:val="14"/>
                <w:szCs w:val="14"/>
                <w:lang w:eastAsia="en-AU"/>
              </w:rPr>
              <w:t xml:space="preserve">$9.9m </w:t>
            </w:r>
          </w:p>
        </w:tc>
        <w:tc>
          <w:tcPr>
            <w:tcW w:w="960" w:type="dxa"/>
            <w:tcBorders>
              <w:top w:val="single" w:sz="8" w:space="0" w:color="auto"/>
              <w:left w:val="nil"/>
              <w:bottom w:val="nil"/>
              <w:right w:val="nil"/>
            </w:tcBorders>
            <w:shd w:val="clear" w:color="auto" w:fill="auto"/>
            <w:vAlign w:val="center"/>
            <w:hideMark/>
          </w:tcPr>
          <w:p w14:paraId="60B8D2AA" w14:textId="48E7AEE6" w:rsidR="005E0855" w:rsidRPr="00E57552" w:rsidRDefault="005E0855" w:rsidP="005E0855">
            <w:pPr>
              <w:suppressAutoHyphens w:val="0"/>
              <w:spacing w:before="0" w:after="0" w:line="240" w:lineRule="auto"/>
              <w:jc w:val="center"/>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w:t>
            </w:r>
            <w:r>
              <w:rPr>
                <w:rFonts w:ascii="Calibri Light" w:eastAsia="Times New Roman" w:hAnsi="Calibri Light" w:cs="Times New Roman"/>
                <w:iCs/>
                <w:color w:val="495965"/>
                <w:sz w:val="14"/>
                <w:szCs w:val="14"/>
                <w:lang w:eastAsia="en-AU"/>
              </w:rPr>
              <w:t>9</w:t>
            </w:r>
            <w:r w:rsidRPr="00E57552">
              <w:rPr>
                <w:rFonts w:ascii="Calibri Light" w:eastAsia="Times New Roman" w:hAnsi="Calibri Light" w:cs="Times New Roman"/>
                <w:iCs/>
                <w:color w:val="495965"/>
                <w:sz w:val="14"/>
                <w:szCs w:val="14"/>
                <w:lang w:eastAsia="en-AU"/>
              </w:rPr>
              <w:t xml:space="preserve"> AQC</w:t>
            </w:r>
          </w:p>
        </w:tc>
        <w:tc>
          <w:tcPr>
            <w:tcW w:w="740" w:type="dxa"/>
            <w:tcBorders>
              <w:top w:val="single" w:sz="8" w:space="0" w:color="auto"/>
              <w:left w:val="nil"/>
              <w:bottom w:val="nil"/>
              <w:right w:val="nil"/>
            </w:tcBorders>
            <w:shd w:val="clear" w:color="auto" w:fill="FFFFFF" w:themeFill="background1"/>
            <w:noWrap/>
            <w:vAlign w:val="center"/>
          </w:tcPr>
          <w:p w14:paraId="2D76A3AB" w14:textId="1EEA1558"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N/A</w:t>
            </w:r>
          </w:p>
        </w:tc>
        <w:tc>
          <w:tcPr>
            <w:tcW w:w="740" w:type="dxa"/>
            <w:tcBorders>
              <w:top w:val="single" w:sz="8" w:space="0" w:color="auto"/>
              <w:left w:val="nil"/>
              <w:bottom w:val="nil"/>
              <w:right w:val="nil"/>
            </w:tcBorders>
            <w:shd w:val="clear" w:color="auto" w:fill="92D050"/>
            <w:noWrap/>
            <w:vAlign w:val="center"/>
          </w:tcPr>
          <w:p w14:paraId="3B719DC7" w14:textId="5E530A27"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color w:val="495965"/>
                <w:sz w:val="14"/>
                <w:szCs w:val="14"/>
                <w:lang w:val="en-AU" w:eastAsia="en-AU"/>
              </w:rPr>
              <w:t>5</w:t>
            </w:r>
          </w:p>
        </w:tc>
        <w:tc>
          <w:tcPr>
            <w:tcW w:w="740" w:type="dxa"/>
            <w:tcBorders>
              <w:top w:val="single" w:sz="8" w:space="0" w:color="auto"/>
              <w:left w:val="nil"/>
              <w:bottom w:val="nil"/>
              <w:right w:val="nil"/>
            </w:tcBorders>
            <w:shd w:val="clear" w:color="000000" w:fill="FFFF00"/>
            <w:noWrap/>
            <w:vAlign w:val="center"/>
          </w:tcPr>
          <w:p w14:paraId="10BEC026" w14:textId="32B95C2D"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color w:val="495965"/>
                <w:sz w:val="14"/>
                <w:szCs w:val="14"/>
                <w:lang w:val="en-AU" w:eastAsia="en-AU"/>
              </w:rPr>
              <w:t>4</w:t>
            </w:r>
          </w:p>
        </w:tc>
        <w:tc>
          <w:tcPr>
            <w:tcW w:w="740" w:type="dxa"/>
            <w:tcBorders>
              <w:top w:val="single" w:sz="8" w:space="0" w:color="auto"/>
              <w:left w:val="nil"/>
              <w:bottom w:val="nil"/>
              <w:right w:val="nil"/>
            </w:tcBorders>
            <w:shd w:val="clear" w:color="auto" w:fill="FFFFFF" w:themeFill="background1"/>
            <w:noWrap/>
            <w:vAlign w:val="center"/>
          </w:tcPr>
          <w:p w14:paraId="00DE3804" w14:textId="15419831"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N/A</w:t>
            </w:r>
          </w:p>
        </w:tc>
        <w:tc>
          <w:tcPr>
            <w:tcW w:w="740" w:type="dxa"/>
            <w:tcBorders>
              <w:top w:val="single" w:sz="8" w:space="0" w:color="auto"/>
              <w:left w:val="nil"/>
              <w:bottom w:val="nil"/>
              <w:right w:val="nil"/>
            </w:tcBorders>
            <w:shd w:val="clear" w:color="auto" w:fill="FFFFFF" w:themeFill="background1"/>
            <w:noWrap/>
            <w:vAlign w:val="center"/>
          </w:tcPr>
          <w:p w14:paraId="6817AC7F" w14:textId="10784903"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N/A</w:t>
            </w:r>
          </w:p>
        </w:tc>
        <w:tc>
          <w:tcPr>
            <w:tcW w:w="740" w:type="dxa"/>
            <w:tcBorders>
              <w:top w:val="single" w:sz="8" w:space="0" w:color="auto"/>
              <w:left w:val="nil"/>
              <w:bottom w:val="nil"/>
              <w:right w:val="nil"/>
            </w:tcBorders>
            <w:shd w:val="clear" w:color="000000" w:fill="92D050"/>
            <w:noWrap/>
            <w:vAlign w:val="center"/>
          </w:tcPr>
          <w:p w14:paraId="6F416312" w14:textId="0C11F44E"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color w:val="495965"/>
                <w:sz w:val="14"/>
                <w:szCs w:val="14"/>
                <w:lang w:val="en-AU" w:eastAsia="en-AU"/>
              </w:rPr>
              <w:t>5</w:t>
            </w:r>
          </w:p>
        </w:tc>
        <w:tc>
          <w:tcPr>
            <w:tcW w:w="740" w:type="dxa"/>
            <w:tcBorders>
              <w:top w:val="single" w:sz="8" w:space="0" w:color="auto"/>
              <w:left w:val="nil"/>
              <w:bottom w:val="nil"/>
              <w:right w:val="nil"/>
            </w:tcBorders>
            <w:shd w:val="clear" w:color="auto" w:fill="auto"/>
            <w:vAlign w:val="center"/>
            <w:hideMark/>
          </w:tcPr>
          <w:p w14:paraId="3A82942A" w14:textId="77777777"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 </w:t>
            </w:r>
            <w:r>
              <w:rPr>
                <w:rFonts w:ascii="Calibri Light" w:eastAsia="Times New Roman" w:hAnsi="Calibri Light" w:cs="Times New Roman"/>
                <w:iCs/>
                <w:color w:val="495965"/>
                <w:sz w:val="14"/>
                <w:szCs w:val="14"/>
                <w:lang w:eastAsia="en-AU"/>
              </w:rPr>
              <w:t>Y</w:t>
            </w:r>
          </w:p>
        </w:tc>
      </w:tr>
      <w:tr w:rsidR="005E0855" w:rsidRPr="00E57552" w14:paraId="51BE285E" w14:textId="77777777" w:rsidTr="00A820CD">
        <w:trPr>
          <w:trHeight w:val="315"/>
        </w:trPr>
        <w:tc>
          <w:tcPr>
            <w:tcW w:w="2900" w:type="dxa"/>
            <w:tcBorders>
              <w:top w:val="nil"/>
              <w:left w:val="nil"/>
              <w:bottom w:val="single" w:sz="8" w:space="0" w:color="auto"/>
              <w:right w:val="nil"/>
            </w:tcBorders>
            <w:shd w:val="clear" w:color="auto" w:fill="auto"/>
            <w:vAlign w:val="center"/>
            <w:hideMark/>
          </w:tcPr>
          <w:p w14:paraId="094AD86B" w14:textId="77777777" w:rsidR="005E0855" w:rsidRPr="00E57552" w:rsidRDefault="005E0855" w:rsidP="005E0855">
            <w:pPr>
              <w:suppressAutoHyphens w:val="0"/>
              <w:spacing w:before="0" w:after="0" w:line="240" w:lineRule="auto"/>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color w:val="495965"/>
                <w:sz w:val="14"/>
                <w:szCs w:val="14"/>
                <w:lang w:val="en-AU" w:eastAsia="en-AU"/>
              </w:rPr>
              <w:t> </w:t>
            </w:r>
          </w:p>
        </w:tc>
        <w:tc>
          <w:tcPr>
            <w:tcW w:w="960" w:type="dxa"/>
            <w:tcBorders>
              <w:top w:val="nil"/>
              <w:left w:val="nil"/>
              <w:bottom w:val="single" w:sz="8" w:space="0" w:color="auto"/>
              <w:right w:val="nil"/>
            </w:tcBorders>
            <w:shd w:val="clear" w:color="auto" w:fill="auto"/>
            <w:vAlign w:val="center"/>
            <w:hideMark/>
          </w:tcPr>
          <w:p w14:paraId="175D2BCF" w14:textId="04DB1F55"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2014-20</w:t>
            </w:r>
            <w:r w:rsidR="00D01C8F">
              <w:rPr>
                <w:rFonts w:ascii="Calibri Light" w:eastAsia="Times New Roman" w:hAnsi="Calibri Light" w:cs="Times New Roman"/>
                <w:iCs/>
                <w:color w:val="495965"/>
                <w:sz w:val="14"/>
                <w:szCs w:val="14"/>
                <w:lang w:eastAsia="en-AU"/>
              </w:rPr>
              <w:t>20</w:t>
            </w:r>
            <w:r w:rsidRPr="00E57552">
              <w:rPr>
                <w:rFonts w:ascii="Calibri Light" w:eastAsia="Times New Roman" w:hAnsi="Calibri Light" w:cs="Times New Roman"/>
                <w:iCs/>
                <w:color w:val="495965"/>
                <w:sz w:val="14"/>
                <w:szCs w:val="14"/>
                <w:lang w:eastAsia="en-AU"/>
              </w:rPr>
              <w:t xml:space="preserve"> </w:t>
            </w:r>
          </w:p>
        </w:tc>
        <w:tc>
          <w:tcPr>
            <w:tcW w:w="960" w:type="dxa"/>
            <w:tcBorders>
              <w:top w:val="nil"/>
              <w:left w:val="nil"/>
              <w:bottom w:val="single" w:sz="8" w:space="0" w:color="auto"/>
              <w:right w:val="nil"/>
            </w:tcBorders>
            <w:shd w:val="clear" w:color="auto" w:fill="auto"/>
            <w:vAlign w:val="center"/>
            <w:hideMark/>
          </w:tcPr>
          <w:p w14:paraId="6C665ABF" w14:textId="1E8A4A07" w:rsidR="005E0855" w:rsidRPr="00E57552" w:rsidRDefault="005E0855" w:rsidP="005E0855">
            <w:pPr>
              <w:suppressAutoHyphens w:val="0"/>
              <w:spacing w:before="0" w:after="0" w:line="240" w:lineRule="auto"/>
              <w:jc w:val="center"/>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w:t>
            </w:r>
            <w:r>
              <w:rPr>
                <w:rFonts w:ascii="Calibri Light" w:eastAsia="Times New Roman" w:hAnsi="Calibri Light" w:cs="Times New Roman"/>
                <w:iCs/>
                <w:color w:val="495965"/>
                <w:sz w:val="14"/>
                <w:szCs w:val="14"/>
                <w:lang w:eastAsia="en-AU"/>
              </w:rPr>
              <w:t>8</w:t>
            </w:r>
            <w:r w:rsidRPr="00E57552">
              <w:rPr>
                <w:rFonts w:ascii="Calibri Light" w:eastAsia="Times New Roman" w:hAnsi="Calibri Light" w:cs="Times New Roman"/>
                <w:iCs/>
                <w:color w:val="495965"/>
                <w:sz w:val="14"/>
                <w:szCs w:val="14"/>
                <w:lang w:eastAsia="en-AU"/>
              </w:rPr>
              <w:t xml:space="preserve"> AQC</w:t>
            </w:r>
          </w:p>
        </w:tc>
        <w:tc>
          <w:tcPr>
            <w:tcW w:w="740" w:type="dxa"/>
            <w:tcBorders>
              <w:top w:val="nil"/>
              <w:left w:val="nil"/>
              <w:bottom w:val="single" w:sz="8" w:space="0" w:color="auto"/>
              <w:right w:val="nil"/>
            </w:tcBorders>
            <w:shd w:val="clear" w:color="000000" w:fill="92D050"/>
            <w:noWrap/>
            <w:vAlign w:val="center"/>
          </w:tcPr>
          <w:p w14:paraId="2DB43438" w14:textId="6E5BCEAF"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single" w:sz="8" w:space="0" w:color="auto"/>
              <w:right w:val="nil"/>
            </w:tcBorders>
            <w:shd w:val="clear" w:color="auto" w:fill="92D050"/>
            <w:noWrap/>
            <w:vAlign w:val="center"/>
          </w:tcPr>
          <w:p w14:paraId="7544124C" w14:textId="53151193"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5</w:t>
            </w:r>
          </w:p>
        </w:tc>
        <w:tc>
          <w:tcPr>
            <w:tcW w:w="740" w:type="dxa"/>
            <w:tcBorders>
              <w:top w:val="nil"/>
              <w:left w:val="nil"/>
              <w:bottom w:val="single" w:sz="8" w:space="0" w:color="auto"/>
              <w:right w:val="nil"/>
            </w:tcBorders>
            <w:shd w:val="clear" w:color="000000" w:fill="FFFF00"/>
            <w:noWrap/>
            <w:vAlign w:val="center"/>
          </w:tcPr>
          <w:p w14:paraId="4F7ED22A" w14:textId="6A5013EF"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nil"/>
              <w:left w:val="nil"/>
              <w:bottom w:val="single" w:sz="8" w:space="0" w:color="auto"/>
              <w:right w:val="nil"/>
            </w:tcBorders>
            <w:shd w:val="clear" w:color="auto" w:fill="92D050"/>
            <w:noWrap/>
            <w:vAlign w:val="center"/>
          </w:tcPr>
          <w:p w14:paraId="4F51661B" w14:textId="1D19A85E"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single" w:sz="8" w:space="0" w:color="auto"/>
              <w:right w:val="nil"/>
            </w:tcBorders>
            <w:shd w:val="clear" w:color="000000" w:fill="FFFF00"/>
            <w:noWrap/>
            <w:vAlign w:val="center"/>
          </w:tcPr>
          <w:p w14:paraId="00C6F347" w14:textId="7C5CF13E"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nil"/>
              <w:left w:val="nil"/>
              <w:bottom w:val="single" w:sz="8" w:space="0" w:color="auto"/>
              <w:right w:val="nil"/>
            </w:tcBorders>
            <w:shd w:val="clear" w:color="auto" w:fill="92D050"/>
            <w:noWrap/>
            <w:vAlign w:val="center"/>
          </w:tcPr>
          <w:p w14:paraId="6B6F999F" w14:textId="149FC239"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single" w:sz="8" w:space="0" w:color="auto"/>
              <w:right w:val="nil"/>
            </w:tcBorders>
            <w:shd w:val="clear" w:color="auto" w:fill="auto"/>
            <w:vAlign w:val="center"/>
            <w:hideMark/>
          </w:tcPr>
          <w:p w14:paraId="336556C2" w14:textId="090E9507"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color w:val="495965"/>
                <w:sz w:val="14"/>
                <w:szCs w:val="14"/>
                <w:lang w:val="en-AU" w:eastAsia="en-AU"/>
              </w:rPr>
              <w:t>Y</w:t>
            </w:r>
          </w:p>
        </w:tc>
      </w:tr>
      <w:tr w:rsidR="005E0855" w:rsidRPr="00E57552" w14:paraId="4E4721E2" w14:textId="77777777" w:rsidTr="00547DA1">
        <w:trPr>
          <w:trHeight w:val="360"/>
        </w:trPr>
        <w:tc>
          <w:tcPr>
            <w:tcW w:w="2900" w:type="dxa"/>
            <w:tcBorders>
              <w:top w:val="nil"/>
              <w:left w:val="nil"/>
              <w:bottom w:val="nil"/>
              <w:right w:val="nil"/>
            </w:tcBorders>
            <w:shd w:val="clear" w:color="auto" w:fill="auto"/>
            <w:vAlign w:val="center"/>
            <w:hideMark/>
          </w:tcPr>
          <w:p w14:paraId="071F7A77" w14:textId="77777777" w:rsidR="005E0855" w:rsidRPr="00E57552" w:rsidRDefault="005E0855" w:rsidP="005E0855">
            <w:pPr>
              <w:suppressAutoHyphens w:val="0"/>
              <w:spacing w:before="0" w:after="0" w:line="240" w:lineRule="auto"/>
              <w:rPr>
                <w:rFonts w:ascii="Calibri Light" w:eastAsia="Times New Roman" w:hAnsi="Calibri Light" w:cs="Times New Roman"/>
                <w:color w:val="495965"/>
                <w:sz w:val="14"/>
                <w:szCs w:val="14"/>
                <w:lang w:val="en-AU" w:eastAsia="en-AU"/>
              </w:rPr>
            </w:pPr>
            <w:r w:rsidRPr="00B00A02">
              <w:rPr>
                <w:rFonts w:ascii="Calibri Light" w:eastAsia="Times New Roman" w:hAnsi="Calibri Light" w:cs="Times New Roman"/>
                <w:iCs/>
                <w:color w:val="495965"/>
                <w:sz w:val="14"/>
                <w:szCs w:val="14"/>
                <w:lang w:eastAsia="en-AU"/>
              </w:rPr>
              <w:t>Oxfam-Civil Society Engagement in Water Governance</w:t>
            </w:r>
          </w:p>
        </w:tc>
        <w:tc>
          <w:tcPr>
            <w:tcW w:w="960" w:type="dxa"/>
            <w:tcBorders>
              <w:top w:val="nil"/>
              <w:left w:val="nil"/>
              <w:bottom w:val="nil"/>
              <w:right w:val="nil"/>
            </w:tcBorders>
            <w:shd w:val="clear" w:color="auto" w:fill="auto"/>
            <w:vAlign w:val="center"/>
            <w:hideMark/>
          </w:tcPr>
          <w:p w14:paraId="5DA9D250" w14:textId="77777777" w:rsidR="005E0855" w:rsidRPr="00E57552" w:rsidRDefault="005E0855" w:rsidP="005E0855">
            <w:pPr>
              <w:suppressAutoHyphens w:val="0"/>
              <w:spacing w:before="0" w:after="0" w:line="240" w:lineRule="auto"/>
              <w:jc w:val="right"/>
              <w:rPr>
                <w:rFonts w:ascii="Calibri Light" w:eastAsia="Times New Roman" w:hAnsi="Calibri Light" w:cs="Times New Roman"/>
                <w:color w:val="000000"/>
                <w:sz w:val="14"/>
                <w:szCs w:val="14"/>
                <w:lang w:val="en-AU" w:eastAsia="en-AU"/>
              </w:rPr>
            </w:pPr>
            <w:r>
              <w:rPr>
                <w:rFonts w:ascii="Calibri Light" w:eastAsia="Times New Roman" w:hAnsi="Calibri Light" w:cs="Times New Roman"/>
                <w:color w:val="000000"/>
                <w:sz w:val="14"/>
                <w:szCs w:val="14"/>
                <w:lang w:eastAsia="en-AU"/>
              </w:rPr>
              <w:t>$9</w:t>
            </w:r>
            <w:r w:rsidRPr="00E57552">
              <w:rPr>
                <w:rFonts w:ascii="Calibri Light" w:eastAsia="Times New Roman" w:hAnsi="Calibri Light" w:cs="Times New Roman"/>
                <w:color w:val="000000"/>
                <w:sz w:val="14"/>
                <w:szCs w:val="14"/>
                <w:lang w:eastAsia="en-AU"/>
              </w:rPr>
              <w:t xml:space="preserve">m </w:t>
            </w:r>
          </w:p>
        </w:tc>
        <w:tc>
          <w:tcPr>
            <w:tcW w:w="960" w:type="dxa"/>
            <w:tcBorders>
              <w:top w:val="nil"/>
              <w:left w:val="nil"/>
              <w:bottom w:val="nil"/>
              <w:right w:val="nil"/>
            </w:tcBorders>
            <w:shd w:val="clear" w:color="auto" w:fill="auto"/>
            <w:vAlign w:val="center"/>
            <w:hideMark/>
          </w:tcPr>
          <w:p w14:paraId="56F631E9" w14:textId="4E56ECF0" w:rsidR="005E0855" w:rsidRPr="00E57552" w:rsidRDefault="005E0855" w:rsidP="005E0855">
            <w:pPr>
              <w:suppressAutoHyphens w:val="0"/>
              <w:spacing w:before="0" w:after="0" w:line="240" w:lineRule="auto"/>
              <w:jc w:val="center"/>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w:t>
            </w:r>
            <w:r>
              <w:rPr>
                <w:rFonts w:ascii="Calibri Light" w:eastAsia="Times New Roman" w:hAnsi="Calibri Light" w:cs="Times New Roman"/>
                <w:iCs/>
                <w:color w:val="495965"/>
                <w:sz w:val="14"/>
                <w:szCs w:val="14"/>
                <w:lang w:eastAsia="en-AU"/>
              </w:rPr>
              <w:t>9</w:t>
            </w:r>
            <w:r w:rsidRPr="00E57552">
              <w:rPr>
                <w:rFonts w:ascii="Calibri Light" w:eastAsia="Times New Roman" w:hAnsi="Calibri Light" w:cs="Times New Roman"/>
                <w:iCs/>
                <w:color w:val="495965"/>
                <w:sz w:val="14"/>
                <w:szCs w:val="14"/>
                <w:lang w:eastAsia="en-AU"/>
              </w:rPr>
              <w:t xml:space="preserve"> AQC</w:t>
            </w:r>
          </w:p>
        </w:tc>
        <w:tc>
          <w:tcPr>
            <w:tcW w:w="740" w:type="dxa"/>
            <w:tcBorders>
              <w:top w:val="nil"/>
              <w:left w:val="nil"/>
              <w:bottom w:val="nil"/>
              <w:right w:val="nil"/>
            </w:tcBorders>
            <w:shd w:val="clear" w:color="auto" w:fill="auto"/>
            <w:noWrap/>
            <w:vAlign w:val="center"/>
          </w:tcPr>
          <w:p w14:paraId="3DE5923C" w14:textId="4F7982F8"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N/A</w:t>
            </w:r>
          </w:p>
        </w:tc>
        <w:tc>
          <w:tcPr>
            <w:tcW w:w="740" w:type="dxa"/>
            <w:tcBorders>
              <w:top w:val="nil"/>
              <w:left w:val="nil"/>
              <w:bottom w:val="nil"/>
              <w:right w:val="nil"/>
            </w:tcBorders>
            <w:shd w:val="clear" w:color="000000" w:fill="92D050"/>
            <w:noWrap/>
            <w:vAlign w:val="center"/>
          </w:tcPr>
          <w:p w14:paraId="2B27D26D" w14:textId="04A0724A"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color w:val="495965"/>
                <w:sz w:val="14"/>
                <w:szCs w:val="14"/>
                <w:lang w:val="en-AU" w:eastAsia="en-AU"/>
              </w:rPr>
              <w:t>5</w:t>
            </w:r>
          </w:p>
        </w:tc>
        <w:tc>
          <w:tcPr>
            <w:tcW w:w="740" w:type="dxa"/>
            <w:tcBorders>
              <w:top w:val="nil"/>
              <w:left w:val="nil"/>
              <w:bottom w:val="nil"/>
              <w:right w:val="nil"/>
            </w:tcBorders>
            <w:shd w:val="clear" w:color="000000" w:fill="92D050"/>
            <w:noWrap/>
            <w:vAlign w:val="center"/>
          </w:tcPr>
          <w:p w14:paraId="31C07624" w14:textId="1A4D303D"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color w:val="495965"/>
                <w:sz w:val="14"/>
                <w:szCs w:val="14"/>
                <w:lang w:val="en-AU" w:eastAsia="en-AU"/>
              </w:rPr>
              <w:t>5</w:t>
            </w:r>
          </w:p>
        </w:tc>
        <w:tc>
          <w:tcPr>
            <w:tcW w:w="740" w:type="dxa"/>
            <w:tcBorders>
              <w:top w:val="nil"/>
              <w:left w:val="nil"/>
              <w:bottom w:val="nil"/>
              <w:right w:val="nil"/>
            </w:tcBorders>
            <w:shd w:val="clear" w:color="auto" w:fill="auto"/>
            <w:noWrap/>
            <w:vAlign w:val="center"/>
          </w:tcPr>
          <w:p w14:paraId="3F81150D" w14:textId="03A23120"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N/A</w:t>
            </w:r>
          </w:p>
        </w:tc>
        <w:tc>
          <w:tcPr>
            <w:tcW w:w="740" w:type="dxa"/>
            <w:tcBorders>
              <w:top w:val="nil"/>
              <w:left w:val="nil"/>
              <w:bottom w:val="nil"/>
              <w:right w:val="nil"/>
            </w:tcBorders>
            <w:shd w:val="clear" w:color="auto" w:fill="auto"/>
            <w:noWrap/>
            <w:vAlign w:val="center"/>
          </w:tcPr>
          <w:p w14:paraId="5611629F" w14:textId="0043419D"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N/A</w:t>
            </w:r>
          </w:p>
        </w:tc>
        <w:tc>
          <w:tcPr>
            <w:tcW w:w="740" w:type="dxa"/>
            <w:tcBorders>
              <w:top w:val="nil"/>
              <w:left w:val="nil"/>
              <w:bottom w:val="nil"/>
              <w:right w:val="nil"/>
            </w:tcBorders>
            <w:shd w:val="clear" w:color="000000" w:fill="92D050"/>
            <w:noWrap/>
            <w:vAlign w:val="center"/>
          </w:tcPr>
          <w:p w14:paraId="740151DD" w14:textId="1E406636"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color w:val="495965"/>
                <w:sz w:val="14"/>
                <w:szCs w:val="14"/>
                <w:lang w:val="en-AU" w:eastAsia="en-AU"/>
              </w:rPr>
              <w:t>5</w:t>
            </w:r>
          </w:p>
        </w:tc>
        <w:tc>
          <w:tcPr>
            <w:tcW w:w="740" w:type="dxa"/>
            <w:tcBorders>
              <w:top w:val="nil"/>
              <w:left w:val="nil"/>
              <w:bottom w:val="nil"/>
              <w:right w:val="nil"/>
            </w:tcBorders>
            <w:shd w:val="clear" w:color="auto" w:fill="auto"/>
            <w:vAlign w:val="center"/>
            <w:hideMark/>
          </w:tcPr>
          <w:p w14:paraId="71AE7EE6" w14:textId="77777777"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color w:val="495965"/>
                <w:sz w:val="14"/>
                <w:szCs w:val="14"/>
                <w:lang w:val="en-AU" w:eastAsia="en-AU"/>
              </w:rPr>
              <w:t>Y</w:t>
            </w:r>
          </w:p>
        </w:tc>
      </w:tr>
      <w:tr w:rsidR="005E0855" w:rsidRPr="00E57552" w14:paraId="17A03560" w14:textId="77777777" w:rsidTr="00C014BB">
        <w:trPr>
          <w:trHeight w:val="315"/>
        </w:trPr>
        <w:tc>
          <w:tcPr>
            <w:tcW w:w="2900" w:type="dxa"/>
            <w:tcBorders>
              <w:top w:val="nil"/>
              <w:left w:val="nil"/>
              <w:bottom w:val="single" w:sz="8" w:space="0" w:color="auto"/>
              <w:right w:val="nil"/>
            </w:tcBorders>
            <w:shd w:val="clear" w:color="auto" w:fill="auto"/>
            <w:vAlign w:val="center"/>
            <w:hideMark/>
          </w:tcPr>
          <w:p w14:paraId="19EBBD56" w14:textId="77777777" w:rsidR="005E0855" w:rsidRPr="00E57552" w:rsidRDefault="005E0855" w:rsidP="005E0855">
            <w:pPr>
              <w:suppressAutoHyphens w:val="0"/>
              <w:spacing w:before="0" w:after="0" w:line="240" w:lineRule="auto"/>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color w:val="495965"/>
                <w:sz w:val="14"/>
                <w:szCs w:val="14"/>
                <w:lang w:val="en-AU" w:eastAsia="en-AU"/>
              </w:rPr>
              <w:t> </w:t>
            </w:r>
          </w:p>
        </w:tc>
        <w:tc>
          <w:tcPr>
            <w:tcW w:w="960" w:type="dxa"/>
            <w:tcBorders>
              <w:top w:val="nil"/>
              <w:left w:val="nil"/>
              <w:bottom w:val="nil"/>
              <w:right w:val="nil"/>
            </w:tcBorders>
            <w:shd w:val="clear" w:color="auto" w:fill="auto"/>
            <w:vAlign w:val="center"/>
            <w:hideMark/>
          </w:tcPr>
          <w:p w14:paraId="03CB44BE" w14:textId="77777777"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2013-2020</w:t>
            </w:r>
            <w:r w:rsidRPr="00E57552">
              <w:rPr>
                <w:rFonts w:ascii="Calibri Light" w:eastAsia="Times New Roman" w:hAnsi="Calibri Light" w:cs="Times New Roman"/>
                <w:iCs/>
                <w:color w:val="495965"/>
                <w:sz w:val="14"/>
                <w:szCs w:val="14"/>
                <w:lang w:eastAsia="en-AU"/>
              </w:rPr>
              <w:t xml:space="preserve"> </w:t>
            </w:r>
          </w:p>
        </w:tc>
        <w:tc>
          <w:tcPr>
            <w:tcW w:w="960" w:type="dxa"/>
            <w:tcBorders>
              <w:top w:val="nil"/>
              <w:left w:val="nil"/>
              <w:bottom w:val="nil"/>
              <w:right w:val="nil"/>
            </w:tcBorders>
            <w:shd w:val="clear" w:color="auto" w:fill="auto"/>
            <w:vAlign w:val="center"/>
            <w:hideMark/>
          </w:tcPr>
          <w:p w14:paraId="2818DEDA" w14:textId="7BA76A18" w:rsidR="005E0855" w:rsidRPr="00E57552" w:rsidRDefault="005E0855" w:rsidP="005E0855">
            <w:pPr>
              <w:suppressAutoHyphens w:val="0"/>
              <w:spacing w:before="0" w:after="0" w:line="240" w:lineRule="auto"/>
              <w:jc w:val="center"/>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w:t>
            </w:r>
            <w:r>
              <w:rPr>
                <w:rFonts w:ascii="Calibri Light" w:eastAsia="Times New Roman" w:hAnsi="Calibri Light" w:cs="Times New Roman"/>
                <w:iCs/>
                <w:color w:val="495965"/>
                <w:sz w:val="14"/>
                <w:szCs w:val="14"/>
                <w:lang w:eastAsia="en-AU"/>
              </w:rPr>
              <w:t>8</w:t>
            </w:r>
            <w:r w:rsidRPr="00E57552">
              <w:rPr>
                <w:rFonts w:ascii="Calibri Light" w:eastAsia="Times New Roman" w:hAnsi="Calibri Light" w:cs="Times New Roman"/>
                <w:iCs/>
                <w:color w:val="495965"/>
                <w:sz w:val="14"/>
                <w:szCs w:val="14"/>
                <w:lang w:eastAsia="en-AU"/>
              </w:rPr>
              <w:t xml:space="preserve"> AQC</w:t>
            </w:r>
          </w:p>
        </w:tc>
        <w:tc>
          <w:tcPr>
            <w:tcW w:w="740" w:type="dxa"/>
            <w:tcBorders>
              <w:top w:val="nil"/>
              <w:left w:val="nil"/>
              <w:bottom w:val="nil"/>
              <w:right w:val="nil"/>
            </w:tcBorders>
            <w:shd w:val="clear" w:color="000000" w:fill="92D050"/>
            <w:noWrap/>
            <w:vAlign w:val="center"/>
          </w:tcPr>
          <w:p w14:paraId="5D2A2304" w14:textId="7548B16E"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nil"/>
              <w:right w:val="nil"/>
            </w:tcBorders>
            <w:shd w:val="clear" w:color="000000" w:fill="92D050"/>
            <w:noWrap/>
            <w:vAlign w:val="center"/>
          </w:tcPr>
          <w:p w14:paraId="348E37C8" w14:textId="00CBBD1B"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nil"/>
              <w:right w:val="nil"/>
            </w:tcBorders>
            <w:shd w:val="clear" w:color="000000" w:fill="92D050"/>
            <w:noWrap/>
            <w:vAlign w:val="center"/>
          </w:tcPr>
          <w:p w14:paraId="4EFEB9A4" w14:textId="232256E7"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nil"/>
              <w:right w:val="nil"/>
            </w:tcBorders>
            <w:shd w:val="clear" w:color="000000" w:fill="92D050"/>
            <w:noWrap/>
            <w:vAlign w:val="center"/>
          </w:tcPr>
          <w:p w14:paraId="1D249515" w14:textId="776CA831"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nil"/>
              <w:right w:val="nil"/>
            </w:tcBorders>
            <w:shd w:val="clear" w:color="auto" w:fill="FFFF00"/>
            <w:noWrap/>
            <w:vAlign w:val="center"/>
          </w:tcPr>
          <w:p w14:paraId="1F780B91" w14:textId="1E7D680F"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4</w:t>
            </w:r>
          </w:p>
        </w:tc>
        <w:tc>
          <w:tcPr>
            <w:tcW w:w="740" w:type="dxa"/>
            <w:tcBorders>
              <w:top w:val="nil"/>
              <w:left w:val="nil"/>
              <w:bottom w:val="nil"/>
              <w:right w:val="nil"/>
            </w:tcBorders>
            <w:shd w:val="clear" w:color="000000" w:fill="92D050"/>
            <w:noWrap/>
            <w:vAlign w:val="center"/>
            <w:hideMark/>
          </w:tcPr>
          <w:p w14:paraId="5B607159" w14:textId="4C0DDA3F"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nil"/>
              <w:right w:val="nil"/>
            </w:tcBorders>
            <w:shd w:val="clear" w:color="auto" w:fill="auto"/>
            <w:vAlign w:val="center"/>
            <w:hideMark/>
          </w:tcPr>
          <w:p w14:paraId="1DE93B9A" w14:textId="4C64AF54"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color w:val="495965"/>
                <w:sz w:val="14"/>
                <w:szCs w:val="14"/>
                <w:lang w:val="en-AU" w:eastAsia="en-AU"/>
              </w:rPr>
              <w:t>Y</w:t>
            </w:r>
          </w:p>
        </w:tc>
      </w:tr>
      <w:tr w:rsidR="005E0855" w:rsidRPr="00E57552" w14:paraId="2D9CE851" w14:textId="77777777" w:rsidTr="005345B5">
        <w:trPr>
          <w:trHeight w:val="360"/>
        </w:trPr>
        <w:tc>
          <w:tcPr>
            <w:tcW w:w="2900" w:type="dxa"/>
            <w:tcBorders>
              <w:top w:val="nil"/>
              <w:left w:val="nil"/>
              <w:bottom w:val="nil"/>
              <w:right w:val="nil"/>
            </w:tcBorders>
            <w:shd w:val="clear" w:color="auto" w:fill="auto"/>
            <w:vAlign w:val="center"/>
            <w:hideMark/>
          </w:tcPr>
          <w:p w14:paraId="782C60B7" w14:textId="77777777" w:rsidR="005E0855" w:rsidRPr="00E57552" w:rsidRDefault="005E0855" w:rsidP="005E0855">
            <w:pPr>
              <w:suppressAutoHyphens w:val="0"/>
              <w:spacing w:before="0" w:after="0" w:line="240" w:lineRule="auto"/>
              <w:rPr>
                <w:rFonts w:ascii="Calibri Light" w:eastAsia="Times New Roman" w:hAnsi="Calibri Light" w:cs="Times New Roman"/>
                <w:color w:val="495965"/>
                <w:sz w:val="14"/>
                <w:szCs w:val="14"/>
                <w:lang w:val="en-AU" w:eastAsia="en-AU"/>
              </w:rPr>
            </w:pPr>
            <w:r w:rsidRPr="001B2507">
              <w:rPr>
                <w:rFonts w:ascii="Calibri Light" w:eastAsia="Times New Roman" w:hAnsi="Calibri Light" w:cs="Times New Roman"/>
                <w:iCs/>
                <w:color w:val="495965"/>
                <w:sz w:val="14"/>
                <w:szCs w:val="14"/>
                <w:lang w:eastAsia="en-AU"/>
              </w:rPr>
              <w:t>IFC Sustainable Hydropower in Mekong Countries</w:t>
            </w:r>
          </w:p>
        </w:tc>
        <w:tc>
          <w:tcPr>
            <w:tcW w:w="960" w:type="dxa"/>
            <w:tcBorders>
              <w:top w:val="single" w:sz="8" w:space="0" w:color="auto"/>
              <w:left w:val="nil"/>
              <w:bottom w:val="nil"/>
              <w:right w:val="nil"/>
            </w:tcBorders>
            <w:shd w:val="clear" w:color="auto" w:fill="auto"/>
            <w:vAlign w:val="center"/>
            <w:hideMark/>
          </w:tcPr>
          <w:p w14:paraId="59873933" w14:textId="77777777" w:rsidR="005E0855" w:rsidRPr="00E57552" w:rsidRDefault="005E0855" w:rsidP="005E0855">
            <w:pPr>
              <w:suppressAutoHyphens w:val="0"/>
              <w:spacing w:before="0" w:after="0" w:line="240" w:lineRule="auto"/>
              <w:jc w:val="right"/>
              <w:rPr>
                <w:rFonts w:ascii="Calibri Light" w:eastAsia="Times New Roman" w:hAnsi="Calibri Light" w:cs="Times New Roman"/>
                <w:color w:val="000000"/>
                <w:sz w:val="14"/>
                <w:szCs w:val="14"/>
                <w:lang w:val="en-AU" w:eastAsia="en-AU"/>
              </w:rPr>
            </w:pPr>
            <w:r>
              <w:rPr>
                <w:rFonts w:ascii="Calibri Light" w:eastAsia="Times New Roman" w:hAnsi="Calibri Light" w:cs="Times New Roman"/>
                <w:color w:val="000000"/>
                <w:sz w:val="14"/>
                <w:szCs w:val="14"/>
                <w:lang w:eastAsia="en-AU"/>
              </w:rPr>
              <w:t>$8</w:t>
            </w:r>
            <w:r w:rsidRPr="00E57552">
              <w:rPr>
                <w:rFonts w:ascii="Calibri Light" w:eastAsia="Times New Roman" w:hAnsi="Calibri Light" w:cs="Times New Roman"/>
                <w:color w:val="000000"/>
                <w:sz w:val="14"/>
                <w:szCs w:val="14"/>
                <w:lang w:eastAsia="en-AU"/>
              </w:rPr>
              <w:t xml:space="preserve">m </w:t>
            </w:r>
          </w:p>
        </w:tc>
        <w:tc>
          <w:tcPr>
            <w:tcW w:w="960" w:type="dxa"/>
            <w:tcBorders>
              <w:top w:val="single" w:sz="8" w:space="0" w:color="auto"/>
              <w:left w:val="nil"/>
              <w:bottom w:val="nil"/>
              <w:right w:val="nil"/>
            </w:tcBorders>
            <w:shd w:val="clear" w:color="auto" w:fill="auto"/>
            <w:vAlign w:val="center"/>
            <w:hideMark/>
          </w:tcPr>
          <w:p w14:paraId="33AA48F2" w14:textId="276D2094" w:rsidR="005E0855" w:rsidRPr="00E57552" w:rsidRDefault="005E0855" w:rsidP="005E0855">
            <w:pPr>
              <w:suppressAutoHyphens w:val="0"/>
              <w:spacing w:before="0" w:after="0" w:line="240" w:lineRule="auto"/>
              <w:jc w:val="center"/>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w:t>
            </w:r>
            <w:r>
              <w:rPr>
                <w:rFonts w:ascii="Calibri Light" w:eastAsia="Times New Roman" w:hAnsi="Calibri Light" w:cs="Times New Roman"/>
                <w:iCs/>
                <w:color w:val="495965"/>
                <w:sz w:val="14"/>
                <w:szCs w:val="14"/>
                <w:lang w:eastAsia="en-AU"/>
              </w:rPr>
              <w:t>9</w:t>
            </w:r>
            <w:r w:rsidRPr="00E57552">
              <w:rPr>
                <w:rFonts w:ascii="Calibri Light" w:eastAsia="Times New Roman" w:hAnsi="Calibri Light" w:cs="Times New Roman"/>
                <w:iCs/>
                <w:color w:val="495965"/>
                <w:sz w:val="14"/>
                <w:szCs w:val="14"/>
                <w:lang w:eastAsia="en-AU"/>
              </w:rPr>
              <w:t xml:space="preserve"> AQC</w:t>
            </w:r>
          </w:p>
        </w:tc>
        <w:tc>
          <w:tcPr>
            <w:tcW w:w="740" w:type="dxa"/>
            <w:tcBorders>
              <w:top w:val="single" w:sz="8" w:space="0" w:color="auto"/>
              <w:left w:val="nil"/>
              <w:bottom w:val="nil"/>
              <w:right w:val="nil"/>
            </w:tcBorders>
            <w:shd w:val="clear" w:color="auto" w:fill="auto"/>
            <w:noWrap/>
            <w:vAlign w:val="center"/>
          </w:tcPr>
          <w:p w14:paraId="26BD4994" w14:textId="527F1532"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N/A</w:t>
            </w:r>
          </w:p>
        </w:tc>
        <w:tc>
          <w:tcPr>
            <w:tcW w:w="740" w:type="dxa"/>
            <w:tcBorders>
              <w:top w:val="single" w:sz="8" w:space="0" w:color="auto"/>
              <w:left w:val="nil"/>
              <w:bottom w:val="nil"/>
              <w:right w:val="nil"/>
            </w:tcBorders>
            <w:shd w:val="clear" w:color="000000" w:fill="92D050"/>
            <w:noWrap/>
            <w:vAlign w:val="center"/>
          </w:tcPr>
          <w:p w14:paraId="46BC6830" w14:textId="2D7398A3"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color w:val="495965"/>
                <w:sz w:val="14"/>
                <w:szCs w:val="14"/>
                <w:lang w:val="en-AU" w:eastAsia="en-AU"/>
              </w:rPr>
              <w:t>5</w:t>
            </w:r>
          </w:p>
        </w:tc>
        <w:tc>
          <w:tcPr>
            <w:tcW w:w="740" w:type="dxa"/>
            <w:tcBorders>
              <w:top w:val="single" w:sz="8" w:space="0" w:color="auto"/>
              <w:left w:val="nil"/>
              <w:bottom w:val="nil"/>
              <w:right w:val="nil"/>
            </w:tcBorders>
            <w:shd w:val="clear" w:color="000000" w:fill="92D050"/>
            <w:noWrap/>
            <w:vAlign w:val="center"/>
          </w:tcPr>
          <w:p w14:paraId="44F5E6D5" w14:textId="46B36ECB"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color w:val="495965"/>
                <w:sz w:val="14"/>
                <w:szCs w:val="14"/>
                <w:lang w:val="en-AU" w:eastAsia="en-AU"/>
              </w:rPr>
              <w:t>5</w:t>
            </w:r>
          </w:p>
        </w:tc>
        <w:tc>
          <w:tcPr>
            <w:tcW w:w="740" w:type="dxa"/>
            <w:tcBorders>
              <w:top w:val="single" w:sz="8" w:space="0" w:color="auto"/>
              <w:left w:val="nil"/>
              <w:bottom w:val="nil"/>
              <w:right w:val="nil"/>
            </w:tcBorders>
            <w:shd w:val="clear" w:color="auto" w:fill="auto"/>
            <w:noWrap/>
            <w:vAlign w:val="center"/>
          </w:tcPr>
          <w:p w14:paraId="28A55AB6" w14:textId="705CF627"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N/A</w:t>
            </w:r>
          </w:p>
        </w:tc>
        <w:tc>
          <w:tcPr>
            <w:tcW w:w="740" w:type="dxa"/>
            <w:tcBorders>
              <w:top w:val="single" w:sz="8" w:space="0" w:color="auto"/>
              <w:left w:val="nil"/>
              <w:bottom w:val="nil"/>
              <w:right w:val="nil"/>
            </w:tcBorders>
            <w:shd w:val="clear" w:color="auto" w:fill="auto"/>
            <w:noWrap/>
            <w:vAlign w:val="center"/>
          </w:tcPr>
          <w:p w14:paraId="6A95D015" w14:textId="395C31F3" w:rsidR="005E0855" w:rsidRPr="005345B5" w:rsidRDefault="005E0855" w:rsidP="005E0855">
            <w:pPr>
              <w:suppressAutoHyphens w:val="0"/>
              <w:spacing w:before="0" w:after="0" w:line="240" w:lineRule="auto"/>
              <w:jc w:val="right"/>
              <w:rPr>
                <w:rFonts w:ascii="Calibri Light" w:eastAsia="Times New Roman" w:hAnsi="Calibri Light" w:cs="Times New Roman"/>
                <w:b/>
                <w:bCs/>
                <w:color w:val="495965"/>
                <w:sz w:val="14"/>
                <w:szCs w:val="14"/>
                <w:lang w:val="en-AU" w:eastAsia="en-AU"/>
              </w:rPr>
            </w:pPr>
            <w:r>
              <w:rPr>
                <w:rFonts w:ascii="Calibri Light" w:eastAsia="Times New Roman" w:hAnsi="Calibri Light" w:cs="Times New Roman"/>
                <w:iCs/>
                <w:color w:val="495965"/>
                <w:sz w:val="14"/>
                <w:szCs w:val="14"/>
                <w:lang w:eastAsia="en-AU"/>
              </w:rPr>
              <w:t>N/A</w:t>
            </w:r>
          </w:p>
        </w:tc>
        <w:tc>
          <w:tcPr>
            <w:tcW w:w="740" w:type="dxa"/>
            <w:tcBorders>
              <w:top w:val="single" w:sz="8" w:space="0" w:color="auto"/>
              <w:left w:val="nil"/>
              <w:bottom w:val="nil"/>
              <w:right w:val="nil"/>
            </w:tcBorders>
            <w:shd w:val="clear" w:color="000000" w:fill="FFFF00"/>
            <w:noWrap/>
            <w:vAlign w:val="center"/>
          </w:tcPr>
          <w:p w14:paraId="105C98EA" w14:textId="6CAE49D2"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B5278A">
              <w:rPr>
                <w:rFonts w:ascii="Calibri Light" w:eastAsia="Times New Roman" w:hAnsi="Calibri Light" w:cs="Times New Roman"/>
                <w:iCs/>
                <w:color w:val="495965"/>
                <w:sz w:val="14"/>
                <w:szCs w:val="14"/>
                <w:lang w:eastAsia="en-AU"/>
              </w:rPr>
              <w:t>4</w:t>
            </w:r>
          </w:p>
        </w:tc>
        <w:tc>
          <w:tcPr>
            <w:tcW w:w="740" w:type="dxa"/>
            <w:tcBorders>
              <w:top w:val="single" w:sz="8" w:space="0" w:color="auto"/>
              <w:left w:val="nil"/>
              <w:bottom w:val="nil"/>
              <w:right w:val="nil"/>
            </w:tcBorders>
            <w:shd w:val="clear" w:color="auto" w:fill="auto"/>
            <w:vAlign w:val="center"/>
            <w:hideMark/>
          </w:tcPr>
          <w:p w14:paraId="4B62EFF8" w14:textId="77777777"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 </w:t>
            </w:r>
            <w:r>
              <w:rPr>
                <w:rFonts w:ascii="Calibri Light" w:eastAsia="Times New Roman" w:hAnsi="Calibri Light" w:cs="Times New Roman"/>
                <w:iCs/>
                <w:color w:val="495965"/>
                <w:sz w:val="14"/>
                <w:szCs w:val="14"/>
                <w:lang w:eastAsia="en-AU"/>
              </w:rPr>
              <w:t>Y</w:t>
            </w:r>
          </w:p>
        </w:tc>
      </w:tr>
      <w:tr w:rsidR="005E0855" w:rsidRPr="00E57552" w14:paraId="5B04282B" w14:textId="77777777" w:rsidTr="003F7FD9">
        <w:trPr>
          <w:trHeight w:val="315"/>
        </w:trPr>
        <w:tc>
          <w:tcPr>
            <w:tcW w:w="2900" w:type="dxa"/>
            <w:tcBorders>
              <w:top w:val="nil"/>
              <w:left w:val="nil"/>
              <w:bottom w:val="single" w:sz="8" w:space="0" w:color="auto"/>
              <w:right w:val="nil"/>
            </w:tcBorders>
            <w:shd w:val="clear" w:color="auto" w:fill="auto"/>
            <w:vAlign w:val="center"/>
            <w:hideMark/>
          </w:tcPr>
          <w:p w14:paraId="7789427D" w14:textId="77777777" w:rsidR="005E0855" w:rsidRPr="00E57552" w:rsidRDefault="005E0855" w:rsidP="005E0855">
            <w:pPr>
              <w:suppressAutoHyphens w:val="0"/>
              <w:spacing w:before="0" w:after="0" w:line="240" w:lineRule="auto"/>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color w:val="495965"/>
                <w:sz w:val="14"/>
                <w:szCs w:val="14"/>
                <w:lang w:val="en-AU" w:eastAsia="en-AU"/>
              </w:rPr>
              <w:t> </w:t>
            </w:r>
          </w:p>
        </w:tc>
        <w:tc>
          <w:tcPr>
            <w:tcW w:w="960" w:type="dxa"/>
            <w:tcBorders>
              <w:top w:val="nil"/>
              <w:left w:val="nil"/>
              <w:bottom w:val="nil"/>
              <w:right w:val="nil"/>
            </w:tcBorders>
            <w:shd w:val="clear" w:color="auto" w:fill="auto"/>
            <w:vAlign w:val="center"/>
            <w:hideMark/>
          </w:tcPr>
          <w:p w14:paraId="67C8B828" w14:textId="77777777"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2013-20</w:t>
            </w:r>
            <w:r>
              <w:rPr>
                <w:rFonts w:ascii="Calibri Light" w:eastAsia="Times New Roman" w:hAnsi="Calibri Light" w:cs="Times New Roman"/>
                <w:iCs/>
                <w:color w:val="495965"/>
                <w:sz w:val="14"/>
                <w:szCs w:val="14"/>
                <w:lang w:eastAsia="en-AU"/>
              </w:rPr>
              <w:t>20</w:t>
            </w:r>
            <w:r w:rsidRPr="00E57552">
              <w:rPr>
                <w:rFonts w:ascii="Calibri Light" w:eastAsia="Times New Roman" w:hAnsi="Calibri Light" w:cs="Times New Roman"/>
                <w:iCs/>
                <w:color w:val="495965"/>
                <w:sz w:val="14"/>
                <w:szCs w:val="14"/>
                <w:lang w:eastAsia="en-AU"/>
              </w:rPr>
              <w:t xml:space="preserve"> </w:t>
            </w:r>
          </w:p>
        </w:tc>
        <w:tc>
          <w:tcPr>
            <w:tcW w:w="960" w:type="dxa"/>
            <w:tcBorders>
              <w:top w:val="nil"/>
              <w:left w:val="nil"/>
              <w:bottom w:val="nil"/>
              <w:right w:val="nil"/>
            </w:tcBorders>
            <w:shd w:val="clear" w:color="auto" w:fill="auto"/>
            <w:vAlign w:val="center"/>
            <w:hideMark/>
          </w:tcPr>
          <w:p w14:paraId="1A4DD563" w14:textId="0C027BD8" w:rsidR="005E0855" w:rsidRPr="00E57552" w:rsidRDefault="005E0855" w:rsidP="005E0855">
            <w:pPr>
              <w:suppressAutoHyphens w:val="0"/>
              <w:spacing w:before="0" w:after="0" w:line="240" w:lineRule="auto"/>
              <w:jc w:val="center"/>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w:t>
            </w:r>
            <w:r>
              <w:rPr>
                <w:rFonts w:ascii="Calibri Light" w:eastAsia="Times New Roman" w:hAnsi="Calibri Light" w:cs="Times New Roman"/>
                <w:iCs/>
                <w:color w:val="495965"/>
                <w:sz w:val="14"/>
                <w:szCs w:val="14"/>
                <w:lang w:eastAsia="en-AU"/>
              </w:rPr>
              <w:t>8</w:t>
            </w:r>
            <w:r w:rsidRPr="00E57552">
              <w:rPr>
                <w:rFonts w:ascii="Calibri Light" w:eastAsia="Times New Roman" w:hAnsi="Calibri Light" w:cs="Times New Roman"/>
                <w:iCs/>
                <w:color w:val="495965"/>
                <w:sz w:val="14"/>
                <w:szCs w:val="14"/>
                <w:lang w:eastAsia="en-AU"/>
              </w:rPr>
              <w:t xml:space="preserve"> AQC</w:t>
            </w:r>
          </w:p>
        </w:tc>
        <w:tc>
          <w:tcPr>
            <w:tcW w:w="740" w:type="dxa"/>
            <w:tcBorders>
              <w:top w:val="nil"/>
              <w:left w:val="nil"/>
              <w:bottom w:val="nil"/>
              <w:right w:val="nil"/>
            </w:tcBorders>
            <w:shd w:val="clear" w:color="000000" w:fill="92D050"/>
            <w:noWrap/>
            <w:vAlign w:val="center"/>
          </w:tcPr>
          <w:p w14:paraId="36FFFE4C" w14:textId="35639E4F"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nil"/>
              <w:right w:val="nil"/>
            </w:tcBorders>
            <w:shd w:val="clear" w:color="000000" w:fill="92D050"/>
            <w:noWrap/>
            <w:vAlign w:val="center"/>
          </w:tcPr>
          <w:p w14:paraId="15CB8074" w14:textId="49BD0A53"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nil"/>
              <w:right w:val="nil"/>
            </w:tcBorders>
            <w:shd w:val="clear" w:color="000000" w:fill="92D050"/>
            <w:noWrap/>
            <w:vAlign w:val="center"/>
          </w:tcPr>
          <w:p w14:paraId="3B0BA99F" w14:textId="7441F2E2"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nil"/>
              <w:right w:val="nil"/>
            </w:tcBorders>
            <w:shd w:val="clear" w:color="auto" w:fill="92D050"/>
            <w:noWrap/>
            <w:vAlign w:val="center"/>
          </w:tcPr>
          <w:p w14:paraId="49771D8A" w14:textId="210FB50D"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5</w:t>
            </w:r>
          </w:p>
        </w:tc>
        <w:tc>
          <w:tcPr>
            <w:tcW w:w="740" w:type="dxa"/>
            <w:tcBorders>
              <w:top w:val="nil"/>
              <w:left w:val="nil"/>
              <w:bottom w:val="nil"/>
              <w:right w:val="nil"/>
            </w:tcBorders>
            <w:shd w:val="clear" w:color="auto" w:fill="92D050"/>
            <w:noWrap/>
            <w:vAlign w:val="center"/>
          </w:tcPr>
          <w:p w14:paraId="79B51CBB" w14:textId="72A16B64"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nil"/>
              <w:right w:val="nil"/>
            </w:tcBorders>
            <w:shd w:val="clear" w:color="000000" w:fill="FFFF00"/>
            <w:noWrap/>
            <w:vAlign w:val="center"/>
          </w:tcPr>
          <w:p w14:paraId="341C3DD3" w14:textId="35A1D9F5"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nil"/>
              <w:left w:val="nil"/>
              <w:bottom w:val="nil"/>
              <w:right w:val="nil"/>
            </w:tcBorders>
            <w:shd w:val="clear" w:color="auto" w:fill="auto"/>
            <w:vAlign w:val="center"/>
            <w:hideMark/>
          </w:tcPr>
          <w:p w14:paraId="3A7CA64A" w14:textId="292F1B79"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color w:val="495965"/>
                <w:sz w:val="14"/>
                <w:szCs w:val="14"/>
                <w:lang w:val="en-AU" w:eastAsia="en-AU"/>
              </w:rPr>
              <w:t>Y</w:t>
            </w:r>
          </w:p>
        </w:tc>
      </w:tr>
      <w:tr w:rsidR="005E0855" w:rsidRPr="00E57552" w14:paraId="4C1BB30D" w14:textId="77777777" w:rsidTr="0063001B">
        <w:trPr>
          <w:trHeight w:val="360"/>
        </w:trPr>
        <w:tc>
          <w:tcPr>
            <w:tcW w:w="2900" w:type="dxa"/>
            <w:tcBorders>
              <w:top w:val="nil"/>
              <w:left w:val="nil"/>
              <w:bottom w:val="nil"/>
              <w:right w:val="nil"/>
            </w:tcBorders>
            <w:shd w:val="clear" w:color="auto" w:fill="auto"/>
            <w:vAlign w:val="center"/>
            <w:hideMark/>
          </w:tcPr>
          <w:p w14:paraId="4985D7CE" w14:textId="77777777" w:rsidR="005E0855" w:rsidRPr="00E57552" w:rsidRDefault="005E0855" w:rsidP="005E0855">
            <w:pPr>
              <w:suppressAutoHyphens w:val="0"/>
              <w:spacing w:before="0" w:after="0" w:line="240" w:lineRule="auto"/>
              <w:rPr>
                <w:rFonts w:ascii="Calibri Light" w:eastAsia="Times New Roman" w:hAnsi="Calibri Light" w:cs="Times New Roman"/>
                <w:color w:val="495965"/>
                <w:sz w:val="14"/>
                <w:szCs w:val="14"/>
                <w:lang w:val="en-AU" w:eastAsia="en-AU"/>
              </w:rPr>
            </w:pPr>
            <w:r w:rsidRPr="00977B66">
              <w:rPr>
                <w:rFonts w:ascii="Calibri Light" w:eastAsia="Times New Roman" w:hAnsi="Calibri Light" w:cs="Times New Roman"/>
                <w:iCs/>
                <w:color w:val="495965"/>
                <w:sz w:val="14"/>
                <w:szCs w:val="14"/>
                <w:lang w:eastAsia="en-AU"/>
              </w:rPr>
              <w:t>Supporting Mekong Water Resources Management</w:t>
            </w:r>
            <w:r w:rsidRPr="00E57552">
              <w:rPr>
                <w:rFonts w:ascii="Calibri Light" w:eastAsia="Times New Roman" w:hAnsi="Calibri Light" w:cs="Times New Roman"/>
                <w:iCs/>
                <w:color w:val="495965"/>
                <w:sz w:val="14"/>
                <w:szCs w:val="14"/>
                <w:lang w:eastAsia="en-AU"/>
              </w:rPr>
              <w:t xml:space="preserve"> </w:t>
            </w:r>
          </w:p>
        </w:tc>
        <w:tc>
          <w:tcPr>
            <w:tcW w:w="960" w:type="dxa"/>
            <w:tcBorders>
              <w:top w:val="single" w:sz="8" w:space="0" w:color="auto"/>
              <w:left w:val="nil"/>
              <w:bottom w:val="nil"/>
              <w:right w:val="nil"/>
            </w:tcBorders>
            <w:shd w:val="clear" w:color="auto" w:fill="auto"/>
            <w:vAlign w:val="center"/>
            <w:hideMark/>
          </w:tcPr>
          <w:p w14:paraId="2EB4E00A" w14:textId="77777777" w:rsidR="005E0855" w:rsidRPr="00E57552" w:rsidRDefault="005E0855" w:rsidP="005E0855">
            <w:pPr>
              <w:suppressAutoHyphens w:val="0"/>
              <w:spacing w:before="0" w:after="0" w:line="240" w:lineRule="auto"/>
              <w:jc w:val="right"/>
              <w:rPr>
                <w:rFonts w:ascii="Calibri Light" w:eastAsia="Times New Roman" w:hAnsi="Calibri Light" w:cs="Times New Roman"/>
                <w:color w:val="000000"/>
                <w:sz w:val="14"/>
                <w:szCs w:val="14"/>
                <w:lang w:val="en-AU" w:eastAsia="en-AU"/>
              </w:rPr>
            </w:pPr>
            <w:r w:rsidRPr="00E57552">
              <w:rPr>
                <w:rFonts w:ascii="Calibri Light" w:eastAsia="Times New Roman" w:hAnsi="Calibri Light" w:cs="Times New Roman"/>
                <w:color w:val="000000"/>
                <w:sz w:val="14"/>
                <w:szCs w:val="14"/>
                <w:lang w:eastAsia="en-AU"/>
              </w:rPr>
              <w:t>$</w:t>
            </w:r>
            <w:r>
              <w:rPr>
                <w:rFonts w:ascii="Calibri Light" w:eastAsia="Times New Roman" w:hAnsi="Calibri Light" w:cs="Times New Roman"/>
                <w:color w:val="000000"/>
                <w:sz w:val="14"/>
                <w:szCs w:val="14"/>
                <w:lang w:eastAsia="en-AU"/>
              </w:rPr>
              <w:t>11.15</w:t>
            </w:r>
            <w:r w:rsidRPr="00E57552">
              <w:rPr>
                <w:rFonts w:ascii="Calibri Light" w:eastAsia="Times New Roman" w:hAnsi="Calibri Light" w:cs="Times New Roman"/>
                <w:color w:val="000000"/>
                <w:sz w:val="14"/>
                <w:szCs w:val="14"/>
                <w:lang w:eastAsia="en-AU"/>
              </w:rPr>
              <w:t xml:space="preserve">m </w:t>
            </w:r>
          </w:p>
        </w:tc>
        <w:tc>
          <w:tcPr>
            <w:tcW w:w="960" w:type="dxa"/>
            <w:tcBorders>
              <w:top w:val="single" w:sz="8" w:space="0" w:color="auto"/>
              <w:left w:val="nil"/>
              <w:bottom w:val="nil"/>
              <w:right w:val="nil"/>
            </w:tcBorders>
            <w:shd w:val="clear" w:color="auto" w:fill="auto"/>
            <w:vAlign w:val="center"/>
            <w:hideMark/>
          </w:tcPr>
          <w:p w14:paraId="6C03B02E" w14:textId="71D63F09" w:rsidR="005E0855" w:rsidRPr="00E57552" w:rsidRDefault="005E0855" w:rsidP="005E0855">
            <w:pPr>
              <w:suppressAutoHyphens w:val="0"/>
              <w:spacing w:before="0" w:after="0" w:line="240" w:lineRule="auto"/>
              <w:jc w:val="center"/>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w:t>
            </w:r>
            <w:r>
              <w:rPr>
                <w:rFonts w:ascii="Calibri Light" w:eastAsia="Times New Roman" w:hAnsi="Calibri Light" w:cs="Times New Roman"/>
                <w:iCs/>
                <w:color w:val="495965"/>
                <w:sz w:val="14"/>
                <w:szCs w:val="14"/>
                <w:lang w:eastAsia="en-AU"/>
              </w:rPr>
              <w:t>9</w:t>
            </w:r>
            <w:r w:rsidRPr="00E57552">
              <w:rPr>
                <w:rFonts w:ascii="Calibri Light" w:eastAsia="Times New Roman" w:hAnsi="Calibri Light" w:cs="Times New Roman"/>
                <w:iCs/>
                <w:color w:val="495965"/>
                <w:sz w:val="14"/>
                <w:szCs w:val="14"/>
                <w:lang w:eastAsia="en-AU"/>
              </w:rPr>
              <w:t xml:space="preserve"> AQC</w:t>
            </w:r>
          </w:p>
        </w:tc>
        <w:tc>
          <w:tcPr>
            <w:tcW w:w="740" w:type="dxa"/>
            <w:tcBorders>
              <w:top w:val="single" w:sz="8" w:space="0" w:color="auto"/>
              <w:left w:val="nil"/>
              <w:bottom w:val="nil"/>
              <w:right w:val="nil"/>
            </w:tcBorders>
            <w:shd w:val="clear" w:color="auto" w:fill="auto"/>
            <w:noWrap/>
            <w:vAlign w:val="center"/>
            <w:hideMark/>
          </w:tcPr>
          <w:p w14:paraId="648AB8AA" w14:textId="4E696A57"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N/A</w:t>
            </w:r>
          </w:p>
        </w:tc>
        <w:tc>
          <w:tcPr>
            <w:tcW w:w="740" w:type="dxa"/>
            <w:tcBorders>
              <w:top w:val="single" w:sz="8" w:space="0" w:color="auto"/>
              <w:left w:val="nil"/>
              <w:bottom w:val="nil"/>
              <w:right w:val="nil"/>
            </w:tcBorders>
            <w:shd w:val="clear" w:color="000000" w:fill="FFFF00"/>
            <w:noWrap/>
            <w:vAlign w:val="center"/>
            <w:hideMark/>
          </w:tcPr>
          <w:p w14:paraId="38DB3796" w14:textId="77777777"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single" w:sz="8" w:space="0" w:color="auto"/>
              <w:left w:val="nil"/>
              <w:bottom w:val="nil"/>
              <w:right w:val="nil"/>
            </w:tcBorders>
            <w:shd w:val="clear" w:color="auto" w:fill="FFFF00"/>
            <w:noWrap/>
            <w:vAlign w:val="center"/>
            <w:hideMark/>
          </w:tcPr>
          <w:p w14:paraId="4CF04990" w14:textId="77777777"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4</w:t>
            </w:r>
          </w:p>
        </w:tc>
        <w:tc>
          <w:tcPr>
            <w:tcW w:w="740" w:type="dxa"/>
            <w:tcBorders>
              <w:top w:val="single" w:sz="8" w:space="0" w:color="auto"/>
              <w:left w:val="nil"/>
              <w:bottom w:val="nil"/>
              <w:right w:val="nil"/>
            </w:tcBorders>
            <w:shd w:val="clear" w:color="auto" w:fill="auto"/>
            <w:noWrap/>
            <w:vAlign w:val="center"/>
            <w:hideMark/>
          </w:tcPr>
          <w:p w14:paraId="3942EB82" w14:textId="5B2D1DA4" w:rsidR="005E0855" w:rsidRPr="00D2387A" w:rsidRDefault="005E0855" w:rsidP="005E0855">
            <w:pPr>
              <w:suppressAutoHyphens w:val="0"/>
              <w:spacing w:before="0" w:after="0" w:line="240" w:lineRule="auto"/>
              <w:jc w:val="right"/>
              <w:rPr>
                <w:rFonts w:ascii="Calibri Light" w:eastAsia="Times New Roman" w:hAnsi="Calibri Light" w:cs="Times New Roman"/>
                <w:iCs/>
                <w:color w:val="495965"/>
                <w:sz w:val="14"/>
                <w:szCs w:val="14"/>
                <w:lang w:eastAsia="en-AU"/>
              </w:rPr>
            </w:pPr>
            <w:r>
              <w:rPr>
                <w:rFonts w:ascii="Calibri Light" w:eastAsia="Times New Roman" w:hAnsi="Calibri Light" w:cs="Times New Roman"/>
                <w:iCs/>
                <w:color w:val="495965"/>
                <w:sz w:val="14"/>
                <w:szCs w:val="14"/>
                <w:lang w:eastAsia="en-AU"/>
              </w:rPr>
              <w:t>N/A</w:t>
            </w:r>
          </w:p>
        </w:tc>
        <w:tc>
          <w:tcPr>
            <w:tcW w:w="740" w:type="dxa"/>
            <w:tcBorders>
              <w:top w:val="single" w:sz="8" w:space="0" w:color="auto"/>
              <w:left w:val="nil"/>
              <w:bottom w:val="nil"/>
              <w:right w:val="nil"/>
            </w:tcBorders>
            <w:shd w:val="clear" w:color="auto" w:fill="auto"/>
            <w:noWrap/>
            <w:vAlign w:val="center"/>
            <w:hideMark/>
          </w:tcPr>
          <w:p w14:paraId="5751BE08" w14:textId="32065675" w:rsidR="005E0855" w:rsidRPr="00D2387A" w:rsidRDefault="005E0855" w:rsidP="005E0855">
            <w:pPr>
              <w:suppressAutoHyphens w:val="0"/>
              <w:spacing w:before="0" w:after="0" w:line="240" w:lineRule="auto"/>
              <w:jc w:val="right"/>
              <w:rPr>
                <w:rFonts w:ascii="Calibri Light" w:eastAsia="Times New Roman" w:hAnsi="Calibri Light" w:cs="Times New Roman"/>
                <w:iCs/>
                <w:color w:val="495965"/>
                <w:sz w:val="14"/>
                <w:szCs w:val="14"/>
                <w:lang w:eastAsia="en-AU"/>
              </w:rPr>
            </w:pPr>
            <w:r w:rsidRPr="00D2387A">
              <w:rPr>
                <w:rFonts w:ascii="Calibri Light" w:eastAsia="Times New Roman" w:hAnsi="Calibri Light" w:cs="Times New Roman"/>
                <w:iCs/>
                <w:color w:val="495965"/>
                <w:sz w:val="14"/>
                <w:szCs w:val="14"/>
                <w:lang w:eastAsia="en-AU"/>
              </w:rPr>
              <w:t>N/A</w:t>
            </w:r>
          </w:p>
        </w:tc>
        <w:tc>
          <w:tcPr>
            <w:tcW w:w="740" w:type="dxa"/>
            <w:tcBorders>
              <w:top w:val="single" w:sz="8" w:space="0" w:color="auto"/>
              <w:left w:val="nil"/>
              <w:bottom w:val="nil"/>
              <w:right w:val="nil"/>
            </w:tcBorders>
            <w:shd w:val="clear" w:color="auto" w:fill="FFC000"/>
            <w:noWrap/>
            <w:vAlign w:val="center"/>
            <w:hideMark/>
          </w:tcPr>
          <w:p w14:paraId="75F410A5" w14:textId="77777777"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3</w:t>
            </w:r>
          </w:p>
        </w:tc>
        <w:tc>
          <w:tcPr>
            <w:tcW w:w="740" w:type="dxa"/>
            <w:tcBorders>
              <w:top w:val="single" w:sz="8" w:space="0" w:color="auto"/>
              <w:left w:val="nil"/>
              <w:bottom w:val="nil"/>
              <w:right w:val="nil"/>
            </w:tcBorders>
            <w:shd w:val="clear" w:color="auto" w:fill="auto"/>
            <w:vAlign w:val="center"/>
            <w:hideMark/>
          </w:tcPr>
          <w:p w14:paraId="2F2F7EAE" w14:textId="693A9E9E"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6306A0">
              <w:rPr>
                <w:rFonts w:ascii="Calibri Light" w:eastAsia="Times New Roman" w:hAnsi="Calibri Light" w:cs="Times New Roman"/>
                <w:color w:val="495965"/>
                <w:sz w:val="14"/>
                <w:szCs w:val="14"/>
                <w:lang w:val="en-AU" w:eastAsia="en-AU"/>
              </w:rPr>
              <w:t xml:space="preserve">   Y </w:t>
            </w:r>
          </w:p>
        </w:tc>
      </w:tr>
      <w:tr w:rsidR="005E0855" w:rsidRPr="00E57552" w14:paraId="7FA49AF8" w14:textId="77777777" w:rsidTr="00CD4DF9">
        <w:trPr>
          <w:trHeight w:val="315"/>
        </w:trPr>
        <w:tc>
          <w:tcPr>
            <w:tcW w:w="2900" w:type="dxa"/>
            <w:tcBorders>
              <w:top w:val="nil"/>
              <w:left w:val="nil"/>
              <w:bottom w:val="single" w:sz="4" w:space="0" w:color="auto"/>
              <w:right w:val="nil"/>
            </w:tcBorders>
            <w:shd w:val="clear" w:color="auto" w:fill="auto"/>
            <w:vAlign w:val="center"/>
            <w:hideMark/>
          </w:tcPr>
          <w:p w14:paraId="5DB0CB65" w14:textId="77777777" w:rsidR="005E0855" w:rsidRPr="00E57552" w:rsidRDefault="005E0855" w:rsidP="005E0855">
            <w:pPr>
              <w:suppressAutoHyphens w:val="0"/>
              <w:spacing w:before="0" w:after="0" w:line="240" w:lineRule="auto"/>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color w:val="495965"/>
                <w:sz w:val="14"/>
                <w:szCs w:val="14"/>
                <w:lang w:val="en-AU" w:eastAsia="en-AU"/>
              </w:rPr>
              <w:t> </w:t>
            </w:r>
          </w:p>
        </w:tc>
        <w:tc>
          <w:tcPr>
            <w:tcW w:w="960" w:type="dxa"/>
            <w:tcBorders>
              <w:top w:val="nil"/>
              <w:left w:val="nil"/>
              <w:bottom w:val="single" w:sz="4" w:space="0" w:color="auto"/>
              <w:right w:val="nil"/>
            </w:tcBorders>
            <w:shd w:val="clear" w:color="auto" w:fill="auto"/>
            <w:vAlign w:val="center"/>
            <w:hideMark/>
          </w:tcPr>
          <w:p w14:paraId="6277BB14" w14:textId="77777777"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2014-20</w:t>
            </w:r>
            <w:r>
              <w:rPr>
                <w:rFonts w:ascii="Calibri Light" w:eastAsia="Times New Roman" w:hAnsi="Calibri Light" w:cs="Times New Roman"/>
                <w:iCs/>
                <w:color w:val="495965"/>
                <w:sz w:val="14"/>
                <w:szCs w:val="14"/>
                <w:lang w:eastAsia="en-AU"/>
              </w:rPr>
              <w:t>21</w:t>
            </w:r>
            <w:r w:rsidRPr="00E57552">
              <w:rPr>
                <w:rFonts w:ascii="Calibri Light" w:eastAsia="Times New Roman" w:hAnsi="Calibri Light" w:cs="Times New Roman"/>
                <w:iCs/>
                <w:color w:val="495965"/>
                <w:sz w:val="14"/>
                <w:szCs w:val="14"/>
                <w:lang w:eastAsia="en-AU"/>
              </w:rPr>
              <w:t xml:space="preserve"> </w:t>
            </w:r>
          </w:p>
        </w:tc>
        <w:tc>
          <w:tcPr>
            <w:tcW w:w="960" w:type="dxa"/>
            <w:tcBorders>
              <w:top w:val="nil"/>
              <w:left w:val="nil"/>
              <w:bottom w:val="single" w:sz="4" w:space="0" w:color="auto"/>
              <w:right w:val="nil"/>
            </w:tcBorders>
            <w:shd w:val="clear" w:color="auto" w:fill="auto"/>
            <w:vAlign w:val="center"/>
            <w:hideMark/>
          </w:tcPr>
          <w:p w14:paraId="2650E2DB" w14:textId="1B159005" w:rsidR="005E0855" w:rsidRPr="00E57552" w:rsidRDefault="005E0855" w:rsidP="005E0855">
            <w:pPr>
              <w:suppressAutoHyphens w:val="0"/>
              <w:spacing w:before="0" w:after="0" w:line="240" w:lineRule="auto"/>
              <w:jc w:val="center"/>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w:t>
            </w:r>
            <w:r>
              <w:rPr>
                <w:rFonts w:ascii="Calibri Light" w:eastAsia="Times New Roman" w:hAnsi="Calibri Light" w:cs="Times New Roman"/>
                <w:iCs/>
                <w:color w:val="495965"/>
                <w:sz w:val="14"/>
                <w:szCs w:val="14"/>
                <w:lang w:eastAsia="en-AU"/>
              </w:rPr>
              <w:t>8</w:t>
            </w:r>
            <w:r w:rsidRPr="00E57552">
              <w:rPr>
                <w:rFonts w:ascii="Calibri Light" w:eastAsia="Times New Roman" w:hAnsi="Calibri Light" w:cs="Times New Roman"/>
                <w:iCs/>
                <w:color w:val="495965"/>
                <w:sz w:val="14"/>
                <w:szCs w:val="14"/>
                <w:lang w:eastAsia="en-AU"/>
              </w:rPr>
              <w:t xml:space="preserve"> AQC</w:t>
            </w:r>
          </w:p>
        </w:tc>
        <w:tc>
          <w:tcPr>
            <w:tcW w:w="740" w:type="dxa"/>
            <w:tcBorders>
              <w:top w:val="nil"/>
              <w:left w:val="nil"/>
              <w:bottom w:val="single" w:sz="4" w:space="0" w:color="auto"/>
              <w:right w:val="nil"/>
            </w:tcBorders>
            <w:shd w:val="clear" w:color="auto" w:fill="FFFF00"/>
            <w:noWrap/>
            <w:vAlign w:val="center"/>
          </w:tcPr>
          <w:p w14:paraId="081BB751" w14:textId="7317D0CB"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6</w:t>
            </w:r>
          </w:p>
        </w:tc>
        <w:tc>
          <w:tcPr>
            <w:tcW w:w="740" w:type="dxa"/>
            <w:tcBorders>
              <w:top w:val="nil"/>
              <w:left w:val="nil"/>
              <w:bottom w:val="single" w:sz="4" w:space="0" w:color="auto"/>
              <w:right w:val="nil"/>
            </w:tcBorders>
            <w:shd w:val="clear" w:color="000000" w:fill="FFFF00"/>
            <w:noWrap/>
            <w:vAlign w:val="center"/>
          </w:tcPr>
          <w:p w14:paraId="2A54440B" w14:textId="73B1E8C4"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nil"/>
              <w:left w:val="nil"/>
              <w:bottom w:val="single" w:sz="4" w:space="0" w:color="auto"/>
              <w:right w:val="nil"/>
            </w:tcBorders>
            <w:shd w:val="clear" w:color="auto" w:fill="FFFF00"/>
            <w:noWrap/>
            <w:vAlign w:val="center"/>
          </w:tcPr>
          <w:p w14:paraId="7DC31483" w14:textId="0B3B8C23"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4</w:t>
            </w:r>
          </w:p>
        </w:tc>
        <w:tc>
          <w:tcPr>
            <w:tcW w:w="740" w:type="dxa"/>
            <w:tcBorders>
              <w:top w:val="nil"/>
              <w:left w:val="nil"/>
              <w:bottom w:val="single" w:sz="4" w:space="0" w:color="auto"/>
              <w:right w:val="nil"/>
            </w:tcBorders>
            <w:shd w:val="clear" w:color="000000" w:fill="FFFF00"/>
            <w:noWrap/>
            <w:vAlign w:val="center"/>
          </w:tcPr>
          <w:p w14:paraId="3FF6E079" w14:textId="067BC19B"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nil"/>
              <w:left w:val="nil"/>
              <w:bottom w:val="single" w:sz="4" w:space="0" w:color="auto"/>
              <w:right w:val="nil"/>
            </w:tcBorders>
            <w:shd w:val="clear" w:color="auto" w:fill="FFFF00"/>
            <w:noWrap/>
            <w:vAlign w:val="center"/>
          </w:tcPr>
          <w:p w14:paraId="7D0E5799" w14:textId="54BF1533"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4</w:t>
            </w:r>
          </w:p>
        </w:tc>
        <w:tc>
          <w:tcPr>
            <w:tcW w:w="740" w:type="dxa"/>
            <w:tcBorders>
              <w:top w:val="nil"/>
              <w:left w:val="nil"/>
              <w:bottom w:val="single" w:sz="4" w:space="0" w:color="auto"/>
              <w:right w:val="nil"/>
            </w:tcBorders>
            <w:shd w:val="clear" w:color="auto" w:fill="FFC000"/>
            <w:noWrap/>
            <w:vAlign w:val="center"/>
          </w:tcPr>
          <w:p w14:paraId="2A437A06" w14:textId="419D20B7"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3</w:t>
            </w:r>
          </w:p>
        </w:tc>
        <w:tc>
          <w:tcPr>
            <w:tcW w:w="740" w:type="dxa"/>
            <w:tcBorders>
              <w:top w:val="nil"/>
              <w:left w:val="nil"/>
              <w:bottom w:val="single" w:sz="4" w:space="0" w:color="auto"/>
              <w:right w:val="nil"/>
            </w:tcBorders>
            <w:shd w:val="clear" w:color="auto" w:fill="auto"/>
            <w:vAlign w:val="center"/>
            <w:hideMark/>
          </w:tcPr>
          <w:p w14:paraId="79AD1251" w14:textId="6BA0A5BE"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color w:val="495965"/>
                <w:sz w:val="14"/>
                <w:szCs w:val="14"/>
                <w:lang w:val="en-AU" w:eastAsia="en-AU"/>
              </w:rPr>
              <w:t>Y</w:t>
            </w:r>
          </w:p>
        </w:tc>
      </w:tr>
      <w:tr w:rsidR="005E0855" w:rsidRPr="00E57552" w14:paraId="5C8C50D4" w14:textId="77777777" w:rsidTr="004B0B02">
        <w:trPr>
          <w:trHeight w:val="300"/>
        </w:trPr>
        <w:tc>
          <w:tcPr>
            <w:tcW w:w="2900" w:type="dxa"/>
            <w:tcBorders>
              <w:top w:val="single" w:sz="8" w:space="0" w:color="auto"/>
              <w:left w:val="nil"/>
              <w:bottom w:val="nil"/>
              <w:right w:val="nil"/>
            </w:tcBorders>
            <w:shd w:val="clear" w:color="auto" w:fill="auto"/>
            <w:vAlign w:val="center"/>
            <w:hideMark/>
          </w:tcPr>
          <w:p w14:paraId="53A37DE4" w14:textId="77777777" w:rsidR="005E0855" w:rsidRPr="00E57552" w:rsidRDefault="005E0855" w:rsidP="005E0855">
            <w:pPr>
              <w:suppressAutoHyphens w:val="0"/>
              <w:spacing w:before="0" w:after="0" w:line="240" w:lineRule="auto"/>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TRIANGLE in ASEAN</w:t>
            </w:r>
          </w:p>
        </w:tc>
        <w:tc>
          <w:tcPr>
            <w:tcW w:w="960" w:type="dxa"/>
            <w:tcBorders>
              <w:top w:val="single" w:sz="8" w:space="0" w:color="auto"/>
              <w:left w:val="nil"/>
              <w:bottom w:val="nil"/>
              <w:right w:val="nil"/>
            </w:tcBorders>
            <w:shd w:val="clear" w:color="auto" w:fill="auto"/>
            <w:vAlign w:val="center"/>
            <w:hideMark/>
          </w:tcPr>
          <w:p w14:paraId="42217349" w14:textId="77777777" w:rsidR="005E0855" w:rsidRPr="00E57552" w:rsidRDefault="005E0855" w:rsidP="005E0855">
            <w:pPr>
              <w:suppressAutoHyphens w:val="0"/>
              <w:spacing w:before="0" w:after="0" w:line="240" w:lineRule="auto"/>
              <w:jc w:val="right"/>
              <w:rPr>
                <w:rFonts w:ascii="Calibri Light" w:eastAsia="Times New Roman" w:hAnsi="Calibri Light" w:cs="Times New Roman"/>
                <w:color w:val="000000"/>
                <w:sz w:val="14"/>
                <w:szCs w:val="14"/>
                <w:lang w:val="en-AU" w:eastAsia="en-AU"/>
              </w:rPr>
            </w:pPr>
            <w:r w:rsidRPr="00E57552">
              <w:rPr>
                <w:rFonts w:ascii="Calibri Light" w:eastAsia="Times New Roman" w:hAnsi="Calibri Light" w:cs="Times New Roman"/>
                <w:color w:val="000000"/>
                <w:sz w:val="14"/>
                <w:szCs w:val="14"/>
                <w:lang w:eastAsia="en-AU"/>
              </w:rPr>
              <w:t xml:space="preserve">$20m </w:t>
            </w:r>
          </w:p>
        </w:tc>
        <w:tc>
          <w:tcPr>
            <w:tcW w:w="960" w:type="dxa"/>
            <w:tcBorders>
              <w:top w:val="single" w:sz="8" w:space="0" w:color="auto"/>
              <w:left w:val="nil"/>
              <w:bottom w:val="nil"/>
              <w:right w:val="nil"/>
            </w:tcBorders>
            <w:shd w:val="clear" w:color="auto" w:fill="auto"/>
            <w:vAlign w:val="center"/>
            <w:hideMark/>
          </w:tcPr>
          <w:p w14:paraId="1850A119" w14:textId="79720678" w:rsidR="005E0855" w:rsidRPr="00E57552" w:rsidRDefault="005E0855" w:rsidP="005E0855">
            <w:pPr>
              <w:suppressAutoHyphens w:val="0"/>
              <w:spacing w:before="0" w:after="0" w:line="240" w:lineRule="auto"/>
              <w:jc w:val="center"/>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w:t>
            </w:r>
            <w:r>
              <w:rPr>
                <w:rFonts w:ascii="Calibri Light" w:eastAsia="Times New Roman" w:hAnsi="Calibri Light" w:cs="Times New Roman"/>
                <w:iCs/>
                <w:color w:val="495965"/>
                <w:sz w:val="14"/>
                <w:szCs w:val="14"/>
                <w:lang w:eastAsia="en-AU"/>
              </w:rPr>
              <w:t>9</w:t>
            </w:r>
            <w:r w:rsidRPr="00E57552">
              <w:rPr>
                <w:rFonts w:ascii="Calibri Light" w:eastAsia="Times New Roman" w:hAnsi="Calibri Light" w:cs="Times New Roman"/>
                <w:iCs/>
                <w:color w:val="495965"/>
                <w:sz w:val="14"/>
                <w:szCs w:val="14"/>
                <w:lang w:eastAsia="en-AU"/>
              </w:rPr>
              <w:t xml:space="preserve"> AQC</w:t>
            </w:r>
          </w:p>
        </w:tc>
        <w:tc>
          <w:tcPr>
            <w:tcW w:w="740" w:type="dxa"/>
            <w:tcBorders>
              <w:top w:val="single" w:sz="8" w:space="0" w:color="auto"/>
              <w:left w:val="nil"/>
              <w:bottom w:val="nil"/>
              <w:right w:val="nil"/>
            </w:tcBorders>
            <w:shd w:val="clear" w:color="auto" w:fill="auto"/>
            <w:noWrap/>
            <w:vAlign w:val="center"/>
          </w:tcPr>
          <w:p w14:paraId="6840ECEF" w14:textId="4DB1A42F"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N/A</w:t>
            </w:r>
          </w:p>
        </w:tc>
        <w:tc>
          <w:tcPr>
            <w:tcW w:w="740" w:type="dxa"/>
            <w:tcBorders>
              <w:top w:val="single" w:sz="8" w:space="0" w:color="auto"/>
              <w:left w:val="nil"/>
              <w:bottom w:val="nil"/>
              <w:right w:val="nil"/>
            </w:tcBorders>
            <w:shd w:val="clear" w:color="auto" w:fill="92D050"/>
            <w:noWrap/>
            <w:vAlign w:val="center"/>
          </w:tcPr>
          <w:p w14:paraId="1DCE7726" w14:textId="6DE2AE56"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color w:val="495965"/>
                <w:sz w:val="14"/>
                <w:szCs w:val="14"/>
                <w:lang w:val="en-AU" w:eastAsia="en-AU"/>
              </w:rPr>
              <w:t>5</w:t>
            </w:r>
          </w:p>
        </w:tc>
        <w:tc>
          <w:tcPr>
            <w:tcW w:w="740" w:type="dxa"/>
            <w:tcBorders>
              <w:top w:val="single" w:sz="8" w:space="0" w:color="auto"/>
              <w:left w:val="nil"/>
              <w:bottom w:val="nil"/>
              <w:right w:val="nil"/>
            </w:tcBorders>
            <w:shd w:val="clear" w:color="000000" w:fill="FFFF00"/>
            <w:noWrap/>
            <w:vAlign w:val="center"/>
          </w:tcPr>
          <w:p w14:paraId="14BDBCFB" w14:textId="2C46FB06"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color w:val="495965"/>
                <w:sz w:val="14"/>
                <w:szCs w:val="14"/>
                <w:lang w:val="en-AU" w:eastAsia="en-AU"/>
              </w:rPr>
              <w:t>4</w:t>
            </w:r>
          </w:p>
        </w:tc>
        <w:tc>
          <w:tcPr>
            <w:tcW w:w="740" w:type="dxa"/>
            <w:tcBorders>
              <w:top w:val="single" w:sz="8" w:space="0" w:color="auto"/>
              <w:left w:val="nil"/>
              <w:bottom w:val="nil"/>
              <w:right w:val="nil"/>
            </w:tcBorders>
            <w:shd w:val="clear" w:color="auto" w:fill="auto"/>
            <w:noWrap/>
            <w:vAlign w:val="center"/>
          </w:tcPr>
          <w:p w14:paraId="4E07AA4C" w14:textId="32F47EE9"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N/A</w:t>
            </w:r>
          </w:p>
        </w:tc>
        <w:tc>
          <w:tcPr>
            <w:tcW w:w="740" w:type="dxa"/>
            <w:tcBorders>
              <w:top w:val="single" w:sz="8" w:space="0" w:color="auto"/>
              <w:left w:val="nil"/>
              <w:bottom w:val="nil"/>
              <w:right w:val="nil"/>
            </w:tcBorders>
            <w:shd w:val="clear" w:color="auto" w:fill="auto"/>
            <w:noWrap/>
            <w:vAlign w:val="center"/>
          </w:tcPr>
          <w:p w14:paraId="171CF988" w14:textId="68B57055"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N/A</w:t>
            </w:r>
          </w:p>
        </w:tc>
        <w:tc>
          <w:tcPr>
            <w:tcW w:w="740" w:type="dxa"/>
            <w:tcBorders>
              <w:top w:val="single" w:sz="8" w:space="0" w:color="auto"/>
              <w:left w:val="nil"/>
              <w:bottom w:val="nil"/>
              <w:right w:val="nil"/>
            </w:tcBorders>
            <w:shd w:val="clear" w:color="auto" w:fill="92D050"/>
            <w:noWrap/>
            <w:vAlign w:val="center"/>
          </w:tcPr>
          <w:p w14:paraId="4D9D9AAA" w14:textId="3A18F0AB"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color w:val="495965"/>
                <w:sz w:val="14"/>
                <w:szCs w:val="14"/>
                <w:lang w:val="en-AU" w:eastAsia="en-AU"/>
              </w:rPr>
              <w:t>5</w:t>
            </w:r>
          </w:p>
        </w:tc>
        <w:tc>
          <w:tcPr>
            <w:tcW w:w="740" w:type="dxa"/>
            <w:tcBorders>
              <w:top w:val="single" w:sz="8" w:space="0" w:color="auto"/>
              <w:left w:val="nil"/>
              <w:bottom w:val="nil"/>
              <w:right w:val="nil"/>
            </w:tcBorders>
            <w:shd w:val="clear" w:color="auto" w:fill="auto"/>
            <w:vAlign w:val="center"/>
            <w:hideMark/>
          </w:tcPr>
          <w:p w14:paraId="324357CE" w14:textId="77777777" w:rsidR="005E0855" w:rsidRPr="006306A0"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6306A0">
              <w:rPr>
                <w:rFonts w:ascii="Calibri Light" w:eastAsia="Times New Roman" w:hAnsi="Calibri Light" w:cs="Times New Roman"/>
                <w:color w:val="495965"/>
                <w:sz w:val="14"/>
                <w:szCs w:val="14"/>
                <w:lang w:val="en-AU" w:eastAsia="en-AU"/>
              </w:rPr>
              <w:t>Y</w:t>
            </w:r>
          </w:p>
        </w:tc>
      </w:tr>
      <w:tr w:rsidR="005E0855" w:rsidRPr="00E57552" w14:paraId="5824604C" w14:textId="77777777" w:rsidTr="00D0122E">
        <w:trPr>
          <w:trHeight w:val="315"/>
        </w:trPr>
        <w:tc>
          <w:tcPr>
            <w:tcW w:w="2900" w:type="dxa"/>
            <w:tcBorders>
              <w:top w:val="nil"/>
              <w:left w:val="nil"/>
              <w:bottom w:val="single" w:sz="4" w:space="0" w:color="auto"/>
              <w:right w:val="nil"/>
            </w:tcBorders>
            <w:shd w:val="clear" w:color="auto" w:fill="auto"/>
            <w:vAlign w:val="center"/>
            <w:hideMark/>
          </w:tcPr>
          <w:p w14:paraId="0E05AA70" w14:textId="77777777" w:rsidR="005E0855" w:rsidRPr="00E57552" w:rsidRDefault="005E0855" w:rsidP="005E0855">
            <w:pPr>
              <w:suppressAutoHyphens w:val="0"/>
              <w:spacing w:before="0" w:after="0" w:line="240" w:lineRule="auto"/>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color w:val="495965"/>
                <w:sz w:val="14"/>
                <w:szCs w:val="14"/>
                <w:lang w:val="en-AU" w:eastAsia="en-AU"/>
              </w:rPr>
              <w:t> </w:t>
            </w:r>
          </w:p>
        </w:tc>
        <w:tc>
          <w:tcPr>
            <w:tcW w:w="960" w:type="dxa"/>
            <w:tcBorders>
              <w:top w:val="nil"/>
              <w:left w:val="nil"/>
              <w:bottom w:val="single" w:sz="4" w:space="0" w:color="auto"/>
              <w:right w:val="nil"/>
            </w:tcBorders>
            <w:shd w:val="clear" w:color="auto" w:fill="auto"/>
            <w:vAlign w:val="center"/>
            <w:hideMark/>
          </w:tcPr>
          <w:p w14:paraId="0A6840DD" w14:textId="77777777"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 xml:space="preserve">2015-2025 </w:t>
            </w:r>
          </w:p>
        </w:tc>
        <w:tc>
          <w:tcPr>
            <w:tcW w:w="960" w:type="dxa"/>
            <w:tcBorders>
              <w:top w:val="nil"/>
              <w:left w:val="nil"/>
              <w:bottom w:val="single" w:sz="4" w:space="0" w:color="auto"/>
              <w:right w:val="nil"/>
            </w:tcBorders>
            <w:shd w:val="clear" w:color="auto" w:fill="auto"/>
            <w:vAlign w:val="center"/>
            <w:hideMark/>
          </w:tcPr>
          <w:p w14:paraId="5C8D1E46" w14:textId="11E565F6" w:rsidR="005E0855" w:rsidRPr="00E57552" w:rsidRDefault="005E0855" w:rsidP="005E0855">
            <w:pPr>
              <w:suppressAutoHyphens w:val="0"/>
              <w:spacing w:before="0" w:after="0" w:line="240" w:lineRule="auto"/>
              <w:jc w:val="center"/>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w:t>
            </w:r>
            <w:r>
              <w:rPr>
                <w:rFonts w:ascii="Calibri Light" w:eastAsia="Times New Roman" w:hAnsi="Calibri Light" w:cs="Times New Roman"/>
                <w:iCs/>
                <w:color w:val="495965"/>
                <w:sz w:val="14"/>
                <w:szCs w:val="14"/>
                <w:lang w:eastAsia="en-AU"/>
              </w:rPr>
              <w:t>8</w:t>
            </w:r>
            <w:r w:rsidRPr="00E57552">
              <w:rPr>
                <w:rFonts w:ascii="Calibri Light" w:eastAsia="Times New Roman" w:hAnsi="Calibri Light" w:cs="Times New Roman"/>
                <w:iCs/>
                <w:color w:val="495965"/>
                <w:sz w:val="14"/>
                <w:szCs w:val="14"/>
                <w:lang w:eastAsia="en-AU"/>
              </w:rPr>
              <w:t xml:space="preserve"> AQC</w:t>
            </w:r>
          </w:p>
        </w:tc>
        <w:tc>
          <w:tcPr>
            <w:tcW w:w="740" w:type="dxa"/>
            <w:tcBorders>
              <w:top w:val="nil"/>
              <w:left w:val="nil"/>
              <w:bottom w:val="single" w:sz="4" w:space="0" w:color="auto"/>
              <w:right w:val="nil"/>
            </w:tcBorders>
            <w:shd w:val="clear" w:color="auto" w:fill="92D050"/>
            <w:noWrap/>
            <w:vAlign w:val="center"/>
          </w:tcPr>
          <w:p w14:paraId="2CCF41EA" w14:textId="5B275F18"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6</w:t>
            </w:r>
          </w:p>
        </w:tc>
        <w:tc>
          <w:tcPr>
            <w:tcW w:w="740" w:type="dxa"/>
            <w:tcBorders>
              <w:top w:val="nil"/>
              <w:left w:val="nil"/>
              <w:bottom w:val="single" w:sz="4" w:space="0" w:color="auto"/>
              <w:right w:val="nil"/>
            </w:tcBorders>
            <w:shd w:val="clear" w:color="auto" w:fill="92D050"/>
            <w:noWrap/>
            <w:vAlign w:val="center"/>
          </w:tcPr>
          <w:p w14:paraId="262089B9" w14:textId="1078078B"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5</w:t>
            </w:r>
          </w:p>
        </w:tc>
        <w:tc>
          <w:tcPr>
            <w:tcW w:w="740" w:type="dxa"/>
            <w:tcBorders>
              <w:top w:val="nil"/>
              <w:left w:val="nil"/>
              <w:bottom w:val="single" w:sz="4" w:space="0" w:color="auto"/>
              <w:right w:val="nil"/>
            </w:tcBorders>
            <w:shd w:val="clear" w:color="auto" w:fill="FFFF00"/>
            <w:noWrap/>
            <w:vAlign w:val="center"/>
          </w:tcPr>
          <w:p w14:paraId="49503E45" w14:textId="67C62195"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nil"/>
              <w:left w:val="nil"/>
              <w:bottom w:val="single" w:sz="4" w:space="0" w:color="auto"/>
              <w:right w:val="nil"/>
            </w:tcBorders>
            <w:shd w:val="clear" w:color="auto" w:fill="FFFF00"/>
            <w:noWrap/>
            <w:vAlign w:val="center"/>
          </w:tcPr>
          <w:p w14:paraId="2671C285" w14:textId="370332E9"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4</w:t>
            </w:r>
          </w:p>
        </w:tc>
        <w:tc>
          <w:tcPr>
            <w:tcW w:w="740" w:type="dxa"/>
            <w:tcBorders>
              <w:top w:val="nil"/>
              <w:left w:val="nil"/>
              <w:bottom w:val="single" w:sz="4" w:space="0" w:color="auto"/>
              <w:right w:val="nil"/>
            </w:tcBorders>
            <w:shd w:val="clear" w:color="auto" w:fill="92D050"/>
            <w:noWrap/>
            <w:vAlign w:val="center"/>
          </w:tcPr>
          <w:p w14:paraId="75403FE8" w14:textId="10C4F00F"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5</w:t>
            </w:r>
          </w:p>
        </w:tc>
        <w:tc>
          <w:tcPr>
            <w:tcW w:w="740" w:type="dxa"/>
            <w:tcBorders>
              <w:top w:val="nil"/>
              <w:left w:val="nil"/>
              <w:bottom w:val="single" w:sz="4" w:space="0" w:color="auto"/>
              <w:right w:val="nil"/>
            </w:tcBorders>
            <w:shd w:val="clear" w:color="auto" w:fill="92D050"/>
            <w:noWrap/>
            <w:vAlign w:val="center"/>
          </w:tcPr>
          <w:p w14:paraId="3CE08E15" w14:textId="6E3A3A00" w:rsidR="005E0855" w:rsidRPr="00E57552"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5</w:t>
            </w:r>
          </w:p>
        </w:tc>
        <w:tc>
          <w:tcPr>
            <w:tcW w:w="740" w:type="dxa"/>
            <w:tcBorders>
              <w:top w:val="nil"/>
              <w:left w:val="nil"/>
              <w:bottom w:val="single" w:sz="4" w:space="0" w:color="auto"/>
              <w:right w:val="nil"/>
            </w:tcBorders>
            <w:shd w:val="clear" w:color="auto" w:fill="auto"/>
            <w:noWrap/>
            <w:vAlign w:val="center"/>
            <w:hideMark/>
          </w:tcPr>
          <w:p w14:paraId="0DB79D90" w14:textId="1F52BDC3" w:rsidR="005E0855" w:rsidRPr="006306A0"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6306A0">
              <w:rPr>
                <w:rFonts w:ascii="Calibri Light" w:eastAsia="Times New Roman" w:hAnsi="Calibri Light" w:cs="Times New Roman"/>
                <w:color w:val="495965"/>
                <w:sz w:val="14"/>
                <w:szCs w:val="14"/>
                <w:lang w:val="en-AU" w:eastAsia="en-AU"/>
              </w:rPr>
              <w:t>Y</w:t>
            </w:r>
          </w:p>
        </w:tc>
      </w:tr>
      <w:tr w:rsidR="005E0855" w:rsidRPr="00E57552" w14:paraId="31AFA221" w14:textId="77777777" w:rsidTr="00982E16">
        <w:trPr>
          <w:trHeight w:val="315"/>
        </w:trPr>
        <w:tc>
          <w:tcPr>
            <w:tcW w:w="2900" w:type="dxa"/>
            <w:tcBorders>
              <w:top w:val="single" w:sz="4" w:space="0" w:color="auto"/>
              <w:left w:val="nil"/>
              <w:bottom w:val="nil"/>
              <w:right w:val="nil"/>
            </w:tcBorders>
            <w:shd w:val="clear" w:color="auto" w:fill="auto"/>
            <w:vAlign w:val="center"/>
          </w:tcPr>
          <w:p w14:paraId="068F2C4A" w14:textId="77777777" w:rsidR="005E0855" w:rsidRPr="00E57552" w:rsidRDefault="005E0855" w:rsidP="005E0855">
            <w:pPr>
              <w:suppressAutoHyphens w:val="0"/>
              <w:spacing w:before="0" w:after="0" w:line="240" w:lineRule="auto"/>
              <w:rPr>
                <w:rFonts w:ascii="Calibri Light" w:eastAsia="Times New Roman" w:hAnsi="Calibri Light" w:cs="Times New Roman"/>
                <w:color w:val="495965"/>
                <w:sz w:val="14"/>
                <w:szCs w:val="14"/>
                <w:lang w:val="en-AU" w:eastAsia="en-AU"/>
              </w:rPr>
            </w:pPr>
            <w:r w:rsidRPr="00885431">
              <w:rPr>
                <w:rFonts w:ascii="Calibri Light" w:eastAsia="Times New Roman" w:hAnsi="Calibri Light" w:cs="Times New Roman"/>
                <w:color w:val="495965"/>
                <w:sz w:val="14"/>
                <w:szCs w:val="14"/>
                <w:lang w:val="en-AU" w:eastAsia="en-AU"/>
              </w:rPr>
              <w:t>Emerging Disease Risk Reduction- Mekong- Live Animal Marketing and Production</w:t>
            </w:r>
          </w:p>
        </w:tc>
        <w:tc>
          <w:tcPr>
            <w:tcW w:w="960" w:type="dxa"/>
            <w:tcBorders>
              <w:top w:val="single" w:sz="4" w:space="0" w:color="auto"/>
              <w:left w:val="nil"/>
              <w:bottom w:val="nil"/>
              <w:right w:val="nil"/>
            </w:tcBorders>
            <w:shd w:val="clear" w:color="auto" w:fill="auto"/>
            <w:vAlign w:val="center"/>
          </w:tcPr>
          <w:p w14:paraId="3DA2BCD8" w14:textId="77777777" w:rsidR="005E0855" w:rsidRPr="00E57552" w:rsidRDefault="005E0855" w:rsidP="005E0855">
            <w:pPr>
              <w:suppressAutoHyphens w:val="0"/>
              <w:spacing w:before="0" w:after="0" w:line="240" w:lineRule="auto"/>
              <w:jc w:val="right"/>
              <w:rPr>
                <w:rFonts w:ascii="Calibri Light" w:eastAsia="Times New Roman" w:hAnsi="Calibri Light" w:cs="Times New Roman"/>
                <w:iCs/>
                <w:color w:val="495965"/>
                <w:sz w:val="14"/>
                <w:szCs w:val="14"/>
                <w:lang w:eastAsia="en-AU"/>
              </w:rPr>
            </w:pPr>
            <w:r w:rsidRPr="00BE67FD">
              <w:rPr>
                <w:rFonts w:ascii="Calibri Light" w:eastAsia="Times New Roman" w:hAnsi="Calibri Light" w:cs="Times New Roman"/>
                <w:color w:val="000000"/>
                <w:sz w:val="14"/>
                <w:szCs w:val="14"/>
                <w:lang w:eastAsia="en-AU"/>
              </w:rPr>
              <w:t>$5.8</w:t>
            </w:r>
            <w:r>
              <w:rPr>
                <w:rFonts w:ascii="Calibri Light" w:eastAsia="Times New Roman" w:hAnsi="Calibri Light" w:cs="Times New Roman"/>
                <w:color w:val="000000"/>
                <w:sz w:val="14"/>
                <w:szCs w:val="14"/>
                <w:lang w:eastAsia="en-AU"/>
              </w:rPr>
              <w:t>9</w:t>
            </w:r>
            <w:r w:rsidRPr="00BE67FD">
              <w:rPr>
                <w:rFonts w:ascii="Calibri Light" w:eastAsia="Times New Roman" w:hAnsi="Calibri Light" w:cs="Times New Roman"/>
                <w:color w:val="000000"/>
                <w:sz w:val="14"/>
                <w:szCs w:val="14"/>
                <w:lang w:eastAsia="en-AU"/>
              </w:rPr>
              <w:t>m</w:t>
            </w:r>
          </w:p>
        </w:tc>
        <w:tc>
          <w:tcPr>
            <w:tcW w:w="960" w:type="dxa"/>
            <w:tcBorders>
              <w:top w:val="single" w:sz="4" w:space="0" w:color="auto"/>
              <w:left w:val="nil"/>
              <w:bottom w:val="nil"/>
              <w:right w:val="nil"/>
            </w:tcBorders>
            <w:shd w:val="clear" w:color="auto" w:fill="auto"/>
            <w:vAlign w:val="center"/>
          </w:tcPr>
          <w:p w14:paraId="27337985" w14:textId="3CE68590" w:rsidR="005E0855" w:rsidRPr="00E57552" w:rsidRDefault="005E0855" w:rsidP="005E0855">
            <w:pPr>
              <w:suppressAutoHyphens w:val="0"/>
              <w:spacing w:before="0" w:after="0" w:line="240" w:lineRule="auto"/>
              <w:jc w:val="center"/>
              <w:rPr>
                <w:rFonts w:ascii="Calibri Light" w:eastAsia="Times New Roman" w:hAnsi="Calibri Light" w:cs="Times New Roman"/>
                <w:iCs/>
                <w:color w:val="495965"/>
                <w:sz w:val="14"/>
                <w:szCs w:val="14"/>
                <w:lang w:eastAsia="en-AU"/>
              </w:rPr>
            </w:pPr>
            <w:r w:rsidRPr="00E57552">
              <w:rPr>
                <w:rFonts w:ascii="Calibri Light" w:eastAsia="Times New Roman" w:hAnsi="Calibri Light" w:cs="Times New Roman"/>
                <w:iCs/>
                <w:color w:val="495965"/>
                <w:sz w:val="14"/>
                <w:szCs w:val="14"/>
                <w:lang w:eastAsia="en-AU"/>
              </w:rPr>
              <w:t>201</w:t>
            </w:r>
            <w:r>
              <w:rPr>
                <w:rFonts w:ascii="Calibri Light" w:eastAsia="Times New Roman" w:hAnsi="Calibri Light" w:cs="Times New Roman"/>
                <w:iCs/>
                <w:color w:val="495965"/>
                <w:sz w:val="14"/>
                <w:szCs w:val="14"/>
                <w:lang w:eastAsia="en-AU"/>
              </w:rPr>
              <w:t>9</w:t>
            </w:r>
            <w:r w:rsidRPr="00E57552">
              <w:rPr>
                <w:rFonts w:ascii="Calibri Light" w:eastAsia="Times New Roman" w:hAnsi="Calibri Light" w:cs="Times New Roman"/>
                <w:iCs/>
                <w:color w:val="495965"/>
                <w:sz w:val="14"/>
                <w:szCs w:val="14"/>
                <w:lang w:eastAsia="en-AU"/>
              </w:rPr>
              <w:t xml:space="preserve"> AQC</w:t>
            </w:r>
          </w:p>
        </w:tc>
        <w:tc>
          <w:tcPr>
            <w:tcW w:w="740" w:type="dxa"/>
            <w:tcBorders>
              <w:top w:val="single" w:sz="4" w:space="0" w:color="auto"/>
              <w:left w:val="nil"/>
              <w:bottom w:val="nil"/>
              <w:right w:val="nil"/>
            </w:tcBorders>
            <w:shd w:val="clear" w:color="auto" w:fill="auto"/>
            <w:noWrap/>
            <w:vAlign w:val="center"/>
          </w:tcPr>
          <w:p w14:paraId="7CC9AEFE" w14:textId="28231D87" w:rsidR="005E0855" w:rsidRDefault="005E0855" w:rsidP="005E0855">
            <w:pPr>
              <w:suppressAutoHyphens w:val="0"/>
              <w:spacing w:before="0" w:after="0" w:line="240" w:lineRule="auto"/>
              <w:jc w:val="right"/>
              <w:rPr>
                <w:rFonts w:ascii="Calibri Light" w:eastAsia="Times New Roman" w:hAnsi="Calibri Light" w:cs="Times New Roman"/>
                <w:iCs/>
                <w:color w:val="495965"/>
                <w:sz w:val="14"/>
                <w:szCs w:val="14"/>
                <w:lang w:eastAsia="en-AU"/>
              </w:rPr>
            </w:pPr>
            <w:r>
              <w:rPr>
                <w:rFonts w:ascii="Calibri Light" w:eastAsia="Times New Roman" w:hAnsi="Calibri Light" w:cs="Times New Roman"/>
                <w:iCs/>
                <w:color w:val="495965"/>
                <w:sz w:val="14"/>
                <w:szCs w:val="14"/>
                <w:lang w:eastAsia="en-AU"/>
              </w:rPr>
              <w:t>N/A</w:t>
            </w:r>
          </w:p>
        </w:tc>
        <w:tc>
          <w:tcPr>
            <w:tcW w:w="740" w:type="dxa"/>
            <w:tcBorders>
              <w:top w:val="single" w:sz="4" w:space="0" w:color="auto"/>
              <w:left w:val="nil"/>
              <w:bottom w:val="nil"/>
              <w:right w:val="nil"/>
            </w:tcBorders>
            <w:shd w:val="clear" w:color="auto" w:fill="FFFF00"/>
            <w:noWrap/>
            <w:vAlign w:val="center"/>
          </w:tcPr>
          <w:p w14:paraId="604B31A5" w14:textId="60B83F3B" w:rsidR="005E0855" w:rsidRDefault="005E0855" w:rsidP="005E0855">
            <w:pPr>
              <w:suppressAutoHyphens w:val="0"/>
              <w:spacing w:before="0" w:after="0" w:line="240" w:lineRule="auto"/>
              <w:jc w:val="right"/>
              <w:rPr>
                <w:rFonts w:ascii="Calibri Light" w:eastAsia="Times New Roman" w:hAnsi="Calibri Light" w:cs="Times New Roman"/>
                <w:iCs/>
                <w:color w:val="495965"/>
                <w:sz w:val="14"/>
                <w:szCs w:val="14"/>
                <w:lang w:eastAsia="en-AU"/>
              </w:rPr>
            </w:pPr>
            <w:r>
              <w:rPr>
                <w:rFonts w:ascii="Calibri Light" w:eastAsia="Times New Roman" w:hAnsi="Calibri Light" w:cs="Times New Roman"/>
                <w:iCs/>
                <w:color w:val="495965"/>
                <w:sz w:val="14"/>
                <w:szCs w:val="14"/>
                <w:lang w:eastAsia="en-AU"/>
              </w:rPr>
              <w:t>4</w:t>
            </w:r>
          </w:p>
        </w:tc>
        <w:tc>
          <w:tcPr>
            <w:tcW w:w="740" w:type="dxa"/>
            <w:tcBorders>
              <w:top w:val="single" w:sz="4" w:space="0" w:color="auto"/>
              <w:left w:val="nil"/>
              <w:bottom w:val="nil"/>
              <w:right w:val="nil"/>
            </w:tcBorders>
            <w:shd w:val="clear" w:color="auto" w:fill="FFFF00"/>
            <w:noWrap/>
            <w:vAlign w:val="center"/>
          </w:tcPr>
          <w:p w14:paraId="3FBC6C05" w14:textId="7CBCA37D" w:rsidR="005E0855" w:rsidRDefault="005E0855" w:rsidP="005E0855">
            <w:pPr>
              <w:suppressAutoHyphens w:val="0"/>
              <w:spacing w:before="0" w:after="0" w:line="240" w:lineRule="auto"/>
              <w:jc w:val="right"/>
              <w:rPr>
                <w:rFonts w:ascii="Calibri Light" w:eastAsia="Times New Roman" w:hAnsi="Calibri Light" w:cs="Times New Roman"/>
                <w:iCs/>
                <w:color w:val="495965"/>
                <w:sz w:val="14"/>
                <w:szCs w:val="14"/>
                <w:lang w:eastAsia="en-AU"/>
              </w:rPr>
            </w:pPr>
            <w:r>
              <w:rPr>
                <w:rFonts w:ascii="Calibri Light" w:eastAsia="Times New Roman" w:hAnsi="Calibri Light" w:cs="Times New Roman"/>
                <w:iCs/>
                <w:color w:val="495965"/>
                <w:sz w:val="14"/>
                <w:szCs w:val="14"/>
                <w:lang w:eastAsia="en-AU"/>
              </w:rPr>
              <w:t>4</w:t>
            </w:r>
          </w:p>
        </w:tc>
        <w:tc>
          <w:tcPr>
            <w:tcW w:w="740" w:type="dxa"/>
            <w:tcBorders>
              <w:top w:val="single" w:sz="4" w:space="0" w:color="auto"/>
              <w:left w:val="nil"/>
              <w:bottom w:val="nil"/>
              <w:right w:val="nil"/>
            </w:tcBorders>
            <w:shd w:val="clear" w:color="auto" w:fill="auto"/>
            <w:noWrap/>
            <w:vAlign w:val="center"/>
          </w:tcPr>
          <w:p w14:paraId="3A88D6EE" w14:textId="79AAED82" w:rsidR="005E0855" w:rsidRDefault="005E0855" w:rsidP="005E0855">
            <w:pPr>
              <w:suppressAutoHyphens w:val="0"/>
              <w:spacing w:before="0" w:after="0" w:line="240" w:lineRule="auto"/>
              <w:jc w:val="right"/>
              <w:rPr>
                <w:rFonts w:ascii="Calibri Light" w:eastAsia="Times New Roman" w:hAnsi="Calibri Light" w:cs="Times New Roman"/>
                <w:iCs/>
                <w:color w:val="495965"/>
                <w:sz w:val="14"/>
                <w:szCs w:val="14"/>
                <w:lang w:eastAsia="en-AU"/>
              </w:rPr>
            </w:pPr>
            <w:r>
              <w:rPr>
                <w:rFonts w:ascii="Calibri Light" w:eastAsia="Times New Roman" w:hAnsi="Calibri Light" w:cs="Times New Roman"/>
                <w:iCs/>
                <w:color w:val="495965"/>
                <w:sz w:val="14"/>
                <w:szCs w:val="14"/>
                <w:lang w:eastAsia="en-AU"/>
              </w:rPr>
              <w:t>N/A</w:t>
            </w:r>
          </w:p>
        </w:tc>
        <w:tc>
          <w:tcPr>
            <w:tcW w:w="740" w:type="dxa"/>
            <w:tcBorders>
              <w:top w:val="single" w:sz="4" w:space="0" w:color="auto"/>
              <w:left w:val="nil"/>
              <w:bottom w:val="nil"/>
              <w:right w:val="nil"/>
            </w:tcBorders>
            <w:shd w:val="clear" w:color="auto" w:fill="auto"/>
            <w:noWrap/>
            <w:vAlign w:val="center"/>
          </w:tcPr>
          <w:p w14:paraId="2EAA3D82" w14:textId="429D91DF" w:rsidR="005E0855" w:rsidRDefault="005E0855" w:rsidP="005E0855">
            <w:pPr>
              <w:suppressAutoHyphens w:val="0"/>
              <w:spacing w:before="0" w:after="0" w:line="240" w:lineRule="auto"/>
              <w:jc w:val="right"/>
              <w:rPr>
                <w:rFonts w:ascii="Calibri Light" w:eastAsia="Times New Roman" w:hAnsi="Calibri Light" w:cs="Times New Roman"/>
                <w:iCs/>
                <w:color w:val="495965"/>
                <w:sz w:val="14"/>
                <w:szCs w:val="14"/>
                <w:lang w:eastAsia="en-AU"/>
              </w:rPr>
            </w:pPr>
            <w:r>
              <w:rPr>
                <w:rFonts w:ascii="Calibri Light" w:eastAsia="Times New Roman" w:hAnsi="Calibri Light" w:cs="Times New Roman"/>
                <w:iCs/>
                <w:color w:val="495965"/>
                <w:sz w:val="14"/>
                <w:szCs w:val="14"/>
                <w:lang w:eastAsia="en-AU"/>
              </w:rPr>
              <w:t>N/A</w:t>
            </w:r>
          </w:p>
        </w:tc>
        <w:tc>
          <w:tcPr>
            <w:tcW w:w="740" w:type="dxa"/>
            <w:tcBorders>
              <w:top w:val="single" w:sz="4" w:space="0" w:color="auto"/>
              <w:left w:val="nil"/>
              <w:bottom w:val="nil"/>
              <w:right w:val="nil"/>
            </w:tcBorders>
            <w:shd w:val="clear" w:color="auto" w:fill="92D050"/>
            <w:noWrap/>
            <w:vAlign w:val="center"/>
          </w:tcPr>
          <w:p w14:paraId="54065DEC" w14:textId="2311CB9A" w:rsidR="005E0855" w:rsidRDefault="005E0855" w:rsidP="005E0855">
            <w:pPr>
              <w:suppressAutoHyphens w:val="0"/>
              <w:spacing w:before="0" w:after="0" w:line="240" w:lineRule="auto"/>
              <w:jc w:val="right"/>
              <w:rPr>
                <w:rFonts w:ascii="Calibri Light" w:eastAsia="Times New Roman" w:hAnsi="Calibri Light" w:cs="Times New Roman"/>
                <w:iCs/>
                <w:color w:val="495965"/>
                <w:sz w:val="14"/>
                <w:szCs w:val="14"/>
                <w:lang w:eastAsia="en-AU"/>
              </w:rPr>
            </w:pPr>
            <w:r>
              <w:rPr>
                <w:rFonts w:ascii="Calibri Light" w:eastAsia="Times New Roman" w:hAnsi="Calibri Light" w:cs="Times New Roman"/>
                <w:iCs/>
                <w:color w:val="495965"/>
                <w:sz w:val="14"/>
                <w:szCs w:val="14"/>
                <w:lang w:eastAsia="en-AU"/>
              </w:rPr>
              <w:t>5</w:t>
            </w:r>
          </w:p>
        </w:tc>
        <w:tc>
          <w:tcPr>
            <w:tcW w:w="740" w:type="dxa"/>
            <w:tcBorders>
              <w:top w:val="single" w:sz="4" w:space="0" w:color="auto"/>
              <w:left w:val="nil"/>
              <w:bottom w:val="nil"/>
              <w:right w:val="nil"/>
            </w:tcBorders>
            <w:shd w:val="clear" w:color="auto" w:fill="auto"/>
            <w:noWrap/>
            <w:vAlign w:val="center"/>
          </w:tcPr>
          <w:p w14:paraId="134DFB55" w14:textId="77777777" w:rsidR="005E0855" w:rsidRPr="006306A0"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6306A0">
              <w:rPr>
                <w:rFonts w:ascii="Calibri Light" w:eastAsia="Times New Roman" w:hAnsi="Calibri Light" w:cs="Times New Roman"/>
                <w:color w:val="495965"/>
                <w:sz w:val="14"/>
                <w:szCs w:val="14"/>
                <w:lang w:val="en-AU" w:eastAsia="en-AU"/>
              </w:rPr>
              <w:t>Y</w:t>
            </w:r>
          </w:p>
        </w:tc>
      </w:tr>
      <w:tr w:rsidR="005E0855" w:rsidRPr="00E57552" w14:paraId="006D3027" w14:textId="77777777" w:rsidTr="009D03F9">
        <w:trPr>
          <w:trHeight w:val="315"/>
        </w:trPr>
        <w:tc>
          <w:tcPr>
            <w:tcW w:w="2900" w:type="dxa"/>
            <w:tcBorders>
              <w:top w:val="nil"/>
              <w:left w:val="nil"/>
              <w:bottom w:val="single" w:sz="8" w:space="0" w:color="auto"/>
              <w:right w:val="nil"/>
            </w:tcBorders>
            <w:shd w:val="clear" w:color="auto" w:fill="auto"/>
            <w:vAlign w:val="center"/>
          </w:tcPr>
          <w:p w14:paraId="39EB92F2" w14:textId="77777777" w:rsidR="005E0855" w:rsidRPr="00E57552" w:rsidRDefault="005E0855" w:rsidP="005E0855">
            <w:pPr>
              <w:suppressAutoHyphens w:val="0"/>
              <w:spacing w:before="0" w:after="0" w:line="240" w:lineRule="auto"/>
              <w:rPr>
                <w:rFonts w:ascii="Calibri Light" w:eastAsia="Times New Roman" w:hAnsi="Calibri Light" w:cs="Times New Roman"/>
                <w:color w:val="495965"/>
                <w:sz w:val="14"/>
                <w:szCs w:val="14"/>
                <w:lang w:val="en-AU" w:eastAsia="en-AU"/>
              </w:rPr>
            </w:pPr>
          </w:p>
        </w:tc>
        <w:tc>
          <w:tcPr>
            <w:tcW w:w="960" w:type="dxa"/>
            <w:tcBorders>
              <w:top w:val="nil"/>
              <w:left w:val="nil"/>
              <w:bottom w:val="single" w:sz="8" w:space="0" w:color="auto"/>
              <w:right w:val="nil"/>
            </w:tcBorders>
            <w:shd w:val="clear" w:color="auto" w:fill="auto"/>
            <w:vAlign w:val="center"/>
          </w:tcPr>
          <w:p w14:paraId="1D712848" w14:textId="77777777" w:rsidR="005E0855" w:rsidRPr="00E57552" w:rsidRDefault="005E0855" w:rsidP="005E0855">
            <w:pPr>
              <w:suppressAutoHyphens w:val="0"/>
              <w:spacing w:before="0" w:after="0" w:line="240" w:lineRule="auto"/>
              <w:jc w:val="right"/>
              <w:rPr>
                <w:rFonts w:ascii="Calibri Light" w:eastAsia="Times New Roman" w:hAnsi="Calibri Light" w:cs="Times New Roman"/>
                <w:iCs/>
                <w:color w:val="495965"/>
                <w:sz w:val="14"/>
                <w:szCs w:val="14"/>
                <w:lang w:eastAsia="en-AU"/>
              </w:rPr>
            </w:pPr>
            <w:r>
              <w:rPr>
                <w:rFonts w:ascii="Calibri Light" w:eastAsia="Times New Roman" w:hAnsi="Calibri Light" w:cs="Times New Roman"/>
                <w:iCs/>
                <w:color w:val="495965"/>
                <w:sz w:val="14"/>
                <w:szCs w:val="14"/>
                <w:lang w:eastAsia="en-AU"/>
              </w:rPr>
              <w:t>2011-2019</w:t>
            </w:r>
          </w:p>
        </w:tc>
        <w:tc>
          <w:tcPr>
            <w:tcW w:w="960" w:type="dxa"/>
            <w:tcBorders>
              <w:top w:val="nil"/>
              <w:left w:val="nil"/>
              <w:bottom w:val="single" w:sz="8" w:space="0" w:color="auto"/>
              <w:right w:val="nil"/>
            </w:tcBorders>
            <w:shd w:val="clear" w:color="auto" w:fill="auto"/>
            <w:vAlign w:val="center"/>
          </w:tcPr>
          <w:p w14:paraId="192307E2" w14:textId="5126152C" w:rsidR="005E0855" w:rsidRPr="00E57552" w:rsidRDefault="005E0855" w:rsidP="005E0855">
            <w:pPr>
              <w:suppressAutoHyphens w:val="0"/>
              <w:spacing w:before="0" w:after="0" w:line="240" w:lineRule="auto"/>
              <w:jc w:val="center"/>
              <w:rPr>
                <w:rFonts w:ascii="Calibri Light" w:eastAsia="Times New Roman" w:hAnsi="Calibri Light" w:cs="Times New Roman"/>
                <w:iCs/>
                <w:color w:val="495965"/>
                <w:sz w:val="14"/>
                <w:szCs w:val="14"/>
                <w:lang w:eastAsia="en-AU"/>
              </w:rPr>
            </w:pPr>
            <w:r w:rsidRPr="00E57552">
              <w:rPr>
                <w:rFonts w:ascii="Calibri Light" w:eastAsia="Times New Roman" w:hAnsi="Calibri Light" w:cs="Times New Roman"/>
                <w:iCs/>
                <w:color w:val="495965"/>
                <w:sz w:val="14"/>
                <w:szCs w:val="14"/>
                <w:lang w:eastAsia="en-AU"/>
              </w:rPr>
              <w:t>201</w:t>
            </w:r>
            <w:r>
              <w:rPr>
                <w:rFonts w:ascii="Calibri Light" w:eastAsia="Times New Roman" w:hAnsi="Calibri Light" w:cs="Times New Roman"/>
                <w:iCs/>
                <w:color w:val="495965"/>
                <w:sz w:val="14"/>
                <w:szCs w:val="14"/>
                <w:lang w:eastAsia="en-AU"/>
              </w:rPr>
              <w:t>8</w:t>
            </w:r>
            <w:r w:rsidRPr="00E57552">
              <w:rPr>
                <w:rFonts w:ascii="Calibri Light" w:eastAsia="Times New Roman" w:hAnsi="Calibri Light" w:cs="Times New Roman"/>
                <w:iCs/>
                <w:color w:val="495965"/>
                <w:sz w:val="14"/>
                <w:szCs w:val="14"/>
                <w:lang w:eastAsia="en-AU"/>
              </w:rPr>
              <w:t xml:space="preserve"> AQC</w:t>
            </w:r>
          </w:p>
        </w:tc>
        <w:tc>
          <w:tcPr>
            <w:tcW w:w="740" w:type="dxa"/>
            <w:tcBorders>
              <w:top w:val="nil"/>
              <w:left w:val="nil"/>
              <w:bottom w:val="single" w:sz="8" w:space="0" w:color="auto"/>
              <w:right w:val="nil"/>
            </w:tcBorders>
            <w:shd w:val="clear" w:color="auto" w:fill="92D050"/>
            <w:noWrap/>
            <w:vAlign w:val="center"/>
          </w:tcPr>
          <w:p w14:paraId="6FF225A4" w14:textId="4FFF176D" w:rsidR="005E0855" w:rsidRDefault="005E0855" w:rsidP="005E0855">
            <w:pPr>
              <w:suppressAutoHyphens w:val="0"/>
              <w:spacing w:before="0" w:after="0" w:line="240" w:lineRule="auto"/>
              <w:jc w:val="right"/>
              <w:rPr>
                <w:rFonts w:ascii="Calibri Light" w:eastAsia="Times New Roman" w:hAnsi="Calibri Light" w:cs="Times New Roman"/>
                <w:iCs/>
                <w:color w:val="495965"/>
                <w:sz w:val="14"/>
                <w:szCs w:val="14"/>
                <w:lang w:eastAsia="en-AU"/>
              </w:rPr>
            </w:pPr>
            <w:r>
              <w:rPr>
                <w:rFonts w:ascii="Calibri Light" w:eastAsia="Times New Roman" w:hAnsi="Calibri Light" w:cs="Times New Roman"/>
                <w:iCs/>
                <w:color w:val="495965"/>
                <w:sz w:val="14"/>
                <w:szCs w:val="14"/>
                <w:lang w:eastAsia="en-AU"/>
              </w:rPr>
              <w:t>5</w:t>
            </w:r>
          </w:p>
        </w:tc>
        <w:tc>
          <w:tcPr>
            <w:tcW w:w="740" w:type="dxa"/>
            <w:tcBorders>
              <w:top w:val="nil"/>
              <w:left w:val="nil"/>
              <w:bottom w:val="single" w:sz="8" w:space="0" w:color="auto"/>
              <w:right w:val="nil"/>
            </w:tcBorders>
            <w:shd w:val="clear" w:color="auto" w:fill="FFFF00"/>
            <w:noWrap/>
            <w:vAlign w:val="center"/>
          </w:tcPr>
          <w:p w14:paraId="379AFBCA" w14:textId="08328220" w:rsidR="005E0855" w:rsidRDefault="005E0855" w:rsidP="005E0855">
            <w:pPr>
              <w:suppressAutoHyphens w:val="0"/>
              <w:spacing w:before="0" w:after="0" w:line="240" w:lineRule="auto"/>
              <w:jc w:val="right"/>
              <w:rPr>
                <w:rFonts w:ascii="Calibri Light" w:eastAsia="Times New Roman" w:hAnsi="Calibri Light" w:cs="Times New Roman"/>
                <w:iCs/>
                <w:color w:val="495965"/>
                <w:sz w:val="14"/>
                <w:szCs w:val="14"/>
                <w:lang w:eastAsia="en-AU"/>
              </w:rPr>
            </w:pPr>
            <w:r>
              <w:rPr>
                <w:rFonts w:ascii="Calibri Light" w:eastAsia="Times New Roman" w:hAnsi="Calibri Light" w:cs="Times New Roman"/>
                <w:iCs/>
                <w:color w:val="495965"/>
                <w:sz w:val="14"/>
                <w:szCs w:val="14"/>
                <w:lang w:eastAsia="en-AU"/>
              </w:rPr>
              <w:t>4</w:t>
            </w:r>
          </w:p>
        </w:tc>
        <w:tc>
          <w:tcPr>
            <w:tcW w:w="740" w:type="dxa"/>
            <w:tcBorders>
              <w:top w:val="nil"/>
              <w:left w:val="nil"/>
              <w:bottom w:val="single" w:sz="8" w:space="0" w:color="auto"/>
              <w:right w:val="nil"/>
            </w:tcBorders>
            <w:shd w:val="clear" w:color="auto" w:fill="FFC000"/>
            <w:noWrap/>
            <w:vAlign w:val="center"/>
          </w:tcPr>
          <w:p w14:paraId="4FBA4DEC" w14:textId="3EC004F3" w:rsidR="005E0855" w:rsidRDefault="005E0855" w:rsidP="005E0855">
            <w:pPr>
              <w:suppressAutoHyphens w:val="0"/>
              <w:spacing w:before="0" w:after="0" w:line="240" w:lineRule="auto"/>
              <w:jc w:val="right"/>
              <w:rPr>
                <w:rFonts w:ascii="Calibri Light" w:eastAsia="Times New Roman" w:hAnsi="Calibri Light" w:cs="Times New Roman"/>
                <w:iCs/>
                <w:color w:val="495965"/>
                <w:sz w:val="14"/>
                <w:szCs w:val="14"/>
                <w:lang w:eastAsia="en-AU"/>
              </w:rPr>
            </w:pPr>
            <w:r>
              <w:rPr>
                <w:rFonts w:ascii="Calibri Light" w:eastAsia="Times New Roman" w:hAnsi="Calibri Light" w:cs="Times New Roman"/>
                <w:iCs/>
                <w:color w:val="495965"/>
                <w:sz w:val="14"/>
                <w:szCs w:val="14"/>
                <w:lang w:eastAsia="en-AU"/>
              </w:rPr>
              <w:t>3</w:t>
            </w:r>
          </w:p>
        </w:tc>
        <w:tc>
          <w:tcPr>
            <w:tcW w:w="740" w:type="dxa"/>
            <w:tcBorders>
              <w:top w:val="nil"/>
              <w:left w:val="nil"/>
              <w:bottom w:val="single" w:sz="8" w:space="0" w:color="auto"/>
              <w:right w:val="nil"/>
            </w:tcBorders>
            <w:shd w:val="clear" w:color="auto" w:fill="FFFF00"/>
            <w:noWrap/>
            <w:vAlign w:val="center"/>
          </w:tcPr>
          <w:p w14:paraId="394C32E6" w14:textId="4D8D022D" w:rsidR="005E0855" w:rsidRDefault="005E0855" w:rsidP="005E0855">
            <w:pPr>
              <w:suppressAutoHyphens w:val="0"/>
              <w:spacing w:before="0" w:after="0" w:line="240" w:lineRule="auto"/>
              <w:jc w:val="right"/>
              <w:rPr>
                <w:rFonts w:ascii="Calibri Light" w:eastAsia="Times New Roman" w:hAnsi="Calibri Light" w:cs="Times New Roman"/>
                <w:iCs/>
                <w:color w:val="495965"/>
                <w:sz w:val="14"/>
                <w:szCs w:val="14"/>
                <w:lang w:eastAsia="en-AU"/>
              </w:rPr>
            </w:pPr>
            <w:r>
              <w:rPr>
                <w:rFonts w:ascii="Calibri Light" w:eastAsia="Times New Roman" w:hAnsi="Calibri Light" w:cs="Times New Roman"/>
                <w:iCs/>
                <w:color w:val="495965"/>
                <w:sz w:val="14"/>
                <w:szCs w:val="14"/>
                <w:lang w:eastAsia="en-AU"/>
              </w:rPr>
              <w:t>4</w:t>
            </w:r>
          </w:p>
        </w:tc>
        <w:tc>
          <w:tcPr>
            <w:tcW w:w="740" w:type="dxa"/>
            <w:tcBorders>
              <w:top w:val="nil"/>
              <w:left w:val="nil"/>
              <w:bottom w:val="single" w:sz="8" w:space="0" w:color="auto"/>
              <w:right w:val="nil"/>
            </w:tcBorders>
            <w:shd w:val="clear" w:color="auto" w:fill="FFC000"/>
            <w:noWrap/>
            <w:vAlign w:val="center"/>
          </w:tcPr>
          <w:p w14:paraId="3B496511" w14:textId="576E3C0A" w:rsidR="005E0855" w:rsidRDefault="005E0855" w:rsidP="005E0855">
            <w:pPr>
              <w:suppressAutoHyphens w:val="0"/>
              <w:spacing w:before="0" w:after="0" w:line="240" w:lineRule="auto"/>
              <w:jc w:val="right"/>
              <w:rPr>
                <w:rFonts w:ascii="Calibri Light" w:eastAsia="Times New Roman" w:hAnsi="Calibri Light" w:cs="Times New Roman"/>
                <w:iCs/>
                <w:color w:val="495965"/>
                <w:sz w:val="14"/>
                <w:szCs w:val="14"/>
                <w:lang w:eastAsia="en-AU"/>
              </w:rPr>
            </w:pPr>
            <w:r>
              <w:rPr>
                <w:rFonts w:ascii="Calibri Light" w:eastAsia="Times New Roman" w:hAnsi="Calibri Light" w:cs="Times New Roman"/>
                <w:iCs/>
                <w:color w:val="495965"/>
                <w:sz w:val="14"/>
                <w:szCs w:val="14"/>
                <w:lang w:eastAsia="en-AU"/>
              </w:rPr>
              <w:t>3</w:t>
            </w:r>
          </w:p>
        </w:tc>
        <w:tc>
          <w:tcPr>
            <w:tcW w:w="740" w:type="dxa"/>
            <w:tcBorders>
              <w:top w:val="nil"/>
              <w:left w:val="nil"/>
              <w:bottom w:val="single" w:sz="8" w:space="0" w:color="auto"/>
              <w:right w:val="nil"/>
            </w:tcBorders>
            <w:shd w:val="clear" w:color="auto" w:fill="FFFF00"/>
            <w:noWrap/>
            <w:vAlign w:val="center"/>
          </w:tcPr>
          <w:p w14:paraId="09B709E8" w14:textId="5B4AB14D" w:rsidR="005E0855" w:rsidRDefault="005E0855" w:rsidP="005E0855">
            <w:pPr>
              <w:suppressAutoHyphens w:val="0"/>
              <w:spacing w:before="0" w:after="0" w:line="240" w:lineRule="auto"/>
              <w:jc w:val="right"/>
              <w:rPr>
                <w:rFonts w:ascii="Calibri Light" w:eastAsia="Times New Roman" w:hAnsi="Calibri Light" w:cs="Times New Roman"/>
                <w:iCs/>
                <w:color w:val="495965"/>
                <w:sz w:val="14"/>
                <w:szCs w:val="14"/>
                <w:lang w:eastAsia="en-AU"/>
              </w:rPr>
            </w:pPr>
            <w:r>
              <w:rPr>
                <w:rFonts w:ascii="Calibri Light" w:eastAsia="Times New Roman" w:hAnsi="Calibri Light" w:cs="Times New Roman"/>
                <w:iCs/>
                <w:color w:val="495965"/>
                <w:sz w:val="14"/>
                <w:szCs w:val="14"/>
                <w:lang w:eastAsia="en-AU"/>
              </w:rPr>
              <w:t>4</w:t>
            </w:r>
          </w:p>
        </w:tc>
        <w:tc>
          <w:tcPr>
            <w:tcW w:w="740" w:type="dxa"/>
            <w:tcBorders>
              <w:top w:val="nil"/>
              <w:left w:val="nil"/>
              <w:bottom w:val="single" w:sz="8" w:space="0" w:color="auto"/>
              <w:right w:val="nil"/>
            </w:tcBorders>
            <w:shd w:val="clear" w:color="auto" w:fill="auto"/>
            <w:noWrap/>
            <w:vAlign w:val="center"/>
          </w:tcPr>
          <w:p w14:paraId="4E03BCC2" w14:textId="2A3B0F9A" w:rsidR="005E0855" w:rsidRPr="006306A0" w:rsidRDefault="005E0855" w:rsidP="005E0855">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6306A0">
              <w:rPr>
                <w:rFonts w:ascii="Calibri Light" w:eastAsia="Times New Roman" w:hAnsi="Calibri Light" w:cs="Times New Roman"/>
                <w:color w:val="495965"/>
                <w:sz w:val="14"/>
                <w:szCs w:val="14"/>
                <w:lang w:val="en-AU" w:eastAsia="en-AU"/>
              </w:rPr>
              <w:t>Y</w:t>
            </w:r>
          </w:p>
        </w:tc>
      </w:tr>
    </w:tbl>
    <w:p w14:paraId="7515E11D" w14:textId="45AF2318" w:rsidR="002414EA" w:rsidRPr="009C2EBA" w:rsidRDefault="00E413DE" w:rsidP="00A8197B">
      <w:pPr>
        <w:pStyle w:val="ListBullet"/>
        <w:tabs>
          <w:tab w:val="clear" w:pos="284"/>
        </w:tabs>
        <w:spacing w:before="400"/>
        <w:rPr>
          <w:rFonts w:asciiTheme="majorHAnsi" w:eastAsiaTheme="majorEastAsia" w:hAnsiTheme="majorHAnsi" w:cstheme="majorBidi"/>
          <w:bCs/>
          <w:caps/>
          <w:color w:val="495965" w:themeColor="text2"/>
          <w:sz w:val="38"/>
          <w:szCs w:val="26"/>
          <w:lang w:val="en-GB" w:eastAsia="en-US"/>
        </w:rPr>
      </w:pPr>
      <w:r w:rsidRPr="009C2EBA">
        <w:rPr>
          <w:bCs/>
          <w:color w:val="495965" w:themeColor="text2"/>
          <w:sz w:val="16"/>
          <w:szCs w:val="14"/>
        </w:rPr>
        <w:t xml:space="preserve">*Note: Risks and safeguards were not </w:t>
      </w:r>
      <w:r w:rsidR="00B4145D" w:rsidRPr="009C2EBA">
        <w:rPr>
          <w:bCs/>
          <w:color w:val="495965" w:themeColor="text2"/>
          <w:sz w:val="16"/>
          <w:szCs w:val="14"/>
        </w:rPr>
        <w:t>rated in 2017. In 2018, AQCs recorded whether the investment had a renewed or updated risk register and whether actions were being taken to mitigate risks, and further actions identified as required.</w:t>
      </w:r>
    </w:p>
    <w:p w14:paraId="74E57B2B" w14:textId="6369F97D" w:rsidR="002414EA" w:rsidRDefault="002414EA">
      <w:pPr>
        <w:suppressAutoHyphens w:val="0"/>
        <w:spacing w:before="0" w:after="120" w:line="440" w:lineRule="atLeast"/>
        <w:rPr>
          <w:rFonts w:asciiTheme="majorHAnsi" w:eastAsiaTheme="majorEastAsia" w:hAnsiTheme="majorHAnsi" w:cstheme="majorBidi"/>
          <w:caps/>
          <w:sz w:val="38"/>
          <w:szCs w:val="26"/>
          <w:lang w:val="en-AU"/>
        </w:rPr>
      </w:pPr>
      <w:r>
        <w:rPr>
          <w:rFonts w:asciiTheme="majorHAnsi" w:eastAsiaTheme="majorEastAsia" w:hAnsiTheme="majorHAnsi" w:cstheme="majorBidi"/>
          <w:caps/>
          <w:sz w:val="38"/>
          <w:szCs w:val="26"/>
        </w:rPr>
        <w:br w:type="page"/>
      </w:r>
    </w:p>
    <w:p w14:paraId="688B02C8" w14:textId="726F9F46" w:rsidR="00A8197B" w:rsidRPr="00A8197B" w:rsidRDefault="007B51B4" w:rsidP="00A8197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color w:val="495965" w:themeColor="text2"/>
          <w:sz w:val="38"/>
          <w:szCs w:val="26"/>
          <w:lang w:val="en-GB" w:eastAsia="en-US"/>
        </w:rPr>
        <w:t xml:space="preserve">2 </w:t>
      </w:r>
      <w:r w:rsidR="00A8197B" w:rsidRPr="00A8197B">
        <w:rPr>
          <w:rFonts w:asciiTheme="majorHAnsi" w:eastAsiaTheme="majorEastAsia" w:hAnsiTheme="majorHAnsi" w:cstheme="majorBidi"/>
          <w:caps/>
          <w:color w:val="495965" w:themeColor="text2"/>
          <w:sz w:val="38"/>
          <w:szCs w:val="26"/>
          <w:lang w:val="en-GB" w:eastAsia="en-US"/>
        </w:rPr>
        <w:t>FAQC ratings</w:t>
      </w:r>
    </w:p>
    <w:tbl>
      <w:tblPr>
        <w:tblStyle w:val="APPR"/>
        <w:tblW w:w="5000" w:type="pct"/>
        <w:tblLook w:val="0000" w:firstRow="0" w:lastRow="0" w:firstColumn="0" w:lastColumn="0" w:noHBand="0" w:noVBand="0"/>
      </w:tblPr>
      <w:tblGrid>
        <w:gridCol w:w="1769"/>
        <w:gridCol w:w="1285"/>
        <w:gridCol w:w="824"/>
        <w:gridCol w:w="820"/>
        <w:gridCol w:w="823"/>
        <w:gridCol w:w="821"/>
        <w:gridCol w:w="823"/>
        <w:gridCol w:w="821"/>
        <w:gridCol w:w="823"/>
        <w:gridCol w:w="829"/>
      </w:tblGrid>
      <w:tr w:rsidR="00A8197B" w:rsidRPr="00812509" w14:paraId="3F4754CA" w14:textId="77777777" w:rsidTr="00BA51D0">
        <w:trPr>
          <w:cnfStyle w:val="000000010000" w:firstRow="0" w:lastRow="0" w:firstColumn="0" w:lastColumn="0" w:oddVBand="0" w:evenVBand="0" w:oddHBand="0" w:evenHBand="1" w:firstRowFirstColumn="0" w:firstRowLastColumn="0" w:lastRowFirstColumn="0" w:lastRowLastColumn="0"/>
          <w:trHeight w:val="1505"/>
        </w:trPr>
        <w:tc>
          <w:tcPr>
            <w:tcW w:w="896" w:type="pct"/>
          </w:tcPr>
          <w:p w14:paraId="0D190088"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eastAsia="Times New Roman"/>
                <w:b/>
                <w:iCs/>
                <w:noProof/>
                <w:szCs w:val="17"/>
                <w:lang w:val="en-AU"/>
              </w:rPr>
              <w:drawing>
                <wp:anchor distT="0" distB="0" distL="114300" distR="114300" simplePos="0" relativeHeight="251672576" behindDoc="0" locked="0" layoutInCell="1" allowOverlap="1" wp14:anchorId="3D540645" wp14:editId="5B816772">
                  <wp:simplePos x="0" y="0"/>
                  <wp:positionH relativeFrom="column">
                    <wp:posOffset>0</wp:posOffset>
                  </wp:positionH>
                  <wp:positionV relativeFrom="paragraph">
                    <wp:posOffset>0</wp:posOffset>
                  </wp:positionV>
                  <wp:extent cx="1857375" cy="228600"/>
                  <wp:effectExtent l="0" t="0" r="9525" b="0"/>
                  <wp:wrapNone/>
                  <wp:docPr id="28" name="Picture 28"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rPr>
                <w:rFonts w:asciiTheme="minorHAnsi" w:eastAsia="Times New Roman" w:hAnsiTheme="minorHAnsi"/>
                <w:b/>
                <w:iCs/>
                <w:szCs w:val="17"/>
                <w:lang w:eastAsia="en-US"/>
              </w:rPr>
              <w:t>Investment name</w:t>
            </w:r>
          </w:p>
        </w:tc>
        <w:tc>
          <w:tcPr>
            <w:tcW w:w="652" w:type="pct"/>
            <w:textDirection w:val="btLr"/>
          </w:tcPr>
          <w:p w14:paraId="13360A8C"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Approved budget and duration</w:t>
            </w:r>
          </w:p>
        </w:tc>
        <w:tc>
          <w:tcPr>
            <w:tcW w:w="413" w:type="pct"/>
            <w:noWrap/>
            <w:textDirection w:val="btLr"/>
          </w:tcPr>
          <w:p w14:paraId="1B3F459F"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Overall rating</w:t>
            </w:r>
          </w:p>
        </w:tc>
        <w:tc>
          <w:tcPr>
            <w:tcW w:w="411" w:type="pct"/>
            <w:noWrap/>
            <w:textDirection w:val="btLr"/>
          </w:tcPr>
          <w:p w14:paraId="655EB768"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Relevance</w:t>
            </w:r>
          </w:p>
        </w:tc>
        <w:tc>
          <w:tcPr>
            <w:tcW w:w="412" w:type="pct"/>
            <w:noWrap/>
            <w:textDirection w:val="btLr"/>
          </w:tcPr>
          <w:p w14:paraId="7DAEF807"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Effectiveness</w:t>
            </w:r>
          </w:p>
        </w:tc>
        <w:tc>
          <w:tcPr>
            <w:tcW w:w="411" w:type="pct"/>
            <w:noWrap/>
            <w:textDirection w:val="btLr"/>
          </w:tcPr>
          <w:p w14:paraId="3C6E3049"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Efficiency</w:t>
            </w:r>
          </w:p>
        </w:tc>
        <w:tc>
          <w:tcPr>
            <w:tcW w:w="412" w:type="pct"/>
            <w:noWrap/>
            <w:textDirection w:val="btLr"/>
          </w:tcPr>
          <w:p w14:paraId="6A3F3137"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Monitoring and Evaluation</w:t>
            </w:r>
          </w:p>
        </w:tc>
        <w:tc>
          <w:tcPr>
            <w:tcW w:w="411" w:type="pct"/>
            <w:noWrap/>
            <w:textDirection w:val="btLr"/>
          </w:tcPr>
          <w:p w14:paraId="154FFCE0"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Sustainability</w:t>
            </w:r>
          </w:p>
        </w:tc>
        <w:tc>
          <w:tcPr>
            <w:tcW w:w="412" w:type="pct"/>
            <w:textDirection w:val="btLr"/>
          </w:tcPr>
          <w:p w14:paraId="38A4D473"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Gender equality</w:t>
            </w:r>
          </w:p>
        </w:tc>
        <w:tc>
          <w:tcPr>
            <w:tcW w:w="408" w:type="pct"/>
            <w:textDirection w:val="btLr"/>
          </w:tcPr>
          <w:p w14:paraId="267706A9"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Risks  and Safeguards</w:t>
            </w:r>
          </w:p>
        </w:tc>
      </w:tr>
      <w:tr w:rsidR="00A8197B" w:rsidRPr="00812509" w14:paraId="68EB55B4" w14:textId="77777777" w:rsidTr="00295179">
        <w:trPr>
          <w:cnfStyle w:val="000000010000" w:firstRow="0" w:lastRow="0" w:firstColumn="0" w:lastColumn="0" w:oddVBand="0" w:evenVBand="0" w:oddHBand="0" w:evenHBand="1" w:firstRowFirstColumn="0" w:firstRowLastColumn="0" w:lastRowFirstColumn="0" w:lastRowLastColumn="0"/>
          <w:trHeight w:val="284"/>
        </w:trPr>
        <w:tc>
          <w:tcPr>
            <w:tcW w:w="896" w:type="pct"/>
          </w:tcPr>
          <w:p w14:paraId="2E8CA998" w14:textId="6B9C7F69" w:rsidR="00A8197B" w:rsidRPr="00812509" w:rsidRDefault="005A238A" w:rsidP="00D15A00">
            <w:pPr>
              <w:keepLines/>
              <w:spacing w:before="40" w:after="40" w:line="200" w:lineRule="atLeast"/>
              <w:rPr>
                <w:rFonts w:asciiTheme="minorHAnsi" w:eastAsia="Times New Roman" w:hAnsiTheme="minorHAnsi"/>
                <w:iCs/>
                <w:szCs w:val="17"/>
                <w:lang w:eastAsia="en-US"/>
              </w:rPr>
            </w:pPr>
            <w:r w:rsidRPr="005A238A">
              <w:rPr>
                <w:rFonts w:ascii="Calibri Light" w:eastAsia="Times New Roman" w:hAnsi="Calibri Light" w:cs="Times New Roman"/>
                <w:iCs/>
                <w:color w:val="495965"/>
                <w:sz w:val="14"/>
                <w:szCs w:val="14"/>
              </w:rPr>
              <w:t>Mekong Trade and Transport Facilitation</w:t>
            </w:r>
          </w:p>
        </w:tc>
        <w:tc>
          <w:tcPr>
            <w:tcW w:w="652" w:type="pct"/>
          </w:tcPr>
          <w:p w14:paraId="6552E862" w14:textId="78405F0F" w:rsidR="00A8197B" w:rsidRPr="00812509" w:rsidRDefault="00A8197B" w:rsidP="00D15A00">
            <w:pPr>
              <w:autoSpaceDE w:val="0"/>
              <w:autoSpaceDN w:val="0"/>
              <w:adjustRightInd w:val="0"/>
              <w:rPr>
                <w:rFonts w:asciiTheme="minorHAnsi" w:hAnsiTheme="minorHAnsi" w:cs="Franklin Gothic Book"/>
                <w:color w:val="000000"/>
                <w:szCs w:val="17"/>
              </w:rPr>
            </w:pPr>
            <w:r w:rsidRPr="00812509">
              <w:rPr>
                <w:rFonts w:asciiTheme="minorHAnsi" w:hAnsiTheme="minorHAnsi" w:cs="Franklin Gothic Book"/>
                <w:color w:val="000000"/>
                <w:szCs w:val="17"/>
              </w:rPr>
              <w:t>$</w:t>
            </w:r>
            <w:r w:rsidR="005A238A">
              <w:rPr>
                <w:rFonts w:asciiTheme="minorHAnsi" w:hAnsiTheme="minorHAnsi" w:cs="Franklin Gothic Book"/>
                <w:color w:val="000000"/>
                <w:szCs w:val="17"/>
              </w:rPr>
              <w:t>6</w:t>
            </w:r>
            <w:r w:rsidRPr="00812509">
              <w:rPr>
                <w:rFonts w:asciiTheme="minorHAnsi" w:hAnsiTheme="minorHAnsi" w:cs="Franklin Gothic Book"/>
                <w:color w:val="000000"/>
                <w:szCs w:val="17"/>
              </w:rPr>
              <w:t xml:space="preserve">m </w:t>
            </w:r>
          </w:p>
          <w:p w14:paraId="38A9F256" w14:textId="033EC349" w:rsidR="00A8197B" w:rsidRPr="00812509" w:rsidRDefault="00A8197B" w:rsidP="003E305C">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sidR="009C43C3">
              <w:rPr>
                <w:rFonts w:asciiTheme="minorHAnsi" w:eastAsia="Times New Roman" w:hAnsiTheme="minorHAnsi"/>
                <w:iCs/>
                <w:szCs w:val="17"/>
                <w:lang w:eastAsia="en-US"/>
              </w:rPr>
              <w:t>1</w:t>
            </w:r>
            <w:r w:rsidRPr="00812509">
              <w:rPr>
                <w:rFonts w:asciiTheme="minorHAnsi" w:eastAsia="Times New Roman" w:hAnsiTheme="minorHAnsi"/>
                <w:iCs/>
                <w:szCs w:val="17"/>
                <w:lang w:eastAsia="en-US"/>
              </w:rPr>
              <w:t>-1</w:t>
            </w:r>
            <w:r w:rsidR="005A238A">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w:t>
            </w:r>
          </w:p>
        </w:tc>
        <w:tc>
          <w:tcPr>
            <w:tcW w:w="413" w:type="pct"/>
            <w:shd w:val="clear" w:color="auto" w:fill="FFFF00"/>
            <w:noWrap/>
          </w:tcPr>
          <w:p w14:paraId="6AC294F2" w14:textId="1C069DF1" w:rsidR="00A8197B" w:rsidRPr="00812509" w:rsidRDefault="00AE1E50"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1" w:type="pct"/>
            <w:shd w:val="clear" w:color="auto" w:fill="92D050"/>
            <w:noWrap/>
          </w:tcPr>
          <w:p w14:paraId="45D90199" w14:textId="40ECF016" w:rsidR="00A8197B" w:rsidRPr="00812509" w:rsidRDefault="00AE1E50"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2" w:type="pct"/>
            <w:shd w:val="clear" w:color="auto" w:fill="FFFF00"/>
            <w:noWrap/>
          </w:tcPr>
          <w:p w14:paraId="311F23D3" w14:textId="44E5DA1A" w:rsidR="00A8197B" w:rsidRPr="00812509" w:rsidRDefault="00AE1E50"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1" w:type="pct"/>
            <w:shd w:val="clear" w:color="auto" w:fill="FFFF00"/>
            <w:noWrap/>
          </w:tcPr>
          <w:p w14:paraId="12AE15F2" w14:textId="42EBAD4C" w:rsidR="00A8197B" w:rsidRPr="00812509" w:rsidRDefault="000B0E77" w:rsidP="00D15A00">
            <w:pPr>
              <w:keepLines/>
              <w:spacing w:before="40" w:after="40" w:line="200" w:lineRule="atLeast"/>
              <w:jc w:val="center"/>
              <w:rPr>
                <w:rFonts w:asciiTheme="minorHAnsi" w:eastAsia="Times New Roman" w:hAnsiTheme="minorHAnsi"/>
                <w:iCs/>
                <w:szCs w:val="17"/>
                <w:lang w:eastAsia="en-US"/>
              </w:rPr>
            </w:pPr>
            <w:r w:rsidRPr="00295179">
              <w:rPr>
                <w:rFonts w:eastAsia="Times New Roman"/>
                <w:iCs/>
                <w:szCs w:val="17"/>
                <w:highlight w:val="yellow"/>
              </w:rPr>
              <w:t>4</w:t>
            </w:r>
          </w:p>
        </w:tc>
        <w:tc>
          <w:tcPr>
            <w:tcW w:w="412" w:type="pct"/>
            <w:shd w:val="clear" w:color="auto" w:fill="FFFF00"/>
            <w:noWrap/>
          </w:tcPr>
          <w:p w14:paraId="3B8C928C" w14:textId="4C1145F0" w:rsidR="00A8197B" w:rsidRPr="00812509" w:rsidRDefault="00AE1E50"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1" w:type="pct"/>
            <w:shd w:val="clear" w:color="auto" w:fill="FFFF00"/>
            <w:noWrap/>
          </w:tcPr>
          <w:p w14:paraId="1ADED017" w14:textId="4DB4F6C8" w:rsidR="00A8197B" w:rsidRPr="00812509" w:rsidRDefault="00AE1E50"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2" w:type="pct"/>
            <w:shd w:val="clear" w:color="auto" w:fill="FFFF00"/>
          </w:tcPr>
          <w:p w14:paraId="70E1C3EA" w14:textId="5CC35142" w:rsidR="00A8197B" w:rsidRPr="00812509" w:rsidRDefault="00AE1E50"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08" w:type="pct"/>
            <w:shd w:val="clear" w:color="auto" w:fill="auto"/>
          </w:tcPr>
          <w:p w14:paraId="2025E5BD" w14:textId="0B32819A" w:rsidR="00A8197B" w:rsidRPr="00812509" w:rsidRDefault="00A8197B" w:rsidP="00D15A00">
            <w:pPr>
              <w:keepLines/>
              <w:spacing w:before="40" w:after="40" w:line="200" w:lineRule="atLeast"/>
              <w:jc w:val="center"/>
              <w:rPr>
                <w:rFonts w:asciiTheme="minorHAnsi" w:eastAsia="Times New Roman" w:hAnsiTheme="minorHAnsi"/>
                <w:iCs/>
                <w:szCs w:val="17"/>
                <w:lang w:eastAsia="en-US"/>
              </w:rPr>
            </w:pPr>
          </w:p>
        </w:tc>
      </w:tr>
      <w:tr w:rsidR="00C10CA5" w:rsidRPr="00812509" w14:paraId="5A9FDB17" w14:textId="77777777" w:rsidTr="00F42345">
        <w:trPr>
          <w:cnfStyle w:val="000000010000" w:firstRow="0" w:lastRow="0" w:firstColumn="0" w:lastColumn="0" w:oddVBand="0" w:evenVBand="0" w:oddHBand="0" w:evenHBand="1" w:firstRowFirstColumn="0" w:firstRowLastColumn="0" w:lastRowFirstColumn="0" w:lastRowLastColumn="0"/>
          <w:trHeight w:val="284"/>
        </w:trPr>
        <w:tc>
          <w:tcPr>
            <w:tcW w:w="896" w:type="pct"/>
          </w:tcPr>
          <w:p w14:paraId="32FE6A59" w14:textId="5B5FA42F" w:rsidR="00C10CA5" w:rsidRPr="002D5D3B" w:rsidRDefault="00005087" w:rsidP="00D15A00">
            <w:pPr>
              <w:keepLines/>
              <w:spacing w:before="40" w:after="40" w:line="200" w:lineRule="atLeast"/>
              <w:rPr>
                <w:rFonts w:ascii="Calibri Light" w:eastAsia="Times New Roman" w:hAnsi="Calibri Light" w:cs="Times New Roman"/>
                <w:iCs/>
                <w:color w:val="495965"/>
                <w:sz w:val="14"/>
                <w:szCs w:val="14"/>
              </w:rPr>
            </w:pPr>
            <w:r w:rsidRPr="00005087">
              <w:rPr>
                <w:rFonts w:ascii="Calibri Light" w:eastAsia="Times New Roman" w:hAnsi="Calibri Light" w:cs="Times New Roman"/>
                <w:iCs/>
                <w:color w:val="495965"/>
                <w:sz w:val="14"/>
                <w:szCs w:val="14"/>
              </w:rPr>
              <w:t>Australia-Asia Program to Combat Trafficking in Persons</w:t>
            </w:r>
          </w:p>
        </w:tc>
        <w:tc>
          <w:tcPr>
            <w:tcW w:w="652" w:type="pct"/>
          </w:tcPr>
          <w:p w14:paraId="1F8FB8F5" w14:textId="64D36157" w:rsidR="00C10CA5" w:rsidRDefault="009A39EE" w:rsidP="00D15A00">
            <w:pPr>
              <w:autoSpaceDE w:val="0"/>
              <w:autoSpaceDN w:val="0"/>
              <w:adjustRightInd w:val="0"/>
              <w:rPr>
                <w:rFonts w:asciiTheme="minorHAnsi" w:hAnsiTheme="minorHAnsi" w:cs="Franklin Gothic Book"/>
                <w:color w:val="000000"/>
                <w:szCs w:val="17"/>
              </w:rPr>
            </w:pPr>
            <w:r w:rsidRPr="009A39EE">
              <w:rPr>
                <w:rFonts w:asciiTheme="minorHAnsi" w:hAnsiTheme="minorHAnsi" w:cs="Franklin Gothic Book"/>
                <w:color w:val="000000"/>
                <w:szCs w:val="17"/>
              </w:rPr>
              <w:t>$</w:t>
            </w:r>
            <w:r w:rsidR="00005087">
              <w:rPr>
                <w:rFonts w:asciiTheme="minorHAnsi" w:hAnsiTheme="minorHAnsi" w:cs="Franklin Gothic Book"/>
                <w:color w:val="000000"/>
                <w:szCs w:val="17"/>
              </w:rPr>
              <w:t>50</w:t>
            </w:r>
            <w:r w:rsidRPr="009A39EE">
              <w:rPr>
                <w:rFonts w:asciiTheme="minorHAnsi" w:hAnsiTheme="minorHAnsi" w:cs="Franklin Gothic Book"/>
                <w:color w:val="000000"/>
                <w:szCs w:val="17"/>
              </w:rPr>
              <w:t>m</w:t>
            </w:r>
          </w:p>
          <w:p w14:paraId="6542A1E9" w14:textId="66B0FA35" w:rsidR="009A39EE" w:rsidRPr="00812509" w:rsidRDefault="009A39EE" w:rsidP="009A39EE">
            <w:pPr>
              <w:keepLines/>
              <w:spacing w:before="40" w:after="40" w:line="200" w:lineRule="atLeast"/>
              <w:rPr>
                <w:rFonts w:cs="Franklin Gothic Book"/>
                <w:color w:val="000000"/>
                <w:szCs w:val="17"/>
              </w:rPr>
            </w:pPr>
            <w:r w:rsidRPr="009A39EE">
              <w:rPr>
                <w:rFonts w:asciiTheme="minorHAnsi" w:eastAsia="Times New Roman" w:hAnsiTheme="minorHAnsi"/>
                <w:iCs/>
                <w:szCs w:val="17"/>
                <w:lang w:eastAsia="en-US"/>
              </w:rPr>
              <w:t>201</w:t>
            </w:r>
            <w:r w:rsidR="00005087">
              <w:rPr>
                <w:rFonts w:asciiTheme="minorHAnsi" w:eastAsia="Times New Roman" w:hAnsiTheme="minorHAnsi"/>
                <w:iCs/>
                <w:szCs w:val="17"/>
                <w:lang w:eastAsia="en-US"/>
              </w:rPr>
              <w:t>3</w:t>
            </w:r>
            <w:r w:rsidRPr="009A39EE">
              <w:rPr>
                <w:rFonts w:asciiTheme="minorHAnsi" w:eastAsia="Times New Roman" w:hAnsiTheme="minorHAnsi"/>
                <w:iCs/>
                <w:szCs w:val="17"/>
                <w:lang w:eastAsia="en-US"/>
              </w:rPr>
              <w:t>-18</w:t>
            </w:r>
          </w:p>
        </w:tc>
        <w:tc>
          <w:tcPr>
            <w:tcW w:w="413" w:type="pct"/>
            <w:shd w:val="clear" w:color="auto" w:fill="FFFF00"/>
            <w:noWrap/>
          </w:tcPr>
          <w:p w14:paraId="484A4FB8" w14:textId="426861EB" w:rsidR="00C10CA5" w:rsidRPr="00F5355B" w:rsidRDefault="00624FDB"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1" w:type="pct"/>
            <w:shd w:val="clear" w:color="auto" w:fill="92D050"/>
            <w:noWrap/>
          </w:tcPr>
          <w:p w14:paraId="65E12B25" w14:textId="66A644B5" w:rsidR="00C10CA5" w:rsidRPr="00F5355B" w:rsidRDefault="00F2093F"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6</w:t>
            </w:r>
          </w:p>
        </w:tc>
        <w:tc>
          <w:tcPr>
            <w:tcW w:w="412" w:type="pct"/>
            <w:shd w:val="clear" w:color="auto" w:fill="FFFF00"/>
            <w:noWrap/>
          </w:tcPr>
          <w:p w14:paraId="0A411A76" w14:textId="5C4633CC" w:rsidR="00C10CA5" w:rsidRPr="00F5355B" w:rsidRDefault="00624FDB"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1" w:type="pct"/>
            <w:shd w:val="clear" w:color="auto" w:fill="FFFF00"/>
            <w:noWrap/>
          </w:tcPr>
          <w:p w14:paraId="7EA0E98B" w14:textId="0C3E0815" w:rsidR="00C10CA5" w:rsidRPr="00F5355B" w:rsidRDefault="00624FDB"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2" w:type="pct"/>
            <w:shd w:val="clear" w:color="auto" w:fill="FFC000"/>
            <w:noWrap/>
          </w:tcPr>
          <w:p w14:paraId="7E2C810A" w14:textId="725586D5" w:rsidR="00C10CA5" w:rsidRPr="00F5355B" w:rsidRDefault="00217A56"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11" w:type="pct"/>
            <w:shd w:val="clear" w:color="auto" w:fill="FFFF00"/>
            <w:noWrap/>
          </w:tcPr>
          <w:p w14:paraId="0C5F4D1B" w14:textId="21CAD8D3" w:rsidR="00C10CA5" w:rsidRPr="00F5355B" w:rsidRDefault="005660D9"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2" w:type="pct"/>
            <w:shd w:val="clear" w:color="auto" w:fill="FFFF00"/>
          </w:tcPr>
          <w:p w14:paraId="3F1DAAA6" w14:textId="3A79B1AF" w:rsidR="00C10CA5" w:rsidRPr="00F5355B" w:rsidRDefault="00F42345"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08" w:type="pct"/>
            <w:shd w:val="clear" w:color="auto" w:fill="auto"/>
          </w:tcPr>
          <w:p w14:paraId="702871BA" w14:textId="2BA2B3EF" w:rsidR="00C10CA5" w:rsidRDefault="00C10CA5" w:rsidP="00D15A00">
            <w:pPr>
              <w:keepLines/>
              <w:spacing w:before="40" w:after="40" w:line="200" w:lineRule="atLeast"/>
              <w:jc w:val="center"/>
              <w:rPr>
                <w:rFonts w:eastAsia="Times New Roman"/>
                <w:iCs/>
                <w:szCs w:val="17"/>
              </w:rPr>
            </w:pPr>
          </w:p>
        </w:tc>
      </w:tr>
    </w:tbl>
    <w:p w14:paraId="2743D6A0" w14:textId="77777777" w:rsidR="00A8197B" w:rsidRPr="00812509" w:rsidRDefault="00A8197B" w:rsidP="00A8197B">
      <w:pPr>
        <w:spacing w:before="20" w:after="20" w:line="180" w:lineRule="atLeast"/>
        <w:jc w:val="both"/>
        <w:rPr>
          <w:rFonts w:eastAsia="Times New Roman"/>
          <w:b/>
          <w:sz w:val="14"/>
          <w:szCs w:val="14"/>
        </w:rPr>
      </w:pPr>
    </w:p>
    <w:p w14:paraId="708D71BE" w14:textId="77777777" w:rsidR="00A8197B" w:rsidRPr="00812509" w:rsidRDefault="00A8197B" w:rsidP="00A8197B">
      <w:pPr>
        <w:spacing w:before="20" w:after="20" w:line="180" w:lineRule="atLeast"/>
        <w:jc w:val="both"/>
        <w:rPr>
          <w:rFonts w:eastAsia="Times New Roman"/>
          <w:b/>
          <w:sz w:val="16"/>
          <w:szCs w:val="14"/>
        </w:rPr>
      </w:pPr>
      <w:r w:rsidRPr="00812509">
        <w:rPr>
          <w:rFonts w:eastAsia="Times New Roman"/>
          <w:b/>
          <w:sz w:val="16"/>
          <w:szCs w:val="14"/>
        </w:rPr>
        <w:t>Definitions of rating scale:</w:t>
      </w:r>
      <w:r w:rsidRPr="00812509">
        <w:rPr>
          <w:rFonts w:eastAsia="Times New Roman"/>
          <w:b/>
          <w:sz w:val="16"/>
          <w:szCs w:val="14"/>
        </w:rPr>
        <w:tab/>
      </w:r>
    </w:p>
    <w:p w14:paraId="7D517A02" w14:textId="77777777" w:rsidR="00A8197B" w:rsidRPr="00812509" w:rsidRDefault="00A8197B" w:rsidP="00A8197B">
      <w:pPr>
        <w:spacing w:before="20" w:after="20" w:line="180" w:lineRule="atLeast"/>
        <w:jc w:val="both"/>
        <w:rPr>
          <w:rFonts w:eastAsia="Times New Roman"/>
          <w:b/>
          <w:sz w:val="16"/>
          <w:szCs w:val="14"/>
        </w:rPr>
      </w:pPr>
      <w:r w:rsidRPr="00812509">
        <w:rPr>
          <w:rFonts w:eastAsia="Times New Roman"/>
          <w:b/>
          <w:sz w:val="16"/>
          <w:szCs w:val="14"/>
        </w:rPr>
        <w:t>Satisfactory (4, 5 and 6)</w:t>
      </w:r>
    </w:p>
    <w:p w14:paraId="39C2A5D3" w14:textId="399F01C6" w:rsidR="00A8197B" w:rsidRPr="00812509" w:rsidRDefault="00A8197B" w:rsidP="00812509">
      <w:pPr>
        <w:spacing w:before="20" w:after="20" w:line="180" w:lineRule="atLeast"/>
        <w:rPr>
          <w:rFonts w:eastAsia="Times New Roman"/>
          <w:b/>
          <w:sz w:val="16"/>
          <w:szCs w:val="14"/>
        </w:rPr>
      </w:pPr>
      <w:r w:rsidRPr="00812509">
        <w:rPr>
          <w:rFonts w:eastAsia="Times New Roman"/>
          <w:b/>
          <w:color w:val="72AF2F"/>
          <w:sz w:val="16"/>
          <w:szCs w:val="14"/>
        </w:rPr>
        <w:sym w:font="Webdings" w:char="F067"/>
      </w:r>
      <w:r w:rsidRPr="00812509">
        <w:rPr>
          <w:rFonts w:eastAsia="Times New Roman"/>
          <w:b/>
          <w:sz w:val="16"/>
          <w:szCs w:val="14"/>
        </w:rPr>
        <w:t xml:space="preserve"> 6 = Very good; satisfies criteria in all areas</w:t>
      </w:r>
      <w:r w:rsidR="0099334D">
        <w:rPr>
          <w:rFonts w:eastAsia="Times New Roman"/>
          <w:b/>
          <w:sz w:val="16"/>
          <w:szCs w:val="14"/>
        </w:rPr>
        <w:t xml:space="preserve">. </w:t>
      </w:r>
      <w:r w:rsidRPr="00812509">
        <w:rPr>
          <w:rFonts w:eastAsia="Times New Roman"/>
          <w:b/>
          <w:color w:val="72AF2F"/>
          <w:sz w:val="16"/>
          <w:szCs w:val="14"/>
        </w:rPr>
        <w:sym w:font="Webdings" w:char="F067"/>
      </w:r>
      <w:r w:rsidRPr="00812509">
        <w:rPr>
          <w:rFonts w:eastAsia="Times New Roman"/>
          <w:b/>
          <w:sz w:val="16"/>
          <w:szCs w:val="14"/>
        </w:rPr>
        <w:t xml:space="preserve"> 5 = Good; satisfies criteria in almost all areas.</w:t>
      </w:r>
    </w:p>
    <w:p w14:paraId="7B60564E" w14:textId="77777777" w:rsidR="00A8197B" w:rsidRPr="00812509" w:rsidRDefault="00A8197B" w:rsidP="00812509">
      <w:pPr>
        <w:spacing w:before="20" w:after="20" w:line="180" w:lineRule="atLeast"/>
        <w:rPr>
          <w:rFonts w:eastAsia="Times New Roman"/>
          <w:b/>
          <w:sz w:val="16"/>
          <w:szCs w:val="14"/>
        </w:rPr>
      </w:pPr>
      <w:r w:rsidRPr="00812509">
        <w:rPr>
          <w:rFonts w:eastAsia="Times New Roman"/>
          <w:b/>
          <w:color w:val="FFFF00"/>
          <w:sz w:val="16"/>
          <w:szCs w:val="14"/>
        </w:rPr>
        <w:sym w:font="Webdings" w:char="F067"/>
      </w:r>
      <w:r w:rsidRPr="00812509">
        <w:rPr>
          <w:rFonts w:eastAsia="Times New Roman"/>
          <w:b/>
          <w:sz w:val="16"/>
          <w:szCs w:val="14"/>
        </w:rPr>
        <w:t xml:space="preserve"> 4 = Adequate; on balance, satisfies criteria; does not fail in any major area.</w:t>
      </w:r>
    </w:p>
    <w:p w14:paraId="39DBF98E" w14:textId="77777777" w:rsidR="00A8197B" w:rsidRPr="00812509" w:rsidRDefault="00A8197B" w:rsidP="00812509">
      <w:pPr>
        <w:spacing w:before="20" w:after="20" w:line="180" w:lineRule="atLeast"/>
        <w:rPr>
          <w:rFonts w:eastAsia="Times New Roman"/>
          <w:b/>
          <w:sz w:val="16"/>
          <w:szCs w:val="14"/>
        </w:rPr>
      </w:pPr>
      <w:r w:rsidRPr="00812509">
        <w:rPr>
          <w:rFonts w:eastAsia="Times New Roman"/>
          <w:b/>
          <w:sz w:val="16"/>
          <w:szCs w:val="14"/>
        </w:rPr>
        <w:t>Less than satisfactory (1, 2 and 3)</w:t>
      </w:r>
    </w:p>
    <w:p w14:paraId="470182F2" w14:textId="77777777" w:rsidR="00A8197B" w:rsidRPr="00812509" w:rsidRDefault="00A8197B" w:rsidP="00812509">
      <w:pPr>
        <w:spacing w:before="20" w:after="20" w:line="180" w:lineRule="atLeast"/>
        <w:rPr>
          <w:rFonts w:eastAsia="Times New Roman"/>
          <w:b/>
          <w:sz w:val="16"/>
          <w:szCs w:val="14"/>
        </w:rPr>
      </w:pPr>
      <w:r w:rsidRPr="00812509">
        <w:rPr>
          <w:rFonts w:eastAsia="Times New Roman"/>
          <w:b/>
          <w:color w:val="E36C0A"/>
          <w:sz w:val="16"/>
          <w:szCs w:val="14"/>
        </w:rPr>
        <w:sym w:font="Webdings" w:char="F067"/>
      </w:r>
      <w:r w:rsidRPr="00812509">
        <w:rPr>
          <w:rFonts w:eastAsia="Times New Roman"/>
          <w:b/>
          <w:color w:val="E36C0A"/>
          <w:sz w:val="16"/>
          <w:szCs w:val="14"/>
        </w:rPr>
        <w:t xml:space="preserve"> </w:t>
      </w:r>
      <w:r w:rsidRPr="00812509">
        <w:rPr>
          <w:rFonts w:eastAsia="Times New Roman"/>
          <w:b/>
          <w:sz w:val="16"/>
          <w:szCs w:val="14"/>
        </w:rPr>
        <w:t>3 = Less than adequate; on balance does not satisfy criteria and/or fails in at least one major area.</w:t>
      </w:r>
    </w:p>
    <w:p w14:paraId="200946E6" w14:textId="2413E8FD" w:rsidR="00A8197B" w:rsidRPr="00812509" w:rsidRDefault="00A8197B" w:rsidP="00812509">
      <w:pPr>
        <w:spacing w:before="20" w:after="20" w:line="180" w:lineRule="atLeast"/>
        <w:rPr>
          <w:sz w:val="24"/>
        </w:rPr>
      </w:pPr>
      <w:r w:rsidRPr="00812509">
        <w:rPr>
          <w:rFonts w:eastAsia="Times New Roman"/>
          <w:b/>
          <w:color w:val="FF0000"/>
          <w:sz w:val="16"/>
          <w:szCs w:val="14"/>
        </w:rPr>
        <w:sym w:font="Webdings" w:char="F067"/>
      </w:r>
      <w:r w:rsidRPr="00812509">
        <w:rPr>
          <w:rFonts w:eastAsia="Times New Roman"/>
          <w:b/>
          <w:sz w:val="16"/>
          <w:szCs w:val="14"/>
        </w:rPr>
        <w:t xml:space="preserve"> 2 = Poor; does not satisfy criteria in major areas</w:t>
      </w:r>
      <w:r w:rsidR="0099334D">
        <w:rPr>
          <w:rFonts w:eastAsia="Times New Roman"/>
          <w:b/>
          <w:sz w:val="16"/>
          <w:szCs w:val="14"/>
        </w:rPr>
        <w:t xml:space="preserve">. </w:t>
      </w:r>
      <w:r w:rsidRPr="00812509">
        <w:rPr>
          <w:rFonts w:eastAsia="Times New Roman"/>
          <w:b/>
          <w:color w:val="FF0000"/>
          <w:sz w:val="16"/>
          <w:szCs w:val="14"/>
        </w:rPr>
        <w:sym w:font="Webdings" w:char="F067"/>
      </w:r>
      <w:r w:rsidRPr="00812509">
        <w:rPr>
          <w:rFonts w:eastAsia="Times New Roman"/>
          <w:b/>
          <w:sz w:val="16"/>
          <w:szCs w:val="14"/>
        </w:rPr>
        <w:t xml:space="preserve"> 1 = Very poor; does not satisfy criteria in many major area.</w:t>
      </w:r>
    </w:p>
    <w:p w14:paraId="1EF195E3" w14:textId="77777777" w:rsidR="00A8197B" w:rsidRDefault="00A8197B" w:rsidP="00A8197B">
      <w:pPr>
        <w:pStyle w:val="ListBullet"/>
        <w:tabs>
          <w:tab w:val="clear" w:pos="284"/>
        </w:tabs>
      </w:pPr>
    </w:p>
    <w:p w14:paraId="350FDF03" w14:textId="77777777" w:rsidR="00A8197B" w:rsidRPr="00A8197B" w:rsidRDefault="00A8197B" w:rsidP="00A8197B"/>
    <w:p w14:paraId="3CEB3CBF" w14:textId="0741A8A8" w:rsidR="00184F1E" w:rsidRDefault="00184F1E">
      <w:pPr>
        <w:suppressAutoHyphens w:val="0"/>
        <w:spacing w:before="0" w:after="120" w:line="440" w:lineRule="atLeast"/>
        <w:rPr>
          <w:rFonts w:ascii="Franklin Gothic Book" w:eastAsia="Times New Roman" w:hAnsi="Franklin Gothic Book" w:cs="Times New Roman"/>
          <w:color w:val="auto"/>
          <w:sz w:val="21"/>
          <w:szCs w:val="24"/>
          <w:lang w:val="en-AU" w:eastAsia="en-AU"/>
        </w:rPr>
      </w:pPr>
    </w:p>
    <w:sectPr w:rsidR="00184F1E" w:rsidSect="003B6BD8">
      <w:pgSz w:w="11906" w:h="16838" w:code="9"/>
      <w:pgMar w:top="1527" w:right="1134" w:bottom="851" w:left="1134" w:header="1418" w:footer="192" w:gutter="0"/>
      <w:cols w:space="397"/>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560FAD" w16cid:durableId="20F45272"/>
  <w16cid:commentId w16cid:paraId="1A586859" w16cid:durableId="20EC069C"/>
  <w16cid:commentId w16cid:paraId="20E2C383" w16cid:durableId="20F45295"/>
  <w16cid:commentId w16cid:paraId="753C070B" w16cid:durableId="20E5906F"/>
  <w16cid:commentId w16cid:paraId="6E3B65D3" w16cid:durableId="20EC22C4"/>
  <w16cid:commentId w16cid:paraId="140B6522" w16cid:durableId="20EC0DE4"/>
  <w16cid:commentId w16cid:paraId="46F8D4C7" w16cid:durableId="20F4530C"/>
  <w16cid:commentId w16cid:paraId="1C782F5E" w16cid:durableId="20F45346"/>
  <w16cid:commentId w16cid:paraId="7E220E43" w16cid:durableId="20F453B6"/>
  <w16cid:commentId w16cid:paraId="74870E29" w16cid:durableId="20EC7A75"/>
  <w16cid:commentId w16cid:paraId="2E5CC72E" w16cid:durableId="20EC7B78"/>
  <w16cid:commentId w16cid:paraId="74FE89E5" w16cid:durableId="20EB22F2"/>
  <w16cid:commentId w16cid:paraId="55EE9C24" w16cid:durableId="20EB25C7"/>
  <w16cid:commentId w16cid:paraId="406BB061" w16cid:durableId="20EB3337"/>
  <w16cid:commentId w16cid:paraId="0989B612" w16cid:durableId="20E97007"/>
  <w16cid:commentId w16cid:paraId="1F151AF9" w16cid:durableId="20EB3C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E20A8" w14:textId="77777777" w:rsidR="00361893" w:rsidRDefault="00361893" w:rsidP="00EF4574">
      <w:pPr>
        <w:spacing w:before="0" w:after="0" w:line="240" w:lineRule="auto"/>
      </w:pPr>
      <w:r>
        <w:separator/>
      </w:r>
    </w:p>
  </w:endnote>
  <w:endnote w:type="continuationSeparator" w:id="0">
    <w:p w14:paraId="736400DA" w14:textId="77777777" w:rsidR="00361893" w:rsidRDefault="00361893"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venir Light">
    <w:altName w:val="Avenir Light"/>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6BA7D" w14:textId="77777777" w:rsidR="00361893" w:rsidRDefault="003618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7C315" w14:textId="77777777" w:rsidR="00361893" w:rsidRDefault="00361893" w:rsidP="004839E3">
    <w:pPr>
      <w:pStyle w:val="Footer"/>
      <w:rPr>
        <w:lang w:val="en-AU"/>
      </w:rPr>
    </w:pPr>
  </w:p>
  <w:p w14:paraId="6E63B07A" w14:textId="77777777" w:rsidR="00361893" w:rsidRDefault="00361893" w:rsidP="004839E3">
    <w:pPr>
      <w:pStyle w:val="Footer"/>
    </w:pPr>
  </w:p>
  <w:p w14:paraId="01762CD7" w14:textId="77777777" w:rsidR="00361893" w:rsidRPr="00CD0E4B" w:rsidRDefault="00361893" w:rsidP="004839E3">
    <w:pPr>
      <w:pStyle w:val="Footer"/>
    </w:pPr>
    <w:r w:rsidRPr="00CD0E4B">
      <w:rPr>
        <w:noProof/>
        <w:lang w:val="en-AU" w:eastAsia="en-AU"/>
      </w:rPr>
      <w:drawing>
        <wp:inline distT="0" distB="0" distL="0" distR="0" wp14:anchorId="16CE16C9" wp14:editId="7B4CCA93">
          <wp:extent cx="90000" cy="74520"/>
          <wp:effectExtent l="0" t="0" r="5715"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14:paraId="2DA2D29A" w14:textId="77777777" w:rsidR="00361893" w:rsidRPr="00CD0E4B" w:rsidRDefault="00361893" w:rsidP="004839E3">
    <w:pPr>
      <w:pStyle w:val="Footer"/>
      <w:rPr>
        <w:color w:val="ACD08C" w:themeColor="accent3"/>
      </w:rPr>
    </w:pPr>
    <w:r w:rsidRPr="00CD0E4B">
      <w:rPr>
        <w:color w:val="ACD08C" w:themeColor="accent3"/>
      </w:rPr>
      <w:t>DFAT.GOV.AU</w:t>
    </w:r>
  </w:p>
  <w:p w14:paraId="5A763503" w14:textId="77777777" w:rsidR="00361893" w:rsidRPr="004839E3" w:rsidRDefault="00361893" w:rsidP="004839E3">
    <w:pPr>
      <w:pStyle w:val="Footer"/>
      <w:rPr>
        <w:lang w:val="en-A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FE437" w14:textId="77777777" w:rsidR="00361893" w:rsidRPr="004839E3" w:rsidRDefault="00361893" w:rsidP="004839E3">
    <w:pPr>
      <w:spacing w:before="0" w:after="0" w:line="240" w:lineRule="exact"/>
      <w:ind w:right="284"/>
      <w:jc w:val="right"/>
      <w:rPr>
        <w:color w:val="FFFFFF" w:themeColor="background1"/>
      </w:rPr>
    </w:pPr>
    <w:r w:rsidRPr="004839E3">
      <w:rPr>
        <w:noProof/>
        <w:color w:val="FFFFFF" w:themeColor="background1"/>
        <w:lang w:val="en-AU" w:eastAsia="en-AU"/>
      </w:rPr>
      <w:drawing>
        <wp:inline distT="0" distB="0" distL="0" distR="0" wp14:anchorId="09B3A5F0" wp14:editId="4BF1931F">
          <wp:extent cx="90000" cy="74520"/>
          <wp:effectExtent l="0" t="0" r="5715" b="190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4839E3">
      <w:rPr>
        <w:color w:val="FFFFFF" w:themeColor="background1"/>
      </w:rPr>
      <w:t>@DFAT</w:t>
    </w:r>
  </w:p>
  <w:p w14:paraId="25B2D5CB" w14:textId="77777777" w:rsidR="00361893" w:rsidRDefault="00361893" w:rsidP="004839E3">
    <w:pPr>
      <w:spacing w:before="0" w:after="0" w:line="240" w:lineRule="exact"/>
      <w:ind w:right="284"/>
      <w:jc w:val="right"/>
    </w:pPr>
    <w:r w:rsidRPr="004839E3">
      <w:rPr>
        <w:color w:val="ACD08C" w:themeColor="accent3"/>
      </w:rPr>
      <w:t>DFAT.GOV.AU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2E5C8" w14:textId="77777777" w:rsidR="00361893" w:rsidRPr="008C5A0E" w:rsidRDefault="00361893" w:rsidP="001D663E">
      <w:pPr>
        <w:pStyle w:val="Footer"/>
        <w:pBdr>
          <w:top w:val="single" w:sz="4" w:space="1" w:color="495965" w:themeColor="text2"/>
        </w:pBdr>
      </w:pPr>
    </w:p>
  </w:footnote>
  <w:footnote w:type="continuationSeparator" w:id="0">
    <w:p w14:paraId="5F87DF38" w14:textId="77777777" w:rsidR="00361893" w:rsidRDefault="00361893" w:rsidP="00EF4574">
      <w:pPr>
        <w:spacing w:before="0" w:after="0" w:line="240" w:lineRule="auto"/>
      </w:pPr>
      <w:r>
        <w:continuationSeparator/>
      </w:r>
    </w:p>
  </w:footnote>
  <w:footnote w:id="1">
    <w:p w14:paraId="4FC13676" w14:textId="654DA33E" w:rsidR="00361893" w:rsidRPr="00B30B5C" w:rsidRDefault="00361893" w:rsidP="00B30B5C">
      <w:pPr>
        <w:pStyle w:val="FootnoteText"/>
        <w:rPr>
          <w:lang w:val="en-AU"/>
        </w:rPr>
      </w:pPr>
      <w:r>
        <w:rPr>
          <w:rStyle w:val="FootnoteReference"/>
        </w:rPr>
        <w:footnoteRef/>
      </w:r>
      <w:r>
        <w:t xml:space="preserve"> </w:t>
      </w:r>
      <w:r>
        <w:rPr>
          <w:lang w:val="en-AU"/>
        </w:rPr>
        <w:t>ASEAN-Australia Development Cooperation Program Phase II</w:t>
      </w:r>
    </w:p>
  </w:footnote>
  <w:footnote w:id="2">
    <w:p w14:paraId="28AC9055" w14:textId="04D5566F" w:rsidR="00361893" w:rsidRPr="00AB7912" w:rsidRDefault="00361893" w:rsidP="00AB7912">
      <w:pPr>
        <w:pStyle w:val="FootnoteText"/>
        <w:rPr>
          <w:lang w:val="en-AU"/>
        </w:rPr>
      </w:pPr>
      <w:r>
        <w:rPr>
          <w:rStyle w:val="FootnoteReference"/>
        </w:rPr>
        <w:footnoteRef/>
      </w:r>
      <w:r>
        <w:t xml:space="preserve"> ASEAN-</w:t>
      </w:r>
      <w:r>
        <w:rPr>
          <w:lang w:val="en-AU"/>
        </w:rPr>
        <w:t>Australia-New Zealand FTA (AANZFTA) Economic Cooperation Support Program</w:t>
      </w:r>
    </w:p>
  </w:footnote>
  <w:footnote w:id="3">
    <w:p w14:paraId="2C81397C" w14:textId="77777777" w:rsidR="00361893" w:rsidRPr="004B0A64" w:rsidRDefault="00361893" w:rsidP="009624F6">
      <w:pPr>
        <w:pStyle w:val="FootnoteText"/>
        <w:rPr>
          <w:lang w:val="en-AU"/>
        </w:rPr>
      </w:pPr>
      <w:r>
        <w:rPr>
          <w:rStyle w:val="FootnoteReference"/>
        </w:rPr>
        <w:footnoteRef/>
      </w:r>
      <w:r>
        <w:t xml:space="preserve"> </w:t>
      </w:r>
      <w:r>
        <w:rPr>
          <w:lang w:val="en-AU"/>
        </w:rPr>
        <w:t>Economic Research Institute for ASEAN and East Asia</w:t>
      </w:r>
    </w:p>
  </w:footnote>
  <w:footnote w:id="4">
    <w:p w14:paraId="4F804425" w14:textId="082BE20B" w:rsidR="00361893" w:rsidRPr="00391F8F" w:rsidRDefault="00361893" w:rsidP="00391F8F">
      <w:pPr>
        <w:pStyle w:val="FootnoteText"/>
        <w:rPr>
          <w:lang w:val="en-AU"/>
        </w:rPr>
      </w:pPr>
      <w:r>
        <w:rPr>
          <w:rStyle w:val="FootnoteReference"/>
        </w:rPr>
        <w:footnoteRef/>
      </w:r>
      <w:r>
        <w:t xml:space="preserve"> </w:t>
      </w:r>
      <w:r>
        <w:rPr>
          <w:lang w:val="en-AU"/>
        </w:rPr>
        <w:t>Shaping Inclusive Finance Transformations in ASEAN Program</w:t>
      </w:r>
    </w:p>
  </w:footnote>
  <w:footnote w:id="5">
    <w:p w14:paraId="155FDAC7" w14:textId="49E54368" w:rsidR="00361893" w:rsidRPr="009E707F" w:rsidRDefault="00361893">
      <w:pPr>
        <w:pStyle w:val="FootnoteText"/>
        <w:rPr>
          <w:lang w:val="en-AU"/>
        </w:rPr>
      </w:pPr>
      <w:r>
        <w:rPr>
          <w:rStyle w:val="FootnoteReference"/>
        </w:rPr>
        <w:footnoteRef/>
      </w:r>
      <w:r>
        <w:t xml:space="preserve"> </w:t>
      </w:r>
      <w:r>
        <w:rPr>
          <w:lang w:val="en-AU"/>
        </w:rPr>
        <w:t>Greater Mekong Water Resources Program</w:t>
      </w:r>
    </w:p>
  </w:footnote>
  <w:footnote w:id="6">
    <w:p w14:paraId="369DD048" w14:textId="77777777" w:rsidR="00361893" w:rsidRPr="000812F2" w:rsidRDefault="00361893" w:rsidP="00DB54A4">
      <w:pPr>
        <w:pStyle w:val="FootnoteText"/>
        <w:rPr>
          <w:lang w:val="en-AU"/>
        </w:rPr>
      </w:pPr>
      <w:r>
        <w:rPr>
          <w:rStyle w:val="FootnoteReference"/>
        </w:rPr>
        <w:footnoteRef/>
      </w:r>
      <w:r>
        <w:t xml:space="preserve"> </w:t>
      </w:r>
      <w:r w:rsidRPr="00C5789F">
        <w:t xml:space="preserve">Greater Mekong </w:t>
      </w:r>
      <w:proofErr w:type="spellStart"/>
      <w:r w:rsidRPr="00C5789F">
        <w:t>Subregion</w:t>
      </w:r>
      <w:proofErr w:type="spellEnd"/>
      <w:r w:rsidRPr="00C5789F">
        <w:t xml:space="preserve"> Trade and Transport Facilitation Program</w:t>
      </w:r>
    </w:p>
  </w:footnote>
  <w:footnote w:id="7">
    <w:p w14:paraId="378E7DB4" w14:textId="77777777" w:rsidR="00361893" w:rsidRPr="006843C3" w:rsidRDefault="00361893" w:rsidP="0026443C">
      <w:pPr>
        <w:pStyle w:val="FootnoteText"/>
        <w:rPr>
          <w:lang w:val="en-AU"/>
        </w:rPr>
      </w:pPr>
      <w:r>
        <w:rPr>
          <w:rStyle w:val="FootnoteReference"/>
        </w:rPr>
        <w:footnoteRef/>
      </w:r>
      <w:r>
        <w:t xml:space="preserve"> </w:t>
      </w:r>
      <w:r>
        <w:rPr>
          <w:lang w:val="en-AU"/>
        </w:rPr>
        <w:t>Mekong Business Initiative</w:t>
      </w:r>
    </w:p>
  </w:footnote>
  <w:footnote w:id="8">
    <w:p w14:paraId="223F4C45" w14:textId="77777777" w:rsidR="00361893" w:rsidRPr="009E707F" w:rsidRDefault="00361893" w:rsidP="00547AEE">
      <w:pPr>
        <w:pStyle w:val="FootnoteText"/>
        <w:rPr>
          <w:lang w:val="en-AU"/>
        </w:rPr>
      </w:pPr>
      <w:r>
        <w:rPr>
          <w:rStyle w:val="FootnoteReference"/>
        </w:rPr>
        <w:footnoteRef/>
      </w:r>
      <w:r>
        <w:t xml:space="preserve"> Emerging Disease Risk Reduction – Mekong – </w:t>
      </w:r>
      <w:r>
        <w:rPr>
          <w:lang w:val="en-AU"/>
        </w:rPr>
        <w:t>Live Animal Marketing and Production</w:t>
      </w:r>
    </w:p>
  </w:footnote>
  <w:footnote w:id="9">
    <w:p w14:paraId="0600A9C5" w14:textId="77777777" w:rsidR="00361893" w:rsidRPr="00F70312" w:rsidRDefault="00361893" w:rsidP="00A5219B">
      <w:pPr>
        <w:pStyle w:val="FootnoteText"/>
        <w:rPr>
          <w:lang w:val="en-AU"/>
        </w:rPr>
      </w:pPr>
      <w:r>
        <w:rPr>
          <w:rStyle w:val="FootnoteReference"/>
        </w:rPr>
        <w:footnoteRef/>
      </w:r>
      <w:r>
        <w:t xml:space="preserve"> </w:t>
      </w:r>
      <w:r>
        <w:rPr>
          <w:lang w:val="en-AU"/>
        </w:rPr>
        <w:t xml:space="preserve">ASEAN-Australia Counter Trafficking </w:t>
      </w:r>
    </w:p>
  </w:footnote>
  <w:footnote w:id="10">
    <w:p w14:paraId="4130705D" w14:textId="628863D7" w:rsidR="00361893" w:rsidRPr="00295179" w:rsidRDefault="00361893">
      <w:pPr>
        <w:pStyle w:val="FootnoteText"/>
        <w:rPr>
          <w:lang w:val="en-AU"/>
        </w:rPr>
      </w:pPr>
      <w:r>
        <w:rPr>
          <w:rStyle w:val="FootnoteReference"/>
        </w:rPr>
        <w:footnoteRef/>
      </w:r>
      <w:r>
        <w:t xml:space="preserve"> </w:t>
      </w:r>
      <w:r>
        <w:rPr>
          <w:lang w:val="en-AU"/>
        </w:rPr>
        <w:t>ACTIP Implementation Project</w:t>
      </w:r>
    </w:p>
  </w:footnote>
  <w:footnote w:id="11">
    <w:p w14:paraId="674582E1" w14:textId="368C7AF3" w:rsidR="00361893" w:rsidRPr="00D02CBC" w:rsidRDefault="00361893" w:rsidP="00D02CBC">
      <w:pPr>
        <w:pStyle w:val="FootnoteText"/>
        <w:rPr>
          <w:lang w:val="en-AU"/>
        </w:rPr>
      </w:pPr>
      <w:r>
        <w:rPr>
          <w:rStyle w:val="FootnoteReference"/>
        </w:rPr>
        <w:footnoteRef/>
      </w:r>
      <w:r>
        <w:t xml:space="preserve"> </w:t>
      </w:r>
      <w:r>
        <w:rPr>
          <w:lang w:val="en-AU"/>
        </w:rPr>
        <w:t xml:space="preserve">Tripartite Action to Enhance the Contribution of Labour Migration to Growth and Development in the Association of Southeast Asian Nations </w:t>
      </w:r>
    </w:p>
  </w:footnote>
  <w:footnote w:id="12">
    <w:p w14:paraId="17C9AB69" w14:textId="444C5C41" w:rsidR="00361893" w:rsidRPr="00D8749D" w:rsidRDefault="00361893">
      <w:pPr>
        <w:pStyle w:val="FootnoteText"/>
        <w:rPr>
          <w:lang w:val="en-AU"/>
        </w:rPr>
      </w:pPr>
      <w:r>
        <w:rPr>
          <w:rStyle w:val="FootnoteReference"/>
        </w:rPr>
        <w:footnoteRef/>
      </w:r>
      <w:r>
        <w:t xml:space="preserve"> </w:t>
      </w:r>
      <w:r>
        <w:rPr>
          <w:lang w:val="en-AU"/>
        </w:rPr>
        <w:t>Disability Rights in ASEAN</w:t>
      </w:r>
    </w:p>
  </w:footnote>
  <w:footnote w:id="13">
    <w:p w14:paraId="1053B3DA" w14:textId="2992843C" w:rsidR="00361893" w:rsidRPr="00F1521B" w:rsidRDefault="00361893">
      <w:pPr>
        <w:pStyle w:val="FootnoteText"/>
        <w:rPr>
          <w:lang w:val="en-AU"/>
        </w:rPr>
      </w:pPr>
      <w:r>
        <w:rPr>
          <w:rStyle w:val="FootnoteReference"/>
        </w:rPr>
        <w:footnoteRef/>
      </w:r>
      <w:r>
        <w:t xml:space="preserve"> </w:t>
      </w:r>
      <w:r>
        <w:rPr>
          <w:lang w:val="en-AU"/>
        </w:rPr>
        <w:t>ASEAN Economic Cooperation</w:t>
      </w:r>
    </w:p>
  </w:footnote>
  <w:footnote w:id="14">
    <w:p w14:paraId="4D0E49D1" w14:textId="7A34AB1C" w:rsidR="00361893" w:rsidRPr="0047068D" w:rsidRDefault="00361893">
      <w:pPr>
        <w:pStyle w:val="FootnoteText"/>
        <w:rPr>
          <w:lang w:val="en-AU"/>
        </w:rPr>
      </w:pPr>
      <w:r>
        <w:rPr>
          <w:rStyle w:val="FootnoteReference"/>
        </w:rPr>
        <w:footnoteRef/>
      </w:r>
      <w:r>
        <w:t xml:space="preserve"> </w:t>
      </w:r>
      <w:r>
        <w:rPr>
          <w:lang w:val="en-AU"/>
        </w:rPr>
        <w:t>Foreign Direct Investment</w:t>
      </w:r>
    </w:p>
  </w:footnote>
  <w:footnote w:id="15">
    <w:p w14:paraId="36746EEF" w14:textId="2EAB41BB" w:rsidR="00361893" w:rsidRPr="00E1651D" w:rsidRDefault="00361893">
      <w:pPr>
        <w:pStyle w:val="FootnoteText"/>
        <w:rPr>
          <w:lang w:val="en-AU"/>
        </w:rPr>
      </w:pPr>
      <w:r>
        <w:rPr>
          <w:rStyle w:val="FootnoteReference"/>
        </w:rPr>
        <w:footnoteRef/>
      </w:r>
      <w:r>
        <w:t xml:space="preserve"> </w:t>
      </w:r>
      <w:r>
        <w:rPr>
          <w:lang w:val="en-AU"/>
        </w:rPr>
        <w:t>AECSP’s Competition Law Implementation Program III</w:t>
      </w:r>
    </w:p>
  </w:footnote>
  <w:footnote w:id="16">
    <w:p w14:paraId="4C5D8D3E" w14:textId="77777777" w:rsidR="00361893" w:rsidRPr="00030BBF" w:rsidRDefault="00361893" w:rsidP="00B94C1A">
      <w:pPr>
        <w:pStyle w:val="FootnoteText"/>
        <w:rPr>
          <w:lang w:val="en-AU"/>
        </w:rPr>
      </w:pPr>
      <w:r>
        <w:rPr>
          <w:rStyle w:val="FootnoteReference"/>
        </w:rPr>
        <w:footnoteRef/>
      </w:r>
      <w:r>
        <w:t xml:space="preserve"> </w:t>
      </w:r>
      <w:r>
        <w:rPr>
          <w:lang w:val="en-AU"/>
        </w:rPr>
        <w:t>Mekong River Commission</w:t>
      </w:r>
    </w:p>
  </w:footnote>
  <w:footnote w:id="17">
    <w:p w14:paraId="3C00678E" w14:textId="77777777" w:rsidR="00361893" w:rsidRPr="006E1FC5" w:rsidRDefault="00361893" w:rsidP="00B94C1A">
      <w:pPr>
        <w:pStyle w:val="FootnoteText"/>
        <w:rPr>
          <w:lang w:val="en-AU"/>
        </w:rPr>
      </w:pPr>
      <w:r>
        <w:rPr>
          <w:rStyle w:val="FootnoteReference"/>
        </w:rPr>
        <w:footnoteRef/>
      </w:r>
      <w:r>
        <w:t xml:space="preserve"> International Finance Corporation</w:t>
      </w:r>
    </w:p>
  </w:footnote>
  <w:footnote w:id="18">
    <w:p w14:paraId="3E117A96" w14:textId="53CADC5D" w:rsidR="00361893" w:rsidRPr="00D63676" w:rsidRDefault="00361893">
      <w:pPr>
        <w:pStyle w:val="FootnoteText"/>
        <w:rPr>
          <w:lang w:val="en-AU"/>
        </w:rPr>
      </w:pPr>
      <w:r>
        <w:rPr>
          <w:rStyle w:val="FootnoteReference"/>
        </w:rPr>
        <w:footnoteRef/>
      </w:r>
      <w:r>
        <w:t xml:space="preserve"> </w:t>
      </w:r>
      <w:r>
        <w:rPr>
          <w:lang w:val="en-AU"/>
        </w:rPr>
        <w:t>Small to Medium sized Enterprises</w:t>
      </w:r>
    </w:p>
  </w:footnote>
  <w:footnote w:id="19">
    <w:p w14:paraId="676AE014" w14:textId="755F0358" w:rsidR="00361893" w:rsidRPr="00496AD3" w:rsidRDefault="00361893">
      <w:pPr>
        <w:pStyle w:val="FootnoteText"/>
        <w:rPr>
          <w:lang w:val="en-AU"/>
        </w:rPr>
      </w:pPr>
      <w:r>
        <w:rPr>
          <w:rStyle w:val="FootnoteReference"/>
        </w:rPr>
        <w:footnoteRef/>
      </w:r>
      <w:r>
        <w:t xml:space="preserve"> </w:t>
      </w:r>
      <w:r>
        <w:rPr>
          <w:lang w:val="en-AU"/>
        </w:rPr>
        <w:t>Australia-Asia Program to Combat Trafficking in Persons</w:t>
      </w:r>
    </w:p>
  </w:footnote>
  <w:footnote w:id="20">
    <w:p w14:paraId="779E89DB" w14:textId="0F300AD0" w:rsidR="00361893" w:rsidRPr="00295179" w:rsidRDefault="00361893">
      <w:pPr>
        <w:pStyle w:val="FootnoteText"/>
        <w:rPr>
          <w:lang w:val="en-AU"/>
        </w:rPr>
      </w:pPr>
      <w:r>
        <w:rPr>
          <w:rStyle w:val="FootnoteReference"/>
        </w:rPr>
        <w:footnoteRef/>
      </w:r>
      <w:r>
        <w:t xml:space="preserve"> </w:t>
      </w:r>
      <w:r>
        <w:rPr>
          <w:lang w:val="en-AU"/>
        </w:rPr>
        <w:t>Migrant Resource Centres</w:t>
      </w:r>
    </w:p>
  </w:footnote>
  <w:footnote w:id="21">
    <w:p w14:paraId="0A08D13C" w14:textId="1B569494" w:rsidR="00361893" w:rsidRPr="00D8749D" w:rsidRDefault="00361893">
      <w:pPr>
        <w:pStyle w:val="FootnoteText"/>
        <w:rPr>
          <w:lang w:val="en-AU"/>
        </w:rPr>
      </w:pPr>
      <w:r>
        <w:rPr>
          <w:rStyle w:val="FootnoteReference"/>
        </w:rPr>
        <w:footnoteRef/>
      </w:r>
      <w:r>
        <w:t xml:space="preserve"> </w:t>
      </w:r>
      <w:r w:rsidRPr="00252804">
        <w:t>ASEAN Forum on Labour Migration</w:t>
      </w:r>
    </w:p>
  </w:footnote>
  <w:footnote w:id="22">
    <w:p w14:paraId="6AB16F62" w14:textId="77777777" w:rsidR="00361893" w:rsidRPr="00807FF1" w:rsidRDefault="00361893" w:rsidP="00070766">
      <w:pPr>
        <w:pStyle w:val="FootnoteText"/>
        <w:rPr>
          <w:lang w:val="en-AU"/>
        </w:rPr>
      </w:pPr>
      <w:r>
        <w:rPr>
          <w:rStyle w:val="FootnoteReference"/>
        </w:rPr>
        <w:footnoteRef/>
      </w:r>
      <w:r>
        <w:t xml:space="preserve"> ASEAN Intergovernmental Commission on Human Rights</w:t>
      </w:r>
    </w:p>
  </w:footnote>
  <w:footnote w:id="23">
    <w:p w14:paraId="65F06BA7" w14:textId="2313CF78" w:rsidR="00361893" w:rsidRPr="00D8749D" w:rsidRDefault="00361893">
      <w:pPr>
        <w:pStyle w:val="FootnoteText"/>
        <w:rPr>
          <w:lang w:val="en-AU"/>
        </w:rPr>
      </w:pPr>
      <w:r>
        <w:rPr>
          <w:rStyle w:val="FootnoteReference"/>
        </w:rPr>
        <w:footnoteRef/>
      </w:r>
      <w:r>
        <w:t xml:space="preserve"> </w:t>
      </w:r>
      <w:r w:rsidRPr="00237C82">
        <w:t>Women's Initiative for Start-ups and Entrepreneurship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220B3" w14:textId="77777777" w:rsidR="00361893" w:rsidRDefault="003618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F32B3" w14:textId="77777777" w:rsidR="00361893" w:rsidRPr="00333501" w:rsidRDefault="00361893" w:rsidP="008F56A8">
    <w:pPr>
      <w:pStyle w:val="Header"/>
      <w:jc w:val="left"/>
    </w:pPr>
    <w:r>
      <w:rPr>
        <w:noProof/>
        <w:lang w:val="en-AU" w:eastAsia="en-AU"/>
      </w:rPr>
      <w:drawing>
        <wp:anchor distT="0" distB="0" distL="114300" distR="114300" simplePos="0" relativeHeight="251671552" behindDoc="1" locked="1" layoutInCell="1" allowOverlap="1" wp14:anchorId="58320DC1" wp14:editId="13469BA7">
          <wp:simplePos x="0" y="0"/>
          <wp:positionH relativeFrom="page">
            <wp:posOffset>1378585</wp:posOffset>
          </wp:positionH>
          <wp:positionV relativeFrom="page">
            <wp:posOffset>272415</wp:posOffset>
          </wp:positionV>
          <wp:extent cx="10248900" cy="102355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248900" cy="102355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8ACEC" w14:textId="6A34E4D2" w:rsidR="00361893" w:rsidRPr="003D352D" w:rsidRDefault="00361893" w:rsidP="003D352D">
    <w:pPr>
      <w:pStyle w:val="Header"/>
      <w:jc w:val="left"/>
    </w:pPr>
    <w:r>
      <w:rPr>
        <w:noProof/>
        <w:lang w:val="en-AU" w:eastAsia="en-AU"/>
      </w:rPr>
      <w:drawing>
        <wp:anchor distT="0" distB="0" distL="114300" distR="114300" simplePos="0" relativeHeight="251669504" behindDoc="1" locked="1" layoutInCell="1" allowOverlap="1" wp14:anchorId="4C045406" wp14:editId="5D18564D">
          <wp:simplePos x="0" y="0"/>
          <wp:positionH relativeFrom="page">
            <wp:posOffset>-23495</wp:posOffset>
          </wp:positionH>
          <wp:positionV relativeFrom="page">
            <wp:posOffset>15875</wp:posOffset>
          </wp:positionV>
          <wp:extent cx="7734935" cy="1082929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734935" cy="10829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12E11" w14:textId="77777777" w:rsidR="00361893" w:rsidRPr="00333501" w:rsidRDefault="00361893" w:rsidP="008F56A8">
    <w:pPr>
      <w:pStyle w:val="Header"/>
      <w:jc w:val="left"/>
    </w:pPr>
    <w:r>
      <w:rPr>
        <w:noProof/>
        <w:lang w:val="en-AU" w:eastAsia="en-AU"/>
      </w:rPr>
      <w:drawing>
        <wp:anchor distT="0" distB="0" distL="114300" distR="114300" simplePos="0" relativeHeight="251683840" behindDoc="1" locked="1" layoutInCell="1" allowOverlap="1" wp14:anchorId="20F242BB" wp14:editId="08F6C47F">
          <wp:simplePos x="0" y="0"/>
          <wp:positionH relativeFrom="page">
            <wp:posOffset>46990</wp:posOffset>
          </wp:positionH>
          <wp:positionV relativeFrom="page">
            <wp:posOffset>95250</wp:posOffset>
          </wp:positionV>
          <wp:extent cx="7561580" cy="10757535"/>
          <wp:effectExtent l="0" t="0" r="1270" b="5715"/>
          <wp:wrapNone/>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61580" cy="107575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079166D"/>
    <w:multiLevelType w:val="hybridMultilevel"/>
    <w:tmpl w:val="FC9481BE"/>
    <w:lvl w:ilvl="0" w:tplc="A0B233A8">
      <w:numFmt w:val="bullet"/>
      <w:lvlText w:val="-"/>
      <w:lvlJc w:val="left"/>
      <w:pPr>
        <w:ind w:left="720" w:hanging="360"/>
      </w:pPr>
      <w:rPr>
        <w:rFonts w:ascii="Calibri" w:eastAsia="Calibri" w:hAnsi="Calibri" w:cs="Times New Roman" w:hint="default"/>
        <w:color w:val="000000"/>
      </w:rPr>
    </w:lvl>
    <w:lvl w:ilvl="1" w:tplc="0C090003">
      <w:start w:val="1"/>
      <w:numFmt w:val="bullet"/>
      <w:lvlText w:val="o"/>
      <w:lvlJc w:val="left"/>
      <w:pPr>
        <w:ind w:left="1440" w:hanging="360"/>
      </w:pPr>
      <w:rPr>
        <w:rFonts w:ascii="Courier New" w:hAnsi="Courier New" w:cs="Courier New" w:hint="default"/>
      </w:rPr>
    </w:lvl>
    <w:lvl w:ilvl="2" w:tplc="A45CFDD6">
      <w:numFmt w:val="bullet"/>
      <w:lvlText w:val="-"/>
      <w:lvlJc w:val="left"/>
      <w:pPr>
        <w:ind w:left="2160" w:hanging="360"/>
      </w:pPr>
      <w:rPr>
        <w:rFonts w:ascii="Calibri" w:eastAsia="Calibri" w:hAnsi="Calibri" w:cs="Times New Roman"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1511215"/>
    <w:multiLevelType w:val="hybridMultilevel"/>
    <w:tmpl w:val="E9F4D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92435E3"/>
    <w:multiLevelType w:val="hybridMultilevel"/>
    <w:tmpl w:val="8A0A31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C37395"/>
    <w:multiLevelType w:val="hybridMultilevel"/>
    <w:tmpl w:val="F4CE31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B4E2E12"/>
    <w:multiLevelType w:val="multilevel"/>
    <w:tmpl w:val="46769186"/>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7" w15:restartNumberingAfterBreak="0">
    <w:nsid w:val="22BC4BBA"/>
    <w:multiLevelType w:val="hybridMultilevel"/>
    <w:tmpl w:val="BEA2D6D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8" w15:restartNumberingAfterBreak="0">
    <w:nsid w:val="259F07B7"/>
    <w:multiLevelType w:val="hybridMultilevel"/>
    <w:tmpl w:val="47D8A5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7923DD6"/>
    <w:multiLevelType w:val="hybridMultilevel"/>
    <w:tmpl w:val="D31ECF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2D38708E"/>
    <w:multiLevelType w:val="hybridMultilevel"/>
    <w:tmpl w:val="6908CBF4"/>
    <w:lvl w:ilvl="0" w:tplc="91C6F7F0">
      <w:start w:val="1"/>
      <w:numFmt w:val="bullet"/>
      <w:pStyle w:val="Tablebullet"/>
      <w:lvlText w:val=""/>
      <w:lvlJc w:val="left"/>
      <w:pPr>
        <w:ind w:left="1440" w:hanging="360"/>
      </w:pPr>
      <w:rPr>
        <w:rFonts w:ascii="Symbol" w:hAnsi="Symbol" w:hint="default"/>
        <w:color w:val="E26E00"/>
        <w:sz w:val="18"/>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08F1D36"/>
    <w:multiLevelType w:val="hybridMultilevel"/>
    <w:tmpl w:val="C472D46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335E6108"/>
    <w:multiLevelType w:val="hybridMultilevel"/>
    <w:tmpl w:val="033A2A4C"/>
    <w:lvl w:ilvl="0" w:tplc="FC088B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833EB3"/>
    <w:multiLevelType w:val="hybridMultilevel"/>
    <w:tmpl w:val="AB265878"/>
    <w:lvl w:ilvl="0" w:tplc="2820D2CE">
      <w:start w:val="2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0932E6"/>
    <w:multiLevelType w:val="hybridMultilevel"/>
    <w:tmpl w:val="C7849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7F43D7"/>
    <w:multiLevelType w:val="hybridMultilevel"/>
    <w:tmpl w:val="B228371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2A164EB"/>
    <w:multiLevelType w:val="hybridMultilevel"/>
    <w:tmpl w:val="C4D25A9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514407C"/>
    <w:multiLevelType w:val="hybridMultilevel"/>
    <w:tmpl w:val="3B70C55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DB0198"/>
    <w:multiLevelType w:val="hybridMultilevel"/>
    <w:tmpl w:val="BC661A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1735E9"/>
    <w:multiLevelType w:val="hybridMultilevel"/>
    <w:tmpl w:val="D6C86C50"/>
    <w:lvl w:ilvl="0" w:tplc="922C3752">
      <w:start w:val="15"/>
      <w:numFmt w:val="bullet"/>
      <w:lvlText w:val="-"/>
      <w:lvlJc w:val="left"/>
      <w:pPr>
        <w:ind w:left="720" w:hanging="360"/>
      </w:pPr>
      <w:rPr>
        <w:rFonts w:ascii="Franklin Gothic Book" w:eastAsia="Times New Roman" w:hAnsi="Franklin Gothic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4E5C9F"/>
    <w:multiLevelType w:val="hybridMultilevel"/>
    <w:tmpl w:val="202EF59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DAE4183"/>
    <w:multiLevelType w:val="hybridMultilevel"/>
    <w:tmpl w:val="F0685F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FCA43A1"/>
    <w:multiLevelType w:val="hybridMultilevel"/>
    <w:tmpl w:val="70EC982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5" w15:restartNumberingAfterBreak="0">
    <w:nsid w:val="50602BB1"/>
    <w:multiLevelType w:val="hybridMultilevel"/>
    <w:tmpl w:val="AC886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E13826"/>
    <w:multiLevelType w:val="hybridMultilevel"/>
    <w:tmpl w:val="D33AD84A"/>
    <w:lvl w:ilvl="0" w:tplc="8AE86358">
      <w:start w:val="1"/>
      <w:numFmt w:val="bullet"/>
      <w:pStyle w:val="Bullet1Tightlessspacing"/>
      <w:lvlText w:val=""/>
      <w:lvlJc w:val="left"/>
      <w:pPr>
        <w:ind w:left="360" w:hanging="360"/>
      </w:pPr>
      <w:rPr>
        <w:rFonts w:ascii="Symbol" w:hAnsi="Symbol" w:hint="default"/>
        <w:color w:val="E26E00"/>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8" w15:restartNumberingAfterBreak="0">
    <w:nsid w:val="5D3C1EA7"/>
    <w:multiLevelType w:val="multilevel"/>
    <w:tmpl w:val="43428892"/>
    <w:numStyleLink w:val="BulletsList"/>
  </w:abstractNum>
  <w:abstractNum w:abstractNumId="29"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0" w15:restartNumberingAfterBreak="0">
    <w:nsid w:val="6F142EA6"/>
    <w:multiLevelType w:val="hybridMultilevel"/>
    <w:tmpl w:val="C8EC9EF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1504C47"/>
    <w:multiLevelType w:val="hybridMultilevel"/>
    <w:tmpl w:val="EA1AA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32"/>
  </w:num>
  <w:num w:numId="2">
    <w:abstractNumId w:val="0"/>
  </w:num>
  <w:num w:numId="3">
    <w:abstractNumId w:val="10"/>
  </w:num>
  <w:num w:numId="4">
    <w:abstractNumId w:val="27"/>
  </w:num>
  <w:num w:numId="5">
    <w:abstractNumId w:val="29"/>
  </w:num>
  <w:num w:numId="6">
    <w:abstractNumId w:val="28"/>
  </w:num>
  <w:num w:numId="7">
    <w:abstractNumId w:val="10"/>
  </w:num>
  <w:num w:numId="8">
    <w:abstractNumId w:val="28"/>
  </w:num>
  <w:num w:numId="9">
    <w:abstractNumId w:val="0"/>
  </w:num>
  <w:num w:numId="10">
    <w:abstractNumId w:val="19"/>
  </w:num>
  <w:num w:numId="11">
    <w:abstractNumId w:val="3"/>
  </w:num>
  <w:num w:numId="12">
    <w:abstractNumId w:val="4"/>
  </w:num>
  <w:num w:numId="13">
    <w:abstractNumId w:val="11"/>
  </w:num>
  <w:num w:numId="14">
    <w:abstractNumId w:val="14"/>
  </w:num>
  <w:num w:numId="15">
    <w:abstractNumId w:val="21"/>
  </w:num>
  <w:num w:numId="16">
    <w:abstractNumId w:val="20"/>
  </w:num>
  <w:num w:numId="17">
    <w:abstractNumId w:val="9"/>
  </w:num>
  <w:num w:numId="18">
    <w:abstractNumId w:val="28"/>
  </w:num>
  <w:num w:numId="19">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5"/>
  </w:num>
  <w:num w:numId="22">
    <w:abstractNumId w:val="23"/>
  </w:num>
  <w:num w:numId="23">
    <w:abstractNumId w:val="28"/>
  </w:num>
  <w:num w:numId="24">
    <w:abstractNumId w:val="8"/>
  </w:num>
  <w:num w:numId="25">
    <w:abstractNumId w:val="5"/>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7"/>
  </w:num>
  <w:num w:numId="29">
    <w:abstractNumId w:val="12"/>
  </w:num>
  <w:num w:numId="30">
    <w:abstractNumId w:val="6"/>
  </w:num>
  <w:num w:numId="31">
    <w:abstractNumId w:val="25"/>
  </w:num>
  <w:num w:numId="32">
    <w:abstractNumId w:val="26"/>
  </w:num>
  <w:num w:numId="33">
    <w:abstractNumId w:val="26"/>
  </w:num>
  <w:num w:numId="34">
    <w:abstractNumId w:val="26"/>
  </w:num>
  <w:num w:numId="35">
    <w:abstractNumId w:val="26"/>
  </w:num>
  <w:num w:numId="36">
    <w:abstractNumId w:val="26"/>
  </w:num>
  <w:num w:numId="37">
    <w:abstractNumId w:val="13"/>
  </w:num>
  <w:num w:numId="38">
    <w:abstractNumId w:val="26"/>
  </w:num>
  <w:num w:numId="39">
    <w:abstractNumId w:val="26"/>
  </w:num>
  <w:num w:numId="40">
    <w:abstractNumId w:val="26"/>
  </w:num>
  <w:num w:numId="41">
    <w:abstractNumId w:val="28"/>
  </w:num>
  <w:num w:numId="42">
    <w:abstractNumId w:val="28"/>
  </w:num>
  <w:num w:numId="43">
    <w:abstractNumId w:val="2"/>
  </w:num>
  <w:num w:numId="44">
    <w:abstractNumId w:val="31"/>
  </w:num>
  <w:num w:numId="45">
    <w:abstractNumId w:val="16"/>
  </w:num>
  <w:num w:numId="46">
    <w:abstractNumId w:val="22"/>
  </w:num>
  <w:num w:numId="47">
    <w:abstractNumId w:val="18"/>
  </w:num>
  <w:num w:numId="48">
    <w:abstractNumId w:val="17"/>
  </w:num>
  <w:num w:numId="49">
    <w:abstractNumId w:val="1"/>
  </w:num>
  <w:num w:numId="50">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030C"/>
    <w:rsid w:val="0000059E"/>
    <w:rsid w:val="00000E75"/>
    <w:rsid w:val="00001990"/>
    <w:rsid w:val="00001B41"/>
    <w:rsid w:val="00001DA8"/>
    <w:rsid w:val="0000263A"/>
    <w:rsid w:val="00002B2B"/>
    <w:rsid w:val="0000440F"/>
    <w:rsid w:val="0000460B"/>
    <w:rsid w:val="00005087"/>
    <w:rsid w:val="00006491"/>
    <w:rsid w:val="00007CDA"/>
    <w:rsid w:val="000117E6"/>
    <w:rsid w:val="00011A69"/>
    <w:rsid w:val="000127CF"/>
    <w:rsid w:val="00013BF4"/>
    <w:rsid w:val="00014019"/>
    <w:rsid w:val="0001470A"/>
    <w:rsid w:val="00015316"/>
    <w:rsid w:val="000153BD"/>
    <w:rsid w:val="000157ED"/>
    <w:rsid w:val="00016ACE"/>
    <w:rsid w:val="00016DCC"/>
    <w:rsid w:val="00017A20"/>
    <w:rsid w:val="00020500"/>
    <w:rsid w:val="0002080A"/>
    <w:rsid w:val="00021AF4"/>
    <w:rsid w:val="00022418"/>
    <w:rsid w:val="000227D0"/>
    <w:rsid w:val="00023129"/>
    <w:rsid w:val="00023185"/>
    <w:rsid w:val="00023A4E"/>
    <w:rsid w:val="000250B4"/>
    <w:rsid w:val="00025990"/>
    <w:rsid w:val="00025AEB"/>
    <w:rsid w:val="0002621A"/>
    <w:rsid w:val="0002782F"/>
    <w:rsid w:val="00027AFB"/>
    <w:rsid w:val="0003002E"/>
    <w:rsid w:val="00030BBF"/>
    <w:rsid w:val="00030D89"/>
    <w:rsid w:val="00031512"/>
    <w:rsid w:val="00031548"/>
    <w:rsid w:val="00031750"/>
    <w:rsid w:val="00033622"/>
    <w:rsid w:val="00033F23"/>
    <w:rsid w:val="0003520E"/>
    <w:rsid w:val="00037C22"/>
    <w:rsid w:val="00041834"/>
    <w:rsid w:val="00042255"/>
    <w:rsid w:val="00042519"/>
    <w:rsid w:val="00043DB8"/>
    <w:rsid w:val="00050090"/>
    <w:rsid w:val="000510FC"/>
    <w:rsid w:val="00052474"/>
    <w:rsid w:val="00052CC2"/>
    <w:rsid w:val="00053464"/>
    <w:rsid w:val="00053D62"/>
    <w:rsid w:val="00054094"/>
    <w:rsid w:val="0005422A"/>
    <w:rsid w:val="00054E4D"/>
    <w:rsid w:val="000551A7"/>
    <w:rsid w:val="00056746"/>
    <w:rsid w:val="00056ACB"/>
    <w:rsid w:val="0005763C"/>
    <w:rsid w:val="00057C66"/>
    <w:rsid w:val="00060073"/>
    <w:rsid w:val="00060268"/>
    <w:rsid w:val="00060BFC"/>
    <w:rsid w:val="00061C97"/>
    <w:rsid w:val="00062398"/>
    <w:rsid w:val="000636DA"/>
    <w:rsid w:val="00063D2B"/>
    <w:rsid w:val="0006465B"/>
    <w:rsid w:val="00065012"/>
    <w:rsid w:val="000667E6"/>
    <w:rsid w:val="00067D6A"/>
    <w:rsid w:val="00067FD3"/>
    <w:rsid w:val="00070766"/>
    <w:rsid w:val="00070ACD"/>
    <w:rsid w:val="0007316E"/>
    <w:rsid w:val="000745B1"/>
    <w:rsid w:val="00076116"/>
    <w:rsid w:val="00076806"/>
    <w:rsid w:val="00076ECB"/>
    <w:rsid w:val="00076F0B"/>
    <w:rsid w:val="00077644"/>
    <w:rsid w:val="00077990"/>
    <w:rsid w:val="00077AAD"/>
    <w:rsid w:val="00080832"/>
    <w:rsid w:val="00080A65"/>
    <w:rsid w:val="0008179A"/>
    <w:rsid w:val="00083E60"/>
    <w:rsid w:val="00084483"/>
    <w:rsid w:val="00085C64"/>
    <w:rsid w:val="000871FD"/>
    <w:rsid w:val="00087A3E"/>
    <w:rsid w:val="00090842"/>
    <w:rsid w:val="00090E8D"/>
    <w:rsid w:val="00091B54"/>
    <w:rsid w:val="000922F4"/>
    <w:rsid w:val="00093ECA"/>
    <w:rsid w:val="00095347"/>
    <w:rsid w:val="00095655"/>
    <w:rsid w:val="00096B00"/>
    <w:rsid w:val="0009765A"/>
    <w:rsid w:val="000979E6"/>
    <w:rsid w:val="000A2FF2"/>
    <w:rsid w:val="000A32BC"/>
    <w:rsid w:val="000A332D"/>
    <w:rsid w:val="000A6912"/>
    <w:rsid w:val="000A7BB2"/>
    <w:rsid w:val="000A7D8F"/>
    <w:rsid w:val="000B0396"/>
    <w:rsid w:val="000B0B77"/>
    <w:rsid w:val="000B0E77"/>
    <w:rsid w:val="000B1F0D"/>
    <w:rsid w:val="000B2924"/>
    <w:rsid w:val="000B3973"/>
    <w:rsid w:val="000B53DD"/>
    <w:rsid w:val="000B5C74"/>
    <w:rsid w:val="000B5D04"/>
    <w:rsid w:val="000B6CBB"/>
    <w:rsid w:val="000B72CA"/>
    <w:rsid w:val="000C00F0"/>
    <w:rsid w:val="000C1936"/>
    <w:rsid w:val="000C3F59"/>
    <w:rsid w:val="000C5A02"/>
    <w:rsid w:val="000D05F0"/>
    <w:rsid w:val="000D21D0"/>
    <w:rsid w:val="000D2DC9"/>
    <w:rsid w:val="000D3206"/>
    <w:rsid w:val="000D33A7"/>
    <w:rsid w:val="000D36B9"/>
    <w:rsid w:val="000D3837"/>
    <w:rsid w:val="000D41BB"/>
    <w:rsid w:val="000D41EC"/>
    <w:rsid w:val="000D4A81"/>
    <w:rsid w:val="000D4C83"/>
    <w:rsid w:val="000D5340"/>
    <w:rsid w:val="000D5E4B"/>
    <w:rsid w:val="000D5FFA"/>
    <w:rsid w:val="000D603E"/>
    <w:rsid w:val="000D62FA"/>
    <w:rsid w:val="000D66D6"/>
    <w:rsid w:val="000D7B4A"/>
    <w:rsid w:val="000E04B3"/>
    <w:rsid w:val="000E130A"/>
    <w:rsid w:val="000E16C2"/>
    <w:rsid w:val="000E1742"/>
    <w:rsid w:val="000E1E2C"/>
    <w:rsid w:val="000E1E5B"/>
    <w:rsid w:val="000E29B2"/>
    <w:rsid w:val="000E2D11"/>
    <w:rsid w:val="000E314A"/>
    <w:rsid w:val="000E3F6E"/>
    <w:rsid w:val="000E4BA7"/>
    <w:rsid w:val="000E6956"/>
    <w:rsid w:val="000E6A1F"/>
    <w:rsid w:val="000E7805"/>
    <w:rsid w:val="000F0DAB"/>
    <w:rsid w:val="000F118E"/>
    <w:rsid w:val="000F2289"/>
    <w:rsid w:val="000F45F6"/>
    <w:rsid w:val="000F4984"/>
    <w:rsid w:val="000F5B21"/>
    <w:rsid w:val="000F702E"/>
    <w:rsid w:val="000F778D"/>
    <w:rsid w:val="000F7899"/>
    <w:rsid w:val="000F7E14"/>
    <w:rsid w:val="0010008F"/>
    <w:rsid w:val="001001B4"/>
    <w:rsid w:val="00101304"/>
    <w:rsid w:val="00101BFB"/>
    <w:rsid w:val="001020F1"/>
    <w:rsid w:val="0010223A"/>
    <w:rsid w:val="00102983"/>
    <w:rsid w:val="0010319F"/>
    <w:rsid w:val="00103200"/>
    <w:rsid w:val="00105079"/>
    <w:rsid w:val="00105AEC"/>
    <w:rsid w:val="0010617D"/>
    <w:rsid w:val="0010769F"/>
    <w:rsid w:val="001120C3"/>
    <w:rsid w:val="00113073"/>
    <w:rsid w:val="001132C6"/>
    <w:rsid w:val="00113330"/>
    <w:rsid w:val="00113981"/>
    <w:rsid w:val="0011417D"/>
    <w:rsid w:val="0011482C"/>
    <w:rsid w:val="001150E5"/>
    <w:rsid w:val="0011582F"/>
    <w:rsid w:val="00115F46"/>
    <w:rsid w:val="0011642D"/>
    <w:rsid w:val="001164FB"/>
    <w:rsid w:val="001168B4"/>
    <w:rsid w:val="001177B0"/>
    <w:rsid w:val="00120ADF"/>
    <w:rsid w:val="00121002"/>
    <w:rsid w:val="001218EF"/>
    <w:rsid w:val="001221F4"/>
    <w:rsid w:val="00123424"/>
    <w:rsid w:val="00123776"/>
    <w:rsid w:val="001238DE"/>
    <w:rsid w:val="00123DCD"/>
    <w:rsid w:val="0012538A"/>
    <w:rsid w:val="00125588"/>
    <w:rsid w:val="001258AB"/>
    <w:rsid w:val="0012726F"/>
    <w:rsid w:val="00127DD6"/>
    <w:rsid w:val="0013120C"/>
    <w:rsid w:val="0013164E"/>
    <w:rsid w:val="001344D0"/>
    <w:rsid w:val="0013451D"/>
    <w:rsid w:val="00135528"/>
    <w:rsid w:val="001355DF"/>
    <w:rsid w:val="00136515"/>
    <w:rsid w:val="00136AEF"/>
    <w:rsid w:val="001404BD"/>
    <w:rsid w:val="00141AA1"/>
    <w:rsid w:val="001424AC"/>
    <w:rsid w:val="00144975"/>
    <w:rsid w:val="00145336"/>
    <w:rsid w:val="00145601"/>
    <w:rsid w:val="001468B7"/>
    <w:rsid w:val="00146F45"/>
    <w:rsid w:val="001504F7"/>
    <w:rsid w:val="00150B4B"/>
    <w:rsid w:val="00151820"/>
    <w:rsid w:val="00153470"/>
    <w:rsid w:val="0015353E"/>
    <w:rsid w:val="001536A5"/>
    <w:rsid w:val="001541EA"/>
    <w:rsid w:val="00156A65"/>
    <w:rsid w:val="00160A75"/>
    <w:rsid w:val="00160E08"/>
    <w:rsid w:val="001619FA"/>
    <w:rsid w:val="001620BE"/>
    <w:rsid w:val="001625F2"/>
    <w:rsid w:val="00162943"/>
    <w:rsid w:val="00162DE2"/>
    <w:rsid w:val="0016311A"/>
    <w:rsid w:val="0016365F"/>
    <w:rsid w:val="00163A73"/>
    <w:rsid w:val="00163E42"/>
    <w:rsid w:val="00163E54"/>
    <w:rsid w:val="00163E7C"/>
    <w:rsid w:val="00164345"/>
    <w:rsid w:val="001657E2"/>
    <w:rsid w:val="00165E22"/>
    <w:rsid w:val="00166333"/>
    <w:rsid w:val="00166DDA"/>
    <w:rsid w:val="001678CA"/>
    <w:rsid w:val="00170227"/>
    <w:rsid w:val="0017111B"/>
    <w:rsid w:val="0017148C"/>
    <w:rsid w:val="001717BD"/>
    <w:rsid w:val="0017226E"/>
    <w:rsid w:val="001724BA"/>
    <w:rsid w:val="001725F2"/>
    <w:rsid w:val="0017262A"/>
    <w:rsid w:val="00173A08"/>
    <w:rsid w:val="00173B67"/>
    <w:rsid w:val="00174A24"/>
    <w:rsid w:val="00174CAC"/>
    <w:rsid w:val="00174E4D"/>
    <w:rsid w:val="001750ED"/>
    <w:rsid w:val="00175134"/>
    <w:rsid w:val="00175A50"/>
    <w:rsid w:val="001766A1"/>
    <w:rsid w:val="00177A76"/>
    <w:rsid w:val="00180621"/>
    <w:rsid w:val="00180F6E"/>
    <w:rsid w:val="00182355"/>
    <w:rsid w:val="001827E8"/>
    <w:rsid w:val="00182979"/>
    <w:rsid w:val="00182F31"/>
    <w:rsid w:val="001839EA"/>
    <w:rsid w:val="00183FC5"/>
    <w:rsid w:val="00184D09"/>
    <w:rsid w:val="00184F1E"/>
    <w:rsid w:val="00185749"/>
    <w:rsid w:val="00185787"/>
    <w:rsid w:val="00185C10"/>
    <w:rsid w:val="001863C9"/>
    <w:rsid w:val="0018662C"/>
    <w:rsid w:val="00186874"/>
    <w:rsid w:val="00192053"/>
    <w:rsid w:val="00192070"/>
    <w:rsid w:val="00192AD4"/>
    <w:rsid w:val="00193AF5"/>
    <w:rsid w:val="001946ED"/>
    <w:rsid w:val="0019566D"/>
    <w:rsid w:val="00197D46"/>
    <w:rsid w:val="001A03B5"/>
    <w:rsid w:val="001A0855"/>
    <w:rsid w:val="001A1BB0"/>
    <w:rsid w:val="001A2966"/>
    <w:rsid w:val="001A2D74"/>
    <w:rsid w:val="001A3142"/>
    <w:rsid w:val="001A7013"/>
    <w:rsid w:val="001A70AF"/>
    <w:rsid w:val="001A75ED"/>
    <w:rsid w:val="001A7A5B"/>
    <w:rsid w:val="001B12C9"/>
    <w:rsid w:val="001B17A4"/>
    <w:rsid w:val="001B2507"/>
    <w:rsid w:val="001B3000"/>
    <w:rsid w:val="001B37BA"/>
    <w:rsid w:val="001B4D6D"/>
    <w:rsid w:val="001B5822"/>
    <w:rsid w:val="001B5CFD"/>
    <w:rsid w:val="001B5D09"/>
    <w:rsid w:val="001C135A"/>
    <w:rsid w:val="001C1A01"/>
    <w:rsid w:val="001C2183"/>
    <w:rsid w:val="001C4CAB"/>
    <w:rsid w:val="001C5559"/>
    <w:rsid w:val="001C73BD"/>
    <w:rsid w:val="001C7B0E"/>
    <w:rsid w:val="001D091A"/>
    <w:rsid w:val="001D1EE6"/>
    <w:rsid w:val="001D1F13"/>
    <w:rsid w:val="001D1F16"/>
    <w:rsid w:val="001D2335"/>
    <w:rsid w:val="001D3187"/>
    <w:rsid w:val="001D42A8"/>
    <w:rsid w:val="001D470C"/>
    <w:rsid w:val="001D5B05"/>
    <w:rsid w:val="001D5DA6"/>
    <w:rsid w:val="001D5F3E"/>
    <w:rsid w:val="001D663E"/>
    <w:rsid w:val="001D6CE6"/>
    <w:rsid w:val="001D6D72"/>
    <w:rsid w:val="001E1046"/>
    <w:rsid w:val="001E1304"/>
    <w:rsid w:val="001E14DC"/>
    <w:rsid w:val="001E1DC0"/>
    <w:rsid w:val="001E25AB"/>
    <w:rsid w:val="001E269F"/>
    <w:rsid w:val="001E2BCE"/>
    <w:rsid w:val="001E2FAB"/>
    <w:rsid w:val="001E36E6"/>
    <w:rsid w:val="001E3F59"/>
    <w:rsid w:val="001E3F93"/>
    <w:rsid w:val="001E42D2"/>
    <w:rsid w:val="001E47CE"/>
    <w:rsid w:val="001E5055"/>
    <w:rsid w:val="001E6BCA"/>
    <w:rsid w:val="001E7454"/>
    <w:rsid w:val="001E7630"/>
    <w:rsid w:val="001F0CB4"/>
    <w:rsid w:val="001F152A"/>
    <w:rsid w:val="001F23DE"/>
    <w:rsid w:val="001F2780"/>
    <w:rsid w:val="001F309D"/>
    <w:rsid w:val="001F4741"/>
    <w:rsid w:val="001F5846"/>
    <w:rsid w:val="001F67C0"/>
    <w:rsid w:val="001F7252"/>
    <w:rsid w:val="001F7709"/>
    <w:rsid w:val="001F7AE8"/>
    <w:rsid w:val="001F7F51"/>
    <w:rsid w:val="002004A5"/>
    <w:rsid w:val="00200F76"/>
    <w:rsid w:val="0020109A"/>
    <w:rsid w:val="0020135E"/>
    <w:rsid w:val="002019F0"/>
    <w:rsid w:val="00201FE4"/>
    <w:rsid w:val="00202407"/>
    <w:rsid w:val="002024C2"/>
    <w:rsid w:val="0020303C"/>
    <w:rsid w:val="0020418D"/>
    <w:rsid w:val="0020626D"/>
    <w:rsid w:val="002066C1"/>
    <w:rsid w:val="00206878"/>
    <w:rsid w:val="00207190"/>
    <w:rsid w:val="002071C6"/>
    <w:rsid w:val="002074F3"/>
    <w:rsid w:val="002104C2"/>
    <w:rsid w:val="00212415"/>
    <w:rsid w:val="0021271B"/>
    <w:rsid w:val="002135B1"/>
    <w:rsid w:val="0021380F"/>
    <w:rsid w:val="00214A33"/>
    <w:rsid w:val="00214E72"/>
    <w:rsid w:val="0021533C"/>
    <w:rsid w:val="002153FE"/>
    <w:rsid w:val="00216AD4"/>
    <w:rsid w:val="00216FE9"/>
    <w:rsid w:val="00217A56"/>
    <w:rsid w:val="002208DC"/>
    <w:rsid w:val="00220CF7"/>
    <w:rsid w:val="00220FBD"/>
    <w:rsid w:val="00221770"/>
    <w:rsid w:val="00223768"/>
    <w:rsid w:val="002262EC"/>
    <w:rsid w:val="00226720"/>
    <w:rsid w:val="00226BDD"/>
    <w:rsid w:val="00227232"/>
    <w:rsid w:val="002308FD"/>
    <w:rsid w:val="00231608"/>
    <w:rsid w:val="00231697"/>
    <w:rsid w:val="00231796"/>
    <w:rsid w:val="0023280A"/>
    <w:rsid w:val="002333B5"/>
    <w:rsid w:val="00234A54"/>
    <w:rsid w:val="00234C96"/>
    <w:rsid w:val="00236803"/>
    <w:rsid w:val="0023683C"/>
    <w:rsid w:val="00236A53"/>
    <w:rsid w:val="00236E43"/>
    <w:rsid w:val="00236F55"/>
    <w:rsid w:val="00237C82"/>
    <w:rsid w:val="00241241"/>
    <w:rsid w:val="002414EA"/>
    <w:rsid w:val="00242A63"/>
    <w:rsid w:val="002439E9"/>
    <w:rsid w:val="002449C2"/>
    <w:rsid w:val="00246010"/>
    <w:rsid w:val="0024668A"/>
    <w:rsid w:val="0024694C"/>
    <w:rsid w:val="00250A53"/>
    <w:rsid w:val="00251927"/>
    <w:rsid w:val="002522ED"/>
    <w:rsid w:val="00252566"/>
    <w:rsid w:val="00252804"/>
    <w:rsid w:val="0025297C"/>
    <w:rsid w:val="0025322D"/>
    <w:rsid w:val="00253B42"/>
    <w:rsid w:val="0025405A"/>
    <w:rsid w:val="00255662"/>
    <w:rsid w:val="00256E6D"/>
    <w:rsid w:val="00256FBD"/>
    <w:rsid w:val="00260C5D"/>
    <w:rsid w:val="00262095"/>
    <w:rsid w:val="00262925"/>
    <w:rsid w:val="002632F8"/>
    <w:rsid w:val="00263FAD"/>
    <w:rsid w:val="0026443C"/>
    <w:rsid w:val="00264EC5"/>
    <w:rsid w:val="002651E7"/>
    <w:rsid w:val="00265FEB"/>
    <w:rsid w:val="002674B8"/>
    <w:rsid w:val="00267965"/>
    <w:rsid w:val="00267BB3"/>
    <w:rsid w:val="00267E6D"/>
    <w:rsid w:val="002700CA"/>
    <w:rsid w:val="00270151"/>
    <w:rsid w:val="002702C2"/>
    <w:rsid w:val="002705F4"/>
    <w:rsid w:val="0027120B"/>
    <w:rsid w:val="00272ADF"/>
    <w:rsid w:val="00272CA6"/>
    <w:rsid w:val="00272E05"/>
    <w:rsid w:val="00273E65"/>
    <w:rsid w:val="002749C8"/>
    <w:rsid w:val="00275851"/>
    <w:rsid w:val="00275D20"/>
    <w:rsid w:val="00275DB7"/>
    <w:rsid w:val="00276051"/>
    <w:rsid w:val="0027611B"/>
    <w:rsid w:val="0028111B"/>
    <w:rsid w:val="002812B4"/>
    <w:rsid w:val="00281A92"/>
    <w:rsid w:val="00282257"/>
    <w:rsid w:val="00282673"/>
    <w:rsid w:val="00282B71"/>
    <w:rsid w:val="00282EB0"/>
    <w:rsid w:val="002834EE"/>
    <w:rsid w:val="00284957"/>
    <w:rsid w:val="002849AF"/>
    <w:rsid w:val="00284AA6"/>
    <w:rsid w:val="00284D37"/>
    <w:rsid w:val="002853BD"/>
    <w:rsid w:val="0028602A"/>
    <w:rsid w:val="00286B1C"/>
    <w:rsid w:val="00286E08"/>
    <w:rsid w:val="00287DB8"/>
    <w:rsid w:val="00290262"/>
    <w:rsid w:val="002906F8"/>
    <w:rsid w:val="00290924"/>
    <w:rsid w:val="00290C4C"/>
    <w:rsid w:val="00290DC9"/>
    <w:rsid w:val="00290F73"/>
    <w:rsid w:val="00292B96"/>
    <w:rsid w:val="00292E07"/>
    <w:rsid w:val="002941B5"/>
    <w:rsid w:val="002943C1"/>
    <w:rsid w:val="0029455A"/>
    <w:rsid w:val="0029498C"/>
    <w:rsid w:val="00294F4A"/>
    <w:rsid w:val="002950EA"/>
    <w:rsid w:val="00295179"/>
    <w:rsid w:val="00295273"/>
    <w:rsid w:val="00296BD9"/>
    <w:rsid w:val="00297400"/>
    <w:rsid w:val="00297D25"/>
    <w:rsid w:val="002A03E6"/>
    <w:rsid w:val="002A0581"/>
    <w:rsid w:val="002A0AFB"/>
    <w:rsid w:val="002A10CF"/>
    <w:rsid w:val="002A4286"/>
    <w:rsid w:val="002A4A0E"/>
    <w:rsid w:val="002A51CA"/>
    <w:rsid w:val="002A6287"/>
    <w:rsid w:val="002A62C8"/>
    <w:rsid w:val="002A6940"/>
    <w:rsid w:val="002A700F"/>
    <w:rsid w:val="002A74D2"/>
    <w:rsid w:val="002A7DEF"/>
    <w:rsid w:val="002B0F23"/>
    <w:rsid w:val="002B15B4"/>
    <w:rsid w:val="002B1934"/>
    <w:rsid w:val="002B1C86"/>
    <w:rsid w:val="002B1D02"/>
    <w:rsid w:val="002B27B7"/>
    <w:rsid w:val="002B2A27"/>
    <w:rsid w:val="002B3E95"/>
    <w:rsid w:val="002B4505"/>
    <w:rsid w:val="002B45C6"/>
    <w:rsid w:val="002B491E"/>
    <w:rsid w:val="002B5E10"/>
    <w:rsid w:val="002B6D18"/>
    <w:rsid w:val="002C047A"/>
    <w:rsid w:val="002C0F3A"/>
    <w:rsid w:val="002C0FCD"/>
    <w:rsid w:val="002C1558"/>
    <w:rsid w:val="002C1DED"/>
    <w:rsid w:val="002C23D2"/>
    <w:rsid w:val="002C2860"/>
    <w:rsid w:val="002C4AAA"/>
    <w:rsid w:val="002C593E"/>
    <w:rsid w:val="002C5E7D"/>
    <w:rsid w:val="002C5E7E"/>
    <w:rsid w:val="002C6F6E"/>
    <w:rsid w:val="002C71FB"/>
    <w:rsid w:val="002C7891"/>
    <w:rsid w:val="002C79BF"/>
    <w:rsid w:val="002C7E82"/>
    <w:rsid w:val="002D0F43"/>
    <w:rsid w:val="002D2E46"/>
    <w:rsid w:val="002D338F"/>
    <w:rsid w:val="002D373B"/>
    <w:rsid w:val="002D4695"/>
    <w:rsid w:val="002D473F"/>
    <w:rsid w:val="002D48BD"/>
    <w:rsid w:val="002D49E9"/>
    <w:rsid w:val="002D5D3B"/>
    <w:rsid w:val="002D68BE"/>
    <w:rsid w:val="002D7052"/>
    <w:rsid w:val="002D72EC"/>
    <w:rsid w:val="002E065E"/>
    <w:rsid w:val="002E079E"/>
    <w:rsid w:val="002E16D1"/>
    <w:rsid w:val="002E1F6B"/>
    <w:rsid w:val="002E30FF"/>
    <w:rsid w:val="002E3785"/>
    <w:rsid w:val="002E4584"/>
    <w:rsid w:val="002E5386"/>
    <w:rsid w:val="002E63EF"/>
    <w:rsid w:val="002E64C1"/>
    <w:rsid w:val="002E74FD"/>
    <w:rsid w:val="002E7951"/>
    <w:rsid w:val="002F0AE3"/>
    <w:rsid w:val="002F1003"/>
    <w:rsid w:val="002F1D03"/>
    <w:rsid w:val="002F22FF"/>
    <w:rsid w:val="002F2D7B"/>
    <w:rsid w:val="002F3140"/>
    <w:rsid w:val="002F4535"/>
    <w:rsid w:val="002F5B93"/>
    <w:rsid w:val="002F6165"/>
    <w:rsid w:val="002F75C4"/>
    <w:rsid w:val="002F7AEE"/>
    <w:rsid w:val="003002C0"/>
    <w:rsid w:val="00300F78"/>
    <w:rsid w:val="00301144"/>
    <w:rsid w:val="00303296"/>
    <w:rsid w:val="00304BDE"/>
    <w:rsid w:val="00304DD1"/>
    <w:rsid w:val="003053DF"/>
    <w:rsid w:val="00305682"/>
    <w:rsid w:val="003056F6"/>
    <w:rsid w:val="00305CD1"/>
    <w:rsid w:val="00305E95"/>
    <w:rsid w:val="003060F3"/>
    <w:rsid w:val="00306ACF"/>
    <w:rsid w:val="00307FF2"/>
    <w:rsid w:val="003108EF"/>
    <w:rsid w:val="00310FC4"/>
    <w:rsid w:val="00311267"/>
    <w:rsid w:val="00311517"/>
    <w:rsid w:val="00311D6E"/>
    <w:rsid w:val="0031340F"/>
    <w:rsid w:val="003140FB"/>
    <w:rsid w:val="003146B9"/>
    <w:rsid w:val="003148B7"/>
    <w:rsid w:val="003158C3"/>
    <w:rsid w:val="0031689E"/>
    <w:rsid w:val="003205A5"/>
    <w:rsid w:val="00320E04"/>
    <w:rsid w:val="00323150"/>
    <w:rsid w:val="00323D6D"/>
    <w:rsid w:val="003257A7"/>
    <w:rsid w:val="00325ED3"/>
    <w:rsid w:val="003274CD"/>
    <w:rsid w:val="00327A6A"/>
    <w:rsid w:val="0033085E"/>
    <w:rsid w:val="003311B1"/>
    <w:rsid w:val="00331549"/>
    <w:rsid w:val="00331639"/>
    <w:rsid w:val="00333501"/>
    <w:rsid w:val="00333631"/>
    <w:rsid w:val="003338CB"/>
    <w:rsid w:val="00335ACB"/>
    <w:rsid w:val="00337623"/>
    <w:rsid w:val="003376C0"/>
    <w:rsid w:val="003379C1"/>
    <w:rsid w:val="00340248"/>
    <w:rsid w:val="00340D4A"/>
    <w:rsid w:val="00342A2D"/>
    <w:rsid w:val="003436E6"/>
    <w:rsid w:val="003437E6"/>
    <w:rsid w:val="00343C38"/>
    <w:rsid w:val="00344CF9"/>
    <w:rsid w:val="00344D66"/>
    <w:rsid w:val="00345318"/>
    <w:rsid w:val="003457C4"/>
    <w:rsid w:val="00350145"/>
    <w:rsid w:val="003505B1"/>
    <w:rsid w:val="0035092D"/>
    <w:rsid w:val="00350C90"/>
    <w:rsid w:val="0035119D"/>
    <w:rsid w:val="003521BB"/>
    <w:rsid w:val="0035303A"/>
    <w:rsid w:val="00353365"/>
    <w:rsid w:val="00354981"/>
    <w:rsid w:val="00354AD9"/>
    <w:rsid w:val="00354B3A"/>
    <w:rsid w:val="00355299"/>
    <w:rsid w:val="00356311"/>
    <w:rsid w:val="00356948"/>
    <w:rsid w:val="00360406"/>
    <w:rsid w:val="003614DB"/>
    <w:rsid w:val="00361893"/>
    <w:rsid w:val="00362267"/>
    <w:rsid w:val="0036271A"/>
    <w:rsid w:val="003638C1"/>
    <w:rsid w:val="00364889"/>
    <w:rsid w:val="00364D5E"/>
    <w:rsid w:val="00364D7B"/>
    <w:rsid w:val="003650D7"/>
    <w:rsid w:val="003658EB"/>
    <w:rsid w:val="00366596"/>
    <w:rsid w:val="00370651"/>
    <w:rsid w:val="00370949"/>
    <w:rsid w:val="00370A19"/>
    <w:rsid w:val="00371BDD"/>
    <w:rsid w:val="00371D6A"/>
    <w:rsid w:val="00372233"/>
    <w:rsid w:val="0037464A"/>
    <w:rsid w:val="00374731"/>
    <w:rsid w:val="0037495E"/>
    <w:rsid w:val="00374B36"/>
    <w:rsid w:val="0037537E"/>
    <w:rsid w:val="00375BE9"/>
    <w:rsid w:val="003771C8"/>
    <w:rsid w:val="0037729D"/>
    <w:rsid w:val="00380076"/>
    <w:rsid w:val="00380104"/>
    <w:rsid w:val="00380F14"/>
    <w:rsid w:val="003816A3"/>
    <w:rsid w:val="00381775"/>
    <w:rsid w:val="00381F31"/>
    <w:rsid w:val="0038248A"/>
    <w:rsid w:val="003829FD"/>
    <w:rsid w:val="00383EC2"/>
    <w:rsid w:val="003856FE"/>
    <w:rsid w:val="00385CEC"/>
    <w:rsid w:val="003866D8"/>
    <w:rsid w:val="00387987"/>
    <w:rsid w:val="00387A05"/>
    <w:rsid w:val="00390AED"/>
    <w:rsid w:val="00391C02"/>
    <w:rsid w:val="00391EAD"/>
    <w:rsid w:val="00391F8F"/>
    <w:rsid w:val="003923C6"/>
    <w:rsid w:val="003938F6"/>
    <w:rsid w:val="0039463C"/>
    <w:rsid w:val="003949E3"/>
    <w:rsid w:val="00395627"/>
    <w:rsid w:val="00396778"/>
    <w:rsid w:val="00396F35"/>
    <w:rsid w:val="00397231"/>
    <w:rsid w:val="003A03E7"/>
    <w:rsid w:val="003A1573"/>
    <w:rsid w:val="003A18B3"/>
    <w:rsid w:val="003A19FC"/>
    <w:rsid w:val="003A1B2B"/>
    <w:rsid w:val="003A2B25"/>
    <w:rsid w:val="003A371F"/>
    <w:rsid w:val="003A3D9A"/>
    <w:rsid w:val="003A44DC"/>
    <w:rsid w:val="003A54F1"/>
    <w:rsid w:val="003A5A8A"/>
    <w:rsid w:val="003A62B5"/>
    <w:rsid w:val="003A6ADF"/>
    <w:rsid w:val="003A7834"/>
    <w:rsid w:val="003B01AC"/>
    <w:rsid w:val="003B0BBD"/>
    <w:rsid w:val="003B0E15"/>
    <w:rsid w:val="003B1485"/>
    <w:rsid w:val="003B1495"/>
    <w:rsid w:val="003B1D93"/>
    <w:rsid w:val="003B2902"/>
    <w:rsid w:val="003B3613"/>
    <w:rsid w:val="003B3649"/>
    <w:rsid w:val="003B4F12"/>
    <w:rsid w:val="003B5013"/>
    <w:rsid w:val="003B6BD8"/>
    <w:rsid w:val="003B6D5F"/>
    <w:rsid w:val="003B6DF0"/>
    <w:rsid w:val="003C0A47"/>
    <w:rsid w:val="003C14B0"/>
    <w:rsid w:val="003C2808"/>
    <w:rsid w:val="003C333F"/>
    <w:rsid w:val="003C4241"/>
    <w:rsid w:val="003C45EC"/>
    <w:rsid w:val="003C4ED3"/>
    <w:rsid w:val="003C64EC"/>
    <w:rsid w:val="003D24EC"/>
    <w:rsid w:val="003D352D"/>
    <w:rsid w:val="003D3CBE"/>
    <w:rsid w:val="003E0B76"/>
    <w:rsid w:val="003E0DEC"/>
    <w:rsid w:val="003E13E2"/>
    <w:rsid w:val="003E14A1"/>
    <w:rsid w:val="003E1763"/>
    <w:rsid w:val="003E193C"/>
    <w:rsid w:val="003E2CDB"/>
    <w:rsid w:val="003E305C"/>
    <w:rsid w:val="003E3912"/>
    <w:rsid w:val="003E448D"/>
    <w:rsid w:val="003E4AC8"/>
    <w:rsid w:val="003E4BEE"/>
    <w:rsid w:val="003E4DA7"/>
    <w:rsid w:val="003E5226"/>
    <w:rsid w:val="003E536A"/>
    <w:rsid w:val="003E574E"/>
    <w:rsid w:val="003E66AF"/>
    <w:rsid w:val="003E7055"/>
    <w:rsid w:val="003E7379"/>
    <w:rsid w:val="003E7484"/>
    <w:rsid w:val="003E756B"/>
    <w:rsid w:val="003F0C48"/>
    <w:rsid w:val="003F0F4D"/>
    <w:rsid w:val="003F168D"/>
    <w:rsid w:val="003F174D"/>
    <w:rsid w:val="003F1B1B"/>
    <w:rsid w:val="003F1E95"/>
    <w:rsid w:val="003F27A3"/>
    <w:rsid w:val="003F3B79"/>
    <w:rsid w:val="003F3DE0"/>
    <w:rsid w:val="003F3FED"/>
    <w:rsid w:val="003F4542"/>
    <w:rsid w:val="003F55AF"/>
    <w:rsid w:val="003F5C0C"/>
    <w:rsid w:val="003F5FD2"/>
    <w:rsid w:val="003F6032"/>
    <w:rsid w:val="003F7114"/>
    <w:rsid w:val="003F7FD9"/>
    <w:rsid w:val="00400228"/>
    <w:rsid w:val="00400B0F"/>
    <w:rsid w:val="00400BFE"/>
    <w:rsid w:val="00400CA0"/>
    <w:rsid w:val="0040200D"/>
    <w:rsid w:val="004022C5"/>
    <w:rsid w:val="00402ACC"/>
    <w:rsid w:val="0040522B"/>
    <w:rsid w:val="00405513"/>
    <w:rsid w:val="00405DB1"/>
    <w:rsid w:val="004067DC"/>
    <w:rsid w:val="004070DF"/>
    <w:rsid w:val="004077FF"/>
    <w:rsid w:val="00410023"/>
    <w:rsid w:val="00410336"/>
    <w:rsid w:val="0041056A"/>
    <w:rsid w:val="00410D5C"/>
    <w:rsid w:val="004117B0"/>
    <w:rsid w:val="004120EC"/>
    <w:rsid w:val="00413180"/>
    <w:rsid w:val="0041378D"/>
    <w:rsid w:val="004137AB"/>
    <w:rsid w:val="00415FE7"/>
    <w:rsid w:val="00416A83"/>
    <w:rsid w:val="00416EA2"/>
    <w:rsid w:val="00417863"/>
    <w:rsid w:val="0042009A"/>
    <w:rsid w:val="00420617"/>
    <w:rsid w:val="00421337"/>
    <w:rsid w:val="00421391"/>
    <w:rsid w:val="00421A86"/>
    <w:rsid w:val="00421AD2"/>
    <w:rsid w:val="004238A0"/>
    <w:rsid w:val="0042393B"/>
    <w:rsid w:val="00423F31"/>
    <w:rsid w:val="0042504F"/>
    <w:rsid w:val="0042587B"/>
    <w:rsid w:val="0042620F"/>
    <w:rsid w:val="00426FC8"/>
    <w:rsid w:val="00427224"/>
    <w:rsid w:val="00427646"/>
    <w:rsid w:val="004304E3"/>
    <w:rsid w:val="00430AF6"/>
    <w:rsid w:val="00431433"/>
    <w:rsid w:val="004315F4"/>
    <w:rsid w:val="00431899"/>
    <w:rsid w:val="004319B1"/>
    <w:rsid w:val="00431DA7"/>
    <w:rsid w:val="00431E5F"/>
    <w:rsid w:val="0043291F"/>
    <w:rsid w:val="0043349B"/>
    <w:rsid w:val="0043439D"/>
    <w:rsid w:val="004345CF"/>
    <w:rsid w:val="0043460B"/>
    <w:rsid w:val="00434FE6"/>
    <w:rsid w:val="00436128"/>
    <w:rsid w:val="00436317"/>
    <w:rsid w:val="00436739"/>
    <w:rsid w:val="00436ED7"/>
    <w:rsid w:val="00440462"/>
    <w:rsid w:val="00441632"/>
    <w:rsid w:val="00442686"/>
    <w:rsid w:val="004434AD"/>
    <w:rsid w:val="0044366C"/>
    <w:rsid w:val="0044381F"/>
    <w:rsid w:val="00443AA2"/>
    <w:rsid w:val="0044510A"/>
    <w:rsid w:val="00446C47"/>
    <w:rsid w:val="00447B68"/>
    <w:rsid w:val="00450DC8"/>
    <w:rsid w:val="00451716"/>
    <w:rsid w:val="004517AE"/>
    <w:rsid w:val="00451B38"/>
    <w:rsid w:val="00452B8A"/>
    <w:rsid w:val="004541D8"/>
    <w:rsid w:val="00456515"/>
    <w:rsid w:val="00456742"/>
    <w:rsid w:val="00456F98"/>
    <w:rsid w:val="004632CB"/>
    <w:rsid w:val="0046382D"/>
    <w:rsid w:val="0046451E"/>
    <w:rsid w:val="0046571D"/>
    <w:rsid w:val="0046666D"/>
    <w:rsid w:val="0047034F"/>
    <w:rsid w:val="0047068D"/>
    <w:rsid w:val="00471378"/>
    <w:rsid w:val="004720AE"/>
    <w:rsid w:val="004723F6"/>
    <w:rsid w:val="00473D82"/>
    <w:rsid w:val="004759B7"/>
    <w:rsid w:val="00476125"/>
    <w:rsid w:val="004763DF"/>
    <w:rsid w:val="0047666E"/>
    <w:rsid w:val="004774AC"/>
    <w:rsid w:val="00477B3F"/>
    <w:rsid w:val="00480422"/>
    <w:rsid w:val="0048087F"/>
    <w:rsid w:val="00480CF2"/>
    <w:rsid w:val="0048108B"/>
    <w:rsid w:val="0048192B"/>
    <w:rsid w:val="0048287D"/>
    <w:rsid w:val="004831A6"/>
    <w:rsid w:val="00483289"/>
    <w:rsid w:val="0048381D"/>
    <w:rsid w:val="004839E3"/>
    <w:rsid w:val="004840FE"/>
    <w:rsid w:val="0048440C"/>
    <w:rsid w:val="004844E1"/>
    <w:rsid w:val="00486804"/>
    <w:rsid w:val="00486B15"/>
    <w:rsid w:val="00486B37"/>
    <w:rsid w:val="00486C33"/>
    <w:rsid w:val="00487190"/>
    <w:rsid w:val="00487668"/>
    <w:rsid w:val="00487678"/>
    <w:rsid w:val="0049209E"/>
    <w:rsid w:val="0049284F"/>
    <w:rsid w:val="00492FB7"/>
    <w:rsid w:val="00494497"/>
    <w:rsid w:val="00494760"/>
    <w:rsid w:val="0049477A"/>
    <w:rsid w:val="00496AD3"/>
    <w:rsid w:val="004977A1"/>
    <w:rsid w:val="00497ED6"/>
    <w:rsid w:val="004A012E"/>
    <w:rsid w:val="004A248B"/>
    <w:rsid w:val="004A26FE"/>
    <w:rsid w:val="004A27E5"/>
    <w:rsid w:val="004A49D7"/>
    <w:rsid w:val="004A58A0"/>
    <w:rsid w:val="004A5B72"/>
    <w:rsid w:val="004A5DF5"/>
    <w:rsid w:val="004A7547"/>
    <w:rsid w:val="004A79C7"/>
    <w:rsid w:val="004B077D"/>
    <w:rsid w:val="004B0A07"/>
    <w:rsid w:val="004B0A64"/>
    <w:rsid w:val="004B0B02"/>
    <w:rsid w:val="004B0F40"/>
    <w:rsid w:val="004B19FD"/>
    <w:rsid w:val="004B2274"/>
    <w:rsid w:val="004B22B7"/>
    <w:rsid w:val="004B25D8"/>
    <w:rsid w:val="004B2AE8"/>
    <w:rsid w:val="004B2C02"/>
    <w:rsid w:val="004B3775"/>
    <w:rsid w:val="004B399A"/>
    <w:rsid w:val="004B39B9"/>
    <w:rsid w:val="004B47C7"/>
    <w:rsid w:val="004B5579"/>
    <w:rsid w:val="004B67C2"/>
    <w:rsid w:val="004B6EAB"/>
    <w:rsid w:val="004B7833"/>
    <w:rsid w:val="004C042A"/>
    <w:rsid w:val="004C11BB"/>
    <w:rsid w:val="004C2028"/>
    <w:rsid w:val="004C209B"/>
    <w:rsid w:val="004C21C4"/>
    <w:rsid w:val="004C2675"/>
    <w:rsid w:val="004C3AFA"/>
    <w:rsid w:val="004C3CE1"/>
    <w:rsid w:val="004C518F"/>
    <w:rsid w:val="004C5201"/>
    <w:rsid w:val="004C5C28"/>
    <w:rsid w:val="004C6B94"/>
    <w:rsid w:val="004D0BA0"/>
    <w:rsid w:val="004D2391"/>
    <w:rsid w:val="004D2F12"/>
    <w:rsid w:val="004D376E"/>
    <w:rsid w:val="004D6EA0"/>
    <w:rsid w:val="004D7005"/>
    <w:rsid w:val="004D7D75"/>
    <w:rsid w:val="004E0264"/>
    <w:rsid w:val="004E058F"/>
    <w:rsid w:val="004E1C24"/>
    <w:rsid w:val="004E1C7D"/>
    <w:rsid w:val="004E2B66"/>
    <w:rsid w:val="004E3B87"/>
    <w:rsid w:val="004E452F"/>
    <w:rsid w:val="004E4B8C"/>
    <w:rsid w:val="004E4E81"/>
    <w:rsid w:val="004E5E6F"/>
    <w:rsid w:val="004E6A41"/>
    <w:rsid w:val="004E7636"/>
    <w:rsid w:val="004F16AA"/>
    <w:rsid w:val="004F2616"/>
    <w:rsid w:val="004F2926"/>
    <w:rsid w:val="004F2DA3"/>
    <w:rsid w:val="004F3E12"/>
    <w:rsid w:val="004F441B"/>
    <w:rsid w:val="004F45E8"/>
    <w:rsid w:val="004F4690"/>
    <w:rsid w:val="004F4C26"/>
    <w:rsid w:val="004F5108"/>
    <w:rsid w:val="004F5C02"/>
    <w:rsid w:val="004F5E15"/>
    <w:rsid w:val="004F6ADC"/>
    <w:rsid w:val="004F71F5"/>
    <w:rsid w:val="004F75D2"/>
    <w:rsid w:val="0050043A"/>
    <w:rsid w:val="00501599"/>
    <w:rsid w:val="005033E9"/>
    <w:rsid w:val="00503791"/>
    <w:rsid w:val="00503C03"/>
    <w:rsid w:val="0050455B"/>
    <w:rsid w:val="00504605"/>
    <w:rsid w:val="00504B49"/>
    <w:rsid w:val="00505C40"/>
    <w:rsid w:val="00506A9F"/>
    <w:rsid w:val="00506BA0"/>
    <w:rsid w:val="0050728A"/>
    <w:rsid w:val="00507D43"/>
    <w:rsid w:val="00507EBD"/>
    <w:rsid w:val="00510921"/>
    <w:rsid w:val="00510AD3"/>
    <w:rsid w:val="0051117D"/>
    <w:rsid w:val="005114EE"/>
    <w:rsid w:val="005127A9"/>
    <w:rsid w:val="00512A37"/>
    <w:rsid w:val="00512A87"/>
    <w:rsid w:val="00513348"/>
    <w:rsid w:val="00513935"/>
    <w:rsid w:val="00514310"/>
    <w:rsid w:val="00514E11"/>
    <w:rsid w:val="00515842"/>
    <w:rsid w:val="00515E4E"/>
    <w:rsid w:val="00516F0B"/>
    <w:rsid w:val="00520262"/>
    <w:rsid w:val="005205CC"/>
    <w:rsid w:val="005210D8"/>
    <w:rsid w:val="0052123E"/>
    <w:rsid w:val="0052134E"/>
    <w:rsid w:val="005216AC"/>
    <w:rsid w:val="005217EC"/>
    <w:rsid w:val="00521AD5"/>
    <w:rsid w:val="00522A83"/>
    <w:rsid w:val="00522C7B"/>
    <w:rsid w:val="00522DAD"/>
    <w:rsid w:val="00523034"/>
    <w:rsid w:val="00523352"/>
    <w:rsid w:val="00526E91"/>
    <w:rsid w:val="005271B4"/>
    <w:rsid w:val="00527933"/>
    <w:rsid w:val="00532388"/>
    <w:rsid w:val="00532C71"/>
    <w:rsid w:val="005331CB"/>
    <w:rsid w:val="00533A6D"/>
    <w:rsid w:val="00533B5D"/>
    <w:rsid w:val="0053413B"/>
    <w:rsid w:val="005345B5"/>
    <w:rsid w:val="00534A73"/>
    <w:rsid w:val="005352D1"/>
    <w:rsid w:val="00535D78"/>
    <w:rsid w:val="005413B9"/>
    <w:rsid w:val="00541C44"/>
    <w:rsid w:val="005422DA"/>
    <w:rsid w:val="00542A8D"/>
    <w:rsid w:val="00542D6B"/>
    <w:rsid w:val="00542FF4"/>
    <w:rsid w:val="00543C69"/>
    <w:rsid w:val="00544C0F"/>
    <w:rsid w:val="00545672"/>
    <w:rsid w:val="00545E66"/>
    <w:rsid w:val="00546613"/>
    <w:rsid w:val="00547AEE"/>
    <w:rsid w:val="00547C86"/>
    <w:rsid w:val="00547DA1"/>
    <w:rsid w:val="0055093A"/>
    <w:rsid w:val="00551013"/>
    <w:rsid w:val="005511BF"/>
    <w:rsid w:val="00551DBD"/>
    <w:rsid w:val="00552D68"/>
    <w:rsid w:val="00553A0D"/>
    <w:rsid w:val="00557031"/>
    <w:rsid w:val="00557718"/>
    <w:rsid w:val="00560494"/>
    <w:rsid w:val="00560CC3"/>
    <w:rsid w:val="00561A7D"/>
    <w:rsid w:val="005623C0"/>
    <w:rsid w:val="005629F5"/>
    <w:rsid w:val="00562A8B"/>
    <w:rsid w:val="005648A4"/>
    <w:rsid w:val="0056579E"/>
    <w:rsid w:val="005660D9"/>
    <w:rsid w:val="005660E4"/>
    <w:rsid w:val="00570F6B"/>
    <w:rsid w:val="00572086"/>
    <w:rsid w:val="00572A89"/>
    <w:rsid w:val="00573262"/>
    <w:rsid w:val="00573415"/>
    <w:rsid w:val="00574033"/>
    <w:rsid w:val="005741CF"/>
    <w:rsid w:val="005744A6"/>
    <w:rsid w:val="0057636B"/>
    <w:rsid w:val="0057662C"/>
    <w:rsid w:val="00576A29"/>
    <w:rsid w:val="00580A64"/>
    <w:rsid w:val="00581290"/>
    <w:rsid w:val="00581BE6"/>
    <w:rsid w:val="00581E27"/>
    <w:rsid w:val="0058385B"/>
    <w:rsid w:val="00583C82"/>
    <w:rsid w:val="005848A0"/>
    <w:rsid w:val="00585C65"/>
    <w:rsid w:val="00586BB1"/>
    <w:rsid w:val="00586CF6"/>
    <w:rsid w:val="00586F4B"/>
    <w:rsid w:val="00586F67"/>
    <w:rsid w:val="005876CA"/>
    <w:rsid w:val="0059018A"/>
    <w:rsid w:val="00590F0D"/>
    <w:rsid w:val="0059146A"/>
    <w:rsid w:val="005917C4"/>
    <w:rsid w:val="005917FF"/>
    <w:rsid w:val="005936A2"/>
    <w:rsid w:val="00594275"/>
    <w:rsid w:val="00594D37"/>
    <w:rsid w:val="005961D8"/>
    <w:rsid w:val="00596905"/>
    <w:rsid w:val="005971AC"/>
    <w:rsid w:val="0059748C"/>
    <w:rsid w:val="00597773"/>
    <w:rsid w:val="005A0ABA"/>
    <w:rsid w:val="005A170B"/>
    <w:rsid w:val="005A1792"/>
    <w:rsid w:val="005A238A"/>
    <w:rsid w:val="005A34ED"/>
    <w:rsid w:val="005A3F71"/>
    <w:rsid w:val="005A461F"/>
    <w:rsid w:val="005A49DB"/>
    <w:rsid w:val="005A4D66"/>
    <w:rsid w:val="005A557A"/>
    <w:rsid w:val="005A5A26"/>
    <w:rsid w:val="005A776D"/>
    <w:rsid w:val="005A77FE"/>
    <w:rsid w:val="005A78D3"/>
    <w:rsid w:val="005B0191"/>
    <w:rsid w:val="005B027B"/>
    <w:rsid w:val="005B0712"/>
    <w:rsid w:val="005B15D8"/>
    <w:rsid w:val="005B2518"/>
    <w:rsid w:val="005B2956"/>
    <w:rsid w:val="005B2C50"/>
    <w:rsid w:val="005B40D3"/>
    <w:rsid w:val="005B4103"/>
    <w:rsid w:val="005B5769"/>
    <w:rsid w:val="005B5E5D"/>
    <w:rsid w:val="005B5F9B"/>
    <w:rsid w:val="005B5FC5"/>
    <w:rsid w:val="005B63F8"/>
    <w:rsid w:val="005B6CF8"/>
    <w:rsid w:val="005C0EC1"/>
    <w:rsid w:val="005C28C4"/>
    <w:rsid w:val="005C36F2"/>
    <w:rsid w:val="005C40D8"/>
    <w:rsid w:val="005C42DB"/>
    <w:rsid w:val="005C43C8"/>
    <w:rsid w:val="005C4841"/>
    <w:rsid w:val="005C57D4"/>
    <w:rsid w:val="005C62F8"/>
    <w:rsid w:val="005C728F"/>
    <w:rsid w:val="005C72C1"/>
    <w:rsid w:val="005C768E"/>
    <w:rsid w:val="005C78DB"/>
    <w:rsid w:val="005C7B7D"/>
    <w:rsid w:val="005C7C96"/>
    <w:rsid w:val="005C7E3D"/>
    <w:rsid w:val="005D05DD"/>
    <w:rsid w:val="005D1D3B"/>
    <w:rsid w:val="005D291D"/>
    <w:rsid w:val="005D296C"/>
    <w:rsid w:val="005D3326"/>
    <w:rsid w:val="005D3655"/>
    <w:rsid w:val="005D4492"/>
    <w:rsid w:val="005D4D97"/>
    <w:rsid w:val="005D64AF"/>
    <w:rsid w:val="005D6597"/>
    <w:rsid w:val="005D6A47"/>
    <w:rsid w:val="005D735E"/>
    <w:rsid w:val="005E01F0"/>
    <w:rsid w:val="005E0298"/>
    <w:rsid w:val="005E0599"/>
    <w:rsid w:val="005E0855"/>
    <w:rsid w:val="005E17E0"/>
    <w:rsid w:val="005E18A8"/>
    <w:rsid w:val="005E1BE0"/>
    <w:rsid w:val="005E2C7C"/>
    <w:rsid w:val="005E2DCB"/>
    <w:rsid w:val="005E36B5"/>
    <w:rsid w:val="005E4B34"/>
    <w:rsid w:val="005E54A5"/>
    <w:rsid w:val="005E5614"/>
    <w:rsid w:val="005E5EBA"/>
    <w:rsid w:val="005E606B"/>
    <w:rsid w:val="005E6D42"/>
    <w:rsid w:val="005E6DEA"/>
    <w:rsid w:val="005E7665"/>
    <w:rsid w:val="005F0CF6"/>
    <w:rsid w:val="005F1163"/>
    <w:rsid w:val="005F4758"/>
    <w:rsid w:val="005F522E"/>
    <w:rsid w:val="005F5669"/>
    <w:rsid w:val="005F59DD"/>
    <w:rsid w:val="005F6DF5"/>
    <w:rsid w:val="00601059"/>
    <w:rsid w:val="006015DA"/>
    <w:rsid w:val="00601C87"/>
    <w:rsid w:val="006029D9"/>
    <w:rsid w:val="0060353C"/>
    <w:rsid w:val="00604C3A"/>
    <w:rsid w:val="0060546F"/>
    <w:rsid w:val="00605D9D"/>
    <w:rsid w:val="00605E7E"/>
    <w:rsid w:val="006068DA"/>
    <w:rsid w:val="00607804"/>
    <w:rsid w:val="00607D80"/>
    <w:rsid w:val="006103F5"/>
    <w:rsid w:val="00615F56"/>
    <w:rsid w:val="006162D5"/>
    <w:rsid w:val="00617247"/>
    <w:rsid w:val="00617418"/>
    <w:rsid w:val="006178BD"/>
    <w:rsid w:val="00620421"/>
    <w:rsid w:val="0062061E"/>
    <w:rsid w:val="00621BEE"/>
    <w:rsid w:val="00621DFD"/>
    <w:rsid w:val="00622288"/>
    <w:rsid w:val="00622EAE"/>
    <w:rsid w:val="00623BA1"/>
    <w:rsid w:val="00623C7B"/>
    <w:rsid w:val="00624203"/>
    <w:rsid w:val="00624242"/>
    <w:rsid w:val="006247BD"/>
    <w:rsid w:val="00624FDB"/>
    <w:rsid w:val="006257DB"/>
    <w:rsid w:val="00625A63"/>
    <w:rsid w:val="006261AF"/>
    <w:rsid w:val="00626381"/>
    <w:rsid w:val="006272E7"/>
    <w:rsid w:val="0063001B"/>
    <w:rsid w:val="006306A0"/>
    <w:rsid w:val="00630896"/>
    <w:rsid w:val="00630D4D"/>
    <w:rsid w:val="00630F4B"/>
    <w:rsid w:val="006316EA"/>
    <w:rsid w:val="00633446"/>
    <w:rsid w:val="00634120"/>
    <w:rsid w:val="006342C2"/>
    <w:rsid w:val="0063431D"/>
    <w:rsid w:val="006343D1"/>
    <w:rsid w:val="006346BC"/>
    <w:rsid w:val="00635094"/>
    <w:rsid w:val="00635991"/>
    <w:rsid w:val="006360B7"/>
    <w:rsid w:val="00637475"/>
    <w:rsid w:val="006375D5"/>
    <w:rsid w:val="00637D99"/>
    <w:rsid w:val="00641913"/>
    <w:rsid w:val="00642A40"/>
    <w:rsid w:val="00642B6D"/>
    <w:rsid w:val="00642D6A"/>
    <w:rsid w:val="0064476C"/>
    <w:rsid w:val="00647E99"/>
    <w:rsid w:val="00650024"/>
    <w:rsid w:val="00650099"/>
    <w:rsid w:val="00650183"/>
    <w:rsid w:val="006505EB"/>
    <w:rsid w:val="00650996"/>
    <w:rsid w:val="00650D2D"/>
    <w:rsid w:val="00651F5D"/>
    <w:rsid w:val="00652CCF"/>
    <w:rsid w:val="00652FE6"/>
    <w:rsid w:val="00654406"/>
    <w:rsid w:val="00655D3D"/>
    <w:rsid w:val="006567ED"/>
    <w:rsid w:val="00660349"/>
    <w:rsid w:val="00660765"/>
    <w:rsid w:val="006610A4"/>
    <w:rsid w:val="006623ED"/>
    <w:rsid w:val="006624E6"/>
    <w:rsid w:val="0066253F"/>
    <w:rsid w:val="006638A5"/>
    <w:rsid w:val="00665D22"/>
    <w:rsid w:val="00665FC9"/>
    <w:rsid w:val="0066632C"/>
    <w:rsid w:val="0066652A"/>
    <w:rsid w:val="00667431"/>
    <w:rsid w:val="00667A1B"/>
    <w:rsid w:val="00667C53"/>
    <w:rsid w:val="00670CDC"/>
    <w:rsid w:val="0067128C"/>
    <w:rsid w:val="00671BEA"/>
    <w:rsid w:val="00672526"/>
    <w:rsid w:val="00672761"/>
    <w:rsid w:val="00673A6E"/>
    <w:rsid w:val="006742ED"/>
    <w:rsid w:val="0067442E"/>
    <w:rsid w:val="00674FAA"/>
    <w:rsid w:val="0067535C"/>
    <w:rsid w:val="0067680A"/>
    <w:rsid w:val="00680522"/>
    <w:rsid w:val="00680BE8"/>
    <w:rsid w:val="006812B2"/>
    <w:rsid w:val="0068166C"/>
    <w:rsid w:val="00681D5E"/>
    <w:rsid w:val="00681F08"/>
    <w:rsid w:val="00682167"/>
    <w:rsid w:val="00682EB5"/>
    <w:rsid w:val="00683D9B"/>
    <w:rsid w:val="006843C3"/>
    <w:rsid w:val="00684B96"/>
    <w:rsid w:val="00684EB9"/>
    <w:rsid w:val="00685992"/>
    <w:rsid w:val="00685A3B"/>
    <w:rsid w:val="0068600F"/>
    <w:rsid w:val="00686F5C"/>
    <w:rsid w:val="00691C99"/>
    <w:rsid w:val="00691DAF"/>
    <w:rsid w:val="006924C2"/>
    <w:rsid w:val="0069352D"/>
    <w:rsid w:val="006935E9"/>
    <w:rsid w:val="0069381F"/>
    <w:rsid w:val="00693C5A"/>
    <w:rsid w:val="0069402B"/>
    <w:rsid w:val="00694A5A"/>
    <w:rsid w:val="00694B9F"/>
    <w:rsid w:val="00694D9C"/>
    <w:rsid w:val="006951E5"/>
    <w:rsid w:val="00695730"/>
    <w:rsid w:val="00695984"/>
    <w:rsid w:val="00696285"/>
    <w:rsid w:val="006965AE"/>
    <w:rsid w:val="00696E91"/>
    <w:rsid w:val="006A0843"/>
    <w:rsid w:val="006A0FA3"/>
    <w:rsid w:val="006A1429"/>
    <w:rsid w:val="006A1533"/>
    <w:rsid w:val="006A30B1"/>
    <w:rsid w:val="006A3554"/>
    <w:rsid w:val="006A43D7"/>
    <w:rsid w:val="006A43E4"/>
    <w:rsid w:val="006A47B0"/>
    <w:rsid w:val="006A4EED"/>
    <w:rsid w:val="006A58F7"/>
    <w:rsid w:val="006A62EF"/>
    <w:rsid w:val="006A6C3E"/>
    <w:rsid w:val="006A725B"/>
    <w:rsid w:val="006B15AE"/>
    <w:rsid w:val="006B16E8"/>
    <w:rsid w:val="006B2EFA"/>
    <w:rsid w:val="006B3931"/>
    <w:rsid w:val="006B50CC"/>
    <w:rsid w:val="006B6C2A"/>
    <w:rsid w:val="006C03FD"/>
    <w:rsid w:val="006C1430"/>
    <w:rsid w:val="006C42AF"/>
    <w:rsid w:val="006C4C24"/>
    <w:rsid w:val="006C546F"/>
    <w:rsid w:val="006C5AEA"/>
    <w:rsid w:val="006C68D6"/>
    <w:rsid w:val="006C7601"/>
    <w:rsid w:val="006D00EB"/>
    <w:rsid w:val="006D067C"/>
    <w:rsid w:val="006D07BF"/>
    <w:rsid w:val="006D0909"/>
    <w:rsid w:val="006D192A"/>
    <w:rsid w:val="006D3ABD"/>
    <w:rsid w:val="006D3D7B"/>
    <w:rsid w:val="006D3FB6"/>
    <w:rsid w:val="006D66DD"/>
    <w:rsid w:val="006D6B49"/>
    <w:rsid w:val="006D6BDA"/>
    <w:rsid w:val="006D7CF3"/>
    <w:rsid w:val="006E1063"/>
    <w:rsid w:val="006E1F5B"/>
    <w:rsid w:val="006E1FC5"/>
    <w:rsid w:val="006E2D12"/>
    <w:rsid w:val="006E2EE6"/>
    <w:rsid w:val="006E453C"/>
    <w:rsid w:val="006E4CA3"/>
    <w:rsid w:val="006E57D6"/>
    <w:rsid w:val="006E58EC"/>
    <w:rsid w:val="006E5C6C"/>
    <w:rsid w:val="006E5CE0"/>
    <w:rsid w:val="006E666A"/>
    <w:rsid w:val="006E6AA3"/>
    <w:rsid w:val="006E717C"/>
    <w:rsid w:val="006E72D1"/>
    <w:rsid w:val="006E7562"/>
    <w:rsid w:val="006E7845"/>
    <w:rsid w:val="006F0385"/>
    <w:rsid w:val="006F0E30"/>
    <w:rsid w:val="006F1607"/>
    <w:rsid w:val="006F1761"/>
    <w:rsid w:val="006F27B1"/>
    <w:rsid w:val="006F2A0D"/>
    <w:rsid w:val="006F2E80"/>
    <w:rsid w:val="006F3F93"/>
    <w:rsid w:val="006F4367"/>
    <w:rsid w:val="006F43EF"/>
    <w:rsid w:val="006F48F1"/>
    <w:rsid w:val="006F5200"/>
    <w:rsid w:val="006F5C7E"/>
    <w:rsid w:val="006F6425"/>
    <w:rsid w:val="006F6A9C"/>
    <w:rsid w:val="006F77E4"/>
    <w:rsid w:val="006F7FC0"/>
    <w:rsid w:val="0070012F"/>
    <w:rsid w:val="00701D2B"/>
    <w:rsid w:val="00701E52"/>
    <w:rsid w:val="00702286"/>
    <w:rsid w:val="00703094"/>
    <w:rsid w:val="007037C9"/>
    <w:rsid w:val="00703B70"/>
    <w:rsid w:val="00703FB8"/>
    <w:rsid w:val="00704586"/>
    <w:rsid w:val="00704B45"/>
    <w:rsid w:val="00704C1D"/>
    <w:rsid w:val="00705E00"/>
    <w:rsid w:val="007062EB"/>
    <w:rsid w:val="00706A91"/>
    <w:rsid w:val="00706F8A"/>
    <w:rsid w:val="00710890"/>
    <w:rsid w:val="007108F8"/>
    <w:rsid w:val="00710B2E"/>
    <w:rsid w:val="00710D88"/>
    <w:rsid w:val="00710EFF"/>
    <w:rsid w:val="007117F1"/>
    <w:rsid w:val="00711866"/>
    <w:rsid w:val="00711D8E"/>
    <w:rsid w:val="00712672"/>
    <w:rsid w:val="00712DAA"/>
    <w:rsid w:val="00713AF6"/>
    <w:rsid w:val="007143A8"/>
    <w:rsid w:val="00714819"/>
    <w:rsid w:val="007148EC"/>
    <w:rsid w:val="00714970"/>
    <w:rsid w:val="00714A6F"/>
    <w:rsid w:val="00715BF7"/>
    <w:rsid w:val="00715CCD"/>
    <w:rsid w:val="007167CB"/>
    <w:rsid w:val="00717991"/>
    <w:rsid w:val="00717E38"/>
    <w:rsid w:val="007200CE"/>
    <w:rsid w:val="00722672"/>
    <w:rsid w:val="0072271A"/>
    <w:rsid w:val="007228FF"/>
    <w:rsid w:val="00725EB5"/>
    <w:rsid w:val="007278CD"/>
    <w:rsid w:val="00727E1C"/>
    <w:rsid w:val="00730137"/>
    <w:rsid w:val="0073049A"/>
    <w:rsid w:val="00730EB7"/>
    <w:rsid w:val="0073104F"/>
    <w:rsid w:val="00731CB0"/>
    <w:rsid w:val="00731F89"/>
    <w:rsid w:val="00732616"/>
    <w:rsid w:val="00732675"/>
    <w:rsid w:val="00733991"/>
    <w:rsid w:val="00734E3F"/>
    <w:rsid w:val="00735F83"/>
    <w:rsid w:val="00736985"/>
    <w:rsid w:val="0073736D"/>
    <w:rsid w:val="00740095"/>
    <w:rsid w:val="00740206"/>
    <w:rsid w:val="00740C47"/>
    <w:rsid w:val="00740E22"/>
    <w:rsid w:val="00742015"/>
    <w:rsid w:val="007424F6"/>
    <w:rsid w:val="0074380C"/>
    <w:rsid w:val="007443F2"/>
    <w:rsid w:val="00744701"/>
    <w:rsid w:val="00744819"/>
    <w:rsid w:val="00745DF5"/>
    <w:rsid w:val="00745F65"/>
    <w:rsid w:val="00747E4C"/>
    <w:rsid w:val="007505DF"/>
    <w:rsid w:val="007505E8"/>
    <w:rsid w:val="00752780"/>
    <w:rsid w:val="00753201"/>
    <w:rsid w:val="00753DBC"/>
    <w:rsid w:val="007554B1"/>
    <w:rsid w:val="00756655"/>
    <w:rsid w:val="00756E9A"/>
    <w:rsid w:val="0075728B"/>
    <w:rsid w:val="0075742C"/>
    <w:rsid w:val="007602D4"/>
    <w:rsid w:val="0076250F"/>
    <w:rsid w:val="00762D05"/>
    <w:rsid w:val="00762F1D"/>
    <w:rsid w:val="00762FDF"/>
    <w:rsid w:val="007643A2"/>
    <w:rsid w:val="007647EC"/>
    <w:rsid w:val="00764A22"/>
    <w:rsid w:val="007661D3"/>
    <w:rsid w:val="007663EE"/>
    <w:rsid w:val="00766CB0"/>
    <w:rsid w:val="007701B2"/>
    <w:rsid w:val="00770AC2"/>
    <w:rsid w:val="00770BE8"/>
    <w:rsid w:val="00771B53"/>
    <w:rsid w:val="007730A4"/>
    <w:rsid w:val="00774AF0"/>
    <w:rsid w:val="0077509A"/>
    <w:rsid w:val="007801AE"/>
    <w:rsid w:val="007803B7"/>
    <w:rsid w:val="0078125F"/>
    <w:rsid w:val="00781328"/>
    <w:rsid w:val="00782023"/>
    <w:rsid w:val="00782B19"/>
    <w:rsid w:val="00782B28"/>
    <w:rsid w:val="0078349E"/>
    <w:rsid w:val="007834D7"/>
    <w:rsid w:val="00784031"/>
    <w:rsid w:val="00784155"/>
    <w:rsid w:val="007848B6"/>
    <w:rsid w:val="00784C30"/>
    <w:rsid w:val="007917A8"/>
    <w:rsid w:val="007920F7"/>
    <w:rsid w:val="00792455"/>
    <w:rsid w:val="00792965"/>
    <w:rsid w:val="00792EDC"/>
    <w:rsid w:val="007930EA"/>
    <w:rsid w:val="007931AD"/>
    <w:rsid w:val="00794641"/>
    <w:rsid w:val="007948D0"/>
    <w:rsid w:val="007A0285"/>
    <w:rsid w:val="007A243E"/>
    <w:rsid w:val="007A308C"/>
    <w:rsid w:val="007A3136"/>
    <w:rsid w:val="007A3A4D"/>
    <w:rsid w:val="007A3B2C"/>
    <w:rsid w:val="007A4792"/>
    <w:rsid w:val="007A49CD"/>
    <w:rsid w:val="007A6119"/>
    <w:rsid w:val="007A61AD"/>
    <w:rsid w:val="007A6798"/>
    <w:rsid w:val="007A69E8"/>
    <w:rsid w:val="007B096B"/>
    <w:rsid w:val="007B0C35"/>
    <w:rsid w:val="007B0EB5"/>
    <w:rsid w:val="007B14BA"/>
    <w:rsid w:val="007B2C65"/>
    <w:rsid w:val="007B35D7"/>
    <w:rsid w:val="007B373B"/>
    <w:rsid w:val="007B4041"/>
    <w:rsid w:val="007B441B"/>
    <w:rsid w:val="007B4B0B"/>
    <w:rsid w:val="007B51B4"/>
    <w:rsid w:val="007B602D"/>
    <w:rsid w:val="007B6200"/>
    <w:rsid w:val="007B6D56"/>
    <w:rsid w:val="007B6EAB"/>
    <w:rsid w:val="007B717F"/>
    <w:rsid w:val="007B7ABF"/>
    <w:rsid w:val="007B7B8C"/>
    <w:rsid w:val="007C0366"/>
    <w:rsid w:val="007C0866"/>
    <w:rsid w:val="007C0969"/>
    <w:rsid w:val="007C0AD6"/>
    <w:rsid w:val="007C0F12"/>
    <w:rsid w:val="007C105E"/>
    <w:rsid w:val="007C1536"/>
    <w:rsid w:val="007C1CF3"/>
    <w:rsid w:val="007C2CE9"/>
    <w:rsid w:val="007C2E32"/>
    <w:rsid w:val="007C32ED"/>
    <w:rsid w:val="007C3A1D"/>
    <w:rsid w:val="007C3FA7"/>
    <w:rsid w:val="007C4E05"/>
    <w:rsid w:val="007C5B4F"/>
    <w:rsid w:val="007C6860"/>
    <w:rsid w:val="007C75FD"/>
    <w:rsid w:val="007C7A3E"/>
    <w:rsid w:val="007D0786"/>
    <w:rsid w:val="007D1342"/>
    <w:rsid w:val="007D15A4"/>
    <w:rsid w:val="007D22FE"/>
    <w:rsid w:val="007D2E98"/>
    <w:rsid w:val="007D33BF"/>
    <w:rsid w:val="007D3457"/>
    <w:rsid w:val="007D3A36"/>
    <w:rsid w:val="007D3DC7"/>
    <w:rsid w:val="007D544C"/>
    <w:rsid w:val="007D65E7"/>
    <w:rsid w:val="007D6A90"/>
    <w:rsid w:val="007E02A4"/>
    <w:rsid w:val="007E02E4"/>
    <w:rsid w:val="007E0AD2"/>
    <w:rsid w:val="007E10C3"/>
    <w:rsid w:val="007E116C"/>
    <w:rsid w:val="007E1324"/>
    <w:rsid w:val="007E1ADD"/>
    <w:rsid w:val="007E3124"/>
    <w:rsid w:val="007E3F39"/>
    <w:rsid w:val="007E4716"/>
    <w:rsid w:val="007E724E"/>
    <w:rsid w:val="007E7452"/>
    <w:rsid w:val="007E768E"/>
    <w:rsid w:val="007F010E"/>
    <w:rsid w:val="007F1B60"/>
    <w:rsid w:val="007F2457"/>
    <w:rsid w:val="007F3395"/>
    <w:rsid w:val="007F3CE0"/>
    <w:rsid w:val="007F3CF1"/>
    <w:rsid w:val="007F4079"/>
    <w:rsid w:val="007F4542"/>
    <w:rsid w:val="007F4DC7"/>
    <w:rsid w:val="007F541A"/>
    <w:rsid w:val="007F5C36"/>
    <w:rsid w:val="007F6760"/>
    <w:rsid w:val="007F6DBD"/>
    <w:rsid w:val="007F6EB5"/>
    <w:rsid w:val="007F7635"/>
    <w:rsid w:val="00800005"/>
    <w:rsid w:val="008018C3"/>
    <w:rsid w:val="00801B9F"/>
    <w:rsid w:val="00802730"/>
    <w:rsid w:val="0080398D"/>
    <w:rsid w:val="008057FD"/>
    <w:rsid w:val="0080585E"/>
    <w:rsid w:val="0080675F"/>
    <w:rsid w:val="00806EF2"/>
    <w:rsid w:val="00806F2B"/>
    <w:rsid w:val="00806FDF"/>
    <w:rsid w:val="00806FEE"/>
    <w:rsid w:val="00807FF1"/>
    <w:rsid w:val="0081035D"/>
    <w:rsid w:val="00810527"/>
    <w:rsid w:val="00810BA0"/>
    <w:rsid w:val="00812509"/>
    <w:rsid w:val="00812623"/>
    <w:rsid w:val="00812EEB"/>
    <w:rsid w:val="00813273"/>
    <w:rsid w:val="00813AF0"/>
    <w:rsid w:val="0081453D"/>
    <w:rsid w:val="00815632"/>
    <w:rsid w:val="008158D8"/>
    <w:rsid w:val="00815D33"/>
    <w:rsid w:val="00815F0E"/>
    <w:rsid w:val="00816193"/>
    <w:rsid w:val="00816507"/>
    <w:rsid w:val="008208DA"/>
    <w:rsid w:val="00820AA9"/>
    <w:rsid w:val="00820D72"/>
    <w:rsid w:val="00822246"/>
    <w:rsid w:val="00822CED"/>
    <w:rsid w:val="008242CD"/>
    <w:rsid w:val="008246B0"/>
    <w:rsid w:val="00824B5B"/>
    <w:rsid w:val="00825B95"/>
    <w:rsid w:val="008263DD"/>
    <w:rsid w:val="00826AAD"/>
    <w:rsid w:val="00826CE0"/>
    <w:rsid w:val="008270EF"/>
    <w:rsid w:val="00827C13"/>
    <w:rsid w:val="00827DAA"/>
    <w:rsid w:val="0083015B"/>
    <w:rsid w:val="00830F08"/>
    <w:rsid w:val="00832EB9"/>
    <w:rsid w:val="00833D6D"/>
    <w:rsid w:val="00834771"/>
    <w:rsid w:val="00834A8D"/>
    <w:rsid w:val="00834E8D"/>
    <w:rsid w:val="00835389"/>
    <w:rsid w:val="00835808"/>
    <w:rsid w:val="00835CFB"/>
    <w:rsid w:val="00836509"/>
    <w:rsid w:val="00837600"/>
    <w:rsid w:val="0084002D"/>
    <w:rsid w:val="008400B0"/>
    <w:rsid w:val="00842B1F"/>
    <w:rsid w:val="008435BF"/>
    <w:rsid w:val="00843B77"/>
    <w:rsid w:val="00844DF4"/>
    <w:rsid w:val="00845F53"/>
    <w:rsid w:val="00846CE9"/>
    <w:rsid w:val="00846DD5"/>
    <w:rsid w:val="008475F0"/>
    <w:rsid w:val="00850295"/>
    <w:rsid w:val="008511BE"/>
    <w:rsid w:val="00854724"/>
    <w:rsid w:val="008570C0"/>
    <w:rsid w:val="008578ED"/>
    <w:rsid w:val="00857C32"/>
    <w:rsid w:val="00860EA1"/>
    <w:rsid w:val="00861591"/>
    <w:rsid w:val="008622C7"/>
    <w:rsid w:val="008623BA"/>
    <w:rsid w:val="008623FC"/>
    <w:rsid w:val="00863CC2"/>
    <w:rsid w:val="00864210"/>
    <w:rsid w:val="00864F80"/>
    <w:rsid w:val="008653BD"/>
    <w:rsid w:val="008656A5"/>
    <w:rsid w:val="00866220"/>
    <w:rsid w:val="00867689"/>
    <w:rsid w:val="00867906"/>
    <w:rsid w:val="00867E9B"/>
    <w:rsid w:val="0087465E"/>
    <w:rsid w:val="0087523C"/>
    <w:rsid w:val="00875B61"/>
    <w:rsid w:val="00876051"/>
    <w:rsid w:val="008762D1"/>
    <w:rsid w:val="00877C48"/>
    <w:rsid w:val="00877CEF"/>
    <w:rsid w:val="00877EC3"/>
    <w:rsid w:val="008802F2"/>
    <w:rsid w:val="00880AE6"/>
    <w:rsid w:val="008810D0"/>
    <w:rsid w:val="0088179C"/>
    <w:rsid w:val="008825A6"/>
    <w:rsid w:val="00883388"/>
    <w:rsid w:val="008833CB"/>
    <w:rsid w:val="00883778"/>
    <w:rsid w:val="00883820"/>
    <w:rsid w:val="00883CDE"/>
    <w:rsid w:val="008842CD"/>
    <w:rsid w:val="00884E9F"/>
    <w:rsid w:val="00885F28"/>
    <w:rsid w:val="00886532"/>
    <w:rsid w:val="00886B34"/>
    <w:rsid w:val="00887D7B"/>
    <w:rsid w:val="0089006B"/>
    <w:rsid w:val="008902B0"/>
    <w:rsid w:val="00890F14"/>
    <w:rsid w:val="00891128"/>
    <w:rsid w:val="0089133B"/>
    <w:rsid w:val="00891EB9"/>
    <w:rsid w:val="008930F0"/>
    <w:rsid w:val="0089387D"/>
    <w:rsid w:val="00893C3A"/>
    <w:rsid w:val="0089602A"/>
    <w:rsid w:val="008960B1"/>
    <w:rsid w:val="00896335"/>
    <w:rsid w:val="008979AF"/>
    <w:rsid w:val="008A0395"/>
    <w:rsid w:val="008A0D0B"/>
    <w:rsid w:val="008A15C6"/>
    <w:rsid w:val="008A1C63"/>
    <w:rsid w:val="008A220B"/>
    <w:rsid w:val="008A2BAA"/>
    <w:rsid w:val="008A37A7"/>
    <w:rsid w:val="008A422B"/>
    <w:rsid w:val="008A49D7"/>
    <w:rsid w:val="008A5149"/>
    <w:rsid w:val="008A57F6"/>
    <w:rsid w:val="008A5AFE"/>
    <w:rsid w:val="008A5BAA"/>
    <w:rsid w:val="008A6977"/>
    <w:rsid w:val="008A69FF"/>
    <w:rsid w:val="008B02C6"/>
    <w:rsid w:val="008B0447"/>
    <w:rsid w:val="008B0536"/>
    <w:rsid w:val="008B1DD0"/>
    <w:rsid w:val="008B2C05"/>
    <w:rsid w:val="008B3127"/>
    <w:rsid w:val="008B3539"/>
    <w:rsid w:val="008B381B"/>
    <w:rsid w:val="008B64DF"/>
    <w:rsid w:val="008B662F"/>
    <w:rsid w:val="008B6871"/>
    <w:rsid w:val="008B68D7"/>
    <w:rsid w:val="008B770A"/>
    <w:rsid w:val="008B7EF0"/>
    <w:rsid w:val="008C00C6"/>
    <w:rsid w:val="008C03BA"/>
    <w:rsid w:val="008C0439"/>
    <w:rsid w:val="008C0DE8"/>
    <w:rsid w:val="008C2758"/>
    <w:rsid w:val="008C29CC"/>
    <w:rsid w:val="008C2CD4"/>
    <w:rsid w:val="008C2D5A"/>
    <w:rsid w:val="008C2F58"/>
    <w:rsid w:val="008C44AE"/>
    <w:rsid w:val="008C5873"/>
    <w:rsid w:val="008C5A0E"/>
    <w:rsid w:val="008C627F"/>
    <w:rsid w:val="008D092C"/>
    <w:rsid w:val="008D1F77"/>
    <w:rsid w:val="008D31FC"/>
    <w:rsid w:val="008D3898"/>
    <w:rsid w:val="008D3CCA"/>
    <w:rsid w:val="008D3E20"/>
    <w:rsid w:val="008D4779"/>
    <w:rsid w:val="008D4847"/>
    <w:rsid w:val="008D624B"/>
    <w:rsid w:val="008D6482"/>
    <w:rsid w:val="008D6EBA"/>
    <w:rsid w:val="008D72D2"/>
    <w:rsid w:val="008E06C9"/>
    <w:rsid w:val="008E1B5B"/>
    <w:rsid w:val="008E31BA"/>
    <w:rsid w:val="008E3978"/>
    <w:rsid w:val="008E3CE9"/>
    <w:rsid w:val="008E41FF"/>
    <w:rsid w:val="008E5937"/>
    <w:rsid w:val="008E6CC9"/>
    <w:rsid w:val="008E7184"/>
    <w:rsid w:val="008F0753"/>
    <w:rsid w:val="008F1147"/>
    <w:rsid w:val="008F2B40"/>
    <w:rsid w:val="008F2DB2"/>
    <w:rsid w:val="008F30EB"/>
    <w:rsid w:val="008F3586"/>
    <w:rsid w:val="008F3929"/>
    <w:rsid w:val="008F56A8"/>
    <w:rsid w:val="008F62A6"/>
    <w:rsid w:val="008F6508"/>
    <w:rsid w:val="008F69FD"/>
    <w:rsid w:val="008F6C4B"/>
    <w:rsid w:val="008F766A"/>
    <w:rsid w:val="0090048E"/>
    <w:rsid w:val="00900899"/>
    <w:rsid w:val="00901B3F"/>
    <w:rsid w:val="00902409"/>
    <w:rsid w:val="00902FE2"/>
    <w:rsid w:val="009030AB"/>
    <w:rsid w:val="00903318"/>
    <w:rsid w:val="00904EE7"/>
    <w:rsid w:val="009054EC"/>
    <w:rsid w:val="00905F68"/>
    <w:rsid w:val="00906201"/>
    <w:rsid w:val="00906483"/>
    <w:rsid w:val="00906A5E"/>
    <w:rsid w:val="00906C6F"/>
    <w:rsid w:val="00907100"/>
    <w:rsid w:val="00910521"/>
    <w:rsid w:val="00911954"/>
    <w:rsid w:val="00911F6B"/>
    <w:rsid w:val="009123AD"/>
    <w:rsid w:val="00912F10"/>
    <w:rsid w:val="009130DE"/>
    <w:rsid w:val="00913125"/>
    <w:rsid w:val="00914DCA"/>
    <w:rsid w:val="00915A5C"/>
    <w:rsid w:val="009169DE"/>
    <w:rsid w:val="00916FB1"/>
    <w:rsid w:val="00921FBC"/>
    <w:rsid w:val="009221F8"/>
    <w:rsid w:val="00922748"/>
    <w:rsid w:val="00923486"/>
    <w:rsid w:val="00924121"/>
    <w:rsid w:val="0092441A"/>
    <w:rsid w:val="009245D3"/>
    <w:rsid w:val="0092466F"/>
    <w:rsid w:val="009247C8"/>
    <w:rsid w:val="00924D6A"/>
    <w:rsid w:val="00925637"/>
    <w:rsid w:val="00925BD5"/>
    <w:rsid w:val="00925EB8"/>
    <w:rsid w:val="00927772"/>
    <w:rsid w:val="0093041D"/>
    <w:rsid w:val="00930AF3"/>
    <w:rsid w:val="00931370"/>
    <w:rsid w:val="0093151A"/>
    <w:rsid w:val="00931C62"/>
    <w:rsid w:val="00932FEE"/>
    <w:rsid w:val="00933811"/>
    <w:rsid w:val="0093639D"/>
    <w:rsid w:val="00937BB1"/>
    <w:rsid w:val="00940383"/>
    <w:rsid w:val="009429EA"/>
    <w:rsid w:val="00942B98"/>
    <w:rsid w:val="00944EDB"/>
    <w:rsid w:val="00945D31"/>
    <w:rsid w:val="00947A13"/>
    <w:rsid w:val="00950388"/>
    <w:rsid w:val="00952E19"/>
    <w:rsid w:val="00954AA6"/>
    <w:rsid w:val="00955853"/>
    <w:rsid w:val="00955C64"/>
    <w:rsid w:val="00955FA8"/>
    <w:rsid w:val="00956E0D"/>
    <w:rsid w:val="00960165"/>
    <w:rsid w:val="00961E33"/>
    <w:rsid w:val="00961E62"/>
    <w:rsid w:val="009624F6"/>
    <w:rsid w:val="00962E24"/>
    <w:rsid w:val="00964F81"/>
    <w:rsid w:val="009654E9"/>
    <w:rsid w:val="00966B2C"/>
    <w:rsid w:val="00966BAC"/>
    <w:rsid w:val="009671C6"/>
    <w:rsid w:val="00967927"/>
    <w:rsid w:val="00967AA8"/>
    <w:rsid w:val="00967CA0"/>
    <w:rsid w:val="00973437"/>
    <w:rsid w:val="00973533"/>
    <w:rsid w:val="009737F5"/>
    <w:rsid w:val="009750E1"/>
    <w:rsid w:val="00975918"/>
    <w:rsid w:val="0097631E"/>
    <w:rsid w:val="0097660F"/>
    <w:rsid w:val="00977B66"/>
    <w:rsid w:val="0098117B"/>
    <w:rsid w:val="00982E16"/>
    <w:rsid w:val="00983C5B"/>
    <w:rsid w:val="00983E5B"/>
    <w:rsid w:val="009840C1"/>
    <w:rsid w:val="009842F8"/>
    <w:rsid w:val="0098463C"/>
    <w:rsid w:val="00984B1A"/>
    <w:rsid w:val="00986783"/>
    <w:rsid w:val="00986B4A"/>
    <w:rsid w:val="00987406"/>
    <w:rsid w:val="00987BC5"/>
    <w:rsid w:val="009903F3"/>
    <w:rsid w:val="009907B1"/>
    <w:rsid w:val="009918E1"/>
    <w:rsid w:val="00992C76"/>
    <w:rsid w:val="0099334D"/>
    <w:rsid w:val="00994629"/>
    <w:rsid w:val="0099518D"/>
    <w:rsid w:val="00996056"/>
    <w:rsid w:val="009965E9"/>
    <w:rsid w:val="00997174"/>
    <w:rsid w:val="00997799"/>
    <w:rsid w:val="009A0356"/>
    <w:rsid w:val="009A33E6"/>
    <w:rsid w:val="009A34A9"/>
    <w:rsid w:val="009A34C6"/>
    <w:rsid w:val="009A39EE"/>
    <w:rsid w:val="009A4145"/>
    <w:rsid w:val="009A520C"/>
    <w:rsid w:val="009A52A2"/>
    <w:rsid w:val="009A72D9"/>
    <w:rsid w:val="009A736D"/>
    <w:rsid w:val="009B01AB"/>
    <w:rsid w:val="009B1A1F"/>
    <w:rsid w:val="009B3AF4"/>
    <w:rsid w:val="009B4D3B"/>
    <w:rsid w:val="009B5FB4"/>
    <w:rsid w:val="009B6A90"/>
    <w:rsid w:val="009B7437"/>
    <w:rsid w:val="009C0069"/>
    <w:rsid w:val="009C0652"/>
    <w:rsid w:val="009C0A01"/>
    <w:rsid w:val="009C21FF"/>
    <w:rsid w:val="009C2950"/>
    <w:rsid w:val="009C2EBA"/>
    <w:rsid w:val="009C3E8E"/>
    <w:rsid w:val="009C3ED2"/>
    <w:rsid w:val="009C43C3"/>
    <w:rsid w:val="009C4AE7"/>
    <w:rsid w:val="009C4BD1"/>
    <w:rsid w:val="009C5B9F"/>
    <w:rsid w:val="009C5F6F"/>
    <w:rsid w:val="009C61A3"/>
    <w:rsid w:val="009C749D"/>
    <w:rsid w:val="009D03F9"/>
    <w:rsid w:val="009D072E"/>
    <w:rsid w:val="009D1069"/>
    <w:rsid w:val="009D166C"/>
    <w:rsid w:val="009D18DE"/>
    <w:rsid w:val="009D1C01"/>
    <w:rsid w:val="009D20BA"/>
    <w:rsid w:val="009D2380"/>
    <w:rsid w:val="009D329C"/>
    <w:rsid w:val="009D4D5C"/>
    <w:rsid w:val="009D575D"/>
    <w:rsid w:val="009D5969"/>
    <w:rsid w:val="009D6795"/>
    <w:rsid w:val="009D7407"/>
    <w:rsid w:val="009E0866"/>
    <w:rsid w:val="009E0C0C"/>
    <w:rsid w:val="009E1340"/>
    <w:rsid w:val="009E13AD"/>
    <w:rsid w:val="009E1D2C"/>
    <w:rsid w:val="009E5734"/>
    <w:rsid w:val="009E5EDE"/>
    <w:rsid w:val="009E6C09"/>
    <w:rsid w:val="009E707F"/>
    <w:rsid w:val="009E7379"/>
    <w:rsid w:val="009E79D0"/>
    <w:rsid w:val="009F0EE4"/>
    <w:rsid w:val="009F0F06"/>
    <w:rsid w:val="009F1C52"/>
    <w:rsid w:val="009F4020"/>
    <w:rsid w:val="009F42C9"/>
    <w:rsid w:val="009F5488"/>
    <w:rsid w:val="009F6423"/>
    <w:rsid w:val="009F72AD"/>
    <w:rsid w:val="009F7D54"/>
    <w:rsid w:val="00A00198"/>
    <w:rsid w:val="00A002AE"/>
    <w:rsid w:val="00A0082F"/>
    <w:rsid w:val="00A0305B"/>
    <w:rsid w:val="00A038C4"/>
    <w:rsid w:val="00A04551"/>
    <w:rsid w:val="00A04653"/>
    <w:rsid w:val="00A0518F"/>
    <w:rsid w:val="00A06D6E"/>
    <w:rsid w:val="00A07756"/>
    <w:rsid w:val="00A10415"/>
    <w:rsid w:val="00A10D81"/>
    <w:rsid w:val="00A1289E"/>
    <w:rsid w:val="00A12C0D"/>
    <w:rsid w:val="00A13263"/>
    <w:rsid w:val="00A13912"/>
    <w:rsid w:val="00A147A9"/>
    <w:rsid w:val="00A15D1A"/>
    <w:rsid w:val="00A16EEC"/>
    <w:rsid w:val="00A171E8"/>
    <w:rsid w:val="00A203B8"/>
    <w:rsid w:val="00A21956"/>
    <w:rsid w:val="00A21F0F"/>
    <w:rsid w:val="00A21F2D"/>
    <w:rsid w:val="00A22355"/>
    <w:rsid w:val="00A22614"/>
    <w:rsid w:val="00A22C48"/>
    <w:rsid w:val="00A22E22"/>
    <w:rsid w:val="00A24A62"/>
    <w:rsid w:val="00A24B4C"/>
    <w:rsid w:val="00A24F10"/>
    <w:rsid w:val="00A264A4"/>
    <w:rsid w:val="00A26F01"/>
    <w:rsid w:val="00A2700C"/>
    <w:rsid w:val="00A303FB"/>
    <w:rsid w:val="00A3091A"/>
    <w:rsid w:val="00A31C9F"/>
    <w:rsid w:val="00A331A9"/>
    <w:rsid w:val="00A34D9F"/>
    <w:rsid w:val="00A3594E"/>
    <w:rsid w:val="00A36406"/>
    <w:rsid w:val="00A3654B"/>
    <w:rsid w:val="00A376B2"/>
    <w:rsid w:val="00A37C00"/>
    <w:rsid w:val="00A37C24"/>
    <w:rsid w:val="00A402C8"/>
    <w:rsid w:val="00A404CA"/>
    <w:rsid w:val="00A40DF6"/>
    <w:rsid w:val="00A412F3"/>
    <w:rsid w:val="00A4144F"/>
    <w:rsid w:val="00A415D6"/>
    <w:rsid w:val="00A41C00"/>
    <w:rsid w:val="00A41E5A"/>
    <w:rsid w:val="00A43CFD"/>
    <w:rsid w:val="00A45B7D"/>
    <w:rsid w:val="00A45B8F"/>
    <w:rsid w:val="00A460A2"/>
    <w:rsid w:val="00A469CF"/>
    <w:rsid w:val="00A47347"/>
    <w:rsid w:val="00A5219B"/>
    <w:rsid w:val="00A52DFD"/>
    <w:rsid w:val="00A53057"/>
    <w:rsid w:val="00A537CA"/>
    <w:rsid w:val="00A538D2"/>
    <w:rsid w:val="00A54E84"/>
    <w:rsid w:val="00A55D07"/>
    <w:rsid w:val="00A56F14"/>
    <w:rsid w:val="00A56FC0"/>
    <w:rsid w:val="00A5731B"/>
    <w:rsid w:val="00A607F9"/>
    <w:rsid w:val="00A61458"/>
    <w:rsid w:val="00A616A2"/>
    <w:rsid w:val="00A61887"/>
    <w:rsid w:val="00A6343C"/>
    <w:rsid w:val="00A6447D"/>
    <w:rsid w:val="00A64816"/>
    <w:rsid w:val="00A64CBB"/>
    <w:rsid w:val="00A66F88"/>
    <w:rsid w:val="00A67340"/>
    <w:rsid w:val="00A67590"/>
    <w:rsid w:val="00A67A42"/>
    <w:rsid w:val="00A704C8"/>
    <w:rsid w:val="00A723C0"/>
    <w:rsid w:val="00A724F0"/>
    <w:rsid w:val="00A72FAB"/>
    <w:rsid w:val="00A73CC8"/>
    <w:rsid w:val="00A74929"/>
    <w:rsid w:val="00A74ED6"/>
    <w:rsid w:val="00A74F1F"/>
    <w:rsid w:val="00A76618"/>
    <w:rsid w:val="00A77BF2"/>
    <w:rsid w:val="00A80F95"/>
    <w:rsid w:val="00A81277"/>
    <w:rsid w:val="00A81834"/>
    <w:rsid w:val="00A8197B"/>
    <w:rsid w:val="00A81B85"/>
    <w:rsid w:val="00A81FBB"/>
    <w:rsid w:val="00A820CD"/>
    <w:rsid w:val="00A82D9B"/>
    <w:rsid w:val="00A82E23"/>
    <w:rsid w:val="00A82E7B"/>
    <w:rsid w:val="00A83003"/>
    <w:rsid w:val="00A83EAF"/>
    <w:rsid w:val="00A84162"/>
    <w:rsid w:val="00A84EB1"/>
    <w:rsid w:val="00A85116"/>
    <w:rsid w:val="00A85C6B"/>
    <w:rsid w:val="00A864F8"/>
    <w:rsid w:val="00A866D9"/>
    <w:rsid w:val="00A867B7"/>
    <w:rsid w:val="00A87861"/>
    <w:rsid w:val="00A90277"/>
    <w:rsid w:val="00A9075D"/>
    <w:rsid w:val="00A90C0D"/>
    <w:rsid w:val="00A911A5"/>
    <w:rsid w:val="00A92CF2"/>
    <w:rsid w:val="00A9357C"/>
    <w:rsid w:val="00A938DA"/>
    <w:rsid w:val="00A93B11"/>
    <w:rsid w:val="00A93D92"/>
    <w:rsid w:val="00A9461F"/>
    <w:rsid w:val="00A94DF1"/>
    <w:rsid w:val="00A94E8A"/>
    <w:rsid w:val="00A95016"/>
    <w:rsid w:val="00A953DE"/>
    <w:rsid w:val="00A96667"/>
    <w:rsid w:val="00A96962"/>
    <w:rsid w:val="00A97321"/>
    <w:rsid w:val="00A97574"/>
    <w:rsid w:val="00AA07D3"/>
    <w:rsid w:val="00AA1D9C"/>
    <w:rsid w:val="00AA297E"/>
    <w:rsid w:val="00AA35F4"/>
    <w:rsid w:val="00AA4723"/>
    <w:rsid w:val="00AA5C3D"/>
    <w:rsid w:val="00AA5C9F"/>
    <w:rsid w:val="00AA5EB4"/>
    <w:rsid w:val="00AA60F3"/>
    <w:rsid w:val="00AA67A6"/>
    <w:rsid w:val="00AA7BE3"/>
    <w:rsid w:val="00AB064F"/>
    <w:rsid w:val="00AB0AFB"/>
    <w:rsid w:val="00AB26BB"/>
    <w:rsid w:val="00AB2D03"/>
    <w:rsid w:val="00AB37CA"/>
    <w:rsid w:val="00AB4C42"/>
    <w:rsid w:val="00AB5D00"/>
    <w:rsid w:val="00AB5E7F"/>
    <w:rsid w:val="00AB602B"/>
    <w:rsid w:val="00AB6463"/>
    <w:rsid w:val="00AB73B3"/>
    <w:rsid w:val="00AB7912"/>
    <w:rsid w:val="00AC0160"/>
    <w:rsid w:val="00AC0FBD"/>
    <w:rsid w:val="00AC164A"/>
    <w:rsid w:val="00AC1B64"/>
    <w:rsid w:val="00AC43DB"/>
    <w:rsid w:val="00AC4E58"/>
    <w:rsid w:val="00AC5476"/>
    <w:rsid w:val="00AC5A89"/>
    <w:rsid w:val="00AC5F14"/>
    <w:rsid w:val="00AC7923"/>
    <w:rsid w:val="00AD08BC"/>
    <w:rsid w:val="00AD08F7"/>
    <w:rsid w:val="00AD11B8"/>
    <w:rsid w:val="00AD13AD"/>
    <w:rsid w:val="00AD20B8"/>
    <w:rsid w:val="00AD245B"/>
    <w:rsid w:val="00AD324F"/>
    <w:rsid w:val="00AD369B"/>
    <w:rsid w:val="00AD38E8"/>
    <w:rsid w:val="00AD4B65"/>
    <w:rsid w:val="00AD4C1C"/>
    <w:rsid w:val="00AD4CFA"/>
    <w:rsid w:val="00AD76A0"/>
    <w:rsid w:val="00AD77B7"/>
    <w:rsid w:val="00AE0981"/>
    <w:rsid w:val="00AE0C17"/>
    <w:rsid w:val="00AE1830"/>
    <w:rsid w:val="00AE1E50"/>
    <w:rsid w:val="00AE2048"/>
    <w:rsid w:val="00AE21AD"/>
    <w:rsid w:val="00AE2B01"/>
    <w:rsid w:val="00AE2BB0"/>
    <w:rsid w:val="00AE351D"/>
    <w:rsid w:val="00AE3E95"/>
    <w:rsid w:val="00AE4706"/>
    <w:rsid w:val="00AE498F"/>
    <w:rsid w:val="00AE6311"/>
    <w:rsid w:val="00AE7D02"/>
    <w:rsid w:val="00AE7D63"/>
    <w:rsid w:val="00AF06D7"/>
    <w:rsid w:val="00AF0F3F"/>
    <w:rsid w:val="00AF1B85"/>
    <w:rsid w:val="00AF2050"/>
    <w:rsid w:val="00AF2815"/>
    <w:rsid w:val="00AF353C"/>
    <w:rsid w:val="00AF354A"/>
    <w:rsid w:val="00AF439C"/>
    <w:rsid w:val="00AF5AD1"/>
    <w:rsid w:val="00AF6501"/>
    <w:rsid w:val="00B00A02"/>
    <w:rsid w:val="00B0115C"/>
    <w:rsid w:val="00B0190D"/>
    <w:rsid w:val="00B038BF"/>
    <w:rsid w:val="00B03CA8"/>
    <w:rsid w:val="00B04CC1"/>
    <w:rsid w:val="00B04D6B"/>
    <w:rsid w:val="00B0560F"/>
    <w:rsid w:val="00B05C2C"/>
    <w:rsid w:val="00B06318"/>
    <w:rsid w:val="00B07CAB"/>
    <w:rsid w:val="00B11056"/>
    <w:rsid w:val="00B12526"/>
    <w:rsid w:val="00B127B4"/>
    <w:rsid w:val="00B12980"/>
    <w:rsid w:val="00B14207"/>
    <w:rsid w:val="00B15726"/>
    <w:rsid w:val="00B167B0"/>
    <w:rsid w:val="00B16CB3"/>
    <w:rsid w:val="00B17CBD"/>
    <w:rsid w:val="00B17DB6"/>
    <w:rsid w:val="00B20FF1"/>
    <w:rsid w:val="00B21804"/>
    <w:rsid w:val="00B22681"/>
    <w:rsid w:val="00B23B29"/>
    <w:rsid w:val="00B252FD"/>
    <w:rsid w:val="00B25910"/>
    <w:rsid w:val="00B2598D"/>
    <w:rsid w:val="00B274ED"/>
    <w:rsid w:val="00B309FE"/>
    <w:rsid w:val="00B30B5C"/>
    <w:rsid w:val="00B314C5"/>
    <w:rsid w:val="00B31590"/>
    <w:rsid w:val="00B32A20"/>
    <w:rsid w:val="00B32DFA"/>
    <w:rsid w:val="00B32FC5"/>
    <w:rsid w:val="00B331DC"/>
    <w:rsid w:val="00B35361"/>
    <w:rsid w:val="00B35A45"/>
    <w:rsid w:val="00B36050"/>
    <w:rsid w:val="00B360B8"/>
    <w:rsid w:val="00B3624C"/>
    <w:rsid w:val="00B368F1"/>
    <w:rsid w:val="00B36F6A"/>
    <w:rsid w:val="00B40405"/>
    <w:rsid w:val="00B40766"/>
    <w:rsid w:val="00B40875"/>
    <w:rsid w:val="00B40C11"/>
    <w:rsid w:val="00B4145D"/>
    <w:rsid w:val="00B41629"/>
    <w:rsid w:val="00B41AEE"/>
    <w:rsid w:val="00B438D3"/>
    <w:rsid w:val="00B43A94"/>
    <w:rsid w:val="00B43D4F"/>
    <w:rsid w:val="00B43E2D"/>
    <w:rsid w:val="00B506D8"/>
    <w:rsid w:val="00B509CB"/>
    <w:rsid w:val="00B51B15"/>
    <w:rsid w:val="00B521C3"/>
    <w:rsid w:val="00B5278A"/>
    <w:rsid w:val="00B52C09"/>
    <w:rsid w:val="00B52E96"/>
    <w:rsid w:val="00B53318"/>
    <w:rsid w:val="00B540BF"/>
    <w:rsid w:val="00B548BC"/>
    <w:rsid w:val="00B54B17"/>
    <w:rsid w:val="00B54EA4"/>
    <w:rsid w:val="00B553FF"/>
    <w:rsid w:val="00B55E19"/>
    <w:rsid w:val="00B55F9A"/>
    <w:rsid w:val="00B562F7"/>
    <w:rsid w:val="00B56C2D"/>
    <w:rsid w:val="00B603A0"/>
    <w:rsid w:val="00B612B7"/>
    <w:rsid w:val="00B62D0C"/>
    <w:rsid w:val="00B62E78"/>
    <w:rsid w:val="00B63D5E"/>
    <w:rsid w:val="00B64255"/>
    <w:rsid w:val="00B661E0"/>
    <w:rsid w:val="00B669E9"/>
    <w:rsid w:val="00B66D2B"/>
    <w:rsid w:val="00B67D78"/>
    <w:rsid w:val="00B70478"/>
    <w:rsid w:val="00B709BD"/>
    <w:rsid w:val="00B717A8"/>
    <w:rsid w:val="00B72670"/>
    <w:rsid w:val="00B740B2"/>
    <w:rsid w:val="00B74450"/>
    <w:rsid w:val="00B7528F"/>
    <w:rsid w:val="00B754C8"/>
    <w:rsid w:val="00B75CB0"/>
    <w:rsid w:val="00B75F33"/>
    <w:rsid w:val="00B761BA"/>
    <w:rsid w:val="00B80852"/>
    <w:rsid w:val="00B80E6E"/>
    <w:rsid w:val="00B8100B"/>
    <w:rsid w:val="00B816C1"/>
    <w:rsid w:val="00B831CD"/>
    <w:rsid w:val="00B8396A"/>
    <w:rsid w:val="00B8475C"/>
    <w:rsid w:val="00B86613"/>
    <w:rsid w:val="00B86EE7"/>
    <w:rsid w:val="00B907C7"/>
    <w:rsid w:val="00B9082D"/>
    <w:rsid w:val="00B908CC"/>
    <w:rsid w:val="00B90B63"/>
    <w:rsid w:val="00B90B8A"/>
    <w:rsid w:val="00B93B8F"/>
    <w:rsid w:val="00B93E00"/>
    <w:rsid w:val="00B94140"/>
    <w:rsid w:val="00B94C1A"/>
    <w:rsid w:val="00B950FE"/>
    <w:rsid w:val="00B953F1"/>
    <w:rsid w:val="00B95619"/>
    <w:rsid w:val="00BA00EF"/>
    <w:rsid w:val="00BA06EB"/>
    <w:rsid w:val="00BA0F58"/>
    <w:rsid w:val="00BA13C3"/>
    <w:rsid w:val="00BA24B5"/>
    <w:rsid w:val="00BA2749"/>
    <w:rsid w:val="00BA2829"/>
    <w:rsid w:val="00BA3C01"/>
    <w:rsid w:val="00BA3CDD"/>
    <w:rsid w:val="00BA4282"/>
    <w:rsid w:val="00BA43EF"/>
    <w:rsid w:val="00BA48A1"/>
    <w:rsid w:val="00BA4B6D"/>
    <w:rsid w:val="00BA51D0"/>
    <w:rsid w:val="00BA6AF5"/>
    <w:rsid w:val="00BA7282"/>
    <w:rsid w:val="00BA7369"/>
    <w:rsid w:val="00BB062A"/>
    <w:rsid w:val="00BB0880"/>
    <w:rsid w:val="00BB0EF7"/>
    <w:rsid w:val="00BB26C5"/>
    <w:rsid w:val="00BB28CF"/>
    <w:rsid w:val="00BB333B"/>
    <w:rsid w:val="00BB488A"/>
    <w:rsid w:val="00BB4B9C"/>
    <w:rsid w:val="00BB5E9B"/>
    <w:rsid w:val="00BB781F"/>
    <w:rsid w:val="00BC0495"/>
    <w:rsid w:val="00BC2BB8"/>
    <w:rsid w:val="00BC3D54"/>
    <w:rsid w:val="00BC4440"/>
    <w:rsid w:val="00BC74F9"/>
    <w:rsid w:val="00BC77B4"/>
    <w:rsid w:val="00BD151F"/>
    <w:rsid w:val="00BD1988"/>
    <w:rsid w:val="00BD1CE5"/>
    <w:rsid w:val="00BD1E50"/>
    <w:rsid w:val="00BD22EF"/>
    <w:rsid w:val="00BD60D0"/>
    <w:rsid w:val="00BD737B"/>
    <w:rsid w:val="00BD7C4D"/>
    <w:rsid w:val="00BD7DF6"/>
    <w:rsid w:val="00BE052A"/>
    <w:rsid w:val="00BE153E"/>
    <w:rsid w:val="00BE1BEB"/>
    <w:rsid w:val="00BE4CEE"/>
    <w:rsid w:val="00BE4DB6"/>
    <w:rsid w:val="00BE4E54"/>
    <w:rsid w:val="00BE5AC8"/>
    <w:rsid w:val="00BE7322"/>
    <w:rsid w:val="00BF07F2"/>
    <w:rsid w:val="00BF10EE"/>
    <w:rsid w:val="00BF16E0"/>
    <w:rsid w:val="00BF1D82"/>
    <w:rsid w:val="00BF24B6"/>
    <w:rsid w:val="00BF3260"/>
    <w:rsid w:val="00BF35FF"/>
    <w:rsid w:val="00BF3A96"/>
    <w:rsid w:val="00BF3D4D"/>
    <w:rsid w:val="00BF4162"/>
    <w:rsid w:val="00BF4DE6"/>
    <w:rsid w:val="00BF5038"/>
    <w:rsid w:val="00BF5FEE"/>
    <w:rsid w:val="00BF715E"/>
    <w:rsid w:val="00C008C2"/>
    <w:rsid w:val="00C014BB"/>
    <w:rsid w:val="00C021A6"/>
    <w:rsid w:val="00C02381"/>
    <w:rsid w:val="00C02B50"/>
    <w:rsid w:val="00C036EC"/>
    <w:rsid w:val="00C03ED0"/>
    <w:rsid w:val="00C0447C"/>
    <w:rsid w:val="00C04693"/>
    <w:rsid w:val="00C05C17"/>
    <w:rsid w:val="00C05D23"/>
    <w:rsid w:val="00C05D79"/>
    <w:rsid w:val="00C0658B"/>
    <w:rsid w:val="00C065CA"/>
    <w:rsid w:val="00C06A6F"/>
    <w:rsid w:val="00C06C19"/>
    <w:rsid w:val="00C0741B"/>
    <w:rsid w:val="00C07949"/>
    <w:rsid w:val="00C1032F"/>
    <w:rsid w:val="00C109DB"/>
    <w:rsid w:val="00C10CA5"/>
    <w:rsid w:val="00C10D2A"/>
    <w:rsid w:val="00C1183B"/>
    <w:rsid w:val="00C11B7B"/>
    <w:rsid w:val="00C121DA"/>
    <w:rsid w:val="00C13E6D"/>
    <w:rsid w:val="00C1645F"/>
    <w:rsid w:val="00C169A4"/>
    <w:rsid w:val="00C16BFB"/>
    <w:rsid w:val="00C16E4B"/>
    <w:rsid w:val="00C1713E"/>
    <w:rsid w:val="00C176B7"/>
    <w:rsid w:val="00C17BE6"/>
    <w:rsid w:val="00C20318"/>
    <w:rsid w:val="00C204C2"/>
    <w:rsid w:val="00C20A7A"/>
    <w:rsid w:val="00C20A90"/>
    <w:rsid w:val="00C21498"/>
    <w:rsid w:val="00C21A66"/>
    <w:rsid w:val="00C222EA"/>
    <w:rsid w:val="00C25434"/>
    <w:rsid w:val="00C25525"/>
    <w:rsid w:val="00C26989"/>
    <w:rsid w:val="00C26EE2"/>
    <w:rsid w:val="00C27D5C"/>
    <w:rsid w:val="00C30B71"/>
    <w:rsid w:val="00C3123F"/>
    <w:rsid w:val="00C31547"/>
    <w:rsid w:val="00C318B0"/>
    <w:rsid w:val="00C31A99"/>
    <w:rsid w:val="00C323B7"/>
    <w:rsid w:val="00C327DF"/>
    <w:rsid w:val="00C3407E"/>
    <w:rsid w:val="00C3452E"/>
    <w:rsid w:val="00C34B43"/>
    <w:rsid w:val="00C35383"/>
    <w:rsid w:val="00C405D6"/>
    <w:rsid w:val="00C41668"/>
    <w:rsid w:val="00C42CDE"/>
    <w:rsid w:val="00C43B46"/>
    <w:rsid w:val="00C44190"/>
    <w:rsid w:val="00C44855"/>
    <w:rsid w:val="00C4508E"/>
    <w:rsid w:val="00C45B04"/>
    <w:rsid w:val="00C46556"/>
    <w:rsid w:val="00C469BA"/>
    <w:rsid w:val="00C46B3F"/>
    <w:rsid w:val="00C46E02"/>
    <w:rsid w:val="00C474B3"/>
    <w:rsid w:val="00C509F8"/>
    <w:rsid w:val="00C5163C"/>
    <w:rsid w:val="00C5182A"/>
    <w:rsid w:val="00C523F9"/>
    <w:rsid w:val="00C550E8"/>
    <w:rsid w:val="00C555A7"/>
    <w:rsid w:val="00C55DC2"/>
    <w:rsid w:val="00C56EC3"/>
    <w:rsid w:val="00C573A8"/>
    <w:rsid w:val="00C5789F"/>
    <w:rsid w:val="00C60730"/>
    <w:rsid w:val="00C61A12"/>
    <w:rsid w:val="00C61BA8"/>
    <w:rsid w:val="00C61CAE"/>
    <w:rsid w:val="00C61EB4"/>
    <w:rsid w:val="00C6391C"/>
    <w:rsid w:val="00C639CE"/>
    <w:rsid w:val="00C63AD5"/>
    <w:rsid w:val="00C63EE9"/>
    <w:rsid w:val="00C65A45"/>
    <w:rsid w:val="00C65C21"/>
    <w:rsid w:val="00C65E8E"/>
    <w:rsid w:val="00C6626C"/>
    <w:rsid w:val="00C67593"/>
    <w:rsid w:val="00C7139B"/>
    <w:rsid w:val="00C73948"/>
    <w:rsid w:val="00C741F9"/>
    <w:rsid w:val="00C743ED"/>
    <w:rsid w:val="00C7594A"/>
    <w:rsid w:val="00C75FE4"/>
    <w:rsid w:val="00C76E3A"/>
    <w:rsid w:val="00C80549"/>
    <w:rsid w:val="00C80D94"/>
    <w:rsid w:val="00C81043"/>
    <w:rsid w:val="00C817BF"/>
    <w:rsid w:val="00C81C06"/>
    <w:rsid w:val="00C82055"/>
    <w:rsid w:val="00C83018"/>
    <w:rsid w:val="00C838B2"/>
    <w:rsid w:val="00C83A49"/>
    <w:rsid w:val="00C8592A"/>
    <w:rsid w:val="00C8770D"/>
    <w:rsid w:val="00C87AB0"/>
    <w:rsid w:val="00C900ED"/>
    <w:rsid w:val="00C92603"/>
    <w:rsid w:val="00C937EE"/>
    <w:rsid w:val="00C959A1"/>
    <w:rsid w:val="00C96555"/>
    <w:rsid w:val="00C965F0"/>
    <w:rsid w:val="00CA06B3"/>
    <w:rsid w:val="00CA0D82"/>
    <w:rsid w:val="00CA114E"/>
    <w:rsid w:val="00CA1507"/>
    <w:rsid w:val="00CA27A0"/>
    <w:rsid w:val="00CA3198"/>
    <w:rsid w:val="00CA37B1"/>
    <w:rsid w:val="00CA4288"/>
    <w:rsid w:val="00CA4BA1"/>
    <w:rsid w:val="00CA4C38"/>
    <w:rsid w:val="00CA4F69"/>
    <w:rsid w:val="00CA537C"/>
    <w:rsid w:val="00CA7025"/>
    <w:rsid w:val="00CA7D18"/>
    <w:rsid w:val="00CB11EA"/>
    <w:rsid w:val="00CB1728"/>
    <w:rsid w:val="00CB1959"/>
    <w:rsid w:val="00CB2A52"/>
    <w:rsid w:val="00CB37BB"/>
    <w:rsid w:val="00CB41A4"/>
    <w:rsid w:val="00CB45E0"/>
    <w:rsid w:val="00CB576C"/>
    <w:rsid w:val="00CB5D28"/>
    <w:rsid w:val="00CB677F"/>
    <w:rsid w:val="00CB6CA1"/>
    <w:rsid w:val="00CB6F22"/>
    <w:rsid w:val="00CB7235"/>
    <w:rsid w:val="00CC0F9A"/>
    <w:rsid w:val="00CC30AB"/>
    <w:rsid w:val="00CC3484"/>
    <w:rsid w:val="00CC4041"/>
    <w:rsid w:val="00CC4767"/>
    <w:rsid w:val="00CC4C81"/>
    <w:rsid w:val="00CC5460"/>
    <w:rsid w:val="00CC5D0C"/>
    <w:rsid w:val="00CC6885"/>
    <w:rsid w:val="00CC7EAE"/>
    <w:rsid w:val="00CC7F7A"/>
    <w:rsid w:val="00CD03DA"/>
    <w:rsid w:val="00CD04B1"/>
    <w:rsid w:val="00CD050F"/>
    <w:rsid w:val="00CD0E4B"/>
    <w:rsid w:val="00CD1652"/>
    <w:rsid w:val="00CD30DA"/>
    <w:rsid w:val="00CD4053"/>
    <w:rsid w:val="00CD47CA"/>
    <w:rsid w:val="00CD4A97"/>
    <w:rsid w:val="00CD4DF9"/>
    <w:rsid w:val="00CD5996"/>
    <w:rsid w:val="00CD5FB0"/>
    <w:rsid w:val="00CD6E79"/>
    <w:rsid w:val="00CD72F4"/>
    <w:rsid w:val="00CD7F30"/>
    <w:rsid w:val="00CE0155"/>
    <w:rsid w:val="00CE0FAC"/>
    <w:rsid w:val="00CE1A3D"/>
    <w:rsid w:val="00CE2CE8"/>
    <w:rsid w:val="00CE3BEE"/>
    <w:rsid w:val="00CE3CEA"/>
    <w:rsid w:val="00CE4478"/>
    <w:rsid w:val="00CE4938"/>
    <w:rsid w:val="00CE541F"/>
    <w:rsid w:val="00CE5578"/>
    <w:rsid w:val="00CE58B1"/>
    <w:rsid w:val="00CE7316"/>
    <w:rsid w:val="00CE7662"/>
    <w:rsid w:val="00CF1C92"/>
    <w:rsid w:val="00CF1F90"/>
    <w:rsid w:val="00CF31CE"/>
    <w:rsid w:val="00CF3305"/>
    <w:rsid w:val="00CF39E3"/>
    <w:rsid w:val="00CF419E"/>
    <w:rsid w:val="00CF5636"/>
    <w:rsid w:val="00CF670F"/>
    <w:rsid w:val="00CF784C"/>
    <w:rsid w:val="00D00802"/>
    <w:rsid w:val="00D00B54"/>
    <w:rsid w:val="00D00CD0"/>
    <w:rsid w:val="00D00F6C"/>
    <w:rsid w:val="00D00F9A"/>
    <w:rsid w:val="00D0122E"/>
    <w:rsid w:val="00D01293"/>
    <w:rsid w:val="00D013A2"/>
    <w:rsid w:val="00D017DB"/>
    <w:rsid w:val="00D01C8F"/>
    <w:rsid w:val="00D0296C"/>
    <w:rsid w:val="00D02CBC"/>
    <w:rsid w:val="00D04592"/>
    <w:rsid w:val="00D04866"/>
    <w:rsid w:val="00D05015"/>
    <w:rsid w:val="00D062B8"/>
    <w:rsid w:val="00D06775"/>
    <w:rsid w:val="00D0702D"/>
    <w:rsid w:val="00D07178"/>
    <w:rsid w:val="00D07385"/>
    <w:rsid w:val="00D101E7"/>
    <w:rsid w:val="00D10861"/>
    <w:rsid w:val="00D1304B"/>
    <w:rsid w:val="00D130A8"/>
    <w:rsid w:val="00D130E9"/>
    <w:rsid w:val="00D1390D"/>
    <w:rsid w:val="00D13DFA"/>
    <w:rsid w:val="00D146A2"/>
    <w:rsid w:val="00D14944"/>
    <w:rsid w:val="00D15A00"/>
    <w:rsid w:val="00D15AD4"/>
    <w:rsid w:val="00D15C0C"/>
    <w:rsid w:val="00D16597"/>
    <w:rsid w:val="00D16EFB"/>
    <w:rsid w:val="00D170AC"/>
    <w:rsid w:val="00D175B4"/>
    <w:rsid w:val="00D17F4C"/>
    <w:rsid w:val="00D20A3B"/>
    <w:rsid w:val="00D210CE"/>
    <w:rsid w:val="00D21EF2"/>
    <w:rsid w:val="00D235B2"/>
    <w:rsid w:val="00D2387A"/>
    <w:rsid w:val="00D23AD2"/>
    <w:rsid w:val="00D23C44"/>
    <w:rsid w:val="00D24698"/>
    <w:rsid w:val="00D263BE"/>
    <w:rsid w:val="00D2653F"/>
    <w:rsid w:val="00D26588"/>
    <w:rsid w:val="00D265C9"/>
    <w:rsid w:val="00D266FA"/>
    <w:rsid w:val="00D26EC8"/>
    <w:rsid w:val="00D27150"/>
    <w:rsid w:val="00D30786"/>
    <w:rsid w:val="00D30B12"/>
    <w:rsid w:val="00D30CB2"/>
    <w:rsid w:val="00D31B79"/>
    <w:rsid w:val="00D32011"/>
    <w:rsid w:val="00D32148"/>
    <w:rsid w:val="00D321EE"/>
    <w:rsid w:val="00D33DFC"/>
    <w:rsid w:val="00D34BF8"/>
    <w:rsid w:val="00D35883"/>
    <w:rsid w:val="00D36132"/>
    <w:rsid w:val="00D36550"/>
    <w:rsid w:val="00D36762"/>
    <w:rsid w:val="00D371DF"/>
    <w:rsid w:val="00D37E56"/>
    <w:rsid w:val="00D42354"/>
    <w:rsid w:val="00D42613"/>
    <w:rsid w:val="00D432AC"/>
    <w:rsid w:val="00D435C7"/>
    <w:rsid w:val="00D43976"/>
    <w:rsid w:val="00D45E1A"/>
    <w:rsid w:val="00D47034"/>
    <w:rsid w:val="00D47EA9"/>
    <w:rsid w:val="00D50D7F"/>
    <w:rsid w:val="00D50ED2"/>
    <w:rsid w:val="00D51672"/>
    <w:rsid w:val="00D51E27"/>
    <w:rsid w:val="00D51F48"/>
    <w:rsid w:val="00D52D6D"/>
    <w:rsid w:val="00D556C0"/>
    <w:rsid w:val="00D55F49"/>
    <w:rsid w:val="00D56F5D"/>
    <w:rsid w:val="00D60CEB"/>
    <w:rsid w:val="00D612B1"/>
    <w:rsid w:val="00D61D96"/>
    <w:rsid w:val="00D626BF"/>
    <w:rsid w:val="00D63676"/>
    <w:rsid w:val="00D6408A"/>
    <w:rsid w:val="00D64BC3"/>
    <w:rsid w:val="00D64BD1"/>
    <w:rsid w:val="00D64FD2"/>
    <w:rsid w:val="00D652DC"/>
    <w:rsid w:val="00D65312"/>
    <w:rsid w:val="00D65FB7"/>
    <w:rsid w:val="00D667AD"/>
    <w:rsid w:val="00D674A4"/>
    <w:rsid w:val="00D67A25"/>
    <w:rsid w:val="00D67BE7"/>
    <w:rsid w:val="00D7038D"/>
    <w:rsid w:val="00D70F92"/>
    <w:rsid w:val="00D7126F"/>
    <w:rsid w:val="00D72760"/>
    <w:rsid w:val="00D7350D"/>
    <w:rsid w:val="00D73735"/>
    <w:rsid w:val="00D74337"/>
    <w:rsid w:val="00D75034"/>
    <w:rsid w:val="00D75313"/>
    <w:rsid w:val="00D75D6B"/>
    <w:rsid w:val="00D7617C"/>
    <w:rsid w:val="00D769A0"/>
    <w:rsid w:val="00D77456"/>
    <w:rsid w:val="00D779CA"/>
    <w:rsid w:val="00D77B4C"/>
    <w:rsid w:val="00D803E5"/>
    <w:rsid w:val="00D81BED"/>
    <w:rsid w:val="00D820A3"/>
    <w:rsid w:val="00D82930"/>
    <w:rsid w:val="00D82FB6"/>
    <w:rsid w:val="00D83225"/>
    <w:rsid w:val="00D8365D"/>
    <w:rsid w:val="00D837E5"/>
    <w:rsid w:val="00D84312"/>
    <w:rsid w:val="00D845C3"/>
    <w:rsid w:val="00D854C4"/>
    <w:rsid w:val="00D85EC3"/>
    <w:rsid w:val="00D872D2"/>
    <w:rsid w:val="00D87305"/>
    <w:rsid w:val="00D8749D"/>
    <w:rsid w:val="00D8761C"/>
    <w:rsid w:val="00D9021F"/>
    <w:rsid w:val="00D9047A"/>
    <w:rsid w:val="00D912CE"/>
    <w:rsid w:val="00D91CBC"/>
    <w:rsid w:val="00D93024"/>
    <w:rsid w:val="00D93097"/>
    <w:rsid w:val="00D93884"/>
    <w:rsid w:val="00D941D4"/>
    <w:rsid w:val="00D94F30"/>
    <w:rsid w:val="00D95E87"/>
    <w:rsid w:val="00D9629C"/>
    <w:rsid w:val="00D971B1"/>
    <w:rsid w:val="00D97D51"/>
    <w:rsid w:val="00DA08B5"/>
    <w:rsid w:val="00DA0BC2"/>
    <w:rsid w:val="00DA0D74"/>
    <w:rsid w:val="00DA0E9E"/>
    <w:rsid w:val="00DA106C"/>
    <w:rsid w:val="00DA1A1B"/>
    <w:rsid w:val="00DA3181"/>
    <w:rsid w:val="00DA377C"/>
    <w:rsid w:val="00DA7474"/>
    <w:rsid w:val="00DA7909"/>
    <w:rsid w:val="00DB0FF6"/>
    <w:rsid w:val="00DB1596"/>
    <w:rsid w:val="00DB266E"/>
    <w:rsid w:val="00DB274C"/>
    <w:rsid w:val="00DB2913"/>
    <w:rsid w:val="00DB2CFE"/>
    <w:rsid w:val="00DB402F"/>
    <w:rsid w:val="00DB41A0"/>
    <w:rsid w:val="00DB4CAA"/>
    <w:rsid w:val="00DB54A4"/>
    <w:rsid w:val="00DB5E5D"/>
    <w:rsid w:val="00DB6E90"/>
    <w:rsid w:val="00DB707F"/>
    <w:rsid w:val="00DB766C"/>
    <w:rsid w:val="00DB767C"/>
    <w:rsid w:val="00DB77E6"/>
    <w:rsid w:val="00DB7907"/>
    <w:rsid w:val="00DC1532"/>
    <w:rsid w:val="00DC1C00"/>
    <w:rsid w:val="00DC1E4D"/>
    <w:rsid w:val="00DC2669"/>
    <w:rsid w:val="00DC2AB7"/>
    <w:rsid w:val="00DC2B60"/>
    <w:rsid w:val="00DC3E86"/>
    <w:rsid w:val="00DC44F9"/>
    <w:rsid w:val="00DC4712"/>
    <w:rsid w:val="00DC5837"/>
    <w:rsid w:val="00DC6328"/>
    <w:rsid w:val="00DC63C6"/>
    <w:rsid w:val="00DC66ED"/>
    <w:rsid w:val="00DC693B"/>
    <w:rsid w:val="00DC6BAB"/>
    <w:rsid w:val="00DC7C79"/>
    <w:rsid w:val="00DD1986"/>
    <w:rsid w:val="00DD2486"/>
    <w:rsid w:val="00DD2E9D"/>
    <w:rsid w:val="00DD3FAF"/>
    <w:rsid w:val="00DD43BE"/>
    <w:rsid w:val="00DD4EB4"/>
    <w:rsid w:val="00DD4F5D"/>
    <w:rsid w:val="00DD554B"/>
    <w:rsid w:val="00DD5D84"/>
    <w:rsid w:val="00DD635E"/>
    <w:rsid w:val="00DD678E"/>
    <w:rsid w:val="00DE084C"/>
    <w:rsid w:val="00DE1261"/>
    <w:rsid w:val="00DE29A9"/>
    <w:rsid w:val="00DE29D8"/>
    <w:rsid w:val="00DE4168"/>
    <w:rsid w:val="00DE41E9"/>
    <w:rsid w:val="00DE46FB"/>
    <w:rsid w:val="00DE4B58"/>
    <w:rsid w:val="00DE4E32"/>
    <w:rsid w:val="00DE754D"/>
    <w:rsid w:val="00DE794F"/>
    <w:rsid w:val="00DF0E42"/>
    <w:rsid w:val="00DF1C7D"/>
    <w:rsid w:val="00DF278D"/>
    <w:rsid w:val="00DF2BFB"/>
    <w:rsid w:val="00DF2EBC"/>
    <w:rsid w:val="00DF4FE0"/>
    <w:rsid w:val="00DF55AA"/>
    <w:rsid w:val="00DF6B56"/>
    <w:rsid w:val="00DF7739"/>
    <w:rsid w:val="00E009A8"/>
    <w:rsid w:val="00E01F9E"/>
    <w:rsid w:val="00E020BC"/>
    <w:rsid w:val="00E03D8D"/>
    <w:rsid w:val="00E0495A"/>
    <w:rsid w:val="00E04A2E"/>
    <w:rsid w:val="00E04F78"/>
    <w:rsid w:val="00E05A39"/>
    <w:rsid w:val="00E067DC"/>
    <w:rsid w:val="00E06DFA"/>
    <w:rsid w:val="00E07310"/>
    <w:rsid w:val="00E07314"/>
    <w:rsid w:val="00E1032F"/>
    <w:rsid w:val="00E11059"/>
    <w:rsid w:val="00E1139D"/>
    <w:rsid w:val="00E1150C"/>
    <w:rsid w:val="00E11D03"/>
    <w:rsid w:val="00E13092"/>
    <w:rsid w:val="00E13B9B"/>
    <w:rsid w:val="00E15564"/>
    <w:rsid w:val="00E1651D"/>
    <w:rsid w:val="00E16A21"/>
    <w:rsid w:val="00E16B85"/>
    <w:rsid w:val="00E16D0E"/>
    <w:rsid w:val="00E1784C"/>
    <w:rsid w:val="00E17D36"/>
    <w:rsid w:val="00E21121"/>
    <w:rsid w:val="00E223F2"/>
    <w:rsid w:val="00E22AC7"/>
    <w:rsid w:val="00E234A1"/>
    <w:rsid w:val="00E247A1"/>
    <w:rsid w:val="00E2518A"/>
    <w:rsid w:val="00E25F45"/>
    <w:rsid w:val="00E26346"/>
    <w:rsid w:val="00E27495"/>
    <w:rsid w:val="00E27562"/>
    <w:rsid w:val="00E30A48"/>
    <w:rsid w:val="00E312E2"/>
    <w:rsid w:val="00E31C9A"/>
    <w:rsid w:val="00E32D44"/>
    <w:rsid w:val="00E33BA2"/>
    <w:rsid w:val="00E33E2D"/>
    <w:rsid w:val="00E35383"/>
    <w:rsid w:val="00E357B7"/>
    <w:rsid w:val="00E35827"/>
    <w:rsid w:val="00E3764F"/>
    <w:rsid w:val="00E413DE"/>
    <w:rsid w:val="00E41DA1"/>
    <w:rsid w:val="00E420BE"/>
    <w:rsid w:val="00E42922"/>
    <w:rsid w:val="00E42A76"/>
    <w:rsid w:val="00E432D7"/>
    <w:rsid w:val="00E43597"/>
    <w:rsid w:val="00E43752"/>
    <w:rsid w:val="00E43D16"/>
    <w:rsid w:val="00E448F7"/>
    <w:rsid w:val="00E457BD"/>
    <w:rsid w:val="00E462CB"/>
    <w:rsid w:val="00E47DB2"/>
    <w:rsid w:val="00E5040C"/>
    <w:rsid w:val="00E51791"/>
    <w:rsid w:val="00E5235D"/>
    <w:rsid w:val="00E53800"/>
    <w:rsid w:val="00E538B9"/>
    <w:rsid w:val="00E53FEE"/>
    <w:rsid w:val="00E54BE0"/>
    <w:rsid w:val="00E55A8E"/>
    <w:rsid w:val="00E55B16"/>
    <w:rsid w:val="00E561B0"/>
    <w:rsid w:val="00E56627"/>
    <w:rsid w:val="00E5781D"/>
    <w:rsid w:val="00E57D38"/>
    <w:rsid w:val="00E6081F"/>
    <w:rsid w:val="00E6085E"/>
    <w:rsid w:val="00E60876"/>
    <w:rsid w:val="00E60CCB"/>
    <w:rsid w:val="00E61736"/>
    <w:rsid w:val="00E61CAC"/>
    <w:rsid w:val="00E6292E"/>
    <w:rsid w:val="00E62C5D"/>
    <w:rsid w:val="00E633DC"/>
    <w:rsid w:val="00E63B19"/>
    <w:rsid w:val="00E63F8B"/>
    <w:rsid w:val="00E65105"/>
    <w:rsid w:val="00E67B11"/>
    <w:rsid w:val="00E7047B"/>
    <w:rsid w:val="00E70A22"/>
    <w:rsid w:val="00E70ECC"/>
    <w:rsid w:val="00E71168"/>
    <w:rsid w:val="00E72C14"/>
    <w:rsid w:val="00E73416"/>
    <w:rsid w:val="00E73F0C"/>
    <w:rsid w:val="00E75C41"/>
    <w:rsid w:val="00E771A7"/>
    <w:rsid w:val="00E77E16"/>
    <w:rsid w:val="00E77F0B"/>
    <w:rsid w:val="00E80499"/>
    <w:rsid w:val="00E806E8"/>
    <w:rsid w:val="00E80B2F"/>
    <w:rsid w:val="00E8250D"/>
    <w:rsid w:val="00E82693"/>
    <w:rsid w:val="00E85E07"/>
    <w:rsid w:val="00E86241"/>
    <w:rsid w:val="00E867B1"/>
    <w:rsid w:val="00E87A15"/>
    <w:rsid w:val="00E90287"/>
    <w:rsid w:val="00E90676"/>
    <w:rsid w:val="00E91E4C"/>
    <w:rsid w:val="00E91F2D"/>
    <w:rsid w:val="00E9209B"/>
    <w:rsid w:val="00E93D7D"/>
    <w:rsid w:val="00E95537"/>
    <w:rsid w:val="00E958E3"/>
    <w:rsid w:val="00EA04B2"/>
    <w:rsid w:val="00EA0A77"/>
    <w:rsid w:val="00EA0C48"/>
    <w:rsid w:val="00EA1D2D"/>
    <w:rsid w:val="00EA20F3"/>
    <w:rsid w:val="00EA2AAF"/>
    <w:rsid w:val="00EA435E"/>
    <w:rsid w:val="00EA718A"/>
    <w:rsid w:val="00EA77F2"/>
    <w:rsid w:val="00EB093E"/>
    <w:rsid w:val="00EB1E7F"/>
    <w:rsid w:val="00EB216C"/>
    <w:rsid w:val="00EB4A05"/>
    <w:rsid w:val="00EB53E1"/>
    <w:rsid w:val="00EB5A7E"/>
    <w:rsid w:val="00EB5D78"/>
    <w:rsid w:val="00EB64E2"/>
    <w:rsid w:val="00EB6D68"/>
    <w:rsid w:val="00EB7EE9"/>
    <w:rsid w:val="00EC01BC"/>
    <w:rsid w:val="00EC0D84"/>
    <w:rsid w:val="00EC1CD4"/>
    <w:rsid w:val="00EC305A"/>
    <w:rsid w:val="00EC3B16"/>
    <w:rsid w:val="00EC3DBA"/>
    <w:rsid w:val="00EC426A"/>
    <w:rsid w:val="00EC4319"/>
    <w:rsid w:val="00EC5460"/>
    <w:rsid w:val="00EC555F"/>
    <w:rsid w:val="00EC58FD"/>
    <w:rsid w:val="00EC731B"/>
    <w:rsid w:val="00ED0550"/>
    <w:rsid w:val="00ED0F3F"/>
    <w:rsid w:val="00ED197F"/>
    <w:rsid w:val="00ED1CD6"/>
    <w:rsid w:val="00ED1E68"/>
    <w:rsid w:val="00ED1E84"/>
    <w:rsid w:val="00ED2831"/>
    <w:rsid w:val="00ED2F2B"/>
    <w:rsid w:val="00ED3D99"/>
    <w:rsid w:val="00ED4347"/>
    <w:rsid w:val="00ED43D1"/>
    <w:rsid w:val="00ED4B92"/>
    <w:rsid w:val="00ED4C19"/>
    <w:rsid w:val="00ED4C3D"/>
    <w:rsid w:val="00ED50D5"/>
    <w:rsid w:val="00ED5106"/>
    <w:rsid w:val="00ED6A44"/>
    <w:rsid w:val="00ED6E9C"/>
    <w:rsid w:val="00ED74BB"/>
    <w:rsid w:val="00ED7703"/>
    <w:rsid w:val="00ED7909"/>
    <w:rsid w:val="00EE1997"/>
    <w:rsid w:val="00EE1B31"/>
    <w:rsid w:val="00EE1BF8"/>
    <w:rsid w:val="00EE1F80"/>
    <w:rsid w:val="00EE2CA4"/>
    <w:rsid w:val="00EE33EA"/>
    <w:rsid w:val="00EE34B3"/>
    <w:rsid w:val="00EE3591"/>
    <w:rsid w:val="00EE3ADC"/>
    <w:rsid w:val="00EE49EE"/>
    <w:rsid w:val="00EE4E89"/>
    <w:rsid w:val="00EE4EE1"/>
    <w:rsid w:val="00EE4EF0"/>
    <w:rsid w:val="00EE4F76"/>
    <w:rsid w:val="00EE54FD"/>
    <w:rsid w:val="00EE55CC"/>
    <w:rsid w:val="00EE642E"/>
    <w:rsid w:val="00EE6888"/>
    <w:rsid w:val="00EE7621"/>
    <w:rsid w:val="00EE7E90"/>
    <w:rsid w:val="00EE7F99"/>
    <w:rsid w:val="00EF1A58"/>
    <w:rsid w:val="00EF1D89"/>
    <w:rsid w:val="00EF30AD"/>
    <w:rsid w:val="00EF3CFD"/>
    <w:rsid w:val="00EF439F"/>
    <w:rsid w:val="00EF4574"/>
    <w:rsid w:val="00EF4887"/>
    <w:rsid w:val="00EF494D"/>
    <w:rsid w:val="00EF4AD9"/>
    <w:rsid w:val="00EF4BA5"/>
    <w:rsid w:val="00EF692B"/>
    <w:rsid w:val="00EF6BF5"/>
    <w:rsid w:val="00EF75AB"/>
    <w:rsid w:val="00F026EB"/>
    <w:rsid w:val="00F02DBE"/>
    <w:rsid w:val="00F02ED6"/>
    <w:rsid w:val="00F038D9"/>
    <w:rsid w:val="00F03CA1"/>
    <w:rsid w:val="00F041C2"/>
    <w:rsid w:val="00F04967"/>
    <w:rsid w:val="00F05173"/>
    <w:rsid w:val="00F051FD"/>
    <w:rsid w:val="00F06182"/>
    <w:rsid w:val="00F06AF4"/>
    <w:rsid w:val="00F06F27"/>
    <w:rsid w:val="00F071B4"/>
    <w:rsid w:val="00F074F6"/>
    <w:rsid w:val="00F106F1"/>
    <w:rsid w:val="00F10A44"/>
    <w:rsid w:val="00F10D39"/>
    <w:rsid w:val="00F1103A"/>
    <w:rsid w:val="00F11854"/>
    <w:rsid w:val="00F12B1B"/>
    <w:rsid w:val="00F12C0B"/>
    <w:rsid w:val="00F12CE3"/>
    <w:rsid w:val="00F13081"/>
    <w:rsid w:val="00F14156"/>
    <w:rsid w:val="00F14520"/>
    <w:rsid w:val="00F14D74"/>
    <w:rsid w:val="00F14D98"/>
    <w:rsid w:val="00F1521B"/>
    <w:rsid w:val="00F154DD"/>
    <w:rsid w:val="00F15C45"/>
    <w:rsid w:val="00F162C9"/>
    <w:rsid w:val="00F1645D"/>
    <w:rsid w:val="00F16774"/>
    <w:rsid w:val="00F205BE"/>
    <w:rsid w:val="00F20624"/>
    <w:rsid w:val="00F2093F"/>
    <w:rsid w:val="00F20C3E"/>
    <w:rsid w:val="00F21E5C"/>
    <w:rsid w:val="00F22774"/>
    <w:rsid w:val="00F2467F"/>
    <w:rsid w:val="00F24E02"/>
    <w:rsid w:val="00F25453"/>
    <w:rsid w:val="00F25C37"/>
    <w:rsid w:val="00F25DED"/>
    <w:rsid w:val="00F2684E"/>
    <w:rsid w:val="00F27006"/>
    <w:rsid w:val="00F31253"/>
    <w:rsid w:val="00F318CB"/>
    <w:rsid w:val="00F31EDB"/>
    <w:rsid w:val="00F327A2"/>
    <w:rsid w:val="00F33BA8"/>
    <w:rsid w:val="00F34204"/>
    <w:rsid w:val="00F34A14"/>
    <w:rsid w:val="00F36099"/>
    <w:rsid w:val="00F37879"/>
    <w:rsid w:val="00F37FE5"/>
    <w:rsid w:val="00F4140A"/>
    <w:rsid w:val="00F41539"/>
    <w:rsid w:val="00F41B76"/>
    <w:rsid w:val="00F41C59"/>
    <w:rsid w:val="00F41DCC"/>
    <w:rsid w:val="00F42345"/>
    <w:rsid w:val="00F43488"/>
    <w:rsid w:val="00F44303"/>
    <w:rsid w:val="00F44C97"/>
    <w:rsid w:val="00F45581"/>
    <w:rsid w:val="00F45C08"/>
    <w:rsid w:val="00F4660F"/>
    <w:rsid w:val="00F470B7"/>
    <w:rsid w:val="00F50561"/>
    <w:rsid w:val="00F5085D"/>
    <w:rsid w:val="00F50FD3"/>
    <w:rsid w:val="00F51D18"/>
    <w:rsid w:val="00F522D6"/>
    <w:rsid w:val="00F5355B"/>
    <w:rsid w:val="00F5404C"/>
    <w:rsid w:val="00F55F77"/>
    <w:rsid w:val="00F56791"/>
    <w:rsid w:val="00F56C24"/>
    <w:rsid w:val="00F5729B"/>
    <w:rsid w:val="00F57395"/>
    <w:rsid w:val="00F600DA"/>
    <w:rsid w:val="00F61274"/>
    <w:rsid w:val="00F61636"/>
    <w:rsid w:val="00F61EFA"/>
    <w:rsid w:val="00F6394D"/>
    <w:rsid w:val="00F66C03"/>
    <w:rsid w:val="00F67A08"/>
    <w:rsid w:val="00F70312"/>
    <w:rsid w:val="00F70EB7"/>
    <w:rsid w:val="00F70F16"/>
    <w:rsid w:val="00F7133C"/>
    <w:rsid w:val="00F71FBD"/>
    <w:rsid w:val="00F729EF"/>
    <w:rsid w:val="00F73127"/>
    <w:rsid w:val="00F7314C"/>
    <w:rsid w:val="00F7364A"/>
    <w:rsid w:val="00F73FC7"/>
    <w:rsid w:val="00F7473B"/>
    <w:rsid w:val="00F75279"/>
    <w:rsid w:val="00F75EAB"/>
    <w:rsid w:val="00F76D68"/>
    <w:rsid w:val="00F77102"/>
    <w:rsid w:val="00F77CAE"/>
    <w:rsid w:val="00F813BC"/>
    <w:rsid w:val="00F82176"/>
    <w:rsid w:val="00F82271"/>
    <w:rsid w:val="00F827FD"/>
    <w:rsid w:val="00F8315A"/>
    <w:rsid w:val="00F83428"/>
    <w:rsid w:val="00F85AAB"/>
    <w:rsid w:val="00F85BC1"/>
    <w:rsid w:val="00F85FF3"/>
    <w:rsid w:val="00F86034"/>
    <w:rsid w:val="00F86D08"/>
    <w:rsid w:val="00F870F2"/>
    <w:rsid w:val="00F871BC"/>
    <w:rsid w:val="00F87C8F"/>
    <w:rsid w:val="00F903BB"/>
    <w:rsid w:val="00F9140E"/>
    <w:rsid w:val="00F9191D"/>
    <w:rsid w:val="00F91B59"/>
    <w:rsid w:val="00F93C84"/>
    <w:rsid w:val="00F93FF9"/>
    <w:rsid w:val="00F94CC1"/>
    <w:rsid w:val="00F95692"/>
    <w:rsid w:val="00F958C2"/>
    <w:rsid w:val="00F95F2A"/>
    <w:rsid w:val="00F964D1"/>
    <w:rsid w:val="00F96BB9"/>
    <w:rsid w:val="00FA14A7"/>
    <w:rsid w:val="00FA1827"/>
    <w:rsid w:val="00FA1E8E"/>
    <w:rsid w:val="00FA1FE4"/>
    <w:rsid w:val="00FA20E7"/>
    <w:rsid w:val="00FA2978"/>
    <w:rsid w:val="00FA2AE9"/>
    <w:rsid w:val="00FA3714"/>
    <w:rsid w:val="00FA4B8E"/>
    <w:rsid w:val="00FA64DB"/>
    <w:rsid w:val="00FA66B8"/>
    <w:rsid w:val="00FA773E"/>
    <w:rsid w:val="00FB02AD"/>
    <w:rsid w:val="00FB0330"/>
    <w:rsid w:val="00FB070E"/>
    <w:rsid w:val="00FB0760"/>
    <w:rsid w:val="00FB1F6E"/>
    <w:rsid w:val="00FB3521"/>
    <w:rsid w:val="00FB3765"/>
    <w:rsid w:val="00FB3868"/>
    <w:rsid w:val="00FB44C9"/>
    <w:rsid w:val="00FB4F75"/>
    <w:rsid w:val="00FB64E4"/>
    <w:rsid w:val="00FB69A1"/>
    <w:rsid w:val="00FC0080"/>
    <w:rsid w:val="00FC014D"/>
    <w:rsid w:val="00FC0DB4"/>
    <w:rsid w:val="00FC1EFA"/>
    <w:rsid w:val="00FC25ED"/>
    <w:rsid w:val="00FC2E0D"/>
    <w:rsid w:val="00FC3003"/>
    <w:rsid w:val="00FC4206"/>
    <w:rsid w:val="00FC45F9"/>
    <w:rsid w:val="00FC4F83"/>
    <w:rsid w:val="00FC5C79"/>
    <w:rsid w:val="00FC5D30"/>
    <w:rsid w:val="00FC6244"/>
    <w:rsid w:val="00FC6527"/>
    <w:rsid w:val="00FC6A39"/>
    <w:rsid w:val="00FC6CD8"/>
    <w:rsid w:val="00FC737E"/>
    <w:rsid w:val="00FC7CC9"/>
    <w:rsid w:val="00FD0A1D"/>
    <w:rsid w:val="00FD0BD1"/>
    <w:rsid w:val="00FD1905"/>
    <w:rsid w:val="00FD2731"/>
    <w:rsid w:val="00FD2F62"/>
    <w:rsid w:val="00FD4600"/>
    <w:rsid w:val="00FD680B"/>
    <w:rsid w:val="00FE0B25"/>
    <w:rsid w:val="00FE1651"/>
    <w:rsid w:val="00FE176C"/>
    <w:rsid w:val="00FE61C5"/>
    <w:rsid w:val="00FE64D1"/>
    <w:rsid w:val="00FE6D51"/>
    <w:rsid w:val="00FE6F6C"/>
    <w:rsid w:val="00FE72F4"/>
    <w:rsid w:val="00FF09F3"/>
    <w:rsid w:val="00FF0C20"/>
    <w:rsid w:val="00FF0E7C"/>
    <w:rsid w:val="00FF1302"/>
    <w:rsid w:val="00FF181D"/>
    <w:rsid w:val="00FF1A64"/>
    <w:rsid w:val="00FF1F00"/>
    <w:rsid w:val="00FF26E2"/>
    <w:rsid w:val="00FF2956"/>
    <w:rsid w:val="00FF29AA"/>
    <w:rsid w:val="00FF4B77"/>
    <w:rsid w:val="00FF5FD8"/>
    <w:rsid w:val="00FF67C1"/>
    <w:rsid w:val="00FF6CC2"/>
    <w:rsid w:val="00FF7CB7"/>
    <w:rsid w:val="00FF7CDF"/>
    <w:rsid w:val="00FF7E6F"/>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894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8"/>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9"/>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7"/>
      </w:numPr>
    </w:pPr>
  </w:style>
  <w:style w:type="paragraph" w:customStyle="1" w:styleId="Heading2Numbered">
    <w:name w:val="Heading 2 Numbered"/>
    <w:basedOn w:val="Heading2"/>
    <w:next w:val="Normal"/>
    <w:qFormat/>
    <w:rsid w:val="00ED2831"/>
    <w:pPr>
      <w:numPr>
        <w:ilvl w:val="1"/>
        <w:numId w:val="7"/>
      </w:numPr>
      <w:spacing w:before="480" w:after="60"/>
    </w:pPr>
    <w:rPr>
      <w:bCs/>
    </w:rPr>
  </w:style>
  <w:style w:type="paragraph" w:customStyle="1" w:styleId="Heading3Numbered">
    <w:name w:val="Heading 3 Numbered"/>
    <w:basedOn w:val="Heading3"/>
    <w:next w:val="Normal"/>
    <w:qFormat/>
    <w:rsid w:val="00ED2831"/>
    <w:pPr>
      <w:numPr>
        <w:ilvl w:val="2"/>
        <w:numId w:val="7"/>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aliases w:val="ETS,Footnote Text Char Char Char Char Char,Footnote Text Char Char Char Char Char Char Ch,Footnote Text Char Char Char Char Char Char Ch Char,Car Car Car Car,Car Car Car,Car,Car Car,single space,footnote text,fn,fn Char Char Char,Car Ca,ft"/>
    <w:basedOn w:val="Normal"/>
    <w:link w:val="FootnoteTextChar"/>
    <w:unhideWhenUsed/>
    <w:qFormat/>
    <w:rsid w:val="008C5A0E"/>
    <w:pPr>
      <w:spacing w:before="60" w:after="0" w:line="140" w:lineRule="atLeast"/>
      <w:ind w:left="170" w:hanging="170"/>
    </w:pPr>
    <w:rPr>
      <w:sz w:val="12"/>
      <w:szCs w:val="20"/>
    </w:rPr>
  </w:style>
  <w:style w:type="character" w:customStyle="1" w:styleId="FootnoteTextChar">
    <w:name w:val="Footnote Text Char"/>
    <w:aliases w:val="ETS Char,Footnote Text Char Char Char Char Char Char,Footnote Text Char Char Char Char Char Char Ch Char1,Footnote Text Char Char Char Char Char Char Ch Char Char,Car Car Car Car Char,Car Car Car Char,Car Char,Car Car Char,fn Char"/>
    <w:basedOn w:val="DefaultParagraphFont"/>
    <w:link w:val="FootnoteText"/>
    <w:rsid w:val="008C5A0E"/>
    <w:rPr>
      <w:color w:val="495965" w:themeColor="text2"/>
      <w:sz w:val="12"/>
      <w:szCs w:val="20"/>
    </w:rPr>
  </w:style>
  <w:style w:type="character" w:styleId="FootnoteReference">
    <w:name w:val="footnote reference"/>
    <w:aliases w:val="Footnote symbol,BVI fnr Char Char Char Char Char Char Char Char Char Char Char Char1,BVI fnr Car Car Char Char Char Char Char Char Char Char Char Char Char Char Char Char1,16 Point,Superscript 6 Point,ftref,FOOTNOTE,stylish,Ref"/>
    <w:basedOn w:val="DefaultParagraphFont"/>
    <w:uiPriority w:val="99"/>
    <w:unhideWhenUsed/>
    <w:qFormat/>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uiPriority w:val="99"/>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E65105"/>
    <w:pPr>
      <w:keepLines/>
      <w:suppressAutoHyphens w:val="0"/>
      <w:spacing w:before="80" w:after="80" w:line="200" w:lineRule="atLeast"/>
      <w:ind w:left="125"/>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10"/>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11"/>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table" w:customStyle="1" w:styleId="TableGrid1">
    <w:name w:val="Table Grid1"/>
    <w:basedOn w:val="TableNormal"/>
    <w:next w:val="TableGrid"/>
    <w:uiPriority w:val="39"/>
    <w:rsid w:val="00695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F353C"/>
    <w:rPr>
      <w:color w:val="800080" w:themeColor="followedHyperlink"/>
      <w:u w:val="single"/>
    </w:rPr>
  </w:style>
  <w:style w:type="paragraph" w:styleId="ListParagraph">
    <w:name w:val="List Paragraph"/>
    <w:aliases w:val="List Paragraph (numbered (a)),Normal 2,Main numbered paragraph"/>
    <w:basedOn w:val="Normal"/>
    <w:link w:val="ListParagraphChar"/>
    <w:uiPriority w:val="34"/>
    <w:qFormat/>
    <w:rsid w:val="004B39B9"/>
    <w:pPr>
      <w:suppressAutoHyphens w:val="0"/>
      <w:spacing w:before="0" w:after="0" w:line="240" w:lineRule="auto"/>
      <w:ind w:left="720"/>
    </w:pPr>
    <w:rPr>
      <w:rFonts w:ascii="Calibri" w:hAnsi="Calibri" w:cs="Times New Roman"/>
      <w:color w:val="auto"/>
      <w:lang w:val="en-AU"/>
    </w:rPr>
  </w:style>
  <w:style w:type="character" w:styleId="CommentReference">
    <w:name w:val="annotation reference"/>
    <w:basedOn w:val="DefaultParagraphFont"/>
    <w:uiPriority w:val="99"/>
    <w:unhideWhenUsed/>
    <w:rsid w:val="000979E6"/>
    <w:rPr>
      <w:sz w:val="16"/>
      <w:szCs w:val="16"/>
    </w:rPr>
  </w:style>
  <w:style w:type="paragraph" w:styleId="CommentText">
    <w:name w:val="annotation text"/>
    <w:basedOn w:val="Normal"/>
    <w:link w:val="CommentTextChar"/>
    <w:uiPriority w:val="99"/>
    <w:unhideWhenUsed/>
    <w:rsid w:val="000979E6"/>
    <w:pPr>
      <w:spacing w:line="240" w:lineRule="auto"/>
    </w:pPr>
    <w:rPr>
      <w:sz w:val="20"/>
      <w:szCs w:val="20"/>
    </w:rPr>
  </w:style>
  <w:style w:type="character" w:customStyle="1" w:styleId="CommentTextChar">
    <w:name w:val="Comment Text Char"/>
    <w:basedOn w:val="DefaultParagraphFont"/>
    <w:link w:val="CommentText"/>
    <w:uiPriority w:val="99"/>
    <w:rsid w:val="000979E6"/>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0979E6"/>
    <w:rPr>
      <w:b/>
      <w:bCs/>
    </w:rPr>
  </w:style>
  <w:style w:type="character" w:customStyle="1" w:styleId="CommentSubjectChar">
    <w:name w:val="Comment Subject Char"/>
    <w:basedOn w:val="CommentTextChar"/>
    <w:link w:val="CommentSubject"/>
    <w:uiPriority w:val="99"/>
    <w:semiHidden/>
    <w:rsid w:val="000979E6"/>
    <w:rPr>
      <w:b/>
      <w:bCs/>
      <w:color w:val="495965" w:themeColor="text2"/>
      <w:sz w:val="20"/>
      <w:szCs w:val="20"/>
      <w:lang w:val="en-GB"/>
    </w:rPr>
  </w:style>
  <w:style w:type="character" w:customStyle="1" w:styleId="ListParagraphChar">
    <w:name w:val="List Paragraph Char"/>
    <w:aliases w:val="List Paragraph (numbered (a)) Char,Normal 2 Char,Main numbered paragraph Char"/>
    <w:basedOn w:val="DefaultParagraphFont"/>
    <w:link w:val="ListParagraph"/>
    <w:uiPriority w:val="34"/>
    <w:locked/>
    <w:rsid w:val="00CC5460"/>
    <w:rPr>
      <w:rFonts w:ascii="Calibri" w:hAnsi="Calibri" w:cs="Times New Roman"/>
    </w:rPr>
  </w:style>
  <w:style w:type="paragraph" w:customStyle="1" w:styleId="Tablebullet">
    <w:name w:val="Table bullet"/>
    <w:basedOn w:val="Normal"/>
    <w:link w:val="TablebulletChar"/>
    <w:qFormat/>
    <w:rsid w:val="00B9082D"/>
    <w:pPr>
      <w:numPr>
        <w:numId w:val="13"/>
      </w:numPr>
      <w:suppressAutoHyphens w:val="0"/>
      <w:spacing w:before="0" w:after="0" w:line="240" w:lineRule="auto"/>
    </w:pPr>
    <w:rPr>
      <w:rFonts w:ascii="Franklin Gothic Book" w:eastAsiaTheme="minorEastAsia" w:hAnsi="Franklin Gothic Book" w:cs="Times New Roman"/>
      <w:color w:val="000000" w:themeColor="text1"/>
      <w:sz w:val="20"/>
      <w:lang w:val="en-AU" w:eastAsia="en-AU"/>
    </w:rPr>
  </w:style>
  <w:style w:type="character" w:customStyle="1" w:styleId="TablebulletChar">
    <w:name w:val="Table bullet Char"/>
    <w:basedOn w:val="DefaultParagraphFont"/>
    <w:link w:val="Tablebullet"/>
    <w:rsid w:val="00B9082D"/>
    <w:rPr>
      <w:rFonts w:ascii="Franklin Gothic Book" w:eastAsiaTheme="minorEastAsia" w:hAnsi="Franklin Gothic Book" w:cs="Times New Roman"/>
      <w:color w:val="000000" w:themeColor="text1"/>
      <w:sz w:val="20"/>
      <w:lang w:eastAsia="en-AU"/>
    </w:rPr>
  </w:style>
  <w:style w:type="paragraph" w:customStyle="1" w:styleId="Default">
    <w:name w:val="Default"/>
    <w:rsid w:val="00AE498F"/>
    <w:pPr>
      <w:autoSpaceDE w:val="0"/>
      <w:autoSpaceDN w:val="0"/>
      <w:adjustRightInd w:val="0"/>
      <w:spacing w:after="0" w:line="240" w:lineRule="auto"/>
    </w:pPr>
    <w:rPr>
      <w:rFonts w:ascii="Calibri Light" w:hAnsi="Calibri Light" w:cs="Calibri Light"/>
      <w:color w:val="000000"/>
      <w:sz w:val="24"/>
      <w:szCs w:val="24"/>
    </w:rPr>
  </w:style>
  <w:style w:type="paragraph" w:customStyle="1" w:styleId="Nospacingbeforeorafter">
    <w:name w:val="No spacing before or after"/>
    <w:link w:val="NospacingbeforeorafterChar"/>
    <w:qFormat/>
    <w:rsid w:val="00581290"/>
    <w:pPr>
      <w:spacing w:after="0" w:line="264" w:lineRule="auto"/>
    </w:pPr>
    <w:rPr>
      <w:rFonts w:ascii="Franklin Gothic Book" w:hAnsi="Franklin Gothic Book" w:cs="Times New Roman"/>
    </w:rPr>
  </w:style>
  <w:style w:type="character" w:customStyle="1" w:styleId="NospacingbeforeorafterChar">
    <w:name w:val="No spacing before or after Char"/>
    <w:basedOn w:val="DefaultParagraphFont"/>
    <w:link w:val="Nospacingbeforeorafter"/>
    <w:rsid w:val="00581290"/>
    <w:rPr>
      <w:rFonts w:ascii="Franklin Gothic Book" w:hAnsi="Franklin Gothic Book" w:cs="Times New Roman"/>
    </w:rPr>
  </w:style>
  <w:style w:type="character" w:customStyle="1" w:styleId="A1">
    <w:name w:val="A1"/>
    <w:uiPriority w:val="99"/>
    <w:rsid w:val="005B63F8"/>
    <w:rPr>
      <w:rFonts w:cs="Avenir Light"/>
      <w:color w:val="211D1E"/>
      <w:sz w:val="22"/>
      <w:szCs w:val="22"/>
    </w:rPr>
  </w:style>
  <w:style w:type="character" w:customStyle="1" w:styleId="A3">
    <w:name w:val="A3"/>
    <w:uiPriority w:val="99"/>
    <w:rsid w:val="00E31C9A"/>
    <w:rPr>
      <w:rFonts w:cs="Helvetica 45 Light"/>
      <w:color w:val="211D1E"/>
      <w:sz w:val="22"/>
      <w:szCs w:val="22"/>
    </w:rPr>
  </w:style>
  <w:style w:type="paragraph" w:styleId="EndnoteText">
    <w:name w:val="endnote text"/>
    <w:basedOn w:val="Normal"/>
    <w:link w:val="EndnoteTextChar"/>
    <w:uiPriority w:val="99"/>
    <w:semiHidden/>
    <w:unhideWhenUsed/>
    <w:rsid w:val="002F6165"/>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2F6165"/>
    <w:rPr>
      <w:color w:val="495965" w:themeColor="text2"/>
      <w:sz w:val="20"/>
      <w:szCs w:val="20"/>
      <w:lang w:val="en-GB"/>
    </w:rPr>
  </w:style>
  <w:style w:type="character" w:styleId="EndnoteReference">
    <w:name w:val="endnote reference"/>
    <w:basedOn w:val="DefaultParagraphFont"/>
    <w:uiPriority w:val="99"/>
    <w:semiHidden/>
    <w:unhideWhenUsed/>
    <w:rsid w:val="002F6165"/>
    <w:rPr>
      <w:vertAlign w:val="superscript"/>
    </w:rPr>
  </w:style>
  <w:style w:type="paragraph" w:customStyle="1" w:styleId="Bullet1Tightlessspacing">
    <w:name w:val="Bullet 1 Tight (less spacing)"/>
    <w:basedOn w:val="Normal"/>
    <w:link w:val="Bullet1TightlessspacingChar"/>
    <w:uiPriority w:val="1"/>
    <w:qFormat/>
    <w:rsid w:val="00E91E4C"/>
    <w:pPr>
      <w:numPr>
        <w:numId w:val="32"/>
      </w:numPr>
      <w:suppressAutoHyphens w:val="0"/>
      <w:spacing w:before="60" w:after="0" w:line="264" w:lineRule="auto"/>
    </w:pPr>
    <w:rPr>
      <w:rFonts w:ascii="Franklin Gothic Book" w:eastAsiaTheme="minorEastAsia" w:hAnsi="Franklin Gothic Book" w:cs="Times New Roman"/>
      <w:color w:val="auto"/>
      <w:lang w:val="en-AU" w:eastAsia="en-AU"/>
    </w:rPr>
  </w:style>
  <w:style w:type="character" w:customStyle="1" w:styleId="Bullet1TightlessspacingChar">
    <w:name w:val="Bullet 1 Tight (less spacing) Char"/>
    <w:basedOn w:val="DefaultParagraphFont"/>
    <w:link w:val="Bullet1Tightlessspacing"/>
    <w:uiPriority w:val="1"/>
    <w:rsid w:val="00E91E4C"/>
    <w:rPr>
      <w:rFonts w:ascii="Franklin Gothic Book" w:eastAsiaTheme="minorEastAsia" w:hAnsi="Franklin Gothic Book" w:cs="Times New Roman"/>
      <w:lang w:eastAsia="en-AU"/>
    </w:rPr>
  </w:style>
  <w:style w:type="table" w:customStyle="1" w:styleId="DFATTable10">
    <w:name w:val="DFAT Table1"/>
    <w:basedOn w:val="TableNormal"/>
    <w:uiPriority w:val="99"/>
    <w:rsid w:val="005A4D66"/>
    <w:pPr>
      <w:spacing w:after="0" w:line="240" w:lineRule="auto"/>
    </w:pPr>
    <w:rPr>
      <w:rFonts w:ascii="Helvetica" w:hAnsi="Helvetica"/>
      <w:sz w:val="17"/>
      <w:lang w:eastAsia="en-AU"/>
    </w:rPr>
    <w:tblPr>
      <w:tblBorders>
        <w:top w:val="single" w:sz="12" w:space="0" w:color="auto"/>
        <w:bottom w:val="single" w:sz="12" w:space="0" w:color="auto"/>
      </w:tblBorders>
    </w:tblPr>
  </w:style>
  <w:style w:type="table" w:customStyle="1" w:styleId="DFATTable2">
    <w:name w:val="DFAT Table2"/>
    <w:basedOn w:val="TableNormal"/>
    <w:uiPriority w:val="99"/>
    <w:rsid w:val="005A4D66"/>
    <w:pPr>
      <w:spacing w:after="0" w:line="240" w:lineRule="auto"/>
    </w:pPr>
    <w:rPr>
      <w:rFonts w:ascii="Helvetica" w:hAnsi="Helvetica"/>
      <w:sz w:val="17"/>
      <w:lang w:eastAsia="en-AU"/>
    </w:rPr>
    <w:tblPr>
      <w:tblBorders>
        <w:top w:val="single" w:sz="12" w:space="0" w:color="auto"/>
        <w:bottom w:val="single" w:sz="12"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44432">
      <w:bodyDiv w:val="1"/>
      <w:marLeft w:val="0"/>
      <w:marRight w:val="0"/>
      <w:marTop w:val="0"/>
      <w:marBottom w:val="0"/>
      <w:divBdr>
        <w:top w:val="none" w:sz="0" w:space="0" w:color="auto"/>
        <w:left w:val="none" w:sz="0" w:space="0" w:color="auto"/>
        <w:bottom w:val="none" w:sz="0" w:space="0" w:color="auto"/>
        <w:right w:val="none" w:sz="0" w:space="0" w:color="auto"/>
      </w:divBdr>
    </w:div>
    <w:div w:id="68695203">
      <w:bodyDiv w:val="1"/>
      <w:marLeft w:val="0"/>
      <w:marRight w:val="0"/>
      <w:marTop w:val="0"/>
      <w:marBottom w:val="0"/>
      <w:divBdr>
        <w:top w:val="none" w:sz="0" w:space="0" w:color="auto"/>
        <w:left w:val="none" w:sz="0" w:space="0" w:color="auto"/>
        <w:bottom w:val="none" w:sz="0" w:space="0" w:color="auto"/>
        <w:right w:val="none" w:sz="0" w:space="0" w:color="auto"/>
      </w:divBdr>
    </w:div>
    <w:div w:id="169179779">
      <w:bodyDiv w:val="1"/>
      <w:marLeft w:val="0"/>
      <w:marRight w:val="0"/>
      <w:marTop w:val="0"/>
      <w:marBottom w:val="0"/>
      <w:divBdr>
        <w:top w:val="none" w:sz="0" w:space="0" w:color="auto"/>
        <w:left w:val="none" w:sz="0" w:space="0" w:color="auto"/>
        <w:bottom w:val="none" w:sz="0" w:space="0" w:color="auto"/>
        <w:right w:val="none" w:sz="0" w:space="0" w:color="auto"/>
      </w:divBdr>
    </w:div>
    <w:div w:id="225528155">
      <w:bodyDiv w:val="1"/>
      <w:marLeft w:val="0"/>
      <w:marRight w:val="0"/>
      <w:marTop w:val="0"/>
      <w:marBottom w:val="0"/>
      <w:divBdr>
        <w:top w:val="none" w:sz="0" w:space="0" w:color="auto"/>
        <w:left w:val="none" w:sz="0" w:space="0" w:color="auto"/>
        <w:bottom w:val="none" w:sz="0" w:space="0" w:color="auto"/>
        <w:right w:val="none" w:sz="0" w:space="0" w:color="auto"/>
      </w:divBdr>
    </w:div>
    <w:div w:id="259333855">
      <w:bodyDiv w:val="1"/>
      <w:marLeft w:val="0"/>
      <w:marRight w:val="0"/>
      <w:marTop w:val="0"/>
      <w:marBottom w:val="0"/>
      <w:divBdr>
        <w:top w:val="none" w:sz="0" w:space="0" w:color="auto"/>
        <w:left w:val="none" w:sz="0" w:space="0" w:color="auto"/>
        <w:bottom w:val="none" w:sz="0" w:space="0" w:color="auto"/>
        <w:right w:val="none" w:sz="0" w:space="0" w:color="auto"/>
      </w:divBdr>
    </w:div>
    <w:div w:id="276059485">
      <w:bodyDiv w:val="1"/>
      <w:marLeft w:val="0"/>
      <w:marRight w:val="0"/>
      <w:marTop w:val="0"/>
      <w:marBottom w:val="0"/>
      <w:divBdr>
        <w:top w:val="none" w:sz="0" w:space="0" w:color="auto"/>
        <w:left w:val="none" w:sz="0" w:space="0" w:color="auto"/>
        <w:bottom w:val="none" w:sz="0" w:space="0" w:color="auto"/>
        <w:right w:val="none" w:sz="0" w:space="0" w:color="auto"/>
      </w:divBdr>
    </w:div>
    <w:div w:id="280188622">
      <w:bodyDiv w:val="1"/>
      <w:marLeft w:val="0"/>
      <w:marRight w:val="0"/>
      <w:marTop w:val="0"/>
      <w:marBottom w:val="0"/>
      <w:divBdr>
        <w:top w:val="none" w:sz="0" w:space="0" w:color="auto"/>
        <w:left w:val="none" w:sz="0" w:space="0" w:color="auto"/>
        <w:bottom w:val="none" w:sz="0" w:space="0" w:color="auto"/>
        <w:right w:val="none" w:sz="0" w:space="0" w:color="auto"/>
      </w:divBdr>
    </w:div>
    <w:div w:id="318771370">
      <w:bodyDiv w:val="1"/>
      <w:marLeft w:val="0"/>
      <w:marRight w:val="0"/>
      <w:marTop w:val="0"/>
      <w:marBottom w:val="0"/>
      <w:divBdr>
        <w:top w:val="none" w:sz="0" w:space="0" w:color="auto"/>
        <w:left w:val="none" w:sz="0" w:space="0" w:color="auto"/>
        <w:bottom w:val="none" w:sz="0" w:space="0" w:color="auto"/>
        <w:right w:val="none" w:sz="0" w:space="0" w:color="auto"/>
      </w:divBdr>
    </w:div>
    <w:div w:id="337969266">
      <w:bodyDiv w:val="1"/>
      <w:marLeft w:val="0"/>
      <w:marRight w:val="0"/>
      <w:marTop w:val="0"/>
      <w:marBottom w:val="0"/>
      <w:divBdr>
        <w:top w:val="none" w:sz="0" w:space="0" w:color="auto"/>
        <w:left w:val="none" w:sz="0" w:space="0" w:color="auto"/>
        <w:bottom w:val="none" w:sz="0" w:space="0" w:color="auto"/>
        <w:right w:val="none" w:sz="0" w:space="0" w:color="auto"/>
      </w:divBdr>
    </w:div>
    <w:div w:id="356658089">
      <w:bodyDiv w:val="1"/>
      <w:marLeft w:val="0"/>
      <w:marRight w:val="0"/>
      <w:marTop w:val="0"/>
      <w:marBottom w:val="0"/>
      <w:divBdr>
        <w:top w:val="none" w:sz="0" w:space="0" w:color="auto"/>
        <w:left w:val="none" w:sz="0" w:space="0" w:color="auto"/>
        <w:bottom w:val="none" w:sz="0" w:space="0" w:color="auto"/>
        <w:right w:val="none" w:sz="0" w:space="0" w:color="auto"/>
      </w:divBdr>
    </w:div>
    <w:div w:id="497234599">
      <w:bodyDiv w:val="1"/>
      <w:marLeft w:val="0"/>
      <w:marRight w:val="0"/>
      <w:marTop w:val="0"/>
      <w:marBottom w:val="0"/>
      <w:divBdr>
        <w:top w:val="none" w:sz="0" w:space="0" w:color="auto"/>
        <w:left w:val="none" w:sz="0" w:space="0" w:color="auto"/>
        <w:bottom w:val="none" w:sz="0" w:space="0" w:color="auto"/>
        <w:right w:val="none" w:sz="0" w:space="0" w:color="auto"/>
      </w:divBdr>
    </w:div>
    <w:div w:id="534004926">
      <w:bodyDiv w:val="1"/>
      <w:marLeft w:val="0"/>
      <w:marRight w:val="0"/>
      <w:marTop w:val="0"/>
      <w:marBottom w:val="0"/>
      <w:divBdr>
        <w:top w:val="none" w:sz="0" w:space="0" w:color="auto"/>
        <w:left w:val="none" w:sz="0" w:space="0" w:color="auto"/>
        <w:bottom w:val="none" w:sz="0" w:space="0" w:color="auto"/>
        <w:right w:val="none" w:sz="0" w:space="0" w:color="auto"/>
      </w:divBdr>
    </w:div>
    <w:div w:id="577834322">
      <w:bodyDiv w:val="1"/>
      <w:marLeft w:val="0"/>
      <w:marRight w:val="0"/>
      <w:marTop w:val="0"/>
      <w:marBottom w:val="0"/>
      <w:divBdr>
        <w:top w:val="none" w:sz="0" w:space="0" w:color="auto"/>
        <w:left w:val="none" w:sz="0" w:space="0" w:color="auto"/>
        <w:bottom w:val="none" w:sz="0" w:space="0" w:color="auto"/>
        <w:right w:val="none" w:sz="0" w:space="0" w:color="auto"/>
      </w:divBdr>
    </w:div>
    <w:div w:id="611477233">
      <w:bodyDiv w:val="1"/>
      <w:marLeft w:val="0"/>
      <w:marRight w:val="0"/>
      <w:marTop w:val="0"/>
      <w:marBottom w:val="0"/>
      <w:divBdr>
        <w:top w:val="none" w:sz="0" w:space="0" w:color="auto"/>
        <w:left w:val="none" w:sz="0" w:space="0" w:color="auto"/>
        <w:bottom w:val="none" w:sz="0" w:space="0" w:color="auto"/>
        <w:right w:val="none" w:sz="0" w:space="0" w:color="auto"/>
      </w:divBdr>
    </w:div>
    <w:div w:id="679818412">
      <w:bodyDiv w:val="1"/>
      <w:marLeft w:val="0"/>
      <w:marRight w:val="0"/>
      <w:marTop w:val="0"/>
      <w:marBottom w:val="0"/>
      <w:divBdr>
        <w:top w:val="none" w:sz="0" w:space="0" w:color="auto"/>
        <w:left w:val="none" w:sz="0" w:space="0" w:color="auto"/>
        <w:bottom w:val="none" w:sz="0" w:space="0" w:color="auto"/>
        <w:right w:val="none" w:sz="0" w:space="0" w:color="auto"/>
      </w:divBdr>
    </w:div>
    <w:div w:id="754522565">
      <w:bodyDiv w:val="1"/>
      <w:marLeft w:val="0"/>
      <w:marRight w:val="0"/>
      <w:marTop w:val="0"/>
      <w:marBottom w:val="0"/>
      <w:divBdr>
        <w:top w:val="none" w:sz="0" w:space="0" w:color="auto"/>
        <w:left w:val="none" w:sz="0" w:space="0" w:color="auto"/>
        <w:bottom w:val="none" w:sz="0" w:space="0" w:color="auto"/>
        <w:right w:val="none" w:sz="0" w:space="0" w:color="auto"/>
      </w:divBdr>
    </w:div>
    <w:div w:id="773210707">
      <w:bodyDiv w:val="1"/>
      <w:marLeft w:val="0"/>
      <w:marRight w:val="0"/>
      <w:marTop w:val="0"/>
      <w:marBottom w:val="0"/>
      <w:divBdr>
        <w:top w:val="none" w:sz="0" w:space="0" w:color="auto"/>
        <w:left w:val="none" w:sz="0" w:space="0" w:color="auto"/>
        <w:bottom w:val="none" w:sz="0" w:space="0" w:color="auto"/>
        <w:right w:val="none" w:sz="0" w:space="0" w:color="auto"/>
      </w:divBdr>
    </w:div>
    <w:div w:id="825630958">
      <w:bodyDiv w:val="1"/>
      <w:marLeft w:val="0"/>
      <w:marRight w:val="0"/>
      <w:marTop w:val="0"/>
      <w:marBottom w:val="0"/>
      <w:divBdr>
        <w:top w:val="none" w:sz="0" w:space="0" w:color="auto"/>
        <w:left w:val="none" w:sz="0" w:space="0" w:color="auto"/>
        <w:bottom w:val="none" w:sz="0" w:space="0" w:color="auto"/>
        <w:right w:val="none" w:sz="0" w:space="0" w:color="auto"/>
      </w:divBdr>
    </w:div>
    <w:div w:id="959650193">
      <w:bodyDiv w:val="1"/>
      <w:marLeft w:val="0"/>
      <w:marRight w:val="0"/>
      <w:marTop w:val="0"/>
      <w:marBottom w:val="0"/>
      <w:divBdr>
        <w:top w:val="none" w:sz="0" w:space="0" w:color="auto"/>
        <w:left w:val="none" w:sz="0" w:space="0" w:color="auto"/>
        <w:bottom w:val="none" w:sz="0" w:space="0" w:color="auto"/>
        <w:right w:val="none" w:sz="0" w:space="0" w:color="auto"/>
      </w:divBdr>
    </w:div>
    <w:div w:id="969045338">
      <w:bodyDiv w:val="1"/>
      <w:marLeft w:val="0"/>
      <w:marRight w:val="0"/>
      <w:marTop w:val="0"/>
      <w:marBottom w:val="0"/>
      <w:divBdr>
        <w:top w:val="none" w:sz="0" w:space="0" w:color="auto"/>
        <w:left w:val="none" w:sz="0" w:space="0" w:color="auto"/>
        <w:bottom w:val="none" w:sz="0" w:space="0" w:color="auto"/>
        <w:right w:val="none" w:sz="0" w:space="0" w:color="auto"/>
      </w:divBdr>
    </w:div>
    <w:div w:id="985400328">
      <w:bodyDiv w:val="1"/>
      <w:marLeft w:val="0"/>
      <w:marRight w:val="0"/>
      <w:marTop w:val="0"/>
      <w:marBottom w:val="0"/>
      <w:divBdr>
        <w:top w:val="none" w:sz="0" w:space="0" w:color="auto"/>
        <w:left w:val="none" w:sz="0" w:space="0" w:color="auto"/>
        <w:bottom w:val="none" w:sz="0" w:space="0" w:color="auto"/>
        <w:right w:val="none" w:sz="0" w:space="0" w:color="auto"/>
      </w:divBdr>
    </w:div>
    <w:div w:id="989482747">
      <w:bodyDiv w:val="1"/>
      <w:marLeft w:val="0"/>
      <w:marRight w:val="0"/>
      <w:marTop w:val="0"/>
      <w:marBottom w:val="0"/>
      <w:divBdr>
        <w:top w:val="none" w:sz="0" w:space="0" w:color="auto"/>
        <w:left w:val="none" w:sz="0" w:space="0" w:color="auto"/>
        <w:bottom w:val="none" w:sz="0" w:space="0" w:color="auto"/>
        <w:right w:val="none" w:sz="0" w:space="0" w:color="auto"/>
      </w:divBdr>
    </w:div>
    <w:div w:id="1121726502">
      <w:bodyDiv w:val="1"/>
      <w:marLeft w:val="0"/>
      <w:marRight w:val="0"/>
      <w:marTop w:val="0"/>
      <w:marBottom w:val="0"/>
      <w:divBdr>
        <w:top w:val="none" w:sz="0" w:space="0" w:color="auto"/>
        <w:left w:val="none" w:sz="0" w:space="0" w:color="auto"/>
        <w:bottom w:val="none" w:sz="0" w:space="0" w:color="auto"/>
        <w:right w:val="none" w:sz="0" w:space="0" w:color="auto"/>
      </w:divBdr>
    </w:div>
    <w:div w:id="1142579412">
      <w:bodyDiv w:val="1"/>
      <w:marLeft w:val="0"/>
      <w:marRight w:val="0"/>
      <w:marTop w:val="0"/>
      <w:marBottom w:val="0"/>
      <w:divBdr>
        <w:top w:val="none" w:sz="0" w:space="0" w:color="auto"/>
        <w:left w:val="none" w:sz="0" w:space="0" w:color="auto"/>
        <w:bottom w:val="none" w:sz="0" w:space="0" w:color="auto"/>
        <w:right w:val="none" w:sz="0" w:space="0" w:color="auto"/>
      </w:divBdr>
    </w:div>
    <w:div w:id="1215191324">
      <w:bodyDiv w:val="1"/>
      <w:marLeft w:val="0"/>
      <w:marRight w:val="0"/>
      <w:marTop w:val="0"/>
      <w:marBottom w:val="0"/>
      <w:divBdr>
        <w:top w:val="none" w:sz="0" w:space="0" w:color="auto"/>
        <w:left w:val="none" w:sz="0" w:space="0" w:color="auto"/>
        <w:bottom w:val="none" w:sz="0" w:space="0" w:color="auto"/>
        <w:right w:val="none" w:sz="0" w:space="0" w:color="auto"/>
      </w:divBdr>
    </w:div>
    <w:div w:id="1431968682">
      <w:bodyDiv w:val="1"/>
      <w:marLeft w:val="0"/>
      <w:marRight w:val="0"/>
      <w:marTop w:val="0"/>
      <w:marBottom w:val="0"/>
      <w:divBdr>
        <w:top w:val="none" w:sz="0" w:space="0" w:color="auto"/>
        <w:left w:val="none" w:sz="0" w:space="0" w:color="auto"/>
        <w:bottom w:val="none" w:sz="0" w:space="0" w:color="auto"/>
        <w:right w:val="none" w:sz="0" w:space="0" w:color="auto"/>
      </w:divBdr>
    </w:div>
    <w:div w:id="1487936310">
      <w:bodyDiv w:val="1"/>
      <w:marLeft w:val="0"/>
      <w:marRight w:val="0"/>
      <w:marTop w:val="0"/>
      <w:marBottom w:val="0"/>
      <w:divBdr>
        <w:top w:val="none" w:sz="0" w:space="0" w:color="auto"/>
        <w:left w:val="none" w:sz="0" w:space="0" w:color="auto"/>
        <w:bottom w:val="none" w:sz="0" w:space="0" w:color="auto"/>
        <w:right w:val="none" w:sz="0" w:space="0" w:color="auto"/>
      </w:divBdr>
    </w:div>
    <w:div w:id="1596161774">
      <w:bodyDiv w:val="1"/>
      <w:marLeft w:val="0"/>
      <w:marRight w:val="0"/>
      <w:marTop w:val="0"/>
      <w:marBottom w:val="0"/>
      <w:divBdr>
        <w:top w:val="none" w:sz="0" w:space="0" w:color="auto"/>
        <w:left w:val="none" w:sz="0" w:space="0" w:color="auto"/>
        <w:bottom w:val="none" w:sz="0" w:space="0" w:color="auto"/>
        <w:right w:val="none" w:sz="0" w:space="0" w:color="auto"/>
      </w:divBdr>
    </w:div>
    <w:div w:id="1625883807">
      <w:bodyDiv w:val="1"/>
      <w:marLeft w:val="0"/>
      <w:marRight w:val="0"/>
      <w:marTop w:val="0"/>
      <w:marBottom w:val="0"/>
      <w:divBdr>
        <w:top w:val="none" w:sz="0" w:space="0" w:color="auto"/>
        <w:left w:val="none" w:sz="0" w:space="0" w:color="auto"/>
        <w:bottom w:val="none" w:sz="0" w:space="0" w:color="auto"/>
        <w:right w:val="none" w:sz="0" w:space="0" w:color="auto"/>
      </w:divBdr>
    </w:div>
    <w:div w:id="1693914782">
      <w:bodyDiv w:val="1"/>
      <w:marLeft w:val="0"/>
      <w:marRight w:val="0"/>
      <w:marTop w:val="0"/>
      <w:marBottom w:val="0"/>
      <w:divBdr>
        <w:top w:val="none" w:sz="0" w:space="0" w:color="auto"/>
        <w:left w:val="none" w:sz="0" w:space="0" w:color="auto"/>
        <w:bottom w:val="none" w:sz="0" w:space="0" w:color="auto"/>
        <w:right w:val="none" w:sz="0" w:space="0" w:color="auto"/>
      </w:divBdr>
    </w:div>
    <w:div w:id="1731533463">
      <w:bodyDiv w:val="1"/>
      <w:marLeft w:val="0"/>
      <w:marRight w:val="0"/>
      <w:marTop w:val="0"/>
      <w:marBottom w:val="0"/>
      <w:divBdr>
        <w:top w:val="none" w:sz="0" w:space="0" w:color="auto"/>
        <w:left w:val="none" w:sz="0" w:space="0" w:color="auto"/>
        <w:bottom w:val="none" w:sz="0" w:space="0" w:color="auto"/>
        <w:right w:val="none" w:sz="0" w:space="0" w:color="auto"/>
      </w:divBdr>
    </w:div>
    <w:div w:id="1732580670">
      <w:bodyDiv w:val="1"/>
      <w:marLeft w:val="0"/>
      <w:marRight w:val="0"/>
      <w:marTop w:val="0"/>
      <w:marBottom w:val="0"/>
      <w:divBdr>
        <w:top w:val="none" w:sz="0" w:space="0" w:color="auto"/>
        <w:left w:val="none" w:sz="0" w:space="0" w:color="auto"/>
        <w:bottom w:val="none" w:sz="0" w:space="0" w:color="auto"/>
        <w:right w:val="none" w:sz="0" w:space="0" w:color="auto"/>
      </w:divBdr>
    </w:div>
    <w:div w:id="1820610921">
      <w:bodyDiv w:val="1"/>
      <w:marLeft w:val="0"/>
      <w:marRight w:val="0"/>
      <w:marTop w:val="0"/>
      <w:marBottom w:val="0"/>
      <w:divBdr>
        <w:top w:val="none" w:sz="0" w:space="0" w:color="auto"/>
        <w:left w:val="none" w:sz="0" w:space="0" w:color="auto"/>
        <w:bottom w:val="none" w:sz="0" w:space="0" w:color="auto"/>
        <w:right w:val="none" w:sz="0" w:space="0" w:color="auto"/>
      </w:divBdr>
    </w:div>
    <w:div w:id="1841120431">
      <w:bodyDiv w:val="1"/>
      <w:marLeft w:val="0"/>
      <w:marRight w:val="0"/>
      <w:marTop w:val="0"/>
      <w:marBottom w:val="0"/>
      <w:divBdr>
        <w:top w:val="none" w:sz="0" w:space="0" w:color="auto"/>
        <w:left w:val="none" w:sz="0" w:space="0" w:color="auto"/>
        <w:bottom w:val="none" w:sz="0" w:space="0" w:color="auto"/>
        <w:right w:val="none" w:sz="0" w:space="0" w:color="auto"/>
      </w:divBdr>
    </w:div>
    <w:div w:id="1892037797">
      <w:bodyDiv w:val="1"/>
      <w:marLeft w:val="0"/>
      <w:marRight w:val="0"/>
      <w:marTop w:val="0"/>
      <w:marBottom w:val="0"/>
      <w:divBdr>
        <w:top w:val="none" w:sz="0" w:space="0" w:color="auto"/>
        <w:left w:val="none" w:sz="0" w:space="0" w:color="auto"/>
        <w:bottom w:val="none" w:sz="0" w:space="0" w:color="auto"/>
        <w:right w:val="none" w:sz="0" w:space="0" w:color="auto"/>
      </w:divBdr>
    </w:div>
    <w:div w:id="2003118560">
      <w:bodyDiv w:val="1"/>
      <w:marLeft w:val="0"/>
      <w:marRight w:val="0"/>
      <w:marTop w:val="0"/>
      <w:marBottom w:val="0"/>
      <w:divBdr>
        <w:top w:val="none" w:sz="0" w:space="0" w:color="auto"/>
        <w:left w:val="none" w:sz="0" w:space="0" w:color="auto"/>
        <w:bottom w:val="none" w:sz="0" w:space="0" w:color="auto"/>
        <w:right w:val="none" w:sz="0" w:space="0" w:color="auto"/>
      </w:divBdr>
    </w:div>
    <w:div w:id="2134246803">
      <w:bodyDiv w:val="1"/>
      <w:marLeft w:val="0"/>
      <w:marRight w:val="0"/>
      <w:marTop w:val="0"/>
      <w:marBottom w:val="0"/>
      <w:divBdr>
        <w:top w:val="none" w:sz="0" w:space="0" w:color="auto"/>
        <w:left w:val="none" w:sz="0" w:space="0" w:color="auto"/>
        <w:bottom w:val="none" w:sz="0" w:space="0" w:color="auto"/>
        <w:right w:val="none" w:sz="0" w:space="0" w:color="auto"/>
      </w:divBdr>
    </w:div>
    <w:div w:id="214049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image" Target="media/image2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image" Target="media/image11.jpeg"/><Relationship Id="rId33" Type="http://schemas.openxmlformats.org/officeDocument/2006/relationships/image" Target="media/image19.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6.jpeg"/><Relationship Id="rId29" Type="http://schemas.openxmlformats.org/officeDocument/2006/relationships/image" Target="media/image15.png"/><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9.jpeg"/><Relationship Id="rId28" Type="http://schemas.openxmlformats.org/officeDocument/2006/relationships/image" Target="media/image14.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jpeg"/><Relationship Id="rId35"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96C16-4C3F-4D45-9F99-821789C725A9}"/>
</file>

<file path=customXml/itemProps2.xml><?xml version="1.0" encoding="utf-8"?>
<ds:datastoreItem xmlns:ds="http://schemas.openxmlformats.org/officeDocument/2006/customXml" ds:itemID="{0781086C-B0D3-420E-A60D-4175AFBB79CE}"/>
</file>

<file path=customXml/itemProps3.xml><?xml version="1.0" encoding="utf-8"?>
<ds:datastoreItem xmlns:ds="http://schemas.openxmlformats.org/officeDocument/2006/customXml" ds:itemID="{645B1374-F3EE-4F92-BED4-C8E1C7798020}"/>
</file>

<file path=customXml/itemProps4.xml><?xml version="1.0" encoding="utf-8"?>
<ds:datastoreItem xmlns:ds="http://schemas.openxmlformats.org/officeDocument/2006/customXml" ds:itemID="{8BCEF26E-F677-42E0-8C6D-898082E17873}"/>
</file>

<file path=docProps/app.xml><?xml version="1.0" encoding="utf-8"?>
<Properties xmlns="http://schemas.openxmlformats.org/officeDocument/2006/extended-properties" xmlns:vt="http://schemas.openxmlformats.org/officeDocument/2006/docPropsVTypes">
  <Template>Normal.dotm</Template>
  <TotalTime>0</TotalTime>
  <Pages>19</Pages>
  <Words>9046</Words>
  <Characters>51564</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ASEAN and Mekong Aid Program Performance Report 2017-18</vt:lpstr>
    </vt:vector>
  </TitlesOfParts>
  <Company/>
  <LinksUpToDate>false</LinksUpToDate>
  <CharactersWithSpaces>60490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ASEAN and Mekong Aid Program Performance Report 2017-18</dc:title>
  <dc:creator/>
  <cp:lastModifiedBy/>
  <cp:revision>1</cp:revision>
  <dcterms:created xsi:type="dcterms:W3CDTF">2019-09-19T00:14:00Z</dcterms:created>
  <dcterms:modified xsi:type="dcterms:W3CDTF">2019-09-19T00:16:00Z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39c3b35f-46b3-462c-b7bd-d508a84f33ee</vt:lpwstr>
  </property>
  <property fmtid="{D5CDD505-2E9C-101B-9397-08002B2CF9AE}" pid="3" name="ContentTypeId">
    <vt:lpwstr>0x01010050F19AC2165D2E47A5E6B7F563E4CF00</vt:lpwstr>
  </property>
  <property fmtid="{D5CDD505-2E9C-101B-9397-08002B2CF9AE}" pid="4" name="Order">
    <vt:r8>1203100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SEC">
    <vt:lpwstr>UNCLASSIFIED</vt:lpwstr>
  </property>
  <property fmtid="{D5CDD505-2E9C-101B-9397-08002B2CF9AE}" pid="9" name="DLM">
    <vt:lpwstr>No DLM</vt:lpwstr>
  </property>
  <property fmtid="{D5CDD505-2E9C-101B-9397-08002B2CF9AE}" pid="10" name="_SourceUrl">
    <vt:lpwstr/>
  </property>
  <property fmtid="{D5CDD505-2E9C-101B-9397-08002B2CF9AE}" pid="11" name="_SharedFileIndex">
    <vt:lpwstr/>
  </property>
</Properties>
</file>