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AU"/>
        </w:rPr>
        <w:id w:val="-1165389972"/>
        <w:docPartObj>
          <w:docPartGallery w:val="Cover Pages"/>
          <w:docPartUnique/>
        </w:docPartObj>
      </w:sdtPr>
      <w:sdtEndPr>
        <w:rPr>
          <w:color w:val="2B579A"/>
          <w:shd w:val="clear" w:color="auto" w:fill="E6E6E6"/>
        </w:rPr>
      </w:sdtEndPr>
      <w:sdtContent>
        <w:p w14:paraId="4CF73132" w14:textId="77777777" w:rsidR="000E591B" w:rsidRDefault="000E591B" w:rsidP="00903D77">
          <w:pPr>
            <w:spacing w:after="120" w:line="276" w:lineRule="auto"/>
            <w:rPr>
              <w:lang w:val="en-AU"/>
            </w:rPr>
          </w:pPr>
        </w:p>
        <w:p w14:paraId="71F75237" w14:textId="635DDD06" w:rsidR="000E591B" w:rsidRDefault="00EA7963" w:rsidP="00CD2D68">
          <w:pPr>
            <w:spacing w:before="3480" w:after="120" w:line="276" w:lineRule="auto"/>
            <w:ind w:left="3402"/>
            <w:jc w:val="right"/>
            <w:rPr>
              <w:lang w:val="en-AU"/>
            </w:rPr>
          </w:pPr>
          <w:sdt>
            <w:sdtPr>
              <w:rPr>
                <w:rFonts w:cstheme="minorHAnsi"/>
                <w:color w:val="0A2F41" w:themeColor="accent1" w:themeShade="8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0E591B">
                <w:rPr>
                  <w:rFonts w:cstheme="minorHAnsi"/>
                  <w:color w:val="0A2F41" w:themeColor="accent1" w:themeShade="80"/>
                  <w:sz w:val="64"/>
                  <w:szCs w:val="64"/>
                </w:rPr>
                <w:t>Evaluation of the ASEAN-Australian Political Security Partnership</w:t>
              </w:r>
              <w:r w:rsidR="00436DD7">
                <w:rPr>
                  <w:rFonts w:cstheme="minorHAnsi"/>
                  <w:color w:val="0A2F41" w:themeColor="accent1" w:themeShade="80"/>
                  <w:sz w:val="64"/>
                  <w:szCs w:val="64"/>
                </w:rPr>
                <w:br/>
                <w:t>FINAL REPORT</w:t>
              </w:r>
            </w:sdtContent>
          </w:sdt>
        </w:p>
        <w:p w14:paraId="1FD44516" w14:textId="4A74A0C0" w:rsidR="007E56F8" w:rsidRPr="00436DD7" w:rsidRDefault="007E56F8" w:rsidP="00CD2D68">
          <w:pPr>
            <w:spacing w:before="2760" w:after="120" w:line="276" w:lineRule="auto"/>
            <w:jc w:val="right"/>
            <w:rPr>
              <w:sz w:val="28"/>
              <w:szCs w:val="28"/>
            </w:rPr>
          </w:pPr>
        </w:p>
        <w:p w14:paraId="013B080F" w14:textId="5F1BBFF1" w:rsidR="007E56F8" w:rsidRPr="00436DD7" w:rsidRDefault="007E56F8" w:rsidP="00436DD7">
          <w:pPr>
            <w:spacing w:before="1320" w:after="120" w:line="276" w:lineRule="auto"/>
            <w:jc w:val="right"/>
            <w:rPr>
              <w:sz w:val="28"/>
              <w:szCs w:val="28"/>
            </w:rPr>
          </w:pPr>
          <w:r w:rsidRPr="00436DD7">
            <w:rPr>
              <w:sz w:val="28"/>
              <w:szCs w:val="28"/>
            </w:rPr>
            <w:t>Evaluation Team: Abigail HANSEN and Pierre ROBERT</w:t>
          </w:r>
        </w:p>
        <w:p w14:paraId="652C135D" w14:textId="25969320" w:rsidR="000D34DE" w:rsidRPr="007C3B9D" w:rsidRDefault="000D34DE" w:rsidP="007E56F8">
          <w:pPr>
            <w:spacing w:after="120" w:line="276" w:lineRule="auto"/>
            <w:rPr>
              <w:lang w:val="en-AU"/>
            </w:rPr>
          </w:pPr>
          <w:r w:rsidRPr="007C3B9D">
            <w:rPr>
              <w:lang w:val="en-AU"/>
            </w:rPr>
            <w:br w:type="page"/>
          </w:r>
        </w:p>
      </w:sdtContent>
    </w:sdt>
    <w:sdt>
      <w:sdtPr>
        <w:rPr>
          <w:color w:val="2B579A"/>
          <w:shd w:val="clear" w:color="auto" w:fill="E6E6E6"/>
          <w:lang w:val="en-AU"/>
        </w:rPr>
        <w:id w:val="-1447607687"/>
        <w:docPartObj>
          <w:docPartGallery w:val="Table of Contents"/>
          <w:docPartUnique/>
        </w:docPartObj>
      </w:sdtPr>
      <w:sdtEndPr>
        <w:rPr>
          <w:b/>
          <w:bCs/>
        </w:rPr>
      </w:sdtEndPr>
      <w:sdtContent>
        <w:p w14:paraId="29F9C731" w14:textId="77777777" w:rsidR="00111645" w:rsidRDefault="00755C81" w:rsidP="00903D77">
          <w:pPr>
            <w:pStyle w:val="TOC1"/>
            <w:tabs>
              <w:tab w:val="right" w:leader="dot" w:pos="9330"/>
            </w:tabs>
            <w:spacing w:after="120" w:line="276" w:lineRule="auto"/>
            <w:rPr>
              <w:rFonts w:asciiTheme="majorHAnsi" w:eastAsiaTheme="majorEastAsia" w:hAnsiTheme="majorHAnsi" w:cstheme="majorBidi"/>
              <w:color w:val="156082" w:themeColor="accent1"/>
              <w:sz w:val="40"/>
              <w:szCs w:val="40"/>
              <w:lang w:val="en-AU"/>
            </w:rPr>
          </w:pPr>
          <w:r w:rsidRPr="007C3B9D">
            <w:rPr>
              <w:rFonts w:asciiTheme="majorHAnsi" w:eastAsiaTheme="majorEastAsia" w:hAnsiTheme="majorHAnsi" w:cstheme="majorBidi"/>
              <w:color w:val="156082" w:themeColor="accent1"/>
              <w:sz w:val="40"/>
              <w:szCs w:val="40"/>
              <w:lang w:val="en-AU"/>
            </w:rPr>
            <w:t xml:space="preserve">Table of </w:t>
          </w:r>
          <w:r w:rsidR="006911E8" w:rsidRPr="007C3B9D">
            <w:rPr>
              <w:rFonts w:asciiTheme="majorHAnsi" w:eastAsiaTheme="majorEastAsia" w:hAnsiTheme="majorHAnsi" w:cstheme="majorBidi"/>
              <w:color w:val="156082" w:themeColor="accent1"/>
              <w:sz w:val="40"/>
              <w:szCs w:val="40"/>
              <w:lang w:val="en-AU"/>
            </w:rPr>
            <w:t>Content</w:t>
          </w:r>
          <w:r w:rsidR="00AC7785" w:rsidRPr="007C3B9D">
            <w:rPr>
              <w:rFonts w:asciiTheme="majorHAnsi" w:eastAsiaTheme="majorEastAsia" w:hAnsiTheme="majorHAnsi" w:cstheme="majorBidi"/>
              <w:color w:val="156082" w:themeColor="accent1"/>
              <w:sz w:val="40"/>
              <w:szCs w:val="40"/>
              <w:lang w:val="en-AU"/>
            </w:rPr>
            <w:t>s</w:t>
          </w:r>
        </w:p>
        <w:p w14:paraId="460555B7" w14:textId="5B25C0C3" w:rsidR="00A52662" w:rsidRDefault="00AC7785">
          <w:pPr>
            <w:pStyle w:val="TOC1"/>
            <w:tabs>
              <w:tab w:val="right" w:leader="dot" w:pos="9016"/>
            </w:tabs>
            <w:rPr>
              <w:noProof/>
              <w:kern w:val="2"/>
              <w:sz w:val="24"/>
              <w:szCs w:val="24"/>
              <w:lang w:eastAsia="en-US"/>
              <w14:ligatures w14:val="standardContextual"/>
            </w:rPr>
          </w:pPr>
          <w:r w:rsidRPr="007C3B9D">
            <w:rPr>
              <w:b/>
              <w:color w:val="2B579A"/>
              <w:sz w:val="28"/>
              <w:szCs w:val="28"/>
              <w:shd w:val="clear" w:color="auto" w:fill="E6E6E6"/>
              <w:lang w:val="en-AU"/>
            </w:rPr>
            <w:fldChar w:fldCharType="begin"/>
          </w:r>
          <w:r w:rsidRPr="007C3B9D">
            <w:rPr>
              <w:b/>
              <w:sz w:val="28"/>
              <w:szCs w:val="28"/>
              <w:lang w:val="en-AU"/>
            </w:rPr>
            <w:instrText xml:space="preserve"> TOC \o "1-3" \h \z \u </w:instrText>
          </w:r>
          <w:r w:rsidRPr="007C3B9D">
            <w:rPr>
              <w:b/>
              <w:color w:val="2B579A"/>
              <w:sz w:val="28"/>
              <w:szCs w:val="28"/>
              <w:shd w:val="clear" w:color="auto" w:fill="E6E6E6"/>
              <w:lang w:val="en-AU"/>
            </w:rPr>
            <w:fldChar w:fldCharType="separate"/>
          </w:r>
          <w:hyperlink w:anchor="_Toc206492250" w:history="1">
            <w:r w:rsidR="00A52662" w:rsidRPr="00B701FC">
              <w:rPr>
                <w:rStyle w:val="Hyperlink"/>
                <w:noProof/>
                <w:lang w:val="en-AU"/>
              </w:rPr>
              <w:t>List of Acronyms</w:t>
            </w:r>
            <w:r w:rsidR="00A52662">
              <w:rPr>
                <w:noProof/>
                <w:webHidden/>
              </w:rPr>
              <w:tab/>
            </w:r>
            <w:r w:rsidR="00A52662">
              <w:rPr>
                <w:noProof/>
                <w:webHidden/>
              </w:rPr>
              <w:fldChar w:fldCharType="begin"/>
            </w:r>
            <w:r w:rsidR="00A52662">
              <w:rPr>
                <w:noProof/>
                <w:webHidden/>
              </w:rPr>
              <w:instrText xml:space="preserve"> PAGEREF _Toc206492250 \h </w:instrText>
            </w:r>
            <w:r w:rsidR="00A52662">
              <w:rPr>
                <w:noProof/>
                <w:webHidden/>
              </w:rPr>
            </w:r>
            <w:r w:rsidR="00A52662">
              <w:rPr>
                <w:noProof/>
                <w:webHidden/>
              </w:rPr>
              <w:fldChar w:fldCharType="separate"/>
            </w:r>
            <w:r w:rsidR="00EA7963">
              <w:rPr>
                <w:noProof/>
                <w:webHidden/>
              </w:rPr>
              <w:t>4</w:t>
            </w:r>
            <w:r w:rsidR="00A52662">
              <w:rPr>
                <w:noProof/>
                <w:webHidden/>
              </w:rPr>
              <w:fldChar w:fldCharType="end"/>
            </w:r>
          </w:hyperlink>
        </w:p>
        <w:p w14:paraId="55B61B2E" w14:textId="2E579CAC" w:rsidR="00A52662" w:rsidRDefault="00A52662">
          <w:pPr>
            <w:pStyle w:val="TOC1"/>
            <w:tabs>
              <w:tab w:val="right" w:leader="dot" w:pos="9016"/>
            </w:tabs>
            <w:rPr>
              <w:noProof/>
              <w:kern w:val="2"/>
              <w:sz w:val="24"/>
              <w:szCs w:val="24"/>
              <w:lang w:eastAsia="en-US"/>
              <w14:ligatures w14:val="standardContextual"/>
            </w:rPr>
          </w:pPr>
          <w:hyperlink w:anchor="_Toc206492251" w:history="1">
            <w:r w:rsidRPr="00B701FC">
              <w:rPr>
                <w:rStyle w:val="Hyperlink"/>
                <w:noProof/>
                <w:lang w:val="en-AU"/>
              </w:rPr>
              <w:t>Executive Summary</w:t>
            </w:r>
            <w:r>
              <w:rPr>
                <w:noProof/>
                <w:webHidden/>
              </w:rPr>
              <w:tab/>
            </w:r>
            <w:r>
              <w:rPr>
                <w:noProof/>
                <w:webHidden/>
              </w:rPr>
              <w:fldChar w:fldCharType="begin"/>
            </w:r>
            <w:r>
              <w:rPr>
                <w:noProof/>
                <w:webHidden/>
              </w:rPr>
              <w:instrText xml:space="preserve"> PAGEREF _Toc206492251 \h </w:instrText>
            </w:r>
            <w:r>
              <w:rPr>
                <w:noProof/>
                <w:webHidden/>
              </w:rPr>
            </w:r>
            <w:r>
              <w:rPr>
                <w:noProof/>
                <w:webHidden/>
              </w:rPr>
              <w:fldChar w:fldCharType="separate"/>
            </w:r>
            <w:r w:rsidR="00EA7963">
              <w:rPr>
                <w:noProof/>
                <w:webHidden/>
              </w:rPr>
              <w:t>5</w:t>
            </w:r>
            <w:r>
              <w:rPr>
                <w:noProof/>
                <w:webHidden/>
              </w:rPr>
              <w:fldChar w:fldCharType="end"/>
            </w:r>
          </w:hyperlink>
        </w:p>
        <w:p w14:paraId="463D9B69" w14:textId="628DA5AE" w:rsidR="00A52662" w:rsidRDefault="00A52662">
          <w:pPr>
            <w:pStyle w:val="TOC2"/>
            <w:tabs>
              <w:tab w:val="right" w:leader="dot" w:pos="9016"/>
            </w:tabs>
            <w:rPr>
              <w:noProof/>
              <w:kern w:val="2"/>
              <w:sz w:val="24"/>
              <w:szCs w:val="24"/>
              <w:lang w:eastAsia="en-US"/>
              <w14:ligatures w14:val="standardContextual"/>
            </w:rPr>
          </w:pPr>
          <w:hyperlink w:anchor="_Toc206492252" w:history="1">
            <w:r w:rsidRPr="00B701FC">
              <w:rPr>
                <w:rStyle w:val="Hyperlink"/>
                <w:noProof/>
                <w:lang w:val="en-AU"/>
              </w:rPr>
              <w:t>Findings</w:t>
            </w:r>
            <w:r>
              <w:rPr>
                <w:noProof/>
                <w:webHidden/>
              </w:rPr>
              <w:tab/>
            </w:r>
            <w:r>
              <w:rPr>
                <w:noProof/>
                <w:webHidden/>
              </w:rPr>
              <w:fldChar w:fldCharType="begin"/>
            </w:r>
            <w:r>
              <w:rPr>
                <w:noProof/>
                <w:webHidden/>
              </w:rPr>
              <w:instrText xml:space="preserve"> PAGEREF _Toc206492252 \h </w:instrText>
            </w:r>
            <w:r>
              <w:rPr>
                <w:noProof/>
                <w:webHidden/>
              </w:rPr>
            </w:r>
            <w:r>
              <w:rPr>
                <w:noProof/>
                <w:webHidden/>
              </w:rPr>
              <w:fldChar w:fldCharType="separate"/>
            </w:r>
            <w:r w:rsidR="00EA7963">
              <w:rPr>
                <w:noProof/>
                <w:webHidden/>
              </w:rPr>
              <w:t>5</w:t>
            </w:r>
            <w:r>
              <w:rPr>
                <w:noProof/>
                <w:webHidden/>
              </w:rPr>
              <w:fldChar w:fldCharType="end"/>
            </w:r>
          </w:hyperlink>
        </w:p>
        <w:p w14:paraId="447FF3F8" w14:textId="20492565" w:rsidR="00A52662" w:rsidRDefault="00A52662">
          <w:pPr>
            <w:pStyle w:val="TOC2"/>
            <w:tabs>
              <w:tab w:val="right" w:leader="dot" w:pos="9016"/>
            </w:tabs>
            <w:rPr>
              <w:noProof/>
              <w:kern w:val="2"/>
              <w:sz w:val="24"/>
              <w:szCs w:val="24"/>
              <w:lang w:eastAsia="en-US"/>
              <w14:ligatures w14:val="standardContextual"/>
            </w:rPr>
          </w:pPr>
          <w:hyperlink w:anchor="_Toc206492253" w:history="1">
            <w:r w:rsidRPr="00B701FC">
              <w:rPr>
                <w:rStyle w:val="Hyperlink"/>
                <w:noProof/>
                <w:lang w:val="en-AU"/>
              </w:rPr>
              <w:t>Conclusions</w:t>
            </w:r>
            <w:r>
              <w:rPr>
                <w:noProof/>
                <w:webHidden/>
              </w:rPr>
              <w:tab/>
            </w:r>
            <w:r>
              <w:rPr>
                <w:noProof/>
                <w:webHidden/>
              </w:rPr>
              <w:fldChar w:fldCharType="begin"/>
            </w:r>
            <w:r>
              <w:rPr>
                <w:noProof/>
                <w:webHidden/>
              </w:rPr>
              <w:instrText xml:space="preserve"> PAGEREF _Toc206492253 \h </w:instrText>
            </w:r>
            <w:r>
              <w:rPr>
                <w:noProof/>
                <w:webHidden/>
              </w:rPr>
            </w:r>
            <w:r>
              <w:rPr>
                <w:noProof/>
                <w:webHidden/>
              </w:rPr>
              <w:fldChar w:fldCharType="separate"/>
            </w:r>
            <w:r w:rsidR="00EA7963">
              <w:rPr>
                <w:noProof/>
                <w:webHidden/>
              </w:rPr>
              <w:t>7</w:t>
            </w:r>
            <w:r>
              <w:rPr>
                <w:noProof/>
                <w:webHidden/>
              </w:rPr>
              <w:fldChar w:fldCharType="end"/>
            </w:r>
          </w:hyperlink>
        </w:p>
        <w:p w14:paraId="7BBF4F5A" w14:textId="741BD4AC" w:rsidR="00A52662" w:rsidRDefault="00A52662">
          <w:pPr>
            <w:pStyle w:val="TOC2"/>
            <w:tabs>
              <w:tab w:val="right" w:leader="dot" w:pos="9016"/>
            </w:tabs>
            <w:rPr>
              <w:noProof/>
              <w:kern w:val="2"/>
              <w:sz w:val="24"/>
              <w:szCs w:val="24"/>
              <w:lang w:eastAsia="en-US"/>
              <w14:ligatures w14:val="standardContextual"/>
            </w:rPr>
          </w:pPr>
          <w:hyperlink w:anchor="_Toc206492254" w:history="1">
            <w:r w:rsidRPr="00B701FC">
              <w:rPr>
                <w:rStyle w:val="Hyperlink"/>
                <w:noProof/>
                <w:lang w:val="en-AU"/>
              </w:rPr>
              <w:t>Recommendations</w:t>
            </w:r>
            <w:r>
              <w:rPr>
                <w:noProof/>
                <w:webHidden/>
              </w:rPr>
              <w:tab/>
            </w:r>
            <w:r>
              <w:rPr>
                <w:noProof/>
                <w:webHidden/>
              </w:rPr>
              <w:fldChar w:fldCharType="begin"/>
            </w:r>
            <w:r>
              <w:rPr>
                <w:noProof/>
                <w:webHidden/>
              </w:rPr>
              <w:instrText xml:space="preserve"> PAGEREF _Toc206492254 \h </w:instrText>
            </w:r>
            <w:r>
              <w:rPr>
                <w:noProof/>
                <w:webHidden/>
              </w:rPr>
            </w:r>
            <w:r>
              <w:rPr>
                <w:noProof/>
                <w:webHidden/>
              </w:rPr>
              <w:fldChar w:fldCharType="separate"/>
            </w:r>
            <w:r w:rsidR="00EA7963">
              <w:rPr>
                <w:noProof/>
                <w:webHidden/>
              </w:rPr>
              <w:t>7</w:t>
            </w:r>
            <w:r>
              <w:rPr>
                <w:noProof/>
                <w:webHidden/>
              </w:rPr>
              <w:fldChar w:fldCharType="end"/>
            </w:r>
          </w:hyperlink>
        </w:p>
        <w:p w14:paraId="75541CDD" w14:textId="7FCCB199" w:rsidR="00A52662" w:rsidRDefault="00A52662">
          <w:pPr>
            <w:pStyle w:val="TOC1"/>
            <w:tabs>
              <w:tab w:val="right" w:leader="dot" w:pos="9016"/>
            </w:tabs>
            <w:rPr>
              <w:noProof/>
              <w:kern w:val="2"/>
              <w:sz w:val="24"/>
              <w:szCs w:val="24"/>
              <w:lang w:eastAsia="en-US"/>
              <w14:ligatures w14:val="standardContextual"/>
            </w:rPr>
          </w:pPr>
          <w:hyperlink w:anchor="_Toc206492255" w:history="1">
            <w:r w:rsidRPr="00B701FC">
              <w:rPr>
                <w:rStyle w:val="Hyperlink"/>
                <w:noProof/>
                <w:lang w:val="en-AU"/>
              </w:rPr>
              <w:t>Introduction</w:t>
            </w:r>
            <w:r>
              <w:rPr>
                <w:noProof/>
                <w:webHidden/>
              </w:rPr>
              <w:tab/>
            </w:r>
            <w:r>
              <w:rPr>
                <w:noProof/>
                <w:webHidden/>
              </w:rPr>
              <w:fldChar w:fldCharType="begin"/>
            </w:r>
            <w:r>
              <w:rPr>
                <w:noProof/>
                <w:webHidden/>
              </w:rPr>
              <w:instrText xml:space="preserve"> PAGEREF _Toc206492255 \h </w:instrText>
            </w:r>
            <w:r>
              <w:rPr>
                <w:noProof/>
                <w:webHidden/>
              </w:rPr>
            </w:r>
            <w:r>
              <w:rPr>
                <w:noProof/>
                <w:webHidden/>
              </w:rPr>
              <w:fldChar w:fldCharType="separate"/>
            </w:r>
            <w:r w:rsidR="00EA7963">
              <w:rPr>
                <w:noProof/>
                <w:webHidden/>
              </w:rPr>
              <w:t>11</w:t>
            </w:r>
            <w:r>
              <w:rPr>
                <w:noProof/>
                <w:webHidden/>
              </w:rPr>
              <w:fldChar w:fldCharType="end"/>
            </w:r>
          </w:hyperlink>
        </w:p>
        <w:p w14:paraId="36E43D27" w14:textId="22A27F30" w:rsidR="00A52662" w:rsidRDefault="00A52662">
          <w:pPr>
            <w:pStyle w:val="TOC2"/>
            <w:tabs>
              <w:tab w:val="right" w:leader="dot" w:pos="9016"/>
            </w:tabs>
            <w:rPr>
              <w:noProof/>
              <w:kern w:val="2"/>
              <w:sz w:val="24"/>
              <w:szCs w:val="24"/>
              <w:lang w:eastAsia="en-US"/>
              <w14:ligatures w14:val="standardContextual"/>
            </w:rPr>
          </w:pPr>
          <w:hyperlink w:anchor="_Toc206492256" w:history="1">
            <w:r w:rsidRPr="00B701FC">
              <w:rPr>
                <w:rStyle w:val="Hyperlink"/>
                <w:noProof/>
                <w:lang w:val="en-AU"/>
              </w:rPr>
              <w:t>Purpose, Objectives and Scope of the Evaluation</w:t>
            </w:r>
            <w:r>
              <w:rPr>
                <w:noProof/>
                <w:webHidden/>
              </w:rPr>
              <w:tab/>
            </w:r>
            <w:r>
              <w:rPr>
                <w:noProof/>
                <w:webHidden/>
              </w:rPr>
              <w:fldChar w:fldCharType="begin"/>
            </w:r>
            <w:r>
              <w:rPr>
                <w:noProof/>
                <w:webHidden/>
              </w:rPr>
              <w:instrText xml:space="preserve"> PAGEREF _Toc206492256 \h </w:instrText>
            </w:r>
            <w:r>
              <w:rPr>
                <w:noProof/>
                <w:webHidden/>
              </w:rPr>
            </w:r>
            <w:r>
              <w:rPr>
                <w:noProof/>
                <w:webHidden/>
              </w:rPr>
              <w:fldChar w:fldCharType="separate"/>
            </w:r>
            <w:r w:rsidR="00EA7963">
              <w:rPr>
                <w:noProof/>
                <w:webHidden/>
              </w:rPr>
              <w:t>11</w:t>
            </w:r>
            <w:r>
              <w:rPr>
                <w:noProof/>
                <w:webHidden/>
              </w:rPr>
              <w:fldChar w:fldCharType="end"/>
            </w:r>
          </w:hyperlink>
        </w:p>
        <w:p w14:paraId="6D0AC62D" w14:textId="612D2E6A" w:rsidR="00A52662" w:rsidRDefault="00A52662">
          <w:pPr>
            <w:pStyle w:val="TOC2"/>
            <w:tabs>
              <w:tab w:val="right" w:leader="dot" w:pos="9016"/>
            </w:tabs>
            <w:rPr>
              <w:noProof/>
              <w:kern w:val="2"/>
              <w:sz w:val="24"/>
              <w:szCs w:val="24"/>
              <w:lang w:eastAsia="en-US"/>
              <w14:ligatures w14:val="standardContextual"/>
            </w:rPr>
          </w:pPr>
          <w:hyperlink w:anchor="_Toc206492257" w:history="1">
            <w:r w:rsidRPr="00B701FC">
              <w:rPr>
                <w:rStyle w:val="Hyperlink"/>
                <w:noProof/>
                <w:lang w:val="en-AU"/>
              </w:rPr>
              <w:t>About APSP</w:t>
            </w:r>
            <w:r>
              <w:rPr>
                <w:noProof/>
                <w:webHidden/>
              </w:rPr>
              <w:tab/>
            </w:r>
            <w:r>
              <w:rPr>
                <w:noProof/>
                <w:webHidden/>
              </w:rPr>
              <w:fldChar w:fldCharType="begin"/>
            </w:r>
            <w:r>
              <w:rPr>
                <w:noProof/>
                <w:webHidden/>
              </w:rPr>
              <w:instrText xml:space="preserve"> PAGEREF _Toc206492257 \h </w:instrText>
            </w:r>
            <w:r>
              <w:rPr>
                <w:noProof/>
                <w:webHidden/>
              </w:rPr>
            </w:r>
            <w:r>
              <w:rPr>
                <w:noProof/>
                <w:webHidden/>
              </w:rPr>
              <w:fldChar w:fldCharType="separate"/>
            </w:r>
            <w:r w:rsidR="00EA7963">
              <w:rPr>
                <w:noProof/>
                <w:webHidden/>
              </w:rPr>
              <w:t>12</w:t>
            </w:r>
            <w:r>
              <w:rPr>
                <w:noProof/>
                <w:webHidden/>
              </w:rPr>
              <w:fldChar w:fldCharType="end"/>
            </w:r>
          </w:hyperlink>
        </w:p>
        <w:p w14:paraId="5161915A" w14:textId="211E0100" w:rsidR="00A52662" w:rsidRDefault="00A52662">
          <w:pPr>
            <w:pStyle w:val="TOC2"/>
            <w:tabs>
              <w:tab w:val="right" w:leader="dot" w:pos="9016"/>
            </w:tabs>
            <w:rPr>
              <w:noProof/>
              <w:kern w:val="2"/>
              <w:sz w:val="24"/>
              <w:szCs w:val="24"/>
              <w:lang w:eastAsia="en-US"/>
              <w14:ligatures w14:val="standardContextual"/>
            </w:rPr>
          </w:pPr>
          <w:hyperlink w:anchor="_Toc206492258" w:history="1">
            <w:r w:rsidRPr="00B701FC">
              <w:rPr>
                <w:rStyle w:val="Hyperlink"/>
                <w:noProof/>
                <w:lang w:val="en-AU"/>
              </w:rPr>
              <w:t>Evaluation Approach and Methodology</w:t>
            </w:r>
            <w:r>
              <w:rPr>
                <w:noProof/>
                <w:webHidden/>
              </w:rPr>
              <w:tab/>
            </w:r>
            <w:r>
              <w:rPr>
                <w:noProof/>
                <w:webHidden/>
              </w:rPr>
              <w:fldChar w:fldCharType="begin"/>
            </w:r>
            <w:r>
              <w:rPr>
                <w:noProof/>
                <w:webHidden/>
              </w:rPr>
              <w:instrText xml:space="preserve"> PAGEREF _Toc206492258 \h </w:instrText>
            </w:r>
            <w:r>
              <w:rPr>
                <w:noProof/>
                <w:webHidden/>
              </w:rPr>
            </w:r>
            <w:r>
              <w:rPr>
                <w:noProof/>
                <w:webHidden/>
              </w:rPr>
              <w:fldChar w:fldCharType="separate"/>
            </w:r>
            <w:r w:rsidR="00EA7963">
              <w:rPr>
                <w:noProof/>
                <w:webHidden/>
              </w:rPr>
              <w:t>13</w:t>
            </w:r>
            <w:r>
              <w:rPr>
                <w:noProof/>
                <w:webHidden/>
              </w:rPr>
              <w:fldChar w:fldCharType="end"/>
            </w:r>
          </w:hyperlink>
        </w:p>
        <w:p w14:paraId="2711FDD7" w14:textId="454F26F1" w:rsidR="00A52662" w:rsidRDefault="00A52662">
          <w:pPr>
            <w:pStyle w:val="TOC2"/>
            <w:tabs>
              <w:tab w:val="right" w:leader="dot" w:pos="9016"/>
            </w:tabs>
            <w:rPr>
              <w:noProof/>
              <w:kern w:val="2"/>
              <w:sz w:val="24"/>
              <w:szCs w:val="24"/>
              <w:lang w:eastAsia="en-US"/>
              <w14:ligatures w14:val="standardContextual"/>
            </w:rPr>
          </w:pPr>
          <w:hyperlink w:anchor="_Toc206492259" w:history="1">
            <w:r w:rsidRPr="00B701FC">
              <w:rPr>
                <w:rStyle w:val="Hyperlink"/>
                <w:noProof/>
                <w:lang w:val="en-AU"/>
              </w:rPr>
              <w:t>Evaluation Phases</w:t>
            </w:r>
            <w:r>
              <w:rPr>
                <w:noProof/>
                <w:webHidden/>
              </w:rPr>
              <w:tab/>
            </w:r>
            <w:r>
              <w:rPr>
                <w:noProof/>
                <w:webHidden/>
              </w:rPr>
              <w:fldChar w:fldCharType="begin"/>
            </w:r>
            <w:r>
              <w:rPr>
                <w:noProof/>
                <w:webHidden/>
              </w:rPr>
              <w:instrText xml:space="preserve"> PAGEREF _Toc206492259 \h </w:instrText>
            </w:r>
            <w:r>
              <w:rPr>
                <w:noProof/>
                <w:webHidden/>
              </w:rPr>
            </w:r>
            <w:r>
              <w:rPr>
                <w:noProof/>
                <w:webHidden/>
              </w:rPr>
              <w:fldChar w:fldCharType="separate"/>
            </w:r>
            <w:r w:rsidR="00EA7963">
              <w:rPr>
                <w:noProof/>
                <w:webHidden/>
              </w:rPr>
              <w:t>14</w:t>
            </w:r>
            <w:r>
              <w:rPr>
                <w:noProof/>
                <w:webHidden/>
              </w:rPr>
              <w:fldChar w:fldCharType="end"/>
            </w:r>
          </w:hyperlink>
        </w:p>
        <w:p w14:paraId="7843FA44" w14:textId="7C729FF4" w:rsidR="00A52662" w:rsidRDefault="00A52662">
          <w:pPr>
            <w:pStyle w:val="TOC2"/>
            <w:tabs>
              <w:tab w:val="right" w:leader="dot" w:pos="9016"/>
            </w:tabs>
            <w:rPr>
              <w:noProof/>
              <w:kern w:val="2"/>
              <w:sz w:val="24"/>
              <w:szCs w:val="24"/>
              <w:lang w:eastAsia="en-US"/>
              <w14:ligatures w14:val="standardContextual"/>
            </w:rPr>
          </w:pPr>
          <w:hyperlink w:anchor="_Toc206492260" w:history="1">
            <w:r w:rsidRPr="00B701FC">
              <w:rPr>
                <w:rStyle w:val="Hyperlink"/>
                <w:noProof/>
                <w:lang w:val="en-AU"/>
              </w:rPr>
              <w:t>Evaluation Questions</w:t>
            </w:r>
            <w:r>
              <w:rPr>
                <w:noProof/>
                <w:webHidden/>
              </w:rPr>
              <w:tab/>
            </w:r>
            <w:r>
              <w:rPr>
                <w:noProof/>
                <w:webHidden/>
              </w:rPr>
              <w:fldChar w:fldCharType="begin"/>
            </w:r>
            <w:r>
              <w:rPr>
                <w:noProof/>
                <w:webHidden/>
              </w:rPr>
              <w:instrText xml:space="preserve"> PAGEREF _Toc206492260 \h </w:instrText>
            </w:r>
            <w:r>
              <w:rPr>
                <w:noProof/>
                <w:webHidden/>
              </w:rPr>
            </w:r>
            <w:r>
              <w:rPr>
                <w:noProof/>
                <w:webHidden/>
              </w:rPr>
              <w:fldChar w:fldCharType="separate"/>
            </w:r>
            <w:r w:rsidR="00EA7963">
              <w:rPr>
                <w:noProof/>
                <w:webHidden/>
              </w:rPr>
              <w:t>15</w:t>
            </w:r>
            <w:r>
              <w:rPr>
                <w:noProof/>
                <w:webHidden/>
              </w:rPr>
              <w:fldChar w:fldCharType="end"/>
            </w:r>
          </w:hyperlink>
        </w:p>
        <w:p w14:paraId="62E508BF" w14:textId="5C21F838" w:rsidR="00A52662" w:rsidRDefault="00A52662">
          <w:pPr>
            <w:pStyle w:val="TOC2"/>
            <w:tabs>
              <w:tab w:val="right" w:leader="dot" w:pos="9016"/>
            </w:tabs>
            <w:rPr>
              <w:noProof/>
              <w:kern w:val="2"/>
              <w:sz w:val="24"/>
              <w:szCs w:val="24"/>
              <w:lang w:eastAsia="en-US"/>
              <w14:ligatures w14:val="standardContextual"/>
            </w:rPr>
          </w:pPr>
          <w:hyperlink w:anchor="_Toc206492261" w:history="1">
            <w:r w:rsidRPr="00B701FC">
              <w:rPr>
                <w:rStyle w:val="Hyperlink"/>
                <w:noProof/>
                <w:lang w:val="en-AU"/>
              </w:rPr>
              <w:t>Data Collection, Verification and Analysis</w:t>
            </w:r>
            <w:r>
              <w:rPr>
                <w:noProof/>
                <w:webHidden/>
              </w:rPr>
              <w:tab/>
            </w:r>
            <w:r>
              <w:rPr>
                <w:noProof/>
                <w:webHidden/>
              </w:rPr>
              <w:fldChar w:fldCharType="begin"/>
            </w:r>
            <w:r>
              <w:rPr>
                <w:noProof/>
                <w:webHidden/>
              </w:rPr>
              <w:instrText xml:space="preserve"> PAGEREF _Toc206492261 \h </w:instrText>
            </w:r>
            <w:r>
              <w:rPr>
                <w:noProof/>
                <w:webHidden/>
              </w:rPr>
            </w:r>
            <w:r>
              <w:rPr>
                <w:noProof/>
                <w:webHidden/>
              </w:rPr>
              <w:fldChar w:fldCharType="separate"/>
            </w:r>
            <w:r w:rsidR="00EA7963">
              <w:rPr>
                <w:noProof/>
                <w:webHidden/>
              </w:rPr>
              <w:t>15</w:t>
            </w:r>
            <w:r>
              <w:rPr>
                <w:noProof/>
                <w:webHidden/>
              </w:rPr>
              <w:fldChar w:fldCharType="end"/>
            </w:r>
          </w:hyperlink>
        </w:p>
        <w:p w14:paraId="078D85F2" w14:textId="544F0981" w:rsidR="00A52662" w:rsidRDefault="00A52662">
          <w:pPr>
            <w:pStyle w:val="TOC2"/>
            <w:tabs>
              <w:tab w:val="right" w:leader="dot" w:pos="9016"/>
            </w:tabs>
            <w:rPr>
              <w:noProof/>
              <w:kern w:val="2"/>
              <w:sz w:val="24"/>
              <w:szCs w:val="24"/>
              <w:lang w:eastAsia="en-US"/>
              <w14:ligatures w14:val="standardContextual"/>
            </w:rPr>
          </w:pPr>
          <w:hyperlink w:anchor="_Toc206492262" w:history="1">
            <w:r w:rsidRPr="00B701FC">
              <w:rPr>
                <w:rStyle w:val="Hyperlink"/>
                <w:noProof/>
                <w:lang w:val="en-AU"/>
              </w:rPr>
              <w:t>Evaluation constraints</w:t>
            </w:r>
            <w:r>
              <w:rPr>
                <w:noProof/>
                <w:webHidden/>
              </w:rPr>
              <w:tab/>
            </w:r>
            <w:r>
              <w:rPr>
                <w:noProof/>
                <w:webHidden/>
              </w:rPr>
              <w:fldChar w:fldCharType="begin"/>
            </w:r>
            <w:r>
              <w:rPr>
                <w:noProof/>
                <w:webHidden/>
              </w:rPr>
              <w:instrText xml:space="preserve"> PAGEREF _Toc206492262 \h </w:instrText>
            </w:r>
            <w:r>
              <w:rPr>
                <w:noProof/>
                <w:webHidden/>
              </w:rPr>
            </w:r>
            <w:r>
              <w:rPr>
                <w:noProof/>
                <w:webHidden/>
              </w:rPr>
              <w:fldChar w:fldCharType="separate"/>
            </w:r>
            <w:r w:rsidR="00EA7963">
              <w:rPr>
                <w:noProof/>
                <w:webHidden/>
              </w:rPr>
              <w:t>18</w:t>
            </w:r>
            <w:r>
              <w:rPr>
                <w:noProof/>
                <w:webHidden/>
              </w:rPr>
              <w:fldChar w:fldCharType="end"/>
            </w:r>
          </w:hyperlink>
        </w:p>
        <w:p w14:paraId="5B58405F" w14:textId="5B436825" w:rsidR="00A52662" w:rsidRDefault="00A52662">
          <w:pPr>
            <w:pStyle w:val="TOC1"/>
            <w:tabs>
              <w:tab w:val="right" w:leader="dot" w:pos="9016"/>
            </w:tabs>
            <w:rPr>
              <w:noProof/>
              <w:kern w:val="2"/>
              <w:sz w:val="24"/>
              <w:szCs w:val="24"/>
              <w:lang w:eastAsia="en-US"/>
              <w14:ligatures w14:val="standardContextual"/>
            </w:rPr>
          </w:pPr>
          <w:hyperlink w:anchor="_Toc206492263" w:history="1">
            <w:r w:rsidRPr="00B701FC">
              <w:rPr>
                <w:rStyle w:val="Hyperlink"/>
                <w:noProof/>
                <w:lang w:val="en-AU"/>
              </w:rPr>
              <w:t>Findings</w:t>
            </w:r>
            <w:r>
              <w:rPr>
                <w:noProof/>
                <w:webHidden/>
              </w:rPr>
              <w:tab/>
            </w:r>
            <w:r>
              <w:rPr>
                <w:noProof/>
                <w:webHidden/>
              </w:rPr>
              <w:fldChar w:fldCharType="begin"/>
            </w:r>
            <w:r>
              <w:rPr>
                <w:noProof/>
                <w:webHidden/>
              </w:rPr>
              <w:instrText xml:space="preserve"> PAGEREF _Toc206492263 \h </w:instrText>
            </w:r>
            <w:r>
              <w:rPr>
                <w:noProof/>
                <w:webHidden/>
              </w:rPr>
            </w:r>
            <w:r>
              <w:rPr>
                <w:noProof/>
                <w:webHidden/>
              </w:rPr>
              <w:fldChar w:fldCharType="separate"/>
            </w:r>
            <w:r w:rsidR="00EA7963">
              <w:rPr>
                <w:noProof/>
                <w:webHidden/>
              </w:rPr>
              <w:t>19</w:t>
            </w:r>
            <w:r>
              <w:rPr>
                <w:noProof/>
                <w:webHidden/>
              </w:rPr>
              <w:fldChar w:fldCharType="end"/>
            </w:r>
          </w:hyperlink>
        </w:p>
        <w:p w14:paraId="63AA63D6" w14:textId="12FBE93B" w:rsidR="00A52662" w:rsidRDefault="00A52662">
          <w:pPr>
            <w:pStyle w:val="TOC2"/>
            <w:tabs>
              <w:tab w:val="right" w:leader="dot" w:pos="9016"/>
            </w:tabs>
            <w:rPr>
              <w:noProof/>
              <w:kern w:val="2"/>
              <w:sz w:val="24"/>
              <w:szCs w:val="24"/>
              <w:lang w:eastAsia="en-US"/>
              <w14:ligatures w14:val="standardContextual"/>
            </w:rPr>
          </w:pPr>
          <w:hyperlink w:anchor="_Toc206492264" w:history="1">
            <w:r w:rsidRPr="00B701FC">
              <w:rPr>
                <w:rStyle w:val="Hyperlink"/>
                <w:noProof/>
                <w:lang w:val="en-AU"/>
              </w:rPr>
              <w:t>Relevance</w:t>
            </w:r>
            <w:r>
              <w:rPr>
                <w:noProof/>
                <w:webHidden/>
              </w:rPr>
              <w:tab/>
            </w:r>
            <w:r>
              <w:rPr>
                <w:noProof/>
                <w:webHidden/>
              </w:rPr>
              <w:fldChar w:fldCharType="begin"/>
            </w:r>
            <w:r>
              <w:rPr>
                <w:noProof/>
                <w:webHidden/>
              </w:rPr>
              <w:instrText xml:space="preserve"> PAGEREF _Toc206492264 \h </w:instrText>
            </w:r>
            <w:r>
              <w:rPr>
                <w:noProof/>
                <w:webHidden/>
              </w:rPr>
            </w:r>
            <w:r>
              <w:rPr>
                <w:noProof/>
                <w:webHidden/>
              </w:rPr>
              <w:fldChar w:fldCharType="separate"/>
            </w:r>
            <w:r w:rsidR="00EA7963">
              <w:rPr>
                <w:noProof/>
                <w:webHidden/>
              </w:rPr>
              <w:t>19</w:t>
            </w:r>
            <w:r>
              <w:rPr>
                <w:noProof/>
                <w:webHidden/>
              </w:rPr>
              <w:fldChar w:fldCharType="end"/>
            </w:r>
          </w:hyperlink>
        </w:p>
        <w:p w14:paraId="1AC4F517" w14:textId="585D3E8B" w:rsidR="00A52662" w:rsidRDefault="00A52662">
          <w:pPr>
            <w:pStyle w:val="TOC2"/>
            <w:tabs>
              <w:tab w:val="right" w:leader="dot" w:pos="9016"/>
            </w:tabs>
            <w:rPr>
              <w:noProof/>
              <w:kern w:val="2"/>
              <w:sz w:val="24"/>
              <w:szCs w:val="24"/>
              <w:lang w:eastAsia="en-US"/>
              <w14:ligatures w14:val="standardContextual"/>
            </w:rPr>
          </w:pPr>
          <w:hyperlink w:anchor="_Toc206492265" w:history="1">
            <w:r w:rsidRPr="00B701FC">
              <w:rPr>
                <w:rStyle w:val="Hyperlink"/>
                <w:noProof/>
                <w:lang w:val="en-AU"/>
              </w:rPr>
              <w:t>Efficiency</w:t>
            </w:r>
            <w:r>
              <w:rPr>
                <w:noProof/>
                <w:webHidden/>
              </w:rPr>
              <w:tab/>
            </w:r>
            <w:r>
              <w:rPr>
                <w:noProof/>
                <w:webHidden/>
              </w:rPr>
              <w:fldChar w:fldCharType="begin"/>
            </w:r>
            <w:r>
              <w:rPr>
                <w:noProof/>
                <w:webHidden/>
              </w:rPr>
              <w:instrText xml:space="preserve"> PAGEREF _Toc206492265 \h </w:instrText>
            </w:r>
            <w:r>
              <w:rPr>
                <w:noProof/>
                <w:webHidden/>
              </w:rPr>
            </w:r>
            <w:r>
              <w:rPr>
                <w:noProof/>
                <w:webHidden/>
              </w:rPr>
              <w:fldChar w:fldCharType="separate"/>
            </w:r>
            <w:r w:rsidR="00EA7963">
              <w:rPr>
                <w:noProof/>
                <w:webHidden/>
              </w:rPr>
              <w:t>33</w:t>
            </w:r>
            <w:r>
              <w:rPr>
                <w:noProof/>
                <w:webHidden/>
              </w:rPr>
              <w:fldChar w:fldCharType="end"/>
            </w:r>
          </w:hyperlink>
        </w:p>
        <w:p w14:paraId="10FB3FDC" w14:textId="3B329024" w:rsidR="00A52662" w:rsidRDefault="00A52662">
          <w:pPr>
            <w:pStyle w:val="TOC2"/>
            <w:tabs>
              <w:tab w:val="right" w:leader="dot" w:pos="9016"/>
            </w:tabs>
            <w:rPr>
              <w:noProof/>
              <w:kern w:val="2"/>
              <w:sz w:val="24"/>
              <w:szCs w:val="24"/>
              <w:lang w:eastAsia="en-US"/>
              <w14:ligatures w14:val="standardContextual"/>
            </w:rPr>
          </w:pPr>
          <w:hyperlink w:anchor="_Toc206492266" w:history="1">
            <w:r w:rsidRPr="00B701FC">
              <w:rPr>
                <w:rStyle w:val="Hyperlink"/>
                <w:noProof/>
                <w:lang w:val="en-AU"/>
              </w:rPr>
              <w:t>Effectiveness</w:t>
            </w:r>
            <w:r>
              <w:rPr>
                <w:noProof/>
                <w:webHidden/>
              </w:rPr>
              <w:tab/>
            </w:r>
            <w:r>
              <w:rPr>
                <w:noProof/>
                <w:webHidden/>
              </w:rPr>
              <w:fldChar w:fldCharType="begin"/>
            </w:r>
            <w:r>
              <w:rPr>
                <w:noProof/>
                <w:webHidden/>
              </w:rPr>
              <w:instrText xml:space="preserve"> PAGEREF _Toc206492266 \h </w:instrText>
            </w:r>
            <w:r>
              <w:rPr>
                <w:noProof/>
                <w:webHidden/>
              </w:rPr>
            </w:r>
            <w:r>
              <w:rPr>
                <w:noProof/>
                <w:webHidden/>
              </w:rPr>
              <w:fldChar w:fldCharType="separate"/>
            </w:r>
            <w:r w:rsidR="00EA7963">
              <w:rPr>
                <w:noProof/>
                <w:webHidden/>
              </w:rPr>
              <w:t>37</w:t>
            </w:r>
            <w:r>
              <w:rPr>
                <w:noProof/>
                <w:webHidden/>
              </w:rPr>
              <w:fldChar w:fldCharType="end"/>
            </w:r>
          </w:hyperlink>
        </w:p>
        <w:p w14:paraId="11CD9FDC" w14:textId="7AB6CC4A" w:rsidR="00A52662" w:rsidRDefault="00A52662">
          <w:pPr>
            <w:pStyle w:val="TOC2"/>
            <w:tabs>
              <w:tab w:val="right" w:leader="dot" w:pos="9016"/>
            </w:tabs>
            <w:rPr>
              <w:noProof/>
              <w:kern w:val="2"/>
              <w:sz w:val="24"/>
              <w:szCs w:val="24"/>
              <w:lang w:eastAsia="en-US"/>
              <w14:ligatures w14:val="standardContextual"/>
            </w:rPr>
          </w:pPr>
          <w:hyperlink w:anchor="_Toc206492267" w:history="1">
            <w:r w:rsidRPr="00B701FC">
              <w:rPr>
                <w:rStyle w:val="Hyperlink"/>
                <w:noProof/>
                <w:lang w:val="en-AU"/>
              </w:rPr>
              <w:t>Sustainability</w:t>
            </w:r>
            <w:r>
              <w:rPr>
                <w:noProof/>
                <w:webHidden/>
              </w:rPr>
              <w:tab/>
            </w:r>
            <w:r>
              <w:rPr>
                <w:noProof/>
                <w:webHidden/>
              </w:rPr>
              <w:fldChar w:fldCharType="begin"/>
            </w:r>
            <w:r>
              <w:rPr>
                <w:noProof/>
                <w:webHidden/>
              </w:rPr>
              <w:instrText xml:space="preserve"> PAGEREF _Toc206492267 \h </w:instrText>
            </w:r>
            <w:r>
              <w:rPr>
                <w:noProof/>
                <w:webHidden/>
              </w:rPr>
            </w:r>
            <w:r>
              <w:rPr>
                <w:noProof/>
                <w:webHidden/>
              </w:rPr>
              <w:fldChar w:fldCharType="separate"/>
            </w:r>
            <w:r w:rsidR="00EA7963">
              <w:rPr>
                <w:noProof/>
                <w:webHidden/>
              </w:rPr>
              <w:t>50</w:t>
            </w:r>
            <w:r>
              <w:rPr>
                <w:noProof/>
                <w:webHidden/>
              </w:rPr>
              <w:fldChar w:fldCharType="end"/>
            </w:r>
          </w:hyperlink>
        </w:p>
        <w:p w14:paraId="187A7299" w14:textId="67529DC4" w:rsidR="00A52662" w:rsidRDefault="00A52662">
          <w:pPr>
            <w:pStyle w:val="TOC2"/>
            <w:tabs>
              <w:tab w:val="right" w:leader="dot" w:pos="9016"/>
            </w:tabs>
            <w:rPr>
              <w:noProof/>
              <w:kern w:val="2"/>
              <w:sz w:val="24"/>
              <w:szCs w:val="24"/>
              <w:lang w:eastAsia="en-US"/>
              <w14:ligatures w14:val="standardContextual"/>
            </w:rPr>
          </w:pPr>
          <w:hyperlink w:anchor="_Toc206492268" w:history="1">
            <w:r w:rsidRPr="00B701FC">
              <w:rPr>
                <w:rStyle w:val="Hyperlink"/>
                <w:noProof/>
                <w:lang w:val="en-AU"/>
              </w:rPr>
              <w:t>Impact</w:t>
            </w:r>
            <w:r>
              <w:rPr>
                <w:noProof/>
                <w:webHidden/>
              </w:rPr>
              <w:tab/>
            </w:r>
            <w:r>
              <w:rPr>
                <w:noProof/>
                <w:webHidden/>
              </w:rPr>
              <w:fldChar w:fldCharType="begin"/>
            </w:r>
            <w:r>
              <w:rPr>
                <w:noProof/>
                <w:webHidden/>
              </w:rPr>
              <w:instrText xml:space="preserve"> PAGEREF _Toc206492268 \h </w:instrText>
            </w:r>
            <w:r>
              <w:rPr>
                <w:noProof/>
                <w:webHidden/>
              </w:rPr>
            </w:r>
            <w:r>
              <w:rPr>
                <w:noProof/>
                <w:webHidden/>
              </w:rPr>
              <w:fldChar w:fldCharType="separate"/>
            </w:r>
            <w:r w:rsidR="00EA7963">
              <w:rPr>
                <w:noProof/>
                <w:webHidden/>
              </w:rPr>
              <w:t>52</w:t>
            </w:r>
            <w:r>
              <w:rPr>
                <w:noProof/>
                <w:webHidden/>
              </w:rPr>
              <w:fldChar w:fldCharType="end"/>
            </w:r>
          </w:hyperlink>
        </w:p>
        <w:p w14:paraId="2C8B097C" w14:textId="228D2D49" w:rsidR="00A52662" w:rsidRDefault="00A52662">
          <w:pPr>
            <w:pStyle w:val="TOC2"/>
            <w:tabs>
              <w:tab w:val="right" w:leader="dot" w:pos="9016"/>
            </w:tabs>
            <w:rPr>
              <w:noProof/>
              <w:kern w:val="2"/>
              <w:sz w:val="24"/>
              <w:szCs w:val="24"/>
              <w:lang w:eastAsia="en-US"/>
              <w14:ligatures w14:val="standardContextual"/>
            </w:rPr>
          </w:pPr>
          <w:hyperlink w:anchor="_Toc206492269" w:history="1">
            <w:r w:rsidRPr="00B701FC">
              <w:rPr>
                <w:rStyle w:val="Hyperlink"/>
                <w:noProof/>
                <w:lang w:val="en-AU"/>
              </w:rPr>
              <w:t>GEDSI</w:t>
            </w:r>
            <w:r>
              <w:rPr>
                <w:noProof/>
                <w:webHidden/>
              </w:rPr>
              <w:tab/>
            </w:r>
            <w:r>
              <w:rPr>
                <w:noProof/>
                <w:webHidden/>
              </w:rPr>
              <w:fldChar w:fldCharType="begin"/>
            </w:r>
            <w:r>
              <w:rPr>
                <w:noProof/>
                <w:webHidden/>
              </w:rPr>
              <w:instrText xml:space="preserve"> PAGEREF _Toc206492269 \h </w:instrText>
            </w:r>
            <w:r>
              <w:rPr>
                <w:noProof/>
                <w:webHidden/>
              </w:rPr>
            </w:r>
            <w:r>
              <w:rPr>
                <w:noProof/>
                <w:webHidden/>
              </w:rPr>
              <w:fldChar w:fldCharType="separate"/>
            </w:r>
            <w:r w:rsidR="00EA7963">
              <w:rPr>
                <w:noProof/>
                <w:webHidden/>
              </w:rPr>
              <w:t>54</w:t>
            </w:r>
            <w:r>
              <w:rPr>
                <w:noProof/>
                <w:webHidden/>
              </w:rPr>
              <w:fldChar w:fldCharType="end"/>
            </w:r>
          </w:hyperlink>
        </w:p>
        <w:p w14:paraId="6CF7B2D6" w14:textId="639C987D" w:rsidR="00A52662" w:rsidRDefault="00A52662">
          <w:pPr>
            <w:pStyle w:val="TOC2"/>
            <w:tabs>
              <w:tab w:val="right" w:leader="dot" w:pos="9016"/>
            </w:tabs>
            <w:rPr>
              <w:noProof/>
              <w:kern w:val="2"/>
              <w:sz w:val="24"/>
              <w:szCs w:val="24"/>
              <w:lang w:eastAsia="en-US"/>
              <w14:ligatures w14:val="standardContextual"/>
            </w:rPr>
          </w:pPr>
          <w:hyperlink w:anchor="_Toc206492270" w:history="1">
            <w:r w:rsidRPr="00B701FC">
              <w:rPr>
                <w:rStyle w:val="Hyperlink"/>
                <w:noProof/>
                <w:lang w:val="en-AU"/>
              </w:rPr>
              <w:t>Future Programming</w:t>
            </w:r>
            <w:r>
              <w:rPr>
                <w:noProof/>
                <w:webHidden/>
              </w:rPr>
              <w:tab/>
            </w:r>
            <w:r>
              <w:rPr>
                <w:noProof/>
                <w:webHidden/>
              </w:rPr>
              <w:fldChar w:fldCharType="begin"/>
            </w:r>
            <w:r>
              <w:rPr>
                <w:noProof/>
                <w:webHidden/>
              </w:rPr>
              <w:instrText xml:space="preserve"> PAGEREF _Toc206492270 \h </w:instrText>
            </w:r>
            <w:r>
              <w:rPr>
                <w:noProof/>
                <w:webHidden/>
              </w:rPr>
            </w:r>
            <w:r>
              <w:rPr>
                <w:noProof/>
                <w:webHidden/>
              </w:rPr>
              <w:fldChar w:fldCharType="separate"/>
            </w:r>
            <w:r w:rsidR="00EA7963">
              <w:rPr>
                <w:noProof/>
                <w:webHidden/>
              </w:rPr>
              <w:t>57</w:t>
            </w:r>
            <w:r>
              <w:rPr>
                <w:noProof/>
                <w:webHidden/>
              </w:rPr>
              <w:fldChar w:fldCharType="end"/>
            </w:r>
          </w:hyperlink>
        </w:p>
        <w:p w14:paraId="75949EF2" w14:textId="426A8BA3" w:rsidR="00A52662" w:rsidRDefault="00A52662">
          <w:pPr>
            <w:pStyle w:val="TOC1"/>
            <w:tabs>
              <w:tab w:val="right" w:leader="dot" w:pos="9016"/>
            </w:tabs>
            <w:rPr>
              <w:noProof/>
              <w:kern w:val="2"/>
              <w:sz w:val="24"/>
              <w:szCs w:val="24"/>
              <w:lang w:eastAsia="en-US"/>
              <w14:ligatures w14:val="standardContextual"/>
            </w:rPr>
          </w:pPr>
          <w:hyperlink w:anchor="_Toc206492271" w:history="1">
            <w:r w:rsidRPr="00B701FC">
              <w:rPr>
                <w:rStyle w:val="Hyperlink"/>
                <w:noProof/>
                <w:lang w:val="en-AU"/>
              </w:rPr>
              <w:t>Conclusions</w:t>
            </w:r>
            <w:r>
              <w:rPr>
                <w:noProof/>
                <w:webHidden/>
              </w:rPr>
              <w:tab/>
            </w:r>
            <w:r>
              <w:rPr>
                <w:noProof/>
                <w:webHidden/>
              </w:rPr>
              <w:fldChar w:fldCharType="begin"/>
            </w:r>
            <w:r>
              <w:rPr>
                <w:noProof/>
                <w:webHidden/>
              </w:rPr>
              <w:instrText xml:space="preserve"> PAGEREF _Toc206492271 \h </w:instrText>
            </w:r>
            <w:r>
              <w:rPr>
                <w:noProof/>
                <w:webHidden/>
              </w:rPr>
            </w:r>
            <w:r>
              <w:rPr>
                <w:noProof/>
                <w:webHidden/>
              </w:rPr>
              <w:fldChar w:fldCharType="separate"/>
            </w:r>
            <w:r w:rsidR="00EA7963">
              <w:rPr>
                <w:noProof/>
                <w:webHidden/>
              </w:rPr>
              <w:t>62</w:t>
            </w:r>
            <w:r>
              <w:rPr>
                <w:noProof/>
                <w:webHidden/>
              </w:rPr>
              <w:fldChar w:fldCharType="end"/>
            </w:r>
          </w:hyperlink>
        </w:p>
        <w:p w14:paraId="61A296A2" w14:textId="407BB26D" w:rsidR="00A52662" w:rsidRDefault="00A52662">
          <w:pPr>
            <w:pStyle w:val="TOC1"/>
            <w:tabs>
              <w:tab w:val="right" w:leader="dot" w:pos="9016"/>
            </w:tabs>
            <w:rPr>
              <w:noProof/>
              <w:kern w:val="2"/>
              <w:sz w:val="24"/>
              <w:szCs w:val="24"/>
              <w:lang w:eastAsia="en-US"/>
              <w14:ligatures w14:val="standardContextual"/>
            </w:rPr>
          </w:pPr>
          <w:hyperlink w:anchor="_Toc206492272" w:history="1">
            <w:r w:rsidRPr="00B701FC">
              <w:rPr>
                <w:rStyle w:val="Hyperlink"/>
                <w:noProof/>
                <w:lang w:val="en-AU"/>
              </w:rPr>
              <w:t>Recommendations</w:t>
            </w:r>
            <w:r>
              <w:rPr>
                <w:noProof/>
                <w:webHidden/>
              </w:rPr>
              <w:tab/>
            </w:r>
            <w:r>
              <w:rPr>
                <w:noProof/>
                <w:webHidden/>
              </w:rPr>
              <w:fldChar w:fldCharType="begin"/>
            </w:r>
            <w:r>
              <w:rPr>
                <w:noProof/>
                <w:webHidden/>
              </w:rPr>
              <w:instrText xml:space="preserve"> PAGEREF _Toc206492272 \h </w:instrText>
            </w:r>
            <w:r>
              <w:rPr>
                <w:noProof/>
                <w:webHidden/>
              </w:rPr>
            </w:r>
            <w:r>
              <w:rPr>
                <w:noProof/>
                <w:webHidden/>
              </w:rPr>
              <w:fldChar w:fldCharType="separate"/>
            </w:r>
            <w:r w:rsidR="00EA7963">
              <w:rPr>
                <w:noProof/>
                <w:webHidden/>
              </w:rPr>
              <w:t>65</w:t>
            </w:r>
            <w:r>
              <w:rPr>
                <w:noProof/>
                <w:webHidden/>
              </w:rPr>
              <w:fldChar w:fldCharType="end"/>
            </w:r>
          </w:hyperlink>
        </w:p>
        <w:p w14:paraId="3579B445" w14:textId="7B74D72C" w:rsidR="00A52662" w:rsidRDefault="00A52662">
          <w:pPr>
            <w:pStyle w:val="TOC1"/>
            <w:tabs>
              <w:tab w:val="right" w:leader="dot" w:pos="9016"/>
            </w:tabs>
            <w:rPr>
              <w:noProof/>
              <w:kern w:val="2"/>
              <w:sz w:val="24"/>
              <w:szCs w:val="24"/>
              <w:lang w:eastAsia="en-US"/>
              <w14:ligatures w14:val="standardContextual"/>
            </w:rPr>
          </w:pPr>
          <w:hyperlink w:anchor="_Toc206492273" w:history="1">
            <w:r w:rsidRPr="00B701FC">
              <w:rPr>
                <w:rStyle w:val="Hyperlink"/>
                <w:noProof/>
                <w:lang w:val="en-AU"/>
              </w:rPr>
              <w:t>Annex 1: Terms of Reference</w:t>
            </w:r>
            <w:r>
              <w:rPr>
                <w:noProof/>
                <w:webHidden/>
              </w:rPr>
              <w:tab/>
            </w:r>
            <w:r>
              <w:rPr>
                <w:noProof/>
                <w:webHidden/>
              </w:rPr>
              <w:fldChar w:fldCharType="begin"/>
            </w:r>
            <w:r>
              <w:rPr>
                <w:noProof/>
                <w:webHidden/>
              </w:rPr>
              <w:instrText xml:space="preserve"> PAGEREF _Toc206492273 \h </w:instrText>
            </w:r>
            <w:r>
              <w:rPr>
                <w:noProof/>
                <w:webHidden/>
              </w:rPr>
            </w:r>
            <w:r>
              <w:rPr>
                <w:noProof/>
                <w:webHidden/>
              </w:rPr>
              <w:fldChar w:fldCharType="separate"/>
            </w:r>
            <w:r w:rsidR="00EA7963">
              <w:rPr>
                <w:noProof/>
                <w:webHidden/>
              </w:rPr>
              <w:t>70</w:t>
            </w:r>
            <w:r>
              <w:rPr>
                <w:noProof/>
                <w:webHidden/>
              </w:rPr>
              <w:fldChar w:fldCharType="end"/>
            </w:r>
          </w:hyperlink>
        </w:p>
        <w:p w14:paraId="190598BB" w14:textId="05CC8EDF" w:rsidR="00A52662" w:rsidRDefault="00A52662">
          <w:pPr>
            <w:pStyle w:val="TOC1"/>
            <w:tabs>
              <w:tab w:val="right" w:leader="dot" w:pos="9016"/>
            </w:tabs>
            <w:rPr>
              <w:noProof/>
              <w:kern w:val="2"/>
              <w:sz w:val="24"/>
              <w:szCs w:val="24"/>
              <w:lang w:eastAsia="en-US"/>
              <w14:ligatures w14:val="standardContextual"/>
            </w:rPr>
          </w:pPr>
          <w:hyperlink w:anchor="_Toc206492274" w:history="1">
            <w:r w:rsidRPr="00B701FC">
              <w:rPr>
                <w:rStyle w:val="Hyperlink"/>
                <w:noProof/>
                <w:lang w:val="en-AU"/>
              </w:rPr>
              <w:t>Annex 2: Evaluation Matrix</w:t>
            </w:r>
            <w:r>
              <w:rPr>
                <w:noProof/>
                <w:webHidden/>
              </w:rPr>
              <w:tab/>
            </w:r>
            <w:r>
              <w:rPr>
                <w:noProof/>
                <w:webHidden/>
              </w:rPr>
              <w:fldChar w:fldCharType="begin"/>
            </w:r>
            <w:r>
              <w:rPr>
                <w:noProof/>
                <w:webHidden/>
              </w:rPr>
              <w:instrText xml:space="preserve"> PAGEREF _Toc206492274 \h </w:instrText>
            </w:r>
            <w:r>
              <w:rPr>
                <w:noProof/>
                <w:webHidden/>
              </w:rPr>
            </w:r>
            <w:r>
              <w:rPr>
                <w:noProof/>
                <w:webHidden/>
              </w:rPr>
              <w:fldChar w:fldCharType="separate"/>
            </w:r>
            <w:r w:rsidR="00EA7963">
              <w:rPr>
                <w:noProof/>
                <w:webHidden/>
              </w:rPr>
              <w:t>77</w:t>
            </w:r>
            <w:r>
              <w:rPr>
                <w:noProof/>
                <w:webHidden/>
              </w:rPr>
              <w:fldChar w:fldCharType="end"/>
            </w:r>
          </w:hyperlink>
        </w:p>
        <w:p w14:paraId="06C0F35C" w14:textId="10E077DA" w:rsidR="00A52662" w:rsidRDefault="00A52662">
          <w:pPr>
            <w:pStyle w:val="TOC1"/>
            <w:tabs>
              <w:tab w:val="right" w:leader="dot" w:pos="9016"/>
            </w:tabs>
            <w:rPr>
              <w:noProof/>
              <w:kern w:val="2"/>
              <w:sz w:val="24"/>
              <w:szCs w:val="24"/>
              <w:lang w:eastAsia="en-US"/>
              <w14:ligatures w14:val="standardContextual"/>
            </w:rPr>
          </w:pPr>
          <w:hyperlink w:anchor="_Toc206492275" w:history="1">
            <w:r w:rsidRPr="00B701FC">
              <w:rPr>
                <w:rStyle w:val="Hyperlink"/>
                <w:noProof/>
                <w:lang w:val="en-AU"/>
              </w:rPr>
              <w:t>Annex 3: List of Interviewees</w:t>
            </w:r>
            <w:r>
              <w:rPr>
                <w:noProof/>
                <w:webHidden/>
              </w:rPr>
              <w:tab/>
            </w:r>
            <w:r>
              <w:rPr>
                <w:noProof/>
                <w:webHidden/>
              </w:rPr>
              <w:fldChar w:fldCharType="begin"/>
            </w:r>
            <w:r>
              <w:rPr>
                <w:noProof/>
                <w:webHidden/>
              </w:rPr>
              <w:instrText xml:space="preserve"> PAGEREF _Toc206492275 \h </w:instrText>
            </w:r>
            <w:r>
              <w:rPr>
                <w:noProof/>
                <w:webHidden/>
              </w:rPr>
            </w:r>
            <w:r>
              <w:rPr>
                <w:noProof/>
                <w:webHidden/>
              </w:rPr>
              <w:fldChar w:fldCharType="separate"/>
            </w:r>
            <w:r w:rsidR="00EA7963">
              <w:rPr>
                <w:noProof/>
                <w:webHidden/>
              </w:rPr>
              <w:t>85</w:t>
            </w:r>
            <w:r>
              <w:rPr>
                <w:noProof/>
                <w:webHidden/>
              </w:rPr>
              <w:fldChar w:fldCharType="end"/>
            </w:r>
          </w:hyperlink>
        </w:p>
        <w:p w14:paraId="3344D774" w14:textId="4916DA5B" w:rsidR="00A52662" w:rsidRDefault="00A52662">
          <w:pPr>
            <w:pStyle w:val="TOC1"/>
            <w:tabs>
              <w:tab w:val="right" w:leader="dot" w:pos="9016"/>
            </w:tabs>
            <w:rPr>
              <w:noProof/>
              <w:kern w:val="2"/>
              <w:sz w:val="24"/>
              <w:szCs w:val="24"/>
              <w:lang w:eastAsia="en-US"/>
              <w14:ligatures w14:val="standardContextual"/>
            </w:rPr>
          </w:pPr>
          <w:hyperlink w:anchor="_Toc206492276" w:history="1">
            <w:r w:rsidRPr="00B701FC">
              <w:rPr>
                <w:rStyle w:val="Hyperlink"/>
                <w:noProof/>
                <w:lang w:val="en-AU"/>
              </w:rPr>
              <w:t>Annex 4: Documents Reviewed</w:t>
            </w:r>
            <w:r>
              <w:rPr>
                <w:noProof/>
                <w:webHidden/>
              </w:rPr>
              <w:tab/>
            </w:r>
            <w:r>
              <w:rPr>
                <w:noProof/>
                <w:webHidden/>
              </w:rPr>
              <w:fldChar w:fldCharType="begin"/>
            </w:r>
            <w:r>
              <w:rPr>
                <w:noProof/>
                <w:webHidden/>
              </w:rPr>
              <w:instrText xml:space="preserve"> PAGEREF _Toc206492276 \h </w:instrText>
            </w:r>
            <w:r>
              <w:rPr>
                <w:noProof/>
                <w:webHidden/>
              </w:rPr>
            </w:r>
            <w:r>
              <w:rPr>
                <w:noProof/>
                <w:webHidden/>
              </w:rPr>
              <w:fldChar w:fldCharType="separate"/>
            </w:r>
            <w:r w:rsidR="00EA7963">
              <w:rPr>
                <w:noProof/>
                <w:webHidden/>
              </w:rPr>
              <w:t>89</w:t>
            </w:r>
            <w:r>
              <w:rPr>
                <w:noProof/>
                <w:webHidden/>
              </w:rPr>
              <w:fldChar w:fldCharType="end"/>
            </w:r>
          </w:hyperlink>
        </w:p>
        <w:p w14:paraId="730A5E78" w14:textId="28CBD20F" w:rsidR="00A52662" w:rsidRDefault="00A52662">
          <w:pPr>
            <w:pStyle w:val="TOC1"/>
            <w:tabs>
              <w:tab w:val="right" w:leader="dot" w:pos="9016"/>
            </w:tabs>
            <w:rPr>
              <w:noProof/>
              <w:kern w:val="2"/>
              <w:sz w:val="24"/>
              <w:szCs w:val="24"/>
              <w:lang w:eastAsia="en-US"/>
              <w14:ligatures w14:val="standardContextual"/>
            </w:rPr>
          </w:pPr>
          <w:hyperlink w:anchor="_Toc206492277" w:history="1">
            <w:r w:rsidRPr="00B701FC">
              <w:rPr>
                <w:rStyle w:val="Hyperlink"/>
                <w:noProof/>
                <w:lang w:val="en-AU"/>
              </w:rPr>
              <w:t>Annex 5: Case Study – Women, Peace and Security</w:t>
            </w:r>
            <w:r>
              <w:rPr>
                <w:noProof/>
                <w:webHidden/>
              </w:rPr>
              <w:tab/>
            </w:r>
            <w:r>
              <w:rPr>
                <w:noProof/>
                <w:webHidden/>
              </w:rPr>
              <w:fldChar w:fldCharType="begin"/>
            </w:r>
            <w:r>
              <w:rPr>
                <w:noProof/>
                <w:webHidden/>
              </w:rPr>
              <w:instrText xml:space="preserve"> PAGEREF _Toc206492277 \h </w:instrText>
            </w:r>
            <w:r>
              <w:rPr>
                <w:noProof/>
                <w:webHidden/>
              </w:rPr>
            </w:r>
            <w:r>
              <w:rPr>
                <w:noProof/>
                <w:webHidden/>
              </w:rPr>
              <w:fldChar w:fldCharType="separate"/>
            </w:r>
            <w:r w:rsidR="00EA7963">
              <w:rPr>
                <w:noProof/>
                <w:webHidden/>
              </w:rPr>
              <w:t>90</w:t>
            </w:r>
            <w:r>
              <w:rPr>
                <w:noProof/>
                <w:webHidden/>
              </w:rPr>
              <w:fldChar w:fldCharType="end"/>
            </w:r>
          </w:hyperlink>
        </w:p>
        <w:p w14:paraId="6FD71FEC" w14:textId="5E935ABC" w:rsidR="00A52662" w:rsidRDefault="00A52662">
          <w:pPr>
            <w:pStyle w:val="TOC2"/>
            <w:tabs>
              <w:tab w:val="right" w:leader="dot" w:pos="9016"/>
            </w:tabs>
            <w:rPr>
              <w:noProof/>
              <w:kern w:val="2"/>
              <w:sz w:val="24"/>
              <w:szCs w:val="24"/>
              <w:lang w:eastAsia="en-US"/>
              <w14:ligatures w14:val="standardContextual"/>
            </w:rPr>
          </w:pPr>
          <w:hyperlink w:anchor="_Toc206492278" w:history="1">
            <w:r w:rsidRPr="00B701FC">
              <w:rPr>
                <w:rStyle w:val="Hyperlink"/>
                <w:noProof/>
                <w:lang w:val="en-AU"/>
              </w:rPr>
              <w:t>Introduction</w:t>
            </w:r>
            <w:r>
              <w:rPr>
                <w:noProof/>
                <w:webHidden/>
              </w:rPr>
              <w:tab/>
            </w:r>
            <w:r>
              <w:rPr>
                <w:noProof/>
                <w:webHidden/>
              </w:rPr>
              <w:fldChar w:fldCharType="begin"/>
            </w:r>
            <w:r>
              <w:rPr>
                <w:noProof/>
                <w:webHidden/>
              </w:rPr>
              <w:instrText xml:space="preserve"> PAGEREF _Toc206492278 \h </w:instrText>
            </w:r>
            <w:r>
              <w:rPr>
                <w:noProof/>
                <w:webHidden/>
              </w:rPr>
            </w:r>
            <w:r>
              <w:rPr>
                <w:noProof/>
                <w:webHidden/>
              </w:rPr>
              <w:fldChar w:fldCharType="separate"/>
            </w:r>
            <w:r w:rsidR="00EA7963">
              <w:rPr>
                <w:noProof/>
                <w:webHidden/>
              </w:rPr>
              <w:t>90</w:t>
            </w:r>
            <w:r>
              <w:rPr>
                <w:noProof/>
                <w:webHidden/>
              </w:rPr>
              <w:fldChar w:fldCharType="end"/>
            </w:r>
          </w:hyperlink>
        </w:p>
        <w:p w14:paraId="2AF0842A" w14:textId="4D189A84" w:rsidR="00A52662" w:rsidRDefault="00A52662">
          <w:pPr>
            <w:pStyle w:val="TOC2"/>
            <w:tabs>
              <w:tab w:val="left" w:pos="720"/>
              <w:tab w:val="right" w:leader="dot" w:pos="9016"/>
            </w:tabs>
            <w:rPr>
              <w:noProof/>
              <w:kern w:val="2"/>
              <w:sz w:val="24"/>
              <w:szCs w:val="24"/>
              <w:lang w:eastAsia="en-US"/>
              <w14:ligatures w14:val="standardContextual"/>
            </w:rPr>
          </w:pPr>
          <w:hyperlink w:anchor="_Toc206492279" w:history="1">
            <w:r w:rsidRPr="00B701FC">
              <w:rPr>
                <w:rStyle w:val="Hyperlink"/>
                <w:noProof/>
                <w:lang w:val="en-AU"/>
              </w:rPr>
              <w:t>1.</w:t>
            </w:r>
            <w:r>
              <w:rPr>
                <w:noProof/>
                <w:kern w:val="2"/>
                <w:sz w:val="24"/>
                <w:szCs w:val="24"/>
                <w:lang w:eastAsia="en-US"/>
                <w14:ligatures w14:val="standardContextual"/>
              </w:rPr>
              <w:tab/>
            </w:r>
            <w:r w:rsidRPr="00B701FC">
              <w:rPr>
                <w:rStyle w:val="Hyperlink"/>
                <w:noProof/>
                <w:lang w:val="en-AU"/>
              </w:rPr>
              <w:t>Why WPS? Pros and cons of inclusion in APSP</w:t>
            </w:r>
            <w:r>
              <w:rPr>
                <w:noProof/>
                <w:webHidden/>
              </w:rPr>
              <w:tab/>
            </w:r>
            <w:r>
              <w:rPr>
                <w:noProof/>
                <w:webHidden/>
              </w:rPr>
              <w:fldChar w:fldCharType="begin"/>
            </w:r>
            <w:r>
              <w:rPr>
                <w:noProof/>
                <w:webHidden/>
              </w:rPr>
              <w:instrText xml:space="preserve"> PAGEREF _Toc206492279 \h </w:instrText>
            </w:r>
            <w:r>
              <w:rPr>
                <w:noProof/>
                <w:webHidden/>
              </w:rPr>
            </w:r>
            <w:r>
              <w:rPr>
                <w:noProof/>
                <w:webHidden/>
              </w:rPr>
              <w:fldChar w:fldCharType="separate"/>
            </w:r>
            <w:r w:rsidR="00EA7963">
              <w:rPr>
                <w:noProof/>
                <w:webHidden/>
              </w:rPr>
              <w:t>90</w:t>
            </w:r>
            <w:r>
              <w:rPr>
                <w:noProof/>
                <w:webHidden/>
              </w:rPr>
              <w:fldChar w:fldCharType="end"/>
            </w:r>
          </w:hyperlink>
        </w:p>
        <w:p w14:paraId="680B1A98" w14:textId="5C4417BE" w:rsidR="00A52662" w:rsidRDefault="00A52662">
          <w:pPr>
            <w:pStyle w:val="TOC2"/>
            <w:tabs>
              <w:tab w:val="left" w:pos="720"/>
              <w:tab w:val="right" w:leader="dot" w:pos="9016"/>
            </w:tabs>
            <w:rPr>
              <w:noProof/>
              <w:kern w:val="2"/>
              <w:sz w:val="24"/>
              <w:szCs w:val="24"/>
              <w:lang w:eastAsia="en-US"/>
              <w14:ligatures w14:val="standardContextual"/>
            </w:rPr>
          </w:pPr>
          <w:hyperlink w:anchor="_Toc206492280" w:history="1">
            <w:r w:rsidRPr="00B701FC">
              <w:rPr>
                <w:rStyle w:val="Hyperlink"/>
                <w:noProof/>
                <w:lang w:val="en-AU"/>
              </w:rPr>
              <w:t>2.</w:t>
            </w:r>
            <w:r>
              <w:rPr>
                <w:noProof/>
                <w:kern w:val="2"/>
                <w:sz w:val="24"/>
                <w:szCs w:val="24"/>
                <w:lang w:eastAsia="en-US"/>
                <w14:ligatures w14:val="standardContextual"/>
              </w:rPr>
              <w:tab/>
            </w:r>
            <w:r w:rsidRPr="00B701FC">
              <w:rPr>
                <w:rStyle w:val="Hyperlink"/>
                <w:noProof/>
                <w:lang w:val="en-AU"/>
              </w:rPr>
              <w:t>TAF’s role</w:t>
            </w:r>
            <w:r>
              <w:rPr>
                <w:noProof/>
                <w:webHidden/>
              </w:rPr>
              <w:tab/>
            </w:r>
            <w:r>
              <w:rPr>
                <w:noProof/>
                <w:webHidden/>
              </w:rPr>
              <w:fldChar w:fldCharType="begin"/>
            </w:r>
            <w:r>
              <w:rPr>
                <w:noProof/>
                <w:webHidden/>
              </w:rPr>
              <w:instrText xml:space="preserve"> PAGEREF _Toc206492280 \h </w:instrText>
            </w:r>
            <w:r>
              <w:rPr>
                <w:noProof/>
                <w:webHidden/>
              </w:rPr>
            </w:r>
            <w:r>
              <w:rPr>
                <w:noProof/>
                <w:webHidden/>
              </w:rPr>
              <w:fldChar w:fldCharType="separate"/>
            </w:r>
            <w:r w:rsidR="00EA7963">
              <w:rPr>
                <w:noProof/>
                <w:webHidden/>
              </w:rPr>
              <w:t>91</w:t>
            </w:r>
            <w:r>
              <w:rPr>
                <w:noProof/>
                <w:webHidden/>
              </w:rPr>
              <w:fldChar w:fldCharType="end"/>
            </w:r>
          </w:hyperlink>
        </w:p>
        <w:p w14:paraId="0D08232C" w14:textId="452545D2" w:rsidR="00A52662" w:rsidRDefault="00A52662">
          <w:pPr>
            <w:pStyle w:val="TOC2"/>
            <w:tabs>
              <w:tab w:val="left" w:pos="720"/>
              <w:tab w:val="right" w:leader="dot" w:pos="9016"/>
            </w:tabs>
            <w:rPr>
              <w:noProof/>
              <w:kern w:val="2"/>
              <w:sz w:val="24"/>
              <w:szCs w:val="24"/>
              <w:lang w:eastAsia="en-US"/>
              <w14:ligatures w14:val="standardContextual"/>
            </w:rPr>
          </w:pPr>
          <w:hyperlink w:anchor="_Toc206492281" w:history="1">
            <w:r w:rsidRPr="00B701FC">
              <w:rPr>
                <w:rStyle w:val="Hyperlink"/>
                <w:noProof/>
                <w:lang w:val="en-AU"/>
              </w:rPr>
              <w:t>3.</w:t>
            </w:r>
            <w:r>
              <w:rPr>
                <w:noProof/>
                <w:kern w:val="2"/>
                <w:sz w:val="24"/>
                <w:szCs w:val="24"/>
                <w:lang w:eastAsia="en-US"/>
                <w14:ligatures w14:val="standardContextual"/>
              </w:rPr>
              <w:tab/>
            </w:r>
            <w:r w:rsidRPr="00B701FC">
              <w:rPr>
                <w:rStyle w:val="Hyperlink"/>
                <w:noProof/>
                <w:lang w:val="en-AU"/>
              </w:rPr>
              <w:t>Reception by ASEAN</w:t>
            </w:r>
            <w:r>
              <w:rPr>
                <w:noProof/>
                <w:webHidden/>
              </w:rPr>
              <w:tab/>
            </w:r>
            <w:r>
              <w:rPr>
                <w:noProof/>
                <w:webHidden/>
              </w:rPr>
              <w:fldChar w:fldCharType="begin"/>
            </w:r>
            <w:r>
              <w:rPr>
                <w:noProof/>
                <w:webHidden/>
              </w:rPr>
              <w:instrText xml:space="preserve"> PAGEREF _Toc206492281 \h </w:instrText>
            </w:r>
            <w:r>
              <w:rPr>
                <w:noProof/>
                <w:webHidden/>
              </w:rPr>
            </w:r>
            <w:r>
              <w:rPr>
                <w:noProof/>
                <w:webHidden/>
              </w:rPr>
              <w:fldChar w:fldCharType="separate"/>
            </w:r>
            <w:r w:rsidR="00EA7963">
              <w:rPr>
                <w:noProof/>
                <w:webHidden/>
              </w:rPr>
              <w:t>92</w:t>
            </w:r>
            <w:r>
              <w:rPr>
                <w:noProof/>
                <w:webHidden/>
              </w:rPr>
              <w:fldChar w:fldCharType="end"/>
            </w:r>
          </w:hyperlink>
        </w:p>
        <w:p w14:paraId="0C39FC52" w14:textId="21EC700A" w:rsidR="00A52662" w:rsidRDefault="00A52662">
          <w:pPr>
            <w:pStyle w:val="TOC2"/>
            <w:tabs>
              <w:tab w:val="left" w:pos="720"/>
              <w:tab w:val="right" w:leader="dot" w:pos="9016"/>
            </w:tabs>
            <w:rPr>
              <w:noProof/>
              <w:kern w:val="2"/>
              <w:sz w:val="24"/>
              <w:szCs w:val="24"/>
              <w:lang w:eastAsia="en-US"/>
              <w14:ligatures w14:val="standardContextual"/>
            </w:rPr>
          </w:pPr>
          <w:hyperlink w:anchor="_Toc206492282" w:history="1">
            <w:r w:rsidRPr="00B701FC">
              <w:rPr>
                <w:rStyle w:val="Hyperlink"/>
                <w:noProof/>
                <w:lang w:val="en-AU"/>
              </w:rPr>
              <w:t>4.</w:t>
            </w:r>
            <w:r>
              <w:rPr>
                <w:noProof/>
                <w:kern w:val="2"/>
                <w:sz w:val="24"/>
                <w:szCs w:val="24"/>
                <w:lang w:eastAsia="en-US"/>
                <w14:ligatures w14:val="standardContextual"/>
              </w:rPr>
              <w:tab/>
            </w:r>
            <w:r w:rsidRPr="00B701FC">
              <w:rPr>
                <w:rStyle w:val="Hyperlink"/>
                <w:noProof/>
                <w:lang w:val="en-AU"/>
              </w:rPr>
              <w:t>Conclusion: designing the next APSP phase</w:t>
            </w:r>
            <w:r>
              <w:rPr>
                <w:noProof/>
                <w:webHidden/>
              </w:rPr>
              <w:tab/>
            </w:r>
            <w:r>
              <w:rPr>
                <w:noProof/>
                <w:webHidden/>
              </w:rPr>
              <w:fldChar w:fldCharType="begin"/>
            </w:r>
            <w:r>
              <w:rPr>
                <w:noProof/>
                <w:webHidden/>
              </w:rPr>
              <w:instrText xml:space="preserve"> PAGEREF _Toc206492282 \h </w:instrText>
            </w:r>
            <w:r>
              <w:rPr>
                <w:noProof/>
                <w:webHidden/>
              </w:rPr>
            </w:r>
            <w:r>
              <w:rPr>
                <w:noProof/>
                <w:webHidden/>
              </w:rPr>
              <w:fldChar w:fldCharType="separate"/>
            </w:r>
            <w:r w:rsidR="00EA7963">
              <w:rPr>
                <w:noProof/>
                <w:webHidden/>
              </w:rPr>
              <w:t>94</w:t>
            </w:r>
            <w:r>
              <w:rPr>
                <w:noProof/>
                <w:webHidden/>
              </w:rPr>
              <w:fldChar w:fldCharType="end"/>
            </w:r>
          </w:hyperlink>
        </w:p>
        <w:p w14:paraId="27918525" w14:textId="29C56932" w:rsidR="00A52662" w:rsidRDefault="00A52662">
          <w:pPr>
            <w:pStyle w:val="TOC1"/>
            <w:tabs>
              <w:tab w:val="right" w:leader="dot" w:pos="9016"/>
            </w:tabs>
            <w:rPr>
              <w:noProof/>
              <w:kern w:val="2"/>
              <w:sz w:val="24"/>
              <w:szCs w:val="24"/>
              <w:lang w:eastAsia="en-US"/>
              <w14:ligatures w14:val="standardContextual"/>
            </w:rPr>
          </w:pPr>
          <w:hyperlink w:anchor="_Toc206492283" w:history="1">
            <w:r w:rsidRPr="00B701FC">
              <w:rPr>
                <w:rStyle w:val="Hyperlink"/>
                <w:noProof/>
                <w:lang w:val="en-AU"/>
              </w:rPr>
              <w:t>Annex 6: Case Study – Other Government Departments</w:t>
            </w:r>
            <w:r>
              <w:rPr>
                <w:noProof/>
                <w:webHidden/>
              </w:rPr>
              <w:tab/>
            </w:r>
            <w:r>
              <w:rPr>
                <w:noProof/>
                <w:webHidden/>
              </w:rPr>
              <w:fldChar w:fldCharType="begin"/>
            </w:r>
            <w:r>
              <w:rPr>
                <w:noProof/>
                <w:webHidden/>
              </w:rPr>
              <w:instrText xml:space="preserve"> PAGEREF _Toc206492283 \h </w:instrText>
            </w:r>
            <w:r>
              <w:rPr>
                <w:noProof/>
                <w:webHidden/>
              </w:rPr>
            </w:r>
            <w:r>
              <w:rPr>
                <w:noProof/>
                <w:webHidden/>
              </w:rPr>
              <w:fldChar w:fldCharType="separate"/>
            </w:r>
            <w:r w:rsidR="00EA7963">
              <w:rPr>
                <w:noProof/>
                <w:webHidden/>
              </w:rPr>
              <w:t>97</w:t>
            </w:r>
            <w:r>
              <w:rPr>
                <w:noProof/>
                <w:webHidden/>
              </w:rPr>
              <w:fldChar w:fldCharType="end"/>
            </w:r>
          </w:hyperlink>
        </w:p>
        <w:p w14:paraId="14ADAE7E" w14:textId="7ACF252B" w:rsidR="00A52662" w:rsidRDefault="00A52662">
          <w:pPr>
            <w:pStyle w:val="TOC2"/>
            <w:tabs>
              <w:tab w:val="right" w:leader="dot" w:pos="9016"/>
            </w:tabs>
            <w:rPr>
              <w:noProof/>
              <w:kern w:val="2"/>
              <w:sz w:val="24"/>
              <w:szCs w:val="24"/>
              <w:lang w:eastAsia="en-US"/>
              <w14:ligatures w14:val="standardContextual"/>
            </w:rPr>
          </w:pPr>
          <w:hyperlink w:anchor="_Toc206492284" w:history="1">
            <w:r w:rsidRPr="00B701FC">
              <w:rPr>
                <w:rStyle w:val="Hyperlink"/>
                <w:noProof/>
                <w:lang w:val="en-AU"/>
              </w:rPr>
              <w:t>Introduction</w:t>
            </w:r>
            <w:r>
              <w:rPr>
                <w:noProof/>
                <w:webHidden/>
              </w:rPr>
              <w:tab/>
            </w:r>
            <w:r>
              <w:rPr>
                <w:noProof/>
                <w:webHidden/>
              </w:rPr>
              <w:fldChar w:fldCharType="begin"/>
            </w:r>
            <w:r>
              <w:rPr>
                <w:noProof/>
                <w:webHidden/>
              </w:rPr>
              <w:instrText xml:space="preserve"> PAGEREF _Toc206492284 \h </w:instrText>
            </w:r>
            <w:r>
              <w:rPr>
                <w:noProof/>
                <w:webHidden/>
              </w:rPr>
            </w:r>
            <w:r>
              <w:rPr>
                <w:noProof/>
                <w:webHidden/>
              </w:rPr>
              <w:fldChar w:fldCharType="separate"/>
            </w:r>
            <w:r w:rsidR="00EA7963">
              <w:rPr>
                <w:noProof/>
                <w:webHidden/>
              </w:rPr>
              <w:t>97</w:t>
            </w:r>
            <w:r>
              <w:rPr>
                <w:noProof/>
                <w:webHidden/>
              </w:rPr>
              <w:fldChar w:fldCharType="end"/>
            </w:r>
          </w:hyperlink>
        </w:p>
        <w:p w14:paraId="660BC747" w14:textId="2BF7F73F" w:rsidR="00A52662" w:rsidRDefault="00A52662">
          <w:pPr>
            <w:pStyle w:val="TOC2"/>
            <w:tabs>
              <w:tab w:val="left" w:pos="720"/>
              <w:tab w:val="right" w:leader="dot" w:pos="9016"/>
            </w:tabs>
            <w:rPr>
              <w:noProof/>
              <w:kern w:val="2"/>
              <w:sz w:val="24"/>
              <w:szCs w:val="24"/>
              <w:lang w:eastAsia="en-US"/>
              <w14:ligatures w14:val="standardContextual"/>
            </w:rPr>
          </w:pPr>
          <w:hyperlink w:anchor="_Toc206492285" w:history="1">
            <w:r w:rsidRPr="00B701FC">
              <w:rPr>
                <w:rStyle w:val="Hyperlink"/>
                <w:noProof/>
                <w:lang w:val="en-AU"/>
              </w:rPr>
              <w:t>1.</w:t>
            </w:r>
            <w:r>
              <w:rPr>
                <w:noProof/>
                <w:kern w:val="2"/>
                <w:sz w:val="24"/>
                <w:szCs w:val="24"/>
                <w:lang w:eastAsia="en-US"/>
                <w14:ligatures w14:val="standardContextual"/>
              </w:rPr>
              <w:tab/>
            </w:r>
            <w:r w:rsidRPr="00B701FC">
              <w:rPr>
                <w:rStyle w:val="Hyperlink"/>
                <w:noProof/>
                <w:lang w:val="en-AU"/>
              </w:rPr>
              <w:t>OGDs in APSP Design</w:t>
            </w:r>
            <w:r>
              <w:rPr>
                <w:noProof/>
                <w:webHidden/>
              </w:rPr>
              <w:tab/>
            </w:r>
            <w:r>
              <w:rPr>
                <w:noProof/>
                <w:webHidden/>
              </w:rPr>
              <w:fldChar w:fldCharType="begin"/>
            </w:r>
            <w:r>
              <w:rPr>
                <w:noProof/>
                <w:webHidden/>
              </w:rPr>
              <w:instrText xml:space="preserve"> PAGEREF _Toc206492285 \h </w:instrText>
            </w:r>
            <w:r>
              <w:rPr>
                <w:noProof/>
                <w:webHidden/>
              </w:rPr>
            </w:r>
            <w:r>
              <w:rPr>
                <w:noProof/>
                <w:webHidden/>
              </w:rPr>
              <w:fldChar w:fldCharType="separate"/>
            </w:r>
            <w:r w:rsidR="00EA7963">
              <w:rPr>
                <w:noProof/>
                <w:webHidden/>
              </w:rPr>
              <w:t>97</w:t>
            </w:r>
            <w:r>
              <w:rPr>
                <w:noProof/>
                <w:webHidden/>
              </w:rPr>
              <w:fldChar w:fldCharType="end"/>
            </w:r>
          </w:hyperlink>
        </w:p>
        <w:p w14:paraId="6CE8CEC6" w14:textId="6CAF1650" w:rsidR="00A52662" w:rsidRDefault="00A52662">
          <w:pPr>
            <w:pStyle w:val="TOC2"/>
            <w:tabs>
              <w:tab w:val="left" w:pos="720"/>
              <w:tab w:val="right" w:leader="dot" w:pos="9016"/>
            </w:tabs>
            <w:rPr>
              <w:noProof/>
              <w:kern w:val="2"/>
              <w:sz w:val="24"/>
              <w:szCs w:val="24"/>
              <w:lang w:eastAsia="en-US"/>
              <w14:ligatures w14:val="standardContextual"/>
            </w:rPr>
          </w:pPr>
          <w:hyperlink w:anchor="_Toc206492286" w:history="1">
            <w:r w:rsidRPr="00B701FC">
              <w:rPr>
                <w:rStyle w:val="Hyperlink"/>
                <w:noProof/>
                <w:lang w:val="en-AU"/>
              </w:rPr>
              <w:t>2.</w:t>
            </w:r>
            <w:r>
              <w:rPr>
                <w:noProof/>
                <w:kern w:val="2"/>
                <w:sz w:val="24"/>
                <w:szCs w:val="24"/>
                <w:lang w:eastAsia="en-US"/>
                <w14:ligatures w14:val="standardContextual"/>
              </w:rPr>
              <w:tab/>
            </w:r>
            <w:r w:rsidRPr="00B701FC">
              <w:rPr>
                <w:rStyle w:val="Hyperlink"/>
                <w:noProof/>
                <w:lang w:val="en-AU"/>
              </w:rPr>
              <w:t>Challenges in Engaging OGDs</w:t>
            </w:r>
            <w:r>
              <w:rPr>
                <w:noProof/>
                <w:webHidden/>
              </w:rPr>
              <w:tab/>
            </w:r>
            <w:r>
              <w:rPr>
                <w:noProof/>
                <w:webHidden/>
              </w:rPr>
              <w:fldChar w:fldCharType="begin"/>
            </w:r>
            <w:r>
              <w:rPr>
                <w:noProof/>
                <w:webHidden/>
              </w:rPr>
              <w:instrText xml:space="preserve"> PAGEREF _Toc206492286 \h </w:instrText>
            </w:r>
            <w:r>
              <w:rPr>
                <w:noProof/>
                <w:webHidden/>
              </w:rPr>
            </w:r>
            <w:r>
              <w:rPr>
                <w:noProof/>
                <w:webHidden/>
              </w:rPr>
              <w:fldChar w:fldCharType="separate"/>
            </w:r>
            <w:r w:rsidR="00EA7963">
              <w:rPr>
                <w:noProof/>
                <w:webHidden/>
              </w:rPr>
              <w:t>98</w:t>
            </w:r>
            <w:r>
              <w:rPr>
                <w:noProof/>
                <w:webHidden/>
              </w:rPr>
              <w:fldChar w:fldCharType="end"/>
            </w:r>
          </w:hyperlink>
        </w:p>
        <w:p w14:paraId="3A5175EB" w14:textId="52B7909F" w:rsidR="00A52662" w:rsidRDefault="00A52662">
          <w:pPr>
            <w:pStyle w:val="TOC2"/>
            <w:tabs>
              <w:tab w:val="left" w:pos="720"/>
              <w:tab w:val="right" w:leader="dot" w:pos="9016"/>
            </w:tabs>
            <w:rPr>
              <w:noProof/>
              <w:kern w:val="2"/>
              <w:sz w:val="24"/>
              <w:szCs w:val="24"/>
              <w:lang w:eastAsia="en-US"/>
              <w14:ligatures w14:val="standardContextual"/>
            </w:rPr>
          </w:pPr>
          <w:hyperlink w:anchor="_Toc206492287" w:history="1">
            <w:r w:rsidRPr="00B701FC">
              <w:rPr>
                <w:rStyle w:val="Hyperlink"/>
                <w:noProof/>
                <w:lang w:val="en-AU"/>
              </w:rPr>
              <w:t>3.</w:t>
            </w:r>
            <w:r>
              <w:rPr>
                <w:noProof/>
                <w:kern w:val="2"/>
                <w:sz w:val="24"/>
                <w:szCs w:val="24"/>
                <w:lang w:eastAsia="en-US"/>
                <w14:ligatures w14:val="standardContextual"/>
              </w:rPr>
              <w:tab/>
            </w:r>
            <w:r w:rsidRPr="00B701FC">
              <w:rPr>
                <w:rStyle w:val="Hyperlink"/>
                <w:noProof/>
                <w:lang w:val="en-AU"/>
              </w:rPr>
              <w:t>APSP Responses</w:t>
            </w:r>
            <w:r>
              <w:rPr>
                <w:noProof/>
                <w:webHidden/>
              </w:rPr>
              <w:tab/>
            </w:r>
            <w:r>
              <w:rPr>
                <w:noProof/>
                <w:webHidden/>
              </w:rPr>
              <w:fldChar w:fldCharType="begin"/>
            </w:r>
            <w:r>
              <w:rPr>
                <w:noProof/>
                <w:webHidden/>
              </w:rPr>
              <w:instrText xml:space="preserve"> PAGEREF _Toc206492287 \h </w:instrText>
            </w:r>
            <w:r>
              <w:rPr>
                <w:noProof/>
                <w:webHidden/>
              </w:rPr>
            </w:r>
            <w:r>
              <w:rPr>
                <w:noProof/>
                <w:webHidden/>
              </w:rPr>
              <w:fldChar w:fldCharType="separate"/>
            </w:r>
            <w:r w:rsidR="00EA7963">
              <w:rPr>
                <w:noProof/>
                <w:webHidden/>
              </w:rPr>
              <w:t>99</w:t>
            </w:r>
            <w:r>
              <w:rPr>
                <w:noProof/>
                <w:webHidden/>
              </w:rPr>
              <w:fldChar w:fldCharType="end"/>
            </w:r>
          </w:hyperlink>
        </w:p>
        <w:p w14:paraId="6225991A" w14:textId="4C154136" w:rsidR="00A52662" w:rsidRDefault="00A52662">
          <w:pPr>
            <w:pStyle w:val="TOC2"/>
            <w:tabs>
              <w:tab w:val="left" w:pos="720"/>
              <w:tab w:val="right" w:leader="dot" w:pos="9016"/>
            </w:tabs>
            <w:rPr>
              <w:noProof/>
              <w:kern w:val="2"/>
              <w:sz w:val="24"/>
              <w:szCs w:val="24"/>
              <w:lang w:eastAsia="en-US"/>
              <w14:ligatures w14:val="standardContextual"/>
            </w:rPr>
          </w:pPr>
          <w:hyperlink w:anchor="_Toc206492288" w:history="1">
            <w:r w:rsidRPr="00B701FC">
              <w:rPr>
                <w:rStyle w:val="Hyperlink"/>
                <w:noProof/>
                <w:lang w:val="en-AU"/>
              </w:rPr>
              <w:t>4.</w:t>
            </w:r>
            <w:r>
              <w:rPr>
                <w:noProof/>
                <w:kern w:val="2"/>
                <w:sz w:val="24"/>
                <w:szCs w:val="24"/>
                <w:lang w:eastAsia="en-US"/>
                <w14:ligatures w14:val="standardContextual"/>
              </w:rPr>
              <w:tab/>
            </w:r>
            <w:r w:rsidRPr="00B701FC">
              <w:rPr>
                <w:rStyle w:val="Hyperlink"/>
                <w:noProof/>
                <w:lang w:val="en-AU"/>
              </w:rPr>
              <w:t>OGD Responses</w:t>
            </w:r>
            <w:r>
              <w:rPr>
                <w:noProof/>
                <w:webHidden/>
              </w:rPr>
              <w:tab/>
            </w:r>
            <w:r>
              <w:rPr>
                <w:noProof/>
                <w:webHidden/>
              </w:rPr>
              <w:fldChar w:fldCharType="begin"/>
            </w:r>
            <w:r>
              <w:rPr>
                <w:noProof/>
                <w:webHidden/>
              </w:rPr>
              <w:instrText xml:space="preserve"> PAGEREF _Toc206492288 \h </w:instrText>
            </w:r>
            <w:r>
              <w:rPr>
                <w:noProof/>
                <w:webHidden/>
              </w:rPr>
            </w:r>
            <w:r>
              <w:rPr>
                <w:noProof/>
                <w:webHidden/>
              </w:rPr>
              <w:fldChar w:fldCharType="separate"/>
            </w:r>
            <w:r w:rsidR="00EA7963">
              <w:rPr>
                <w:noProof/>
                <w:webHidden/>
              </w:rPr>
              <w:t>101</w:t>
            </w:r>
            <w:r>
              <w:rPr>
                <w:noProof/>
                <w:webHidden/>
              </w:rPr>
              <w:fldChar w:fldCharType="end"/>
            </w:r>
          </w:hyperlink>
        </w:p>
        <w:p w14:paraId="576F6764" w14:textId="021D8BA7" w:rsidR="00A52662" w:rsidRDefault="00A52662">
          <w:pPr>
            <w:pStyle w:val="TOC2"/>
            <w:tabs>
              <w:tab w:val="left" w:pos="720"/>
              <w:tab w:val="right" w:leader="dot" w:pos="9016"/>
            </w:tabs>
            <w:rPr>
              <w:noProof/>
              <w:kern w:val="2"/>
              <w:sz w:val="24"/>
              <w:szCs w:val="24"/>
              <w:lang w:eastAsia="en-US"/>
              <w14:ligatures w14:val="standardContextual"/>
            </w:rPr>
          </w:pPr>
          <w:hyperlink w:anchor="_Toc206492289" w:history="1">
            <w:r w:rsidRPr="00B701FC">
              <w:rPr>
                <w:rStyle w:val="Hyperlink"/>
                <w:noProof/>
                <w:lang w:val="en-AU"/>
              </w:rPr>
              <w:t>5.</w:t>
            </w:r>
            <w:r>
              <w:rPr>
                <w:noProof/>
                <w:kern w:val="2"/>
                <w:sz w:val="24"/>
                <w:szCs w:val="24"/>
                <w:lang w:eastAsia="en-US"/>
                <w14:ligatures w14:val="standardContextual"/>
              </w:rPr>
              <w:tab/>
            </w:r>
            <w:r w:rsidRPr="00B701FC">
              <w:rPr>
                <w:rStyle w:val="Hyperlink"/>
                <w:noProof/>
                <w:lang w:val="en-AU"/>
              </w:rPr>
              <w:t>Future OGD Engagement</w:t>
            </w:r>
            <w:r>
              <w:rPr>
                <w:noProof/>
                <w:webHidden/>
              </w:rPr>
              <w:tab/>
            </w:r>
            <w:r>
              <w:rPr>
                <w:noProof/>
                <w:webHidden/>
              </w:rPr>
              <w:fldChar w:fldCharType="begin"/>
            </w:r>
            <w:r>
              <w:rPr>
                <w:noProof/>
                <w:webHidden/>
              </w:rPr>
              <w:instrText xml:space="preserve"> PAGEREF _Toc206492289 \h </w:instrText>
            </w:r>
            <w:r>
              <w:rPr>
                <w:noProof/>
                <w:webHidden/>
              </w:rPr>
            </w:r>
            <w:r>
              <w:rPr>
                <w:noProof/>
                <w:webHidden/>
              </w:rPr>
              <w:fldChar w:fldCharType="separate"/>
            </w:r>
            <w:r w:rsidR="00EA7963">
              <w:rPr>
                <w:noProof/>
                <w:webHidden/>
              </w:rPr>
              <w:t>101</w:t>
            </w:r>
            <w:r>
              <w:rPr>
                <w:noProof/>
                <w:webHidden/>
              </w:rPr>
              <w:fldChar w:fldCharType="end"/>
            </w:r>
          </w:hyperlink>
        </w:p>
        <w:p w14:paraId="67DE4536" w14:textId="064C221F" w:rsidR="00A52662" w:rsidRDefault="00A52662">
          <w:pPr>
            <w:pStyle w:val="TOC2"/>
            <w:tabs>
              <w:tab w:val="left" w:pos="720"/>
              <w:tab w:val="right" w:leader="dot" w:pos="9016"/>
            </w:tabs>
            <w:rPr>
              <w:noProof/>
              <w:kern w:val="2"/>
              <w:sz w:val="24"/>
              <w:szCs w:val="24"/>
              <w:lang w:eastAsia="en-US"/>
              <w14:ligatures w14:val="standardContextual"/>
            </w:rPr>
          </w:pPr>
          <w:hyperlink w:anchor="_Toc206492290" w:history="1">
            <w:r w:rsidRPr="00B701FC">
              <w:rPr>
                <w:rStyle w:val="Hyperlink"/>
                <w:noProof/>
                <w:lang w:val="en-AU"/>
              </w:rPr>
              <w:t>6.</w:t>
            </w:r>
            <w:r>
              <w:rPr>
                <w:noProof/>
                <w:kern w:val="2"/>
                <w:sz w:val="24"/>
                <w:szCs w:val="24"/>
                <w:lang w:eastAsia="en-US"/>
                <w14:ligatures w14:val="standardContextual"/>
              </w:rPr>
              <w:tab/>
            </w:r>
            <w:r w:rsidRPr="00B701FC">
              <w:rPr>
                <w:rStyle w:val="Hyperlink"/>
                <w:noProof/>
                <w:lang w:val="en-AU"/>
              </w:rPr>
              <w:t>Conclusion</w:t>
            </w:r>
            <w:r>
              <w:rPr>
                <w:noProof/>
                <w:webHidden/>
              </w:rPr>
              <w:tab/>
            </w:r>
            <w:r>
              <w:rPr>
                <w:noProof/>
                <w:webHidden/>
              </w:rPr>
              <w:fldChar w:fldCharType="begin"/>
            </w:r>
            <w:r>
              <w:rPr>
                <w:noProof/>
                <w:webHidden/>
              </w:rPr>
              <w:instrText xml:space="preserve"> PAGEREF _Toc206492290 \h </w:instrText>
            </w:r>
            <w:r>
              <w:rPr>
                <w:noProof/>
                <w:webHidden/>
              </w:rPr>
            </w:r>
            <w:r>
              <w:rPr>
                <w:noProof/>
                <w:webHidden/>
              </w:rPr>
              <w:fldChar w:fldCharType="separate"/>
            </w:r>
            <w:r w:rsidR="00EA7963">
              <w:rPr>
                <w:noProof/>
                <w:webHidden/>
              </w:rPr>
              <w:t>103</w:t>
            </w:r>
            <w:r>
              <w:rPr>
                <w:noProof/>
                <w:webHidden/>
              </w:rPr>
              <w:fldChar w:fldCharType="end"/>
            </w:r>
          </w:hyperlink>
        </w:p>
        <w:p w14:paraId="5512194F" w14:textId="46348690" w:rsidR="00A52662" w:rsidRDefault="00A52662">
          <w:pPr>
            <w:pStyle w:val="TOC1"/>
            <w:tabs>
              <w:tab w:val="right" w:leader="dot" w:pos="9016"/>
            </w:tabs>
            <w:rPr>
              <w:noProof/>
              <w:kern w:val="2"/>
              <w:sz w:val="24"/>
              <w:szCs w:val="24"/>
              <w:lang w:eastAsia="en-US"/>
              <w14:ligatures w14:val="standardContextual"/>
            </w:rPr>
          </w:pPr>
          <w:hyperlink w:anchor="_Toc206492291" w:history="1">
            <w:r w:rsidRPr="00B701FC">
              <w:rPr>
                <w:rStyle w:val="Hyperlink"/>
                <w:noProof/>
                <w:lang w:val="en-AU"/>
              </w:rPr>
              <w:t>Annex 7: APSP budget as revised in September 2023</w:t>
            </w:r>
            <w:r>
              <w:rPr>
                <w:noProof/>
                <w:webHidden/>
              </w:rPr>
              <w:tab/>
            </w:r>
            <w:r>
              <w:rPr>
                <w:noProof/>
                <w:webHidden/>
              </w:rPr>
              <w:fldChar w:fldCharType="begin"/>
            </w:r>
            <w:r>
              <w:rPr>
                <w:noProof/>
                <w:webHidden/>
              </w:rPr>
              <w:instrText xml:space="preserve"> PAGEREF _Toc206492291 \h </w:instrText>
            </w:r>
            <w:r>
              <w:rPr>
                <w:noProof/>
                <w:webHidden/>
              </w:rPr>
            </w:r>
            <w:r>
              <w:rPr>
                <w:noProof/>
                <w:webHidden/>
              </w:rPr>
              <w:fldChar w:fldCharType="separate"/>
            </w:r>
            <w:r w:rsidR="00EA7963">
              <w:rPr>
                <w:noProof/>
                <w:webHidden/>
              </w:rPr>
              <w:t>104</w:t>
            </w:r>
            <w:r>
              <w:rPr>
                <w:noProof/>
                <w:webHidden/>
              </w:rPr>
              <w:fldChar w:fldCharType="end"/>
            </w:r>
          </w:hyperlink>
        </w:p>
        <w:p w14:paraId="66EFD44A" w14:textId="3261CCBC" w:rsidR="006911E8" w:rsidRPr="007C3B9D" w:rsidRDefault="00AC7785" w:rsidP="00903D77">
          <w:pPr>
            <w:spacing w:after="0" w:line="276" w:lineRule="auto"/>
            <w:rPr>
              <w:b/>
              <w:sz w:val="28"/>
              <w:szCs w:val="28"/>
              <w:lang w:val="en-AU"/>
            </w:rPr>
          </w:pPr>
          <w:r w:rsidRPr="007C3B9D">
            <w:rPr>
              <w:b/>
              <w:color w:val="2B579A"/>
              <w:sz w:val="28"/>
              <w:szCs w:val="28"/>
              <w:shd w:val="clear" w:color="auto" w:fill="E6E6E6"/>
              <w:lang w:val="en-AU"/>
            </w:rPr>
            <w:fldChar w:fldCharType="end"/>
          </w:r>
        </w:p>
      </w:sdtContent>
    </w:sdt>
    <w:p w14:paraId="45DE687E" w14:textId="09575FDF" w:rsidR="00A26031" w:rsidRPr="007C3B9D" w:rsidRDefault="00A26031" w:rsidP="00903D77">
      <w:pPr>
        <w:spacing w:after="120" w:line="276" w:lineRule="auto"/>
        <w:rPr>
          <w:lang w:val="en-AU"/>
        </w:rPr>
      </w:pPr>
      <w:r w:rsidRPr="007C3B9D">
        <w:rPr>
          <w:lang w:val="en-AU"/>
        </w:rPr>
        <w:br w:type="page"/>
      </w:r>
    </w:p>
    <w:p w14:paraId="093236D4" w14:textId="0CC08C15" w:rsidR="00A26031" w:rsidRDefault="00A26031" w:rsidP="00903D77">
      <w:pPr>
        <w:pStyle w:val="Heading1"/>
        <w:pBdr>
          <w:bottom w:val="single" w:sz="4" w:space="0" w:color="595959" w:themeColor="text1" w:themeTint="A6"/>
        </w:pBdr>
        <w:spacing w:before="0" w:after="120" w:line="276" w:lineRule="auto"/>
        <w:rPr>
          <w:lang w:val="en-AU"/>
        </w:rPr>
      </w:pPr>
      <w:bookmarkStart w:id="0" w:name="_Toc206492250"/>
      <w:r w:rsidRPr="007C3B9D">
        <w:rPr>
          <w:lang w:val="en-AU"/>
        </w:rPr>
        <w:lastRenderedPageBreak/>
        <w:t>List of Acronyms</w:t>
      </w:r>
      <w:bookmarkEnd w:id="0"/>
    </w:p>
    <w:tbl>
      <w:tblPr>
        <w:tblStyle w:val="TableGrid"/>
        <w:tblW w:w="0" w:type="auto"/>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ook w:val="0420" w:firstRow="1" w:lastRow="0" w:firstColumn="0" w:lastColumn="0" w:noHBand="0" w:noVBand="1"/>
      </w:tblPr>
      <w:tblGrid>
        <w:gridCol w:w="1555"/>
        <w:gridCol w:w="7461"/>
      </w:tblGrid>
      <w:tr w:rsidR="0032339B" w:rsidRPr="007C3B9D" w14:paraId="1ED382D3" w14:textId="77777777" w:rsidTr="00A06F99">
        <w:trPr>
          <w:tblHeader/>
        </w:trPr>
        <w:tc>
          <w:tcPr>
            <w:tcW w:w="1555" w:type="dxa"/>
            <w:shd w:val="clear" w:color="auto" w:fill="45B0E1" w:themeFill="accent1" w:themeFillTint="99"/>
          </w:tcPr>
          <w:p w14:paraId="768A2D74" w14:textId="69642DDA" w:rsidR="0032339B" w:rsidRPr="0032339B" w:rsidRDefault="0032339B" w:rsidP="00903D77">
            <w:pPr>
              <w:spacing w:line="276" w:lineRule="auto"/>
              <w:rPr>
                <w:rFonts w:cs="Calibri"/>
                <w:b/>
                <w:bCs/>
                <w:lang w:val="en-AU"/>
              </w:rPr>
            </w:pPr>
            <w:r w:rsidRPr="0032339B">
              <w:rPr>
                <w:rFonts w:cs="Calibri"/>
                <w:b/>
                <w:bCs/>
                <w:lang w:val="en-AU"/>
              </w:rPr>
              <w:t xml:space="preserve">Acronym </w:t>
            </w:r>
          </w:p>
        </w:tc>
        <w:tc>
          <w:tcPr>
            <w:tcW w:w="7461" w:type="dxa"/>
            <w:shd w:val="clear" w:color="auto" w:fill="45B0E1" w:themeFill="accent1" w:themeFillTint="99"/>
          </w:tcPr>
          <w:p w14:paraId="2DFEB0DB" w14:textId="4AA8955D" w:rsidR="0032339B" w:rsidRPr="0032339B" w:rsidRDefault="0032339B" w:rsidP="00903D77">
            <w:pPr>
              <w:spacing w:line="276" w:lineRule="auto"/>
              <w:rPr>
                <w:rFonts w:cs="Calibri"/>
                <w:b/>
                <w:bCs/>
                <w:lang w:val="en-AU"/>
              </w:rPr>
            </w:pPr>
            <w:r w:rsidRPr="0032339B">
              <w:rPr>
                <w:rFonts w:cs="Calibri"/>
                <w:b/>
                <w:bCs/>
                <w:lang w:val="en-AU"/>
              </w:rPr>
              <w:t xml:space="preserve">Expansion </w:t>
            </w:r>
          </w:p>
        </w:tc>
      </w:tr>
      <w:tr w:rsidR="00397242" w:rsidRPr="007C3B9D" w14:paraId="6859EEF3" w14:textId="77777777" w:rsidTr="0032339B">
        <w:tc>
          <w:tcPr>
            <w:tcW w:w="1555" w:type="dxa"/>
          </w:tcPr>
          <w:p w14:paraId="5DA89CE5" w14:textId="77777777" w:rsidR="00397242" w:rsidRPr="007C3B9D" w:rsidRDefault="00397242" w:rsidP="00903D77">
            <w:pPr>
              <w:spacing w:line="276" w:lineRule="auto"/>
              <w:rPr>
                <w:rFonts w:cs="Calibri"/>
                <w:lang w:val="en-AU"/>
              </w:rPr>
            </w:pPr>
            <w:r w:rsidRPr="007C3B9D">
              <w:rPr>
                <w:rFonts w:cs="Calibri"/>
                <w:lang w:val="en-AU"/>
              </w:rPr>
              <w:t xml:space="preserve">AAR </w:t>
            </w:r>
          </w:p>
        </w:tc>
        <w:tc>
          <w:tcPr>
            <w:tcW w:w="7461" w:type="dxa"/>
          </w:tcPr>
          <w:p w14:paraId="2897F335" w14:textId="5672E034" w:rsidR="00397242" w:rsidRPr="007C3B9D" w:rsidRDefault="00397242" w:rsidP="00903D77">
            <w:pPr>
              <w:spacing w:line="276" w:lineRule="auto"/>
              <w:rPr>
                <w:rFonts w:cs="Calibri"/>
                <w:lang w:val="en-AU"/>
              </w:rPr>
            </w:pPr>
            <w:r w:rsidRPr="007C3B9D">
              <w:rPr>
                <w:rFonts w:cs="Calibri"/>
                <w:lang w:val="en-AU"/>
              </w:rPr>
              <w:t>After Action Report</w:t>
            </w:r>
          </w:p>
        </w:tc>
      </w:tr>
      <w:tr w:rsidR="00397242" w:rsidRPr="007C3B9D" w14:paraId="3D0B66F9" w14:textId="77777777" w:rsidTr="0032339B">
        <w:tc>
          <w:tcPr>
            <w:tcW w:w="1555" w:type="dxa"/>
          </w:tcPr>
          <w:p w14:paraId="5D30D10B" w14:textId="77777777" w:rsidR="00397242" w:rsidRPr="007C3B9D" w:rsidRDefault="00397242" w:rsidP="00903D77">
            <w:pPr>
              <w:spacing w:line="276" w:lineRule="auto"/>
              <w:rPr>
                <w:rFonts w:cs="Calibri"/>
                <w:lang w:val="en-AU"/>
              </w:rPr>
            </w:pPr>
            <w:r w:rsidRPr="007C3B9D">
              <w:rPr>
                <w:rFonts w:cs="Calibri"/>
                <w:lang w:val="en-AU"/>
              </w:rPr>
              <w:t xml:space="preserve">ADMM </w:t>
            </w:r>
          </w:p>
        </w:tc>
        <w:tc>
          <w:tcPr>
            <w:tcW w:w="7461" w:type="dxa"/>
          </w:tcPr>
          <w:p w14:paraId="34D07AFF" w14:textId="10101837" w:rsidR="00397242" w:rsidRPr="007C3B9D" w:rsidRDefault="00397242" w:rsidP="00903D77">
            <w:pPr>
              <w:spacing w:line="276" w:lineRule="auto"/>
              <w:rPr>
                <w:rFonts w:cs="Calibri"/>
                <w:lang w:val="en-AU"/>
              </w:rPr>
            </w:pPr>
            <w:r w:rsidRPr="007C3B9D">
              <w:rPr>
                <w:rFonts w:cs="Calibri"/>
                <w:lang w:val="en-AU"/>
              </w:rPr>
              <w:t>ASEAN Defence Ministers Meeting</w:t>
            </w:r>
          </w:p>
        </w:tc>
      </w:tr>
      <w:tr w:rsidR="00397242" w:rsidRPr="007C3B9D" w14:paraId="14C6443A" w14:textId="77777777" w:rsidTr="0032339B">
        <w:tc>
          <w:tcPr>
            <w:tcW w:w="1555" w:type="dxa"/>
          </w:tcPr>
          <w:p w14:paraId="797A2C3B" w14:textId="77777777" w:rsidR="00397242" w:rsidRPr="007C3B9D" w:rsidRDefault="00397242" w:rsidP="00903D77">
            <w:pPr>
              <w:spacing w:line="276" w:lineRule="auto"/>
              <w:rPr>
                <w:rFonts w:cs="Calibri"/>
                <w:lang w:val="en-AU"/>
              </w:rPr>
            </w:pPr>
            <w:r w:rsidRPr="007C3B9D">
              <w:rPr>
                <w:rFonts w:cs="Calibri"/>
                <w:lang w:val="en-AU"/>
              </w:rPr>
              <w:t xml:space="preserve">AFP </w:t>
            </w:r>
          </w:p>
        </w:tc>
        <w:tc>
          <w:tcPr>
            <w:tcW w:w="7461" w:type="dxa"/>
          </w:tcPr>
          <w:p w14:paraId="5EFFC21A" w14:textId="547DA9FB" w:rsidR="00397242" w:rsidRPr="007C3B9D" w:rsidRDefault="00397242" w:rsidP="00903D77">
            <w:pPr>
              <w:spacing w:line="276" w:lineRule="auto"/>
              <w:rPr>
                <w:rFonts w:cs="Calibri"/>
                <w:lang w:val="en-AU"/>
              </w:rPr>
            </w:pPr>
            <w:r w:rsidRPr="007C3B9D">
              <w:rPr>
                <w:rFonts w:cs="Calibri"/>
                <w:lang w:val="en-AU"/>
              </w:rPr>
              <w:t>Australian Federal Police</w:t>
            </w:r>
          </w:p>
        </w:tc>
      </w:tr>
      <w:tr w:rsidR="00397242" w:rsidRPr="007C3B9D" w14:paraId="1F7E1FA2" w14:textId="77777777" w:rsidTr="0032339B">
        <w:tc>
          <w:tcPr>
            <w:tcW w:w="1555" w:type="dxa"/>
          </w:tcPr>
          <w:p w14:paraId="15342450" w14:textId="77777777" w:rsidR="00397242" w:rsidRPr="007C3B9D" w:rsidRDefault="00397242" w:rsidP="00903D77">
            <w:pPr>
              <w:spacing w:line="276" w:lineRule="auto"/>
              <w:rPr>
                <w:rFonts w:cs="Calibri"/>
                <w:lang w:val="en-AU"/>
              </w:rPr>
            </w:pPr>
            <w:r w:rsidRPr="007C3B9D">
              <w:rPr>
                <w:rFonts w:cs="Calibri"/>
                <w:lang w:val="en-AU"/>
              </w:rPr>
              <w:t xml:space="preserve">AMS </w:t>
            </w:r>
          </w:p>
        </w:tc>
        <w:tc>
          <w:tcPr>
            <w:tcW w:w="7461" w:type="dxa"/>
          </w:tcPr>
          <w:p w14:paraId="0C61D03B" w14:textId="73EEDE45" w:rsidR="00397242" w:rsidRPr="007C3B9D" w:rsidRDefault="00397242" w:rsidP="00903D77">
            <w:pPr>
              <w:spacing w:line="276" w:lineRule="auto"/>
              <w:rPr>
                <w:rFonts w:cs="Calibri"/>
                <w:lang w:val="en-AU"/>
              </w:rPr>
            </w:pPr>
            <w:r w:rsidRPr="007C3B9D">
              <w:rPr>
                <w:rFonts w:cs="Calibri"/>
                <w:lang w:val="en-AU"/>
              </w:rPr>
              <w:t>ASEAN Member State(s)</w:t>
            </w:r>
          </w:p>
        </w:tc>
      </w:tr>
      <w:tr w:rsidR="00397242" w:rsidRPr="007C3B9D" w14:paraId="627C86EC" w14:textId="77777777" w:rsidTr="0032339B">
        <w:tc>
          <w:tcPr>
            <w:tcW w:w="1555" w:type="dxa"/>
          </w:tcPr>
          <w:p w14:paraId="4490462B" w14:textId="77777777" w:rsidR="00397242" w:rsidRPr="007C3B9D" w:rsidRDefault="00397242" w:rsidP="00903D77">
            <w:pPr>
              <w:spacing w:line="276" w:lineRule="auto"/>
              <w:rPr>
                <w:rFonts w:cs="Calibri"/>
                <w:lang w:val="en-AU"/>
              </w:rPr>
            </w:pPr>
            <w:r w:rsidRPr="007C3B9D">
              <w:rPr>
                <w:rFonts w:cs="Calibri"/>
                <w:lang w:val="en-AU"/>
              </w:rPr>
              <w:t xml:space="preserve">ANCORS </w:t>
            </w:r>
          </w:p>
        </w:tc>
        <w:tc>
          <w:tcPr>
            <w:tcW w:w="7461" w:type="dxa"/>
          </w:tcPr>
          <w:p w14:paraId="6DE0C1ED" w14:textId="2DD1DFF9" w:rsidR="00397242" w:rsidRPr="007C3B9D" w:rsidRDefault="00397242" w:rsidP="00903D77">
            <w:pPr>
              <w:spacing w:line="276" w:lineRule="auto"/>
              <w:rPr>
                <w:rFonts w:cs="Calibri"/>
                <w:lang w:val="en-AU"/>
              </w:rPr>
            </w:pPr>
            <w:r w:rsidRPr="007C3B9D">
              <w:rPr>
                <w:rFonts w:cs="Calibri"/>
                <w:lang w:val="en-AU"/>
              </w:rPr>
              <w:t>Australian National Centre for Ocean Resources and Security</w:t>
            </w:r>
          </w:p>
        </w:tc>
      </w:tr>
      <w:tr w:rsidR="00397242" w:rsidRPr="007C3B9D" w14:paraId="146FACA0" w14:textId="77777777" w:rsidTr="0032339B">
        <w:tc>
          <w:tcPr>
            <w:tcW w:w="1555" w:type="dxa"/>
          </w:tcPr>
          <w:p w14:paraId="5E51063E" w14:textId="77777777" w:rsidR="00397242" w:rsidRPr="007C3B9D" w:rsidRDefault="00397242" w:rsidP="00903D77">
            <w:pPr>
              <w:spacing w:line="276" w:lineRule="auto"/>
              <w:rPr>
                <w:rFonts w:cs="Calibri"/>
                <w:lang w:val="en-AU"/>
              </w:rPr>
            </w:pPr>
            <w:r w:rsidRPr="007C3B9D">
              <w:rPr>
                <w:rFonts w:cs="Calibri"/>
                <w:lang w:val="en-AU"/>
              </w:rPr>
              <w:t xml:space="preserve">APSC </w:t>
            </w:r>
          </w:p>
        </w:tc>
        <w:tc>
          <w:tcPr>
            <w:tcW w:w="7461" w:type="dxa"/>
          </w:tcPr>
          <w:p w14:paraId="656951B0" w14:textId="678A244D" w:rsidR="00397242" w:rsidRPr="007C3B9D" w:rsidRDefault="00397242" w:rsidP="00903D77">
            <w:pPr>
              <w:spacing w:line="276" w:lineRule="auto"/>
              <w:rPr>
                <w:rFonts w:cs="Calibri"/>
                <w:lang w:val="en-AU"/>
              </w:rPr>
            </w:pPr>
            <w:r w:rsidRPr="007C3B9D">
              <w:rPr>
                <w:rFonts w:cs="Calibri"/>
                <w:lang w:val="en-AU"/>
              </w:rPr>
              <w:t>ASEAN Political Security Community</w:t>
            </w:r>
          </w:p>
        </w:tc>
      </w:tr>
      <w:tr w:rsidR="00397242" w:rsidRPr="007C3B9D" w14:paraId="41EC654E" w14:textId="77777777" w:rsidTr="0032339B">
        <w:tc>
          <w:tcPr>
            <w:tcW w:w="1555" w:type="dxa"/>
          </w:tcPr>
          <w:p w14:paraId="1B3E27E1" w14:textId="77777777" w:rsidR="00397242" w:rsidRPr="007C3B9D" w:rsidRDefault="00397242" w:rsidP="00903D77">
            <w:pPr>
              <w:spacing w:line="276" w:lineRule="auto"/>
              <w:rPr>
                <w:rFonts w:cs="Calibri"/>
                <w:lang w:val="en-AU"/>
              </w:rPr>
            </w:pPr>
            <w:r w:rsidRPr="007C3B9D">
              <w:rPr>
                <w:rFonts w:cs="Calibri"/>
                <w:lang w:val="en-AU"/>
              </w:rPr>
              <w:t xml:space="preserve">APSP </w:t>
            </w:r>
          </w:p>
        </w:tc>
        <w:tc>
          <w:tcPr>
            <w:tcW w:w="7461" w:type="dxa"/>
          </w:tcPr>
          <w:p w14:paraId="3A8CAD98" w14:textId="399F9DCD" w:rsidR="00397242" w:rsidRPr="007C3B9D" w:rsidRDefault="00397242" w:rsidP="00903D77">
            <w:pPr>
              <w:spacing w:line="276" w:lineRule="auto"/>
              <w:rPr>
                <w:rFonts w:cs="Calibri"/>
                <w:lang w:val="en-AU"/>
              </w:rPr>
            </w:pPr>
            <w:r w:rsidRPr="007C3B9D">
              <w:rPr>
                <w:rFonts w:cs="Calibri"/>
                <w:lang w:val="en-AU"/>
              </w:rPr>
              <w:t>ASEAN- Australian Political Security Partnership</w:t>
            </w:r>
          </w:p>
        </w:tc>
      </w:tr>
      <w:tr w:rsidR="00397242" w:rsidRPr="007C3B9D" w14:paraId="1BF18DBB" w14:textId="77777777" w:rsidTr="0032339B">
        <w:tc>
          <w:tcPr>
            <w:tcW w:w="1555" w:type="dxa"/>
          </w:tcPr>
          <w:p w14:paraId="24F726F2" w14:textId="77777777" w:rsidR="00397242" w:rsidRPr="007C3B9D" w:rsidRDefault="00397242" w:rsidP="00903D77">
            <w:pPr>
              <w:spacing w:line="276" w:lineRule="auto"/>
              <w:rPr>
                <w:rFonts w:cs="Calibri"/>
                <w:lang w:val="en-AU"/>
              </w:rPr>
            </w:pPr>
            <w:r w:rsidRPr="007C3B9D">
              <w:rPr>
                <w:rFonts w:cs="Calibri"/>
                <w:lang w:val="en-AU"/>
              </w:rPr>
              <w:t xml:space="preserve">ARF </w:t>
            </w:r>
          </w:p>
        </w:tc>
        <w:tc>
          <w:tcPr>
            <w:tcW w:w="7461" w:type="dxa"/>
          </w:tcPr>
          <w:p w14:paraId="389DE1F0" w14:textId="3B7596AB" w:rsidR="00397242" w:rsidRPr="007C3B9D" w:rsidRDefault="00397242" w:rsidP="00903D77">
            <w:pPr>
              <w:spacing w:line="276" w:lineRule="auto"/>
              <w:rPr>
                <w:rFonts w:cs="Calibri"/>
                <w:lang w:val="en-AU"/>
              </w:rPr>
            </w:pPr>
            <w:r w:rsidRPr="007C3B9D">
              <w:rPr>
                <w:rFonts w:cs="Calibri"/>
                <w:lang w:val="en-AU"/>
              </w:rPr>
              <w:t>ASEAN Regional Forum</w:t>
            </w:r>
          </w:p>
        </w:tc>
      </w:tr>
      <w:tr w:rsidR="00397242" w:rsidRPr="007C3B9D" w14:paraId="6F6E38EC" w14:textId="77777777" w:rsidTr="0032339B">
        <w:tc>
          <w:tcPr>
            <w:tcW w:w="1555" w:type="dxa"/>
          </w:tcPr>
          <w:p w14:paraId="1CD6F4BC" w14:textId="77777777" w:rsidR="00397242" w:rsidRPr="007C3B9D" w:rsidRDefault="00397242" w:rsidP="00903D77">
            <w:pPr>
              <w:spacing w:line="276" w:lineRule="auto"/>
              <w:rPr>
                <w:rFonts w:cs="Calibri"/>
                <w:lang w:val="en-AU"/>
              </w:rPr>
            </w:pPr>
            <w:r w:rsidRPr="007C3B9D">
              <w:rPr>
                <w:rFonts w:cs="Calibri"/>
                <w:lang w:val="en-AU"/>
              </w:rPr>
              <w:t xml:space="preserve">ASEAN </w:t>
            </w:r>
          </w:p>
        </w:tc>
        <w:tc>
          <w:tcPr>
            <w:tcW w:w="7461" w:type="dxa"/>
          </w:tcPr>
          <w:p w14:paraId="7D7793CE" w14:textId="2921E5C1" w:rsidR="00397242" w:rsidRPr="007C3B9D" w:rsidRDefault="00397242" w:rsidP="00903D77">
            <w:pPr>
              <w:spacing w:line="276" w:lineRule="auto"/>
              <w:rPr>
                <w:rFonts w:cs="Calibri"/>
                <w:lang w:val="en-AU"/>
              </w:rPr>
            </w:pPr>
            <w:r w:rsidRPr="007C3B9D">
              <w:rPr>
                <w:rFonts w:cs="Calibri"/>
                <w:lang w:val="en-AU"/>
              </w:rPr>
              <w:t>Association of Southeast Asian Nations</w:t>
            </w:r>
          </w:p>
        </w:tc>
      </w:tr>
      <w:tr w:rsidR="00397242" w:rsidRPr="007C3B9D" w14:paraId="1B227642" w14:textId="77777777" w:rsidTr="0032339B">
        <w:tc>
          <w:tcPr>
            <w:tcW w:w="1555" w:type="dxa"/>
          </w:tcPr>
          <w:p w14:paraId="728AB5EF" w14:textId="77777777" w:rsidR="00397242" w:rsidRPr="007C3B9D" w:rsidRDefault="00397242" w:rsidP="00903D77">
            <w:pPr>
              <w:spacing w:line="276" w:lineRule="auto"/>
              <w:rPr>
                <w:rFonts w:cs="Calibri"/>
                <w:lang w:val="en-AU"/>
              </w:rPr>
            </w:pPr>
            <w:r w:rsidRPr="007C3B9D">
              <w:rPr>
                <w:rFonts w:cs="Calibri"/>
                <w:lang w:val="en-AU"/>
              </w:rPr>
              <w:t>ASEAN- IPR</w:t>
            </w:r>
          </w:p>
        </w:tc>
        <w:tc>
          <w:tcPr>
            <w:tcW w:w="7461" w:type="dxa"/>
          </w:tcPr>
          <w:p w14:paraId="4E7289EF" w14:textId="77777777" w:rsidR="00397242" w:rsidRPr="007C3B9D" w:rsidRDefault="00397242" w:rsidP="00903D77">
            <w:pPr>
              <w:spacing w:line="276" w:lineRule="auto"/>
              <w:rPr>
                <w:rFonts w:cs="Calibri"/>
                <w:lang w:val="en-AU"/>
              </w:rPr>
            </w:pPr>
            <w:r w:rsidRPr="007C3B9D">
              <w:rPr>
                <w:rFonts w:cs="Calibri"/>
                <w:lang w:val="en-AU"/>
              </w:rPr>
              <w:t>ASEAN Institute for Peace and Reconciliation</w:t>
            </w:r>
          </w:p>
        </w:tc>
      </w:tr>
      <w:tr w:rsidR="00397242" w:rsidRPr="007C3B9D" w14:paraId="686FCBC3" w14:textId="77777777" w:rsidTr="0032339B">
        <w:tc>
          <w:tcPr>
            <w:tcW w:w="1555" w:type="dxa"/>
          </w:tcPr>
          <w:p w14:paraId="141F930D" w14:textId="77777777" w:rsidR="00397242" w:rsidRPr="007C3B9D" w:rsidRDefault="00397242" w:rsidP="00903D77">
            <w:pPr>
              <w:spacing w:line="276" w:lineRule="auto"/>
              <w:rPr>
                <w:rFonts w:cs="Calibri"/>
                <w:lang w:val="en-AU"/>
              </w:rPr>
            </w:pPr>
            <w:r w:rsidRPr="007C3B9D">
              <w:rPr>
                <w:rFonts w:cs="Calibri"/>
                <w:lang w:val="en-AU"/>
              </w:rPr>
              <w:t xml:space="preserve">ASPI </w:t>
            </w:r>
          </w:p>
        </w:tc>
        <w:tc>
          <w:tcPr>
            <w:tcW w:w="7461" w:type="dxa"/>
          </w:tcPr>
          <w:p w14:paraId="1A5921BB" w14:textId="1477E978" w:rsidR="00397242" w:rsidRPr="007C3B9D" w:rsidRDefault="00397242" w:rsidP="00903D77">
            <w:pPr>
              <w:spacing w:line="276" w:lineRule="auto"/>
              <w:rPr>
                <w:rFonts w:cs="Calibri"/>
                <w:lang w:val="en-AU"/>
              </w:rPr>
            </w:pPr>
            <w:r w:rsidRPr="007C3B9D">
              <w:rPr>
                <w:rFonts w:cs="Calibri"/>
                <w:lang w:val="en-AU"/>
              </w:rPr>
              <w:t>Australian Strategic Policy Institute</w:t>
            </w:r>
          </w:p>
        </w:tc>
      </w:tr>
      <w:tr w:rsidR="00397242" w:rsidRPr="007C3B9D" w14:paraId="175E1D71" w14:textId="77777777" w:rsidTr="0032339B">
        <w:tc>
          <w:tcPr>
            <w:tcW w:w="1555" w:type="dxa"/>
          </w:tcPr>
          <w:p w14:paraId="23E8E6F6" w14:textId="77777777" w:rsidR="00397242" w:rsidRPr="007C3B9D" w:rsidRDefault="00397242" w:rsidP="00903D77">
            <w:pPr>
              <w:spacing w:line="276" w:lineRule="auto"/>
              <w:rPr>
                <w:rFonts w:cs="Calibri"/>
                <w:lang w:val="en-AU"/>
              </w:rPr>
            </w:pPr>
            <w:r w:rsidRPr="007C3B9D">
              <w:rPr>
                <w:rFonts w:cs="Calibri"/>
                <w:lang w:val="en-AU"/>
              </w:rPr>
              <w:t xml:space="preserve">AUSTRAC </w:t>
            </w:r>
          </w:p>
        </w:tc>
        <w:tc>
          <w:tcPr>
            <w:tcW w:w="7461" w:type="dxa"/>
          </w:tcPr>
          <w:p w14:paraId="38F12D28" w14:textId="57445797" w:rsidR="00397242" w:rsidRPr="007C3B9D" w:rsidRDefault="00397242" w:rsidP="00903D77">
            <w:pPr>
              <w:spacing w:line="276" w:lineRule="auto"/>
              <w:rPr>
                <w:rFonts w:cs="Calibri"/>
                <w:lang w:val="en-AU"/>
              </w:rPr>
            </w:pPr>
            <w:r w:rsidRPr="007C3B9D">
              <w:rPr>
                <w:rFonts w:cs="Calibri"/>
                <w:lang w:val="en-AU"/>
              </w:rPr>
              <w:t>Australian Transaction Reports and Analysis Centre</w:t>
            </w:r>
          </w:p>
        </w:tc>
      </w:tr>
      <w:tr w:rsidR="00397242" w:rsidRPr="007C3B9D" w14:paraId="19981486" w14:textId="77777777" w:rsidTr="0032339B">
        <w:tc>
          <w:tcPr>
            <w:tcW w:w="1555" w:type="dxa"/>
          </w:tcPr>
          <w:p w14:paraId="109C3D96" w14:textId="77777777" w:rsidR="00397242" w:rsidRPr="007C3B9D" w:rsidRDefault="00397242" w:rsidP="00903D77">
            <w:pPr>
              <w:spacing w:line="276" w:lineRule="auto"/>
              <w:rPr>
                <w:rFonts w:cs="Calibri"/>
                <w:lang w:val="en-AU"/>
              </w:rPr>
            </w:pPr>
            <w:r w:rsidRPr="007C3B9D">
              <w:rPr>
                <w:rFonts w:cs="Calibri"/>
                <w:lang w:val="en-AU"/>
              </w:rPr>
              <w:t xml:space="preserve">CSIRO </w:t>
            </w:r>
          </w:p>
        </w:tc>
        <w:tc>
          <w:tcPr>
            <w:tcW w:w="7461" w:type="dxa"/>
          </w:tcPr>
          <w:p w14:paraId="54F36C8C" w14:textId="73E12221" w:rsidR="00397242" w:rsidRPr="007C3B9D" w:rsidRDefault="00397242" w:rsidP="00903D77">
            <w:pPr>
              <w:spacing w:line="276" w:lineRule="auto"/>
              <w:rPr>
                <w:rFonts w:cs="Calibri"/>
                <w:lang w:val="en-AU"/>
              </w:rPr>
            </w:pPr>
            <w:r w:rsidRPr="007C3B9D">
              <w:rPr>
                <w:rFonts w:cs="Calibri"/>
                <w:lang w:val="en-AU"/>
              </w:rPr>
              <w:t>Commonwealth Scientific and Industrial Research Organisation</w:t>
            </w:r>
          </w:p>
        </w:tc>
      </w:tr>
      <w:tr w:rsidR="00397242" w:rsidRPr="007C3B9D" w14:paraId="72EE616F" w14:textId="77777777" w:rsidTr="0032339B">
        <w:tc>
          <w:tcPr>
            <w:tcW w:w="1555" w:type="dxa"/>
          </w:tcPr>
          <w:p w14:paraId="7A580E1A" w14:textId="77777777" w:rsidR="00397242" w:rsidRPr="007C3B9D" w:rsidRDefault="00397242" w:rsidP="00903D77">
            <w:pPr>
              <w:spacing w:line="276" w:lineRule="auto"/>
              <w:rPr>
                <w:rFonts w:cs="Calibri"/>
                <w:lang w:val="en-AU"/>
              </w:rPr>
            </w:pPr>
            <w:r w:rsidRPr="007C3B9D">
              <w:rPr>
                <w:rFonts w:cs="Calibri"/>
                <w:lang w:val="en-AU"/>
              </w:rPr>
              <w:t xml:space="preserve">CSO </w:t>
            </w:r>
          </w:p>
        </w:tc>
        <w:tc>
          <w:tcPr>
            <w:tcW w:w="7461" w:type="dxa"/>
          </w:tcPr>
          <w:p w14:paraId="1F21E8D8" w14:textId="1EE749DF" w:rsidR="00397242" w:rsidRPr="007C3B9D" w:rsidRDefault="00397242" w:rsidP="00903D77">
            <w:pPr>
              <w:spacing w:line="276" w:lineRule="auto"/>
              <w:rPr>
                <w:rFonts w:cs="Calibri"/>
                <w:lang w:val="en-AU"/>
              </w:rPr>
            </w:pPr>
            <w:r w:rsidRPr="007C3B9D">
              <w:rPr>
                <w:rFonts w:cs="Calibri"/>
                <w:lang w:val="en-AU"/>
              </w:rPr>
              <w:t>Civil Society Organisation(s)</w:t>
            </w:r>
          </w:p>
        </w:tc>
      </w:tr>
      <w:tr w:rsidR="00397242" w:rsidRPr="007C3B9D" w14:paraId="0F5F619B" w14:textId="77777777" w:rsidTr="0032339B">
        <w:trPr>
          <w:trHeight w:val="281"/>
        </w:trPr>
        <w:tc>
          <w:tcPr>
            <w:tcW w:w="1555" w:type="dxa"/>
          </w:tcPr>
          <w:p w14:paraId="3E1CDDA7" w14:textId="77777777" w:rsidR="00397242" w:rsidRPr="007C3B9D" w:rsidRDefault="00397242" w:rsidP="00903D77">
            <w:pPr>
              <w:spacing w:line="276" w:lineRule="auto"/>
              <w:rPr>
                <w:rFonts w:cs="Calibri"/>
                <w:lang w:val="en-AU"/>
              </w:rPr>
            </w:pPr>
            <w:r w:rsidRPr="007C3B9D">
              <w:rPr>
                <w:rFonts w:cs="Calibri"/>
                <w:lang w:val="en-AU"/>
              </w:rPr>
              <w:t xml:space="preserve">CT </w:t>
            </w:r>
          </w:p>
        </w:tc>
        <w:tc>
          <w:tcPr>
            <w:tcW w:w="7461" w:type="dxa"/>
          </w:tcPr>
          <w:p w14:paraId="747032F2" w14:textId="2A09A97C" w:rsidR="00397242" w:rsidRPr="007C3B9D" w:rsidRDefault="00397242" w:rsidP="00903D77">
            <w:pPr>
              <w:spacing w:line="276" w:lineRule="auto"/>
              <w:rPr>
                <w:rFonts w:cs="Calibri"/>
                <w:lang w:val="en-AU"/>
              </w:rPr>
            </w:pPr>
            <w:r w:rsidRPr="007C3B9D">
              <w:rPr>
                <w:rFonts w:cs="Calibri"/>
                <w:lang w:val="en-AU"/>
              </w:rPr>
              <w:t>Counter-Terrorism</w:t>
            </w:r>
          </w:p>
        </w:tc>
      </w:tr>
      <w:tr w:rsidR="00397242" w:rsidRPr="007C3B9D" w14:paraId="35038053" w14:textId="77777777" w:rsidTr="0032339B">
        <w:tc>
          <w:tcPr>
            <w:tcW w:w="1555" w:type="dxa"/>
          </w:tcPr>
          <w:p w14:paraId="59303C2B" w14:textId="77777777" w:rsidR="00397242" w:rsidRPr="007C3B9D" w:rsidRDefault="00397242" w:rsidP="00903D77">
            <w:pPr>
              <w:spacing w:line="276" w:lineRule="auto"/>
              <w:rPr>
                <w:rFonts w:cs="Calibri"/>
                <w:lang w:val="en-AU"/>
              </w:rPr>
            </w:pPr>
            <w:r w:rsidRPr="007C3B9D">
              <w:rPr>
                <w:rFonts w:cs="Calibri"/>
                <w:lang w:val="en-AU"/>
              </w:rPr>
              <w:t xml:space="preserve">DFAT </w:t>
            </w:r>
          </w:p>
        </w:tc>
        <w:tc>
          <w:tcPr>
            <w:tcW w:w="7461" w:type="dxa"/>
          </w:tcPr>
          <w:p w14:paraId="2A8114B0" w14:textId="4FB7B9BC" w:rsidR="00397242" w:rsidRPr="007C3B9D" w:rsidRDefault="00397242" w:rsidP="00903D77">
            <w:pPr>
              <w:spacing w:line="276" w:lineRule="auto"/>
              <w:rPr>
                <w:rFonts w:cs="Calibri"/>
                <w:lang w:val="en-AU"/>
              </w:rPr>
            </w:pPr>
            <w:r w:rsidRPr="007C3B9D">
              <w:rPr>
                <w:rFonts w:cs="Calibri"/>
                <w:lang w:val="en-AU"/>
              </w:rPr>
              <w:t>Australian Department of Foreign Affairs and Trade</w:t>
            </w:r>
          </w:p>
        </w:tc>
      </w:tr>
      <w:tr w:rsidR="00397242" w:rsidRPr="007C3B9D" w14:paraId="08A9CF62" w14:textId="77777777" w:rsidTr="0032339B">
        <w:tc>
          <w:tcPr>
            <w:tcW w:w="1555" w:type="dxa"/>
          </w:tcPr>
          <w:p w14:paraId="625EC891" w14:textId="77777777" w:rsidR="00397242" w:rsidRPr="007C3B9D" w:rsidRDefault="00397242" w:rsidP="00903D77">
            <w:pPr>
              <w:spacing w:line="276" w:lineRule="auto"/>
              <w:rPr>
                <w:rFonts w:cs="Calibri"/>
                <w:lang w:val="en-AU"/>
              </w:rPr>
            </w:pPr>
            <w:r w:rsidRPr="007C3B9D">
              <w:rPr>
                <w:rFonts w:cs="Calibri"/>
                <w:lang w:val="en-AU"/>
              </w:rPr>
              <w:t xml:space="preserve">DP </w:t>
            </w:r>
          </w:p>
        </w:tc>
        <w:tc>
          <w:tcPr>
            <w:tcW w:w="7461" w:type="dxa"/>
          </w:tcPr>
          <w:p w14:paraId="69414966" w14:textId="565D4A45" w:rsidR="00397242" w:rsidRPr="007C3B9D" w:rsidRDefault="00397242" w:rsidP="00903D77">
            <w:pPr>
              <w:spacing w:line="276" w:lineRule="auto"/>
              <w:rPr>
                <w:rFonts w:cs="Calibri"/>
                <w:lang w:val="en-AU"/>
              </w:rPr>
            </w:pPr>
            <w:r w:rsidRPr="007C3B9D">
              <w:rPr>
                <w:rFonts w:cs="Calibri"/>
                <w:lang w:val="en-AU"/>
              </w:rPr>
              <w:t>Development Partner</w:t>
            </w:r>
          </w:p>
        </w:tc>
      </w:tr>
      <w:tr w:rsidR="00397242" w:rsidRPr="007C3B9D" w14:paraId="748085EE" w14:textId="77777777" w:rsidTr="0032339B">
        <w:tc>
          <w:tcPr>
            <w:tcW w:w="1555" w:type="dxa"/>
          </w:tcPr>
          <w:p w14:paraId="7585A9B5" w14:textId="77777777" w:rsidR="00397242" w:rsidRPr="007C3B9D" w:rsidRDefault="00397242" w:rsidP="00903D77">
            <w:pPr>
              <w:spacing w:line="276" w:lineRule="auto"/>
              <w:rPr>
                <w:rFonts w:cs="Calibri"/>
                <w:lang w:val="en-AU"/>
              </w:rPr>
            </w:pPr>
            <w:r w:rsidRPr="007C3B9D">
              <w:rPr>
                <w:rFonts w:cs="Calibri"/>
                <w:lang w:val="en-AU"/>
              </w:rPr>
              <w:t xml:space="preserve">EOIO </w:t>
            </w:r>
          </w:p>
        </w:tc>
        <w:tc>
          <w:tcPr>
            <w:tcW w:w="7461" w:type="dxa"/>
          </w:tcPr>
          <w:p w14:paraId="23CC6D0E" w14:textId="53F72543" w:rsidR="00397242" w:rsidRPr="007C3B9D" w:rsidRDefault="00397242" w:rsidP="00903D77">
            <w:pPr>
              <w:spacing w:line="276" w:lineRule="auto"/>
              <w:rPr>
                <w:rFonts w:cs="Calibri"/>
                <w:lang w:val="en-AU"/>
              </w:rPr>
            </w:pPr>
            <w:r w:rsidRPr="007C3B9D">
              <w:rPr>
                <w:rFonts w:cs="Calibri"/>
                <w:lang w:val="en-AU"/>
              </w:rPr>
              <w:t>End-of-Investment Outcomes</w:t>
            </w:r>
          </w:p>
        </w:tc>
      </w:tr>
      <w:tr w:rsidR="00397242" w:rsidRPr="007C3B9D" w14:paraId="727F0F02" w14:textId="77777777" w:rsidTr="0032339B">
        <w:tc>
          <w:tcPr>
            <w:tcW w:w="1555" w:type="dxa"/>
          </w:tcPr>
          <w:p w14:paraId="019EDF1F" w14:textId="77777777" w:rsidR="00397242" w:rsidRPr="007C3B9D" w:rsidRDefault="00397242" w:rsidP="00903D77">
            <w:pPr>
              <w:spacing w:line="276" w:lineRule="auto"/>
              <w:rPr>
                <w:rFonts w:cs="Calibri"/>
                <w:lang w:val="en-AU"/>
              </w:rPr>
            </w:pPr>
            <w:r w:rsidRPr="007C3B9D">
              <w:rPr>
                <w:rFonts w:cs="Calibri"/>
                <w:lang w:val="en-AU"/>
              </w:rPr>
              <w:t xml:space="preserve">EQ </w:t>
            </w:r>
          </w:p>
        </w:tc>
        <w:tc>
          <w:tcPr>
            <w:tcW w:w="7461" w:type="dxa"/>
          </w:tcPr>
          <w:p w14:paraId="46E24BB4" w14:textId="4B5D6045" w:rsidR="00397242" w:rsidRPr="007C3B9D" w:rsidRDefault="00397242" w:rsidP="00903D77">
            <w:pPr>
              <w:spacing w:line="276" w:lineRule="auto"/>
              <w:rPr>
                <w:rFonts w:cs="Calibri"/>
                <w:lang w:val="en-AU"/>
              </w:rPr>
            </w:pPr>
            <w:r w:rsidRPr="007C3B9D">
              <w:rPr>
                <w:rFonts w:cs="Calibri"/>
                <w:lang w:val="en-AU"/>
              </w:rPr>
              <w:t>Evaluation Question(s)</w:t>
            </w:r>
          </w:p>
        </w:tc>
      </w:tr>
      <w:tr w:rsidR="00397242" w:rsidRPr="007C3B9D" w14:paraId="7DCB7F4D" w14:textId="77777777" w:rsidTr="0032339B">
        <w:tc>
          <w:tcPr>
            <w:tcW w:w="1555" w:type="dxa"/>
          </w:tcPr>
          <w:p w14:paraId="0F6FA422" w14:textId="77777777" w:rsidR="00397242" w:rsidRPr="007C3B9D" w:rsidRDefault="00397242" w:rsidP="00903D77">
            <w:pPr>
              <w:spacing w:line="276" w:lineRule="auto"/>
              <w:rPr>
                <w:rFonts w:cs="Calibri"/>
                <w:lang w:val="en-AU"/>
              </w:rPr>
            </w:pPr>
            <w:r w:rsidRPr="007C3B9D">
              <w:rPr>
                <w:rFonts w:cs="Calibri"/>
                <w:lang w:val="en-AU"/>
              </w:rPr>
              <w:t xml:space="preserve">FGD </w:t>
            </w:r>
          </w:p>
        </w:tc>
        <w:tc>
          <w:tcPr>
            <w:tcW w:w="7461" w:type="dxa"/>
          </w:tcPr>
          <w:p w14:paraId="48F86F1D" w14:textId="23CEE5CB" w:rsidR="00397242" w:rsidRPr="007C3B9D" w:rsidRDefault="00397242" w:rsidP="00903D77">
            <w:pPr>
              <w:spacing w:line="276" w:lineRule="auto"/>
              <w:rPr>
                <w:rFonts w:cs="Calibri"/>
                <w:lang w:val="en-AU"/>
              </w:rPr>
            </w:pPr>
            <w:r w:rsidRPr="007C3B9D">
              <w:rPr>
                <w:rFonts w:cs="Calibri"/>
                <w:lang w:val="en-AU"/>
              </w:rPr>
              <w:t>Focal Group Discussion(s)</w:t>
            </w:r>
          </w:p>
        </w:tc>
      </w:tr>
      <w:tr w:rsidR="00397242" w:rsidRPr="007C3B9D" w14:paraId="2E5755ED" w14:textId="77777777" w:rsidTr="0032339B">
        <w:tc>
          <w:tcPr>
            <w:tcW w:w="1555" w:type="dxa"/>
          </w:tcPr>
          <w:p w14:paraId="02DFB007" w14:textId="77777777" w:rsidR="00397242" w:rsidRPr="007C3B9D" w:rsidRDefault="00397242" w:rsidP="00903D77">
            <w:pPr>
              <w:spacing w:line="276" w:lineRule="auto"/>
              <w:rPr>
                <w:rFonts w:cs="Calibri"/>
                <w:lang w:val="en-AU"/>
              </w:rPr>
            </w:pPr>
            <w:r w:rsidRPr="007C3B9D">
              <w:rPr>
                <w:rFonts w:cs="Calibri"/>
                <w:lang w:val="en-AU"/>
              </w:rPr>
              <w:t xml:space="preserve">GEDSI </w:t>
            </w:r>
          </w:p>
        </w:tc>
        <w:tc>
          <w:tcPr>
            <w:tcW w:w="7461" w:type="dxa"/>
          </w:tcPr>
          <w:p w14:paraId="5A70A42E" w14:textId="535251B8" w:rsidR="00397242" w:rsidRPr="007C3B9D" w:rsidRDefault="00397242" w:rsidP="00903D77">
            <w:pPr>
              <w:spacing w:line="276" w:lineRule="auto"/>
              <w:rPr>
                <w:rFonts w:cs="Calibri"/>
                <w:lang w:val="en-AU"/>
              </w:rPr>
            </w:pPr>
            <w:r w:rsidRPr="007C3B9D">
              <w:rPr>
                <w:rFonts w:cs="Calibri"/>
                <w:lang w:val="en-AU"/>
              </w:rPr>
              <w:t>Gender Equality, Disability and Social Inclusion</w:t>
            </w:r>
          </w:p>
        </w:tc>
      </w:tr>
      <w:tr w:rsidR="00397242" w:rsidRPr="007C3B9D" w14:paraId="6F7215E9" w14:textId="77777777" w:rsidTr="0032339B">
        <w:tc>
          <w:tcPr>
            <w:tcW w:w="1555" w:type="dxa"/>
          </w:tcPr>
          <w:p w14:paraId="67882E13" w14:textId="77777777" w:rsidR="00397242" w:rsidRPr="007C3B9D" w:rsidRDefault="00397242" w:rsidP="00903D77">
            <w:pPr>
              <w:spacing w:line="276" w:lineRule="auto"/>
              <w:rPr>
                <w:rFonts w:cs="Calibri"/>
                <w:lang w:val="en-AU"/>
              </w:rPr>
            </w:pPr>
            <w:r w:rsidRPr="007C3B9D">
              <w:rPr>
                <w:rFonts w:cs="Calibri"/>
                <w:lang w:val="en-AU"/>
              </w:rPr>
              <w:t xml:space="preserve">IR </w:t>
            </w:r>
          </w:p>
        </w:tc>
        <w:tc>
          <w:tcPr>
            <w:tcW w:w="7461" w:type="dxa"/>
          </w:tcPr>
          <w:p w14:paraId="6E5C8BF5" w14:textId="1815E9CC" w:rsidR="00397242" w:rsidRPr="007C3B9D" w:rsidRDefault="00397242" w:rsidP="00903D77">
            <w:pPr>
              <w:spacing w:line="276" w:lineRule="auto"/>
              <w:rPr>
                <w:rFonts w:cs="Calibri"/>
                <w:lang w:val="en-AU"/>
              </w:rPr>
            </w:pPr>
            <w:r w:rsidRPr="007C3B9D">
              <w:rPr>
                <w:rFonts w:cs="Calibri"/>
                <w:lang w:val="en-AU"/>
              </w:rPr>
              <w:t>Inception Report</w:t>
            </w:r>
          </w:p>
        </w:tc>
      </w:tr>
      <w:tr w:rsidR="00397242" w:rsidRPr="007C3B9D" w14:paraId="59F88B1D" w14:textId="77777777" w:rsidTr="0032339B">
        <w:tc>
          <w:tcPr>
            <w:tcW w:w="1555" w:type="dxa"/>
          </w:tcPr>
          <w:p w14:paraId="06BF78AB" w14:textId="77777777" w:rsidR="00397242" w:rsidRPr="007C3B9D" w:rsidRDefault="00397242" w:rsidP="00903D77">
            <w:pPr>
              <w:spacing w:line="276" w:lineRule="auto"/>
              <w:rPr>
                <w:rFonts w:cs="Calibri"/>
                <w:lang w:val="en-AU"/>
              </w:rPr>
            </w:pPr>
            <w:r w:rsidRPr="007C3B9D">
              <w:rPr>
                <w:rFonts w:cs="Calibri"/>
                <w:lang w:val="en-AU"/>
              </w:rPr>
              <w:t xml:space="preserve">ISM on MS </w:t>
            </w:r>
          </w:p>
        </w:tc>
        <w:tc>
          <w:tcPr>
            <w:tcW w:w="7461" w:type="dxa"/>
          </w:tcPr>
          <w:p w14:paraId="7A84F6AF" w14:textId="1BB6E472" w:rsidR="00397242" w:rsidRPr="007C3B9D" w:rsidRDefault="00397242" w:rsidP="00903D77">
            <w:pPr>
              <w:spacing w:line="276" w:lineRule="auto"/>
              <w:rPr>
                <w:rFonts w:cs="Calibri"/>
                <w:lang w:val="en-AU"/>
              </w:rPr>
            </w:pPr>
            <w:r w:rsidRPr="007C3B9D">
              <w:rPr>
                <w:rFonts w:cs="Calibri"/>
                <w:lang w:val="en-AU"/>
              </w:rPr>
              <w:t>Inter- Sessional Meeting on Maritime Security</w:t>
            </w:r>
          </w:p>
        </w:tc>
      </w:tr>
      <w:tr w:rsidR="00397242" w:rsidRPr="007C3B9D" w14:paraId="0E3FB839" w14:textId="77777777" w:rsidTr="0032339B">
        <w:tc>
          <w:tcPr>
            <w:tcW w:w="1555" w:type="dxa"/>
          </w:tcPr>
          <w:p w14:paraId="2EFDB4D2" w14:textId="77777777" w:rsidR="00397242" w:rsidRPr="007C3B9D" w:rsidRDefault="00397242" w:rsidP="00903D77">
            <w:pPr>
              <w:spacing w:line="276" w:lineRule="auto"/>
              <w:rPr>
                <w:rFonts w:cs="Calibri"/>
                <w:lang w:val="en-AU"/>
              </w:rPr>
            </w:pPr>
            <w:r w:rsidRPr="007C3B9D">
              <w:rPr>
                <w:rFonts w:cs="Calibri"/>
                <w:lang w:val="en-AU"/>
              </w:rPr>
              <w:t xml:space="preserve">KI </w:t>
            </w:r>
          </w:p>
        </w:tc>
        <w:tc>
          <w:tcPr>
            <w:tcW w:w="7461" w:type="dxa"/>
          </w:tcPr>
          <w:p w14:paraId="560EBB99" w14:textId="526698C5" w:rsidR="00397242" w:rsidRPr="007C3B9D" w:rsidRDefault="00397242" w:rsidP="00903D77">
            <w:pPr>
              <w:spacing w:line="276" w:lineRule="auto"/>
              <w:rPr>
                <w:rFonts w:cs="Calibri"/>
                <w:lang w:val="en-AU"/>
              </w:rPr>
            </w:pPr>
            <w:r w:rsidRPr="007C3B9D">
              <w:rPr>
                <w:rFonts w:cs="Calibri"/>
                <w:lang w:val="en-AU"/>
              </w:rPr>
              <w:t>Key Informant</w:t>
            </w:r>
          </w:p>
        </w:tc>
      </w:tr>
      <w:tr w:rsidR="00397242" w:rsidRPr="007C3B9D" w14:paraId="1E1BB094" w14:textId="77777777" w:rsidTr="0032339B">
        <w:tc>
          <w:tcPr>
            <w:tcW w:w="1555" w:type="dxa"/>
          </w:tcPr>
          <w:p w14:paraId="3D8B1BCE" w14:textId="77777777" w:rsidR="00397242" w:rsidRPr="007C3B9D" w:rsidRDefault="00397242" w:rsidP="00903D77">
            <w:pPr>
              <w:spacing w:line="276" w:lineRule="auto"/>
              <w:rPr>
                <w:rFonts w:cs="Calibri"/>
                <w:lang w:val="en-AU"/>
              </w:rPr>
            </w:pPr>
            <w:r w:rsidRPr="007C3B9D">
              <w:rPr>
                <w:rFonts w:cs="Calibri"/>
                <w:lang w:val="en-AU"/>
              </w:rPr>
              <w:t xml:space="preserve">KII </w:t>
            </w:r>
          </w:p>
        </w:tc>
        <w:tc>
          <w:tcPr>
            <w:tcW w:w="7461" w:type="dxa"/>
          </w:tcPr>
          <w:p w14:paraId="1CB6710D" w14:textId="44FF8F9D" w:rsidR="00397242" w:rsidRPr="007C3B9D" w:rsidRDefault="00397242" w:rsidP="00903D77">
            <w:pPr>
              <w:spacing w:line="276" w:lineRule="auto"/>
              <w:rPr>
                <w:rFonts w:cs="Calibri"/>
                <w:lang w:val="en-AU"/>
              </w:rPr>
            </w:pPr>
            <w:r w:rsidRPr="007C3B9D">
              <w:rPr>
                <w:rFonts w:cs="Calibri"/>
                <w:lang w:val="en-AU"/>
              </w:rPr>
              <w:t>Key Informant Interview</w:t>
            </w:r>
          </w:p>
        </w:tc>
      </w:tr>
      <w:tr w:rsidR="00397242" w:rsidRPr="007C3B9D" w14:paraId="34519C80" w14:textId="77777777" w:rsidTr="0032339B">
        <w:tc>
          <w:tcPr>
            <w:tcW w:w="1555" w:type="dxa"/>
          </w:tcPr>
          <w:p w14:paraId="2751E1BA" w14:textId="77777777" w:rsidR="00397242" w:rsidRPr="007C3B9D" w:rsidRDefault="00397242" w:rsidP="00903D77">
            <w:pPr>
              <w:spacing w:line="276" w:lineRule="auto"/>
              <w:rPr>
                <w:rFonts w:cs="Calibri"/>
                <w:lang w:val="en-AU"/>
              </w:rPr>
            </w:pPr>
            <w:r w:rsidRPr="007C3B9D">
              <w:rPr>
                <w:rFonts w:cs="Calibri"/>
                <w:lang w:val="en-AU"/>
              </w:rPr>
              <w:t xml:space="preserve">M&amp;E </w:t>
            </w:r>
          </w:p>
        </w:tc>
        <w:tc>
          <w:tcPr>
            <w:tcW w:w="7461" w:type="dxa"/>
          </w:tcPr>
          <w:p w14:paraId="0B4D6CBF" w14:textId="1B354FE8" w:rsidR="00397242" w:rsidRPr="007C3B9D" w:rsidRDefault="00397242" w:rsidP="00903D77">
            <w:pPr>
              <w:spacing w:line="276" w:lineRule="auto"/>
              <w:rPr>
                <w:rFonts w:cs="Calibri"/>
                <w:lang w:val="en-AU"/>
              </w:rPr>
            </w:pPr>
            <w:r w:rsidRPr="007C3B9D">
              <w:rPr>
                <w:rFonts w:cs="Calibri"/>
                <w:lang w:val="en-AU"/>
              </w:rPr>
              <w:t>Monitoring and Evaluation</w:t>
            </w:r>
          </w:p>
        </w:tc>
      </w:tr>
      <w:tr w:rsidR="00397242" w:rsidRPr="007C3B9D" w14:paraId="07C9B2D3" w14:textId="77777777" w:rsidTr="0032339B">
        <w:tc>
          <w:tcPr>
            <w:tcW w:w="1555" w:type="dxa"/>
          </w:tcPr>
          <w:p w14:paraId="39EDAE6C" w14:textId="77777777" w:rsidR="00397242" w:rsidRPr="007C3B9D" w:rsidRDefault="00397242" w:rsidP="00903D77">
            <w:pPr>
              <w:spacing w:line="276" w:lineRule="auto"/>
              <w:rPr>
                <w:rFonts w:cs="Calibri"/>
                <w:lang w:val="en-AU"/>
              </w:rPr>
            </w:pPr>
            <w:r w:rsidRPr="007C3B9D">
              <w:rPr>
                <w:rFonts w:cs="Calibri"/>
                <w:lang w:val="en-AU"/>
              </w:rPr>
              <w:t xml:space="preserve">MEL </w:t>
            </w:r>
          </w:p>
        </w:tc>
        <w:tc>
          <w:tcPr>
            <w:tcW w:w="7461" w:type="dxa"/>
          </w:tcPr>
          <w:p w14:paraId="6E49297E" w14:textId="674730E6" w:rsidR="00397242" w:rsidRPr="007C3B9D" w:rsidRDefault="00397242" w:rsidP="00903D77">
            <w:pPr>
              <w:spacing w:line="276" w:lineRule="auto"/>
              <w:rPr>
                <w:rFonts w:cs="Calibri"/>
                <w:lang w:val="en-AU"/>
              </w:rPr>
            </w:pPr>
            <w:r w:rsidRPr="007C3B9D">
              <w:rPr>
                <w:rFonts w:cs="Calibri"/>
                <w:lang w:val="en-AU"/>
              </w:rPr>
              <w:t>Monitoring, Evaluation and Learning</w:t>
            </w:r>
          </w:p>
        </w:tc>
      </w:tr>
      <w:tr w:rsidR="00397242" w:rsidRPr="007C3B9D" w14:paraId="616F27F0" w14:textId="77777777" w:rsidTr="0032339B">
        <w:tc>
          <w:tcPr>
            <w:tcW w:w="1555" w:type="dxa"/>
          </w:tcPr>
          <w:p w14:paraId="5FDDF947" w14:textId="77777777" w:rsidR="00397242" w:rsidRPr="007C3B9D" w:rsidRDefault="00397242" w:rsidP="00903D77">
            <w:pPr>
              <w:spacing w:line="276" w:lineRule="auto"/>
              <w:rPr>
                <w:rFonts w:cs="Calibri"/>
                <w:lang w:val="en-AU"/>
              </w:rPr>
            </w:pPr>
            <w:r w:rsidRPr="007C3B9D">
              <w:rPr>
                <w:rFonts w:cs="Calibri"/>
                <w:lang w:val="en-AU"/>
              </w:rPr>
              <w:t xml:space="preserve">NGO </w:t>
            </w:r>
          </w:p>
        </w:tc>
        <w:tc>
          <w:tcPr>
            <w:tcW w:w="7461" w:type="dxa"/>
          </w:tcPr>
          <w:p w14:paraId="61B11493" w14:textId="312BDB8B" w:rsidR="00397242" w:rsidRPr="007C3B9D" w:rsidRDefault="00397242" w:rsidP="00903D77">
            <w:pPr>
              <w:spacing w:line="276" w:lineRule="auto"/>
              <w:rPr>
                <w:rFonts w:cs="Calibri"/>
                <w:lang w:val="en-AU"/>
              </w:rPr>
            </w:pPr>
            <w:r w:rsidRPr="007C3B9D">
              <w:rPr>
                <w:rFonts w:cs="Calibri"/>
                <w:lang w:val="en-AU"/>
              </w:rPr>
              <w:t>Non-Governmental Organisation</w:t>
            </w:r>
          </w:p>
        </w:tc>
      </w:tr>
      <w:tr w:rsidR="00397242" w:rsidRPr="007C3B9D" w14:paraId="2346AD1D" w14:textId="77777777" w:rsidTr="0032339B">
        <w:tc>
          <w:tcPr>
            <w:tcW w:w="1555" w:type="dxa"/>
          </w:tcPr>
          <w:p w14:paraId="005C088B" w14:textId="77777777" w:rsidR="00397242" w:rsidRPr="007C3B9D" w:rsidRDefault="00397242" w:rsidP="00903D77">
            <w:pPr>
              <w:spacing w:line="276" w:lineRule="auto"/>
              <w:rPr>
                <w:rFonts w:cs="Calibri"/>
                <w:lang w:val="en-AU"/>
              </w:rPr>
            </w:pPr>
            <w:r w:rsidRPr="007C3B9D">
              <w:rPr>
                <w:rFonts w:cs="Calibri"/>
                <w:lang w:val="en-AU"/>
              </w:rPr>
              <w:t xml:space="preserve">OGD </w:t>
            </w:r>
          </w:p>
        </w:tc>
        <w:tc>
          <w:tcPr>
            <w:tcW w:w="7461" w:type="dxa"/>
          </w:tcPr>
          <w:p w14:paraId="65C0749E" w14:textId="7A92443A" w:rsidR="00397242" w:rsidRPr="007C3B9D" w:rsidRDefault="00397242" w:rsidP="00903D77">
            <w:pPr>
              <w:spacing w:line="276" w:lineRule="auto"/>
              <w:rPr>
                <w:rFonts w:cs="Calibri"/>
                <w:lang w:val="en-AU"/>
              </w:rPr>
            </w:pPr>
            <w:r w:rsidRPr="007C3B9D">
              <w:rPr>
                <w:rFonts w:cs="Calibri"/>
                <w:lang w:val="en-AU"/>
              </w:rPr>
              <w:t>Other Australian Government Departments</w:t>
            </w:r>
          </w:p>
        </w:tc>
      </w:tr>
      <w:tr w:rsidR="00397242" w:rsidRPr="007C3B9D" w14:paraId="42E07BDE" w14:textId="77777777" w:rsidTr="0032339B">
        <w:tc>
          <w:tcPr>
            <w:tcW w:w="1555" w:type="dxa"/>
          </w:tcPr>
          <w:p w14:paraId="696BFFFC" w14:textId="77777777" w:rsidR="00397242" w:rsidRPr="007C3B9D" w:rsidRDefault="00397242" w:rsidP="00903D77">
            <w:pPr>
              <w:spacing w:line="276" w:lineRule="auto"/>
              <w:rPr>
                <w:rFonts w:cs="Calibri"/>
                <w:lang w:val="en-AU"/>
              </w:rPr>
            </w:pPr>
            <w:r w:rsidRPr="007C3B9D">
              <w:rPr>
                <w:rFonts w:cs="Calibri"/>
                <w:lang w:val="en-AU"/>
              </w:rPr>
              <w:t xml:space="preserve">PMSP </w:t>
            </w:r>
          </w:p>
        </w:tc>
        <w:tc>
          <w:tcPr>
            <w:tcW w:w="7461" w:type="dxa"/>
          </w:tcPr>
          <w:p w14:paraId="6F484734" w14:textId="58505204" w:rsidR="00397242" w:rsidRPr="007C3B9D" w:rsidRDefault="00397242" w:rsidP="00903D77">
            <w:pPr>
              <w:spacing w:line="276" w:lineRule="auto"/>
              <w:rPr>
                <w:rFonts w:cs="Calibri"/>
                <w:lang w:val="en-AU"/>
              </w:rPr>
            </w:pPr>
            <w:r w:rsidRPr="007C3B9D">
              <w:rPr>
                <w:rFonts w:cs="Calibri"/>
                <w:lang w:val="en-AU"/>
              </w:rPr>
              <w:t>Pacific Maritime Security Program</w:t>
            </w:r>
          </w:p>
        </w:tc>
      </w:tr>
      <w:tr w:rsidR="00397242" w:rsidRPr="007C3B9D" w14:paraId="5B8BACFD" w14:textId="77777777" w:rsidTr="0032339B">
        <w:tc>
          <w:tcPr>
            <w:tcW w:w="1555" w:type="dxa"/>
          </w:tcPr>
          <w:p w14:paraId="38FCD5BB" w14:textId="77777777" w:rsidR="00397242" w:rsidRPr="007C3B9D" w:rsidRDefault="00397242" w:rsidP="00903D77">
            <w:pPr>
              <w:spacing w:line="276" w:lineRule="auto"/>
              <w:rPr>
                <w:rFonts w:cs="Calibri"/>
                <w:lang w:val="en-AU"/>
              </w:rPr>
            </w:pPr>
            <w:r w:rsidRPr="007C3B9D">
              <w:rPr>
                <w:rFonts w:cs="Calibri"/>
                <w:lang w:val="en-AU"/>
              </w:rPr>
              <w:t xml:space="preserve">SOMTC </w:t>
            </w:r>
          </w:p>
        </w:tc>
        <w:tc>
          <w:tcPr>
            <w:tcW w:w="7461" w:type="dxa"/>
          </w:tcPr>
          <w:p w14:paraId="56A037DB" w14:textId="1C67417E" w:rsidR="00397242" w:rsidRPr="007C3B9D" w:rsidRDefault="00397242" w:rsidP="00903D77">
            <w:pPr>
              <w:spacing w:line="276" w:lineRule="auto"/>
              <w:rPr>
                <w:rFonts w:cs="Calibri"/>
                <w:lang w:val="en-AU"/>
              </w:rPr>
            </w:pPr>
            <w:r w:rsidRPr="007C3B9D">
              <w:rPr>
                <w:rFonts w:cs="Calibri"/>
                <w:lang w:val="en-AU"/>
              </w:rPr>
              <w:t>Senior Officials Meeting on Transnational Crime</w:t>
            </w:r>
          </w:p>
        </w:tc>
      </w:tr>
      <w:tr w:rsidR="00397242" w:rsidRPr="007C3B9D" w14:paraId="4A34BD6F" w14:textId="77777777" w:rsidTr="0032339B">
        <w:tc>
          <w:tcPr>
            <w:tcW w:w="1555" w:type="dxa"/>
          </w:tcPr>
          <w:p w14:paraId="18785D59" w14:textId="77777777" w:rsidR="00397242" w:rsidRPr="007C3B9D" w:rsidRDefault="00397242" w:rsidP="00903D77">
            <w:pPr>
              <w:spacing w:line="276" w:lineRule="auto"/>
              <w:rPr>
                <w:rFonts w:cs="Calibri"/>
                <w:lang w:val="en-AU"/>
              </w:rPr>
            </w:pPr>
            <w:r w:rsidRPr="007C3B9D">
              <w:rPr>
                <w:rFonts w:cs="Calibri"/>
                <w:lang w:val="en-AU"/>
              </w:rPr>
              <w:t xml:space="preserve">TAF </w:t>
            </w:r>
          </w:p>
        </w:tc>
        <w:tc>
          <w:tcPr>
            <w:tcW w:w="7461" w:type="dxa"/>
          </w:tcPr>
          <w:p w14:paraId="5CA1E756" w14:textId="404830AD" w:rsidR="00397242" w:rsidRPr="007C3B9D" w:rsidRDefault="00397242" w:rsidP="00903D77">
            <w:pPr>
              <w:spacing w:line="276" w:lineRule="auto"/>
              <w:rPr>
                <w:rFonts w:cs="Calibri"/>
                <w:lang w:val="en-AU"/>
              </w:rPr>
            </w:pPr>
            <w:r w:rsidRPr="007C3B9D">
              <w:rPr>
                <w:rFonts w:cs="Calibri"/>
                <w:lang w:val="en-AU"/>
              </w:rPr>
              <w:t>The Asia Foundation</w:t>
            </w:r>
          </w:p>
        </w:tc>
      </w:tr>
      <w:tr w:rsidR="00397242" w:rsidRPr="007C3B9D" w14:paraId="1DC935CD" w14:textId="77777777" w:rsidTr="0032339B">
        <w:tc>
          <w:tcPr>
            <w:tcW w:w="1555" w:type="dxa"/>
          </w:tcPr>
          <w:p w14:paraId="64543A71" w14:textId="77777777" w:rsidR="00397242" w:rsidRPr="007C3B9D" w:rsidRDefault="00397242" w:rsidP="00903D77">
            <w:pPr>
              <w:spacing w:line="276" w:lineRule="auto"/>
              <w:rPr>
                <w:rFonts w:cs="Calibri"/>
                <w:lang w:val="en-AU"/>
              </w:rPr>
            </w:pPr>
            <w:proofErr w:type="spellStart"/>
            <w:r w:rsidRPr="007C3B9D">
              <w:rPr>
                <w:rFonts w:cs="Calibri"/>
                <w:lang w:val="en-AU"/>
              </w:rPr>
              <w:t>ToC</w:t>
            </w:r>
            <w:proofErr w:type="spellEnd"/>
            <w:r w:rsidRPr="007C3B9D">
              <w:rPr>
                <w:rFonts w:cs="Calibri"/>
                <w:lang w:val="en-AU"/>
              </w:rPr>
              <w:t xml:space="preserve"> </w:t>
            </w:r>
          </w:p>
        </w:tc>
        <w:tc>
          <w:tcPr>
            <w:tcW w:w="7461" w:type="dxa"/>
          </w:tcPr>
          <w:p w14:paraId="0E52E934" w14:textId="2C8035A4" w:rsidR="00397242" w:rsidRPr="007C3B9D" w:rsidRDefault="00397242" w:rsidP="00903D77">
            <w:pPr>
              <w:spacing w:line="276" w:lineRule="auto"/>
              <w:rPr>
                <w:rFonts w:cs="Calibri"/>
                <w:lang w:val="en-AU"/>
              </w:rPr>
            </w:pPr>
            <w:r w:rsidRPr="007C3B9D">
              <w:rPr>
                <w:rFonts w:cs="Calibri"/>
                <w:lang w:val="en-AU"/>
              </w:rPr>
              <w:t>Theory of Change</w:t>
            </w:r>
          </w:p>
        </w:tc>
      </w:tr>
      <w:tr w:rsidR="00397242" w:rsidRPr="007C3B9D" w14:paraId="488B6E51" w14:textId="77777777" w:rsidTr="0032339B">
        <w:tc>
          <w:tcPr>
            <w:tcW w:w="1555" w:type="dxa"/>
          </w:tcPr>
          <w:p w14:paraId="4B21BF01" w14:textId="77777777" w:rsidR="00397242" w:rsidRPr="007C3B9D" w:rsidRDefault="00397242" w:rsidP="00903D77">
            <w:pPr>
              <w:spacing w:line="276" w:lineRule="auto"/>
              <w:rPr>
                <w:rFonts w:cs="Calibri"/>
                <w:lang w:val="en-AU"/>
              </w:rPr>
            </w:pPr>
            <w:proofErr w:type="spellStart"/>
            <w:r w:rsidRPr="007C3B9D">
              <w:rPr>
                <w:rFonts w:cs="Calibri"/>
                <w:lang w:val="en-AU"/>
              </w:rPr>
              <w:t>ToR</w:t>
            </w:r>
            <w:proofErr w:type="spellEnd"/>
            <w:r w:rsidRPr="007C3B9D">
              <w:rPr>
                <w:rFonts w:cs="Calibri"/>
                <w:lang w:val="en-AU"/>
              </w:rPr>
              <w:t xml:space="preserve"> </w:t>
            </w:r>
          </w:p>
        </w:tc>
        <w:tc>
          <w:tcPr>
            <w:tcW w:w="7461" w:type="dxa"/>
          </w:tcPr>
          <w:p w14:paraId="68A978C8" w14:textId="4D96916B" w:rsidR="00397242" w:rsidRPr="007C3B9D" w:rsidRDefault="00397242" w:rsidP="00903D77">
            <w:pPr>
              <w:spacing w:line="276" w:lineRule="auto"/>
              <w:rPr>
                <w:rFonts w:cs="Calibri"/>
                <w:lang w:val="en-AU"/>
              </w:rPr>
            </w:pPr>
            <w:r w:rsidRPr="007C3B9D">
              <w:rPr>
                <w:rFonts w:cs="Calibri"/>
                <w:lang w:val="en-AU"/>
              </w:rPr>
              <w:t>Terms of Reference</w:t>
            </w:r>
          </w:p>
        </w:tc>
      </w:tr>
      <w:tr w:rsidR="00397242" w:rsidRPr="007C3B9D" w14:paraId="0EFA826D" w14:textId="77777777" w:rsidTr="0032339B">
        <w:tc>
          <w:tcPr>
            <w:tcW w:w="1555" w:type="dxa"/>
          </w:tcPr>
          <w:p w14:paraId="2813F537" w14:textId="77777777" w:rsidR="00397242" w:rsidRPr="007C3B9D" w:rsidRDefault="00397242" w:rsidP="00903D77">
            <w:pPr>
              <w:spacing w:line="276" w:lineRule="auto"/>
              <w:rPr>
                <w:rFonts w:cs="Calibri"/>
                <w:lang w:val="en-AU"/>
              </w:rPr>
            </w:pPr>
            <w:r w:rsidRPr="007C3B9D">
              <w:rPr>
                <w:rFonts w:cs="Calibri"/>
                <w:lang w:val="en-AU"/>
              </w:rPr>
              <w:t xml:space="preserve">UNCLOS </w:t>
            </w:r>
          </w:p>
        </w:tc>
        <w:tc>
          <w:tcPr>
            <w:tcW w:w="7461" w:type="dxa"/>
          </w:tcPr>
          <w:p w14:paraId="20B30604" w14:textId="2455A298" w:rsidR="00397242" w:rsidRPr="007C3B9D" w:rsidRDefault="00397242" w:rsidP="00903D77">
            <w:pPr>
              <w:spacing w:line="276" w:lineRule="auto"/>
              <w:rPr>
                <w:rFonts w:cs="Calibri"/>
                <w:lang w:val="en-AU"/>
              </w:rPr>
            </w:pPr>
            <w:r w:rsidRPr="007C3B9D">
              <w:rPr>
                <w:rFonts w:cs="Calibri"/>
                <w:lang w:val="en-AU"/>
              </w:rPr>
              <w:t>United Nations Convention on the Law of the Sea</w:t>
            </w:r>
          </w:p>
        </w:tc>
      </w:tr>
      <w:tr w:rsidR="00397242" w:rsidRPr="007C3B9D" w14:paraId="1514E687" w14:textId="77777777" w:rsidTr="0032339B">
        <w:tc>
          <w:tcPr>
            <w:tcW w:w="1555" w:type="dxa"/>
          </w:tcPr>
          <w:p w14:paraId="3B6A4133" w14:textId="77777777" w:rsidR="00397242" w:rsidRPr="007C3B9D" w:rsidRDefault="00397242" w:rsidP="00903D77">
            <w:pPr>
              <w:spacing w:line="276" w:lineRule="auto"/>
              <w:rPr>
                <w:rFonts w:cs="Calibri"/>
                <w:lang w:val="en-AU"/>
              </w:rPr>
            </w:pPr>
            <w:r w:rsidRPr="007C3B9D">
              <w:rPr>
                <w:rFonts w:cs="Calibri"/>
                <w:lang w:val="en-AU"/>
              </w:rPr>
              <w:t xml:space="preserve">UNGGE </w:t>
            </w:r>
          </w:p>
        </w:tc>
        <w:tc>
          <w:tcPr>
            <w:tcW w:w="7461" w:type="dxa"/>
          </w:tcPr>
          <w:p w14:paraId="765424CE" w14:textId="044B6A34" w:rsidR="00397242" w:rsidRPr="007C3B9D" w:rsidRDefault="00397242" w:rsidP="00903D77">
            <w:pPr>
              <w:spacing w:line="276" w:lineRule="auto"/>
              <w:rPr>
                <w:rFonts w:cs="Calibri"/>
                <w:lang w:val="en-AU"/>
              </w:rPr>
            </w:pPr>
            <w:r w:rsidRPr="007C3B9D">
              <w:rPr>
                <w:rFonts w:cs="Calibri"/>
                <w:lang w:val="en-AU"/>
              </w:rPr>
              <w:t>United Nations Group of Governmental Experts on Advancing Responsible State Behaviour in Cyberspace</w:t>
            </w:r>
          </w:p>
        </w:tc>
      </w:tr>
      <w:tr w:rsidR="00397242" w:rsidRPr="007C3B9D" w14:paraId="3FEB78EF" w14:textId="77777777" w:rsidTr="0032339B">
        <w:tc>
          <w:tcPr>
            <w:tcW w:w="1555" w:type="dxa"/>
          </w:tcPr>
          <w:p w14:paraId="5DDC8DE7" w14:textId="77777777" w:rsidR="00397242" w:rsidRPr="007C3B9D" w:rsidRDefault="00397242" w:rsidP="00903D77">
            <w:pPr>
              <w:spacing w:line="276" w:lineRule="auto"/>
              <w:rPr>
                <w:rFonts w:cs="Calibri"/>
                <w:lang w:val="en-AU"/>
              </w:rPr>
            </w:pPr>
            <w:r w:rsidRPr="007C3B9D">
              <w:rPr>
                <w:rFonts w:cs="Calibri"/>
                <w:lang w:val="en-AU"/>
              </w:rPr>
              <w:t xml:space="preserve">WPS </w:t>
            </w:r>
          </w:p>
        </w:tc>
        <w:tc>
          <w:tcPr>
            <w:tcW w:w="7461" w:type="dxa"/>
          </w:tcPr>
          <w:p w14:paraId="713CADFB" w14:textId="77777777" w:rsidR="00397242" w:rsidRPr="007C3B9D" w:rsidRDefault="00397242" w:rsidP="00903D77">
            <w:pPr>
              <w:spacing w:line="276" w:lineRule="auto"/>
              <w:rPr>
                <w:rFonts w:cs="Calibri"/>
                <w:lang w:val="en-AU"/>
              </w:rPr>
            </w:pPr>
            <w:r w:rsidRPr="007C3B9D">
              <w:rPr>
                <w:rFonts w:cs="Calibri"/>
                <w:lang w:val="en-AU"/>
              </w:rPr>
              <w:t xml:space="preserve"> Women, Peace, and Security</w:t>
            </w:r>
          </w:p>
        </w:tc>
      </w:tr>
    </w:tbl>
    <w:p w14:paraId="39F12C12" w14:textId="77777777" w:rsidR="00903D77" w:rsidRDefault="00903D77" w:rsidP="00903D77">
      <w:pPr>
        <w:rPr>
          <w:lang w:val="en-AU"/>
        </w:rPr>
      </w:pPr>
    </w:p>
    <w:p w14:paraId="5D306B3A" w14:textId="198A3608" w:rsidR="001957EC" w:rsidRDefault="001957EC" w:rsidP="00903D77">
      <w:pPr>
        <w:pStyle w:val="Heading1"/>
        <w:pBdr>
          <w:bottom w:val="single" w:sz="4" w:space="0" w:color="595959" w:themeColor="text1" w:themeTint="A6"/>
        </w:pBdr>
        <w:spacing w:before="0" w:after="120" w:line="276" w:lineRule="auto"/>
        <w:rPr>
          <w:lang w:val="en-AU"/>
        </w:rPr>
      </w:pPr>
      <w:bookmarkStart w:id="1" w:name="_Toc206492251"/>
      <w:r w:rsidRPr="007C3B9D">
        <w:rPr>
          <w:lang w:val="en-AU"/>
        </w:rPr>
        <w:lastRenderedPageBreak/>
        <w:t>Executive Summary</w:t>
      </w:r>
      <w:bookmarkEnd w:id="1"/>
    </w:p>
    <w:p w14:paraId="12961295" w14:textId="77777777" w:rsidR="00AA47EF" w:rsidRPr="007C3B9D" w:rsidRDefault="00AA47EF" w:rsidP="00903D77">
      <w:pPr>
        <w:spacing w:after="120" w:line="276" w:lineRule="auto"/>
        <w:jc w:val="both"/>
        <w:rPr>
          <w:rFonts w:cstheme="minorHAnsi"/>
          <w:lang w:val="en-AU"/>
        </w:rPr>
      </w:pPr>
      <w:r w:rsidRPr="007C3B9D">
        <w:rPr>
          <w:rFonts w:cstheme="minorHAnsi"/>
          <w:lang w:val="en-AU"/>
        </w:rPr>
        <w:t xml:space="preserve">This report presents the final evaluation of the ASEAN-Australia Political Security Partnership (APSP) program, a six-year initiative funded by the Australian Government and implemented primarily by The Asia Foundation (TAF). The APSP aims to enhance political and security cooperation between the Association of Southeast Asian Nations (ASEAN) and Australia by addressing a broad range of shared political-security challenges, including </w:t>
      </w:r>
      <w:r w:rsidRPr="007C3B9D">
        <w:rPr>
          <w:rFonts w:cstheme="minorHAnsi"/>
          <w:i/>
          <w:iCs/>
          <w:lang w:val="en-AU"/>
        </w:rPr>
        <w:t>inter alia</w:t>
      </w:r>
      <w:r w:rsidRPr="007C3B9D">
        <w:rPr>
          <w:rFonts w:cstheme="minorHAnsi"/>
          <w:lang w:val="en-AU"/>
        </w:rPr>
        <w:t xml:space="preserve"> cybersecurity, maritime security, transnational crime, and the Women, Peace and Security (WPS) agenda.</w:t>
      </w:r>
    </w:p>
    <w:p w14:paraId="2253A576" w14:textId="77777777" w:rsidR="00AA47EF" w:rsidRPr="007C3B9D" w:rsidRDefault="00AA47EF" w:rsidP="00903D77">
      <w:pPr>
        <w:spacing w:after="120" w:line="276" w:lineRule="auto"/>
        <w:jc w:val="both"/>
        <w:rPr>
          <w:rFonts w:cstheme="minorHAnsi"/>
          <w:lang w:val="en-AU"/>
        </w:rPr>
      </w:pPr>
      <w:r w:rsidRPr="007C3B9D">
        <w:rPr>
          <w:rFonts w:cstheme="minorHAnsi"/>
          <w:lang w:val="en-AU"/>
        </w:rPr>
        <w:t>The evaluation assesses the program's effectiveness, efficiency, relevance, sustainability, impact, and integration of Gender Equality, Disability, and Social Inclusion (GEDSI) considerations. Employing a mixed-methods approach, the evaluation includes a desk review of program documents, stakeholder consultations with 58 key informants, an online survey of 25 participants, observation of program activities, and two case studies. The evaluation encompassed program activities from May 2019 to June 2024, with consideration of ongoing activities through November 2024.</w:t>
      </w:r>
    </w:p>
    <w:p w14:paraId="4C79EB99" w14:textId="77777777" w:rsidR="00AA47EF" w:rsidRPr="007C3B9D" w:rsidRDefault="00AA47EF" w:rsidP="00446279">
      <w:pPr>
        <w:pStyle w:val="Heading2"/>
      </w:pPr>
      <w:bookmarkStart w:id="2" w:name="_Toc206492252"/>
      <w:r w:rsidRPr="007C3B9D">
        <w:t>Findings</w:t>
      </w:r>
      <w:bookmarkEnd w:id="2"/>
    </w:p>
    <w:p w14:paraId="7C503182" w14:textId="1151CC4E" w:rsidR="00AA47EF" w:rsidRPr="007C3B9D" w:rsidRDefault="00AA47EF" w:rsidP="00903D77">
      <w:pPr>
        <w:spacing w:after="120" w:line="276" w:lineRule="auto"/>
        <w:jc w:val="both"/>
        <w:rPr>
          <w:rFonts w:cstheme="minorHAnsi"/>
          <w:color w:val="E97132" w:themeColor="accent2"/>
          <w:lang w:val="en-AU"/>
        </w:rPr>
      </w:pPr>
      <w:r w:rsidRPr="007C3B9D">
        <w:rPr>
          <w:rFonts w:cstheme="minorHAnsi"/>
          <w:color w:val="0F4761" w:themeColor="accent1" w:themeShade="BF"/>
          <w:lang w:val="en-AU"/>
        </w:rPr>
        <w:t>Relevance</w:t>
      </w:r>
      <w:r w:rsidRPr="007C3B9D">
        <w:rPr>
          <w:rFonts w:cstheme="minorHAnsi"/>
          <w:lang w:val="en-AU"/>
        </w:rPr>
        <w:t>: The APSP effectively addresses regional political and security challenges within the ASEAN context. By aligning its objectives with ASEAN's pressing needs, the program tackles complex issues through coordinated strategies, enhanced cooperation, and engagement with external partners. This approach strengthens regional mechanisms and fosters a culture of collaboration.</w:t>
      </w:r>
    </w:p>
    <w:p w14:paraId="2B883BC4" w14:textId="46EB331E" w:rsidR="00AA47EF" w:rsidRPr="007C3B9D" w:rsidRDefault="00AA47EF" w:rsidP="00903D77">
      <w:pPr>
        <w:spacing w:after="120" w:line="276" w:lineRule="auto"/>
        <w:jc w:val="both"/>
        <w:rPr>
          <w:rFonts w:cstheme="minorHAnsi"/>
          <w:lang w:val="en-AU"/>
        </w:rPr>
      </w:pPr>
      <w:r w:rsidRPr="007C3B9D">
        <w:rPr>
          <w:rFonts w:cstheme="minorHAnsi"/>
          <w:lang w:val="en-AU"/>
        </w:rPr>
        <w:t xml:space="preserve">The APSP aligns with the ASEAN Cybersecurity Strategy, the ASEAN Regional Forum Work Plan on Maritime Security, the ASEAN Plan of Action in Combating Transnational Crime and the Senior Officials Meeting on Transnational Crime (SOMTC) Work </w:t>
      </w:r>
      <w:r w:rsidR="0020162E" w:rsidRPr="007C3B9D">
        <w:rPr>
          <w:rFonts w:cstheme="minorHAnsi"/>
          <w:lang w:val="en-AU"/>
        </w:rPr>
        <w:t>Program and</w:t>
      </w:r>
      <w:r w:rsidRPr="007C3B9D">
        <w:rPr>
          <w:rFonts w:cstheme="minorHAnsi"/>
          <w:lang w:val="en-AU"/>
        </w:rPr>
        <w:t xml:space="preserve"> promotes the integration of the WPS agenda into ASEAN's political-security framework.</w:t>
      </w:r>
    </w:p>
    <w:p w14:paraId="2469ABA4" w14:textId="77777777" w:rsidR="00AA47EF" w:rsidRPr="007C3B9D" w:rsidRDefault="00AA47EF" w:rsidP="00903D77">
      <w:pPr>
        <w:spacing w:after="120" w:line="276" w:lineRule="auto"/>
        <w:jc w:val="both"/>
        <w:rPr>
          <w:rFonts w:cstheme="minorHAnsi"/>
          <w:lang w:val="en-AU"/>
        </w:rPr>
      </w:pPr>
      <w:r w:rsidRPr="007C3B9D">
        <w:rPr>
          <w:rFonts w:cstheme="minorHAnsi"/>
          <w:lang w:val="en-AU"/>
        </w:rPr>
        <w:t>The APSP's four key target areas are well-aligned with both Australia's and ASEAN's policies and priorities, operating within ASEAN's strategic frameworks and reinforcing ASEAN's capacity without imposing external priorities. This non-intrusive support model in sensitive areas builds trust and positions the Australia as a respected partner.</w:t>
      </w:r>
    </w:p>
    <w:p w14:paraId="04EA7977" w14:textId="77777777" w:rsidR="00AA47EF" w:rsidRPr="007C3B9D" w:rsidRDefault="00AA47EF" w:rsidP="00903D77">
      <w:pPr>
        <w:spacing w:after="120" w:line="276" w:lineRule="auto"/>
        <w:jc w:val="both"/>
        <w:rPr>
          <w:rFonts w:cstheme="minorHAnsi"/>
          <w:lang w:val="en-AU"/>
        </w:rPr>
      </w:pPr>
      <w:r w:rsidRPr="007C3B9D">
        <w:rPr>
          <w:rFonts w:cstheme="minorHAnsi"/>
          <w:lang w:val="en-AU"/>
        </w:rPr>
        <w:t xml:space="preserve">This strong alignment strengthens the ASEAN-Australia Comprehensive Strategic Partnership and forms a sound basis for continued and future engagement. </w:t>
      </w:r>
    </w:p>
    <w:p w14:paraId="32427743"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Effectiveness</w:t>
      </w:r>
      <w:r w:rsidRPr="007C3B9D">
        <w:rPr>
          <w:rFonts w:cstheme="minorHAnsi"/>
          <w:lang w:val="en-AU"/>
        </w:rPr>
        <w:t>: The program has significantly enhanced engagement between ASEAN and Australian agencies, though challenges remain in fully engaging a diverse range of Australian government departments (OGDs), which has somewhat restricted the diversity of perspectives and expertise available to ASEAN counterparts. The APSP nevertheless engages a growing range of agencies and organisations in both Australia and ASEAN, including sectoral bodies, the ASEAN Secretariat, institutes, and member states in leadership roles. It has facilitated collaboration with Australian agencies such as the Australian Federal Police (AFP) and academic institutions, enhancing mutual understanding. Participants recognise the reciprocal nature of learning and knowledge exchange, fostering operational and strategic benefits.</w:t>
      </w:r>
    </w:p>
    <w:p w14:paraId="3AE6258C" w14:textId="77777777" w:rsidR="00AA47EF" w:rsidRPr="007C3B9D" w:rsidRDefault="00AA47EF" w:rsidP="00903D77">
      <w:pPr>
        <w:spacing w:after="120" w:line="276" w:lineRule="auto"/>
        <w:jc w:val="both"/>
        <w:rPr>
          <w:rFonts w:cstheme="minorHAnsi"/>
          <w:lang w:val="en-AU"/>
        </w:rPr>
      </w:pPr>
      <w:r w:rsidRPr="007C3B9D">
        <w:rPr>
          <w:rFonts w:cstheme="minorHAnsi"/>
          <w:lang w:val="en-AU"/>
        </w:rPr>
        <w:t xml:space="preserve">The APSP has been effective in enhancing dialogue and information-sharing among stakeholders. It emphasises mutual interaction, elevating Australia's visibility and strategic role within ASEAN. The program has strengthened diplomatic ties, operational networks, and provided platforms for knowledge exchange. It encourages ASEAN Member States and the ASEAN Secretariat to enhance </w:t>
      </w:r>
      <w:r w:rsidRPr="007C3B9D">
        <w:rPr>
          <w:rFonts w:cstheme="minorHAnsi"/>
          <w:lang w:val="en-AU"/>
        </w:rPr>
        <w:lastRenderedPageBreak/>
        <w:t>consultation and dialogue, integrating with ASEAN processes and sectoral bodies. By fostering cross-sectoral cohesion on sensitive issues such as WPS and leveraging established partnerships, the program supports collaborative initiatives.</w:t>
      </w:r>
    </w:p>
    <w:p w14:paraId="2A3B4E64" w14:textId="36F24CD1"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Efficiency</w:t>
      </w:r>
      <w:r w:rsidRPr="007C3B9D">
        <w:rPr>
          <w:rFonts w:cstheme="minorHAnsi"/>
          <w:lang w:val="en-AU"/>
        </w:rPr>
        <w:t>: The program has been largely efficient in resource allocation and management. Human and financial resources were appropriately utilised, with activities representing 62% of the total budget. Staff costs are reasonable, reflecting the professional skills required for effective implementation. Program management is effective, with proactive and timely actions addressing changing circumstances, including the C</w:t>
      </w:r>
      <w:r w:rsidR="00AC069C" w:rsidRPr="007C3B9D">
        <w:rPr>
          <w:rFonts w:cstheme="minorHAnsi"/>
          <w:lang w:val="en-AU"/>
        </w:rPr>
        <w:t>OVID-19</w:t>
      </w:r>
      <w:r w:rsidRPr="007C3B9D">
        <w:rPr>
          <w:rFonts w:cstheme="minorHAnsi"/>
          <w:lang w:val="en-AU"/>
        </w:rPr>
        <w:t xml:space="preserve"> pandemic. The partnership between the Department of Foreign Affairs and Trade (DFAT) and TAF has been instrumental, leveraging TAF's regional expertise and networks. Nonetheless, multiple factors have constrained efficiency, including the time needed to decide on topics with the ASEAN co-chair, obtaining internal approvals in Canberra, and addressing Myanmar engagement, prior to proceeding with the formal ASEAN endorsement steps.</w:t>
      </w:r>
    </w:p>
    <w:p w14:paraId="403B26B3"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Sustainability</w:t>
      </w:r>
      <w:r w:rsidRPr="007C3B9D">
        <w:rPr>
          <w:rFonts w:cstheme="minorHAnsi"/>
          <w:lang w:val="en-AU"/>
        </w:rPr>
        <w:t>: The program has contributed to building institutional capacity and fostering enduring partnerships, and ASEAN stakeholders are likely to maintain consultation processes initiated under the program. The demand-driven approach and alignment with ASEAN strategies ensure continued relevance and acceptance among member states, and DFAT and other Australian government departments have opportunities to build on partnerships initiated under the program. Trust developed through the APSP lays the groundwork for future collaboration, though enhanced engagement with OGDs would be needed to maximise potential.</w:t>
      </w:r>
    </w:p>
    <w:p w14:paraId="384868BC"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Impact</w:t>
      </w:r>
      <w:r w:rsidRPr="007C3B9D">
        <w:rPr>
          <w:rFonts w:cstheme="minorHAnsi"/>
          <w:lang w:val="en-AU"/>
        </w:rPr>
        <w:t>: The program has positively contributed to regional stability and trust. Stakeholders note that the APSP strengthens ownership and effectiveness of policy instruments, enhances coordination among law enforcement officials, and promotes cross-sectoral linkages, contributing to regional security. There is a perceived increase in mutual understanding and trust between Australian and ASEAN stakeholders. The program supports ASEAN centrality and leadership on political-security issues, enhancing the partnership's depth.</w:t>
      </w:r>
    </w:p>
    <w:p w14:paraId="4CE6C79E"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GEDSI</w:t>
      </w:r>
      <w:r w:rsidRPr="007C3B9D">
        <w:rPr>
          <w:rFonts w:cstheme="minorHAnsi"/>
          <w:lang w:val="en-AU"/>
        </w:rPr>
        <w:t>: The APSP has substantially mainstreamed GEDSI considerations. A detailed GEDSI strategy has been effectively implemented, focusing on integrating the WPS agenda into the political-security sphere, with gender and women's rights issues addressed under each program pillar. The program has reached a substantial number of women participants and encouraged cross-sectoral approaches to inclusion. There is however scope for further strengthening disability inclusion by involving more civil society organisations across ASEAN.</w:t>
      </w:r>
    </w:p>
    <w:p w14:paraId="4C84D1A3"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Future programming</w:t>
      </w:r>
      <w:r w:rsidRPr="007C3B9D">
        <w:rPr>
          <w:rFonts w:cstheme="minorHAnsi"/>
          <w:lang w:val="en-AU"/>
        </w:rPr>
        <w:t>: Maintaining flexibility and adaptability will be crucial for the program to effectively respond to ASEAN's evolving needs and emerging threats. Continuing the demand-driven approach will allow for adjustments based on shifting regional dynamics, ensuring the program remains relevant and responsive.</w:t>
      </w:r>
    </w:p>
    <w:p w14:paraId="1E6B40DE" w14:textId="2FD924E6" w:rsidR="00AA47EF" w:rsidRPr="007C3B9D" w:rsidRDefault="00AA47EF" w:rsidP="00903D77">
      <w:pPr>
        <w:spacing w:after="120" w:line="276" w:lineRule="auto"/>
        <w:jc w:val="both"/>
        <w:rPr>
          <w:rFonts w:cstheme="minorHAnsi"/>
          <w:lang w:val="en-AU"/>
        </w:rPr>
      </w:pPr>
      <w:r w:rsidRPr="007C3B9D">
        <w:rPr>
          <w:rFonts w:cstheme="minorHAnsi"/>
          <w:lang w:val="en-AU"/>
        </w:rPr>
        <w:t xml:space="preserve">Enhancing engagement with a broader range of Australian government departments will be essential to leverage diverse </w:t>
      </w:r>
      <w:r w:rsidR="006C1A85" w:rsidRPr="007C3B9D">
        <w:rPr>
          <w:rFonts w:cstheme="minorHAnsi"/>
          <w:lang w:val="en-AU"/>
        </w:rPr>
        <w:t>expertise and</w:t>
      </w:r>
      <w:r w:rsidRPr="007C3B9D">
        <w:rPr>
          <w:rFonts w:cstheme="minorHAnsi"/>
          <w:lang w:val="en-AU"/>
        </w:rPr>
        <w:t xml:space="preserve"> foster a more integrated approach. Clarifying structures and responsibilities, and demonstrating the strategic value of participation, could further strengthen the program's impact and provide a more holistic perspective on political-security issues.</w:t>
      </w:r>
    </w:p>
    <w:p w14:paraId="13A458A5" w14:textId="77777777" w:rsidR="00AA47EF" w:rsidRPr="007C3B9D" w:rsidRDefault="00AA47EF" w:rsidP="00903D77">
      <w:pPr>
        <w:spacing w:after="120" w:line="276" w:lineRule="auto"/>
        <w:jc w:val="both"/>
        <w:rPr>
          <w:rFonts w:cstheme="minorHAnsi"/>
          <w:lang w:val="en-AU"/>
        </w:rPr>
      </w:pPr>
      <w:r w:rsidRPr="007C3B9D">
        <w:rPr>
          <w:rFonts w:cstheme="minorHAnsi"/>
          <w:lang w:val="en-AU"/>
        </w:rPr>
        <w:t xml:space="preserve">While the current thematic pillars—cybersecurity, maritime security, transnational crime, and the Women, Peace, and Security agenda—remain highly relevant, integrating additional themes, such as environmental security, could enhance cross-pillar strategies and address emerging regional </w:t>
      </w:r>
      <w:r w:rsidRPr="007C3B9D">
        <w:rPr>
          <w:rFonts w:cstheme="minorHAnsi"/>
          <w:lang w:val="en-AU"/>
        </w:rPr>
        <w:lastRenderedPageBreak/>
        <w:t>challenges. This integration supports comprehensive approaches to security that reflect the interconnected nature of modern threats.</w:t>
      </w:r>
    </w:p>
    <w:p w14:paraId="22E97D2C" w14:textId="77777777" w:rsidR="00AA47EF" w:rsidRPr="007C3B9D" w:rsidRDefault="00AA47EF" w:rsidP="00903D77">
      <w:pPr>
        <w:spacing w:after="120" w:line="276" w:lineRule="auto"/>
        <w:jc w:val="both"/>
        <w:rPr>
          <w:rFonts w:cstheme="minorHAnsi"/>
          <w:lang w:val="en-AU"/>
        </w:rPr>
      </w:pPr>
      <w:r w:rsidRPr="007C3B9D">
        <w:rPr>
          <w:rFonts w:cstheme="minorHAnsi"/>
          <w:lang w:val="en-AU"/>
        </w:rPr>
        <w:t>While ASEAN endorsement processes are internal matters, engaging with these processes more assiduously, and establishing consultative mechanisms to identify emerging issues, could significantly improve efficiency and effectiveness, by reducing delays and enhancing the ability to respond promptly to ASEAN's priorities.</w:t>
      </w:r>
    </w:p>
    <w:p w14:paraId="5DFB4C39" w14:textId="444E3600" w:rsidR="00AA47EF" w:rsidRPr="007C3B9D" w:rsidRDefault="00AA47EF" w:rsidP="00903D77">
      <w:pPr>
        <w:spacing w:after="120" w:line="276" w:lineRule="auto"/>
        <w:jc w:val="both"/>
        <w:rPr>
          <w:rFonts w:cstheme="minorHAnsi"/>
          <w:lang w:val="en-AU"/>
        </w:rPr>
      </w:pPr>
      <w:r w:rsidRPr="007C3B9D">
        <w:rPr>
          <w:rFonts w:cstheme="minorHAnsi"/>
          <w:lang w:val="en-AU"/>
        </w:rPr>
        <w:t>Expanding partnerships with regional organisations and institutions could also enhance the program's impact and sustainability. Collaborating with entities such as regional think tanks, academic institutions, and law enforcement cooperation centres could foster deeper regional ownership and collaboration, strengthening the program's legitimacy and effectiveness.</w:t>
      </w:r>
    </w:p>
    <w:p w14:paraId="7286A92C" w14:textId="631982EA" w:rsidR="00DE783F" w:rsidRPr="007C3B9D" w:rsidRDefault="00DE783F" w:rsidP="00446279">
      <w:pPr>
        <w:pStyle w:val="Heading2"/>
      </w:pPr>
      <w:bookmarkStart w:id="3" w:name="_Toc206492253"/>
      <w:r w:rsidRPr="007C3B9D">
        <w:t>Conclusion</w:t>
      </w:r>
      <w:r w:rsidR="00931D4F" w:rsidRPr="007C3B9D">
        <w:t>s</w:t>
      </w:r>
      <w:bookmarkEnd w:id="3"/>
    </w:p>
    <w:p w14:paraId="28BE97C5" w14:textId="61B11388"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Overall conclusion: </w:t>
      </w:r>
      <w:r w:rsidRPr="007C3B9D">
        <w:rPr>
          <w:rFonts w:cstheme="minorHAnsi"/>
          <w:lang w:val="en-AU"/>
        </w:rPr>
        <w:t>The program successfully aligns with ASEAN's needs and priorities, enhancing mutual engagement and contributing positively to regional political security.</w:t>
      </w:r>
    </w:p>
    <w:p w14:paraId="32D11A30"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Relevance</w:t>
      </w:r>
      <w:r w:rsidRPr="007C3B9D">
        <w:rPr>
          <w:rFonts w:cstheme="minorHAnsi"/>
          <w:lang w:val="en-AU"/>
        </w:rPr>
        <w:t>: The program effectively addresses ASEAN's political and security challenges by aligning its objectives with ASEAN's pressing needs in cybersecurity, maritime security, transnational crime, and the WPS agenda.</w:t>
      </w:r>
    </w:p>
    <w:p w14:paraId="1AE67111"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Effectiveness</w:t>
      </w:r>
      <w:r w:rsidRPr="007C3B9D">
        <w:rPr>
          <w:rFonts w:cstheme="minorHAnsi"/>
          <w:lang w:val="en-AU"/>
        </w:rPr>
        <w:t>: The program has significantly enhanced engagement and knowledge exchange between ASEAN and Australian agencies, though increased involvement of Australian government departments would further strengthen this.</w:t>
      </w:r>
    </w:p>
    <w:p w14:paraId="158C538C"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Efficiency</w:t>
      </w:r>
      <w:r w:rsidRPr="007C3B9D">
        <w:rPr>
          <w:rFonts w:cstheme="minorHAnsi"/>
          <w:lang w:val="en-AU"/>
        </w:rPr>
        <w:t xml:space="preserve">: Resources have been efficiently </w:t>
      </w:r>
      <w:proofErr w:type="gramStart"/>
      <w:r w:rsidRPr="007C3B9D">
        <w:rPr>
          <w:rFonts w:cstheme="minorHAnsi"/>
          <w:lang w:val="en-AU"/>
        </w:rPr>
        <w:t>utilised</w:t>
      </w:r>
      <w:proofErr w:type="gramEnd"/>
      <w:r w:rsidRPr="007C3B9D">
        <w:rPr>
          <w:rFonts w:cstheme="minorHAnsi"/>
          <w:lang w:val="en-AU"/>
        </w:rPr>
        <w:t xml:space="preserve"> and the program is effectively managed, despite some procedural challenges in obtaining ASEAN endorsements.</w:t>
      </w:r>
    </w:p>
    <w:p w14:paraId="436DE871"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Sustainability</w:t>
      </w:r>
      <w:r w:rsidRPr="007C3B9D">
        <w:rPr>
          <w:rFonts w:cstheme="minorHAnsi"/>
          <w:lang w:val="en-AU"/>
        </w:rPr>
        <w:t>: The program fosters enduring partnerships and builds institutional capacity, with ASEAN stakeholders likely to maintain consultation processes due to trust and alignment with regional strategies.</w:t>
      </w:r>
    </w:p>
    <w:p w14:paraId="6A7B14EF" w14:textId="77777777"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Impact</w:t>
      </w:r>
      <w:r w:rsidRPr="007C3B9D">
        <w:rPr>
          <w:rFonts w:cstheme="minorHAnsi"/>
          <w:lang w:val="en-AU"/>
        </w:rPr>
        <w:t>: The program positively contributes to regional stability and trust, strengthening policy implementation, coordination among officials, and mutual understanding between ASEAN and Australia.</w:t>
      </w:r>
    </w:p>
    <w:p w14:paraId="1CE379FD" w14:textId="20BF3A88" w:rsidR="00AA47EF" w:rsidRPr="007C3B9D" w:rsidRDefault="00AA47EF" w:rsidP="00903D77">
      <w:pPr>
        <w:spacing w:after="120" w:line="276" w:lineRule="auto"/>
        <w:jc w:val="both"/>
        <w:rPr>
          <w:rFonts w:cstheme="minorHAnsi"/>
          <w:lang w:val="en-AU"/>
        </w:rPr>
      </w:pPr>
      <w:r w:rsidRPr="007C3B9D">
        <w:rPr>
          <w:rFonts w:cstheme="minorHAnsi"/>
          <w:color w:val="0F4761" w:themeColor="accent1" w:themeShade="BF"/>
          <w:lang w:val="en-AU"/>
        </w:rPr>
        <w:t>GEDSI</w:t>
      </w:r>
      <w:r w:rsidRPr="007C3B9D">
        <w:rPr>
          <w:rFonts w:cstheme="minorHAnsi"/>
          <w:lang w:val="en-AU"/>
        </w:rPr>
        <w:t>: The program effectively mainstreams GEDSI considerations, integrating gender equality and inclusion across all activities and promoting the WPS agenda within the political-security sphere.</w:t>
      </w:r>
    </w:p>
    <w:p w14:paraId="29BED96D" w14:textId="4EC753F3" w:rsidR="0032339B" w:rsidRPr="0032339B" w:rsidRDefault="00AA47EF" w:rsidP="00446279">
      <w:pPr>
        <w:pStyle w:val="Heading2"/>
      </w:pPr>
      <w:bookmarkStart w:id="4" w:name="_Toc206492254"/>
      <w:r w:rsidRPr="007C3B9D">
        <w:t>Recommendations</w:t>
      </w:r>
      <w:bookmarkEnd w:id="4"/>
    </w:p>
    <w:p w14:paraId="65699840" w14:textId="77777777" w:rsidR="0032339B" w:rsidRPr="00446279" w:rsidRDefault="0032339B" w:rsidP="0035461D">
      <w:pPr>
        <w:pStyle w:val="Heading3"/>
      </w:pPr>
      <w:r w:rsidRPr="00446279">
        <w:t>Recommendation 1: Enhance engagement with ASEAN endorsement processes</w:t>
      </w:r>
    </w:p>
    <w:p w14:paraId="1F02B5E7"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Steps to be taken:</w:t>
      </w:r>
    </w:p>
    <w:p w14:paraId="460932EA" w14:textId="77777777" w:rsidR="0032339B" w:rsidRPr="007C3B9D" w:rsidRDefault="0032339B" w:rsidP="00903D77">
      <w:pPr>
        <w:pStyle w:val="ListParagraph"/>
        <w:numPr>
          <w:ilvl w:val="0"/>
          <w:numId w:val="58"/>
        </w:numPr>
        <w:spacing w:line="276" w:lineRule="auto"/>
        <w:contextualSpacing w:val="0"/>
        <w:rPr>
          <w:rFonts w:ascii="Calibri" w:hAnsi="Calibri" w:cs="Calibri"/>
          <w:lang w:val="en-AU"/>
        </w:rPr>
      </w:pPr>
      <w:r w:rsidRPr="007C3B9D">
        <w:rPr>
          <w:rFonts w:ascii="Calibri" w:hAnsi="Calibri" w:cs="Calibri"/>
          <w:lang w:val="en-AU"/>
        </w:rPr>
        <w:t>Engage more directly with ASEAN Secretariat to support endorsement procedures, for example through proactive consultations.</w:t>
      </w:r>
    </w:p>
    <w:p w14:paraId="69F3063C" w14:textId="77777777" w:rsidR="0032339B" w:rsidRPr="007C3B9D" w:rsidRDefault="0032339B" w:rsidP="00903D77">
      <w:pPr>
        <w:pStyle w:val="ListParagraph"/>
        <w:numPr>
          <w:ilvl w:val="0"/>
          <w:numId w:val="58"/>
        </w:numPr>
        <w:spacing w:line="276" w:lineRule="auto"/>
        <w:contextualSpacing w:val="0"/>
        <w:rPr>
          <w:rFonts w:ascii="Calibri" w:hAnsi="Calibri" w:cs="Calibri"/>
          <w:lang w:val="en-AU"/>
        </w:rPr>
      </w:pPr>
      <w:r w:rsidRPr="007C3B9D">
        <w:rPr>
          <w:rFonts w:ascii="Calibri" w:hAnsi="Calibri" w:cs="Calibri"/>
          <w:lang w:val="en-AU"/>
        </w:rPr>
        <w:t>Propose clearer timeframes for each approval step.</w:t>
      </w:r>
    </w:p>
    <w:p w14:paraId="2B4313B9" w14:textId="77777777" w:rsidR="0032339B" w:rsidRPr="007C3B9D" w:rsidRDefault="0032339B" w:rsidP="00903D77">
      <w:pPr>
        <w:pStyle w:val="ListParagraph"/>
        <w:numPr>
          <w:ilvl w:val="0"/>
          <w:numId w:val="58"/>
        </w:numPr>
        <w:spacing w:line="276" w:lineRule="auto"/>
        <w:contextualSpacing w:val="0"/>
        <w:rPr>
          <w:rFonts w:ascii="Calibri" w:hAnsi="Calibri" w:cs="Calibri"/>
          <w:lang w:val="en-AU"/>
        </w:rPr>
      </w:pPr>
      <w:r w:rsidRPr="007C3B9D">
        <w:rPr>
          <w:rFonts w:ascii="Calibri" w:hAnsi="Calibri" w:cs="Calibri"/>
          <w:lang w:val="en-AU"/>
        </w:rPr>
        <w:lastRenderedPageBreak/>
        <w:t>Develop a joint understanding outlining ASEAN endorsement processes, and how the project can better support these.</w:t>
      </w:r>
    </w:p>
    <w:p w14:paraId="47587793"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Responsible parties: DFAT, The Asia Foundation (TAF), ASEAN Secretariat</w:t>
      </w:r>
    </w:p>
    <w:p w14:paraId="27F0144D" w14:textId="77777777" w:rsidR="0032339B" w:rsidRPr="0032339B" w:rsidRDefault="0032339B" w:rsidP="0035461D">
      <w:pPr>
        <w:pStyle w:val="Heading3"/>
      </w:pPr>
      <w:r w:rsidRPr="0032339B">
        <w:t>Recommendation 2: Enhance engagement with Australian Government Departments (OGDs)</w:t>
      </w:r>
    </w:p>
    <w:p w14:paraId="404795E7"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Steps to be taken:</w:t>
      </w:r>
    </w:p>
    <w:p w14:paraId="154EA725" w14:textId="77777777" w:rsidR="0032339B" w:rsidRPr="007C3B9D" w:rsidRDefault="0032339B" w:rsidP="00903D77">
      <w:pPr>
        <w:pStyle w:val="ListParagraph"/>
        <w:numPr>
          <w:ilvl w:val="0"/>
          <w:numId w:val="58"/>
        </w:numPr>
        <w:spacing w:line="276" w:lineRule="auto"/>
        <w:contextualSpacing w:val="0"/>
        <w:rPr>
          <w:rFonts w:ascii="Calibri" w:hAnsi="Calibri" w:cs="Calibri"/>
          <w:lang w:val="en-AU"/>
        </w:rPr>
      </w:pPr>
      <w:r w:rsidRPr="007C3B9D">
        <w:rPr>
          <w:rFonts w:ascii="Calibri" w:hAnsi="Calibri" w:cs="Calibri"/>
          <w:lang w:val="en-AU"/>
        </w:rPr>
        <w:t>Organise inter-departmental briefings on program objectives and benefits.</w:t>
      </w:r>
    </w:p>
    <w:p w14:paraId="056F0352" w14:textId="77777777" w:rsidR="0032339B" w:rsidRPr="007C3B9D" w:rsidRDefault="0032339B" w:rsidP="00903D77">
      <w:pPr>
        <w:pStyle w:val="ListParagraph"/>
        <w:numPr>
          <w:ilvl w:val="0"/>
          <w:numId w:val="58"/>
        </w:numPr>
        <w:spacing w:line="276" w:lineRule="auto"/>
        <w:contextualSpacing w:val="0"/>
        <w:rPr>
          <w:rFonts w:ascii="Calibri" w:hAnsi="Calibri" w:cs="Calibri"/>
          <w:lang w:val="en-AU"/>
        </w:rPr>
      </w:pPr>
      <w:r w:rsidRPr="007C3B9D">
        <w:rPr>
          <w:rFonts w:ascii="Calibri" w:hAnsi="Calibri" w:cs="Calibri"/>
          <w:lang w:val="en-AU"/>
        </w:rPr>
        <w:t>Share preliminary work plans with OGDs several months ahead to facilitate budgeting and</w:t>
      </w:r>
    </w:p>
    <w:p w14:paraId="0EDF2234" w14:textId="77777777" w:rsidR="0032339B" w:rsidRPr="007C3B9D" w:rsidRDefault="0032339B" w:rsidP="00903D77">
      <w:pPr>
        <w:pStyle w:val="ListParagraph"/>
        <w:numPr>
          <w:ilvl w:val="0"/>
          <w:numId w:val="58"/>
        </w:numPr>
        <w:spacing w:line="276" w:lineRule="auto"/>
        <w:contextualSpacing w:val="0"/>
        <w:rPr>
          <w:rFonts w:ascii="Calibri" w:hAnsi="Calibri" w:cs="Calibri"/>
          <w:lang w:val="en-AU"/>
        </w:rPr>
      </w:pPr>
      <w:r w:rsidRPr="007C3B9D">
        <w:rPr>
          <w:rFonts w:ascii="Calibri" w:hAnsi="Calibri" w:cs="Calibri"/>
          <w:lang w:val="en-AU"/>
        </w:rPr>
        <w:t>participation.</w:t>
      </w:r>
    </w:p>
    <w:p w14:paraId="212FEE53" w14:textId="77777777" w:rsidR="0032339B" w:rsidRPr="007C3B9D" w:rsidRDefault="0032339B" w:rsidP="00903D77">
      <w:pPr>
        <w:pStyle w:val="ListParagraph"/>
        <w:numPr>
          <w:ilvl w:val="0"/>
          <w:numId w:val="58"/>
        </w:numPr>
        <w:spacing w:line="276" w:lineRule="auto"/>
        <w:contextualSpacing w:val="0"/>
        <w:rPr>
          <w:rFonts w:ascii="Calibri" w:hAnsi="Calibri" w:cs="Calibri"/>
          <w:lang w:val="en-AU"/>
        </w:rPr>
      </w:pPr>
      <w:r w:rsidRPr="007C3B9D">
        <w:rPr>
          <w:rFonts w:ascii="Calibri" w:hAnsi="Calibri" w:cs="Calibri"/>
          <w:lang w:val="en-AU"/>
        </w:rPr>
        <w:t>Include OGDs in immediate planning stages to align activities with their priorities.</w:t>
      </w:r>
    </w:p>
    <w:p w14:paraId="46D699ED" w14:textId="77777777" w:rsidR="0032339B" w:rsidRPr="007C3B9D" w:rsidRDefault="0032339B" w:rsidP="00903D77">
      <w:pPr>
        <w:pStyle w:val="ListParagraph"/>
        <w:numPr>
          <w:ilvl w:val="0"/>
          <w:numId w:val="58"/>
        </w:numPr>
        <w:spacing w:line="276" w:lineRule="auto"/>
        <w:contextualSpacing w:val="0"/>
        <w:rPr>
          <w:rFonts w:ascii="Calibri" w:hAnsi="Calibri" w:cs="Calibri"/>
          <w:lang w:val="en-AU"/>
        </w:rPr>
      </w:pPr>
      <w:r w:rsidRPr="007C3B9D">
        <w:rPr>
          <w:rFonts w:ascii="Calibri" w:hAnsi="Calibri" w:cs="Calibri"/>
          <w:lang w:val="en-AU"/>
        </w:rPr>
        <w:t>Provide advance notice of upcoming activities.</w:t>
      </w:r>
    </w:p>
    <w:p w14:paraId="31DC06A5"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Responsible parties: DFAT, TAF, OGDs</w:t>
      </w:r>
    </w:p>
    <w:p w14:paraId="60F7B0D8" w14:textId="77777777" w:rsidR="0032339B" w:rsidRPr="0032339B" w:rsidRDefault="0032339B" w:rsidP="0035461D">
      <w:pPr>
        <w:pStyle w:val="Heading3"/>
      </w:pPr>
      <w:r w:rsidRPr="0032339B">
        <w:t>Recommendation 3: Maintain and enhance program flexibility and adaptability</w:t>
      </w:r>
    </w:p>
    <w:p w14:paraId="1948448F"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Steps to be taken:</w:t>
      </w:r>
    </w:p>
    <w:p w14:paraId="047ADF9F" w14:textId="77777777" w:rsidR="0032339B" w:rsidRPr="007C3B9D" w:rsidRDefault="0032339B" w:rsidP="00903D77">
      <w:pPr>
        <w:pStyle w:val="ListParagraph"/>
        <w:numPr>
          <w:ilvl w:val="0"/>
          <w:numId w:val="57"/>
        </w:numPr>
        <w:spacing w:line="276" w:lineRule="auto"/>
        <w:contextualSpacing w:val="0"/>
        <w:rPr>
          <w:rFonts w:ascii="Calibri" w:hAnsi="Calibri" w:cs="Calibri"/>
          <w:lang w:val="en-AU"/>
        </w:rPr>
      </w:pPr>
      <w:r w:rsidRPr="007C3B9D">
        <w:rPr>
          <w:rFonts w:ascii="Calibri" w:hAnsi="Calibri" w:cs="Calibri"/>
          <w:lang w:val="en-AU"/>
        </w:rPr>
        <w:t>Continue the demand-driven approach.</w:t>
      </w:r>
    </w:p>
    <w:p w14:paraId="78E176AE" w14:textId="77777777" w:rsidR="0032339B" w:rsidRPr="007C3B9D" w:rsidRDefault="0032339B" w:rsidP="00903D77">
      <w:pPr>
        <w:pStyle w:val="ListParagraph"/>
        <w:numPr>
          <w:ilvl w:val="0"/>
          <w:numId w:val="57"/>
        </w:numPr>
        <w:spacing w:line="276" w:lineRule="auto"/>
        <w:contextualSpacing w:val="0"/>
        <w:rPr>
          <w:rFonts w:ascii="Calibri" w:hAnsi="Calibri" w:cs="Calibri"/>
          <w:lang w:val="en-AU"/>
        </w:rPr>
      </w:pPr>
      <w:r w:rsidRPr="007C3B9D">
        <w:rPr>
          <w:rFonts w:ascii="Calibri" w:hAnsi="Calibri" w:cs="Calibri"/>
          <w:lang w:val="en-AU"/>
        </w:rPr>
        <w:t>Regularly review and adjust activities to align with emerging challenges.</w:t>
      </w:r>
    </w:p>
    <w:p w14:paraId="7C92D995" w14:textId="77777777" w:rsidR="0032339B" w:rsidRPr="007C3B9D" w:rsidRDefault="0032339B" w:rsidP="00903D77">
      <w:pPr>
        <w:pStyle w:val="ListParagraph"/>
        <w:numPr>
          <w:ilvl w:val="0"/>
          <w:numId w:val="57"/>
        </w:numPr>
        <w:spacing w:line="276" w:lineRule="auto"/>
        <w:contextualSpacing w:val="0"/>
        <w:rPr>
          <w:rFonts w:ascii="Calibri" w:hAnsi="Calibri" w:cs="Calibri"/>
          <w:lang w:val="en-AU"/>
        </w:rPr>
      </w:pPr>
      <w:r w:rsidRPr="007C3B9D">
        <w:rPr>
          <w:rFonts w:ascii="Calibri" w:hAnsi="Calibri" w:cs="Calibri"/>
          <w:lang w:val="en-AU"/>
        </w:rPr>
        <w:t>Establish mechanisms to identify and incorporate new themes.</w:t>
      </w:r>
    </w:p>
    <w:p w14:paraId="28B22A62" w14:textId="77777777" w:rsidR="0032339B" w:rsidRPr="007C3B9D" w:rsidRDefault="0032339B" w:rsidP="00903D77">
      <w:pPr>
        <w:pStyle w:val="ListParagraph"/>
        <w:numPr>
          <w:ilvl w:val="0"/>
          <w:numId w:val="57"/>
        </w:numPr>
        <w:spacing w:line="276" w:lineRule="auto"/>
        <w:contextualSpacing w:val="0"/>
        <w:rPr>
          <w:rFonts w:ascii="Calibri" w:hAnsi="Calibri" w:cs="Calibri"/>
          <w:lang w:val="en-AU"/>
        </w:rPr>
      </w:pPr>
      <w:r w:rsidRPr="007C3B9D">
        <w:rPr>
          <w:rFonts w:ascii="Calibri" w:hAnsi="Calibri" w:cs="Calibri"/>
          <w:lang w:val="en-AU"/>
        </w:rPr>
        <w:t>Develop tailored strategies to address varying capacities among ASEAN Member States.</w:t>
      </w:r>
    </w:p>
    <w:p w14:paraId="5610B1D0"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Responsible parties: TAF, DFAT, ASEAN Secretariat</w:t>
      </w:r>
    </w:p>
    <w:p w14:paraId="59826BF3" w14:textId="77777777" w:rsidR="0032339B" w:rsidRPr="0032339B" w:rsidRDefault="0032339B" w:rsidP="0035461D">
      <w:pPr>
        <w:pStyle w:val="Heading3"/>
      </w:pPr>
      <w:r w:rsidRPr="0032339B">
        <w:t>Recommendation 4: Consider the integration of additional thematic areas (e.g., environmental security)</w:t>
      </w:r>
    </w:p>
    <w:p w14:paraId="7B743EFD"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Steps to be taken:</w:t>
      </w:r>
    </w:p>
    <w:p w14:paraId="35A15776" w14:textId="77777777" w:rsidR="0032339B" w:rsidRPr="007C3B9D" w:rsidRDefault="0032339B" w:rsidP="00903D77">
      <w:pPr>
        <w:pStyle w:val="ListParagraph"/>
        <w:numPr>
          <w:ilvl w:val="0"/>
          <w:numId w:val="56"/>
        </w:numPr>
        <w:spacing w:line="276" w:lineRule="auto"/>
        <w:contextualSpacing w:val="0"/>
        <w:rPr>
          <w:rFonts w:ascii="Calibri" w:hAnsi="Calibri" w:cs="Calibri"/>
          <w:lang w:val="en-AU"/>
        </w:rPr>
      </w:pPr>
      <w:r w:rsidRPr="007C3B9D">
        <w:rPr>
          <w:rFonts w:ascii="Calibri" w:hAnsi="Calibri" w:cs="Calibri"/>
          <w:lang w:val="en-AU"/>
        </w:rPr>
        <w:t>Consult ASEAN stakeholders to identify priority areas.</w:t>
      </w:r>
    </w:p>
    <w:p w14:paraId="09A524E9" w14:textId="77777777" w:rsidR="0032339B" w:rsidRPr="007C3B9D" w:rsidRDefault="0032339B" w:rsidP="00903D77">
      <w:pPr>
        <w:pStyle w:val="ListParagraph"/>
        <w:numPr>
          <w:ilvl w:val="0"/>
          <w:numId w:val="56"/>
        </w:numPr>
        <w:spacing w:line="276" w:lineRule="auto"/>
        <w:contextualSpacing w:val="0"/>
        <w:rPr>
          <w:rFonts w:ascii="Calibri" w:hAnsi="Calibri" w:cs="Calibri"/>
          <w:lang w:val="en-AU"/>
        </w:rPr>
      </w:pPr>
      <w:r w:rsidRPr="007C3B9D">
        <w:rPr>
          <w:rFonts w:ascii="Calibri" w:hAnsi="Calibri" w:cs="Calibri"/>
          <w:lang w:val="en-AU"/>
        </w:rPr>
        <w:t>Develop plans to incorporate any new themes.</w:t>
      </w:r>
    </w:p>
    <w:p w14:paraId="1F85A65C" w14:textId="77777777" w:rsidR="0032339B" w:rsidRPr="007C3B9D" w:rsidRDefault="0032339B" w:rsidP="00903D77">
      <w:pPr>
        <w:pStyle w:val="ListParagraph"/>
        <w:numPr>
          <w:ilvl w:val="0"/>
          <w:numId w:val="56"/>
        </w:numPr>
        <w:spacing w:line="276" w:lineRule="auto"/>
        <w:contextualSpacing w:val="0"/>
        <w:rPr>
          <w:rFonts w:ascii="Calibri" w:hAnsi="Calibri" w:cs="Calibri"/>
          <w:lang w:val="en-AU"/>
        </w:rPr>
      </w:pPr>
      <w:r w:rsidRPr="007C3B9D">
        <w:rPr>
          <w:rFonts w:ascii="Calibri" w:hAnsi="Calibri" w:cs="Calibri"/>
          <w:lang w:val="en-AU"/>
        </w:rPr>
        <w:t>Allocate resources and expertise accordingly.</w:t>
      </w:r>
    </w:p>
    <w:p w14:paraId="654BD53C"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Responsible parties: TAF, DFAT, ASEAN Secretariat</w:t>
      </w:r>
    </w:p>
    <w:p w14:paraId="29405962" w14:textId="77777777" w:rsidR="0032339B" w:rsidRPr="0032339B" w:rsidRDefault="0032339B" w:rsidP="0035461D">
      <w:pPr>
        <w:pStyle w:val="Heading3"/>
      </w:pPr>
      <w:r w:rsidRPr="0032339B">
        <w:t>Recommendation 5: Strengthen and formalise partnerships with regional organisations</w:t>
      </w:r>
    </w:p>
    <w:p w14:paraId="24B1BE60"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Steps to be taken:</w:t>
      </w:r>
    </w:p>
    <w:p w14:paraId="51E11E13" w14:textId="77777777" w:rsidR="0032339B" w:rsidRPr="007C3B9D" w:rsidRDefault="0032339B" w:rsidP="00903D77">
      <w:pPr>
        <w:pStyle w:val="ListParagraph"/>
        <w:numPr>
          <w:ilvl w:val="0"/>
          <w:numId w:val="55"/>
        </w:numPr>
        <w:spacing w:line="276" w:lineRule="auto"/>
        <w:contextualSpacing w:val="0"/>
        <w:rPr>
          <w:rFonts w:ascii="Calibri" w:hAnsi="Calibri" w:cs="Calibri"/>
          <w:lang w:val="en-AU"/>
        </w:rPr>
      </w:pPr>
      <w:r w:rsidRPr="007C3B9D">
        <w:rPr>
          <w:rFonts w:ascii="Calibri" w:hAnsi="Calibri" w:cs="Calibri"/>
          <w:lang w:val="en-AU"/>
        </w:rPr>
        <w:t>Identify potential regional partners (e.g., ASEAN-ISIS, JCLEC, regional universities).</w:t>
      </w:r>
    </w:p>
    <w:p w14:paraId="444B9765" w14:textId="77777777" w:rsidR="0032339B" w:rsidRPr="007C3B9D" w:rsidRDefault="0032339B" w:rsidP="00903D77">
      <w:pPr>
        <w:pStyle w:val="ListParagraph"/>
        <w:numPr>
          <w:ilvl w:val="0"/>
          <w:numId w:val="55"/>
        </w:numPr>
        <w:spacing w:line="276" w:lineRule="auto"/>
        <w:contextualSpacing w:val="0"/>
        <w:rPr>
          <w:rFonts w:ascii="Calibri" w:hAnsi="Calibri" w:cs="Calibri"/>
          <w:lang w:val="en-AU"/>
        </w:rPr>
      </w:pPr>
      <w:r w:rsidRPr="007C3B9D">
        <w:rPr>
          <w:rFonts w:ascii="Calibri" w:hAnsi="Calibri" w:cs="Calibri"/>
          <w:lang w:val="en-AU"/>
        </w:rPr>
        <w:lastRenderedPageBreak/>
        <w:t>Initiate discussions.</w:t>
      </w:r>
    </w:p>
    <w:p w14:paraId="22FBC506" w14:textId="77777777" w:rsidR="0032339B" w:rsidRPr="007C3B9D" w:rsidRDefault="0032339B" w:rsidP="00903D77">
      <w:pPr>
        <w:pStyle w:val="ListParagraph"/>
        <w:numPr>
          <w:ilvl w:val="0"/>
          <w:numId w:val="55"/>
        </w:numPr>
        <w:spacing w:line="276" w:lineRule="auto"/>
        <w:contextualSpacing w:val="0"/>
        <w:rPr>
          <w:rFonts w:ascii="Calibri" w:hAnsi="Calibri" w:cs="Calibri"/>
          <w:lang w:val="en-AU"/>
        </w:rPr>
      </w:pPr>
      <w:r w:rsidRPr="007C3B9D">
        <w:rPr>
          <w:rFonts w:ascii="Calibri" w:hAnsi="Calibri" w:cs="Calibri"/>
          <w:lang w:val="en-AU"/>
        </w:rPr>
        <w:t>Plan for formal agreements and collaboration in the next program phase.</w:t>
      </w:r>
    </w:p>
    <w:p w14:paraId="2FC24E06"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Responsible parties: DFAT, TAF, ASEAN Secretariat, potential partners</w:t>
      </w:r>
    </w:p>
    <w:p w14:paraId="4C3803A9" w14:textId="77777777" w:rsidR="0032339B" w:rsidRPr="0032339B" w:rsidRDefault="0032339B" w:rsidP="0035461D">
      <w:pPr>
        <w:pStyle w:val="Heading3"/>
      </w:pPr>
      <w:r w:rsidRPr="0032339B">
        <w:t>Recommendation 6: Further integrate disability inclusion</w:t>
      </w:r>
    </w:p>
    <w:p w14:paraId="1BF14F2D" w14:textId="77777777" w:rsidR="0032339B" w:rsidRPr="007C3B9D" w:rsidRDefault="0032339B" w:rsidP="00903D77">
      <w:pPr>
        <w:spacing w:line="276" w:lineRule="auto"/>
        <w:rPr>
          <w:rFonts w:ascii="Calibri" w:hAnsi="Calibri" w:cs="Calibri"/>
          <w:lang w:val="en-AU"/>
        </w:rPr>
      </w:pPr>
      <w:r w:rsidRPr="0032339B">
        <w:rPr>
          <w:rFonts w:ascii="Calibri" w:hAnsi="Calibri" w:cs="Calibri"/>
          <w:lang w:val="en-AU"/>
        </w:rPr>
        <w:t>Steps to be taken</w:t>
      </w:r>
      <w:r w:rsidRPr="007C3B9D">
        <w:rPr>
          <w:rFonts w:ascii="Calibri" w:hAnsi="Calibri" w:cs="Calibri"/>
          <w:lang w:val="en-AU"/>
        </w:rPr>
        <w:t>:</w:t>
      </w:r>
    </w:p>
    <w:p w14:paraId="13773097" w14:textId="77777777" w:rsidR="0032339B" w:rsidRPr="007C3B9D" w:rsidRDefault="0032339B" w:rsidP="00903D77">
      <w:pPr>
        <w:pStyle w:val="ListParagraph"/>
        <w:numPr>
          <w:ilvl w:val="0"/>
          <w:numId w:val="54"/>
        </w:numPr>
        <w:spacing w:line="276" w:lineRule="auto"/>
        <w:contextualSpacing w:val="0"/>
        <w:rPr>
          <w:rFonts w:ascii="Calibri" w:hAnsi="Calibri" w:cs="Calibri"/>
          <w:lang w:val="en-AU"/>
        </w:rPr>
      </w:pPr>
      <w:r w:rsidRPr="007C3B9D">
        <w:rPr>
          <w:rFonts w:ascii="Calibri" w:hAnsi="Calibri" w:cs="Calibri"/>
          <w:lang w:val="en-AU"/>
        </w:rPr>
        <w:t>Engage with disability-focused CSOs in ASEAN.</w:t>
      </w:r>
    </w:p>
    <w:p w14:paraId="5E8FD005" w14:textId="77777777" w:rsidR="0032339B" w:rsidRPr="007C3B9D" w:rsidRDefault="0032339B" w:rsidP="00903D77">
      <w:pPr>
        <w:pStyle w:val="ListParagraph"/>
        <w:numPr>
          <w:ilvl w:val="0"/>
          <w:numId w:val="54"/>
        </w:numPr>
        <w:spacing w:line="276" w:lineRule="auto"/>
        <w:contextualSpacing w:val="0"/>
        <w:rPr>
          <w:rFonts w:ascii="Calibri" w:hAnsi="Calibri" w:cs="Calibri"/>
          <w:lang w:val="en-AU"/>
        </w:rPr>
      </w:pPr>
      <w:r w:rsidRPr="007C3B9D">
        <w:rPr>
          <w:rFonts w:ascii="Calibri" w:hAnsi="Calibri" w:cs="Calibri"/>
          <w:lang w:val="en-AU"/>
        </w:rPr>
        <w:t>Include disability topics and representatives in activities.</w:t>
      </w:r>
    </w:p>
    <w:p w14:paraId="4E2C2E60" w14:textId="77777777" w:rsidR="0032339B" w:rsidRPr="007C3B9D" w:rsidRDefault="0032339B" w:rsidP="00903D77">
      <w:pPr>
        <w:pStyle w:val="ListParagraph"/>
        <w:numPr>
          <w:ilvl w:val="0"/>
          <w:numId w:val="54"/>
        </w:numPr>
        <w:spacing w:line="276" w:lineRule="auto"/>
        <w:contextualSpacing w:val="0"/>
        <w:rPr>
          <w:rFonts w:ascii="Calibri" w:hAnsi="Calibri" w:cs="Calibri"/>
          <w:lang w:val="en-AU"/>
        </w:rPr>
      </w:pPr>
      <w:r w:rsidRPr="007C3B9D">
        <w:rPr>
          <w:rFonts w:ascii="Calibri" w:hAnsi="Calibri" w:cs="Calibri"/>
          <w:lang w:val="en-AU"/>
        </w:rPr>
        <w:t>Develop initiatives targeting disability inclusion.</w:t>
      </w:r>
    </w:p>
    <w:p w14:paraId="0FFBFB8F" w14:textId="77777777" w:rsidR="0032339B" w:rsidRPr="007C3B9D" w:rsidRDefault="0032339B" w:rsidP="00903D77">
      <w:pPr>
        <w:spacing w:line="276" w:lineRule="auto"/>
        <w:rPr>
          <w:rFonts w:ascii="Calibri" w:hAnsi="Calibri" w:cs="Calibri"/>
          <w:lang w:val="en-AU"/>
        </w:rPr>
      </w:pPr>
      <w:r w:rsidRPr="0032339B">
        <w:rPr>
          <w:rFonts w:ascii="Calibri" w:hAnsi="Calibri" w:cs="Calibri"/>
          <w:lang w:val="en-AU"/>
        </w:rPr>
        <w:t>Responsible parties</w:t>
      </w:r>
      <w:r w:rsidRPr="007C3B9D">
        <w:rPr>
          <w:rFonts w:ascii="Calibri" w:hAnsi="Calibri" w:cs="Calibri"/>
          <w:lang w:val="en-AU"/>
        </w:rPr>
        <w:t>: TAF, DFAT, ASEAN Secretariat, CSOs</w:t>
      </w:r>
    </w:p>
    <w:p w14:paraId="50EE58E4" w14:textId="77777777" w:rsidR="0032339B" w:rsidRPr="0032339B" w:rsidRDefault="0032339B" w:rsidP="0035461D">
      <w:pPr>
        <w:pStyle w:val="Heading3"/>
      </w:pPr>
      <w:r w:rsidRPr="0032339B">
        <w:t>Recommendation 7: Establish a consultative mechanism for emerging issues</w:t>
      </w:r>
    </w:p>
    <w:p w14:paraId="62D508A7" w14:textId="77777777" w:rsidR="0032339B" w:rsidRPr="007C3B9D" w:rsidRDefault="0032339B" w:rsidP="00903D77">
      <w:pPr>
        <w:spacing w:line="276" w:lineRule="auto"/>
        <w:rPr>
          <w:rFonts w:ascii="Calibri" w:hAnsi="Calibri" w:cs="Calibri"/>
          <w:lang w:val="en-AU"/>
        </w:rPr>
      </w:pPr>
      <w:r w:rsidRPr="0032339B">
        <w:rPr>
          <w:rFonts w:ascii="Calibri" w:hAnsi="Calibri" w:cs="Calibri"/>
          <w:lang w:val="en-AU"/>
        </w:rPr>
        <w:t>Steps to be taken</w:t>
      </w:r>
      <w:r w:rsidRPr="007C3B9D">
        <w:rPr>
          <w:rFonts w:ascii="Calibri" w:hAnsi="Calibri" w:cs="Calibri"/>
          <w:lang w:val="en-AU"/>
        </w:rPr>
        <w:t>:</w:t>
      </w:r>
    </w:p>
    <w:p w14:paraId="21B9E91A" w14:textId="77777777" w:rsidR="0032339B" w:rsidRPr="007C3B9D" w:rsidRDefault="0032339B" w:rsidP="00903D77">
      <w:pPr>
        <w:pStyle w:val="ListParagraph"/>
        <w:numPr>
          <w:ilvl w:val="0"/>
          <w:numId w:val="53"/>
        </w:numPr>
        <w:spacing w:line="276" w:lineRule="auto"/>
        <w:contextualSpacing w:val="0"/>
        <w:rPr>
          <w:rFonts w:ascii="Calibri" w:hAnsi="Calibri" w:cs="Calibri"/>
          <w:lang w:val="en-AU"/>
        </w:rPr>
      </w:pPr>
      <w:r w:rsidRPr="007C3B9D">
        <w:rPr>
          <w:rFonts w:ascii="Calibri" w:hAnsi="Calibri" w:cs="Calibri"/>
          <w:lang w:val="en-AU"/>
        </w:rPr>
        <w:t>Propose forming a consultative committee with ASEAN and OGDs.</w:t>
      </w:r>
    </w:p>
    <w:p w14:paraId="74305CA4" w14:textId="77777777" w:rsidR="0032339B" w:rsidRPr="007C3B9D" w:rsidRDefault="0032339B" w:rsidP="00903D77">
      <w:pPr>
        <w:pStyle w:val="ListParagraph"/>
        <w:numPr>
          <w:ilvl w:val="0"/>
          <w:numId w:val="53"/>
        </w:numPr>
        <w:spacing w:line="276" w:lineRule="auto"/>
        <w:contextualSpacing w:val="0"/>
        <w:rPr>
          <w:rFonts w:ascii="Calibri" w:hAnsi="Calibri" w:cs="Calibri"/>
          <w:lang w:val="en-AU"/>
        </w:rPr>
      </w:pPr>
      <w:r w:rsidRPr="007C3B9D">
        <w:rPr>
          <w:rFonts w:ascii="Calibri" w:hAnsi="Calibri" w:cs="Calibri"/>
          <w:lang w:val="en-AU"/>
        </w:rPr>
        <w:t>Define mandate, membership, and schedule.</w:t>
      </w:r>
    </w:p>
    <w:p w14:paraId="7E5EE361" w14:textId="77777777" w:rsidR="0032339B" w:rsidRPr="007C3B9D" w:rsidRDefault="0032339B" w:rsidP="00903D77">
      <w:pPr>
        <w:pStyle w:val="ListParagraph"/>
        <w:numPr>
          <w:ilvl w:val="0"/>
          <w:numId w:val="53"/>
        </w:numPr>
        <w:spacing w:line="276" w:lineRule="auto"/>
        <w:contextualSpacing w:val="0"/>
        <w:rPr>
          <w:rFonts w:ascii="Calibri" w:hAnsi="Calibri" w:cs="Calibri"/>
          <w:lang w:val="en-AU"/>
        </w:rPr>
      </w:pPr>
      <w:r w:rsidRPr="007C3B9D">
        <w:rPr>
          <w:rFonts w:ascii="Calibri" w:hAnsi="Calibri" w:cs="Calibri"/>
          <w:lang w:val="en-AU"/>
        </w:rPr>
        <w:t>Use the committee for planning the future program and identifying emerging issues.</w:t>
      </w:r>
    </w:p>
    <w:p w14:paraId="1945FE58" w14:textId="77777777" w:rsidR="0032339B" w:rsidRPr="007C3B9D" w:rsidRDefault="0032339B" w:rsidP="00903D77">
      <w:pPr>
        <w:spacing w:line="276" w:lineRule="auto"/>
        <w:rPr>
          <w:rFonts w:ascii="Calibri" w:hAnsi="Calibri" w:cs="Calibri"/>
          <w:lang w:val="en-AU"/>
        </w:rPr>
      </w:pPr>
      <w:r w:rsidRPr="0032339B">
        <w:rPr>
          <w:rFonts w:ascii="Calibri" w:hAnsi="Calibri" w:cs="Calibri"/>
          <w:lang w:val="en-AU"/>
        </w:rPr>
        <w:t>Responsible parties</w:t>
      </w:r>
      <w:r w:rsidRPr="007C3B9D">
        <w:rPr>
          <w:rFonts w:ascii="Calibri" w:hAnsi="Calibri" w:cs="Calibri"/>
          <w:lang w:val="en-AU"/>
        </w:rPr>
        <w:t>: DFAT, TAF, ASEAN Secretariat, OGDs</w:t>
      </w:r>
    </w:p>
    <w:p w14:paraId="2D3B446C" w14:textId="77777777" w:rsidR="0032339B" w:rsidRPr="0032339B" w:rsidRDefault="0032339B" w:rsidP="0035461D">
      <w:pPr>
        <w:pStyle w:val="Heading3"/>
      </w:pPr>
      <w:r w:rsidRPr="0032339B">
        <w:t>Recommendation 8: Continue capacity building for ASEAN institutions</w:t>
      </w:r>
    </w:p>
    <w:p w14:paraId="55BC9D87"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Steps to be taken:</w:t>
      </w:r>
    </w:p>
    <w:p w14:paraId="3FF42A05"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Identify capacity gaps within ASEAN institutions.</w:t>
      </w:r>
    </w:p>
    <w:p w14:paraId="14FCE3D3"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Develop targeted capacity-building programs.</w:t>
      </w:r>
    </w:p>
    <w:p w14:paraId="44BCDF9B"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Monitor and evaluate impact.</w:t>
      </w:r>
    </w:p>
    <w:p w14:paraId="1CDB21DD"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Responsible parties: TAF, DFAT, ASEAN Secretariat</w:t>
      </w:r>
    </w:p>
    <w:p w14:paraId="1DAEEBFC" w14:textId="77777777" w:rsidR="0032339B" w:rsidRPr="0032339B" w:rsidRDefault="0032339B" w:rsidP="0035461D">
      <w:pPr>
        <w:pStyle w:val="Heading3"/>
      </w:pPr>
      <w:r w:rsidRPr="0032339B">
        <w:t>Recommendation 9: Strengthen cross-pillar and cross-sectoral approaches</w:t>
      </w:r>
    </w:p>
    <w:p w14:paraId="5A9FEE13"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Steps to be taken:</w:t>
      </w:r>
    </w:p>
    <w:p w14:paraId="447D2C57"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Design activities involving multiple sectors and pillars.</w:t>
      </w:r>
    </w:p>
    <w:p w14:paraId="111ACC7E"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Encourage diverse stakeholder participation, including civil society and marginalised groups.</w:t>
      </w:r>
    </w:p>
    <w:p w14:paraId="4C23AACE"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Facilitate cross-sector knowledge exchange.</w:t>
      </w:r>
    </w:p>
    <w:p w14:paraId="0F5C810C"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Responsible parties: TAF, DFAT, ASEAN Secretariat</w:t>
      </w:r>
    </w:p>
    <w:p w14:paraId="6ACF6586" w14:textId="77777777" w:rsidR="0032339B" w:rsidRPr="0032339B" w:rsidRDefault="0032339B" w:rsidP="0035461D">
      <w:pPr>
        <w:pStyle w:val="Heading3"/>
      </w:pPr>
      <w:r w:rsidRPr="0032339B">
        <w:lastRenderedPageBreak/>
        <w:t>Recommendation 10: Improve Monitoring and Evaluation (M&amp;E) frameworks</w:t>
      </w:r>
    </w:p>
    <w:p w14:paraId="3176C06A"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Steps to be taken:</w:t>
      </w:r>
    </w:p>
    <w:p w14:paraId="33C06A5D"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Enhance M&amp;E frameworks to include qualitative indicators and participant feedback.</w:t>
      </w:r>
    </w:p>
    <w:p w14:paraId="77BD530A"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Collect and analyse data on long-term outcomes.</w:t>
      </w:r>
    </w:p>
    <w:p w14:paraId="35279DFF"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Use findings to inform adjustments.</w:t>
      </w:r>
    </w:p>
    <w:p w14:paraId="4BE500C0" w14:textId="77777777" w:rsidR="0032339B" w:rsidRPr="007C3B9D" w:rsidRDefault="0032339B" w:rsidP="00903D77">
      <w:pPr>
        <w:pStyle w:val="ListParagraph"/>
        <w:numPr>
          <w:ilvl w:val="0"/>
          <w:numId w:val="52"/>
        </w:numPr>
        <w:spacing w:line="276" w:lineRule="auto"/>
        <w:contextualSpacing w:val="0"/>
        <w:rPr>
          <w:rFonts w:ascii="Calibri" w:hAnsi="Calibri" w:cs="Calibri"/>
          <w:lang w:val="en-AU"/>
        </w:rPr>
      </w:pPr>
      <w:r w:rsidRPr="007C3B9D">
        <w:rPr>
          <w:rFonts w:ascii="Calibri" w:hAnsi="Calibri" w:cs="Calibri"/>
          <w:lang w:val="en-AU"/>
        </w:rPr>
        <w:t>Incorporate participant suggestions for practical applications and inclusivity.</w:t>
      </w:r>
    </w:p>
    <w:p w14:paraId="2B5A99AC"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Responsible parties: TAF, DFAT</w:t>
      </w:r>
    </w:p>
    <w:p w14:paraId="4DC61FBE" w14:textId="77777777" w:rsidR="0032339B" w:rsidRPr="0032339B" w:rsidRDefault="0032339B" w:rsidP="0035461D">
      <w:pPr>
        <w:pStyle w:val="Heading3"/>
      </w:pPr>
      <w:r w:rsidRPr="0032339B">
        <w:t>Recommendation 11: Explore options for program restructuring to enhance sustainability and effectiveness</w:t>
      </w:r>
    </w:p>
    <w:p w14:paraId="44BCA812" w14:textId="77777777" w:rsidR="0032339B" w:rsidRPr="007C3B9D" w:rsidRDefault="0032339B" w:rsidP="00903D77">
      <w:pPr>
        <w:spacing w:line="276" w:lineRule="auto"/>
        <w:rPr>
          <w:rFonts w:ascii="Calibri" w:hAnsi="Calibri" w:cs="Calibri"/>
          <w:lang w:val="en-AU"/>
        </w:rPr>
      </w:pPr>
      <w:r w:rsidRPr="007C3B9D">
        <w:rPr>
          <w:rFonts w:ascii="Calibri" w:hAnsi="Calibri" w:cs="Calibri"/>
          <w:lang w:val="en-AU"/>
        </w:rPr>
        <w:t>Steps to be taken:</w:t>
      </w:r>
    </w:p>
    <w:p w14:paraId="14889189" w14:textId="77777777" w:rsidR="0032339B" w:rsidRPr="007C3B9D" w:rsidRDefault="0032339B" w:rsidP="00903D77">
      <w:pPr>
        <w:pStyle w:val="ListParagraph"/>
        <w:numPr>
          <w:ilvl w:val="0"/>
          <w:numId w:val="38"/>
        </w:numPr>
        <w:spacing w:line="276" w:lineRule="auto"/>
        <w:contextualSpacing w:val="0"/>
        <w:rPr>
          <w:rFonts w:ascii="Calibri" w:hAnsi="Calibri" w:cs="Calibri"/>
          <w:lang w:val="en-AU"/>
        </w:rPr>
      </w:pPr>
      <w:r w:rsidRPr="007C3B9D">
        <w:rPr>
          <w:rFonts w:ascii="Calibri" w:hAnsi="Calibri" w:cs="Calibri"/>
          <w:lang w:val="en-AU"/>
        </w:rPr>
        <w:t>Assess potential benefits and challenges of different program structures (e.g., consortium model, strategic advisory roles for Australian institutions).</w:t>
      </w:r>
    </w:p>
    <w:p w14:paraId="5643E3D3" w14:textId="77777777" w:rsidR="0032339B" w:rsidRPr="007C3B9D" w:rsidRDefault="0032339B" w:rsidP="00903D77">
      <w:pPr>
        <w:pStyle w:val="ListParagraph"/>
        <w:numPr>
          <w:ilvl w:val="0"/>
          <w:numId w:val="38"/>
        </w:numPr>
        <w:spacing w:line="276" w:lineRule="auto"/>
        <w:contextualSpacing w:val="0"/>
        <w:rPr>
          <w:rFonts w:ascii="Calibri" w:hAnsi="Calibri" w:cs="Calibri"/>
          <w:lang w:val="en-AU"/>
        </w:rPr>
      </w:pPr>
      <w:r w:rsidRPr="007C3B9D">
        <w:rPr>
          <w:rFonts w:ascii="Calibri" w:hAnsi="Calibri" w:cs="Calibri"/>
          <w:lang w:val="en-AU"/>
        </w:rPr>
        <w:t>Consult with key stakeholders, including ASEAN, TAF, Australian institutions, and potential regional partners.</w:t>
      </w:r>
    </w:p>
    <w:p w14:paraId="0587F231" w14:textId="77777777" w:rsidR="0032339B" w:rsidRPr="007C3B9D" w:rsidRDefault="0032339B" w:rsidP="00903D77">
      <w:pPr>
        <w:pStyle w:val="ListParagraph"/>
        <w:numPr>
          <w:ilvl w:val="0"/>
          <w:numId w:val="38"/>
        </w:numPr>
        <w:spacing w:line="276" w:lineRule="auto"/>
        <w:contextualSpacing w:val="0"/>
        <w:rPr>
          <w:rFonts w:ascii="Calibri" w:hAnsi="Calibri" w:cs="Calibri"/>
          <w:lang w:val="en-AU"/>
        </w:rPr>
      </w:pPr>
      <w:r w:rsidRPr="007C3B9D">
        <w:rPr>
          <w:rFonts w:ascii="Calibri" w:hAnsi="Calibri" w:cs="Calibri"/>
          <w:lang w:val="en-AU"/>
        </w:rPr>
        <w:t>Develop a strategic plan outlining the preferred structure for future program phases.</w:t>
      </w:r>
    </w:p>
    <w:p w14:paraId="4B6301CA" w14:textId="77777777" w:rsidR="0032339B" w:rsidRPr="007C3B9D" w:rsidRDefault="0032339B" w:rsidP="00903D77">
      <w:pPr>
        <w:spacing w:line="276" w:lineRule="auto"/>
        <w:rPr>
          <w:rFonts w:ascii="Calibri" w:hAnsi="Calibri" w:cs="Calibri"/>
          <w:lang w:val="en-AU"/>
        </w:rPr>
      </w:pPr>
      <w:r w:rsidRPr="007C3B9D">
        <w:rPr>
          <w:rFonts w:ascii="Calibri" w:hAnsi="Calibri" w:cs="Calibri"/>
          <w:color w:val="0F4761" w:themeColor="accent1" w:themeShade="BF"/>
          <w:lang w:val="en-AU"/>
        </w:rPr>
        <w:t>Responsible parties:</w:t>
      </w:r>
      <w:r w:rsidRPr="007C3B9D">
        <w:rPr>
          <w:rFonts w:ascii="Calibri" w:hAnsi="Calibri" w:cs="Calibri"/>
          <w:color w:val="E97132" w:themeColor="accent2"/>
          <w:lang w:val="en-AU"/>
        </w:rPr>
        <w:t xml:space="preserve"> </w:t>
      </w:r>
      <w:r w:rsidRPr="007C3B9D">
        <w:rPr>
          <w:rFonts w:ascii="Calibri" w:hAnsi="Calibri" w:cs="Calibri"/>
          <w:lang w:val="en-AU"/>
        </w:rPr>
        <w:t>DFAT, TAF, ASEAN Secretariat, potential partners</w:t>
      </w:r>
    </w:p>
    <w:p w14:paraId="077B5BB8" w14:textId="227A4955" w:rsidR="001957EC" w:rsidRPr="007C3B9D" w:rsidRDefault="001957EC" w:rsidP="00903D77">
      <w:pPr>
        <w:spacing w:after="120" w:line="276" w:lineRule="auto"/>
        <w:rPr>
          <w:lang w:val="en-AU"/>
        </w:rPr>
      </w:pPr>
      <w:r w:rsidRPr="007C3B9D">
        <w:rPr>
          <w:lang w:val="en-AU"/>
        </w:rPr>
        <w:br w:type="page"/>
      </w:r>
    </w:p>
    <w:p w14:paraId="0BDD2EFE" w14:textId="276EB55D" w:rsidR="00775156" w:rsidRPr="007C3B9D" w:rsidRDefault="00D008E4" w:rsidP="00903D77">
      <w:pPr>
        <w:pStyle w:val="Heading1"/>
        <w:pBdr>
          <w:bottom w:val="single" w:sz="4" w:space="0" w:color="595959" w:themeColor="text1" w:themeTint="A6"/>
        </w:pBdr>
        <w:spacing w:before="0" w:after="120" w:line="276" w:lineRule="auto"/>
        <w:rPr>
          <w:lang w:val="en-AU"/>
        </w:rPr>
      </w:pPr>
      <w:bookmarkStart w:id="5" w:name="_Toc206492255"/>
      <w:r w:rsidRPr="007C3B9D">
        <w:rPr>
          <w:lang w:val="en-AU"/>
        </w:rPr>
        <w:lastRenderedPageBreak/>
        <w:t>Introduction</w:t>
      </w:r>
      <w:bookmarkEnd w:id="5"/>
    </w:p>
    <w:p w14:paraId="220982A4" w14:textId="101234A8" w:rsidR="00802AD3" w:rsidRPr="007C3B9D" w:rsidRDefault="690FC37C" w:rsidP="00903D77">
      <w:pPr>
        <w:pStyle w:val="Default"/>
        <w:spacing w:after="120" w:line="276" w:lineRule="auto"/>
        <w:jc w:val="both"/>
        <w:rPr>
          <w:rFonts w:asciiTheme="minorHAnsi" w:hAnsiTheme="minorHAnsi" w:cstheme="minorBidi"/>
          <w:sz w:val="22"/>
          <w:szCs w:val="22"/>
          <w:lang w:val="en-AU"/>
        </w:rPr>
      </w:pPr>
      <w:r w:rsidRPr="007C3B9D">
        <w:rPr>
          <w:rFonts w:asciiTheme="minorHAnsi" w:hAnsiTheme="minorHAnsi" w:cstheme="minorBidi"/>
          <w:sz w:val="22"/>
          <w:szCs w:val="22"/>
          <w:lang w:val="en-AU"/>
        </w:rPr>
        <w:t xml:space="preserve">This </w:t>
      </w:r>
      <w:r w:rsidR="00F37907" w:rsidRPr="007C3B9D">
        <w:rPr>
          <w:rFonts w:asciiTheme="minorHAnsi" w:hAnsiTheme="minorHAnsi" w:cstheme="minorBidi"/>
          <w:sz w:val="22"/>
          <w:szCs w:val="22"/>
          <w:lang w:val="en-AU"/>
        </w:rPr>
        <w:t>r</w:t>
      </w:r>
      <w:r w:rsidR="00360667" w:rsidRPr="007C3B9D">
        <w:rPr>
          <w:rFonts w:asciiTheme="minorHAnsi" w:hAnsiTheme="minorHAnsi" w:cstheme="minorBidi"/>
          <w:sz w:val="22"/>
          <w:szCs w:val="22"/>
          <w:lang w:val="en-AU"/>
        </w:rPr>
        <w:t>eport</w:t>
      </w:r>
      <w:r w:rsidRPr="007C3B9D">
        <w:rPr>
          <w:rFonts w:asciiTheme="minorHAnsi" w:hAnsiTheme="minorHAnsi" w:cstheme="minorBidi"/>
          <w:sz w:val="22"/>
          <w:szCs w:val="22"/>
          <w:lang w:val="en-AU"/>
        </w:rPr>
        <w:t xml:space="preserve"> </w:t>
      </w:r>
      <w:r w:rsidR="00F37907" w:rsidRPr="007C3B9D">
        <w:rPr>
          <w:rFonts w:asciiTheme="minorHAnsi" w:hAnsiTheme="minorHAnsi" w:cstheme="minorBidi"/>
          <w:sz w:val="22"/>
          <w:szCs w:val="22"/>
          <w:lang w:val="en-AU"/>
        </w:rPr>
        <w:t xml:space="preserve">presents the final evaluation </w:t>
      </w:r>
      <w:r w:rsidRPr="007C3B9D">
        <w:rPr>
          <w:rFonts w:asciiTheme="minorHAnsi" w:hAnsiTheme="minorHAnsi" w:cstheme="minorBidi"/>
          <w:sz w:val="22"/>
          <w:szCs w:val="22"/>
          <w:lang w:val="en-AU"/>
        </w:rPr>
        <w:t xml:space="preserve">of the </w:t>
      </w:r>
      <w:r w:rsidR="00687524" w:rsidRPr="007C3B9D">
        <w:rPr>
          <w:rFonts w:asciiTheme="minorHAnsi" w:hAnsiTheme="minorHAnsi" w:cstheme="minorBidi"/>
          <w:color w:val="auto"/>
          <w:sz w:val="22"/>
          <w:szCs w:val="22"/>
          <w:lang w:val="en-AU"/>
        </w:rPr>
        <w:t>ASEAN-Australian Political Security Partnership</w:t>
      </w:r>
      <w:r w:rsidRPr="007C3B9D">
        <w:rPr>
          <w:rFonts w:asciiTheme="minorHAnsi" w:hAnsiTheme="minorHAnsi" w:cstheme="minorBidi"/>
          <w:color w:val="auto"/>
          <w:sz w:val="22"/>
          <w:szCs w:val="22"/>
          <w:lang w:val="en-AU"/>
        </w:rPr>
        <w:t xml:space="preserve"> (</w:t>
      </w:r>
      <w:r w:rsidR="006F37B2" w:rsidRPr="007C3B9D">
        <w:rPr>
          <w:rFonts w:asciiTheme="minorHAnsi" w:hAnsiTheme="minorHAnsi" w:cstheme="minorBidi"/>
          <w:color w:val="auto"/>
          <w:sz w:val="22"/>
          <w:szCs w:val="22"/>
          <w:lang w:val="en-AU"/>
        </w:rPr>
        <w:t>APSP</w:t>
      </w:r>
      <w:r w:rsidR="00705FEA" w:rsidRPr="007C3B9D">
        <w:rPr>
          <w:rFonts w:asciiTheme="minorHAnsi" w:hAnsiTheme="minorHAnsi" w:cstheme="minorBidi"/>
          <w:color w:val="auto"/>
          <w:sz w:val="22"/>
          <w:szCs w:val="22"/>
          <w:lang w:val="en-AU"/>
        </w:rPr>
        <w:t>/</w:t>
      </w:r>
      <w:r w:rsidR="006F37B2" w:rsidRPr="007C3B9D">
        <w:rPr>
          <w:rFonts w:asciiTheme="minorHAnsi" w:hAnsiTheme="minorHAnsi" w:cstheme="minorBidi"/>
          <w:color w:val="auto"/>
          <w:sz w:val="22"/>
          <w:szCs w:val="22"/>
          <w:lang w:val="en-AU"/>
        </w:rPr>
        <w:t xml:space="preserve"> </w:t>
      </w:r>
      <w:r w:rsidRPr="007C3B9D">
        <w:rPr>
          <w:rFonts w:asciiTheme="minorHAnsi" w:hAnsiTheme="minorHAnsi" w:cstheme="minorBidi"/>
          <w:color w:val="auto"/>
          <w:sz w:val="22"/>
          <w:szCs w:val="22"/>
          <w:lang w:val="en-AU"/>
        </w:rPr>
        <w:t xml:space="preserve">the </w:t>
      </w:r>
      <w:r w:rsidR="0050186B" w:rsidRPr="007C3B9D">
        <w:rPr>
          <w:rFonts w:asciiTheme="minorHAnsi" w:hAnsiTheme="minorHAnsi" w:cstheme="minorBidi"/>
          <w:color w:val="auto"/>
          <w:sz w:val="22"/>
          <w:szCs w:val="22"/>
          <w:lang w:val="en-AU"/>
        </w:rPr>
        <w:t>program</w:t>
      </w:r>
      <w:r w:rsidRPr="007C3B9D">
        <w:rPr>
          <w:rFonts w:asciiTheme="minorHAnsi" w:hAnsiTheme="minorHAnsi" w:cstheme="minorBidi"/>
          <w:color w:val="auto"/>
          <w:sz w:val="22"/>
          <w:szCs w:val="22"/>
          <w:lang w:val="en-AU"/>
        </w:rPr>
        <w:t>)</w:t>
      </w:r>
      <w:r w:rsidRPr="007C3B9D">
        <w:rPr>
          <w:rFonts w:asciiTheme="minorHAnsi" w:hAnsiTheme="minorHAnsi" w:cstheme="minorBidi"/>
          <w:sz w:val="22"/>
          <w:szCs w:val="22"/>
          <w:lang w:val="en-AU"/>
        </w:rPr>
        <w:t xml:space="preserve">, </w:t>
      </w:r>
      <w:r w:rsidR="008B70BE" w:rsidRPr="007C3B9D">
        <w:rPr>
          <w:rFonts w:asciiTheme="minorHAnsi" w:hAnsiTheme="minorHAnsi" w:cstheme="minorBidi"/>
          <w:sz w:val="22"/>
          <w:szCs w:val="22"/>
          <w:lang w:val="en-AU"/>
        </w:rPr>
        <w:t xml:space="preserve">a program </w:t>
      </w:r>
      <w:r w:rsidRPr="007C3B9D">
        <w:rPr>
          <w:rFonts w:asciiTheme="minorHAnsi" w:hAnsiTheme="minorHAnsi" w:cstheme="minorBidi"/>
          <w:sz w:val="22"/>
          <w:szCs w:val="22"/>
          <w:lang w:val="en-AU"/>
        </w:rPr>
        <w:t xml:space="preserve">funded by the </w:t>
      </w:r>
      <w:r w:rsidR="00687524" w:rsidRPr="007C3B9D">
        <w:rPr>
          <w:rFonts w:asciiTheme="minorHAnsi" w:hAnsiTheme="minorHAnsi" w:cstheme="minorBidi"/>
          <w:sz w:val="22"/>
          <w:szCs w:val="22"/>
          <w:lang w:val="en-AU"/>
        </w:rPr>
        <w:t>Australian Department of Foreign Affairs and Trade</w:t>
      </w:r>
      <w:r w:rsidRPr="007C3B9D">
        <w:rPr>
          <w:rFonts w:asciiTheme="minorHAnsi" w:hAnsiTheme="minorHAnsi" w:cstheme="minorBidi"/>
          <w:color w:val="auto"/>
          <w:sz w:val="22"/>
          <w:szCs w:val="22"/>
          <w:lang w:val="en-AU"/>
        </w:rPr>
        <w:t xml:space="preserve"> (</w:t>
      </w:r>
      <w:r w:rsidR="00687524" w:rsidRPr="007C3B9D">
        <w:rPr>
          <w:rFonts w:asciiTheme="minorHAnsi" w:hAnsiTheme="minorHAnsi" w:cstheme="minorBidi"/>
          <w:color w:val="auto"/>
          <w:sz w:val="22"/>
          <w:szCs w:val="22"/>
          <w:lang w:val="en-AU"/>
        </w:rPr>
        <w:t>DFAT</w:t>
      </w:r>
      <w:r w:rsidR="0062522F" w:rsidRPr="007C3B9D">
        <w:rPr>
          <w:rFonts w:asciiTheme="minorHAnsi" w:hAnsiTheme="minorHAnsi" w:cstheme="minorBidi"/>
          <w:color w:val="auto"/>
          <w:sz w:val="22"/>
          <w:szCs w:val="22"/>
          <w:lang w:val="en-AU"/>
        </w:rPr>
        <w:t>) and</w:t>
      </w:r>
      <w:r w:rsidR="00396CAB" w:rsidRPr="007C3B9D">
        <w:rPr>
          <w:rFonts w:asciiTheme="minorHAnsi" w:hAnsiTheme="minorHAnsi" w:cstheme="minorBidi"/>
          <w:color w:val="auto"/>
          <w:sz w:val="22"/>
          <w:szCs w:val="22"/>
          <w:lang w:val="en-AU"/>
        </w:rPr>
        <w:t xml:space="preserve"> implemented primarily by The Asia Foundation (TAF)</w:t>
      </w:r>
      <w:r w:rsidRPr="007C3B9D">
        <w:rPr>
          <w:rFonts w:asciiTheme="minorHAnsi" w:hAnsiTheme="minorHAnsi" w:cstheme="minorBidi"/>
          <w:color w:val="auto"/>
          <w:sz w:val="22"/>
          <w:szCs w:val="22"/>
          <w:lang w:val="en-AU"/>
        </w:rPr>
        <w:t xml:space="preserve">. It </w:t>
      </w:r>
      <w:r w:rsidR="00F37907" w:rsidRPr="007C3B9D">
        <w:rPr>
          <w:rFonts w:asciiTheme="minorHAnsi" w:hAnsiTheme="minorHAnsi" w:cstheme="minorBidi"/>
          <w:color w:val="auto"/>
          <w:sz w:val="22"/>
          <w:szCs w:val="22"/>
          <w:lang w:val="en-AU"/>
        </w:rPr>
        <w:t>outlines</w:t>
      </w:r>
      <w:r w:rsidR="00F37907" w:rsidRPr="007C3B9D">
        <w:rPr>
          <w:rFonts w:asciiTheme="minorHAnsi" w:hAnsiTheme="minorHAnsi" w:cstheme="minorBidi"/>
          <w:sz w:val="22"/>
          <w:szCs w:val="22"/>
          <w:lang w:val="en-AU"/>
        </w:rPr>
        <w:t xml:space="preserve"> the scope, purpose and objectives and methodology of the evaluation, and provides </w:t>
      </w:r>
      <w:r w:rsidR="0068307D" w:rsidRPr="007C3B9D">
        <w:rPr>
          <w:rFonts w:asciiTheme="minorHAnsi" w:hAnsiTheme="minorHAnsi" w:cstheme="minorBidi"/>
          <w:sz w:val="22"/>
          <w:szCs w:val="22"/>
          <w:lang w:val="en-AU"/>
        </w:rPr>
        <w:t xml:space="preserve">a set of findings </w:t>
      </w:r>
      <w:r w:rsidR="00F37907" w:rsidRPr="007C3B9D">
        <w:rPr>
          <w:rFonts w:asciiTheme="minorHAnsi" w:hAnsiTheme="minorHAnsi" w:cstheme="minorBidi"/>
          <w:sz w:val="22"/>
          <w:szCs w:val="22"/>
          <w:lang w:val="en-AU"/>
        </w:rPr>
        <w:t xml:space="preserve">that answer the evaluation questions contained in the Evaluation Matrix (Annex 1). It concludes </w:t>
      </w:r>
      <w:r w:rsidR="00175014" w:rsidRPr="007C3B9D">
        <w:rPr>
          <w:rFonts w:asciiTheme="minorHAnsi" w:hAnsiTheme="minorHAnsi" w:cstheme="minorBidi"/>
          <w:sz w:val="22"/>
          <w:szCs w:val="22"/>
          <w:lang w:val="en-AU"/>
        </w:rPr>
        <w:t xml:space="preserve">with a set of integrated </w:t>
      </w:r>
      <w:r w:rsidR="00F37907" w:rsidRPr="007C3B9D">
        <w:rPr>
          <w:rFonts w:asciiTheme="minorHAnsi" w:hAnsiTheme="minorHAnsi" w:cstheme="minorBidi"/>
          <w:sz w:val="22"/>
          <w:szCs w:val="22"/>
          <w:lang w:val="en-AU"/>
        </w:rPr>
        <w:t xml:space="preserve">conclusions and recommendations. </w:t>
      </w:r>
    </w:p>
    <w:p w14:paraId="3F606BAA" w14:textId="3C100F41" w:rsidR="00775156" w:rsidRPr="00446279" w:rsidRDefault="00D008E4" w:rsidP="00446279">
      <w:pPr>
        <w:pStyle w:val="Heading2"/>
      </w:pPr>
      <w:bookmarkStart w:id="6" w:name="_Toc206492256"/>
      <w:r w:rsidRPr="00446279">
        <w:t>Purpose</w:t>
      </w:r>
      <w:r w:rsidR="00175014" w:rsidRPr="00446279">
        <w:t xml:space="preserve">, </w:t>
      </w:r>
      <w:r w:rsidRPr="00446279">
        <w:t xml:space="preserve">Objectives </w:t>
      </w:r>
      <w:r w:rsidR="00175014" w:rsidRPr="00446279">
        <w:t xml:space="preserve">and Scope </w:t>
      </w:r>
      <w:r w:rsidRPr="00446279">
        <w:t>of the Evaluation</w:t>
      </w:r>
      <w:bookmarkEnd w:id="6"/>
    </w:p>
    <w:p w14:paraId="0530ECB0" w14:textId="33E72904" w:rsidR="008F6101" w:rsidRPr="007C3B9D" w:rsidRDefault="008F6101" w:rsidP="00903D77">
      <w:pPr>
        <w:autoSpaceDE w:val="0"/>
        <w:autoSpaceDN w:val="0"/>
        <w:adjustRightInd w:val="0"/>
        <w:spacing w:after="120" w:line="276" w:lineRule="auto"/>
        <w:jc w:val="both"/>
        <w:rPr>
          <w:rFonts w:cstheme="minorHAnsi"/>
          <w:lang w:val="en-AU"/>
        </w:rPr>
      </w:pPr>
      <w:r w:rsidRPr="007C3B9D">
        <w:rPr>
          <w:rFonts w:cstheme="minorHAnsi"/>
          <w:lang w:val="en-AU"/>
        </w:rPr>
        <w:t xml:space="preserve">The </w:t>
      </w:r>
      <w:r w:rsidR="00921319" w:rsidRPr="007C3B9D">
        <w:rPr>
          <w:rFonts w:cstheme="minorHAnsi"/>
          <w:lang w:val="en-AU"/>
        </w:rPr>
        <w:t xml:space="preserve">current </w:t>
      </w:r>
      <w:r w:rsidRPr="007C3B9D">
        <w:rPr>
          <w:rFonts w:cstheme="minorHAnsi"/>
          <w:lang w:val="en-AU"/>
        </w:rPr>
        <w:t xml:space="preserve">evaluation </w:t>
      </w:r>
      <w:r w:rsidR="00921319" w:rsidRPr="007C3B9D">
        <w:rPr>
          <w:rFonts w:cstheme="minorHAnsi"/>
          <w:lang w:val="en-AU"/>
        </w:rPr>
        <w:t>forms</w:t>
      </w:r>
      <w:r w:rsidRPr="007C3B9D">
        <w:rPr>
          <w:rFonts w:cstheme="minorHAnsi"/>
          <w:lang w:val="en-AU"/>
        </w:rPr>
        <w:t xml:space="preserve"> an integral part of </w:t>
      </w:r>
      <w:r w:rsidR="006F37B2" w:rsidRPr="007C3B9D">
        <w:rPr>
          <w:rFonts w:cstheme="minorHAnsi"/>
          <w:lang w:val="en-AU"/>
        </w:rPr>
        <w:t xml:space="preserve">the </w:t>
      </w:r>
      <w:r w:rsidRPr="007C3B9D">
        <w:rPr>
          <w:rFonts w:cstheme="minorHAnsi"/>
          <w:lang w:val="en-AU"/>
        </w:rPr>
        <w:t>APSP</w:t>
      </w:r>
      <w:r w:rsidR="00921319" w:rsidRPr="007C3B9D">
        <w:rPr>
          <w:rFonts w:cstheme="minorHAnsi"/>
          <w:lang w:val="en-AU"/>
        </w:rPr>
        <w:t xml:space="preserve">’s </w:t>
      </w:r>
      <w:r w:rsidRPr="007C3B9D">
        <w:rPr>
          <w:rFonts w:cstheme="minorHAnsi"/>
          <w:lang w:val="en-AU"/>
        </w:rPr>
        <w:t>Monitoring, Evaluation, and Learning</w:t>
      </w:r>
      <w:r w:rsidR="00921319" w:rsidRPr="007C3B9D">
        <w:rPr>
          <w:rFonts w:cstheme="minorHAnsi"/>
          <w:lang w:val="en-AU"/>
        </w:rPr>
        <w:t xml:space="preserve"> </w:t>
      </w:r>
      <w:r w:rsidRPr="007C3B9D">
        <w:rPr>
          <w:rFonts w:cstheme="minorHAnsi"/>
          <w:lang w:val="en-AU"/>
        </w:rPr>
        <w:t xml:space="preserve">(MEL) Plan and DFAT’s investment. According to the </w:t>
      </w:r>
      <w:r w:rsidR="006F37B2" w:rsidRPr="007C3B9D">
        <w:rPr>
          <w:rFonts w:cstheme="minorHAnsi"/>
          <w:lang w:val="en-AU"/>
        </w:rPr>
        <w:t xml:space="preserve">evaluation </w:t>
      </w:r>
      <w:r w:rsidRPr="007C3B9D">
        <w:rPr>
          <w:rFonts w:cstheme="minorHAnsi"/>
          <w:lang w:val="en-AU"/>
        </w:rPr>
        <w:t>Terms of Reference (</w:t>
      </w:r>
      <w:proofErr w:type="spellStart"/>
      <w:r w:rsidRPr="007C3B9D">
        <w:rPr>
          <w:rFonts w:cstheme="minorHAnsi"/>
          <w:lang w:val="en-AU"/>
        </w:rPr>
        <w:t>ToR</w:t>
      </w:r>
      <w:proofErr w:type="spellEnd"/>
      <w:r w:rsidRPr="007C3B9D">
        <w:rPr>
          <w:rFonts w:cstheme="minorHAnsi"/>
          <w:lang w:val="en-AU"/>
        </w:rPr>
        <w:t>)</w:t>
      </w:r>
      <w:r w:rsidR="00175014" w:rsidRPr="007C3B9D">
        <w:rPr>
          <w:rFonts w:cstheme="minorHAnsi"/>
          <w:lang w:val="en-AU"/>
        </w:rPr>
        <w:t xml:space="preserve"> (Annex 2)</w:t>
      </w:r>
      <w:r w:rsidRPr="007C3B9D">
        <w:rPr>
          <w:rFonts w:cstheme="minorHAnsi"/>
          <w:lang w:val="en-AU"/>
        </w:rPr>
        <w:t xml:space="preserve">, the </w:t>
      </w:r>
      <w:r w:rsidR="004E0B35" w:rsidRPr="007C3B9D">
        <w:rPr>
          <w:rFonts w:cstheme="minorHAnsi"/>
          <w:color w:val="0F4761" w:themeColor="accent1" w:themeShade="BF"/>
          <w:lang w:val="en-AU"/>
        </w:rPr>
        <w:t xml:space="preserve">evaluation’s objectives </w:t>
      </w:r>
      <w:r w:rsidR="00175014" w:rsidRPr="007C3B9D">
        <w:rPr>
          <w:rFonts w:cstheme="minorHAnsi"/>
          <w:lang w:val="en-AU"/>
        </w:rPr>
        <w:t>were</w:t>
      </w:r>
      <w:r w:rsidRPr="007C3B9D">
        <w:rPr>
          <w:rFonts w:cstheme="minorHAnsi"/>
          <w:lang w:val="en-AU"/>
        </w:rPr>
        <w:t xml:space="preserve"> </w:t>
      </w:r>
      <w:r w:rsidR="004E0B35" w:rsidRPr="007C3B9D">
        <w:rPr>
          <w:rFonts w:cstheme="minorHAnsi"/>
          <w:lang w:val="en-AU"/>
        </w:rPr>
        <w:t>to</w:t>
      </w:r>
      <w:r w:rsidRPr="007C3B9D">
        <w:rPr>
          <w:rFonts w:cstheme="minorHAnsi"/>
          <w:lang w:val="en-AU"/>
        </w:rPr>
        <w:t xml:space="preserve">: </w:t>
      </w:r>
    </w:p>
    <w:p w14:paraId="4BCDE7D4" w14:textId="516DDC47" w:rsidR="004E0B35" w:rsidRPr="007C3B9D" w:rsidRDefault="004E0B35" w:rsidP="00903D77">
      <w:pPr>
        <w:pStyle w:val="ListParagraph"/>
        <w:numPr>
          <w:ilvl w:val="0"/>
          <w:numId w:val="3"/>
        </w:numPr>
        <w:autoSpaceDE w:val="0"/>
        <w:autoSpaceDN w:val="0"/>
        <w:adjustRightInd w:val="0"/>
        <w:spacing w:after="0" w:line="276" w:lineRule="auto"/>
        <w:contextualSpacing w:val="0"/>
        <w:jc w:val="both"/>
        <w:rPr>
          <w:rFonts w:cstheme="minorHAnsi"/>
          <w:lang w:val="en-AU"/>
        </w:rPr>
      </w:pPr>
      <w:r w:rsidRPr="007C3B9D">
        <w:rPr>
          <w:rFonts w:cstheme="minorHAnsi"/>
          <w:lang w:val="en-AU"/>
        </w:rPr>
        <w:t>C</w:t>
      </w:r>
      <w:r w:rsidR="008F6101" w:rsidRPr="007C3B9D">
        <w:rPr>
          <w:rFonts w:cstheme="minorHAnsi"/>
          <w:lang w:val="en-AU"/>
        </w:rPr>
        <w:t xml:space="preserve">ontribute to evidence-based policy development, </w:t>
      </w:r>
      <w:r w:rsidR="0050186B" w:rsidRPr="007C3B9D">
        <w:rPr>
          <w:rFonts w:cstheme="minorHAnsi"/>
          <w:lang w:val="en-AU"/>
        </w:rPr>
        <w:t>program</w:t>
      </w:r>
      <w:r w:rsidRPr="007C3B9D">
        <w:rPr>
          <w:rFonts w:cstheme="minorHAnsi"/>
          <w:lang w:val="en-AU"/>
        </w:rPr>
        <w:t xml:space="preserve"> </w:t>
      </w:r>
      <w:r w:rsidR="008F6101" w:rsidRPr="007C3B9D">
        <w:rPr>
          <w:rFonts w:cstheme="minorHAnsi"/>
          <w:lang w:val="en-AU"/>
        </w:rPr>
        <w:t>improvement, and strategic planning in the field of political and security cooperation between</w:t>
      </w:r>
      <w:r w:rsidRPr="007C3B9D">
        <w:rPr>
          <w:rFonts w:cstheme="minorHAnsi"/>
          <w:lang w:val="en-AU"/>
        </w:rPr>
        <w:t xml:space="preserve"> </w:t>
      </w:r>
      <w:r w:rsidR="008F6101" w:rsidRPr="007C3B9D">
        <w:rPr>
          <w:rFonts w:cstheme="minorHAnsi"/>
          <w:lang w:val="en-AU"/>
        </w:rPr>
        <w:t xml:space="preserve">ASEAN and </w:t>
      </w:r>
      <w:proofErr w:type="gramStart"/>
      <w:r w:rsidR="008F6101" w:rsidRPr="007C3B9D">
        <w:rPr>
          <w:rFonts w:cstheme="minorHAnsi"/>
          <w:lang w:val="en-AU"/>
        </w:rPr>
        <w:t>Australia</w:t>
      </w:r>
      <w:r w:rsidRPr="007C3B9D">
        <w:rPr>
          <w:rFonts w:cstheme="minorHAnsi"/>
          <w:lang w:val="en-AU"/>
        </w:rPr>
        <w:t>;</w:t>
      </w:r>
      <w:proofErr w:type="gramEnd"/>
    </w:p>
    <w:p w14:paraId="4A41BBD9" w14:textId="23810008" w:rsidR="004E0B35" w:rsidRPr="007C3B9D" w:rsidRDefault="004E0B35" w:rsidP="00903D77">
      <w:pPr>
        <w:pStyle w:val="ListParagraph"/>
        <w:numPr>
          <w:ilvl w:val="0"/>
          <w:numId w:val="3"/>
        </w:numPr>
        <w:autoSpaceDE w:val="0"/>
        <w:autoSpaceDN w:val="0"/>
        <w:adjustRightInd w:val="0"/>
        <w:spacing w:after="0" w:line="276" w:lineRule="auto"/>
        <w:contextualSpacing w:val="0"/>
        <w:jc w:val="both"/>
        <w:rPr>
          <w:rFonts w:cstheme="minorHAnsi"/>
          <w:lang w:val="en-AU"/>
        </w:rPr>
      </w:pPr>
      <w:r w:rsidRPr="007C3B9D">
        <w:rPr>
          <w:rFonts w:cstheme="minorHAnsi"/>
          <w:lang w:val="en-AU"/>
        </w:rPr>
        <w:t>P</w:t>
      </w:r>
      <w:r w:rsidR="008F6101" w:rsidRPr="007C3B9D">
        <w:rPr>
          <w:rFonts w:cstheme="minorHAnsi"/>
          <w:lang w:val="en-AU"/>
        </w:rPr>
        <w:t xml:space="preserve">rovide an in-depth analysis and assessment of </w:t>
      </w:r>
      <w:r w:rsidR="006F37B2" w:rsidRPr="007C3B9D">
        <w:rPr>
          <w:rFonts w:cstheme="minorHAnsi"/>
          <w:lang w:val="en-AU"/>
        </w:rPr>
        <w:t xml:space="preserve">the </w:t>
      </w:r>
      <w:r w:rsidR="008F6101" w:rsidRPr="007C3B9D">
        <w:rPr>
          <w:rFonts w:cstheme="minorHAnsi"/>
          <w:lang w:val="en-AU"/>
        </w:rPr>
        <w:t>APSP</w:t>
      </w:r>
      <w:r w:rsidR="006F37B2" w:rsidRPr="007C3B9D">
        <w:rPr>
          <w:rFonts w:cstheme="minorHAnsi"/>
          <w:lang w:val="en-AU"/>
        </w:rPr>
        <w:t>’s</w:t>
      </w:r>
      <w:r w:rsidRPr="007C3B9D">
        <w:rPr>
          <w:rFonts w:cstheme="minorHAnsi"/>
          <w:lang w:val="en-AU"/>
        </w:rPr>
        <w:t xml:space="preserve"> </w:t>
      </w:r>
      <w:r w:rsidR="008F6101" w:rsidRPr="007C3B9D">
        <w:rPr>
          <w:rFonts w:cstheme="minorHAnsi"/>
          <w:lang w:val="en-AU"/>
        </w:rPr>
        <w:t>achievements and challenges against related DFAT’s quality criteria</w:t>
      </w:r>
      <w:r w:rsidRPr="007C3B9D">
        <w:rPr>
          <w:rFonts w:cstheme="minorHAnsi"/>
          <w:lang w:val="en-AU"/>
        </w:rPr>
        <w:t>;</w:t>
      </w:r>
      <w:r w:rsidR="006F37B2" w:rsidRPr="007C3B9D">
        <w:rPr>
          <w:rFonts w:cstheme="minorHAnsi"/>
          <w:lang w:val="en-AU"/>
        </w:rPr>
        <w:t xml:space="preserve"> and</w:t>
      </w:r>
    </w:p>
    <w:p w14:paraId="4B7A2EDC" w14:textId="64C998EB" w:rsidR="008F6101" w:rsidRPr="007C3B9D" w:rsidRDefault="004E0B35" w:rsidP="00903D77">
      <w:pPr>
        <w:pStyle w:val="ListParagraph"/>
        <w:numPr>
          <w:ilvl w:val="0"/>
          <w:numId w:val="3"/>
        </w:numPr>
        <w:autoSpaceDE w:val="0"/>
        <w:autoSpaceDN w:val="0"/>
        <w:adjustRightInd w:val="0"/>
        <w:spacing w:after="120" w:line="276" w:lineRule="auto"/>
        <w:contextualSpacing w:val="0"/>
        <w:jc w:val="both"/>
        <w:rPr>
          <w:rFonts w:cstheme="minorHAnsi"/>
          <w:lang w:val="en-AU"/>
        </w:rPr>
      </w:pPr>
      <w:r w:rsidRPr="007C3B9D">
        <w:rPr>
          <w:rFonts w:cstheme="minorHAnsi"/>
          <w:lang w:val="en-AU"/>
        </w:rPr>
        <w:t>P</w:t>
      </w:r>
      <w:r w:rsidR="008F6101" w:rsidRPr="007C3B9D">
        <w:rPr>
          <w:rFonts w:cstheme="minorHAnsi"/>
          <w:lang w:val="en-AU"/>
        </w:rPr>
        <w:t>rovide management</w:t>
      </w:r>
      <w:r w:rsidRPr="007C3B9D">
        <w:rPr>
          <w:rFonts w:cstheme="minorHAnsi"/>
          <w:lang w:val="en-AU"/>
        </w:rPr>
        <w:t xml:space="preserve"> </w:t>
      </w:r>
      <w:r w:rsidR="008F6101" w:rsidRPr="007C3B9D">
        <w:rPr>
          <w:rFonts w:cstheme="minorHAnsi"/>
          <w:lang w:val="en-AU"/>
        </w:rPr>
        <w:t>responses to relevant program managers and policymakers in making informed decisions,</w:t>
      </w:r>
      <w:r w:rsidR="006F37B2" w:rsidRPr="007C3B9D">
        <w:rPr>
          <w:rFonts w:cstheme="minorHAnsi"/>
          <w:lang w:val="en-AU"/>
        </w:rPr>
        <w:t xml:space="preserve"> </w:t>
      </w:r>
      <w:r w:rsidR="008F6101" w:rsidRPr="007C3B9D">
        <w:rPr>
          <w:rFonts w:cstheme="minorHAnsi"/>
          <w:lang w:val="en-AU"/>
        </w:rPr>
        <w:t xml:space="preserve">adapting strategies, and allocating resources for the remaining period of </w:t>
      </w:r>
      <w:r w:rsidR="006F37B2" w:rsidRPr="007C3B9D">
        <w:rPr>
          <w:rFonts w:cstheme="minorHAnsi"/>
          <w:lang w:val="en-AU"/>
        </w:rPr>
        <w:t xml:space="preserve">the </w:t>
      </w:r>
      <w:r w:rsidR="008F6101" w:rsidRPr="007C3B9D">
        <w:rPr>
          <w:rFonts w:cstheme="minorHAnsi"/>
          <w:lang w:val="en-AU"/>
        </w:rPr>
        <w:t>APSP and</w:t>
      </w:r>
      <w:r w:rsidR="006F37B2" w:rsidRPr="007C3B9D">
        <w:rPr>
          <w:rFonts w:cstheme="minorHAnsi"/>
          <w:lang w:val="en-AU"/>
        </w:rPr>
        <w:t xml:space="preserve"> </w:t>
      </w:r>
      <w:r w:rsidR="008F6101" w:rsidRPr="007C3B9D">
        <w:rPr>
          <w:rFonts w:cstheme="minorHAnsi"/>
          <w:lang w:val="en-AU"/>
        </w:rPr>
        <w:t>beyond.</w:t>
      </w:r>
    </w:p>
    <w:p w14:paraId="7D486E8C" w14:textId="5D0C2C7E" w:rsidR="006F37B2" w:rsidRPr="007C3B9D" w:rsidRDefault="00B45A74" w:rsidP="00903D77">
      <w:pPr>
        <w:autoSpaceDE w:val="0"/>
        <w:autoSpaceDN w:val="0"/>
        <w:adjustRightInd w:val="0"/>
        <w:spacing w:after="120" w:line="276" w:lineRule="auto"/>
        <w:jc w:val="both"/>
        <w:rPr>
          <w:rFonts w:cstheme="minorHAnsi"/>
          <w:lang w:val="en-AU"/>
        </w:rPr>
      </w:pPr>
      <w:r w:rsidRPr="007C3B9D">
        <w:rPr>
          <w:rFonts w:cstheme="minorHAnsi"/>
          <w:lang w:val="en-AU"/>
        </w:rPr>
        <w:t>Flowing from these overarching objectives</w:t>
      </w:r>
      <w:r w:rsidR="00914B44" w:rsidRPr="007C3B9D">
        <w:rPr>
          <w:rFonts w:cstheme="minorHAnsi"/>
          <w:lang w:val="en-AU"/>
        </w:rPr>
        <w:t>, the</w:t>
      </w:r>
      <w:r w:rsidR="006F37B2" w:rsidRPr="007C3B9D">
        <w:rPr>
          <w:rFonts w:cstheme="minorHAnsi"/>
          <w:lang w:val="en-AU"/>
        </w:rPr>
        <w:t xml:space="preserve"> </w:t>
      </w:r>
      <w:r w:rsidR="006F37B2" w:rsidRPr="007C3B9D">
        <w:rPr>
          <w:rFonts w:cstheme="minorHAnsi"/>
          <w:color w:val="0F4761" w:themeColor="accent1" w:themeShade="BF"/>
          <w:lang w:val="en-AU"/>
        </w:rPr>
        <w:t>evaluation</w:t>
      </w:r>
      <w:r w:rsidR="00D10D6A" w:rsidRPr="007C3B9D">
        <w:rPr>
          <w:rFonts w:cstheme="minorHAnsi"/>
          <w:color w:val="0F4761" w:themeColor="accent1" w:themeShade="BF"/>
          <w:lang w:val="en-AU"/>
        </w:rPr>
        <w:t>’</w:t>
      </w:r>
      <w:r w:rsidR="006F37B2" w:rsidRPr="007C3B9D">
        <w:rPr>
          <w:rFonts w:cstheme="minorHAnsi"/>
          <w:color w:val="0F4761" w:themeColor="accent1" w:themeShade="BF"/>
          <w:lang w:val="en-AU"/>
        </w:rPr>
        <w:t xml:space="preserve">s purposes </w:t>
      </w:r>
      <w:r w:rsidR="006F37B2" w:rsidRPr="007C3B9D">
        <w:rPr>
          <w:rFonts w:cstheme="minorHAnsi"/>
          <w:lang w:val="en-AU"/>
        </w:rPr>
        <w:t xml:space="preserve">are </w:t>
      </w:r>
      <w:r w:rsidR="004463A5" w:rsidRPr="007C3B9D">
        <w:rPr>
          <w:rFonts w:cstheme="minorHAnsi"/>
          <w:lang w:val="en-AU"/>
        </w:rPr>
        <w:t>centred on contributing to the</w:t>
      </w:r>
      <w:r w:rsidR="006F37B2" w:rsidRPr="007C3B9D">
        <w:rPr>
          <w:rFonts w:cstheme="minorHAnsi"/>
          <w:lang w:val="en-AU"/>
        </w:rPr>
        <w:t xml:space="preserve"> follow</w:t>
      </w:r>
      <w:r w:rsidR="004463A5" w:rsidRPr="007C3B9D">
        <w:rPr>
          <w:rFonts w:cstheme="minorHAnsi"/>
          <w:lang w:val="en-AU"/>
        </w:rPr>
        <w:t>ing DFAT objectives:</w:t>
      </w:r>
    </w:p>
    <w:p w14:paraId="3BFC0179" w14:textId="4412AB4D" w:rsidR="00D10D6A" w:rsidRPr="007C3B9D" w:rsidRDefault="006F37B2" w:rsidP="00903D77">
      <w:pPr>
        <w:pStyle w:val="ListParagraph"/>
        <w:numPr>
          <w:ilvl w:val="0"/>
          <w:numId w:val="4"/>
        </w:numPr>
        <w:autoSpaceDE w:val="0"/>
        <w:autoSpaceDN w:val="0"/>
        <w:adjustRightInd w:val="0"/>
        <w:spacing w:after="0" w:line="276" w:lineRule="auto"/>
        <w:contextualSpacing w:val="0"/>
        <w:jc w:val="both"/>
        <w:rPr>
          <w:rFonts w:cstheme="minorHAnsi"/>
          <w:lang w:val="en-AU"/>
        </w:rPr>
      </w:pPr>
      <w:r w:rsidRPr="007C3B9D">
        <w:rPr>
          <w:rFonts w:cstheme="minorHAnsi"/>
          <w:i/>
          <w:iCs/>
          <w:color w:val="0F4761" w:themeColor="accent1" w:themeShade="BF"/>
          <w:lang w:val="en-AU"/>
        </w:rPr>
        <w:t>Accountability and Learning</w:t>
      </w:r>
    </w:p>
    <w:p w14:paraId="6E20ADE2" w14:textId="31D27511" w:rsidR="00D10D6A" w:rsidRPr="007C3B9D" w:rsidRDefault="006F37B2" w:rsidP="00903D77">
      <w:pPr>
        <w:pStyle w:val="ListParagraph"/>
        <w:numPr>
          <w:ilvl w:val="0"/>
          <w:numId w:val="4"/>
        </w:numPr>
        <w:autoSpaceDE w:val="0"/>
        <w:autoSpaceDN w:val="0"/>
        <w:adjustRightInd w:val="0"/>
        <w:spacing w:after="0" w:line="276" w:lineRule="auto"/>
        <w:contextualSpacing w:val="0"/>
        <w:jc w:val="both"/>
        <w:rPr>
          <w:rFonts w:cstheme="minorHAnsi"/>
          <w:lang w:val="en-AU"/>
        </w:rPr>
      </w:pPr>
      <w:r w:rsidRPr="007C3B9D">
        <w:rPr>
          <w:rFonts w:cstheme="minorHAnsi"/>
          <w:i/>
          <w:iCs/>
          <w:color w:val="0F4761" w:themeColor="accent1" w:themeShade="BF"/>
          <w:lang w:val="en-AU"/>
        </w:rPr>
        <w:t>Evidence-Based Program Development</w:t>
      </w:r>
    </w:p>
    <w:p w14:paraId="3D25F9B9" w14:textId="1B4F2C6B" w:rsidR="006F37B2" w:rsidRPr="007C3B9D" w:rsidRDefault="006F37B2" w:rsidP="00903D77">
      <w:pPr>
        <w:pStyle w:val="ListParagraph"/>
        <w:numPr>
          <w:ilvl w:val="0"/>
          <w:numId w:val="4"/>
        </w:numPr>
        <w:autoSpaceDE w:val="0"/>
        <w:autoSpaceDN w:val="0"/>
        <w:adjustRightInd w:val="0"/>
        <w:spacing w:after="120" w:line="276" w:lineRule="auto"/>
        <w:contextualSpacing w:val="0"/>
        <w:jc w:val="both"/>
        <w:rPr>
          <w:rFonts w:cstheme="minorHAnsi"/>
          <w:lang w:val="en-AU"/>
        </w:rPr>
      </w:pPr>
      <w:r w:rsidRPr="007C3B9D">
        <w:rPr>
          <w:rFonts w:cstheme="minorHAnsi"/>
          <w:i/>
          <w:iCs/>
          <w:color w:val="0F4761" w:themeColor="accent1" w:themeShade="BF"/>
          <w:lang w:val="en-AU"/>
        </w:rPr>
        <w:t>Stakeholder Engagement and Communication</w:t>
      </w:r>
      <w:r w:rsidRPr="007C3B9D">
        <w:rPr>
          <w:rFonts w:cstheme="minorHAnsi"/>
          <w:lang w:val="en-AU"/>
        </w:rPr>
        <w:t xml:space="preserve"> </w:t>
      </w:r>
    </w:p>
    <w:p w14:paraId="5D4AD654" w14:textId="2CF06539" w:rsidR="00DC500D" w:rsidRPr="007C3B9D" w:rsidRDefault="008438AB" w:rsidP="00903D77">
      <w:pPr>
        <w:autoSpaceDE w:val="0"/>
        <w:autoSpaceDN w:val="0"/>
        <w:adjustRightInd w:val="0"/>
        <w:spacing w:after="120" w:line="276" w:lineRule="auto"/>
        <w:jc w:val="both"/>
        <w:rPr>
          <w:rFonts w:cstheme="minorHAnsi"/>
          <w:i/>
          <w:iCs/>
          <w:color w:val="0F4761" w:themeColor="accent1" w:themeShade="BF"/>
          <w:lang w:val="en-AU"/>
        </w:rPr>
      </w:pPr>
      <w:r w:rsidRPr="007C3B9D">
        <w:rPr>
          <w:rFonts w:cstheme="minorHAnsi"/>
          <w:lang w:val="en-AU"/>
        </w:rPr>
        <w:t>The evaluation address</w:t>
      </w:r>
      <w:r w:rsidR="00175014" w:rsidRPr="007C3B9D">
        <w:rPr>
          <w:rFonts w:cstheme="minorHAnsi"/>
          <w:lang w:val="en-AU"/>
        </w:rPr>
        <w:t>es</w:t>
      </w:r>
      <w:r w:rsidRPr="007C3B9D">
        <w:rPr>
          <w:rFonts w:cstheme="minorHAnsi"/>
          <w:lang w:val="en-AU"/>
        </w:rPr>
        <w:t xml:space="preserve"> the following DFAT’s quality criteria:</w:t>
      </w:r>
    </w:p>
    <w:p w14:paraId="6FC7D713" w14:textId="0DD75FC8" w:rsidR="008438AB" w:rsidRPr="007C3B9D" w:rsidRDefault="008438AB" w:rsidP="00903D77">
      <w:pPr>
        <w:autoSpaceDE w:val="0"/>
        <w:autoSpaceDN w:val="0"/>
        <w:adjustRightInd w:val="0"/>
        <w:spacing w:after="120" w:line="276" w:lineRule="auto"/>
        <w:ind w:left="284"/>
        <w:jc w:val="both"/>
        <w:rPr>
          <w:rFonts w:cstheme="minorHAnsi"/>
          <w:lang w:val="en-AU"/>
        </w:rPr>
      </w:pPr>
      <w:r w:rsidRPr="007C3B9D">
        <w:rPr>
          <w:rFonts w:cstheme="minorHAnsi"/>
          <w:i/>
          <w:iCs/>
          <w:color w:val="0F4761" w:themeColor="accent1" w:themeShade="BF"/>
          <w:lang w:val="en-AU"/>
        </w:rPr>
        <w:t>Relevance</w:t>
      </w:r>
      <w:r w:rsidR="005A036A" w:rsidRPr="007C3B9D">
        <w:rPr>
          <w:rFonts w:cstheme="minorHAnsi"/>
          <w:color w:val="0F4761" w:themeColor="accent1" w:themeShade="BF"/>
          <w:lang w:val="en-AU"/>
        </w:rPr>
        <w:t xml:space="preserve">: </w:t>
      </w:r>
      <w:r w:rsidR="00271FBE" w:rsidRPr="007C3B9D">
        <w:rPr>
          <w:rFonts w:cstheme="minorHAnsi"/>
          <w:lang w:val="en-AU"/>
        </w:rPr>
        <w:t>R</w:t>
      </w:r>
      <w:r w:rsidRPr="007C3B9D">
        <w:rPr>
          <w:rFonts w:cstheme="minorHAnsi"/>
          <w:lang w:val="en-AU"/>
        </w:rPr>
        <w:t>elevance of APSP addressing regional transnational political security challenges within the ASEAN context</w:t>
      </w:r>
      <w:r w:rsidR="006564A8" w:rsidRPr="007C3B9D">
        <w:rPr>
          <w:rFonts w:cstheme="minorHAnsi"/>
          <w:lang w:val="en-AU"/>
        </w:rPr>
        <w:t>;</w:t>
      </w:r>
      <w:r w:rsidR="005A036A" w:rsidRPr="007C3B9D">
        <w:rPr>
          <w:rFonts w:cstheme="minorHAnsi"/>
          <w:lang w:val="en-AU"/>
        </w:rPr>
        <w:t xml:space="preserve"> e</w:t>
      </w:r>
      <w:r w:rsidRPr="007C3B9D">
        <w:rPr>
          <w:rFonts w:cstheme="minorHAnsi"/>
          <w:lang w:val="en-AU"/>
        </w:rPr>
        <w:t xml:space="preserve">xtent to which </w:t>
      </w:r>
      <w:r w:rsidR="00271FBE" w:rsidRPr="007C3B9D">
        <w:rPr>
          <w:rFonts w:cstheme="minorHAnsi"/>
          <w:lang w:val="en-AU"/>
        </w:rPr>
        <w:t>APSP</w:t>
      </w:r>
      <w:r w:rsidRPr="007C3B9D">
        <w:rPr>
          <w:rFonts w:cstheme="minorHAnsi"/>
          <w:lang w:val="en-AU"/>
        </w:rPr>
        <w:t xml:space="preserve"> objectives, activities and approaches align with the needs and priorities of ASEAN and Australia.</w:t>
      </w:r>
    </w:p>
    <w:p w14:paraId="297B7448" w14:textId="3BA2906B" w:rsidR="008438AB" w:rsidRPr="007C3B9D" w:rsidRDefault="008438AB" w:rsidP="00903D77">
      <w:pPr>
        <w:autoSpaceDE w:val="0"/>
        <w:autoSpaceDN w:val="0"/>
        <w:adjustRightInd w:val="0"/>
        <w:spacing w:after="120" w:line="276" w:lineRule="auto"/>
        <w:ind w:left="284"/>
        <w:jc w:val="both"/>
        <w:rPr>
          <w:rFonts w:cstheme="minorHAnsi"/>
          <w:lang w:val="en-AU"/>
        </w:rPr>
      </w:pPr>
      <w:r w:rsidRPr="007C3B9D">
        <w:rPr>
          <w:rFonts w:cstheme="minorHAnsi"/>
          <w:i/>
          <w:iCs/>
          <w:color w:val="0F4761" w:themeColor="accent1" w:themeShade="BF"/>
          <w:lang w:val="en-AU"/>
        </w:rPr>
        <w:t>Efficiency</w:t>
      </w:r>
      <w:r w:rsidR="005A036A" w:rsidRPr="007C3B9D">
        <w:rPr>
          <w:rFonts w:cstheme="minorHAnsi"/>
          <w:color w:val="0F4761" w:themeColor="accent1" w:themeShade="BF"/>
          <w:lang w:val="en-AU"/>
        </w:rPr>
        <w:t xml:space="preserve">: </w:t>
      </w:r>
      <w:r w:rsidR="006564A8" w:rsidRPr="007C3B9D">
        <w:rPr>
          <w:rFonts w:cstheme="minorHAnsi"/>
          <w:lang w:val="en-AU"/>
        </w:rPr>
        <w:t>E</w:t>
      </w:r>
      <w:r w:rsidRPr="007C3B9D">
        <w:rPr>
          <w:rFonts w:cstheme="minorHAnsi"/>
          <w:lang w:val="en-AU"/>
        </w:rPr>
        <w:t xml:space="preserve">fficiency of </w:t>
      </w:r>
      <w:r w:rsidR="006564A8" w:rsidRPr="007C3B9D">
        <w:rPr>
          <w:rFonts w:cstheme="minorHAnsi"/>
          <w:lang w:val="en-AU"/>
        </w:rPr>
        <w:t>APSP’s</w:t>
      </w:r>
      <w:r w:rsidRPr="007C3B9D">
        <w:rPr>
          <w:rFonts w:cstheme="minorHAnsi"/>
          <w:lang w:val="en-AU"/>
        </w:rPr>
        <w:t xml:space="preserve"> implementation</w:t>
      </w:r>
      <w:r w:rsidR="00271FBE" w:rsidRPr="007C3B9D">
        <w:rPr>
          <w:rFonts w:cstheme="minorHAnsi"/>
          <w:lang w:val="en-AU"/>
        </w:rPr>
        <w:t xml:space="preserve"> (</w:t>
      </w:r>
      <w:r w:rsidRPr="007C3B9D">
        <w:rPr>
          <w:rFonts w:cstheme="minorHAnsi"/>
          <w:lang w:val="en-AU"/>
        </w:rPr>
        <w:t>util</w:t>
      </w:r>
      <w:r w:rsidR="008332B1" w:rsidRPr="007C3B9D">
        <w:rPr>
          <w:rFonts w:cstheme="minorHAnsi"/>
          <w:lang w:val="en-AU"/>
        </w:rPr>
        <w:t>is</w:t>
      </w:r>
      <w:r w:rsidRPr="007C3B9D">
        <w:rPr>
          <w:rFonts w:cstheme="minorHAnsi"/>
          <w:lang w:val="en-AU"/>
        </w:rPr>
        <w:t>ation of resources, management practices,</w:t>
      </w:r>
      <w:r w:rsidR="00271FBE" w:rsidRPr="007C3B9D">
        <w:rPr>
          <w:rFonts w:cstheme="minorHAnsi"/>
          <w:lang w:val="en-AU"/>
        </w:rPr>
        <w:t xml:space="preserve"> </w:t>
      </w:r>
      <w:r w:rsidRPr="007C3B9D">
        <w:rPr>
          <w:rFonts w:cstheme="minorHAnsi"/>
          <w:lang w:val="en-AU"/>
        </w:rPr>
        <w:t>coordination mechanisms</w:t>
      </w:r>
      <w:r w:rsidR="006564A8" w:rsidRPr="007C3B9D">
        <w:rPr>
          <w:rFonts w:cstheme="minorHAnsi"/>
          <w:lang w:val="en-AU"/>
        </w:rPr>
        <w:t>;</w:t>
      </w:r>
      <w:r w:rsidR="005A036A" w:rsidRPr="007C3B9D">
        <w:rPr>
          <w:rFonts w:cstheme="minorHAnsi"/>
          <w:lang w:val="en-AU"/>
        </w:rPr>
        <w:t xml:space="preserve"> </w:t>
      </w:r>
      <w:r w:rsidRPr="007C3B9D">
        <w:rPr>
          <w:rFonts w:cstheme="minorHAnsi"/>
          <w:lang w:val="en-AU"/>
        </w:rPr>
        <w:t xml:space="preserve">cost-effectiveness of </w:t>
      </w:r>
      <w:r w:rsidR="006564A8" w:rsidRPr="007C3B9D">
        <w:rPr>
          <w:rFonts w:cstheme="minorHAnsi"/>
          <w:lang w:val="en-AU"/>
        </w:rPr>
        <w:t>APSP</w:t>
      </w:r>
      <w:r w:rsidRPr="007C3B9D">
        <w:rPr>
          <w:rFonts w:cstheme="minorHAnsi"/>
          <w:lang w:val="en-AU"/>
        </w:rPr>
        <w:t xml:space="preserve"> in achieving its intended outcomes and outputs.</w:t>
      </w:r>
    </w:p>
    <w:p w14:paraId="5524A6E3" w14:textId="5889003E" w:rsidR="00B26777" w:rsidRPr="007C3B9D" w:rsidRDefault="008438AB" w:rsidP="00903D77">
      <w:pPr>
        <w:autoSpaceDE w:val="0"/>
        <w:autoSpaceDN w:val="0"/>
        <w:adjustRightInd w:val="0"/>
        <w:spacing w:after="120" w:line="276" w:lineRule="auto"/>
        <w:ind w:left="284"/>
        <w:jc w:val="both"/>
        <w:rPr>
          <w:rFonts w:cstheme="minorHAnsi"/>
          <w:i/>
          <w:iCs/>
          <w:color w:val="0F4761" w:themeColor="accent1" w:themeShade="BF"/>
          <w:lang w:val="en-AU"/>
        </w:rPr>
      </w:pPr>
      <w:r w:rsidRPr="007C3B9D">
        <w:rPr>
          <w:rFonts w:cstheme="minorHAnsi"/>
          <w:i/>
          <w:iCs/>
          <w:color w:val="0F4761" w:themeColor="accent1" w:themeShade="BF"/>
          <w:lang w:val="en-AU"/>
        </w:rPr>
        <w:t>Effectivenes</w:t>
      </w:r>
      <w:r w:rsidR="005A036A" w:rsidRPr="007C3B9D">
        <w:rPr>
          <w:rFonts w:cstheme="minorHAnsi"/>
          <w:i/>
          <w:iCs/>
          <w:color w:val="0F4761" w:themeColor="accent1" w:themeShade="BF"/>
          <w:lang w:val="en-AU"/>
        </w:rPr>
        <w:t xml:space="preserve">s: </w:t>
      </w:r>
      <w:r w:rsidR="006564A8" w:rsidRPr="007C3B9D">
        <w:rPr>
          <w:rFonts w:cstheme="minorHAnsi"/>
          <w:lang w:val="en-AU"/>
        </w:rPr>
        <w:t>E</w:t>
      </w:r>
      <w:r w:rsidRPr="007C3B9D">
        <w:rPr>
          <w:rFonts w:cstheme="minorHAnsi"/>
          <w:lang w:val="en-AU"/>
        </w:rPr>
        <w:t>ffectiveness of APSP in achieving its objectives and</w:t>
      </w:r>
      <w:r w:rsidR="006564A8" w:rsidRPr="007C3B9D">
        <w:rPr>
          <w:rFonts w:cstheme="minorHAnsi"/>
          <w:lang w:val="en-AU"/>
        </w:rPr>
        <w:t xml:space="preserve"> </w:t>
      </w:r>
      <w:r w:rsidRPr="007C3B9D">
        <w:rPr>
          <w:rFonts w:cstheme="minorHAnsi"/>
          <w:lang w:val="en-AU"/>
        </w:rPr>
        <w:t>intended outcomes</w:t>
      </w:r>
      <w:r w:rsidR="006564A8" w:rsidRPr="007C3B9D">
        <w:rPr>
          <w:rFonts w:cstheme="minorHAnsi"/>
          <w:lang w:val="en-AU"/>
        </w:rPr>
        <w:t>;</w:t>
      </w:r>
      <w:r w:rsidR="005A036A" w:rsidRPr="007C3B9D">
        <w:rPr>
          <w:rFonts w:cstheme="minorHAnsi"/>
          <w:i/>
          <w:iCs/>
          <w:color w:val="156082" w:themeColor="accent1"/>
          <w:lang w:val="en-AU"/>
        </w:rPr>
        <w:t xml:space="preserve"> </w:t>
      </w:r>
      <w:r w:rsidR="005A036A" w:rsidRPr="007C3B9D">
        <w:rPr>
          <w:rFonts w:cstheme="minorHAnsi"/>
          <w:lang w:val="en-AU"/>
        </w:rPr>
        <w:t>e</w:t>
      </w:r>
      <w:r w:rsidRPr="007C3B9D">
        <w:rPr>
          <w:rFonts w:cstheme="minorHAnsi"/>
          <w:lang w:val="en-AU"/>
        </w:rPr>
        <w:t xml:space="preserve">xtent to which </w:t>
      </w:r>
      <w:r w:rsidR="006564A8" w:rsidRPr="007C3B9D">
        <w:rPr>
          <w:rFonts w:cstheme="minorHAnsi"/>
          <w:lang w:val="en-AU"/>
        </w:rPr>
        <w:t>APSP</w:t>
      </w:r>
      <w:r w:rsidRPr="007C3B9D">
        <w:rPr>
          <w:rFonts w:cstheme="minorHAnsi"/>
          <w:lang w:val="en-AU"/>
        </w:rPr>
        <w:t xml:space="preserve"> has contributed to</w:t>
      </w:r>
      <w:r w:rsidR="006564A8" w:rsidRPr="007C3B9D">
        <w:rPr>
          <w:rFonts w:cstheme="minorHAnsi"/>
          <w:lang w:val="en-AU"/>
        </w:rPr>
        <w:t xml:space="preserve"> strengthening</w:t>
      </w:r>
      <w:r w:rsidR="005A036A" w:rsidRPr="007C3B9D">
        <w:rPr>
          <w:rFonts w:cstheme="minorHAnsi"/>
          <w:i/>
          <w:iCs/>
          <w:color w:val="156082" w:themeColor="accent1"/>
          <w:lang w:val="en-AU"/>
        </w:rPr>
        <w:t xml:space="preserve"> </w:t>
      </w:r>
      <w:r w:rsidRPr="007C3B9D">
        <w:rPr>
          <w:rFonts w:cstheme="minorHAnsi"/>
          <w:lang w:val="en-AU"/>
        </w:rPr>
        <w:t>ASEAN-Australia relationship and engagement</w:t>
      </w:r>
      <w:r w:rsidR="005A036A" w:rsidRPr="007C3B9D">
        <w:rPr>
          <w:rFonts w:cstheme="minorHAnsi"/>
          <w:lang w:val="en-AU"/>
        </w:rPr>
        <w:t>,</w:t>
      </w:r>
      <w:r w:rsidRPr="007C3B9D">
        <w:rPr>
          <w:rFonts w:cstheme="minorHAnsi"/>
          <w:lang w:val="en-AU"/>
        </w:rPr>
        <w:t xml:space="preserve"> and</w:t>
      </w:r>
      <w:r w:rsidR="005A036A" w:rsidRPr="007C3B9D">
        <w:rPr>
          <w:rFonts w:cstheme="minorHAnsi"/>
          <w:i/>
          <w:iCs/>
          <w:color w:val="156082" w:themeColor="accent1"/>
          <w:lang w:val="en-AU"/>
        </w:rPr>
        <w:t xml:space="preserve"> </w:t>
      </w:r>
      <w:r w:rsidRPr="007C3B9D">
        <w:rPr>
          <w:rFonts w:cstheme="minorHAnsi"/>
          <w:lang w:val="en-AU"/>
        </w:rPr>
        <w:t>ASEAN’s ability to</w:t>
      </w:r>
      <w:r w:rsidR="006564A8" w:rsidRPr="007C3B9D">
        <w:rPr>
          <w:rFonts w:cstheme="minorHAnsi"/>
          <w:lang w:val="en-AU"/>
        </w:rPr>
        <w:t xml:space="preserve"> </w:t>
      </w:r>
      <w:r w:rsidRPr="007C3B9D">
        <w:rPr>
          <w:rFonts w:cstheme="minorHAnsi"/>
          <w:lang w:val="en-AU"/>
        </w:rPr>
        <w:t>lead more coordinated, cohesive and inclusive to transnational political security</w:t>
      </w:r>
      <w:r w:rsidR="006564A8" w:rsidRPr="007C3B9D">
        <w:rPr>
          <w:rFonts w:cstheme="minorHAnsi"/>
          <w:lang w:val="en-AU"/>
        </w:rPr>
        <w:t xml:space="preserve"> </w:t>
      </w:r>
      <w:r w:rsidRPr="007C3B9D">
        <w:rPr>
          <w:rFonts w:cstheme="minorHAnsi"/>
          <w:lang w:val="en-AU"/>
        </w:rPr>
        <w:t>challenges.</w:t>
      </w:r>
    </w:p>
    <w:p w14:paraId="62E1B373" w14:textId="72629CA1" w:rsidR="008438AB" w:rsidRPr="007C3B9D" w:rsidRDefault="008438AB" w:rsidP="00903D77">
      <w:pPr>
        <w:autoSpaceDE w:val="0"/>
        <w:autoSpaceDN w:val="0"/>
        <w:adjustRightInd w:val="0"/>
        <w:spacing w:after="120" w:line="276" w:lineRule="auto"/>
        <w:ind w:left="284"/>
        <w:jc w:val="both"/>
        <w:rPr>
          <w:rFonts w:cstheme="minorHAnsi"/>
          <w:i/>
          <w:iCs/>
          <w:color w:val="0F4761" w:themeColor="accent1" w:themeShade="BF"/>
          <w:lang w:val="en-AU"/>
        </w:rPr>
      </w:pPr>
      <w:r w:rsidRPr="007C3B9D">
        <w:rPr>
          <w:rFonts w:cstheme="minorHAnsi"/>
          <w:i/>
          <w:iCs/>
          <w:color w:val="0F4761" w:themeColor="accent1" w:themeShade="BF"/>
          <w:lang w:val="en-AU"/>
        </w:rPr>
        <w:t>Sustainability</w:t>
      </w:r>
      <w:r w:rsidR="005A036A" w:rsidRPr="007C3B9D">
        <w:rPr>
          <w:rFonts w:cstheme="minorHAnsi"/>
          <w:i/>
          <w:iCs/>
          <w:color w:val="0F4761" w:themeColor="accent1" w:themeShade="BF"/>
          <w:lang w:val="en-AU"/>
        </w:rPr>
        <w:t xml:space="preserve">: </w:t>
      </w:r>
      <w:r w:rsidR="00175014" w:rsidRPr="007C3B9D">
        <w:rPr>
          <w:rFonts w:cstheme="minorHAnsi"/>
          <w:lang w:val="en-AU"/>
        </w:rPr>
        <w:t>S</w:t>
      </w:r>
      <w:r w:rsidRPr="007C3B9D">
        <w:rPr>
          <w:rFonts w:cstheme="minorHAnsi"/>
          <w:lang w:val="en-AU"/>
        </w:rPr>
        <w:t xml:space="preserve">ustainability of </w:t>
      </w:r>
      <w:r w:rsidR="00B26777" w:rsidRPr="007C3B9D">
        <w:rPr>
          <w:rFonts w:cstheme="minorHAnsi"/>
          <w:lang w:val="en-AU"/>
        </w:rPr>
        <w:t>APSP’s</w:t>
      </w:r>
      <w:r w:rsidRPr="007C3B9D">
        <w:rPr>
          <w:rFonts w:cstheme="minorHAnsi"/>
          <w:lang w:val="en-AU"/>
        </w:rPr>
        <w:t xml:space="preserve"> impacts and outcomes</w:t>
      </w:r>
      <w:r w:rsidR="00B26777" w:rsidRPr="007C3B9D">
        <w:rPr>
          <w:rFonts w:cstheme="minorHAnsi"/>
          <w:lang w:val="en-AU"/>
        </w:rPr>
        <w:t>;</w:t>
      </w:r>
      <w:r w:rsidR="005A036A" w:rsidRPr="007C3B9D">
        <w:rPr>
          <w:rFonts w:cstheme="minorHAnsi"/>
          <w:i/>
          <w:iCs/>
          <w:color w:val="156082" w:themeColor="accent1"/>
          <w:lang w:val="en-AU"/>
        </w:rPr>
        <w:t xml:space="preserve"> </w:t>
      </w:r>
      <w:r w:rsidR="005A036A" w:rsidRPr="007C3B9D">
        <w:rPr>
          <w:rFonts w:cstheme="minorHAnsi"/>
          <w:lang w:val="en-AU"/>
        </w:rPr>
        <w:t>e</w:t>
      </w:r>
      <w:r w:rsidRPr="007C3B9D">
        <w:rPr>
          <w:rFonts w:cstheme="minorHAnsi"/>
          <w:lang w:val="en-AU"/>
        </w:rPr>
        <w:t xml:space="preserve">xtent to which </w:t>
      </w:r>
      <w:r w:rsidR="00B26777" w:rsidRPr="007C3B9D">
        <w:rPr>
          <w:rFonts w:cstheme="minorHAnsi"/>
          <w:lang w:val="en-AU"/>
        </w:rPr>
        <w:t xml:space="preserve">APSP </w:t>
      </w:r>
      <w:r w:rsidRPr="007C3B9D">
        <w:rPr>
          <w:rFonts w:cstheme="minorHAnsi"/>
          <w:lang w:val="en-AU"/>
        </w:rPr>
        <w:t>has fostered long-term partnerships within</w:t>
      </w:r>
      <w:r w:rsidR="00B26777" w:rsidRPr="007C3B9D">
        <w:rPr>
          <w:rFonts w:cstheme="minorHAnsi"/>
          <w:lang w:val="en-AU"/>
        </w:rPr>
        <w:t xml:space="preserve"> </w:t>
      </w:r>
      <w:r w:rsidRPr="007C3B9D">
        <w:rPr>
          <w:rFonts w:cstheme="minorHAnsi"/>
          <w:lang w:val="en-AU"/>
        </w:rPr>
        <w:t>ASEAN and between ASEAN and Australia, built institutional capacity, and</w:t>
      </w:r>
      <w:r w:rsidR="00B26777" w:rsidRPr="007C3B9D">
        <w:rPr>
          <w:rFonts w:cstheme="minorHAnsi"/>
          <w:lang w:val="en-AU"/>
        </w:rPr>
        <w:t xml:space="preserve"> </w:t>
      </w:r>
      <w:r w:rsidRPr="007C3B9D">
        <w:rPr>
          <w:rFonts w:cstheme="minorHAnsi"/>
          <w:lang w:val="en-AU"/>
        </w:rPr>
        <w:t>established mechanisms for ongoing cooperation and dialogue.</w:t>
      </w:r>
    </w:p>
    <w:p w14:paraId="3FD32E8A" w14:textId="24371B37" w:rsidR="008438AB" w:rsidRPr="007C3B9D" w:rsidRDefault="008438AB" w:rsidP="00903D77">
      <w:pPr>
        <w:autoSpaceDE w:val="0"/>
        <w:autoSpaceDN w:val="0"/>
        <w:adjustRightInd w:val="0"/>
        <w:spacing w:after="120" w:line="276" w:lineRule="auto"/>
        <w:ind w:left="284"/>
        <w:jc w:val="both"/>
        <w:rPr>
          <w:rFonts w:cstheme="minorHAnsi"/>
          <w:i/>
          <w:iCs/>
          <w:color w:val="0F4761" w:themeColor="accent1" w:themeShade="BF"/>
          <w:lang w:val="en-AU"/>
        </w:rPr>
      </w:pPr>
      <w:r w:rsidRPr="007C3B9D">
        <w:rPr>
          <w:rFonts w:cstheme="minorHAnsi"/>
          <w:i/>
          <w:iCs/>
          <w:color w:val="0F4761" w:themeColor="accent1" w:themeShade="BF"/>
          <w:lang w:val="en-AU"/>
        </w:rPr>
        <w:lastRenderedPageBreak/>
        <w:t>Impact</w:t>
      </w:r>
      <w:r w:rsidR="005A036A" w:rsidRPr="007C3B9D">
        <w:rPr>
          <w:rFonts w:cstheme="minorHAnsi"/>
          <w:i/>
          <w:iCs/>
          <w:color w:val="0F4761" w:themeColor="accent1" w:themeShade="BF"/>
          <w:lang w:val="en-AU"/>
        </w:rPr>
        <w:t xml:space="preserve">: </w:t>
      </w:r>
      <w:r w:rsidR="005A036A" w:rsidRPr="007C3B9D">
        <w:rPr>
          <w:rFonts w:cstheme="minorHAnsi"/>
          <w:lang w:val="en-AU"/>
        </w:rPr>
        <w:t>o</w:t>
      </w:r>
      <w:r w:rsidRPr="007C3B9D">
        <w:rPr>
          <w:rFonts w:cstheme="minorHAnsi"/>
          <w:lang w:val="en-AU"/>
        </w:rPr>
        <w:t>verall impact of APSP on regional political security environment</w:t>
      </w:r>
      <w:r w:rsidR="00B26777" w:rsidRPr="007C3B9D">
        <w:rPr>
          <w:rFonts w:cstheme="minorHAnsi"/>
          <w:lang w:val="en-AU"/>
        </w:rPr>
        <w:t xml:space="preserve"> </w:t>
      </w:r>
      <w:r w:rsidRPr="007C3B9D">
        <w:rPr>
          <w:rFonts w:cstheme="minorHAnsi"/>
          <w:lang w:val="en-AU"/>
        </w:rPr>
        <w:t>and cooperation</w:t>
      </w:r>
      <w:r w:rsidR="005A036A" w:rsidRPr="007C3B9D">
        <w:rPr>
          <w:rFonts w:cstheme="minorHAnsi"/>
          <w:lang w:val="en-AU"/>
        </w:rPr>
        <w:t xml:space="preserve">; </w:t>
      </w:r>
      <w:r w:rsidR="00B26777" w:rsidRPr="007C3B9D">
        <w:rPr>
          <w:rFonts w:cstheme="minorHAnsi"/>
          <w:lang w:val="en-AU"/>
        </w:rPr>
        <w:t>APSP</w:t>
      </w:r>
      <w:r w:rsidRPr="007C3B9D">
        <w:rPr>
          <w:rFonts w:cstheme="minorHAnsi"/>
          <w:lang w:val="en-AU"/>
        </w:rPr>
        <w:t>'s contribution to addressing transnational</w:t>
      </w:r>
      <w:r w:rsidR="00B26777" w:rsidRPr="007C3B9D">
        <w:rPr>
          <w:rFonts w:cstheme="minorHAnsi"/>
          <w:lang w:val="en-AU"/>
        </w:rPr>
        <w:t xml:space="preserve"> </w:t>
      </w:r>
      <w:r w:rsidRPr="007C3B9D">
        <w:rPr>
          <w:rFonts w:cstheme="minorHAnsi"/>
          <w:lang w:val="en-AU"/>
        </w:rPr>
        <w:t>political security challenges, promoting trust and understanding, and strengthening</w:t>
      </w:r>
      <w:r w:rsidR="00B26777" w:rsidRPr="007C3B9D">
        <w:rPr>
          <w:rFonts w:cstheme="minorHAnsi"/>
          <w:lang w:val="en-AU"/>
        </w:rPr>
        <w:t xml:space="preserve"> </w:t>
      </w:r>
      <w:r w:rsidRPr="007C3B9D">
        <w:rPr>
          <w:rFonts w:cstheme="minorHAnsi"/>
          <w:lang w:val="en-AU"/>
        </w:rPr>
        <w:t>regional institutions.</w:t>
      </w:r>
    </w:p>
    <w:p w14:paraId="0050F20D" w14:textId="45F40433" w:rsidR="00DC500D" w:rsidRPr="007C3B9D" w:rsidRDefault="008438AB" w:rsidP="00903D77">
      <w:pPr>
        <w:autoSpaceDE w:val="0"/>
        <w:autoSpaceDN w:val="0"/>
        <w:adjustRightInd w:val="0"/>
        <w:spacing w:after="120" w:line="276" w:lineRule="auto"/>
        <w:ind w:left="284"/>
        <w:jc w:val="both"/>
        <w:rPr>
          <w:rFonts w:cstheme="minorHAnsi"/>
          <w:i/>
          <w:iCs/>
          <w:color w:val="0F4761" w:themeColor="accent1" w:themeShade="BF"/>
          <w:lang w:val="en-AU"/>
        </w:rPr>
      </w:pPr>
      <w:r w:rsidRPr="007C3B9D">
        <w:rPr>
          <w:rFonts w:cstheme="minorHAnsi"/>
          <w:i/>
          <w:iCs/>
          <w:color w:val="0F4761" w:themeColor="accent1" w:themeShade="BF"/>
          <w:lang w:val="en-AU"/>
        </w:rPr>
        <w:t>Mainstreaming Gender Equality, Disability and Social Inclusion (GEDSI)</w:t>
      </w:r>
      <w:r w:rsidR="005A036A" w:rsidRPr="007C3B9D">
        <w:rPr>
          <w:rFonts w:cstheme="minorHAnsi"/>
          <w:i/>
          <w:iCs/>
          <w:color w:val="0F4761" w:themeColor="accent1" w:themeShade="BF"/>
          <w:lang w:val="en-AU"/>
        </w:rPr>
        <w:t xml:space="preserve">: </w:t>
      </w:r>
      <w:r w:rsidR="005A036A" w:rsidRPr="007C3B9D">
        <w:rPr>
          <w:rFonts w:cstheme="minorHAnsi"/>
          <w:lang w:val="en-AU"/>
        </w:rPr>
        <w:t>h</w:t>
      </w:r>
      <w:r w:rsidRPr="007C3B9D">
        <w:rPr>
          <w:rFonts w:cstheme="minorHAnsi"/>
          <w:lang w:val="en-AU"/>
        </w:rPr>
        <w:t>ow APSP has sought to strengthen GEDSI in its development efforts</w:t>
      </w:r>
      <w:r w:rsidR="005A036A" w:rsidRPr="007C3B9D">
        <w:rPr>
          <w:rFonts w:cstheme="minorHAnsi"/>
          <w:lang w:val="en-AU"/>
        </w:rPr>
        <w:t xml:space="preserve">; APSP’s </w:t>
      </w:r>
      <w:r w:rsidRPr="007C3B9D">
        <w:rPr>
          <w:rFonts w:cstheme="minorHAnsi"/>
          <w:lang w:val="en-AU"/>
        </w:rPr>
        <w:t>integration of GEDSI considerations in its activities, outcomes</w:t>
      </w:r>
      <w:r w:rsidR="005A036A" w:rsidRPr="007C3B9D">
        <w:rPr>
          <w:rFonts w:cstheme="minorHAnsi"/>
          <w:lang w:val="en-AU"/>
        </w:rPr>
        <w:t xml:space="preserve"> </w:t>
      </w:r>
      <w:r w:rsidRPr="007C3B9D">
        <w:rPr>
          <w:rFonts w:cstheme="minorHAnsi"/>
          <w:lang w:val="en-AU"/>
        </w:rPr>
        <w:t>and impacts.</w:t>
      </w:r>
    </w:p>
    <w:p w14:paraId="6523ED49" w14:textId="0C103F85" w:rsidR="005A036A" w:rsidRPr="007C3B9D" w:rsidRDefault="00175014" w:rsidP="00903D77">
      <w:pPr>
        <w:autoSpaceDE w:val="0"/>
        <w:autoSpaceDN w:val="0"/>
        <w:adjustRightInd w:val="0"/>
        <w:spacing w:after="120" w:line="276" w:lineRule="auto"/>
        <w:jc w:val="both"/>
        <w:rPr>
          <w:rFonts w:cstheme="minorHAnsi"/>
          <w:lang w:val="en-AU"/>
        </w:rPr>
      </w:pPr>
      <w:r w:rsidRPr="007C3B9D">
        <w:rPr>
          <w:rFonts w:cstheme="minorHAnsi"/>
          <w:i/>
          <w:iCs/>
          <w:color w:val="0F4761" w:themeColor="accent1" w:themeShade="BF"/>
          <w:lang w:val="en-AU"/>
        </w:rPr>
        <w:t>Evaluation questions:</w:t>
      </w:r>
      <w:r w:rsidRPr="007C3B9D">
        <w:rPr>
          <w:rFonts w:cstheme="minorHAnsi"/>
          <w:color w:val="0F4761" w:themeColor="accent1" w:themeShade="BF"/>
          <w:lang w:val="en-AU"/>
        </w:rPr>
        <w:t xml:space="preserve"> </w:t>
      </w:r>
      <w:r w:rsidR="008402EC" w:rsidRPr="007C3B9D">
        <w:rPr>
          <w:rFonts w:cstheme="minorHAnsi"/>
          <w:lang w:val="en-AU"/>
        </w:rPr>
        <w:t xml:space="preserve">Based on the above criteria, a set of evaluation questions </w:t>
      </w:r>
      <w:r w:rsidR="006242B0" w:rsidRPr="007C3B9D">
        <w:rPr>
          <w:rFonts w:cstheme="minorHAnsi"/>
          <w:lang w:val="en-AU"/>
        </w:rPr>
        <w:t xml:space="preserve">(EQs) </w:t>
      </w:r>
      <w:r w:rsidRPr="007C3B9D">
        <w:rPr>
          <w:rFonts w:cstheme="minorHAnsi"/>
          <w:lang w:val="en-AU"/>
        </w:rPr>
        <w:t>were</w:t>
      </w:r>
      <w:r w:rsidR="008402EC" w:rsidRPr="007C3B9D">
        <w:rPr>
          <w:rFonts w:cstheme="minorHAnsi"/>
          <w:lang w:val="en-AU"/>
        </w:rPr>
        <w:t xml:space="preserve"> </w:t>
      </w:r>
      <w:r w:rsidR="006242B0" w:rsidRPr="007C3B9D">
        <w:rPr>
          <w:rFonts w:cstheme="minorHAnsi"/>
          <w:lang w:val="en-AU"/>
        </w:rPr>
        <w:t>developed</w:t>
      </w:r>
      <w:r w:rsidR="008402EC" w:rsidRPr="007C3B9D">
        <w:rPr>
          <w:rFonts w:cstheme="minorHAnsi"/>
          <w:lang w:val="en-AU"/>
        </w:rPr>
        <w:t xml:space="preserve">, with </w:t>
      </w:r>
      <w:r w:rsidRPr="007C3B9D">
        <w:rPr>
          <w:rFonts w:cstheme="minorHAnsi"/>
          <w:lang w:val="en-AU"/>
        </w:rPr>
        <w:t>the</w:t>
      </w:r>
      <w:r w:rsidR="008402EC" w:rsidRPr="007C3B9D">
        <w:rPr>
          <w:rFonts w:cstheme="minorHAnsi"/>
          <w:lang w:val="en-AU"/>
        </w:rPr>
        <w:t xml:space="preserve"> accompanying </w:t>
      </w:r>
      <w:r w:rsidR="006242B0" w:rsidRPr="007C3B9D">
        <w:rPr>
          <w:rFonts w:cstheme="minorHAnsi"/>
          <w:lang w:val="en-AU"/>
        </w:rPr>
        <w:t xml:space="preserve">Evaluation Matrix, </w:t>
      </w:r>
      <w:r w:rsidR="00410D48" w:rsidRPr="007C3B9D">
        <w:rPr>
          <w:rFonts w:cstheme="minorHAnsi"/>
          <w:lang w:val="en-AU"/>
        </w:rPr>
        <w:t>as</w:t>
      </w:r>
      <w:r w:rsidR="006242B0" w:rsidRPr="007C3B9D">
        <w:rPr>
          <w:rFonts w:cstheme="minorHAnsi"/>
          <w:lang w:val="en-AU"/>
        </w:rPr>
        <w:t xml:space="preserve"> discussed at </w:t>
      </w:r>
      <w:r w:rsidR="00E8444D" w:rsidRPr="007C3B9D">
        <w:rPr>
          <w:rFonts w:cstheme="minorHAnsi"/>
          <w:i/>
          <w:iCs/>
          <w:lang w:val="en-AU"/>
        </w:rPr>
        <w:t xml:space="preserve">Section </w:t>
      </w:r>
      <w:r w:rsidRPr="007C3B9D">
        <w:rPr>
          <w:rFonts w:cstheme="minorHAnsi"/>
          <w:i/>
          <w:iCs/>
          <w:lang w:val="en-AU"/>
        </w:rPr>
        <w:t>2.</w:t>
      </w:r>
      <w:r w:rsidR="00E8444D" w:rsidRPr="007C3B9D">
        <w:rPr>
          <w:rFonts w:cstheme="minorHAnsi"/>
          <w:i/>
          <w:iCs/>
          <w:lang w:val="en-AU"/>
        </w:rPr>
        <w:t>3 (Methodology)</w:t>
      </w:r>
      <w:r w:rsidR="006242B0" w:rsidRPr="007C3B9D">
        <w:rPr>
          <w:rFonts w:cstheme="minorHAnsi"/>
          <w:lang w:val="en-AU"/>
        </w:rPr>
        <w:t xml:space="preserve"> below, </w:t>
      </w:r>
      <w:r w:rsidR="008402EC" w:rsidRPr="007C3B9D">
        <w:rPr>
          <w:rFonts w:cstheme="minorHAnsi"/>
          <w:lang w:val="en-AU"/>
        </w:rPr>
        <w:t>which form</w:t>
      </w:r>
      <w:r w:rsidRPr="007C3B9D">
        <w:rPr>
          <w:rFonts w:cstheme="minorHAnsi"/>
          <w:lang w:val="en-AU"/>
        </w:rPr>
        <w:t>ed</w:t>
      </w:r>
      <w:r w:rsidR="008402EC" w:rsidRPr="007C3B9D">
        <w:rPr>
          <w:rFonts w:cstheme="minorHAnsi"/>
          <w:lang w:val="en-AU"/>
        </w:rPr>
        <w:t xml:space="preserve"> the structure </w:t>
      </w:r>
      <w:r w:rsidR="006242B0" w:rsidRPr="007C3B9D">
        <w:rPr>
          <w:rFonts w:cstheme="minorHAnsi"/>
          <w:lang w:val="en-AU"/>
        </w:rPr>
        <w:t xml:space="preserve">and justification </w:t>
      </w:r>
      <w:r w:rsidR="008402EC" w:rsidRPr="007C3B9D">
        <w:rPr>
          <w:rFonts w:cstheme="minorHAnsi"/>
          <w:lang w:val="en-AU"/>
        </w:rPr>
        <w:t>for the evaluation findings, conclusions and recommendations</w:t>
      </w:r>
      <w:r w:rsidR="00410D48" w:rsidRPr="007C3B9D">
        <w:rPr>
          <w:rFonts w:cstheme="minorHAnsi"/>
          <w:lang w:val="en-AU"/>
        </w:rPr>
        <w:t>.</w:t>
      </w:r>
    </w:p>
    <w:p w14:paraId="3F9B479D" w14:textId="6E4A4DCB" w:rsidR="00B20A37" w:rsidRPr="007C3B9D" w:rsidRDefault="00175014" w:rsidP="00903D77">
      <w:pPr>
        <w:spacing w:after="120" w:line="276" w:lineRule="auto"/>
        <w:jc w:val="both"/>
        <w:rPr>
          <w:rFonts w:cstheme="minorHAnsi"/>
          <w:lang w:val="en-AU"/>
        </w:rPr>
      </w:pPr>
      <w:r w:rsidRPr="007C3B9D">
        <w:rPr>
          <w:rFonts w:cstheme="minorHAnsi"/>
          <w:i/>
          <w:iCs/>
          <w:color w:val="0F4761" w:themeColor="accent1" w:themeShade="BF"/>
          <w:lang w:val="en-AU"/>
        </w:rPr>
        <w:t>Evaluation scope</w:t>
      </w:r>
      <w:r w:rsidRPr="007C3B9D">
        <w:rPr>
          <w:rFonts w:cstheme="minorHAnsi"/>
          <w:color w:val="0F4761" w:themeColor="accent1" w:themeShade="BF"/>
          <w:lang w:val="en-AU"/>
        </w:rPr>
        <w:t xml:space="preserve">: </w:t>
      </w:r>
      <w:r w:rsidRPr="007C3B9D">
        <w:rPr>
          <w:rFonts w:cstheme="minorHAnsi"/>
          <w:lang w:val="en-AU"/>
        </w:rPr>
        <w:t>The</w:t>
      </w:r>
      <w:r w:rsidR="690FC37C" w:rsidRPr="007C3B9D">
        <w:rPr>
          <w:rFonts w:cstheme="minorHAnsi"/>
          <w:lang w:val="en-AU"/>
        </w:rPr>
        <w:t xml:space="preserve"> evaluation </w:t>
      </w:r>
      <w:r w:rsidR="00262F4C" w:rsidRPr="007C3B9D">
        <w:rPr>
          <w:rFonts w:cstheme="minorHAnsi"/>
          <w:lang w:val="en-AU"/>
        </w:rPr>
        <w:t>was to</w:t>
      </w:r>
      <w:r w:rsidR="690FC37C" w:rsidRPr="007C3B9D">
        <w:rPr>
          <w:rFonts w:cstheme="minorHAnsi"/>
          <w:lang w:val="en-AU"/>
        </w:rPr>
        <w:t xml:space="preserve"> encompass all </w:t>
      </w:r>
      <w:r w:rsidR="00D1795B" w:rsidRPr="007C3B9D">
        <w:rPr>
          <w:rFonts w:cstheme="minorHAnsi"/>
          <w:lang w:val="en-AU"/>
        </w:rPr>
        <w:t>program</w:t>
      </w:r>
      <w:r w:rsidR="690FC37C" w:rsidRPr="007C3B9D">
        <w:rPr>
          <w:rFonts w:cstheme="minorHAnsi"/>
          <w:lang w:val="en-AU"/>
        </w:rPr>
        <w:t xml:space="preserve"> activities delivered </w:t>
      </w:r>
      <w:r w:rsidR="00D352AC" w:rsidRPr="007C3B9D">
        <w:rPr>
          <w:rFonts w:cstheme="minorHAnsi"/>
          <w:lang w:val="en-AU"/>
        </w:rPr>
        <w:t>from</w:t>
      </w:r>
      <w:r w:rsidR="690FC37C" w:rsidRPr="007C3B9D">
        <w:rPr>
          <w:rFonts w:cstheme="minorHAnsi"/>
          <w:lang w:val="en-AU"/>
        </w:rPr>
        <w:t xml:space="preserve"> May </w:t>
      </w:r>
      <w:r w:rsidR="00D352AC" w:rsidRPr="007C3B9D">
        <w:rPr>
          <w:rFonts w:cstheme="minorHAnsi"/>
          <w:lang w:val="en-AU"/>
        </w:rPr>
        <w:t>2019</w:t>
      </w:r>
      <w:r w:rsidR="690FC37C" w:rsidRPr="007C3B9D">
        <w:rPr>
          <w:rFonts w:cstheme="minorHAnsi"/>
          <w:lang w:val="en-AU"/>
        </w:rPr>
        <w:t xml:space="preserve"> </w:t>
      </w:r>
      <w:r w:rsidR="00D352AC" w:rsidRPr="007C3B9D">
        <w:rPr>
          <w:rFonts w:cstheme="minorHAnsi"/>
          <w:lang w:val="en-AU"/>
        </w:rPr>
        <w:t>through to</w:t>
      </w:r>
      <w:r w:rsidR="690FC37C" w:rsidRPr="007C3B9D">
        <w:rPr>
          <w:rFonts w:cstheme="minorHAnsi"/>
          <w:lang w:val="en-AU"/>
        </w:rPr>
        <w:t xml:space="preserve"> </w:t>
      </w:r>
      <w:r w:rsidR="00B061AB" w:rsidRPr="007C3B9D">
        <w:rPr>
          <w:rFonts w:cstheme="minorHAnsi"/>
          <w:lang w:val="en-AU"/>
        </w:rPr>
        <w:t xml:space="preserve">June </w:t>
      </w:r>
      <w:r w:rsidR="690FC37C" w:rsidRPr="007C3B9D">
        <w:rPr>
          <w:rFonts w:cstheme="minorHAnsi"/>
          <w:lang w:val="en-AU"/>
        </w:rPr>
        <w:t>2024</w:t>
      </w:r>
      <w:r w:rsidR="00B061AB" w:rsidRPr="007C3B9D">
        <w:rPr>
          <w:rFonts w:cstheme="minorHAnsi"/>
          <w:lang w:val="en-AU"/>
        </w:rPr>
        <w:t xml:space="preserve">, </w:t>
      </w:r>
      <w:r w:rsidR="00262F4C" w:rsidRPr="007C3B9D">
        <w:rPr>
          <w:rFonts w:cstheme="minorHAnsi"/>
          <w:lang w:val="en-AU"/>
        </w:rPr>
        <w:t>being the first five years of APSP</w:t>
      </w:r>
      <w:r w:rsidR="690FC37C" w:rsidRPr="007C3B9D">
        <w:rPr>
          <w:rFonts w:cstheme="minorHAnsi"/>
          <w:lang w:val="en-AU"/>
        </w:rPr>
        <w:t xml:space="preserve">. </w:t>
      </w:r>
      <w:r w:rsidR="00262F4C" w:rsidRPr="007C3B9D">
        <w:rPr>
          <w:rFonts w:cstheme="minorHAnsi"/>
          <w:lang w:val="en-AU"/>
        </w:rPr>
        <w:t xml:space="preserve">However, given that the current program continues through to </w:t>
      </w:r>
      <w:r w:rsidR="00900C2B" w:rsidRPr="007C3B9D">
        <w:rPr>
          <w:rFonts w:cstheme="minorHAnsi"/>
          <w:lang w:val="en-AU"/>
        </w:rPr>
        <w:t>end-April</w:t>
      </w:r>
      <w:r w:rsidR="00262F4C" w:rsidRPr="007C3B9D">
        <w:rPr>
          <w:rFonts w:cstheme="minorHAnsi"/>
          <w:lang w:val="en-AU"/>
        </w:rPr>
        <w:t xml:space="preserve"> 2025, the evaluation team </w:t>
      </w:r>
      <w:r w:rsidRPr="007C3B9D">
        <w:rPr>
          <w:rFonts w:cstheme="minorHAnsi"/>
          <w:lang w:val="en-AU"/>
        </w:rPr>
        <w:t xml:space="preserve">has </w:t>
      </w:r>
      <w:proofErr w:type="gramStart"/>
      <w:r w:rsidRPr="007C3B9D">
        <w:rPr>
          <w:rFonts w:cstheme="minorHAnsi"/>
          <w:lang w:val="en-AU"/>
        </w:rPr>
        <w:t>taken</w:t>
      </w:r>
      <w:r w:rsidR="00C73C38" w:rsidRPr="007C3B9D">
        <w:rPr>
          <w:rFonts w:cstheme="minorHAnsi"/>
          <w:lang w:val="en-AU"/>
        </w:rPr>
        <w:t xml:space="preserve"> into account</w:t>
      </w:r>
      <w:proofErr w:type="gramEnd"/>
      <w:r w:rsidR="00C73C38" w:rsidRPr="007C3B9D">
        <w:rPr>
          <w:rFonts w:cstheme="minorHAnsi"/>
          <w:lang w:val="en-AU"/>
        </w:rPr>
        <w:t xml:space="preserve"> ongoing activities through to </w:t>
      </w:r>
      <w:r w:rsidRPr="007C3B9D">
        <w:rPr>
          <w:rFonts w:cstheme="minorHAnsi"/>
          <w:lang w:val="en-AU"/>
        </w:rPr>
        <w:t>November</w:t>
      </w:r>
      <w:r w:rsidR="00DC1751" w:rsidRPr="007C3B9D">
        <w:rPr>
          <w:rFonts w:cstheme="minorHAnsi"/>
          <w:lang w:val="en-AU"/>
        </w:rPr>
        <w:t xml:space="preserve"> 2024</w:t>
      </w:r>
      <w:r w:rsidR="00C73C38" w:rsidRPr="007C3B9D">
        <w:rPr>
          <w:rFonts w:cstheme="minorHAnsi"/>
          <w:lang w:val="en-AU"/>
        </w:rPr>
        <w:t xml:space="preserve">, including </w:t>
      </w:r>
      <w:r w:rsidRPr="007C3B9D">
        <w:rPr>
          <w:rFonts w:cstheme="minorHAnsi"/>
          <w:lang w:val="en-AU"/>
        </w:rPr>
        <w:t xml:space="preserve">through </w:t>
      </w:r>
      <w:r w:rsidR="00C73C38" w:rsidRPr="007C3B9D">
        <w:rPr>
          <w:rFonts w:cstheme="minorHAnsi"/>
          <w:lang w:val="en-AU"/>
        </w:rPr>
        <w:t>directly observ</w:t>
      </w:r>
      <w:r w:rsidR="00900C2B" w:rsidRPr="007C3B9D">
        <w:rPr>
          <w:rFonts w:cstheme="minorHAnsi"/>
          <w:lang w:val="en-AU"/>
        </w:rPr>
        <w:t>ing</w:t>
      </w:r>
      <w:r w:rsidR="00C73C38" w:rsidRPr="007C3B9D">
        <w:rPr>
          <w:rFonts w:cstheme="minorHAnsi"/>
          <w:lang w:val="en-AU"/>
        </w:rPr>
        <w:t xml:space="preserve"> training that </w:t>
      </w:r>
      <w:r w:rsidRPr="007C3B9D">
        <w:rPr>
          <w:rFonts w:cstheme="minorHAnsi"/>
          <w:lang w:val="en-AU"/>
        </w:rPr>
        <w:t>took</w:t>
      </w:r>
      <w:r w:rsidR="00C73C38" w:rsidRPr="007C3B9D">
        <w:rPr>
          <w:rFonts w:cstheme="minorHAnsi"/>
          <w:lang w:val="en-AU"/>
        </w:rPr>
        <w:t xml:space="preserve"> place in Bangkok </w:t>
      </w:r>
      <w:r w:rsidR="00DC1751" w:rsidRPr="007C3B9D">
        <w:rPr>
          <w:rFonts w:cstheme="minorHAnsi"/>
          <w:lang w:val="en-AU"/>
        </w:rPr>
        <w:t>mid-</w:t>
      </w:r>
      <w:r w:rsidR="00C73C38" w:rsidRPr="007C3B9D">
        <w:rPr>
          <w:rFonts w:cstheme="minorHAnsi"/>
          <w:lang w:val="en-AU"/>
        </w:rPr>
        <w:t>September 2024 (</w:t>
      </w:r>
      <w:r w:rsidR="00C73C38" w:rsidRPr="007C3B9D">
        <w:rPr>
          <w:rFonts w:cstheme="minorHAnsi"/>
          <w:i/>
          <w:iCs/>
          <w:lang w:val="en-AU"/>
        </w:rPr>
        <w:t xml:space="preserve">see </w:t>
      </w:r>
      <w:r w:rsidR="00E8444D" w:rsidRPr="007C3B9D">
        <w:rPr>
          <w:rFonts w:cstheme="minorHAnsi"/>
          <w:i/>
          <w:iCs/>
          <w:lang w:val="en-AU"/>
        </w:rPr>
        <w:t>Section 3 (</w:t>
      </w:r>
      <w:r w:rsidR="00C73C38" w:rsidRPr="007C3B9D">
        <w:rPr>
          <w:rFonts w:cstheme="minorHAnsi"/>
          <w:i/>
          <w:iCs/>
          <w:lang w:val="en-AU"/>
        </w:rPr>
        <w:t>Methodology</w:t>
      </w:r>
      <w:r w:rsidR="00E8444D" w:rsidRPr="007C3B9D">
        <w:rPr>
          <w:rFonts w:cstheme="minorHAnsi"/>
          <w:i/>
          <w:iCs/>
          <w:lang w:val="en-AU"/>
        </w:rPr>
        <w:t>)</w:t>
      </w:r>
      <w:r w:rsidR="00C73C38" w:rsidRPr="007C3B9D">
        <w:rPr>
          <w:rFonts w:cstheme="minorHAnsi"/>
          <w:lang w:val="en-AU"/>
        </w:rPr>
        <w:t>).</w:t>
      </w:r>
    </w:p>
    <w:p w14:paraId="754BD31F" w14:textId="4A722B90" w:rsidR="005B6738" w:rsidRPr="007C3B9D" w:rsidRDefault="005B6738" w:rsidP="00903D77">
      <w:pPr>
        <w:spacing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 xml:space="preserve">Geographic </w:t>
      </w:r>
      <w:r w:rsidR="00DC500D" w:rsidRPr="007C3B9D">
        <w:rPr>
          <w:rFonts w:cstheme="minorHAnsi"/>
          <w:i/>
          <w:iCs/>
          <w:color w:val="0F4761" w:themeColor="accent1" w:themeShade="BF"/>
          <w:lang w:val="en-AU"/>
        </w:rPr>
        <w:t>s</w:t>
      </w:r>
      <w:r w:rsidRPr="007C3B9D">
        <w:rPr>
          <w:rFonts w:cstheme="minorHAnsi"/>
          <w:i/>
          <w:iCs/>
          <w:color w:val="0F4761" w:themeColor="accent1" w:themeShade="BF"/>
          <w:lang w:val="en-AU"/>
        </w:rPr>
        <w:t>cope</w:t>
      </w:r>
      <w:r w:rsidR="00175014" w:rsidRPr="007C3B9D">
        <w:rPr>
          <w:rFonts w:cstheme="minorHAnsi"/>
          <w:i/>
          <w:iCs/>
          <w:color w:val="0F4761" w:themeColor="accent1" w:themeShade="BF"/>
          <w:lang w:val="en-AU"/>
        </w:rPr>
        <w:t xml:space="preserve">: </w:t>
      </w:r>
      <w:r w:rsidRPr="007C3B9D">
        <w:rPr>
          <w:rFonts w:cstheme="minorHAnsi"/>
          <w:lang w:val="en-AU"/>
        </w:rPr>
        <w:t xml:space="preserve">The evaluation </w:t>
      </w:r>
      <w:r w:rsidR="00175014" w:rsidRPr="007C3B9D">
        <w:rPr>
          <w:rFonts w:cstheme="minorHAnsi"/>
          <w:lang w:val="en-AU"/>
        </w:rPr>
        <w:t xml:space="preserve">has </w:t>
      </w:r>
      <w:proofErr w:type="gramStart"/>
      <w:r w:rsidR="00175014" w:rsidRPr="007C3B9D">
        <w:rPr>
          <w:rFonts w:cstheme="minorHAnsi"/>
          <w:lang w:val="en-AU"/>
        </w:rPr>
        <w:t>taken</w:t>
      </w:r>
      <w:r w:rsidRPr="007C3B9D">
        <w:rPr>
          <w:rFonts w:cstheme="minorHAnsi"/>
          <w:lang w:val="en-AU"/>
        </w:rPr>
        <w:t xml:space="preserve"> into account</w:t>
      </w:r>
      <w:proofErr w:type="gramEnd"/>
      <w:r w:rsidRPr="007C3B9D">
        <w:rPr>
          <w:rFonts w:cstheme="minorHAnsi"/>
          <w:lang w:val="en-AU"/>
        </w:rPr>
        <w:t xml:space="preserve"> the program’s applicability to each of ASEAN’s ten Member States (AMS), </w:t>
      </w:r>
      <w:r w:rsidR="00175014" w:rsidRPr="007C3B9D">
        <w:rPr>
          <w:rFonts w:cstheme="minorHAnsi"/>
          <w:lang w:val="en-AU"/>
        </w:rPr>
        <w:t xml:space="preserve">as well as East Timor as an observer state, </w:t>
      </w:r>
      <w:r w:rsidRPr="007C3B9D">
        <w:rPr>
          <w:rFonts w:cstheme="minorHAnsi"/>
          <w:lang w:val="en-AU"/>
        </w:rPr>
        <w:t xml:space="preserve">bearing in mind </w:t>
      </w:r>
      <w:r w:rsidR="00E70781" w:rsidRPr="007C3B9D">
        <w:rPr>
          <w:rFonts w:cstheme="minorHAnsi"/>
          <w:lang w:val="en-AU"/>
        </w:rPr>
        <w:t xml:space="preserve">that </w:t>
      </w:r>
      <w:r w:rsidR="00E70781" w:rsidRPr="007C3B9D">
        <w:rPr>
          <w:lang w:val="en-AU"/>
        </w:rPr>
        <w:t>APSP targets ASEAN sectoral bodies and mechanisms</w:t>
      </w:r>
      <w:r w:rsidR="00175014" w:rsidRPr="007C3B9D">
        <w:rPr>
          <w:lang w:val="en-AU"/>
        </w:rPr>
        <w:t xml:space="preserve">, </w:t>
      </w:r>
      <w:r w:rsidR="00E70781" w:rsidRPr="007C3B9D">
        <w:rPr>
          <w:lang w:val="en-AU"/>
        </w:rPr>
        <w:t>in which all ASEAN Member States</w:t>
      </w:r>
      <w:r w:rsidR="00175014" w:rsidRPr="007C3B9D">
        <w:rPr>
          <w:lang w:val="en-AU"/>
        </w:rPr>
        <w:t xml:space="preserve"> </w:t>
      </w:r>
      <w:r w:rsidR="00E70781" w:rsidRPr="007C3B9D">
        <w:rPr>
          <w:lang w:val="en-AU"/>
        </w:rPr>
        <w:t>participate</w:t>
      </w:r>
      <w:r w:rsidR="00815D78" w:rsidRPr="007C3B9D">
        <w:rPr>
          <w:rFonts w:cstheme="minorHAnsi"/>
          <w:lang w:val="en-AU"/>
        </w:rPr>
        <w:t>.</w:t>
      </w:r>
    </w:p>
    <w:p w14:paraId="53A74B39" w14:textId="53FDAC16" w:rsidR="00175014" w:rsidRPr="007C3B9D" w:rsidRDefault="00DC500D" w:rsidP="00903D77">
      <w:pPr>
        <w:spacing w:after="120" w:line="276" w:lineRule="auto"/>
        <w:jc w:val="both"/>
        <w:rPr>
          <w:rFonts w:cstheme="minorHAnsi"/>
          <w:lang w:val="en-AU"/>
        </w:rPr>
      </w:pPr>
      <w:r w:rsidRPr="007C3B9D">
        <w:rPr>
          <w:rFonts w:cstheme="minorHAnsi"/>
          <w:i/>
          <w:iCs/>
          <w:color w:val="0F4761" w:themeColor="accent1" w:themeShade="BF"/>
          <w:lang w:val="en-AU"/>
        </w:rPr>
        <w:t>Intended</w:t>
      </w:r>
      <w:r w:rsidR="00B20A37" w:rsidRPr="007C3B9D">
        <w:rPr>
          <w:rFonts w:cstheme="minorHAnsi"/>
          <w:i/>
          <w:iCs/>
          <w:color w:val="0F4761" w:themeColor="accent1" w:themeShade="BF"/>
          <w:lang w:val="en-AU"/>
        </w:rPr>
        <w:t xml:space="preserve"> users</w:t>
      </w:r>
      <w:r w:rsidR="00175014" w:rsidRPr="007C3B9D">
        <w:rPr>
          <w:rFonts w:cstheme="minorHAnsi"/>
          <w:i/>
          <w:iCs/>
          <w:color w:val="0F4761" w:themeColor="accent1" w:themeShade="BF"/>
          <w:lang w:val="en-AU"/>
        </w:rPr>
        <w:t xml:space="preserve">: </w:t>
      </w:r>
      <w:r w:rsidR="006B4174" w:rsidRPr="007C3B9D">
        <w:rPr>
          <w:rFonts w:cstheme="minorHAnsi"/>
          <w:lang w:val="en-AU"/>
        </w:rPr>
        <w:t xml:space="preserve">The primary intended users of the evaluation results will include program managers, senior managers and senior executives of DFAT, particularly at Australian Mission to ASEAN; and the program manager, program team and senior executives of TAF. </w:t>
      </w:r>
      <w:r w:rsidR="005B4044" w:rsidRPr="007C3B9D">
        <w:rPr>
          <w:rFonts w:cstheme="minorHAnsi"/>
          <w:lang w:val="en-AU"/>
        </w:rPr>
        <w:t xml:space="preserve">Other key users will include other Australian Government Departments (OGD), ASEAN </w:t>
      </w:r>
      <w:r w:rsidR="0052760B" w:rsidRPr="007C3B9D">
        <w:rPr>
          <w:rFonts w:cstheme="minorHAnsi"/>
          <w:lang w:val="en-AU"/>
        </w:rPr>
        <w:t>stakeholders</w:t>
      </w:r>
      <w:r w:rsidR="0052760B" w:rsidRPr="007C3B9D">
        <w:rPr>
          <w:rStyle w:val="FootnoteReference"/>
          <w:rFonts w:cstheme="minorHAnsi"/>
          <w:lang w:val="en-AU"/>
        </w:rPr>
        <w:footnoteReference w:id="2"/>
      </w:r>
      <w:r w:rsidR="005B4044" w:rsidRPr="007C3B9D">
        <w:rPr>
          <w:rFonts w:cstheme="minorHAnsi"/>
          <w:lang w:val="en-AU"/>
        </w:rPr>
        <w:t xml:space="preserve">, and other relevant regional </w:t>
      </w:r>
      <w:r w:rsidR="002B2013" w:rsidRPr="007C3B9D">
        <w:rPr>
          <w:rFonts w:cstheme="minorHAnsi"/>
          <w:lang w:val="en-AU"/>
        </w:rPr>
        <w:t xml:space="preserve">and national </w:t>
      </w:r>
      <w:r w:rsidR="005B4044" w:rsidRPr="007C3B9D">
        <w:rPr>
          <w:rFonts w:cstheme="minorHAnsi"/>
          <w:lang w:val="en-AU"/>
        </w:rPr>
        <w:t xml:space="preserve">institutions. </w:t>
      </w:r>
      <w:r w:rsidR="002B2013" w:rsidRPr="007C3B9D">
        <w:rPr>
          <w:rFonts w:cstheme="minorHAnsi"/>
          <w:lang w:val="en-AU"/>
        </w:rPr>
        <w:t>Furthermore, t</w:t>
      </w:r>
      <w:r w:rsidR="006B4174" w:rsidRPr="007C3B9D">
        <w:rPr>
          <w:rFonts w:cstheme="minorHAnsi"/>
          <w:lang w:val="en-AU"/>
        </w:rPr>
        <w:t>he evaluation report will be made available on</w:t>
      </w:r>
      <w:r w:rsidR="005B4044" w:rsidRPr="007C3B9D">
        <w:rPr>
          <w:rFonts w:cstheme="minorHAnsi"/>
          <w:lang w:val="en-AU"/>
        </w:rPr>
        <w:t xml:space="preserve"> </w:t>
      </w:r>
      <w:r w:rsidR="006B4174" w:rsidRPr="007C3B9D">
        <w:rPr>
          <w:rFonts w:cstheme="minorHAnsi"/>
          <w:lang w:val="en-AU"/>
        </w:rPr>
        <w:t>the website</w:t>
      </w:r>
      <w:r w:rsidR="005B4044" w:rsidRPr="007C3B9D">
        <w:rPr>
          <w:rFonts w:cstheme="minorHAnsi"/>
          <w:lang w:val="en-AU"/>
        </w:rPr>
        <w:t>s</w:t>
      </w:r>
      <w:r w:rsidR="006B4174" w:rsidRPr="007C3B9D">
        <w:rPr>
          <w:rFonts w:cstheme="minorHAnsi"/>
          <w:lang w:val="en-AU"/>
        </w:rPr>
        <w:t xml:space="preserve"> of DFAT </w:t>
      </w:r>
      <w:r w:rsidR="003644FE" w:rsidRPr="007C3B9D">
        <w:rPr>
          <w:rFonts w:cstheme="minorHAnsi"/>
          <w:lang w:val="en-AU"/>
        </w:rPr>
        <w:t>in English</w:t>
      </w:r>
      <w:r w:rsidR="00E70781" w:rsidRPr="007C3B9D">
        <w:rPr>
          <w:rFonts w:cstheme="minorHAnsi"/>
          <w:lang w:val="en-AU"/>
        </w:rPr>
        <w:t xml:space="preserve"> </w:t>
      </w:r>
      <w:r w:rsidR="003644FE" w:rsidRPr="007C3B9D">
        <w:rPr>
          <w:rFonts w:cstheme="minorHAnsi"/>
          <w:lang w:val="en-AU"/>
        </w:rPr>
        <w:t>to enable</w:t>
      </w:r>
      <w:r w:rsidR="006B4174" w:rsidRPr="007C3B9D">
        <w:rPr>
          <w:rFonts w:cstheme="minorHAnsi"/>
          <w:lang w:val="en-AU"/>
        </w:rPr>
        <w:t xml:space="preserve"> </w:t>
      </w:r>
      <w:r w:rsidR="003644FE" w:rsidRPr="007C3B9D">
        <w:rPr>
          <w:rFonts w:cstheme="minorHAnsi"/>
          <w:lang w:val="en-AU"/>
        </w:rPr>
        <w:t xml:space="preserve">broad </w:t>
      </w:r>
      <w:r w:rsidR="006B4174" w:rsidRPr="007C3B9D">
        <w:rPr>
          <w:rFonts w:cstheme="minorHAnsi"/>
          <w:lang w:val="en-AU"/>
        </w:rPr>
        <w:t>public access.</w:t>
      </w:r>
    </w:p>
    <w:p w14:paraId="6FE90B92" w14:textId="2E04A869" w:rsidR="007C3B9D" w:rsidRDefault="00175014" w:rsidP="00446279">
      <w:pPr>
        <w:pStyle w:val="Heading2"/>
      </w:pPr>
      <w:bookmarkStart w:id="7" w:name="_Toc206492257"/>
      <w:r w:rsidRPr="007C3B9D">
        <w:t>About</w:t>
      </w:r>
      <w:r w:rsidR="00B82D72" w:rsidRPr="007C3B9D">
        <w:t xml:space="preserve"> </w:t>
      </w:r>
      <w:r w:rsidR="00E40ABB" w:rsidRPr="007C3B9D">
        <w:t>APSP</w:t>
      </w:r>
      <w:bookmarkEnd w:id="7"/>
    </w:p>
    <w:p w14:paraId="6B8980D6" w14:textId="6E528C9B" w:rsidR="00E40ABB" w:rsidRPr="007C3B9D" w:rsidRDefault="00410D48" w:rsidP="00903D77">
      <w:pPr>
        <w:autoSpaceDE w:val="0"/>
        <w:autoSpaceDN w:val="0"/>
        <w:adjustRightInd w:val="0"/>
        <w:spacing w:after="120" w:line="276" w:lineRule="auto"/>
        <w:jc w:val="both"/>
        <w:rPr>
          <w:rFonts w:cstheme="minorHAnsi"/>
          <w:lang w:val="en-AU"/>
        </w:rPr>
      </w:pPr>
      <w:r w:rsidRPr="007C3B9D">
        <w:rPr>
          <w:rFonts w:cstheme="minorHAnsi"/>
          <w:lang w:val="en-AU"/>
        </w:rPr>
        <w:t xml:space="preserve">Australia has cooperated </w:t>
      </w:r>
      <w:r w:rsidR="00BE6348" w:rsidRPr="007C3B9D">
        <w:rPr>
          <w:rFonts w:cstheme="minorHAnsi"/>
          <w:lang w:val="en-AU"/>
        </w:rPr>
        <w:t xml:space="preserve">with ASEAN </w:t>
      </w:r>
      <w:r w:rsidRPr="007C3B9D">
        <w:rPr>
          <w:rFonts w:cstheme="minorHAnsi"/>
          <w:lang w:val="en-AU"/>
        </w:rPr>
        <w:t>since 1974</w:t>
      </w:r>
      <w:r w:rsidR="00BE6348" w:rsidRPr="007C3B9D">
        <w:rPr>
          <w:rFonts w:cstheme="minorHAnsi"/>
          <w:lang w:val="en-AU"/>
        </w:rPr>
        <w:t xml:space="preserve"> </w:t>
      </w:r>
      <w:r w:rsidRPr="007C3B9D">
        <w:rPr>
          <w:rFonts w:cstheme="minorHAnsi"/>
          <w:lang w:val="en-AU"/>
        </w:rPr>
        <w:t>to promote a peaceful, stable, integrated</w:t>
      </w:r>
      <w:r w:rsidR="00603D90" w:rsidRPr="007C3B9D">
        <w:rPr>
          <w:rFonts w:cstheme="minorHAnsi"/>
          <w:lang w:val="en-AU"/>
        </w:rPr>
        <w:t xml:space="preserve"> </w:t>
      </w:r>
      <w:r w:rsidRPr="007C3B9D">
        <w:rPr>
          <w:rFonts w:cstheme="minorHAnsi"/>
          <w:lang w:val="en-AU"/>
        </w:rPr>
        <w:t>and prosperous region. The ASEAN-Australia Political Security Partnership (APSP) is an AUD 10.5 million, six-year (</w:t>
      </w:r>
      <w:r w:rsidR="00E40ABB" w:rsidRPr="007C3B9D">
        <w:rPr>
          <w:rFonts w:cstheme="minorHAnsi"/>
          <w:lang w:val="en-AU"/>
        </w:rPr>
        <w:t xml:space="preserve">1 May </w:t>
      </w:r>
      <w:r w:rsidRPr="007C3B9D">
        <w:rPr>
          <w:rFonts w:cstheme="minorHAnsi"/>
          <w:lang w:val="en-AU"/>
        </w:rPr>
        <w:t>2019</w:t>
      </w:r>
      <w:r w:rsidR="00E40ABB" w:rsidRPr="007C3B9D">
        <w:rPr>
          <w:rFonts w:cstheme="minorHAnsi"/>
          <w:lang w:val="en-AU"/>
        </w:rPr>
        <w:t xml:space="preserve"> to 30 April </w:t>
      </w:r>
      <w:r w:rsidRPr="007C3B9D">
        <w:rPr>
          <w:rFonts w:cstheme="minorHAnsi"/>
          <w:lang w:val="en-AU"/>
        </w:rPr>
        <w:t>2025) investment of the Australian Government</w:t>
      </w:r>
      <w:r w:rsidR="00E40ABB" w:rsidRPr="007C3B9D">
        <w:rPr>
          <w:rFonts w:cstheme="minorHAnsi"/>
          <w:lang w:val="en-AU"/>
        </w:rPr>
        <w:t>,</w:t>
      </w:r>
      <w:r w:rsidRPr="007C3B9D">
        <w:rPr>
          <w:rFonts w:cstheme="minorHAnsi"/>
          <w:lang w:val="en-AU"/>
        </w:rPr>
        <w:t xml:space="preserve"> aimed at enhancing political and security cooperation between ASEAN and Australia. The program encompasses outcomes and activities that contribute to</w:t>
      </w:r>
      <w:r w:rsidR="00E40ABB" w:rsidRPr="007C3B9D">
        <w:rPr>
          <w:rFonts w:cstheme="minorHAnsi"/>
          <w:lang w:val="en-AU"/>
        </w:rPr>
        <w:t xml:space="preserve"> </w:t>
      </w:r>
      <w:r w:rsidRPr="007C3B9D">
        <w:rPr>
          <w:rFonts w:cstheme="minorHAnsi"/>
          <w:lang w:val="en-AU"/>
        </w:rPr>
        <w:t>strengthening regional stability, addressing shared challenges, and promoting cooperation</w:t>
      </w:r>
      <w:r w:rsidR="00E40ABB" w:rsidRPr="007C3B9D">
        <w:rPr>
          <w:rFonts w:cstheme="minorHAnsi"/>
          <w:lang w:val="en-AU"/>
        </w:rPr>
        <w:t xml:space="preserve"> </w:t>
      </w:r>
      <w:r w:rsidRPr="007C3B9D">
        <w:rPr>
          <w:rFonts w:cstheme="minorHAnsi"/>
          <w:lang w:val="en-AU"/>
        </w:rPr>
        <w:t>among ASEAN Member States and between ASEAN and Australia in the political security</w:t>
      </w:r>
      <w:r w:rsidR="00E40ABB" w:rsidRPr="007C3B9D">
        <w:rPr>
          <w:rFonts w:cstheme="minorHAnsi"/>
          <w:lang w:val="en-AU"/>
        </w:rPr>
        <w:t xml:space="preserve"> </w:t>
      </w:r>
      <w:r w:rsidRPr="007C3B9D">
        <w:rPr>
          <w:rFonts w:cstheme="minorHAnsi"/>
          <w:lang w:val="en-AU"/>
        </w:rPr>
        <w:t>landscape.</w:t>
      </w:r>
    </w:p>
    <w:p w14:paraId="2059DCC4" w14:textId="712870C7" w:rsidR="00410D48" w:rsidRPr="007C3B9D" w:rsidRDefault="00410D48" w:rsidP="00903D77">
      <w:pPr>
        <w:autoSpaceDE w:val="0"/>
        <w:autoSpaceDN w:val="0"/>
        <w:adjustRightInd w:val="0"/>
        <w:spacing w:after="120" w:line="276" w:lineRule="auto"/>
        <w:jc w:val="both"/>
        <w:rPr>
          <w:rFonts w:cstheme="minorHAnsi"/>
          <w:lang w:val="en-AU"/>
        </w:rPr>
      </w:pPr>
      <w:r w:rsidRPr="007C3B9D">
        <w:rPr>
          <w:rFonts w:cstheme="minorHAnsi"/>
          <w:lang w:val="en-AU"/>
        </w:rPr>
        <w:t xml:space="preserve">APSP </w:t>
      </w:r>
      <w:r w:rsidR="00175014" w:rsidRPr="007C3B9D">
        <w:rPr>
          <w:rFonts w:cstheme="minorHAnsi"/>
          <w:lang w:val="en-AU"/>
        </w:rPr>
        <w:t>was</w:t>
      </w:r>
      <w:r w:rsidRPr="007C3B9D">
        <w:rPr>
          <w:rFonts w:cstheme="minorHAnsi"/>
          <w:lang w:val="en-AU"/>
        </w:rPr>
        <w:t xml:space="preserve"> designed to</w:t>
      </w:r>
      <w:r w:rsidR="00E40ABB" w:rsidRPr="007C3B9D">
        <w:rPr>
          <w:rFonts w:cstheme="minorHAnsi"/>
          <w:lang w:val="en-AU"/>
        </w:rPr>
        <w:t xml:space="preserve"> </w:t>
      </w:r>
      <w:r w:rsidRPr="007C3B9D">
        <w:rPr>
          <w:rFonts w:cstheme="minorHAnsi"/>
          <w:lang w:val="en-AU"/>
        </w:rPr>
        <w:t>provide flexible and demand-driven support to ASEAN and to promote ASEAN leadership and</w:t>
      </w:r>
      <w:r w:rsidR="00E40ABB" w:rsidRPr="007C3B9D">
        <w:rPr>
          <w:rFonts w:cstheme="minorHAnsi"/>
          <w:lang w:val="en-AU"/>
        </w:rPr>
        <w:t xml:space="preserve"> </w:t>
      </w:r>
      <w:r w:rsidRPr="007C3B9D">
        <w:rPr>
          <w:rFonts w:cstheme="minorHAnsi"/>
          <w:lang w:val="en-AU"/>
        </w:rPr>
        <w:t xml:space="preserve">centrality in addressing regional political security challenges. </w:t>
      </w:r>
      <w:r w:rsidR="00BC3369" w:rsidRPr="007C3B9D">
        <w:rPr>
          <w:rFonts w:cstheme="minorHAnsi"/>
          <w:lang w:val="en-AU"/>
        </w:rPr>
        <w:t>With</w:t>
      </w:r>
      <w:r w:rsidRPr="007C3B9D">
        <w:rPr>
          <w:rFonts w:cstheme="minorHAnsi"/>
          <w:lang w:val="en-AU"/>
        </w:rPr>
        <w:t xml:space="preserve"> a broader goal of an</w:t>
      </w:r>
      <w:r w:rsidR="00E40ABB" w:rsidRPr="007C3B9D">
        <w:rPr>
          <w:rFonts w:cstheme="minorHAnsi"/>
          <w:lang w:val="en-AU"/>
        </w:rPr>
        <w:t xml:space="preserve"> </w:t>
      </w:r>
      <w:r w:rsidRPr="007C3B9D">
        <w:rPr>
          <w:rFonts w:cstheme="minorHAnsi"/>
          <w:lang w:val="en-AU"/>
        </w:rPr>
        <w:t>improved security environment in the Indo-Pacific region, APSP intend</w:t>
      </w:r>
      <w:r w:rsidR="00175014" w:rsidRPr="007C3B9D">
        <w:rPr>
          <w:rFonts w:cstheme="minorHAnsi"/>
          <w:lang w:val="en-AU"/>
        </w:rPr>
        <w:t>ed</w:t>
      </w:r>
      <w:r w:rsidRPr="007C3B9D">
        <w:rPr>
          <w:rFonts w:cstheme="minorHAnsi"/>
          <w:lang w:val="en-AU"/>
        </w:rPr>
        <w:t xml:space="preserve"> to support stronger</w:t>
      </w:r>
      <w:r w:rsidR="00603D90" w:rsidRPr="007C3B9D">
        <w:rPr>
          <w:rFonts w:cstheme="minorHAnsi"/>
          <w:lang w:val="en-AU"/>
        </w:rPr>
        <w:t xml:space="preserve"> </w:t>
      </w:r>
      <w:r w:rsidRPr="007C3B9D">
        <w:rPr>
          <w:rFonts w:cstheme="minorHAnsi"/>
          <w:lang w:val="en-AU"/>
        </w:rPr>
        <w:t>relationships between ASEAN and Australia</w:t>
      </w:r>
      <w:r w:rsidR="00BC3369" w:rsidRPr="007C3B9D">
        <w:rPr>
          <w:rFonts w:cstheme="minorHAnsi"/>
          <w:lang w:val="en-AU"/>
        </w:rPr>
        <w:t>,</w:t>
      </w:r>
      <w:r w:rsidRPr="007C3B9D">
        <w:rPr>
          <w:rFonts w:cstheme="minorHAnsi"/>
          <w:lang w:val="en-AU"/>
        </w:rPr>
        <w:t xml:space="preserve"> and to enhance ASEAN’s ability to lead more</w:t>
      </w:r>
      <w:r w:rsidR="00603D90" w:rsidRPr="007C3B9D">
        <w:rPr>
          <w:rFonts w:cstheme="minorHAnsi"/>
          <w:lang w:val="en-AU"/>
        </w:rPr>
        <w:t xml:space="preserve"> </w:t>
      </w:r>
      <w:r w:rsidRPr="007C3B9D">
        <w:rPr>
          <w:rFonts w:cstheme="minorHAnsi"/>
          <w:lang w:val="en-AU"/>
        </w:rPr>
        <w:t>coordinated, cohesive, and inclusive responses to transnational political security issues. The</w:t>
      </w:r>
      <w:r w:rsidR="00E40ABB" w:rsidRPr="007C3B9D">
        <w:rPr>
          <w:rFonts w:cstheme="minorHAnsi"/>
          <w:lang w:val="en-AU"/>
        </w:rPr>
        <w:t xml:space="preserve"> </w:t>
      </w:r>
      <w:r w:rsidRPr="007C3B9D">
        <w:rPr>
          <w:rFonts w:cstheme="minorHAnsi"/>
          <w:lang w:val="en-AU"/>
        </w:rPr>
        <w:t xml:space="preserve">program </w:t>
      </w:r>
      <w:r w:rsidR="00BC3369" w:rsidRPr="007C3B9D">
        <w:rPr>
          <w:rFonts w:cstheme="minorHAnsi"/>
          <w:lang w:val="en-AU"/>
        </w:rPr>
        <w:t xml:space="preserve">therefore </w:t>
      </w:r>
      <w:r w:rsidRPr="007C3B9D">
        <w:rPr>
          <w:rFonts w:cstheme="minorHAnsi"/>
          <w:lang w:val="en-AU"/>
        </w:rPr>
        <w:t>ha</w:t>
      </w:r>
      <w:r w:rsidR="00175014" w:rsidRPr="007C3B9D">
        <w:rPr>
          <w:rFonts w:cstheme="minorHAnsi"/>
          <w:lang w:val="en-AU"/>
        </w:rPr>
        <w:t>d</w:t>
      </w:r>
      <w:r w:rsidRPr="007C3B9D">
        <w:rPr>
          <w:rFonts w:cstheme="minorHAnsi"/>
          <w:lang w:val="en-AU"/>
        </w:rPr>
        <w:t xml:space="preserve"> the following end-of-investment outcomes (EOIO):</w:t>
      </w:r>
    </w:p>
    <w:p w14:paraId="327702BA" w14:textId="77777777" w:rsidR="00410D48" w:rsidRPr="007C3B9D" w:rsidRDefault="00410D48" w:rsidP="00903D77">
      <w:pPr>
        <w:pStyle w:val="ListParagraph"/>
        <w:numPr>
          <w:ilvl w:val="0"/>
          <w:numId w:val="5"/>
        </w:numPr>
        <w:autoSpaceDE w:val="0"/>
        <w:autoSpaceDN w:val="0"/>
        <w:adjustRightInd w:val="0"/>
        <w:spacing w:after="0" w:line="276" w:lineRule="auto"/>
        <w:contextualSpacing w:val="0"/>
        <w:jc w:val="both"/>
        <w:rPr>
          <w:rFonts w:cstheme="minorHAnsi"/>
          <w:lang w:val="en-AU"/>
        </w:rPr>
      </w:pPr>
      <w:r w:rsidRPr="007C3B9D">
        <w:rPr>
          <w:rFonts w:cstheme="minorHAnsi"/>
          <w:i/>
          <w:iCs/>
          <w:color w:val="0F4761" w:themeColor="accent1" w:themeShade="BF"/>
          <w:lang w:val="en-AU"/>
        </w:rPr>
        <w:t>EOIO 1:</w:t>
      </w:r>
      <w:r w:rsidRPr="007C3B9D">
        <w:rPr>
          <w:rFonts w:cstheme="minorHAnsi"/>
          <w:color w:val="0F4761" w:themeColor="accent1" w:themeShade="BF"/>
          <w:lang w:val="en-AU"/>
        </w:rPr>
        <w:t xml:space="preserve"> </w:t>
      </w:r>
      <w:r w:rsidRPr="007C3B9D">
        <w:rPr>
          <w:rFonts w:cstheme="minorHAnsi"/>
          <w:lang w:val="en-AU"/>
        </w:rPr>
        <w:t>Stronger ASEAN-Australia relationships and engagement</w:t>
      </w:r>
    </w:p>
    <w:p w14:paraId="7BF54F95" w14:textId="3D83F02F" w:rsidR="00410D48" w:rsidRPr="007C3B9D" w:rsidRDefault="00410D48" w:rsidP="00903D77">
      <w:pPr>
        <w:pStyle w:val="ListParagraph"/>
        <w:numPr>
          <w:ilvl w:val="0"/>
          <w:numId w:val="5"/>
        </w:numPr>
        <w:autoSpaceDE w:val="0"/>
        <w:autoSpaceDN w:val="0"/>
        <w:adjustRightInd w:val="0"/>
        <w:spacing w:after="120" w:line="276" w:lineRule="auto"/>
        <w:contextualSpacing w:val="0"/>
        <w:jc w:val="both"/>
        <w:rPr>
          <w:rFonts w:cstheme="minorHAnsi"/>
          <w:lang w:val="en-AU"/>
        </w:rPr>
      </w:pPr>
      <w:r w:rsidRPr="007C3B9D">
        <w:rPr>
          <w:rFonts w:cstheme="minorHAnsi"/>
          <w:i/>
          <w:iCs/>
          <w:color w:val="0F4761" w:themeColor="accent1" w:themeShade="BF"/>
          <w:lang w:val="en-AU"/>
        </w:rPr>
        <w:lastRenderedPageBreak/>
        <w:t>EOIO 2:</w:t>
      </w:r>
      <w:r w:rsidRPr="007C3B9D">
        <w:rPr>
          <w:rFonts w:cstheme="minorHAnsi"/>
          <w:color w:val="0F4761" w:themeColor="accent1" w:themeShade="BF"/>
          <w:lang w:val="en-AU"/>
        </w:rPr>
        <w:t xml:space="preserve"> </w:t>
      </w:r>
      <w:r w:rsidRPr="007C3B9D">
        <w:rPr>
          <w:rFonts w:cstheme="minorHAnsi"/>
          <w:lang w:val="en-AU"/>
        </w:rPr>
        <w:t>ASEAN is addressing targeted political security issues using increasingly</w:t>
      </w:r>
      <w:r w:rsidR="00E40ABB" w:rsidRPr="007C3B9D">
        <w:rPr>
          <w:rFonts w:cstheme="minorHAnsi"/>
          <w:lang w:val="en-AU"/>
        </w:rPr>
        <w:t xml:space="preserve"> </w:t>
      </w:r>
      <w:r w:rsidRPr="007C3B9D">
        <w:rPr>
          <w:rFonts w:cstheme="minorHAnsi"/>
          <w:lang w:val="en-AU"/>
        </w:rPr>
        <w:t>effective cross-sectoral and/or multi-stakeholder approaches</w:t>
      </w:r>
    </w:p>
    <w:p w14:paraId="335653F4" w14:textId="05E661DD" w:rsidR="00603D90" w:rsidRPr="007C3B9D" w:rsidRDefault="00410D48" w:rsidP="00903D77">
      <w:pPr>
        <w:autoSpaceDE w:val="0"/>
        <w:autoSpaceDN w:val="0"/>
        <w:adjustRightInd w:val="0"/>
        <w:spacing w:after="120" w:line="276" w:lineRule="auto"/>
        <w:jc w:val="both"/>
        <w:rPr>
          <w:rFonts w:cstheme="minorHAnsi"/>
          <w:lang w:val="en-AU"/>
        </w:rPr>
      </w:pPr>
      <w:r w:rsidRPr="007C3B9D">
        <w:rPr>
          <w:rFonts w:cstheme="minorHAnsi"/>
          <w:lang w:val="en-AU"/>
        </w:rPr>
        <w:t xml:space="preserve">APSP </w:t>
      </w:r>
      <w:r w:rsidR="00175014" w:rsidRPr="007C3B9D">
        <w:rPr>
          <w:rFonts w:cstheme="minorHAnsi"/>
          <w:lang w:val="en-AU"/>
        </w:rPr>
        <w:t xml:space="preserve">has </w:t>
      </w:r>
      <w:r w:rsidRPr="007C3B9D">
        <w:rPr>
          <w:rFonts w:cstheme="minorHAnsi"/>
          <w:lang w:val="en-AU"/>
        </w:rPr>
        <w:t>focus</w:t>
      </w:r>
      <w:r w:rsidR="00175014" w:rsidRPr="007C3B9D">
        <w:rPr>
          <w:rFonts w:cstheme="minorHAnsi"/>
          <w:lang w:val="en-AU"/>
        </w:rPr>
        <w:t>sed</w:t>
      </w:r>
      <w:r w:rsidRPr="007C3B9D">
        <w:rPr>
          <w:rFonts w:cstheme="minorHAnsi"/>
          <w:lang w:val="en-AU"/>
        </w:rPr>
        <w:t xml:space="preserve"> primarily on four policy areas of </w:t>
      </w:r>
      <w:r w:rsidRPr="007C3B9D">
        <w:rPr>
          <w:rFonts w:cstheme="minorHAnsi"/>
          <w:i/>
          <w:iCs/>
          <w:color w:val="0F4761" w:themeColor="accent1" w:themeShade="BF"/>
          <w:lang w:val="en-AU"/>
        </w:rPr>
        <w:t>maritime security</w:t>
      </w:r>
      <w:r w:rsidR="00BE6348" w:rsidRPr="007C3B9D">
        <w:rPr>
          <w:rFonts w:cstheme="minorHAnsi"/>
          <w:i/>
          <w:iCs/>
          <w:color w:val="0F4761" w:themeColor="accent1" w:themeShade="BF"/>
          <w:lang w:val="en-AU"/>
        </w:rPr>
        <w:t xml:space="preserve">, </w:t>
      </w:r>
      <w:r w:rsidRPr="007C3B9D">
        <w:rPr>
          <w:rFonts w:cstheme="minorHAnsi"/>
          <w:i/>
          <w:iCs/>
          <w:color w:val="0F4761" w:themeColor="accent1" w:themeShade="BF"/>
          <w:lang w:val="en-AU"/>
        </w:rPr>
        <w:t>cybersecurity, women,</w:t>
      </w:r>
      <w:r w:rsidR="00603D90" w:rsidRPr="007C3B9D">
        <w:rPr>
          <w:rFonts w:cstheme="minorHAnsi"/>
          <w:i/>
          <w:iCs/>
          <w:color w:val="0F4761" w:themeColor="accent1" w:themeShade="BF"/>
          <w:lang w:val="en-AU"/>
        </w:rPr>
        <w:t xml:space="preserve"> </w:t>
      </w:r>
      <w:r w:rsidRPr="007C3B9D">
        <w:rPr>
          <w:rFonts w:cstheme="minorHAnsi"/>
          <w:i/>
          <w:iCs/>
          <w:color w:val="0F4761" w:themeColor="accent1" w:themeShade="BF"/>
          <w:lang w:val="en-AU"/>
        </w:rPr>
        <w:t>peace, and security (WPS); and transnational crime</w:t>
      </w:r>
      <w:r w:rsidR="00BC3369" w:rsidRPr="007C3B9D">
        <w:rPr>
          <w:rFonts w:cstheme="minorHAnsi"/>
          <w:lang w:val="en-AU"/>
        </w:rPr>
        <w:t xml:space="preserve">, and </w:t>
      </w:r>
      <w:r w:rsidRPr="007C3B9D">
        <w:rPr>
          <w:rFonts w:cstheme="minorHAnsi"/>
          <w:lang w:val="en-AU"/>
        </w:rPr>
        <w:t>is open to support</w:t>
      </w:r>
      <w:r w:rsidR="00BC3369" w:rsidRPr="007C3B9D">
        <w:rPr>
          <w:rFonts w:cstheme="minorHAnsi"/>
          <w:lang w:val="en-AU"/>
        </w:rPr>
        <w:t>ing</w:t>
      </w:r>
      <w:r w:rsidR="00603D90" w:rsidRPr="007C3B9D">
        <w:rPr>
          <w:rFonts w:cstheme="minorHAnsi"/>
          <w:lang w:val="en-AU"/>
        </w:rPr>
        <w:t xml:space="preserve"> </w:t>
      </w:r>
      <w:r w:rsidRPr="007C3B9D">
        <w:rPr>
          <w:rFonts w:cstheme="minorHAnsi"/>
          <w:lang w:val="en-AU"/>
        </w:rPr>
        <w:t>ASEAN in other political security issues as opportunity or demand from ASEAN arises. Activities</w:t>
      </w:r>
      <w:r w:rsidR="00603D90" w:rsidRPr="007C3B9D">
        <w:rPr>
          <w:rFonts w:cstheme="minorHAnsi"/>
          <w:lang w:val="en-AU"/>
        </w:rPr>
        <w:t xml:space="preserve"> </w:t>
      </w:r>
      <w:r w:rsidRPr="007C3B9D">
        <w:rPr>
          <w:rFonts w:cstheme="minorHAnsi"/>
          <w:lang w:val="en-AU"/>
        </w:rPr>
        <w:t xml:space="preserve">of APSP </w:t>
      </w:r>
      <w:r w:rsidR="00175014" w:rsidRPr="007C3B9D">
        <w:rPr>
          <w:rFonts w:cstheme="minorHAnsi"/>
          <w:lang w:val="en-AU"/>
        </w:rPr>
        <w:t xml:space="preserve">have </w:t>
      </w:r>
      <w:r w:rsidRPr="007C3B9D">
        <w:rPr>
          <w:rFonts w:cstheme="minorHAnsi"/>
          <w:lang w:val="en-AU"/>
        </w:rPr>
        <w:t>include</w:t>
      </w:r>
      <w:r w:rsidR="00175014" w:rsidRPr="007C3B9D">
        <w:rPr>
          <w:rFonts w:cstheme="minorHAnsi"/>
          <w:lang w:val="en-AU"/>
        </w:rPr>
        <w:t>d</w:t>
      </w:r>
      <w:r w:rsidRPr="007C3B9D">
        <w:rPr>
          <w:rFonts w:cstheme="minorHAnsi"/>
          <w:lang w:val="en-AU"/>
        </w:rPr>
        <w:t xml:space="preserve"> workshops, seminars, training, and knowledge sharing sessions, among</w:t>
      </w:r>
      <w:r w:rsidR="00603D90" w:rsidRPr="007C3B9D">
        <w:rPr>
          <w:rFonts w:cstheme="minorHAnsi"/>
          <w:lang w:val="en-AU"/>
        </w:rPr>
        <w:t xml:space="preserve"> </w:t>
      </w:r>
      <w:r w:rsidRPr="007C3B9D">
        <w:rPr>
          <w:rFonts w:cstheme="minorHAnsi"/>
          <w:lang w:val="en-AU"/>
        </w:rPr>
        <w:t>others</w:t>
      </w:r>
      <w:r w:rsidR="00175014" w:rsidRPr="007C3B9D">
        <w:rPr>
          <w:rFonts w:cstheme="minorHAnsi"/>
          <w:lang w:val="en-AU"/>
        </w:rPr>
        <w:t>, which</w:t>
      </w:r>
      <w:r w:rsidRPr="007C3B9D">
        <w:rPr>
          <w:rFonts w:cstheme="minorHAnsi"/>
          <w:lang w:val="en-AU"/>
        </w:rPr>
        <w:t xml:space="preserve"> engage relevant ASEAN sectoral bodies, ASEAN Secretariat and other entities</w:t>
      </w:r>
      <w:r w:rsidR="00603D90" w:rsidRPr="007C3B9D">
        <w:rPr>
          <w:rFonts w:cstheme="minorHAnsi"/>
          <w:lang w:val="en-AU"/>
        </w:rPr>
        <w:t xml:space="preserve"> </w:t>
      </w:r>
      <w:r w:rsidRPr="007C3B9D">
        <w:rPr>
          <w:rFonts w:cstheme="minorHAnsi"/>
          <w:lang w:val="en-AU"/>
        </w:rPr>
        <w:t xml:space="preserve">associated with ASEAN. In addition, APSP </w:t>
      </w:r>
      <w:r w:rsidR="00175014" w:rsidRPr="007C3B9D">
        <w:rPr>
          <w:rFonts w:cstheme="minorHAnsi"/>
          <w:lang w:val="en-AU"/>
        </w:rPr>
        <w:t xml:space="preserve">has </w:t>
      </w:r>
      <w:r w:rsidRPr="007C3B9D">
        <w:rPr>
          <w:rFonts w:cstheme="minorHAnsi"/>
          <w:lang w:val="en-AU"/>
        </w:rPr>
        <w:t>also administer</w:t>
      </w:r>
      <w:r w:rsidR="00175014" w:rsidRPr="007C3B9D">
        <w:rPr>
          <w:rFonts w:cstheme="minorHAnsi"/>
          <w:lang w:val="en-AU"/>
        </w:rPr>
        <w:t>ed</w:t>
      </w:r>
      <w:r w:rsidRPr="007C3B9D">
        <w:rPr>
          <w:rFonts w:cstheme="minorHAnsi"/>
          <w:lang w:val="en-AU"/>
        </w:rPr>
        <w:t xml:space="preserve"> policy papers and research</w:t>
      </w:r>
      <w:r w:rsidR="00DD7096" w:rsidRPr="007C3B9D">
        <w:rPr>
          <w:rFonts w:cstheme="minorHAnsi"/>
          <w:lang w:val="en-AU"/>
        </w:rPr>
        <w:t>,</w:t>
      </w:r>
      <w:r w:rsidRPr="007C3B9D">
        <w:rPr>
          <w:rFonts w:cstheme="minorHAnsi"/>
          <w:lang w:val="en-AU"/>
        </w:rPr>
        <w:t xml:space="preserve"> as</w:t>
      </w:r>
      <w:r w:rsidR="00603D90" w:rsidRPr="007C3B9D">
        <w:rPr>
          <w:rFonts w:cstheme="minorHAnsi"/>
          <w:lang w:val="en-AU"/>
        </w:rPr>
        <w:t xml:space="preserve"> </w:t>
      </w:r>
      <w:r w:rsidRPr="007C3B9D">
        <w:rPr>
          <w:rFonts w:cstheme="minorHAnsi"/>
          <w:lang w:val="en-AU"/>
        </w:rPr>
        <w:t>well as support</w:t>
      </w:r>
      <w:r w:rsidR="00DD7096" w:rsidRPr="007C3B9D">
        <w:rPr>
          <w:rFonts w:cstheme="minorHAnsi"/>
          <w:lang w:val="en-AU"/>
        </w:rPr>
        <w:t xml:space="preserve"> </w:t>
      </w:r>
      <w:r w:rsidR="00175014" w:rsidRPr="007C3B9D">
        <w:rPr>
          <w:rFonts w:cstheme="minorHAnsi"/>
          <w:lang w:val="en-AU"/>
        </w:rPr>
        <w:t xml:space="preserve">to </w:t>
      </w:r>
      <w:r w:rsidR="00DD7096" w:rsidRPr="007C3B9D">
        <w:rPr>
          <w:rFonts w:cstheme="minorHAnsi"/>
          <w:lang w:val="en-AU"/>
        </w:rPr>
        <w:t>the</w:t>
      </w:r>
      <w:r w:rsidRPr="007C3B9D">
        <w:rPr>
          <w:rFonts w:cstheme="minorHAnsi"/>
          <w:lang w:val="en-AU"/>
        </w:rPr>
        <w:t xml:space="preserve"> institutional strengthening of ASEAN.</w:t>
      </w:r>
      <w:r w:rsidR="00DD7096" w:rsidRPr="007C3B9D">
        <w:rPr>
          <w:rFonts w:cstheme="minorHAnsi"/>
          <w:lang w:val="en-AU"/>
        </w:rPr>
        <w:t xml:space="preserve"> </w:t>
      </w:r>
      <w:r w:rsidRPr="007C3B9D">
        <w:rPr>
          <w:rFonts w:cstheme="minorHAnsi"/>
          <w:lang w:val="en-AU"/>
        </w:rPr>
        <w:t xml:space="preserve">APSP </w:t>
      </w:r>
      <w:r w:rsidR="00175014" w:rsidRPr="007C3B9D">
        <w:rPr>
          <w:rFonts w:cstheme="minorHAnsi"/>
          <w:lang w:val="en-AU"/>
        </w:rPr>
        <w:t xml:space="preserve">has </w:t>
      </w:r>
      <w:r w:rsidRPr="007C3B9D">
        <w:rPr>
          <w:rFonts w:cstheme="minorHAnsi"/>
          <w:lang w:val="en-AU"/>
        </w:rPr>
        <w:t>recogni</w:t>
      </w:r>
      <w:r w:rsidR="00DD7096" w:rsidRPr="007C3B9D">
        <w:rPr>
          <w:rFonts w:cstheme="minorHAnsi"/>
          <w:lang w:val="en-AU"/>
        </w:rPr>
        <w:t>s</w:t>
      </w:r>
      <w:r w:rsidRPr="007C3B9D">
        <w:rPr>
          <w:rFonts w:cstheme="minorHAnsi"/>
          <w:lang w:val="en-AU"/>
        </w:rPr>
        <w:t>e</w:t>
      </w:r>
      <w:r w:rsidR="00175014" w:rsidRPr="007C3B9D">
        <w:rPr>
          <w:rFonts w:cstheme="minorHAnsi"/>
          <w:lang w:val="en-AU"/>
        </w:rPr>
        <w:t>d</w:t>
      </w:r>
      <w:r w:rsidRPr="007C3B9D">
        <w:rPr>
          <w:rFonts w:cstheme="minorHAnsi"/>
          <w:lang w:val="en-AU"/>
        </w:rPr>
        <w:t xml:space="preserve"> that </w:t>
      </w:r>
      <w:r w:rsidRPr="007C3B9D">
        <w:rPr>
          <w:rFonts w:cstheme="minorHAnsi"/>
          <w:i/>
          <w:iCs/>
          <w:color w:val="0F4761" w:themeColor="accent1" w:themeShade="BF"/>
          <w:lang w:val="en-AU"/>
        </w:rPr>
        <w:t>gender equality, disability and social inclusion</w:t>
      </w:r>
      <w:r w:rsidRPr="007C3B9D">
        <w:rPr>
          <w:rFonts w:cstheme="minorHAnsi"/>
          <w:color w:val="0F4761" w:themeColor="accent1" w:themeShade="BF"/>
          <w:lang w:val="en-AU"/>
        </w:rPr>
        <w:t xml:space="preserve"> </w:t>
      </w:r>
      <w:r w:rsidRPr="007C3B9D">
        <w:rPr>
          <w:rFonts w:cstheme="minorHAnsi"/>
          <w:lang w:val="en-AU"/>
        </w:rPr>
        <w:t>(GEDSI) is critical for</w:t>
      </w:r>
      <w:r w:rsidR="00603D90" w:rsidRPr="007C3B9D">
        <w:rPr>
          <w:rFonts w:cstheme="minorHAnsi"/>
          <w:lang w:val="en-AU"/>
        </w:rPr>
        <w:t xml:space="preserve"> </w:t>
      </w:r>
      <w:r w:rsidRPr="007C3B9D">
        <w:rPr>
          <w:rFonts w:cstheme="minorHAnsi"/>
          <w:lang w:val="en-AU"/>
        </w:rPr>
        <w:t>ASEAN to reali</w:t>
      </w:r>
      <w:r w:rsidR="00DD7096" w:rsidRPr="007C3B9D">
        <w:rPr>
          <w:rFonts w:cstheme="minorHAnsi"/>
          <w:lang w:val="en-AU"/>
        </w:rPr>
        <w:t>s</w:t>
      </w:r>
      <w:r w:rsidRPr="007C3B9D">
        <w:rPr>
          <w:rFonts w:cstheme="minorHAnsi"/>
          <w:lang w:val="en-AU"/>
        </w:rPr>
        <w:t>e coordinated, cohesive and inclusive responses to transnational political</w:t>
      </w:r>
      <w:r w:rsidR="00603D90" w:rsidRPr="007C3B9D">
        <w:rPr>
          <w:rFonts w:cstheme="minorHAnsi"/>
          <w:lang w:val="en-AU"/>
        </w:rPr>
        <w:t xml:space="preserve"> </w:t>
      </w:r>
      <w:r w:rsidRPr="007C3B9D">
        <w:rPr>
          <w:rFonts w:cstheme="minorHAnsi"/>
          <w:lang w:val="en-AU"/>
        </w:rPr>
        <w:t>security issues</w:t>
      </w:r>
      <w:r w:rsidR="00DD7096" w:rsidRPr="007C3B9D">
        <w:rPr>
          <w:rFonts w:cstheme="minorHAnsi"/>
          <w:lang w:val="en-AU"/>
        </w:rPr>
        <w:t xml:space="preserve">, and </w:t>
      </w:r>
      <w:r w:rsidR="00175014" w:rsidRPr="007C3B9D">
        <w:rPr>
          <w:rFonts w:cstheme="minorHAnsi"/>
          <w:lang w:val="en-AU"/>
        </w:rPr>
        <w:t xml:space="preserve">has </w:t>
      </w:r>
      <w:r w:rsidR="00DD7096" w:rsidRPr="007C3B9D">
        <w:rPr>
          <w:rFonts w:cstheme="minorHAnsi"/>
          <w:lang w:val="en-AU"/>
        </w:rPr>
        <w:t xml:space="preserve">thus </w:t>
      </w:r>
      <w:r w:rsidRPr="007C3B9D">
        <w:rPr>
          <w:rFonts w:cstheme="minorHAnsi"/>
          <w:lang w:val="en-AU"/>
        </w:rPr>
        <w:t>integrate</w:t>
      </w:r>
      <w:r w:rsidR="00175014" w:rsidRPr="007C3B9D">
        <w:rPr>
          <w:rFonts w:cstheme="minorHAnsi"/>
          <w:lang w:val="en-AU"/>
        </w:rPr>
        <w:t>d</w:t>
      </w:r>
      <w:r w:rsidRPr="007C3B9D">
        <w:rPr>
          <w:rFonts w:cstheme="minorHAnsi"/>
          <w:lang w:val="en-AU"/>
        </w:rPr>
        <w:t xml:space="preserve"> GEDSI throughout the program cycle.</w:t>
      </w:r>
    </w:p>
    <w:p w14:paraId="4858F8E4" w14:textId="7A3EC4E1" w:rsidR="006D0CC7" w:rsidRPr="007C3B9D" w:rsidRDefault="00410D48" w:rsidP="00903D77">
      <w:pPr>
        <w:autoSpaceDE w:val="0"/>
        <w:autoSpaceDN w:val="0"/>
        <w:adjustRightInd w:val="0"/>
        <w:spacing w:after="120" w:line="276" w:lineRule="auto"/>
        <w:jc w:val="both"/>
        <w:rPr>
          <w:rFonts w:cstheme="minorHAnsi"/>
          <w:lang w:val="en-AU"/>
        </w:rPr>
      </w:pPr>
      <w:r w:rsidRPr="007C3B9D">
        <w:rPr>
          <w:rFonts w:cstheme="minorHAnsi"/>
          <w:lang w:val="en-AU"/>
        </w:rPr>
        <w:t>Under overall management by DFAT,</w:t>
      </w:r>
      <w:r w:rsidR="00603D90" w:rsidRPr="007C3B9D">
        <w:rPr>
          <w:rFonts w:cstheme="minorHAnsi"/>
          <w:lang w:val="en-AU"/>
        </w:rPr>
        <w:t xml:space="preserve"> </w:t>
      </w:r>
      <w:r w:rsidRPr="007C3B9D">
        <w:rPr>
          <w:rFonts w:cstheme="minorHAnsi"/>
          <w:lang w:val="en-AU"/>
        </w:rPr>
        <w:t xml:space="preserve">APSP </w:t>
      </w:r>
      <w:r w:rsidR="00175014" w:rsidRPr="007C3B9D">
        <w:rPr>
          <w:rFonts w:cstheme="minorHAnsi"/>
          <w:lang w:val="en-AU"/>
        </w:rPr>
        <w:t>has been</w:t>
      </w:r>
      <w:r w:rsidRPr="007C3B9D">
        <w:rPr>
          <w:rFonts w:cstheme="minorHAnsi"/>
          <w:lang w:val="en-AU"/>
        </w:rPr>
        <w:t xml:space="preserve"> implemented by </w:t>
      </w:r>
      <w:r w:rsidR="00DD7096" w:rsidRPr="007C3B9D">
        <w:rPr>
          <w:rFonts w:cstheme="minorHAnsi"/>
          <w:lang w:val="en-AU"/>
        </w:rPr>
        <w:t>TAF</w:t>
      </w:r>
      <w:r w:rsidR="00364310" w:rsidRPr="007C3B9D">
        <w:rPr>
          <w:rFonts w:cstheme="minorHAnsi"/>
          <w:lang w:val="en-AU"/>
        </w:rPr>
        <w:t xml:space="preserve">, with additional </w:t>
      </w:r>
      <w:r w:rsidRPr="007C3B9D">
        <w:rPr>
          <w:rFonts w:cstheme="minorHAnsi"/>
          <w:lang w:val="en-AU"/>
        </w:rPr>
        <w:t>fund</w:t>
      </w:r>
      <w:r w:rsidR="00364310" w:rsidRPr="007C3B9D">
        <w:rPr>
          <w:rFonts w:cstheme="minorHAnsi"/>
          <w:lang w:val="en-AU"/>
        </w:rPr>
        <w:t>s</w:t>
      </w:r>
      <w:r w:rsidRPr="007C3B9D">
        <w:rPr>
          <w:rFonts w:cstheme="minorHAnsi"/>
          <w:lang w:val="en-AU"/>
        </w:rPr>
        <w:t xml:space="preserve"> </w:t>
      </w:r>
      <w:r w:rsidR="00175014" w:rsidRPr="007C3B9D">
        <w:rPr>
          <w:rFonts w:cstheme="minorHAnsi"/>
          <w:lang w:val="en-AU"/>
        </w:rPr>
        <w:t xml:space="preserve">that were </w:t>
      </w:r>
      <w:r w:rsidR="00364310" w:rsidRPr="007C3B9D">
        <w:rPr>
          <w:rFonts w:cstheme="minorHAnsi"/>
          <w:lang w:val="en-AU"/>
        </w:rPr>
        <w:t xml:space="preserve">allocated </w:t>
      </w:r>
      <w:r w:rsidRPr="007C3B9D">
        <w:rPr>
          <w:rFonts w:cstheme="minorHAnsi"/>
          <w:lang w:val="en-AU"/>
        </w:rPr>
        <w:t>for Australian</w:t>
      </w:r>
      <w:r w:rsidR="00603D90" w:rsidRPr="007C3B9D">
        <w:rPr>
          <w:rFonts w:cstheme="minorHAnsi"/>
          <w:lang w:val="en-AU"/>
        </w:rPr>
        <w:t xml:space="preserve"> </w:t>
      </w:r>
      <w:r w:rsidRPr="007C3B9D">
        <w:rPr>
          <w:rFonts w:cstheme="minorHAnsi"/>
          <w:lang w:val="en-AU"/>
        </w:rPr>
        <w:t>OGD</w:t>
      </w:r>
      <w:r w:rsidR="00364310" w:rsidRPr="007C3B9D">
        <w:rPr>
          <w:rFonts w:cstheme="minorHAnsi"/>
          <w:lang w:val="en-AU"/>
        </w:rPr>
        <w:t>s</w:t>
      </w:r>
      <w:r w:rsidRPr="007C3B9D">
        <w:rPr>
          <w:rFonts w:cstheme="minorHAnsi"/>
          <w:lang w:val="en-AU"/>
        </w:rPr>
        <w:t xml:space="preserve"> to implement activit</w:t>
      </w:r>
      <w:r w:rsidR="00364310" w:rsidRPr="007C3B9D">
        <w:rPr>
          <w:rFonts w:cstheme="minorHAnsi"/>
          <w:lang w:val="en-AU"/>
        </w:rPr>
        <w:t>ies</w:t>
      </w:r>
      <w:r w:rsidRPr="007C3B9D">
        <w:rPr>
          <w:rFonts w:cstheme="minorHAnsi"/>
          <w:lang w:val="en-AU"/>
        </w:rPr>
        <w:t xml:space="preserve"> with ASEAN.</w:t>
      </w:r>
      <w:r w:rsidR="00603D90" w:rsidRPr="007C3B9D">
        <w:rPr>
          <w:rFonts w:cstheme="minorHAnsi"/>
          <w:lang w:val="en-AU"/>
        </w:rPr>
        <w:t xml:space="preserve"> </w:t>
      </w:r>
      <w:r w:rsidRPr="007C3B9D">
        <w:rPr>
          <w:rFonts w:cstheme="minorHAnsi"/>
          <w:lang w:val="en-AU"/>
        </w:rPr>
        <w:t xml:space="preserve">APSP’s </w:t>
      </w:r>
      <w:r w:rsidRPr="007C3B9D">
        <w:rPr>
          <w:rFonts w:cstheme="minorHAnsi"/>
          <w:i/>
          <w:iCs/>
          <w:color w:val="0F4761" w:themeColor="accent1" w:themeShade="BF"/>
          <w:lang w:val="en-AU"/>
        </w:rPr>
        <w:t>key partners and target beneficiaries</w:t>
      </w:r>
      <w:r w:rsidRPr="007C3B9D">
        <w:rPr>
          <w:rFonts w:cstheme="minorHAnsi"/>
          <w:color w:val="0F4761" w:themeColor="accent1" w:themeShade="BF"/>
          <w:lang w:val="en-AU"/>
        </w:rPr>
        <w:t xml:space="preserve"> </w:t>
      </w:r>
      <w:r w:rsidRPr="007C3B9D">
        <w:rPr>
          <w:rFonts w:cstheme="minorHAnsi"/>
          <w:lang w:val="en-AU"/>
        </w:rPr>
        <w:t>are ASEAN sectoral bodies, particularly those</w:t>
      </w:r>
      <w:r w:rsidR="00603D90" w:rsidRPr="007C3B9D">
        <w:rPr>
          <w:rFonts w:cstheme="minorHAnsi"/>
          <w:lang w:val="en-AU"/>
        </w:rPr>
        <w:t xml:space="preserve"> </w:t>
      </w:r>
      <w:r w:rsidRPr="007C3B9D">
        <w:rPr>
          <w:rFonts w:cstheme="minorHAnsi"/>
          <w:lang w:val="en-AU"/>
        </w:rPr>
        <w:t>under ASEAN Political Security Community, ASEAN Secretariat, relevant ASEAN centres and</w:t>
      </w:r>
      <w:r w:rsidR="00603D90" w:rsidRPr="007C3B9D">
        <w:rPr>
          <w:rFonts w:cstheme="minorHAnsi"/>
          <w:lang w:val="en-AU"/>
        </w:rPr>
        <w:t xml:space="preserve"> </w:t>
      </w:r>
      <w:r w:rsidRPr="007C3B9D">
        <w:rPr>
          <w:rFonts w:cstheme="minorHAnsi"/>
          <w:lang w:val="en-AU"/>
        </w:rPr>
        <w:t xml:space="preserve">entities, and </w:t>
      </w:r>
      <w:r w:rsidR="00B137AE" w:rsidRPr="007C3B9D">
        <w:rPr>
          <w:rFonts w:cstheme="minorHAnsi"/>
          <w:lang w:val="en-AU"/>
        </w:rPr>
        <w:t>AMS</w:t>
      </w:r>
      <w:r w:rsidRPr="007C3B9D">
        <w:rPr>
          <w:rFonts w:cstheme="minorHAnsi"/>
          <w:lang w:val="en-AU"/>
        </w:rPr>
        <w:t xml:space="preserve"> governments. Other stakeholders of APSP</w:t>
      </w:r>
      <w:r w:rsidR="00175014" w:rsidRPr="007C3B9D">
        <w:rPr>
          <w:rFonts w:cstheme="minorHAnsi"/>
          <w:lang w:val="en-AU"/>
        </w:rPr>
        <w:t xml:space="preserve"> have</w:t>
      </w:r>
      <w:r w:rsidRPr="007C3B9D">
        <w:rPr>
          <w:rFonts w:cstheme="minorHAnsi"/>
          <w:lang w:val="en-AU"/>
        </w:rPr>
        <w:t xml:space="preserve"> include</w:t>
      </w:r>
      <w:r w:rsidR="00175014" w:rsidRPr="007C3B9D">
        <w:rPr>
          <w:rFonts w:cstheme="minorHAnsi"/>
          <w:lang w:val="en-AU"/>
        </w:rPr>
        <w:t>d</w:t>
      </w:r>
      <w:r w:rsidRPr="007C3B9D">
        <w:rPr>
          <w:rFonts w:cstheme="minorHAnsi"/>
          <w:lang w:val="en-AU"/>
        </w:rPr>
        <w:t xml:space="preserve"> think tanks</w:t>
      </w:r>
      <w:r w:rsidR="00175014" w:rsidRPr="007C3B9D">
        <w:rPr>
          <w:rFonts w:cstheme="minorHAnsi"/>
          <w:lang w:val="en-AU"/>
        </w:rPr>
        <w:t>,</w:t>
      </w:r>
      <w:r w:rsidRPr="007C3B9D">
        <w:rPr>
          <w:rFonts w:cstheme="minorHAnsi"/>
          <w:lang w:val="en-AU"/>
        </w:rPr>
        <w:t xml:space="preserve"> academia, </w:t>
      </w:r>
      <w:r w:rsidR="00175014" w:rsidRPr="007C3B9D">
        <w:rPr>
          <w:rFonts w:cstheme="minorHAnsi"/>
          <w:lang w:val="en-AU"/>
        </w:rPr>
        <w:t xml:space="preserve">civil society organisations (CSOs), </w:t>
      </w:r>
      <w:r w:rsidRPr="007C3B9D">
        <w:rPr>
          <w:rFonts w:cstheme="minorHAnsi"/>
          <w:lang w:val="en-AU"/>
        </w:rPr>
        <w:t xml:space="preserve">and </w:t>
      </w:r>
      <w:r w:rsidR="00175014" w:rsidRPr="007C3B9D">
        <w:rPr>
          <w:rFonts w:cstheme="minorHAnsi"/>
          <w:lang w:val="en-AU"/>
        </w:rPr>
        <w:t>other</w:t>
      </w:r>
      <w:r w:rsidRPr="007C3B9D">
        <w:rPr>
          <w:rFonts w:cstheme="minorHAnsi"/>
          <w:lang w:val="en-AU"/>
        </w:rPr>
        <w:t xml:space="preserve"> </w:t>
      </w:r>
      <w:r w:rsidR="00175014" w:rsidRPr="007C3B9D">
        <w:rPr>
          <w:rFonts w:cstheme="minorHAnsi"/>
          <w:lang w:val="en-AU"/>
        </w:rPr>
        <w:t>institutions</w:t>
      </w:r>
      <w:r w:rsidRPr="007C3B9D">
        <w:rPr>
          <w:rFonts w:cstheme="minorHAnsi"/>
          <w:lang w:val="en-AU"/>
        </w:rPr>
        <w:t xml:space="preserve"> that contribute to the</w:t>
      </w:r>
      <w:r w:rsidR="00603D90" w:rsidRPr="007C3B9D">
        <w:rPr>
          <w:rFonts w:cstheme="minorHAnsi"/>
          <w:lang w:val="en-AU"/>
        </w:rPr>
        <w:t xml:space="preserve"> </w:t>
      </w:r>
      <w:r w:rsidRPr="007C3B9D">
        <w:rPr>
          <w:rFonts w:cstheme="minorHAnsi"/>
          <w:lang w:val="en-AU"/>
        </w:rPr>
        <w:t>program's objectives and activities.</w:t>
      </w:r>
    </w:p>
    <w:p w14:paraId="67B488D4" w14:textId="426A537B" w:rsidR="006D6268" w:rsidRPr="007C3B9D" w:rsidRDefault="006D6268" w:rsidP="00903D77">
      <w:pPr>
        <w:spacing w:after="120" w:line="276" w:lineRule="auto"/>
        <w:jc w:val="both"/>
        <w:rPr>
          <w:rFonts w:cstheme="minorHAnsi"/>
          <w:lang w:val="en-AU"/>
        </w:rPr>
      </w:pPr>
      <w:r w:rsidRPr="007C3B9D">
        <w:rPr>
          <w:rFonts w:cstheme="minorHAnsi"/>
          <w:lang w:val="en-AU"/>
        </w:rPr>
        <w:t>Progra</w:t>
      </w:r>
      <w:r w:rsidR="007D7D14" w:rsidRPr="007C3B9D">
        <w:rPr>
          <w:rFonts w:cstheme="minorHAnsi"/>
          <w:lang w:val="en-AU"/>
        </w:rPr>
        <w:t>m</w:t>
      </w:r>
      <w:r w:rsidRPr="007C3B9D">
        <w:rPr>
          <w:rFonts w:cstheme="minorHAnsi"/>
          <w:lang w:val="en-AU"/>
        </w:rPr>
        <w:t xml:space="preserve"> </w:t>
      </w:r>
      <w:r w:rsidR="00175014" w:rsidRPr="007C3B9D">
        <w:rPr>
          <w:rFonts w:cstheme="minorHAnsi"/>
          <w:lang w:val="en-AU"/>
        </w:rPr>
        <w:t>design did not develop</w:t>
      </w:r>
      <w:r w:rsidRPr="007C3B9D">
        <w:rPr>
          <w:rFonts w:cstheme="minorHAnsi"/>
          <w:lang w:val="en-AU"/>
        </w:rPr>
        <w:t xml:space="preserve"> a formal theory of change (</w:t>
      </w:r>
      <w:proofErr w:type="spellStart"/>
      <w:r w:rsidRPr="007C3B9D">
        <w:rPr>
          <w:rFonts w:cstheme="minorHAnsi"/>
          <w:lang w:val="en-AU"/>
        </w:rPr>
        <w:t>ToC</w:t>
      </w:r>
      <w:proofErr w:type="spellEnd"/>
      <w:r w:rsidRPr="007C3B9D">
        <w:rPr>
          <w:rFonts w:cstheme="minorHAnsi"/>
          <w:lang w:val="en-AU"/>
        </w:rPr>
        <w:t>)</w:t>
      </w:r>
      <w:r w:rsidR="00175014" w:rsidRPr="007C3B9D">
        <w:rPr>
          <w:rFonts w:cstheme="minorHAnsi"/>
          <w:lang w:val="en-AU"/>
        </w:rPr>
        <w:t>, h</w:t>
      </w:r>
      <w:r w:rsidRPr="007C3B9D">
        <w:rPr>
          <w:rFonts w:cstheme="minorHAnsi"/>
          <w:lang w:val="en-AU"/>
        </w:rPr>
        <w:t xml:space="preserve">owever, a </w:t>
      </w:r>
      <w:r w:rsidR="00175014" w:rsidRPr="007C3B9D">
        <w:rPr>
          <w:rFonts w:cstheme="minorHAnsi"/>
          <w:lang w:val="en-AU"/>
        </w:rPr>
        <w:t xml:space="preserve">preliminary </w:t>
      </w:r>
      <w:r w:rsidRPr="007C3B9D">
        <w:rPr>
          <w:rFonts w:cstheme="minorHAnsi"/>
          <w:lang w:val="en-AU"/>
        </w:rPr>
        <w:t>review of</w:t>
      </w:r>
      <w:r w:rsidR="00175014" w:rsidRPr="007C3B9D">
        <w:rPr>
          <w:rFonts w:cstheme="minorHAnsi"/>
          <w:lang w:val="en-AU"/>
        </w:rPr>
        <w:t xml:space="preserve"> internal documents</w:t>
      </w:r>
      <w:r w:rsidRPr="007C3B9D">
        <w:rPr>
          <w:rFonts w:cstheme="minorHAnsi"/>
          <w:lang w:val="en-AU"/>
        </w:rPr>
        <w:t xml:space="preserve"> suggest</w:t>
      </w:r>
      <w:r w:rsidR="00175014" w:rsidRPr="007C3B9D">
        <w:rPr>
          <w:rFonts w:cstheme="minorHAnsi"/>
          <w:lang w:val="en-AU"/>
        </w:rPr>
        <w:t>ed</w:t>
      </w:r>
      <w:r w:rsidRPr="007C3B9D">
        <w:rPr>
          <w:rFonts w:cstheme="minorHAnsi"/>
          <w:lang w:val="en-AU"/>
        </w:rPr>
        <w:t xml:space="preserve"> that the following </w:t>
      </w:r>
      <w:proofErr w:type="spellStart"/>
      <w:r w:rsidRPr="007C3B9D">
        <w:rPr>
          <w:rFonts w:cstheme="minorHAnsi"/>
          <w:lang w:val="en-AU"/>
        </w:rPr>
        <w:t>ToC</w:t>
      </w:r>
      <w:proofErr w:type="spellEnd"/>
      <w:r w:rsidRPr="007C3B9D">
        <w:rPr>
          <w:rFonts w:cstheme="minorHAnsi"/>
          <w:lang w:val="en-AU"/>
        </w:rPr>
        <w:t xml:space="preserve"> may be </w:t>
      </w:r>
      <w:r w:rsidR="007D7D14" w:rsidRPr="007C3B9D">
        <w:rPr>
          <w:rFonts w:cstheme="minorHAnsi"/>
          <w:lang w:val="en-AU"/>
        </w:rPr>
        <w:t>reconstructed</w:t>
      </w:r>
      <w:r w:rsidRPr="007C3B9D">
        <w:rPr>
          <w:rFonts w:cstheme="minorHAnsi"/>
          <w:lang w:val="en-AU"/>
        </w:rPr>
        <w:t xml:space="preserve"> as follows:</w:t>
      </w:r>
    </w:p>
    <w:p w14:paraId="69C3A6BE" w14:textId="7373B76B" w:rsidR="00175014" w:rsidRPr="007C3B9D" w:rsidRDefault="006D6268" w:rsidP="00903D77">
      <w:pPr>
        <w:pStyle w:val="ListParagraph"/>
        <w:numPr>
          <w:ilvl w:val="0"/>
          <w:numId w:val="19"/>
        </w:numPr>
        <w:spacing w:after="0" w:line="276" w:lineRule="auto"/>
        <w:contextualSpacing w:val="0"/>
        <w:jc w:val="both"/>
        <w:rPr>
          <w:rFonts w:cstheme="minorHAnsi"/>
          <w:i/>
          <w:iCs/>
          <w:color w:val="0F4761" w:themeColor="accent1" w:themeShade="BF"/>
          <w:lang w:val="en-AU"/>
        </w:rPr>
      </w:pPr>
      <w:r w:rsidRPr="007C3B9D">
        <w:rPr>
          <w:rFonts w:cstheme="minorHAnsi"/>
          <w:i/>
          <w:iCs/>
          <w:color w:val="0F4761" w:themeColor="accent1" w:themeShade="BF"/>
          <w:lang w:val="en-AU"/>
        </w:rPr>
        <w:t>If (assumptions)</w:t>
      </w:r>
      <w:r w:rsidR="00175014" w:rsidRPr="007C3B9D">
        <w:rPr>
          <w:rFonts w:cstheme="minorHAnsi"/>
          <w:i/>
          <w:iCs/>
          <w:color w:val="0F4761" w:themeColor="accent1" w:themeShade="BF"/>
          <w:lang w:val="en-AU"/>
        </w:rPr>
        <w:t xml:space="preserve">: </w:t>
      </w:r>
      <w:r w:rsidRPr="007C3B9D">
        <w:rPr>
          <w:rFonts w:cstheme="minorHAnsi"/>
          <w:lang w:val="en-AU"/>
        </w:rPr>
        <w:t xml:space="preserve">Demand by ASEAN </w:t>
      </w:r>
      <w:r w:rsidR="005473E9" w:rsidRPr="007C3B9D">
        <w:rPr>
          <w:rFonts w:cstheme="minorHAnsi"/>
          <w:lang w:val="en-AU"/>
        </w:rPr>
        <w:t xml:space="preserve">stakeholders and partners </w:t>
      </w:r>
      <w:r w:rsidRPr="007C3B9D">
        <w:rPr>
          <w:rFonts w:cstheme="minorHAnsi"/>
          <w:lang w:val="en-AU"/>
        </w:rPr>
        <w:t>in specific areas of political security are met</w:t>
      </w:r>
      <w:r w:rsidR="007D7D14" w:rsidRPr="007C3B9D">
        <w:rPr>
          <w:rFonts w:cstheme="minorHAnsi"/>
          <w:lang w:val="en-AU"/>
        </w:rPr>
        <w:t>;</w:t>
      </w:r>
      <w:r w:rsidR="00175014" w:rsidRPr="007C3B9D">
        <w:rPr>
          <w:rFonts w:cstheme="minorHAnsi"/>
          <w:i/>
          <w:iCs/>
          <w:color w:val="156082" w:themeColor="accent1"/>
          <w:lang w:val="en-AU"/>
        </w:rPr>
        <w:t xml:space="preserve"> </w:t>
      </w:r>
      <w:r w:rsidRPr="007C3B9D">
        <w:rPr>
          <w:rFonts w:cstheme="minorHAnsi"/>
          <w:lang w:val="en-AU"/>
        </w:rPr>
        <w:t>Australian and ASEAN Member States governments are engaged</w:t>
      </w:r>
      <w:r w:rsidR="007D7D14" w:rsidRPr="007C3B9D">
        <w:rPr>
          <w:rFonts w:cstheme="minorHAnsi"/>
          <w:lang w:val="en-AU"/>
        </w:rPr>
        <w:t>;</w:t>
      </w:r>
      <w:r w:rsidR="00175014" w:rsidRPr="007C3B9D">
        <w:rPr>
          <w:rFonts w:cstheme="minorHAnsi"/>
          <w:i/>
          <w:iCs/>
          <w:color w:val="156082" w:themeColor="accent1"/>
          <w:lang w:val="en-AU"/>
        </w:rPr>
        <w:t xml:space="preserve"> </w:t>
      </w:r>
      <w:r w:rsidR="00175014" w:rsidRPr="007C3B9D">
        <w:rPr>
          <w:rFonts w:cstheme="minorHAnsi"/>
          <w:lang w:val="en-AU"/>
        </w:rPr>
        <w:t>g</w:t>
      </w:r>
      <w:r w:rsidRPr="007C3B9D">
        <w:rPr>
          <w:rFonts w:cstheme="minorHAnsi"/>
          <w:lang w:val="en-AU"/>
        </w:rPr>
        <w:t>ender equality and diversity requirements are fulfilled</w:t>
      </w:r>
      <w:r w:rsidR="007D7D14" w:rsidRPr="007C3B9D">
        <w:rPr>
          <w:rFonts w:cstheme="minorHAnsi"/>
          <w:lang w:val="en-AU"/>
        </w:rPr>
        <w:t>; and</w:t>
      </w:r>
      <w:r w:rsidR="00175014" w:rsidRPr="007C3B9D">
        <w:rPr>
          <w:rFonts w:cstheme="minorHAnsi"/>
          <w:i/>
          <w:iCs/>
          <w:color w:val="156082" w:themeColor="accent1"/>
          <w:lang w:val="en-AU"/>
        </w:rPr>
        <w:t xml:space="preserve"> </w:t>
      </w:r>
      <w:r w:rsidR="00175014" w:rsidRPr="007C3B9D">
        <w:rPr>
          <w:rFonts w:cstheme="minorHAnsi"/>
          <w:lang w:val="en-AU"/>
        </w:rPr>
        <w:t>e</w:t>
      </w:r>
      <w:r w:rsidRPr="007C3B9D">
        <w:rPr>
          <w:rFonts w:cstheme="minorHAnsi"/>
          <w:lang w:val="en-AU"/>
        </w:rPr>
        <w:t xml:space="preserve">ngagement with think tanks and other NGOs is </w:t>
      </w:r>
      <w:proofErr w:type="gramStart"/>
      <w:r w:rsidRPr="007C3B9D">
        <w:rPr>
          <w:rFonts w:cstheme="minorHAnsi"/>
          <w:lang w:val="en-AU"/>
        </w:rPr>
        <w:t>maintained</w:t>
      </w:r>
      <w:r w:rsidR="00175014" w:rsidRPr="007C3B9D">
        <w:rPr>
          <w:rFonts w:cstheme="minorHAnsi"/>
          <w:lang w:val="en-AU"/>
        </w:rPr>
        <w:t>;</w:t>
      </w:r>
      <w:proofErr w:type="gramEnd"/>
    </w:p>
    <w:p w14:paraId="0C4F1C63" w14:textId="77777777" w:rsidR="00175014" w:rsidRPr="007C3B9D" w:rsidRDefault="006D6268" w:rsidP="00903D77">
      <w:pPr>
        <w:pStyle w:val="ListParagraph"/>
        <w:numPr>
          <w:ilvl w:val="0"/>
          <w:numId w:val="19"/>
        </w:numPr>
        <w:spacing w:after="0" w:line="276" w:lineRule="auto"/>
        <w:contextualSpacing w:val="0"/>
        <w:jc w:val="both"/>
        <w:rPr>
          <w:rFonts w:cstheme="minorHAnsi"/>
          <w:i/>
          <w:iCs/>
          <w:color w:val="0F4761" w:themeColor="accent1" w:themeShade="BF"/>
          <w:lang w:val="en-AU"/>
        </w:rPr>
      </w:pPr>
      <w:r w:rsidRPr="007C3B9D">
        <w:rPr>
          <w:rFonts w:cstheme="minorHAnsi"/>
          <w:i/>
          <w:iCs/>
          <w:color w:val="0F4761" w:themeColor="accent1" w:themeShade="BF"/>
          <w:lang w:val="en-AU"/>
        </w:rPr>
        <w:t>And if (activities/</w:t>
      </w:r>
      <w:r w:rsidR="00D1795B" w:rsidRPr="007C3B9D">
        <w:rPr>
          <w:rFonts w:cstheme="minorHAnsi"/>
          <w:i/>
          <w:iCs/>
          <w:color w:val="0F4761" w:themeColor="accent1" w:themeShade="BF"/>
          <w:lang w:val="en-AU"/>
        </w:rPr>
        <w:t>program</w:t>
      </w:r>
      <w:r w:rsidRPr="007C3B9D">
        <w:rPr>
          <w:rFonts w:cstheme="minorHAnsi"/>
          <w:i/>
          <w:iCs/>
          <w:color w:val="0F4761" w:themeColor="accent1" w:themeShade="BF"/>
          <w:lang w:val="en-AU"/>
        </w:rPr>
        <w:t xml:space="preserve"> input)</w:t>
      </w:r>
      <w:r w:rsidR="00175014" w:rsidRPr="007C3B9D">
        <w:rPr>
          <w:rFonts w:cstheme="minorHAnsi"/>
          <w:i/>
          <w:iCs/>
          <w:color w:val="0F4761" w:themeColor="accent1" w:themeShade="BF"/>
          <w:lang w:val="en-AU"/>
        </w:rPr>
        <w:t>:</w:t>
      </w:r>
      <w:r w:rsidR="00175014" w:rsidRPr="007C3B9D">
        <w:rPr>
          <w:rFonts w:cstheme="minorHAnsi"/>
          <w:lang w:val="en-AU"/>
        </w:rPr>
        <w:t xml:space="preserve"> </w:t>
      </w:r>
      <w:r w:rsidRPr="007C3B9D">
        <w:rPr>
          <w:rFonts w:cstheme="minorHAnsi"/>
          <w:lang w:val="en-AU"/>
        </w:rPr>
        <w:t>Engagement focuses on the following areas:</w:t>
      </w:r>
      <w:r w:rsidR="00175014" w:rsidRPr="007C3B9D">
        <w:rPr>
          <w:rFonts w:cstheme="minorHAnsi"/>
          <w:lang w:val="en-AU"/>
        </w:rPr>
        <w:t xml:space="preserve"> </w:t>
      </w:r>
      <w:r w:rsidRPr="007C3B9D">
        <w:rPr>
          <w:rFonts w:cstheme="minorHAnsi"/>
          <w:lang w:val="en-AU"/>
        </w:rPr>
        <w:t>Maritime security</w:t>
      </w:r>
      <w:r w:rsidR="00175014" w:rsidRPr="007C3B9D">
        <w:rPr>
          <w:rFonts w:cstheme="minorHAnsi"/>
          <w:lang w:val="en-AU"/>
        </w:rPr>
        <w:t>, c</w:t>
      </w:r>
      <w:r w:rsidRPr="007C3B9D">
        <w:rPr>
          <w:rFonts w:cstheme="minorHAnsi"/>
          <w:lang w:val="en-AU"/>
        </w:rPr>
        <w:t>ybersecurity</w:t>
      </w:r>
      <w:r w:rsidR="00175014" w:rsidRPr="007C3B9D">
        <w:rPr>
          <w:rFonts w:cstheme="minorHAnsi"/>
          <w:lang w:val="en-AU"/>
        </w:rPr>
        <w:t>, t</w:t>
      </w:r>
      <w:r w:rsidRPr="007C3B9D">
        <w:rPr>
          <w:rFonts w:cstheme="minorHAnsi"/>
          <w:lang w:val="en-AU"/>
        </w:rPr>
        <w:t>ransnational crime</w:t>
      </w:r>
      <w:r w:rsidR="00175014" w:rsidRPr="007C3B9D">
        <w:rPr>
          <w:rFonts w:cstheme="minorHAnsi"/>
          <w:lang w:val="en-AU"/>
        </w:rPr>
        <w:t>, WPS and o</w:t>
      </w:r>
      <w:r w:rsidRPr="007C3B9D">
        <w:rPr>
          <w:rFonts w:cstheme="minorHAnsi"/>
          <w:lang w:val="en-AU"/>
        </w:rPr>
        <w:t>ther emergin</w:t>
      </w:r>
      <w:r w:rsidR="00175014" w:rsidRPr="007C3B9D">
        <w:rPr>
          <w:rFonts w:cstheme="minorHAnsi"/>
          <w:lang w:val="en-AU"/>
        </w:rPr>
        <w:t>g</w:t>
      </w:r>
      <w:r w:rsidRPr="007C3B9D">
        <w:rPr>
          <w:rFonts w:cstheme="minorHAnsi"/>
          <w:lang w:val="en-AU"/>
        </w:rPr>
        <w:t xml:space="preserve"> and cross-cutting </w:t>
      </w:r>
      <w:proofErr w:type="gramStart"/>
      <w:r w:rsidRPr="007C3B9D">
        <w:rPr>
          <w:rFonts w:cstheme="minorHAnsi"/>
          <w:lang w:val="en-AU"/>
        </w:rPr>
        <w:t>issues</w:t>
      </w:r>
      <w:r w:rsidR="00175014" w:rsidRPr="007C3B9D">
        <w:rPr>
          <w:rFonts w:cstheme="minorHAnsi"/>
          <w:lang w:val="en-AU"/>
        </w:rPr>
        <w:t>;</w:t>
      </w:r>
      <w:proofErr w:type="gramEnd"/>
    </w:p>
    <w:p w14:paraId="7D684F9C" w14:textId="79369FFF" w:rsidR="00175014" w:rsidRPr="007C3B9D" w:rsidRDefault="006D6268" w:rsidP="00903D77">
      <w:pPr>
        <w:pStyle w:val="ListParagraph"/>
        <w:numPr>
          <w:ilvl w:val="0"/>
          <w:numId w:val="19"/>
        </w:numPr>
        <w:spacing w:after="0" w:line="276" w:lineRule="auto"/>
        <w:contextualSpacing w:val="0"/>
        <w:jc w:val="both"/>
        <w:rPr>
          <w:rFonts w:cstheme="minorHAnsi"/>
          <w:i/>
          <w:iCs/>
          <w:color w:val="0F4761" w:themeColor="accent1" w:themeShade="BF"/>
          <w:lang w:val="en-AU"/>
        </w:rPr>
      </w:pPr>
      <w:r w:rsidRPr="007C3B9D">
        <w:rPr>
          <w:rFonts w:cstheme="minorHAnsi"/>
          <w:i/>
          <w:iCs/>
          <w:color w:val="0F4761" w:themeColor="accent1" w:themeShade="BF"/>
          <w:lang w:val="en-AU"/>
        </w:rPr>
        <w:t>Then (intermediate outcomes)</w:t>
      </w:r>
      <w:r w:rsidR="00175014" w:rsidRPr="007C3B9D">
        <w:rPr>
          <w:rFonts w:cstheme="minorHAnsi"/>
          <w:i/>
          <w:iCs/>
          <w:color w:val="0F4761" w:themeColor="accent1" w:themeShade="BF"/>
          <w:lang w:val="en-AU"/>
        </w:rPr>
        <w:t xml:space="preserve">: </w:t>
      </w:r>
      <w:r w:rsidRPr="007C3B9D">
        <w:rPr>
          <w:rFonts w:cstheme="minorHAnsi"/>
          <w:lang w:val="en-AU"/>
        </w:rPr>
        <w:t>Australian-ASEAN relationships and engagement are strengthened</w:t>
      </w:r>
      <w:r w:rsidR="007D7D14" w:rsidRPr="007C3B9D">
        <w:rPr>
          <w:rFonts w:cstheme="minorHAnsi"/>
          <w:lang w:val="en-AU"/>
        </w:rPr>
        <w:t>; and</w:t>
      </w:r>
      <w:r w:rsidR="00175014" w:rsidRPr="007C3B9D">
        <w:rPr>
          <w:rFonts w:cstheme="minorHAnsi"/>
          <w:lang w:val="en-AU"/>
        </w:rPr>
        <w:t xml:space="preserve"> </w:t>
      </w:r>
      <w:r w:rsidRPr="007C3B9D">
        <w:rPr>
          <w:rFonts w:cstheme="minorHAnsi"/>
          <w:lang w:val="en-AU"/>
        </w:rPr>
        <w:t xml:space="preserve">ASEAN </w:t>
      </w:r>
      <w:r w:rsidR="005473E9" w:rsidRPr="007C3B9D">
        <w:rPr>
          <w:rFonts w:cstheme="minorHAnsi"/>
          <w:lang w:val="en-AU"/>
        </w:rPr>
        <w:t xml:space="preserve">stakeholders </w:t>
      </w:r>
      <w:r w:rsidRPr="007C3B9D">
        <w:rPr>
          <w:rFonts w:cstheme="minorHAnsi"/>
          <w:lang w:val="en-AU"/>
        </w:rPr>
        <w:t xml:space="preserve">address targeted political security issues through cross-sectoral and multi-stakeholder </w:t>
      </w:r>
      <w:proofErr w:type="gramStart"/>
      <w:r w:rsidRPr="007C3B9D">
        <w:rPr>
          <w:rFonts w:cstheme="minorHAnsi"/>
          <w:lang w:val="en-AU"/>
        </w:rPr>
        <w:t>approaches</w:t>
      </w:r>
      <w:r w:rsidR="00363B6A">
        <w:rPr>
          <w:rFonts w:cstheme="minorHAnsi"/>
          <w:lang w:val="en-AU"/>
        </w:rPr>
        <w:t>;</w:t>
      </w:r>
      <w:proofErr w:type="gramEnd"/>
    </w:p>
    <w:p w14:paraId="3308FB8E" w14:textId="4E1517D2" w:rsidR="00AA095A" w:rsidRPr="007C3B9D" w:rsidRDefault="006D6268" w:rsidP="00903D77">
      <w:pPr>
        <w:pStyle w:val="ListParagraph"/>
        <w:numPr>
          <w:ilvl w:val="0"/>
          <w:numId w:val="19"/>
        </w:numPr>
        <w:spacing w:after="120" w:line="276" w:lineRule="auto"/>
        <w:contextualSpacing w:val="0"/>
        <w:jc w:val="both"/>
        <w:rPr>
          <w:rFonts w:cstheme="minorHAnsi"/>
          <w:i/>
          <w:iCs/>
          <w:color w:val="156082" w:themeColor="accent1"/>
          <w:lang w:val="en-AU"/>
        </w:rPr>
      </w:pPr>
      <w:r w:rsidRPr="007C3B9D">
        <w:rPr>
          <w:rFonts w:cstheme="minorHAnsi"/>
          <w:i/>
          <w:iCs/>
          <w:color w:val="0F4761" w:themeColor="accent1" w:themeShade="BF"/>
          <w:lang w:val="en-AU"/>
        </w:rPr>
        <w:t>And then (goal)</w:t>
      </w:r>
      <w:r w:rsidR="00175014" w:rsidRPr="007C3B9D">
        <w:rPr>
          <w:rFonts w:cstheme="minorHAnsi"/>
          <w:i/>
          <w:iCs/>
          <w:color w:val="0F4761" w:themeColor="accent1" w:themeShade="BF"/>
          <w:lang w:val="en-AU"/>
        </w:rPr>
        <w:t xml:space="preserve">: </w:t>
      </w:r>
      <w:r w:rsidRPr="007C3B9D">
        <w:rPr>
          <w:rFonts w:cstheme="minorHAnsi"/>
          <w:lang w:val="en-AU"/>
        </w:rPr>
        <w:t>ASEAN’s ability to lead more coordinated, cohesive and inclusive responses to transnational political security issues is enhanced, leading to (</w:t>
      </w:r>
      <w:r w:rsidRPr="007C3B9D">
        <w:rPr>
          <w:rFonts w:cstheme="minorHAnsi"/>
          <w:i/>
          <w:iCs/>
          <w:color w:val="0F4761" w:themeColor="accent1" w:themeShade="BF"/>
          <w:lang w:val="en-AU"/>
        </w:rPr>
        <w:t>broader goal</w:t>
      </w:r>
      <w:r w:rsidRPr="007C3B9D">
        <w:rPr>
          <w:rFonts w:cstheme="minorHAnsi"/>
          <w:lang w:val="en-AU"/>
        </w:rPr>
        <w:t>) an improved security environment in the Indo-Pacific region</w:t>
      </w:r>
      <w:r w:rsidR="007D7D14" w:rsidRPr="007C3B9D">
        <w:rPr>
          <w:rFonts w:cstheme="minorHAnsi"/>
          <w:lang w:val="en-AU"/>
        </w:rPr>
        <w:t>.</w:t>
      </w:r>
    </w:p>
    <w:p w14:paraId="260D193E" w14:textId="5530FC16" w:rsidR="00F63EB7" w:rsidRDefault="00E1676C" w:rsidP="00446279">
      <w:pPr>
        <w:pStyle w:val="Heading2"/>
      </w:pPr>
      <w:bookmarkStart w:id="8" w:name="_Toc206492258"/>
      <w:r w:rsidRPr="007C3B9D">
        <w:t>Evaluation Approach and Methodology</w:t>
      </w:r>
      <w:bookmarkEnd w:id="8"/>
    </w:p>
    <w:p w14:paraId="3C223E84" w14:textId="7406FF3A" w:rsidR="00207585" w:rsidRPr="007C3B9D" w:rsidRDefault="00207585" w:rsidP="00903D77">
      <w:pPr>
        <w:spacing w:after="120" w:line="276" w:lineRule="auto"/>
        <w:rPr>
          <w:lang w:val="en-AU"/>
        </w:rPr>
      </w:pPr>
      <w:r w:rsidRPr="007C3B9D">
        <w:rPr>
          <w:lang w:val="en-AU"/>
        </w:rPr>
        <w:t xml:space="preserve">The </w:t>
      </w:r>
      <w:proofErr w:type="spellStart"/>
      <w:r w:rsidRPr="007C3B9D">
        <w:rPr>
          <w:lang w:val="en-AU"/>
        </w:rPr>
        <w:t>ToR</w:t>
      </w:r>
      <w:proofErr w:type="spellEnd"/>
      <w:r w:rsidRPr="007C3B9D">
        <w:rPr>
          <w:lang w:val="en-AU"/>
        </w:rPr>
        <w:t xml:space="preserve"> provided a detailed outline of the proposed approach and methodology, which was expanded upon by the evaluation team. A summary of the overarching evaluation phases, tasks, deliverables and timelines </w:t>
      </w:r>
      <w:r w:rsidR="00175014" w:rsidRPr="007C3B9D">
        <w:rPr>
          <w:lang w:val="en-AU"/>
        </w:rPr>
        <w:t xml:space="preserve">that were undertaken </w:t>
      </w:r>
      <w:r w:rsidRPr="007C3B9D">
        <w:rPr>
          <w:lang w:val="en-AU"/>
        </w:rPr>
        <w:t>is provided in the diagram below:</w:t>
      </w:r>
    </w:p>
    <w:p w14:paraId="6BB9BBCD" w14:textId="6DC05666" w:rsidR="00207585" w:rsidRPr="007C3B9D" w:rsidRDefault="008E5548" w:rsidP="00903D77">
      <w:pPr>
        <w:spacing w:after="120" w:line="276" w:lineRule="auto"/>
        <w:jc w:val="center"/>
        <w:rPr>
          <w:lang w:val="en-AU"/>
        </w:rPr>
      </w:pPr>
      <w:r w:rsidRPr="007C3B9D">
        <w:rPr>
          <w:noProof/>
          <w:lang w:val="en-AU"/>
        </w:rPr>
        <w:lastRenderedPageBreak/>
        <w:drawing>
          <wp:inline distT="0" distB="0" distL="0" distR="0" wp14:anchorId="06BF6CF6" wp14:editId="58C0B503">
            <wp:extent cx="4846320" cy="2621983"/>
            <wp:effectExtent l="0" t="0" r="5080" b="0"/>
            <wp:docPr id="205389571" name="Picture 2" descr="A diagram of a process and timeline of the evaluation, namely planning, data collection, synthesis, and dissemination,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9571" name="Picture 2" descr="A diagram of a process and timeline of the evaluation, namely planning, data collection, synthesis, and dissemination, details below"/>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7845" cy="2628218"/>
                    </a:xfrm>
                    <a:prstGeom prst="rect">
                      <a:avLst/>
                    </a:prstGeom>
                  </pic:spPr>
                </pic:pic>
              </a:graphicData>
            </a:graphic>
          </wp:inline>
        </w:drawing>
      </w:r>
    </w:p>
    <w:p w14:paraId="6747D915" w14:textId="0EEC4ABE" w:rsidR="008E5548" w:rsidRPr="007C3B9D" w:rsidRDefault="008E5548" w:rsidP="00903D77">
      <w:pPr>
        <w:spacing w:after="120" w:line="276" w:lineRule="auto"/>
        <w:jc w:val="center"/>
        <w:rPr>
          <w:i/>
          <w:iCs/>
          <w:color w:val="0F4761" w:themeColor="accent1" w:themeShade="BF"/>
          <w:sz w:val="18"/>
          <w:szCs w:val="18"/>
          <w:lang w:val="en-AU"/>
        </w:rPr>
      </w:pPr>
      <w:r w:rsidRPr="007C3B9D">
        <w:rPr>
          <w:i/>
          <w:iCs/>
          <w:color w:val="0F4761" w:themeColor="accent1" w:themeShade="BF"/>
          <w:sz w:val="18"/>
          <w:szCs w:val="18"/>
          <w:lang w:val="en-AU"/>
        </w:rPr>
        <w:t xml:space="preserve">Fig. </w:t>
      </w:r>
      <w:r w:rsidR="00493922" w:rsidRPr="007C3B9D">
        <w:rPr>
          <w:i/>
          <w:iCs/>
          <w:color w:val="0F4761" w:themeColor="accent1" w:themeShade="BF"/>
          <w:sz w:val="18"/>
          <w:szCs w:val="18"/>
          <w:lang w:val="en-AU"/>
        </w:rPr>
        <w:t>1</w:t>
      </w:r>
      <w:r w:rsidRPr="007C3B9D">
        <w:rPr>
          <w:i/>
          <w:iCs/>
          <w:color w:val="0F4761" w:themeColor="accent1" w:themeShade="BF"/>
          <w:sz w:val="18"/>
          <w:szCs w:val="18"/>
          <w:lang w:val="en-AU"/>
        </w:rPr>
        <w:t xml:space="preserve"> Evaluation process and timelines. Source: </w:t>
      </w:r>
      <w:r w:rsidR="00175014" w:rsidRPr="007C3B9D">
        <w:rPr>
          <w:i/>
          <w:iCs/>
          <w:color w:val="0F4761" w:themeColor="accent1" w:themeShade="BF"/>
          <w:sz w:val="18"/>
          <w:szCs w:val="18"/>
          <w:lang w:val="en-AU"/>
        </w:rPr>
        <w:t>P</w:t>
      </w:r>
      <w:r w:rsidRPr="007C3B9D">
        <w:rPr>
          <w:i/>
          <w:iCs/>
          <w:color w:val="0F4761" w:themeColor="accent1" w:themeShade="BF"/>
          <w:sz w:val="18"/>
          <w:szCs w:val="18"/>
          <w:lang w:val="en-AU"/>
        </w:rPr>
        <w:t>rogram documents/ evaluation team</w:t>
      </w:r>
    </w:p>
    <w:p w14:paraId="4E8DE49C" w14:textId="2B831EA9" w:rsidR="00175014" w:rsidRDefault="00175014" w:rsidP="00446279">
      <w:pPr>
        <w:pStyle w:val="Heading2"/>
      </w:pPr>
      <w:bookmarkStart w:id="9" w:name="_Toc206492259"/>
      <w:r w:rsidRPr="007C3B9D">
        <w:t>Evaluation Phases</w:t>
      </w:r>
      <w:bookmarkEnd w:id="9"/>
    </w:p>
    <w:p w14:paraId="4A4266F7" w14:textId="0155AB01" w:rsidR="002F5602" w:rsidRPr="007C3B9D" w:rsidRDefault="009C7F3C" w:rsidP="00903D77">
      <w:pPr>
        <w:autoSpaceDE w:val="0"/>
        <w:autoSpaceDN w:val="0"/>
        <w:adjustRightInd w:val="0"/>
        <w:spacing w:after="120" w:line="276" w:lineRule="auto"/>
        <w:jc w:val="both"/>
        <w:rPr>
          <w:rFonts w:cstheme="minorHAnsi"/>
          <w:color w:val="000000"/>
          <w:lang w:val="en-AU"/>
        </w:rPr>
      </w:pPr>
      <w:r w:rsidRPr="007C3B9D">
        <w:rPr>
          <w:rFonts w:cstheme="minorHAnsi"/>
          <w:color w:val="000000"/>
          <w:lang w:val="en-AU"/>
        </w:rPr>
        <w:t xml:space="preserve">The </w:t>
      </w:r>
      <w:proofErr w:type="spellStart"/>
      <w:r w:rsidR="00EA7342" w:rsidRPr="007C3B9D">
        <w:rPr>
          <w:rFonts w:cstheme="minorHAnsi"/>
          <w:color w:val="000000"/>
          <w:lang w:val="en-AU"/>
        </w:rPr>
        <w:t>ToR</w:t>
      </w:r>
      <w:proofErr w:type="spellEnd"/>
      <w:r w:rsidR="00EA7342" w:rsidRPr="007C3B9D">
        <w:rPr>
          <w:rFonts w:cstheme="minorHAnsi"/>
          <w:color w:val="000000"/>
          <w:lang w:val="en-AU"/>
        </w:rPr>
        <w:t xml:space="preserve"> did not outline specific phases for the</w:t>
      </w:r>
      <w:r w:rsidR="007B20A1" w:rsidRPr="007C3B9D">
        <w:rPr>
          <w:rFonts w:cstheme="minorHAnsi"/>
          <w:color w:val="000000"/>
          <w:lang w:val="en-AU"/>
        </w:rPr>
        <w:t xml:space="preserve"> evaluation, which </w:t>
      </w:r>
      <w:r w:rsidR="00175014" w:rsidRPr="007C3B9D">
        <w:rPr>
          <w:rFonts w:cstheme="minorHAnsi"/>
          <w:color w:val="000000"/>
          <w:lang w:val="en-AU"/>
        </w:rPr>
        <w:t>were</w:t>
      </w:r>
      <w:r w:rsidR="007B20A1" w:rsidRPr="007C3B9D">
        <w:rPr>
          <w:rFonts w:cstheme="minorHAnsi"/>
          <w:color w:val="000000"/>
          <w:lang w:val="en-AU"/>
        </w:rPr>
        <w:t xml:space="preserve"> inferred</w:t>
      </w:r>
      <w:r w:rsidR="00EA7342" w:rsidRPr="007C3B9D">
        <w:rPr>
          <w:rFonts w:cstheme="minorHAnsi"/>
          <w:color w:val="000000"/>
          <w:lang w:val="en-AU"/>
        </w:rPr>
        <w:t xml:space="preserve"> </w:t>
      </w:r>
      <w:r w:rsidR="007B20A1" w:rsidRPr="007C3B9D">
        <w:rPr>
          <w:rFonts w:cstheme="minorHAnsi"/>
          <w:color w:val="000000"/>
          <w:lang w:val="en-AU"/>
        </w:rPr>
        <w:t>by the evaluation team</w:t>
      </w:r>
      <w:r w:rsidR="00175014" w:rsidRPr="007C3B9D">
        <w:rPr>
          <w:rFonts w:cstheme="minorHAnsi"/>
          <w:color w:val="000000"/>
          <w:lang w:val="en-AU"/>
        </w:rPr>
        <w:t>. T</w:t>
      </w:r>
      <w:r w:rsidR="007B20A1" w:rsidRPr="007C3B9D">
        <w:rPr>
          <w:rFonts w:cstheme="minorHAnsi"/>
          <w:color w:val="000000"/>
          <w:lang w:val="en-AU"/>
        </w:rPr>
        <w:t xml:space="preserve">hese phases </w:t>
      </w:r>
      <w:r w:rsidR="00175014" w:rsidRPr="007C3B9D">
        <w:rPr>
          <w:rFonts w:cstheme="minorHAnsi"/>
          <w:color w:val="000000"/>
          <w:lang w:val="en-AU"/>
        </w:rPr>
        <w:t>were</w:t>
      </w:r>
      <w:r w:rsidR="002F5602" w:rsidRPr="007C3B9D">
        <w:rPr>
          <w:rFonts w:cstheme="minorHAnsi"/>
          <w:color w:val="000000"/>
          <w:lang w:val="en-AU"/>
        </w:rPr>
        <w:t xml:space="preserve"> implemented in a </w:t>
      </w:r>
      <w:r w:rsidR="006B04CC" w:rsidRPr="007C3B9D">
        <w:rPr>
          <w:rFonts w:cstheme="minorHAnsi"/>
          <w:color w:val="000000"/>
          <w:lang w:val="en-AU"/>
        </w:rPr>
        <w:t>flexible</w:t>
      </w:r>
      <w:r w:rsidR="00175014" w:rsidRPr="007C3B9D">
        <w:rPr>
          <w:rFonts w:cstheme="minorHAnsi"/>
          <w:color w:val="000000"/>
          <w:lang w:val="en-AU"/>
        </w:rPr>
        <w:t xml:space="preserve">, overlapping </w:t>
      </w:r>
      <w:r w:rsidR="002F5602" w:rsidRPr="007C3B9D">
        <w:rPr>
          <w:rFonts w:cstheme="minorHAnsi"/>
          <w:color w:val="000000"/>
          <w:lang w:val="en-AU"/>
        </w:rPr>
        <w:t xml:space="preserve">manner, in order </w:t>
      </w:r>
      <w:r w:rsidR="00175014" w:rsidRPr="007C3B9D">
        <w:rPr>
          <w:rFonts w:cstheme="minorHAnsi"/>
          <w:color w:val="000000"/>
          <w:lang w:val="en-AU"/>
        </w:rPr>
        <w:t>respect</w:t>
      </w:r>
      <w:r w:rsidR="002F5602" w:rsidRPr="007C3B9D">
        <w:rPr>
          <w:rFonts w:cstheme="minorHAnsi"/>
          <w:color w:val="000000"/>
          <w:lang w:val="en-AU"/>
        </w:rPr>
        <w:t xml:space="preserve"> the evaluation timelines</w:t>
      </w:r>
      <w:r w:rsidR="007B20A1" w:rsidRPr="007C3B9D">
        <w:rPr>
          <w:rFonts w:cstheme="minorHAnsi"/>
          <w:color w:val="000000"/>
          <w:lang w:val="en-AU"/>
        </w:rPr>
        <w:t>.</w:t>
      </w:r>
    </w:p>
    <w:p w14:paraId="0A92D419" w14:textId="4EF87FCB" w:rsidR="009C7F3C" w:rsidRPr="007C3B9D" w:rsidRDefault="00F66BAC" w:rsidP="00903D77">
      <w:pPr>
        <w:autoSpaceDE w:val="0"/>
        <w:autoSpaceDN w:val="0"/>
        <w:adjustRightInd w:val="0"/>
        <w:spacing w:after="120" w:line="276" w:lineRule="auto"/>
        <w:jc w:val="both"/>
        <w:rPr>
          <w:rFonts w:cstheme="minorHAnsi"/>
          <w:color w:val="000000"/>
          <w:lang w:val="en-AU"/>
        </w:rPr>
      </w:pPr>
      <w:r w:rsidRPr="007C3B9D">
        <w:rPr>
          <w:rFonts w:cstheme="minorHAnsi"/>
          <w:i/>
          <w:iCs/>
          <w:color w:val="0F4761" w:themeColor="accent1" w:themeShade="BF"/>
          <w:lang w:val="en-AU"/>
        </w:rPr>
        <w:t>Planning Phase</w:t>
      </w:r>
      <w:r w:rsidR="009C7F3C" w:rsidRPr="007C3B9D">
        <w:rPr>
          <w:rFonts w:cstheme="minorHAnsi"/>
          <w:color w:val="0F4761" w:themeColor="accent1" w:themeShade="BF"/>
          <w:lang w:val="en-AU"/>
        </w:rPr>
        <w:t>:</w:t>
      </w:r>
      <w:r w:rsidR="009C7F3C" w:rsidRPr="007C3B9D">
        <w:rPr>
          <w:rFonts w:cstheme="minorHAnsi"/>
          <w:color w:val="000000"/>
          <w:lang w:val="en-AU"/>
        </w:rPr>
        <w:t xml:space="preserve"> The </w:t>
      </w:r>
      <w:r w:rsidR="006B04CC" w:rsidRPr="007C3B9D">
        <w:rPr>
          <w:rFonts w:cstheme="minorHAnsi"/>
          <w:color w:val="000000"/>
          <w:lang w:val="en-AU"/>
        </w:rPr>
        <w:t xml:space="preserve">evaluation commenced on 13 August 2024, following which the </w:t>
      </w:r>
      <w:r w:rsidR="009C7F3C" w:rsidRPr="007C3B9D">
        <w:rPr>
          <w:rFonts w:cstheme="minorHAnsi"/>
          <w:color w:val="000000"/>
          <w:lang w:val="en-AU"/>
        </w:rPr>
        <w:t>evaluat</w:t>
      </w:r>
      <w:r w:rsidRPr="007C3B9D">
        <w:rPr>
          <w:rFonts w:cstheme="minorHAnsi"/>
          <w:color w:val="000000"/>
          <w:lang w:val="en-AU"/>
        </w:rPr>
        <w:t>ion team</w:t>
      </w:r>
      <w:r w:rsidR="009C7F3C" w:rsidRPr="007C3B9D">
        <w:rPr>
          <w:rFonts w:cstheme="minorHAnsi"/>
          <w:color w:val="000000"/>
          <w:lang w:val="en-AU"/>
        </w:rPr>
        <w:t xml:space="preserve"> conducted a review and analysis of documents (</w:t>
      </w:r>
      <w:r w:rsidR="009C7F3C" w:rsidRPr="007C3B9D">
        <w:rPr>
          <w:rFonts w:cstheme="minorHAnsi"/>
          <w:i/>
          <w:iCs/>
          <w:color w:val="000000"/>
          <w:lang w:val="en-AU"/>
        </w:rPr>
        <w:t xml:space="preserve">see Annex </w:t>
      </w:r>
      <w:r w:rsidR="00E8444D" w:rsidRPr="007C3B9D">
        <w:rPr>
          <w:rFonts w:cstheme="minorHAnsi"/>
          <w:i/>
          <w:iCs/>
          <w:color w:val="000000"/>
          <w:lang w:val="en-AU"/>
        </w:rPr>
        <w:t>4</w:t>
      </w:r>
      <w:r w:rsidR="009C7F3C" w:rsidRPr="007C3B9D">
        <w:rPr>
          <w:rFonts w:cstheme="minorHAnsi"/>
          <w:color w:val="000000"/>
          <w:lang w:val="en-AU"/>
        </w:rPr>
        <w:t xml:space="preserve">), conducted preliminary interviews with </w:t>
      </w:r>
      <w:r w:rsidRPr="007C3B9D">
        <w:rPr>
          <w:rFonts w:cstheme="minorHAnsi"/>
          <w:color w:val="000000"/>
          <w:lang w:val="en-AU"/>
        </w:rPr>
        <w:t>TAF</w:t>
      </w:r>
      <w:r w:rsidR="009C7F3C" w:rsidRPr="007C3B9D">
        <w:rPr>
          <w:rFonts w:cstheme="minorHAnsi"/>
          <w:color w:val="000000"/>
          <w:lang w:val="en-AU"/>
        </w:rPr>
        <w:t xml:space="preserve"> and </w:t>
      </w:r>
      <w:r w:rsidRPr="007C3B9D">
        <w:rPr>
          <w:rFonts w:cstheme="minorHAnsi"/>
          <w:color w:val="000000"/>
          <w:lang w:val="en-AU"/>
        </w:rPr>
        <w:t>DFAT</w:t>
      </w:r>
      <w:r w:rsidR="009C7F3C" w:rsidRPr="007C3B9D">
        <w:rPr>
          <w:rFonts w:cstheme="minorHAnsi"/>
          <w:color w:val="000000"/>
          <w:lang w:val="en-AU"/>
        </w:rPr>
        <w:t xml:space="preserve"> staff, </w:t>
      </w:r>
      <w:r w:rsidR="006B04CC" w:rsidRPr="007C3B9D">
        <w:rPr>
          <w:rFonts w:cstheme="minorHAnsi"/>
          <w:color w:val="000000"/>
          <w:lang w:val="en-AU"/>
        </w:rPr>
        <w:t xml:space="preserve">and </w:t>
      </w:r>
      <w:r w:rsidR="00175014" w:rsidRPr="007C3B9D">
        <w:rPr>
          <w:rFonts w:cstheme="minorHAnsi"/>
          <w:color w:val="000000"/>
          <w:lang w:val="en-AU"/>
        </w:rPr>
        <w:t>participated in</w:t>
      </w:r>
      <w:r w:rsidR="0060428D" w:rsidRPr="007C3B9D">
        <w:rPr>
          <w:rFonts w:cstheme="minorHAnsi"/>
          <w:color w:val="000000"/>
          <w:lang w:val="en-AU"/>
        </w:rPr>
        <w:t xml:space="preserve"> </w:t>
      </w:r>
      <w:r w:rsidR="006B04CC" w:rsidRPr="007C3B9D">
        <w:rPr>
          <w:rFonts w:cstheme="minorHAnsi"/>
          <w:color w:val="000000"/>
          <w:lang w:val="en-AU"/>
        </w:rPr>
        <w:t>the APSP Semi-Annual Review</w:t>
      </w:r>
      <w:r w:rsidR="009C7F3C" w:rsidRPr="007C3B9D">
        <w:rPr>
          <w:rFonts w:cstheme="minorHAnsi"/>
          <w:color w:val="000000"/>
          <w:lang w:val="en-AU"/>
        </w:rPr>
        <w:t xml:space="preserve">. In consultation with </w:t>
      </w:r>
      <w:r w:rsidR="00E966AB" w:rsidRPr="007C3B9D">
        <w:rPr>
          <w:rFonts w:cstheme="minorHAnsi"/>
          <w:color w:val="000000"/>
          <w:lang w:val="en-AU"/>
        </w:rPr>
        <w:t>TAF</w:t>
      </w:r>
      <w:r w:rsidR="009C7F3C" w:rsidRPr="007C3B9D">
        <w:rPr>
          <w:rFonts w:cstheme="minorHAnsi"/>
          <w:color w:val="000000"/>
          <w:lang w:val="en-AU"/>
        </w:rPr>
        <w:t xml:space="preserve">, a list of </w:t>
      </w:r>
      <w:r w:rsidR="00E966AB" w:rsidRPr="007C3B9D">
        <w:rPr>
          <w:rFonts w:cstheme="minorHAnsi"/>
          <w:color w:val="000000"/>
          <w:lang w:val="en-AU"/>
        </w:rPr>
        <w:t>key informants (KI)</w:t>
      </w:r>
      <w:r w:rsidR="009C7F3C" w:rsidRPr="007C3B9D">
        <w:rPr>
          <w:rFonts w:cstheme="minorHAnsi"/>
          <w:color w:val="000000"/>
          <w:lang w:val="en-AU"/>
        </w:rPr>
        <w:t xml:space="preserve"> to be interviewed</w:t>
      </w:r>
      <w:r w:rsidR="00175014" w:rsidRPr="007C3B9D">
        <w:rPr>
          <w:rFonts w:cstheme="minorHAnsi"/>
          <w:color w:val="000000"/>
          <w:lang w:val="en-AU"/>
        </w:rPr>
        <w:t xml:space="preserve"> was prepared</w:t>
      </w:r>
      <w:r w:rsidR="009C7F3C" w:rsidRPr="007C3B9D">
        <w:rPr>
          <w:rFonts w:cstheme="minorHAnsi"/>
          <w:color w:val="000000"/>
          <w:lang w:val="en-AU"/>
        </w:rPr>
        <w:t xml:space="preserve"> (</w:t>
      </w:r>
      <w:r w:rsidR="009C7F3C" w:rsidRPr="007C3B9D">
        <w:rPr>
          <w:rFonts w:cstheme="minorHAnsi"/>
          <w:i/>
          <w:iCs/>
          <w:color w:val="000000"/>
          <w:lang w:val="en-AU"/>
        </w:rPr>
        <w:t>see Annex</w:t>
      </w:r>
      <w:r w:rsidR="00E8444D" w:rsidRPr="007C3B9D">
        <w:rPr>
          <w:rFonts w:cstheme="minorHAnsi"/>
          <w:i/>
          <w:iCs/>
          <w:color w:val="000000"/>
          <w:lang w:val="en-AU"/>
        </w:rPr>
        <w:t xml:space="preserve"> 3</w:t>
      </w:r>
      <w:r w:rsidR="009C7F3C" w:rsidRPr="007C3B9D">
        <w:rPr>
          <w:rFonts w:cstheme="minorHAnsi"/>
          <w:color w:val="000000"/>
          <w:lang w:val="en-AU"/>
        </w:rPr>
        <w:t>).</w:t>
      </w:r>
    </w:p>
    <w:p w14:paraId="3DDF7463" w14:textId="43B55AB9" w:rsidR="009C7F3C" w:rsidRPr="007C3B9D" w:rsidRDefault="690FC37C" w:rsidP="00903D77">
      <w:pPr>
        <w:numPr>
          <w:ilvl w:val="0"/>
          <w:numId w:val="2"/>
        </w:numPr>
        <w:autoSpaceDE w:val="0"/>
        <w:autoSpaceDN w:val="0"/>
        <w:adjustRightInd w:val="0"/>
        <w:spacing w:after="120" w:line="276" w:lineRule="auto"/>
        <w:jc w:val="both"/>
        <w:rPr>
          <w:color w:val="000000"/>
          <w:lang w:val="en-AU"/>
        </w:rPr>
      </w:pPr>
      <w:r w:rsidRPr="007C3B9D">
        <w:rPr>
          <w:color w:val="000000" w:themeColor="text1"/>
          <w:lang w:val="en-AU"/>
        </w:rPr>
        <w:t xml:space="preserve">Furthermore, the </w:t>
      </w:r>
      <w:r w:rsidR="00321D59" w:rsidRPr="007C3B9D">
        <w:rPr>
          <w:color w:val="000000" w:themeColor="text1"/>
          <w:lang w:val="en-AU"/>
        </w:rPr>
        <w:t>evaluation team</w:t>
      </w:r>
      <w:r w:rsidRPr="007C3B9D">
        <w:rPr>
          <w:color w:val="000000" w:themeColor="text1"/>
          <w:lang w:val="en-AU"/>
        </w:rPr>
        <w:t xml:space="preserve"> developed the Evaluation Matrix, Risk and Mitigation Matrix, outlined the data collection approach and evaluation Work-Plan, and prepared </w:t>
      </w:r>
      <w:r w:rsidR="00175014" w:rsidRPr="007C3B9D">
        <w:rPr>
          <w:color w:val="000000" w:themeColor="text1"/>
          <w:lang w:val="en-AU"/>
        </w:rPr>
        <w:t>an</w:t>
      </w:r>
      <w:r w:rsidRPr="007C3B9D">
        <w:rPr>
          <w:color w:val="000000" w:themeColor="text1"/>
          <w:lang w:val="en-AU"/>
        </w:rPr>
        <w:t xml:space="preserve"> Inception Note.</w:t>
      </w:r>
    </w:p>
    <w:p w14:paraId="14429100" w14:textId="1D39D879" w:rsidR="009556DA" w:rsidRPr="007C3B9D" w:rsidRDefault="009556DA" w:rsidP="00903D77">
      <w:pPr>
        <w:autoSpaceDE w:val="0"/>
        <w:autoSpaceDN w:val="0"/>
        <w:adjustRightInd w:val="0"/>
        <w:spacing w:after="120" w:line="276" w:lineRule="auto"/>
        <w:jc w:val="both"/>
        <w:rPr>
          <w:rFonts w:cstheme="minorHAnsi"/>
          <w:color w:val="000000"/>
          <w:lang w:val="en-AU"/>
        </w:rPr>
      </w:pPr>
      <w:r w:rsidRPr="007C3B9D">
        <w:rPr>
          <w:rFonts w:cstheme="minorHAnsi"/>
          <w:i/>
          <w:iCs/>
          <w:color w:val="0F4761" w:themeColor="accent1" w:themeShade="BF"/>
          <w:lang w:val="en-AU"/>
        </w:rPr>
        <w:t>Data Collection</w:t>
      </w:r>
      <w:r w:rsidR="009C7F3C" w:rsidRPr="007C3B9D">
        <w:rPr>
          <w:rFonts w:cstheme="minorHAnsi"/>
          <w:i/>
          <w:iCs/>
          <w:color w:val="0F4761" w:themeColor="accent1" w:themeShade="BF"/>
          <w:lang w:val="en-AU"/>
        </w:rPr>
        <w:t xml:space="preserve"> Phase:</w:t>
      </w:r>
      <w:r w:rsidR="009C7F3C" w:rsidRPr="007C3B9D">
        <w:rPr>
          <w:rFonts w:cstheme="minorHAnsi"/>
          <w:color w:val="0F4761" w:themeColor="accent1" w:themeShade="BF"/>
          <w:lang w:val="en-AU"/>
        </w:rPr>
        <w:t xml:space="preserve"> </w:t>
      </w:r>
      <w:r w:rsidR="009C7F3C" w:rsidRPr="007C3B9D">
        <w:rPr>
          <w:rFonts w:cstheme="minorHAnsi"/>
          <w:color w:val="000000"/>
          <w:lang w:val="en-AU"/>
        </w:rPr>
        <w:t>The evaluat</w:t>
      </w:r>
      <w:r w:rsidRPr="007C3B9D">
        <w:rPr>
          <w:rFonts w:cstheme="minorHAnsi"/>
          <w:color w:val="000000"/>
          <w:lang w:val="en-AU"/>
        </w:rPr>
        <w:t>ion team</w:t>
      </w:r>
      <w:r w:rsidR="009C7F3C" w:rsidRPr="007C3B9D">
        <w:rPr>
          <w:rFonts w:cstheme="minorHAnsi"/>
          <w:color w:val="000000"/>
          <w:lang w:val="en-AU"/>
        </w:rPr>
        <w:t xml:space="preserve"> </w:t>
      </w:r>
      <w:r w:rsidR="00175014" w:rsidRPr="007C3B9D">
        <w:rPr>
          <w:rFonts w:cstheme="minorHAnsi"/>
          <w:color w:val="000000"/>
          <w:lang w:val="en-AU"/>
        </w:rPr>
        <w:t>sought</w:t>
      </w:r>
      <w:r w:rsidR="009C7F3C" w:rsidRPr="007C3B9D">
        <w:rPr>
          <w:rFonts w:cstheme="minorHAnsi"/>
          <w:color w:val="000000"/>
          <w:lang w:val="en-AU"/>
        </w:rPr>
        <w:t xml:space="preserve"> additional information in the field to complement the </w:t>
      </w:r>
      <w:r w:rsidRPr="007C3B9D">
        <w:rPr>
          <w:rFonts w:cstheme="minorHAnsi"/>
          <w:color w:val="000000"/>
          <w:lang w:val="en-AU"/>
        </w:rPr>
        <w:t>Planning</w:t>
      </w:r>
      <w:r w:rsidR="009C7F3C" w:rsidRPr="007C3B9D">
        <w:rPr>
          <w:rFonts w:cstheme="minorHAnsi"/>
          <w:color w:val="000000"/>
          <w:lang w:val="en-AU"/>
        </w:rPr>
        <w:t xml:space="preserve"> Phase data collection and analysis. This </w:t>
      </w:r>
      <w:r w:rsidR="00175014" w:rsidRPr="007C3B9D">
        <w:rPr>
          <w:rFonts w:cstheme="minorHAnsi"/>
          <w:color w:val="000000"/>
          <w:lang w:val="en-AU"/>
        </w:rPr>
        <w:t>comprised</w:t>
      </w:r>
      <w:r w:rsidR="009C7F3C" w:rsidRPr="007C3B9D">
        <w:rPr>
          <w:rFonts w:cstheme="minorHAnsi"/>
          <w:color w:val="000000"/>
          <w:lang w:val="en-AU"/>
        </w:rPr>
        <w:t xml:space="preserve"> in-country data collection and analysis, with 10 working days </w:t>
      </w:r>
      <w:r w:rsidR="0060428D" w:rsidRPr="007C3B9D">
        <w:rPr>
          <w:rFonts w:cstheme="minorHAnsi"/>
          <w:color w:val="000000"/>
          <w:lang w:val="en-AU"/>
        </w:rPr>
        <w:t xml:space="preserve">to </w:t>
      </w:r>
      <w:r w:rsidR="009C7F3C" w:rsidRPr="007C3B9D">
        <w:rPr>
          <w:rFonts w:cstheme="minorHAnsi"/>
          <w:color w:val="000000"/>
          <w:lang w:val="en-AU"/>
        </w:rPr>
        <w:t xml:space="preserve">spent in </w:t>
      </w:r>
      <w:r w:rsidRPr="007C3B9D">
        <w:rPr>
          <w:rFonts w:cstheme="minorHAnsi"/>
          <w:color w:val="000000"/>
          <w:lang w:val="en-AU"/>
        </w:rPr>
        <w:t>Bangkok and Jakarta</w:t>
      </w:r>
      <w:r w:rsidR="009C7F3C" w:rsidRPr="007C3B9D">
        <w:rPr>
          <w:rFonts w:cstheme="minorHAnsi"/>
          <w:color w:val="000000"/>
          <w:lang w:val="en-AU"/>
        </w:rPr>
        <w:t xml:space="preserve"> </w:t>
      </w:r>
      <w:r w:rsidR="00175014" w:rsidRPr="007C3B9D">
        <w:rPr>
          <w:rFonts w:cstheme="minorHAnsi"/>
          <w:color w:val="000000"/>
          <w:lang w:val="en-AU"/>
        </w:rPr>
        <w:t>from 16 to 27</w:t>
      </w:r>
      <w:r w:rsidR="009C7F3C" w:rsidRPr="007C3B9D">
        <w:rPr>
          <w:rFonts w:cstheme="minorHAnsi"/>
          <w:color w:val="000000"/>
          <w:lang w:val="en-AU"/>
        </w:rPr>
        <w:t xml:space="preserve"> </w:t>
      </w:r>
      <w:r w:rsidRPr="007C3B9D">
        <w:rPr>
          <w:rFonts w:cstheme="minorHAnsi"/>
          <w:color w:val="000000"/>
          <w:lang w:val="en-AU"/>
        </w:rPr>
        <w:t>September</w:t>
      </w:r>
      <w:r w:rsidR="009C7F3C" w:rsidRPr="007C3B9D">
        <w:rPr>
          <w:rFonts w:cstheme="minorHAnsi"/>
          <w:color w:val="000000"/>
          <w:lang w:val="en-AU"/>
        </w:rPr>
        <w:t xml:space="preserve"> 2024, to </w:t>
      </w:r>
      <w:r w:rsidR="00175014" w:rsidRPr="007C3B9D">
        <w:rPr>
          <w:rFonts w:cstheme="minorHAnsi"/>
          <w:color w:val="000000"/>
          <w:lang w:val="en-AU"/>
        </w:rPr>
        <w:t xml:space="preserve">observe a training activity, and </w:t>
      </w:r>
      <w:r w:rsidR="009C7F3C" w:rsidRPr="007C3B9D">
        <w:rPr>
          <w:rFonts w:cstheme="minorHAnsi"/>
          <w:color w:val="000000"/>
          <w:lang w:val="en-AU"/>
        </w:rPr>
        <w:t xml:space="preserve">capture additional data from </w:t>
      </w:r>
      <w:r w:rsidRPr="007C3B9D">
        <w:rPr>
          <w:rFonts w:cstheme="minorHAnsi"/>
          <w:color w:val="000000"/>
          <w:lang w:val="en-AU"/>
        </w:rPr>
        <w:t xml:space="preserve">key informants. </w:t>
      </w:r>
      <w:r w:rsidR="00175014" w:rsidRPr="007C3B9D">
        <w:rPr>
          <w:rFonts w:cstheme="minorHAnsi"/>
          <w:color w:val="000000"/>
          <w:lang w:val="en-AU"/>
        </w:rPr>
        <w:t>This</w:t>
      </w:r>
      <w:r w:rsidR="0060428D" w:rsidRPr="007C3B9D">
        <w:rPr>
          <w:rFonts w:cstheme="minorHAnsi"/>
          <w:color w:val="000000"/>
          <w:lang w:val="en-AU"/>
        </w:rPr>
        <w:t xml:space="preserve"> </w:t>
      </w:r>
      <w:r w:rsidR="00175014" w:rsidRPr="007C3B9D">
        <w:rPr>
          <w:rFonts w:cstheme="minorHAnsi"/>
          <w:color w:val="000000"/>
          <w:lang w:val="en-AU"/>
        </w:rPr>
        <w:t>was</w:t>
      </w:r>
      <w:r w:rsidR="0060428D" w:rsidRPr="007C3B9D">
        <w:rPr>
          <w:rFonts w:cstheme="minorHAnsi"/>
          <w:color w:val="000000"/>
          <w:lang w:val="en-AU"/>
        </w:rPr>
        <w:t xml:space="preserve"> complemented by remote interviews both before and after the field visit to the region.</w:t>
      </w:r>
    </w:p>
    <w:p w14:paraId="26873753" w14:textId="7A01E7A7" w:rsidR="009C7F3C" w:rsidRPr="007C3B9D" w:rsidRDefault="009C7F3C" w:rsidP="00903D77">
      <w:pPr>
        <w:autoSpaceDE w:val="0"/>
        <w:autoSpaceDN w:val="0"/>
        <w:adjustRightInd w:val="0"/>
        <w:spacing w:after="120" w:line="276" w:lineRule="auto"/>
        <w:jc w:val="both"/>
        <w:rPr>
          <w:rFonts w:cstheme="minorHAnsi"/>
          <w:color w:val="000000"/>
          <w:lang w:val="en-AU"/>
        </w:rPr>
      </w:pPr>
      <w:r w:rsidRPr="007C3B9D">
        <w:rPr>
          <w:rFonts w:cstheme="minorHAnsi"/>
          <w:i/>
          <w:iCs/>
          <w:color w:val="0F4761" w:themeColor="accent1" w:themeShade="BF"/>
          <w:lang w:val="en-AU"/>
        </w:rPr>
        <w:t>Synthesis Phase</w:t>
      </w:r>
      <w:r w:rsidRPr="007C3B9D">
        <w:rPr>
          <w:rFonts w:cstheme="minorHAnsi"/>
          <w:color w:val="0F4761" w:themeColor="accent1" w:themeShade="BF"/>
          <w:lang w:val="en-AU"/>
        </w:rPr>
        <w:t xml:space="preserve">: </w:t>
      </w:r>
      <w:r w:rsidRPr="007C3B9D">
        <w:rPr>
          <w:rFonts w:cstheme="minorHAnsi"/>
          <w:color w:val="000000"/>
          <w:lang w:val="en-AU"/>
        </w:rPr>
        <w:t xml:space="preserve">A draft Evaluation Report </w:t>
      </w:r>
      <w:r w:rsidR="00175014" w:rsidRPr="007C3B9D">
        <w:rPr>
          <w:rFonts w:cstheme="minorHAnsi"/>
          <w:color w:val="000000"/>
          <w:lang w:val="en-AU"/>
        </w:rPr>
        <w:t>was</w:t>
      </w:r>
      <w:r w:rsidRPr="007C3B9D">
        <w:rPr>
          <w:rFonts w:cstheme="minorHAnsi"/>
          <w:color w:val="000000"/>
          <w:lang w:val="en-AU"/>
        </w:rPr>
        <w:t xml:space="preserve"> prepared and shared with relevant </w:t>
      </w:r>
      <w:r w:rsidR="0060428D" w:rsidRPr="007C3B9D">
        <w:rPr>
          <w:rFonts w:cstheme="minorHAnsi"/>
          <w:color w:val="000000"/>
          <w:lang w:val="en-AU"/>
        </w:rPr>
        <w:t>DFAT and TAF</w:t>
      </w:r>
      <w:r w:rsidRPr="007C3B9D">
        <w:rPr>
          <w:rFonts w:cstheme="minorHAnsi"/>
          <w:color w:val="000000"/>
          <w:lang w:val="en-AU"/>
        </w:rPr>
        <w:t xml:space="preserve"> staff for review and feedback. It include</w:t>
      </w:r>
      <w:r w:rsidR="00175014" w:rsidRPr="007C3B9D">
        <w:rPr>
          <w:rFonts w:cstheme="minorHAnsi"/>
          <w:color w:val="000000"/>
          <w:lang w:val="en-AU"/>
        </w:rPr>
        <w:t>s</w:t>
      </w:r>
      <w:r w:rsidRPr="007C3B9D">
        <w:rPr>
          <w:rFonts w:cstheme="minorHAnsi"/>
          <w:color w:val="000000"/>
          <w:lang w:val="en-AU"/>
        </w:rPr>
        <w:t xml:space="preserve"> final answers to the Evaluation Questions and related findings, conclusions, </w:t>
      </w:r>
      <w:r w:rsidR="00175014" w:rsidRPr="007C3B9D">
        <w:rPr>
          <w:rFonts w:cstheme="minorHAnsi"/>
          <w:color w:val="000000"/>
          <w:lang w:val="en-AU"/>
        </w:rPr>
        <w:t xml:space="preserve">and </w:t>
      </w:r>
      <w:r w:rsidRPr="007C3B9D">
        <w:rPr>
          <w:rFonts w:cstheme="minorHAnsi"/>
          <w:color w:val="000000"/>
          <w:lang w:val="en-AU"/>
        </w:rPr>
        <w:t xml:space="preserve">recommendations. Subsequently, the final Evaluation Report, including an executive summary and all relevant annexes, </w:t>
      </w:r>
      <w:r w:rsidR="00493922" w:rsidRPr="007C3B9D">
        <w:rPr>
          <w:rFonts w:cstheme="minorHAnsi"/>
          <w:color w:val="000000"/>
          <w:lang w:val="en-AU"/>
        </w:rPr>
        <w:t>were</w:t>
      </w:r>
      <w:r w:rsidRPr="007C3B9D">
        <w:rPr>
          <w:rFonts w:cstheme="minorHAnsi"/>
          <w:color w:val="000000"/>
          <w:lang w:val="en-AU"/>
        </w:rPr>
        <w:t xml:space="preserve"> prepared and submitted to </w:t>
      </w:r>
      <w:r w:rsidR="0060428D" w:rsidRPr="007C3B9D">
        <w:rPr>
          <w:rFonts w:cstheme="minorHAnsi"/>
          <w:color w:val="000000"/>
          <w:lang w:val="en-AU"/>
        </w:rPr>
        <w:t>DFAT and TAF</w:t>
      </w:r>
      <w:r w:rsidR="00493922" w:rsidRPr="007C3B9D">
        <w:rPr>
          <w:rFonts w:cstheme="minorHAnsi"/>
          <w:color w:val="000000"/>
          <w:lang w:val="en-AU"/>
        </w:rPr>
        <w:t xml:space="preserve"> on</w:t>
      </w:r>
      <w:r w:rsidR="0046730E" w:rsidRPr="007C3B9D">
        <w:rPr>
          <w:rFonts w:cstheme="minorHAnsi"/>
          <w:color w:val="000000"/>
          <w:lang w:val="en-AU"/>
        </w:rPr>
        <w:t xml:space="preserve"> 5 February 2025</w:t>
      </w:r>
      <w:r w:rsidR="00493922" w:rsidRPr="007C3B9D">
        <w:rPr>
          <w:rFonts w:cstheme="minorHAnsi"/>
          <w:color w:val="000000"/>
          <w:lang w:val="en-AU"/>
        </w:rPr>
        <w:t>.</w:t>
      </w:r>
    </w:p>
    <w:p w14:paraId="2EC37539" w14:textId="48142E53" w:rsidR="00C933C4" w:rsidRPr="007C3B9D" w:rsidRDefault="00563F8B" w:rsidP="00903D77">
      <w:pPr>
        <w:autoSpaceDE w:val="0"/>
        <w:autoSpaceDN w:val="0"/>
        <w:adjustRightInd w:val="0"/>
        <w:spacing w:after="120" w:line="276" w:lineRule="auto"/>
        <w:jc w:val="both"/>
        <w:rPr>
          <w:rFonts w:cstheme="minorHAnsi"/>
          <w:color w:val="000000"/>
          <w:lang w:val="en-AU"/>
        </w:rPr>
      </w:pPr>
      <w:r w:rsidRPr="007C3B9D">
        <w:rPr>
          <w:rFonts w:cstheme="minorHAnsi"/>
          <w:i/>
          <w:iCs/>
          <w:color w:val="0F4761" w:themeColor="accent1" w:themeShade="BF"/>
          <w:lang w:val="en-AU"/>
        </w:rPr>
        <w:t>Dissemination and Design Phase:</w:t>
      </w:r>
      <w:r w:rsidRPr="007C3B9D">
        <w:rPr>
          <w:rFonts w:cstheme="minorHAnsi"/>
          <w:color w:val="0F4761" w:themeColor="accent1" w:themeShade="BF"/>
          <w:lang w:val="en-AU"/>
        </w:rPr>
        <w:t xml:space="preserve"> </w:t>
      </w:r>
      <w:r w:rsidRPr="007C3B9D">
        <w:rPr>
          <w:rFonts w:cstheme="minorHAnsi"/>
          <w:color w:val="000000"/>
          <w:lang w:val="en-AU"/>
        </w:rPr>
        <w:t xml:space="preserve">Given the evaluation’s key objective of contributing to </w:t>
      </w:r>
      <w:r w:rsidR="006A0D4A" w:rsidRPr="007C3B9D">
        <w:rPr>
          <w:rFonts w:cstheme="minorHAnsi"/>
          <w:color w:val="000000"/>
          <w:lang w:val="en-AU"/>
        </w:rPr>
        <w:t xml:space="preserve">strategic planning </w:t>
      </w:r>
      <w:proofErr w:type="gramStart"/>
      <w:r w:rsidR="006A0D4A" w:rsidRPr="007C3B9D">
        <w:rPr>
          <w:rFonts w:cstheme="minorHAnsi"/>
          <w:color w:val="000000"/>
          <w:lang w:val="en-AU"/>
        </w:rPr>
        <w:t>in the area of</w:t>
      </w:r>
      <w:proofErr w:type="gramEnd"/>
      <w:r w:rsidR="006A0D4A" w:rsidRPr="007C3B9D">
        <w:rPr>
          <w:rFonts w:cstheme="minorHAnsi"/>
          <w:color w:val="000000"/>
          <w:lang w:val="en-AU"/>
        </w:rPr>
        <w:t xml:space="preserve"> political security in the region</w:t>
      </w:r>
      <w:r w:rsidRPr="007C3B9D">
        <w:rPr>
          <w:rFonts w:cstheme="minorHAnsi"/>
          <w:color w:val="000000"/>
          <w:lang w:val="en-AU"/>
        </w:rPr>
        <w:t xml:space="preserve">, the evaluation team may contribute </w:t>
      </w:r>
      <w:r w:rsidR="006A0D4A" w:rsidRPr="007C3B9D">
        <w:rPr>
          <w:rFonts w:cstheme="minorHAnsi"/>
          <w:color w:val="000000"/>
          <w:lang w:val="en-AU"/>
        </w:rPr>
        <w:t xml:space="preserve">not only </w:t>
      </w:r>
      <w:r w:rsidR="001145A8" w:rsidRPr="007C3B9D">
        <w:rPr>
          <w:rFonts w:cstheme="minorHAnsi"/>
          <w:color w:val="000000"/>
          <w:lang w:val="en-AU"/>
        </w:rPr>
        <w:t xml:space="preserve">to </w:t>
      </w:r>
      <w:r w:rsidR="006A0D4A" w:rsidRPr="007C3B9D">
        <w:rPr>
          <w:rFonts w:cstheme="minorHAnsi"/>
          <w:color w:val="000000"/>
          <w:lang w:val="en-AU"/>
        </w:rPr>
        <w:t xml:space="preserve">dissemination of the </w:t>
      </w:r>
      <w:r w:rsidR="00AD086F" w:rsidRPr="007C3B9D">
        <w:rPr>
          <w:rFonts w:cstheme="minorHAnsi"/>
          <w:color w:val="000000"/>
          <w:lang w:val="en-AU"/>
        </w:rPr>
        <w:t xml:space="preserve">results of the evaluation, for example through an online </w:t>
      </w:r>
      <w:r w:rsidR="00CB3AA1" w:rsidRPr="007C3B9D">
        <w:rPr>
          <w:rFonts w:cstheme="minorHAnsi"/>
          <w:color w:val="000000"/>
          <w:lang w:val="en-AU"/>
        </w:rPr>
        <w:t>presentation</w:t>
      </w:r>
      <w:r w:rsidR="00AD086F" w:rsidRPr="007C3B9D">
        <w:rPr>
          <w:rFonts w:cstheme="minorHAnsi"/>
          <w:color w:val="000000"/>
          <w:lang w:val="en-AU"/>
        </w:rPr>
        <w:t>, but also to the design of a possible successor program to the APSP</w:t>
      </w:r>
      <w:r w:rsidR="001145A8" w:rsidRPr="007C3B9D">
        <w:rPr>
          <w:rFonts w:cstheme="minorHAnsi"/>
          <w:color w:val="000000"/>
          <w:lang w:val="en-AU"/>
        </w:rPr>
        <w:t>. T</w:t>
      </w:r>
      <w:r w:rsidR="00AD086F" w:rsidRPr="007C3B9D">
        <w:rPr>
          <w:rFonts w:cstheme="minorHAnsi"/>
          <w:color w:val="000000"/>
          <w:lang w:val="en-AU"/>
        </w:rPr>
        <w:t xml:space="preserve">he exact modalities </w:t>
      </w:r>
      <w:r w:rsidR="00CB3AA1" w:rsidRPr="007C3B9D">
        <w:rPr>
          <w:rFonts w:cstheme="minorHAnsi"/>
          <w:color w:val="000000"/>
          <w:lang w:val="en-AU"/>
        </w:rPr>
        <w:t xml:space="preserve">of </w:t>
      </w:r>
      <w:r w:rsidR="001145A8" w:rsidRPr="007C3B9D">
        <w:rPr>
          <w:rFonts w:cstheme="minorHAnsi"/>
          <w:color w:val="000000"/>
          <w:lang w:val="en-AU"/>
        </w:rPr>
        <w:t>this phase</w:t>
      </w:r>
      <w:r w:rsidR="00AD086F" w:rsidRPr="007C3B9D">
        <w:rPr>
          <w:rFonts w:cstheme="minorHAnsi"/>
          <w:color w:val="000000"/>
          <w:lang w:val="en-AU"/>
        </w:rPr>
        <w:t xml:space="preserve"> </w:t>
      </w:r>
      <w:r w:rsidR="00175014" w:rsidRPr="007C3B9D">
        <w:rPr>
          <w:rFonts w:cstheme="minorHAnsi"/>
          <w:color w:val="000000"/>
          <w:lang w:val="en-AU"/>
        </w:rPr>
        <w:t>will</w:t>
      </w:r>
      <w:r w:rsidR="00CB3AA1" w:rsidRPr="007C3B9D">
        <w:rPr>
          <w:rFonts w:cstheme="minorHAnsi"/>
          <w:color w:val="000000"/>
          <w:lang w:val="en-AU"/>
        </w:rPr>
        <w:t xml:space="preserve"> be</w:t>
      </w:r>
      <w:r w:rsidR="00AD086F" w:rsidRPr="007C3B9D">
        <w:rPr>
          <w:rFonts w:cstheme="minorHAnsi"/>
          <w:color w:val="000000"/>
          <w:lang w:val="en-AU"/>
        </w:rPr>
        <w:t xml:space="preserve"> </w:t>
      </w:r>
      <w:r w:rsidR="00CB3AA1" w:rsidRPr="007C3B9D">
        <w:rPr>
          <w:rFonts w:cstheme="minorHAnsi"/>
          <w:color w:val="000000"/>
          <w:lang w:val="en-AU"/>
        </w:rPr>
        <w:t>clarified after completion and acceptance of the Final Report.</w:t>
      </w:r>
    </w:p>
    <w:p w14:paraId="4271AFAF" w14:textId="14CC8696" w:rsidR="00C933C4" w:rsidRDefault="00C933C4" w:rsidP="00446279">
      <w:pPr>
        <w:pStyle w:val="Heading2"/>
      </w:pPr>
      <w:bookmarkStart w:id="10" w:name="_Toc206492260"/>
      <w:r w:rsidRPr="007C3B9D">
        <w:lastRenderedPageBreak/>
        <w:t>Evaluation Questions</w:t>
      </w:r>
      <w:bookmarkEnd w:id="10"/>
    </w:p>
    <w:p w14:paraId="4D19B62B" w14:textId="1429B2E1" w:rsidR="00944183" w:rsidRPr="007C3B9D" w:rsidRDefault="00C933C4" w:rsidP="00903D77">
      <w:pPr>
        <w:pStyle w:val="Default"/>
        <w:spacing w:after="120" w:line="276" w:lineRule="auto"/>
        <w:jc w:val="both"/>
        <w:rPr>
          <w:rFonts w:asciiTheme="minorHAnsi" w:hAnsiTheme="minorHAnsi" w:cstheme="minorHAnsi"/>
          <w:sz w:val="22"/>
          <w:szCs w:val="22"/>
          <w:lang w:val="en-AU"/>
        </w:rPr>
      </w:pPr>
      <w:r w:rsidRPr="007C3B9D">
        <w:rPr>
          <w:rFonts w:asciiTheme="minorHAnsi" w:hAnsiTheme="minorHAnsi" w:cstheme="minorHAnsi"/>
          <w:sz w:val="22"/>
          <w:szCs w:val="22"/>
          <w:lang w:val="en-AU"/>
        </w:rPr>
        <w:t xml:space="preserve">The evaluation </w:t>
      </w:r>
      <w:r w:rsidR="00175014" w:rsidRPr="007C3B9D">
        <w:rPr>
          <w:rFonts w:asciiTheme="minorHAnsi" w:hAnsiTheme="minorHAnsi" w:cstheme="minorHAnsi"/>
          <w:sz w:val="22"/>
          <w:szCs w:val="22"/>
          <w:lang w:val="en-AU"/>
        </w:rPr>
        <w:t>was</w:t>
      </w:r>
      <w:r w:rsidRPr="007C3B9D">
        <w:rPr>
          <w:rFonts w:asciiTheme="minorHAnsi" w:hAnsiTheme="minorHAnsi" w:cstheme="minorHAnsi"/>
          <w:sz w:val="22"/>
          <w:szCs w:val="22"/>
          <w:lang w:val="en-AU"/>
        </w:rPr>
        <w:t xml:space="preserve"> undertaken in line with DFAT evaluation quality standards</w:t>
      </w:r>
      <w:r w:rsidR="00B67CE6" w:rsidRPr="007C3B9D">
        <w:rPr>
          <w:rStyle w:val="FootnoteReference"/>
          <w:rFonts w:asciiTheme="minorHAnsi" w:hAnsiTheme="minorHAnsi" w:cstheme="minorHAnsi"/>
          <w:sz w:val="22"/>
          <w:szCs w:val="22"/>
          <w:lang w:val="en-AU"/>
        </w:rPr>
        <w:footnoteReference w:id="3"/>
      </w:r>
      <w:r w:rsidRPr="007C3B9D">
        <w:rPr>
          <w:rFonts w:asciiTheme="minorHAnsi" w:hAnsiTheme="minorHAnsi" w:cstheme="minorHAnsi"/>
          <w:sz w:val="22"/>
          <w:szCs w:val="22"/>
          <w:lang w:val="en-AU"/>
        </w:rPr>
        <w:t xml:space="preserve">, </w:t>
      </w:r>
      <w:r w:rsidR="00B67CE6" w:rsidRPr="007C3B9D">
        <w:rPr>
          <w:rFonts w:asciiTheme="minorHAnsi" w:hAnsiTheme="minorHAnsi" w:cstheme="minorHAnsi"/>
          <w:sz w:val="22"/>
          <w:szCs w:val="22"/>
          <w:lang w:val="en-AU"/>
        </w:rPr>
        <w:t>and centred on the</w:t>
      </w:r>
      <w:r w:rsidRPr="007C3B9D">
        <w:rPr>
          <w:rFonts w:asciiTheme="minorHAnsi" w:hAnsiTheme="minorHAnsi" w:cstheme="minorHAnsi"/>
          <w:sz w:val="22"/>
          <w:szCs w:val="22"/>
          <w:lang w:val="en-AU"/>
        </w:rPr>
        <w:t xml:space="preserve"> evaluation criteria outlined above. </w:t>
      </w:r>
      <w:r w:rsidR="00944183" w:rsidRPr="007C3B9D">
        <w:rPr>
          <w:rFonts w:asciiTheme="minorHAnsi" w:hAnsiTheme="minorHAnsi" w:cstheme="minorHAnsi"/>
          <w:sz w:val="22"/>
          <w:szCs w:val="22"/>
          <w:lang w:val="en-AU"/>
        </w:rPr>
        <w:t xml:space="preserve">Based on the evaluation Terms of </w:t>
      </w:r>
      <w:r w:rsidR="00767FAA" w:rsidRPr="007C3B9D">
        <w:rPr>
          <w:rFonts w:asciiTheme="minorHAnsi" w:hAnsiTheme="minorHAnsi" w:cstheme="minorHAnsi"/>
          <w:sz w:val="22"/>
          <w:szCs w:val="22"/>
          <w:lang w:val="en-AU"/>
        </w:rPr>
        <w:t>Reference and</w:t>
      </w:r>
      <w:r w:rsidR="00944183" w:rsidRPr="007C3B9D">
        <w:rPr>
          <w:rFonts w:asciiTheme="minorHAnsi" w:hAnsiTheme="minorHAnsi" w:cstheme="minorHAnsi"/>
          <w:sz w:val="22"/>
          <w:szCs w:val="22"/>
          <w:lang w:val="en-AU"/>
        </w:rPr>
        <w:t xml:space="preserve"> informed by the results of the analysis of the </w:t>
      </w:r>
      <w:r w:rsidR="00F5596D" w:rsidRPr="007C3B9D">
        <w:rPr>
          <w:rFonts w:asciiTheme="minorHAnsi" w:hAnsiTheme="minorHAnsi" w:cstheme="minorHAnsi"/>
          <w:sz w:val="22"/>
          <w:szCs w:val="22"/>
          <w:lang w:val="en-AU"/>
        </w:rPr>
        <w:t>program</w:t>
      </w:r>
      <w:r w:rsidR="00944183" w:rsidRPr="007C3B9D">
        <w:rPr>
          <w:rFonts w:asciiTheme="minorHAnsi" w:hAnsiTheme="minorHAnsi" w:cstheme="minorHAnsi"/>
          <w:sz w:val="22"/>
          <w:szCs w:val="22"/>
          <w:lang w:val="en-AU"/>
        </w:rPr>
        <w:t xml:space="preserve">’s </w:t>
      </w:r>
      <w:proofErr w:type="spellStart"/>
      <w:r w:rsidR="00944183" w:rsidRPr="007C3B9D">
        <w:rPr>
          <w:rFonts w:asciiTheme="minorHAnsi" w:hAnsiTheme="minorHAnsi" w:cstheme="minorHAnsi"/>
          <w:sz w:val="22"/>
          <w:szCs w:val="22"/>
          <w:lang w:val="en-AU"/>
        </w:rPr>
        <w:t>ToC</w:t>
      </w:r>
      <w:proofErr w:type="spellEnd"/>
      <w:r w:rsidR="00944183" w:rsidRPr="007C3B9D">
        <w:rPr>
          <w:rFonts w:asciiTheme="minorHAnsi" w:hAnsiTheme="minorHAnsi" w:cstheme="minorHAnsi"/>
          <w:sz w:val="22"/>
          <w:szCs w:val="22"/>
          <w:lang w:val="en-AU"/>
        </w:rPr>
        <w:t xml:space="preserve">, </w:t>
      </w:r>
      <w:r w:rsidR="00175014" w:rsidRPr="007C3B9D">
        <w:rPr>
          <w:rFonts w:asciiTheme="minorHAnsi" w:hAnsiTheme="minorHAnsi" w:cstheme="minorHAnsi"/>
          <w:sz w:val="22"/>
          <w:szCs w:val="22"/>
          <w:lang w:val="en-AU"/>
        </w:rPr>
        <w:t>a set of Evaluation Questions and associated Judgement Criteria were developed</w:t>
      </w:r>
      <w:r w:rsidR="007C37E1" w:rsidRPr="007C3B9D">
        <w:rPr>
          <w:rFonts w:asciiTheme="minorHAnsi" w:hAnsiTheme="minorHAnsi" w:cstheme="minorHAnsi"/>
          <w:sz w:val="22"/>
          <w:szCs w:val="22"/>
          <w:lang w:val="en-AU"/>
        </w:rPr>
        <w:t xml:space="preserve">. </w:t>
      </w:r>
      <w:r w:rsidR="00175014" w:rsidRPr="007C3B9D">
        <w:rPr>
          <w:rFonts w:asciiTheme="minorHAnsi" w:hAnsiTheme="minorHAnsi" w:cstheme="minorHAnsi"/>
          <w:sz w:val="22"/>
          <w:szCs w:val="22"/>
          <w:lang w:val="en-AU"/>
        </w:rPr>
        <w:t>The E</w:t>
      </w:r>
      <w:r w:rsidR="007C37E1" w:rsidRPr="007C3B9D">
        <w:rPr>
          <w:rFonts w:asciiTheme="minorHAnsi" w:hAnsiTheme="minorHAnsi" w:cstheme="minorHAnsi"/>
          <w:sz w:val="22"/>
          <w:szCs w:val="22"/>
          <w:lang w:val="en-AU"/>
        </w:rPr>
        <w:t xml:space="preserve">valuation </w:t>
      </w:r>
      <w:r w:rsidR="00175014" w:rsidRPr="007C3B9D">
        <w:rPr>
          <w:rFonts w:asciiTheme="minorHAnsi" w:hAnsiTheme="minorHAnsi" w:cstheme="minorHAnsi"/>
          <w:sz w:val="22"/>
          <w:szCs w:val="22"/>
          <w:lang w:val="en-AU"/>
        </w:rPr>
        <w:t>M</w:t>
      </w:r>
      <w:r w:rsidR="007C37E1" w:rsidRPr="007C3B9D">
        <w:rPr>
          <w:rFonts w:asciiTheme="minorHAnsi" w:hAnsiTheme="minorHAnsi" w:cstheme="minorHAnsi"/>
          <w:sz w:val="22"/>
          <w:szCs w:val="22"/>
          <w:lang w:val="en-AU"/>
        </w:rPr>
        <w:t>atrix</w:t>
      </w:r>
      <w:r w:rsidR="00175014" w:rsidRPr="007C3B9D">
        <w:rPr>
          <w:rFonts w:asciiTheme="minorHAnsi" w:hAnsiTheme="minorHAnsi" w:cstheme="minorHAnsi"/>
          <w:sz w:val="22"/>
          <w:szCs w:val="22"/>
          <w:lang w:val="en-AU"/>
        </w:rPr>
        <w:t xml:space="preserve"> </w:t>
      </w:r>
      <w:r w:rsidR="007C37E1" w:rsidRPr="007C3B9D">
        <w:rPr>
          <w:rFonts w:asciiTheme="minorHAnsi" w:hAnsiTheme="minorHAnsi" w:cstheme="minorHAnsi"/>
          <w:sz w:val="22"/>
          <w:szCs w:val="22"/>
          <w:lang w:val="en-AU"/>
        </w:rPr>
        <w:t>add</w:t>
      </w:r>
      <w:r w:rsidR="00175014" w:rsidRPr="007C3B9D">
        <w:rPr>
          <w:rFonts w:asciiTheme="minorHAnsi" w:hAnsiTheme="minorHAnsi" w:cstheme="minorHAnsi"/>
          <w:sz w:val="22"/>
          <w:szCs w:val="22"/>
          <w:lang w:val="en-AU"/>
        </w:rPr>
        <w:t>ed</w:t>
      </w:r>
      <w:r w:rsidR="007C37E1" w:rsidRPr="007C3B9D">
        <w:rPr>
          <w:rFonts w:asciiTheme="minorHAnsi" w:hAnsiTheme="minorHAnsi" w:cstheme="minorHAnsi"/>
          <w:sz w:val="22"/>
          <w:szCs w:val="22"/>
          <w:lang w:val="en-AU"/>
        </w:rPr>
        <w:t xml:space="preserve"> indicators and sources of information</w:t>
      </w:r>
      <w:r w:rsidR="00E0519C" w:rsidRPr="007C3B9D">
        <w:rPr>
          <w:rFonts w:asciiTheme="minorHAnsi" w:hAnsiTheme="minorHAnsi" w:cstheme="minorHAnsi"/>
          <w:sz w:val="22"/>
          <w:szCs w:val="22"/>
          <w:lang w:val="en-AU"/>
        </w:rPr>
        <w:t xml:space="preserve"> </w:t>
      </w:r>
      <w:r w:rsidR="007C37E1" w:rsidRPr="007C3B9D">
        <w:rPr>
          <w:rFonts w:asciiTheme="minorHAnsi" w:hAnsiTheme="minorHAnsi" w:cstheme="minorHAnsi"/>
          <w:sz w:val="22"/>
          <w:szCs w:val="22"/>
          <w:lang w:val="en-AU"/>
        </w:rPr>
        <w:t xml:space="preserve">that </w:t>
      </w:r>
      <w:r w:rsidR="00175014" w:rsidRPr="007C3B9D">
        <w:rPr>
          <w:rFonts w:asciiTheme="minorHAnsi" w:hAnsiTheme="minorHAnsi" w:cstheme="minorHAnsi"/>
          <w:sz w:val="22"/>
          <w:szCs w:val="22"/>
          <w:lang w:val="en-AU"/>
        </w:rPr>
        <w:t xml:space="preserve">were to </w:t>
      </w:r>
      <w:r w:rsidR="007C37E1" w:rsidRPr="007C3B9D">
        <w:rPr>
          <w:rFonts w:asciiTheme="minorHAnsi" w:hAnsiTheme="minorHAnsi" w:cstheme="minorHAnsi"/>
          <w:sz w:val="22"/>
          <w:szCs w:val="22"/>
          <w:lang w:val="en-AU"/>
        </w:rPr>
        <w:t>define the thematic scope of the evaluation</w:t>
      </w:r>
      <w:r w:rsidR="00175014" w:rsidRPr="007C3B9D">
        <w:rPr>
          <w:rFonts w:asciiTheme="minorHAnsi" w:hAnsiTheme="minorHAnsi" w:cstheme="minorHAnsi"/>
          <w:sz w:val="22"/>
          <w:szCs w:val="22"/>
          <w:lang w:val="en-AU"/>
        </w:rPr>
        <w:t>. The accepted Evaluation Questions were as follows:</w:t>
      </w:r>
    </w:p>
    <w:p w14:paraId="1451FA86" w14:textId="761DDCB9" w:rsidR="00944183" w:rsidRPr="007C3B9D" w:rsidRDefault="00944183" w:rsidP="00903D77">
      <w:pPr>
        <w:pStyle w:val="ListParagraph"/>
        <w:numPr>
          <w:ilvl w:val="0"/>
          <w:numId w:val="20"/>
        </w:numPr>
        <w:spacing w:after="0" w:line="276" w:lineRule="auto"/>
        <w:contextualSpacing w:val="0"/>
        <w:jc w:val="both"/>
        <w:rPr>
          <w:rFonts w:cstheme="minorHAnsi"/>
          <w:color w:val="0F4761" w:themeColor="accent1" w:themeShade="BF"/>
          <w:lang w:val="en-AU"/>
        </w:rPr>
      </w:pPr>
      <w:r w:rsidRPr="007C3B9D">
        <w:rPr>
          <w:rFonts w:cstheme="minorHAnsi"/>
          <w:i/>
          <w:iCs/>
          <w:color w:val="0F4761" w:themeColor="accent1" w:themeShade="BF"/>
          <w:lang w:val="en-AU"/>
        </w:rPr>
        <w:t>Relevance</w:t>
      </w:r>
      <w:r w:rsidR="00175014" w:rsidRPr="007C3B9D">
        <w:rPr>
          <w:rFonts w:cstheme="minorHAnsi"/>
          <w:color w:val="0F4761" w:themeColor="accent1" w:themeShade="BF"/>
          <w:lang w:val="en-AU"/>
        </w:rPr>
        <w:t xml:space="preserve">: </w:t>
      </w:r>
      <w:r w:rsidRPr="007C3B9D">
        <w:rPr>
          <w:rFonts w:cstheme="minorHAnsi"/>
          <w:lang w:val="en-AU"/>
        </w:rPr>
        <w:t xml:space="preserve">EQ1 – How well do the </w:t>
      </w:r>
      <w:r w:rsidR="00D1795B" w:rsidRPr="007C3B9D">
        <w:rPr>
          <w:rFonts w:cstheme="minorHAnsi"/>
          <w:lang w:val="en-AU"/>
        </w:rPr>
        <w:t>program</w:t>
      </w:r>
      <w:r w:rsidRPr="007C3B9D">
        <w:rPr>
          <w:rFonts w:cstheme="minorHAnsi"/>
          <w:lang w:val="en-AU"/>
        </w:rPr>
        <w:t xml:space="preserve"> objectives, activities and approaches address the regional, political and security challenges and priorities within the ASEAN context?</w:t>
      </w:r>
      <w:r w:rsidR="00175014" w:rsidRPr="007C3B9D">
        <w:rPr>
          <w:rFonts w:cstheme="minorHAnsi"/>
          <w:color w:val="156082" w:themeColor="accent1"/>
          <w:lang w:val="en-AU"/>
        </w:rPr>
        <w:t xml:space="preserve"> </w:t>
      </w:r>
      <w:r w:rsidRPr="007C3B9D">
        <w:rPr>
          <w:rFonts w:cstheme="minorHAnsi"/>
          <w:lang w:val="en-AU"/>
        </w:rPr>
        <w:t xml:space="preserve">EQ2 – Has the </w:t>
      </w:r>
      <w:r w:rsidR="00D1795B" w:rsidRPr="007C3B9D">
        <w:rPr>
          <w:rFonts w:cstheme="minorHAnsi"/>
          <w:lang w:val="en-AU"/>
        </w:rPr>
        <w:t>program</w:t>
      </w:r>
      <w:r w:rsidRPr="007C3B9D">
        <w:rPr>
          <w:rFonts w:cstheme="minorHAnsi"/>
          <w:lang w:val="en-AU"/>
        </w:rPr>
        <w:t xml:space="preserve"> provided opportunities for engagement and knowledge exchange between ASEAN and Australian agencies and organisations working on political-security issues?</w:t>
      </w:r>
    </w:p>
    <w:p w14:paraId="3F11EB07" w14:textId="0C1C6FBB" w:rsidR="00944183" w:rsidRPr="007C3B9D" w:rsidRDefault="00944183" w:rsidP="00903D77">
      <w:pPr>
        <w:pStyle w:val="ListParagraph"/>
        <w:numPr>
          <w:ilvl w:val="0"/>
          <w:numId w:val="20"/>
        </w:numPr>
        <w:spacing w:after="0" w:line="276" w:lineRule="auto"/>
        <w:contextualSpacing w:val="0"/>
        <w:jc w:val="both"/>
        <w:rPr>
          <w:rFonts w:cstheme="minorHAnsi"/>
          <w:color w:val="0F4761" w:themeColor="accent1" w:themeShade="BF"/>
          <w:lang w:val="en-AU"/>
        </w:rPr>
      </w:pPr>
      <w:r w:rsidRPr="007C3B9D">
        <w:rPr>
          <w:rFonts w:cstheme="minorHAnsi"/>
          <w:i/>
          <w:iCs/>
          <w:color w:val="0F4761" w:themeColor="accent1" w:themeShade="BF"/>
          <w:lang w:val="en-AU"/>
        </w:rPr>
        <w:t>Efficiency</w:t>
      </w:r>
      <w:r w:rsidR="00175014" w:rsidRPr="007C3B9D">
        <w:rPr>
          <w:rFonts w:cstheme="minorHAnsi"/>
          <w:color w:val="0F4761" w:themeColor="accent1" w:themeShade="BF"/>
          <w:lang w:val="en-AU"/>
        </w:rPr>
        <w:t xml:space="preserve">: </w:t>
      </w:r>
      <w:r w:rsidRPr="007C3B9D">
        <w:rPr>
          <w:rFonts w:cstheme="minorHAnsi"/>
          <w:lang w:val="en-AU"/>
        </w:rPr>
        <w:t>EQ</w:t>
      </w:r>
      <w:r w:rsidR="00977168" w:rsidRPr="007C3B9D">
        <w:rPr>
          <w:rFonts w:cstheme="minorHAnsi"/>
          <w:lang w:val="en-AU"/>
        </w:rPr>
        <w:t>2</w:t>
      </w:r>
      <w:r w:rsidRPr="007C3B9D">
        <w:rPr>
          <w:rFonts w:cstheme="minorHAnsi"/>
          <w:lang w:val="en-AU"/>
        </w:rPr>
        <w:t xml:space="preserve"> – How well and efficient were the resources allocated to support ASEAN and Australia priorities and cross-sectoral and multi-sectoral approaches in </w:t>
      </w:r>
      <w:r w:rsidR="00D1795B" w:rsidRPr="007C3B9D">
        <w:rPr>
          <w:rFonts w:cstheme="minorHAnsi"/>
          <w:lang w:val="en-AU"/>
        </w:rPr>
        <w:t>program</w:t>
      </w:r>
      <w:r w:rsidRPr="007C3B9D">
        <w:rPr>
          <w:rFonts w:cstheme="minorHAnsi"/>
          <w:lang w:val="en-AU"/>
        </w:rPr>
        <w:t xml:space="preserve"> implementation?</w:t>
      </w:r>
    </w:p>
    <w:p w14:paraId="120C5DBC" w14:textId="57D190BA" w:rsidR="00944183" w:rsidRPr="007C3B9D" w:rsidRDefault="00944183" w:rsidP="00903D77">
      <w:pPr>
        <w:pStyle w:val="ListParagraph"/>
        <w:numPr>
          <w:ilvl w:val="0"/>
          <w:numId w:val="20"/>
        </w:numPr>
        <w:spacing w:after="0" w:line="276" w:lineRule="auto"/>
        <w:contextualSpacing w:val="0"/>
        <w:jc w:val="both"/>
        <w:rPr>
          <w:rFonts w:cstheme="minorHAnsi"/>
          <w:color w:val="0F4761" w:themeColor="accent1" w:themeShade="BF"/>
          <w:lang w:val="en-AU"/>
        </w:rPr>
      </w:pPr>
      <w:r w:rsidRPr="007C3B9D">
        <w:rPr>
          <w:rFonts w:cstheme="minorHAnsi"/>
          <w:i/>
          <w:iCs/>
          <w:color w:val="0F4761" w:themeColor="accent1" w:themeShade="BF"/>
          <w:lang w:val="en-AU"/>
        </w:rPr>
        <w:t>Effectiveness</w:t>
      </w:r>
      <w:r w:rsidR="00175014" w:rsidRPr="007C3B9D">
        <w:rPr>
          <w:rFonts w:cstheme="minorHAnsi"/>
          <w:color w:val="0F4761" w:themeColor="accent1" w:themeShade="BF"/>
          <w:lang w:val="en-AU"/>
        </w:rPr>
        <w:t xml:space="preserve">: </w:t>
      </w:r>
      <w:r w:rsidRPr="007C3B9D">
        <w:rPr>
          <w:rFonts w:cstheme="minorHAnsi"/>
          <w:lang w:val="en-AU"/>
        </w:rPr>
        <w:t>EQ</w:t>
      </w:r>
      <w:r w:rsidR="00977168" w:rsidRPr="007C3B9D">
        <w:rPr>
          <w:rFonts w:cstheme="minorHAnsi"/>
          <w:lang w:val="en-AU"/>
        </w:rPr>
        <w:t>3</w:t>
      </w:r>
      <w:r w:rsidRPr="007C3B9D">
        <w:rPr>
          <w:rFonts w:cstheme="minorHAnsi"/>
          <w:lang w:val="en-AU"/>
        </w:rPr>
        <w:t xml:space="preserve"> – To what extent were the </w:t>
      </w:r>
      <w:r w:rsidR="00D1795B" w:rsidRPr="007C3B9D">
        <w:rPr>
          <w:rFonts w:cstheme="minorHAnsi"/>
          <w:lang w:val="en-AU"/>
        </w:rPr>
        <w:t>program</w:t>
      </w:r>
      <w:r w:rsidRPr="007C3B9D">
        <w:rPr>
          <w:rFonts w:cstheme="minorHAnsi"/>
          <w:lang w:val="en-AU"/>
        </w:rPr>
        <w:t>’s activities and initiatives effective in enhancing dialogue mechanisms and information-sharing among stakeholders?</w:t>
      </w:r>
    </w:p>
    <w:p w14:paraId="7DD95E25" w14:textId="1A48BDC7" w:rsidR="00944183" w:rsidRPr="007C3B9D" w:rsidRDefault="00944183" w:rsidP="00903D77">
      <w:pPr>
        <w:pStyle w:val="ListParagraph"/>
        <w:numPr>
          <w:ilvl w:val="0"/>
          <w:numId w:val="20"/>
        </w:numPr>
        <w:spacing w:after="0" w:line="276" w:lineRule="auto"/>
        <w:contextualSpacing w:val="0"/>
        <w:jc w:val="both"/>
        <w:rPr>
          <w:rFonts w:cstheme="minorHAnsi"/>
          <w:color w:val="0F4761" w:themeColor="accent1" w:themeShade="BF"/>
          <w:lang w:val="en-AU"/>
        </w:rPr>
      </w:pPr>
      <w:r w:rsidRPr="007C3B9D">
        <w:rPr>
          <w:rFonts w:cstheme="minorHAnsi"/>
          <w:i/>
          <w:iCs/>
          <w:color w:val="0F4761" w:themeColor="accent1" w:themeShade="BF"/>
          <w:lang w:val="en-AU"/>
        </w:rPr>
        <w:t>Sustainability</w:t>
      </w:r>
      <w:r w:rsidR="00175014" w:rsidRPr="007C3B9D">
        <w:rPr>
          <w:rFonts w:cstheme="minorHAnsi"/>
          <w:color w:val="0F4761" w:themeColor="accent1" w:themeShade="BF"/>
          <w:lang w:val="en-AU"/>
        </w:rPr>
        <w:t xml:space="preserve">: </w:t>
      </w:r>
      <w:r w:rsidRPr="007C3B9D">
        <w:rPr>
          <w:rFonts w:cstheme="minorHAnsi"/>
          <w:lang w:val="en-AU"/>
        </w:rPr>
        <w:t>EQ</w:t>
      </w:r>
      <w:r w:rsidR="00977168" w:rsidRPr="007C3B9D">
        <w:rPr>
          <w:rFonts w:cstheme="minorHAnsi"/>
          <w:lang w:val="en-AU"/>
        </w:rPr>
        <w:t>4</w:t>
      </w:r>
      <w:r w:rsidRPr="007C3B9D">
        <w:rPr>
          <w:rFonts w:cstheme="minorHAnsi"/>
          <w:lang w:val="en-AU"/>
        </w:rPr>
        <w:t xml:space="preserve"> – To what extent has the </w:t>
      </w:r>
      <w:proofErr w:type="gramStart"/>
      <w:r w:rsidR="00CF2A88" w:rsidRPr="007C3B9D">
        <w:rPr>
          <w:rFonts w:cstheme="minorHAnsi"/>
          <w:lang w:val="en-AU"/>
        </w:rPr>
        <w:t>program built</w:t>
      </w:r>
      <w:proofErr w:type="gramEnd"/>
      <w:r w:rsidRPr="007C3B9D">
        <w:rPr>
          <w:rFonts w:cstheme="minorHAnsi"/>
          <w:lang w:val="en-AU"/>
        </w:rPr>
        <w:t xml:space="preserve"> ASEAN institutional capacity, fostered enduring partnerships and collaborations between ASEAN and Australia?</w:t>
      </w:r>
    </w:p>
    <w:p w14:paraId="08AACA4E" w14:textId="6A0C420F" w:rsidR="00944183" w:rsidRPr="007C3B9D" w:rsidRDefault="00944183" w:rsidP="00903D77">
      <w:pPr>
        <w:pStyle w:val="ListParagraph"/>
        <w:numPr>
          <w:ilvl w:val="0"/>
          <w:numId w:val="20"/>
        </w:numPr>
        <w:spacing w:after="0" w:line="276" w:lineRule="auto"/>
        <w:contextualSpacing w:val="0"/>
        <w:jc w:val="both"/>
        <w:rPr>
          <w:rFonts w:cstheme="minorHAnsi"/>
          <w:color w:val="0F4761" w:themeColor="accent1" w:themeShade="BF"/>
          <w:lang w:val="en-AU"/>
        </w:rPr>
      </w:pPr>
      <w:r w:rsidRPr="007C3B9D">
        <w:rPr>
          <w:rFonts w:cstheme="minorHAnsi"/>
          <w:i/>
          <w:iCs/>
          <w:color w:val="0F4761" w:themeColor="accent1" w:themeShade="BF"/>
          <w:lang w:val="en-AU"/>
        </w:rPr>
        <w:t>Impact</w:t>
      </w:r>
      <w:r w:rsidR="00175014" w:rsidRPr="007C3B9D">
        <w:rPr>
          <w:rFonts w:cstheme="minorHAnsi"/>
          <w:color w:val="0F4761" w:themeColor="accent1" w:themeShade="BF"/>
          <w:lang w:val="en-AU"/>
        </w:rPr>
        <w:t xml:space="preserve">: </w:t>
      </w:r>
      <w:r w:rsidRPr="007C3B9D">
        <w:rPr>
          <w:rFonts w:cstheme="minorHAnsi"/>
          <w:lang w:val="en-AU"/>
        </w:rPr>
        <w:t>EQ</w:t>
      </w:r>
      <w:r w:rsidR="00977168" w:rsidRPr="007C3B9D">
        <w:rPr>
          <w:rFonts w:cstheme="minorHAnsi"/>
          <w:lang w:val="en-AU"/>
        </w:rPr>
        <w:t>5</w:t>
      </w:r>
      <w:r w:rsidRPr="007C3B9D">
        <w:rPr>
          <w:rFonts w:cstheme="minorHAnsi"/>
          <w:lang w:val="en-AU"/>
        </w:rPr>
        <w:t xml:space="preserve"> – What is the overall contribution of the </w:t>
      </w:r>
      <w:r w:rsidR="00D1795B" w:rsidRPr="007C3B9D">
        <w:rPr>
          <w:rFonts w:cstheme="minorHAnsi"/>
          <w:lang w:val="en-AU"/>
        </w:rPr>
        <w:t>program</w:t>
      </w:r>
      <w:r w:rsidRPr="007C3B9D">
        <w:rPr>
          <w:rFonts w:cstheme="minorHAnsi"/>
          <w:lang w:val="en-AU"/>
        </w:rPr>
        <w:t xml:space="preserve"> on regional political stability and security, as well as in promoting trust and collaboration in ASEAN?</w:t>
      </w:r>
    </w:p>
    <w:p w14:paraId="2BFF8D15" w14:textId="3F69A41A" w:rsidR="00A4712F" w:rsidRPr="007C3B9D" w:rsidRDefault="00944183" w:rsidP="00903D77">
      <w:pPr>
        <w:pStyle w:val="ListParagraph"/>
        <w:numPr>
          <w:ilvl w:val="0"/>
          <w:numId w:val="20"/>
        </w:numPr>
        <w:spacing w:after="120" w:line="276" w:lineRule="auto"/>
        <w:contextualSpacing w:val="0"/>
        <w:jc w:val="both"/>
        <w:rPr>
          <w:rFonts w:cstheme="minorHAnsi"/>
          <w:color w:val="0F4761" w:themeColor="accent1" w:themeShade="BF"/>
          <w:lang w:val="en-AU"/>
        </w:rPr>
      </w:pPr>
      <w:r w:rsidRPr="007C3B9D">
        <w:rPr>
          <w:rFonts w:cstheme="minorHAnsi"/>
          <w:i/>
          <w:iCs/>
          <w:color w:val="0F4761" w:themeColor="accent1" w:themeShade="BF"/>
          <w:lang w:val="en-AU"/>
        </w:rPr>
        <w:t>GEDSI</w:t>
      </w:r>
      <w:r w:rsidR="00175014" w:rsidRPr="007C3B9D">
        <w:rPr>
          <w:rFonts w:cstheme="minorHAnsi"/>
          <w:color w:val="0F4761" w:themeColor="accent1" w:themeShade="BF"/>
          <w:lang w:val="en-AU"/>
        </w:rPr>
        <w:t xml:space="preserve">: </w:t>
      </w:r>
      <w:r w:rsidRPr="007C3B9D">
        <w:rPr>
          <w:rFonts w:cstheme="minorHAnsi"/>
          <w:lang w:val="en-AU"/>
        </w:rPr>
        <w:t>EQ</w:t>
      </w:r>
      <w:r w:rsidR="00977168" w:rsidRPr="007C3B9D">
        <w:rPr>
          <w:rFonts w:cstheme="minorHAnsi"/>
          <w:lang w:val="en-AU"/>
        </w:rPr>
        <w:t>6</w:t>
      </w:r>
      <w:r w:rsidRPr="007C3B9D">
        <w:rPr>
          <w:rFonts w:cstheme="minorHAnsi"/>
          <w:lang w:val="en-AU"/>
        </w:rPr>
        <w:t xml:space="preserve"> – To what extent has the </w:t>
      </w:r>
      <w:r w:rsidR="00D1795B" w:rsidRPr="007C3B9D">
        <w:rPr>
          <w:rFonts w:cstheme="minorHAnsi"/>
          <w:lang w:val="en-AU"/>
        </w:rPr>
        <w:t>program</w:t>
      </w:r>
      <w:r w:rsidRPr="007C3B9D">
        <w:rPr>
          <w:rFonts w:cstheme="minorHAnsi"/>
          <w:lang w:val="en-AU"/>
        </w:rPr>
        <w:t xml:space="preserve"> mainstreamed gender equality, disability and social inclusion in its activities, outcomes and impacts?</w:t>
      </w:r>
    </w:p>
    <w:p w14:paraId="532D6AE1" w14:textId="1F25F959" w:rsidR="00CF2A88" w:rsidRDefault="00E1676C" w:rsidP="00446279">
      <w:pPr>
        <w:pStyle w:val="Heading2"/>
      </w:pPr>
      <w:bookmarkStart w:id="11" w:name="_Toc206492261"/>
      <w:r w:rsidRPr="007C3B9D">
        <w:t>Data Collection</w:t>
      </w:r>
      <w:r w:rsidR="00E2301E" w:rsidRPr="007C3B9D">
        <w:t xml:space="preserve">, Verification </w:t>
      </w:r>
      <w:r w:rsidR="00236B24" w:rsidRPr="007C3B9D">
        <w:t xml:space="preserve">and </w:t>
      </w:r>
      <w:r w:rsidR="00D54875" w:rsidRPr="007C3B9D">
        <w:t>A</w:t>
      </w:r>
      <w:r w:rsidR="00236B24" w:rsidRPr="007C3B9D">
        <w:t>nalysis</w:t>
      </w:r>
      <w:bookmarkEnd w:id="11"/>
      <w:r w:rsidR="00236B24" w:rsidRPr="007C3B9D">
        <w:t xml:space="preserve"> </w:t>
      </w:r>
    </w:p>
    <w:p w14:paraId="6890DFAD" w14:textId="0A932285" w:rsidR="00463ABA" w:rsidRPr="007C3B9D" w:rsidRDefault="00175014" w:rsidP="00903D77">
      <w:pPr>
        <w:spacing w:after="120" w:line="276" w:lineRule="auto"/>
        <w:jc w:val="both"/>
        <w:rPr>
          <w:b/>
          <w:bCs/>
          <w:color w:val="0F4761" w:themeColor="accent1" w:themeShade="BF"/>
          <w:lang w:val="en-AU"/>
        </w:rPr>
      </w:pPr>
      <w:r w:rsidRPr="007C3B9D">
        <w:rPr>
          <w:rFonts w:cstheme="minorHAnsi"/>
          <w:color w:val="000000"/>
          <w:lang w:val="en-AU"/>
        </w:rPr>
        <w:t>T</w:t>
      </w:r>
      <w:r w:rsidR="00463ABA" w:rsidRPr="007C3B9D">
        <w:rPr>
          <w:rFonts w:cstheme="minorHAnsi"/>
          <w:color w:val="000000"/>
          <w:lang w:val="en-AU"/>
        </w:rPr>
        <w:t>he evaluation employ</w:t>
      </w:r>
      <w:r w:rsidRPr="007C3B9D">
        <w:rPr>
          <w:rFonts w:cstheme="minorHAnsi"/>
          <w:color w:val="000000"/>
          <w:lang w:val="en-AU"/>
        </w:rPr>
        <w:t>ed</w:t>
      </w:r>
      <w:r w:rsidR="00463ABA" w:rsidRPr="007C3B9D">
        <w:rPr>
          <w:rFonts w:cstheme="minorHAnsi"/>
          <w:color w:val="000000"/>
          <w:lang w:val="en-AU"/>
        </w:rPr>
        <w:t xml:space="preserve"> </w:t>
      </w:r>
      <w:r w:rsidR="00463ABA" w:rsidRPr="007C3B9D">
        <w:rPr>
          <w:rFonts w:cstheme="minorHAnsi"/>
          <w:lang w:val="en-AU"/>
        </w:rPr>
        <w:t xml:space="preserve">a mixed-methods approach to gather data from various sources. Quantitative data </w:t>
      </w:r>
      <w:r w:rsidRPr="007C3B9D">
        <w:rPr>
          <w:rFonts w:cstheme="minorHAnsi"/>
          <w:lang w:val="en-AU"/>
        </w:rPr>
        <w:t>was</w:t>
      </w:r>
      <w:r w:rsidR="00463ABA" w:rsidRPr="007C3B9D">
        <w:rPr>
          <w:rFonts w:cstheme="minorHAnsi"/>
          <w:lang w:val="en-AU"/>
        </w:rPr>
        <w:t xml:space="preserve"> collected through a survey, and available data to measure program outcomes and assess the evaluation indicators. Qualitative data </w:t>
      </w:r>
      <w:r w:rsidRPr="007C3B9D">
        <w:rPr>
          <w:rFonts w:cstheme="minorHAnsi"/>
          <w:lang w:val="en-AU"/>
        </w:rPr>
        <w:t>was</w:t>
      </w:r>
      <w:r w:rsidR="00463ABA" w:rsidRPr="007C3B9D">
        <w:rPr>
          <w:rFonts w:cstheme="minorHAnsi"/>
          <w:lang w:val="en-AU"/>
        </w:rPr>
        <w:t xml:space="preserve"> collected through stakeholder consultations and </w:t>
      </w:r>
      <w:r w:rsidRPr="007C3B9D">
        <w:rPr>
          <w:rFonts w:cstheme="minorHAnsi"/>
          <w:lang w:val="en-AU"/>
        </w:rPr>
        <w:t xml:space="preserve">two </w:t>
      </w:r>
      <w:r w:rsidR="00463ABA" w:rsidRPr="007C3B9D">
        <w:rPr>
          <w:rFonts w:cstheme="minorHAnsi"/>
          <w:lang w:val="en-AU"/>
        </w:rPr>
        <w:t>case studies. These approaches therefore comprise</w:t>
      </w:r>
      <w:r w:rsidRPr="007C3B9D">
        <w:rPr>
          <w:rFonts w:cstheme="minorHAnsi"/>
          <w:lang w:val="en-AU"/>
        </w:rPr>
        <w:t>d</w:t>
      </w:r>
      <w:r w:rsidR="00463ABA" w:rsidRPr="007C3B9D">
        <w:rPr>
          <w:rFonts w:cstheme="minorHAnsi"/>
          <w:lang w:val="en-AU"/>
        </w:rPr>
        <w:t>:</w:t>
      </w:r>
    </w:p>
    <w:p w14:paraId="1B14681E" w14:textId="77777777" w:rsidR="00175014" w:rsidRDefault="001D18A7" w:rsidP="00903D77">
      <w:pPr>
        <w:pStyle w:val="ListParagraph"/>
        <w:numPr>
          <w:ilvl w:val="0"/>
          <w:numId w:val="21"/>
        </w:numPr>
        <w:autoSpaceDE w:val="0"/>
        <w:autoSpaceDN w:val="0"/>
        <w:adjustRightInd w:val="0"/>
        <w:spacing w:after="120" w:line="276" w:lineRule="auto"/>
        <w:contextualSpacing w:val="0"/>
        <w:jc w:val="both"/>
        <w:rPr>
          <w:rFonts w:cstheme="minorHAnsi"/>
          <w:lang w:val="en-AU"/>
        </w:rPr>
      </w:pPr>
      <w:r w:rsidRPr="007C3B9D">
        <w:rPr>
          <w:rFonts w:cstheme="minorHAnsi"/>
          <w:i/>
          <w:iCs/>
          <w:color w:val="0F4761" w:themeColor="accent1" w:themeShade="BF"/>
          <w:lang w:val="en-AU"/>
        </w:rPr>
        <w:t>Desk Review:</w:t>
      </w:r>
      <w:r w:rsidRPr="007C3B9D">
        <w:rPr>
          <w:rFonts w:cstheme="minorHAnsi"/>
          <w:color w:val="0F4761" w:themeColor="accent1" w:themeShade="BF"/>
          <w:lang w:val="en-AU"/>
        </w:rPr>
        <w:t xml:space="preserve"> </w:t>
      </w:r>
      <w:r w:rsidRPr="007C3B9D">
        <w:rPr>
          <w:rFonts w:cstheme="minorHAnsi"/>
          <w:lang w:val="en-AU"/>
        </w:rPr>
        <w:t xml:space="preserve">A comprehensive desk review </w:t>
      </w:r>
      <w:r w:rsidR="00175014" w:rsidRPr="007C3B9D">
        <w:rPr>
          <w:rFonts w:cstheme="minorHAnsi"/>
          <w:lang w:val="en-AU"/>
        </w:rPr>
        <w:t>was</w:t>
      </w:r>
      <w:r w:rsidRPr="007C3B9D">
        <w:rPr>
          <w:rFonts w:cstheme="minorHAnsi"/>
          <w:lang w:val="en-AU"/>
        </w:rPr>
        <w:t xml:space="preserve"> conducted to gather and analyse relevant program documents and other </w:t>
      </w:r>
      <w:r w:rsidR="00175014" w:rsidRPr="007C3B9D">
        <w:rPr>
          <w:rFonts w:cstheme="minorHAnsi"/>
          <w:lang w:val="en-AU"/>
        </w:rPr>
        <w:t>relevant</w:t>
      </w:r>
      <w:r w:rsidRPr="007C3B9D">
        <w:rPr>
          <w:rFonts w:cstheme="minorHAnsi"/>
          <w:lang w:val="en-AU"/>
        </w:rPr>
        <w:t xml:space="preserve"> literature</w:t>
      </w:r>
      <w:r w:rsidR="00175014" w:rsidRPr="007C3B9D">
        <w:rPr>
          <w:rFonts w:cstheme="minorHAnsi"/>
          <w:lang w:val="en-AU"/>
        </w:rPr>
        <w:t xml:space="preserve"> (</w:t>
      </w:r>
      <w:r w:rsidR="00175014" w:rsidRPr="007C3B9D">
        <w:rPr>
          <w:rFonts w:cstheme="minorHAnsi"/>
          <w:i/>
          <w:iCs/>
          <w:lang w:val="en-AU"/>
        </w:rPr>
        <w:t>see Annex 4</w:t>
      </w:r>
      <w:r w:rsidR="00175014" w:rsidRPr="007C3B9D">
        <w:rPr>
          <w:rFonts w:cstheme="minorHAnsi"/>
          <w:lang w:val="en-AU"/>
        </w:rPr>
        <w:t>)</w:t>
      </w:r>
      <w:r w:rsidRPr="007C3B9D">
        <w:rPr>
          <w:rFonts w:cstheme="minorHAnsi"/>
          <w:lang w:val="en-AU"/>
        </w:rPr>
        <w:t>.</w:t>
      </w:r>
    </w:p>
    <w:p w14:paraId="20796777" w14:textId="60932AE5" w:rsidR="002A7648" w:rsidRPr="002A7648" w:rsidRDefault="00463ABA" w:rsidP="002A7648">
      <w:pPr>
        <w:pStyle w:val="ListParagraph"/>
        <w:numPr>
          <w:ilvl w:val="0"/>
          <w:numId w:val="21"/>
        </w:numPr>
        <w:autoSpaceDE w:val="0"/>
        <w:autoSpaceDN w:val="0"/>
        <w:adjustRightInd w:val="0"/>
        <w:spacing w:after="120" w:line="276" w:lineRule="auto"/>
        <w:contextualSpacing w:val="0"/>
        <w:jc w:val="both"/>
        <w:rPr>
          <w:rFonts w:cstheme="minorHAnsi"/>
          <w:color w:val="000000"/>
          <w:lang w:val="en-AU"/>
        </w:rPr>
      </w:pPr>
      <w:r w:rsidRPr="007C3B9D">
        <w:rPr>
          <w:rFonts w:cstheme="minorHAnsi"/>
          <w:i/>
          <w:iCs/>
          <w:color w:val="0F4761" w:themeColor="accent1" w:themeShade="BF"/>
          <w:lang w:val="en-AU"/>
        </w:rPr>
        <w:t>S</w:t>
      </w:r>
      <w:r w:rsidR="00E610CC" w:rsidRPr="007C3B9D">
        <w:rPr>
          <w:rFonts w:cstheme="minorHAnsi"/>
          <w:i/>
          <w:iCs/>
          <w:color w:val="0F4761" w:themeColor="accent1" w:themeShade="BF"/>
          <w:lang w:val="en-AU"/>
        </w:rPr>
        <w:t>takeholder consultations</w:t>
      </w:r>
      <w:r w:rsidRPr="007C3B9D">
        <w:rPr>
          <w:rFonts w:cstheme="minorHAnsi"/>
          <w:i/>
          <w:iCs/>
          <w:color w:val="0F4761" w:themeColor="accent1" w:themeShade="BF"/>
          <w:lang w:val="en-AU"/>
        </w:rPr>
        <w:t>:</w:t>
      </w:r>
      <w:r w:rsidR="00E610CC" w:rsidRPr="007C3B9D">
        <w:rPr>
          <w:rFonts w:cstheme="minorHAnsi"/>
          <w:lang w:val="en-AU"/>
        </w:rPr>
        <w:t xml:space="preserve"> </w:t>
      </w:r>
      <w:r w:rsidR="00533C16" w:rsidRPr="007C3B9D">
        <w:rPr>
          <w:rFonts w:cstheme="minorHAnsi"/>
          <w:color w:val="000000"/>
          <w:lang w:val="en-AU"/>
        </w:rPr>
        <w:t>Stakeholder consultation</w:t>
      </w:r>
      <w:r w:rsidRPr="007C3B9D">
        <w:rPr>
          <w:rFonts w:cstheme="minorHAnsi"/>
          <w:color w:val="000000"/>
          <w:lang w:val="en-AU"/>
        </w:rPr>
        <w:t xml:space="preserve"> adopt</w:t>
      </w:r>
      <w:r w:rsidR="00175014" w:rsidRPr="007C3B9D">
        <w:rPr>
          <w:rFonts w:cstheme="minorHAnsi"/>
          <w:color w:val="000000"/>
          <w:lang w:val="en-AU"/>
        </w:rPr>
        <w:t>ed</w:t>
      </w:r>
      <w:r w:rsidRPr="007C3B9D">
        <w:rPr>
          <w:rFonts w:cstheme="minorHAnsi"/>
          <w:color w:val="000000"/>
          <w:lang w:val="en-AU"/>
        </w:rPr>
        <w:t xml:space="preserve"> a blended approach, with </w:t>
      </w:r>
      <w:r w:rsidR="000D4B72" w:rsidRPr="007C3B9D">
        <w:rPr>
          <w:rFonts w:cstheme="minorHAnsi"/>
          <w:color w:val="000000"/>
          <w:lang w:val="en-AU"/>
        </w:rPr>
        <w:t>k</w:t>
      </w:r>
      <w:r w:rsidRPr="007C3B9D">
        <w:rPr>
          <w:rFonts w:cstheme="minorHAnsi"/>
          <w:color w:val="000000"/>
          <w:lang w:val="en-AU"/>
        </w:rPr>
        <w:t xml:space="preserve">ey </w:t>
      </w:r>
      <w:r w:rsidR="000D4B72" w:rsidRPr="007C3B9D">
        <w:rPr>
          <w:rFonts w:cstheme="minorHAnsi"/>
          <w:color w:val="000000"/>
          <w:lang w:val="en-AU"/>
        </w:rPr>
        <w:t>i</w:t>
      </w:r>
      <w:r w:rsidRPr="007C3B9D">
        <w:rPr>
          <w:rFonts w:cstheme="minorHAnsi"/>
          <w:color w:val="000000"/>
          <w:lang w:val="en-AU"/>
        </w:rPr>
        <w:t>nformants interviewed both remotel</w:t>
      </w:r>
      <w:r w:rsidR="000D4B72" w:rsidRPr="007C3B9D">
        <w:rPr>
          <w:rFonts w:cstheme="minorHAnsi"/>
          <w:color w:val="000000"/>
          <w:lang w:val="en-AU"/>
        </w:rPr>
        <w:t>y</w:t>
      </w:r>
      <w:r w:rsidRPr="007C3B9D">
        <w:rPr>
          <w:rFonts w:cstheme="minorHAnsi"/>
          <w:color w:val="000000"/>
          <w:lang w:val="en-AU"/>
        </w:rPr>
        <w:t xml:space="preserve"> and </w:t>
      </w:r>
      <w:r w:rsidR="000D4B72" w:rsidRPr="007C3B9D">
        <w:rPr>
          <w:rFonts w:cstheme="minorHAnsi"/>
          <w:color w:val="000000"/>
          <w:lang w:val="en-AU"/>
        </w:rPr>
        <w:t xml:space="preserve">during the field trip. </w:t>
      </w:r>
      <w:r w:rsidR="00175014" w:rsidRPr="007C3B9D">
        <w:rPr>
          <w:rFonts w:cstheme="minorHAnsi"/>
          <w:lang w:val="en-AU"/>
        </w:rPr>
        <w:t>I</w:t>
      </w:r>
      <w:r w:rsidR="000D4B72" w:rsidRPr="007C3B9D">
        <w:rPr>
          <w:rFonts w:cstheme="minorHAnsi"/>
          <w:lang w:val="en-AU"/>
        </w:rPr>
        <w:t>nformants includ</w:t>
      </w:r>
      <w:r w:rsidR="00175014" w:rsidRPr="007C3B9D">
        <w:rPr>
          <w:rFonts w:cstheme="minorHAnsi"/>
          <w:lang w:val="en-AU"/>
        </w:rPr>
        <w:t>ed</w:t>
      </w:r>
      <w:r w:rsidR="00E610CC" w:rsidRPr="007C3B9D">
        <w:rPr>
          <w:rFonts w:cstheme="minorHAnsi"/>
          <w:lang w:val="en-AU"/>
        </w:rPr>
        <w:t xml:space="preserve"> DFAT</w:t>
      </w:r>
      <w:r w:rsidR="000D4B72" w:rsidRPr="007C3B9D">
        <w:rPr>
          <w:rFonts w:cstheme="minorHAnsi"/>
          <w:lang w:val="en-AU"/>
        </w:rPr>
        <w:t xml:space="preserve"> staff</w:t>
      </w:r>
      <w:r w:rsidR="00E610CC" w:rsidRPr="007C3B9D">
        <w:rPr>
          <w:rFonts w:cstheme="minorHAnsi"/>
          <w:lang w:val="en-AU"/>
        </w:rPr>
        <w:t xml:space="preserve">, </w:t>
      </w:r>
      <w:r w:rsidR="000D4B72" w:rsidRPr="007C3B9D">
        <w:rPr>
          <w:rFonts w:cstheme="minorHAnsi"/>
          <w:lang w:val="en-AU"/>
        </w:rPr>
        <w:t xml:space="preserve">OGDs, TAF staff, </w:t>
      </w:r>
      <w:r w:rsidR="00E610CC" w:rsidRPr="007C3B9D">
        <w:rPr>
          <w:rFonts w:cstheme="minorHAnsi"/>
          <w:lang w:val="en-AU"/>
        </w:rPr>
        <w:t xml:space="preserve">ASEAN </w:t>
      </w:r>
      <w:r w:rsidR="00175014" w:rsidRPr="007C3B9D">
        <w:rPr>
          <w:rFonts w:cstheme="minorHAnsi"/>
          <w:lang w:val="en-AU"/>
        </w:rPr>
        <w:t>representatives, AMS,</w:t>
      </w:r>
      <w:r w:rsidR="00E610CC" w:rsidRPr="007C3B9D">
        <w:rPr>
          <w:rFonts w:cstheme="minorHAnsi"/>
          <w:lang w:val="en-AU"/>
        </w:rPr>
        <w:t xml:space="preserve"> and other relevant stakeholders</w:t>
      </w:r>
      <w:r w:rsidR="00175014" w:rsidRPr="007C3B9D">
        <w:rPr>
          <w:rFonts w:cstheme="minorHAnsi"/>
          <w:lang w:val="en-AU"/>
        </w:rPr>
        <w:t xml:space="preserve"> (</w:t>
      </w:r>
      <w:r w:rsidR="00175014" w:rsidRPr="007C3B9D">
        <w:rPr>
          <w:rFonts w:cstheme="minorHAnsi"/>
          <w:i/>
          <w:iCs/>
          <w:lang w:val="en-AU"/>
        </w:rPr>
        <w:t>see Annex 3</w:t>
      </w:r>
      <w:r w:rsidR="00175014" w:rsidRPr="007C3B9D">
        <w:rPr>
          <w:rFonts w:cstheme="minorHAnsi"/>
          <w:lang w:val="en-AU"/>
        </w:rPr>
        <w:t>)</w:t>
      </w:r>
      <w:r w:rsidR="00533C16" w:rsidRPr="007C3B9D">
        <w:rPr>
          <w:rFonts w:cstheme="minorHAnsi"/>
          <w:lang w:val="en-AU"/>
        </w:rPr>
        <w:t>.</w:t>
      </w:r>
      <w:r w:rsidR="00175014" w:rsidRPr="007C3B9D">
        <w:rPr>
          <w:rFonts w:cstheme="minorHAnsi"/>
          <w:lang w:val="en-AU"/>
        </w:rPr>
        <w:t xml:space="preserve"> A total of </w:t>
      </w:r>
      <w:r w:rsidR="001F0627" w:rsidRPr="007C3B9D">
        <w:rPr>
          <w:rFonts w:cstheme="minorHAnsi"/>
          <w:b/>
          <w:bCs/>
          <w:lang w:val="en-AU"/>
        </w:rPr>
        <w:t>58</w:t>
      </w:r>
      <w:r w:rsidR="00175014" w:rsidRPr="007C3B9D">
        <w:rPr>
          <w:rFonts w:cstheme="minorHAnsi"/>
          <w:lang w:val="en-AU"/>
        </w:rPr>
        <w:t xml:space="preserve"> persons were interviewed by the evaluation team</w:t>
      </w:r>
      <w:r w:rsidR="006C7878" w:rsidRPr="007C3B9D">
        <w:rPr>
          <w:rFonts w:cstheme="minorHAnsi"/>
          <w:lang w:val="en-AU"/>
        </w:rPr>
        <w:t xml:space="preserve">, </w:t>
      </w:r>
      <w:r w:rsidR="006C7878" w:rsidRPr="007C3B9D">
        <w:rPr>
          <w:rFonts w:cstheme="minorHAnsi"/>
          <w:color w:val="000000"/>
          <w:lang w:val="en-AU"/>
        </w:rPr>
        <w:t>whose profiles are disaggregated as follows:</w:t>
      </w:r>
    </w:p>
    <w:tbl>
      <w:tblPr>
        <w:tblStyle w:val="TableGrid"/>
        <w:tblW w:w="3042" w:type="pct"/>
        <w:jc w:val="center"/>
        <w:tblLook w:val="0420" w:firstRow="1" w:lastRow="0" w:firstColumn="0" w:lastColumn="0" w:noHBand="0" w:noVBand="1"/>
      </w:tblPr>
      <w:tblGrid>
        <w:gridCol w:w="2515"/>
        <w:gridCol w:w="2970"/>
      </w:tblGrid>
      <w:tr w:rsidR="003D1AE7" w14:paraId="793EA370" w14:textId="77777777" w:rsidTr="002A7648">
        <w:trPr>
          <w:tblHeader/>
          <w:jc w:val="center"/>
        </w:trPr>
        <w:tc>
          <w:tcPr>
            <w:tcW w:w="2293" w:type="pct"/>
            <w:shd w:val="clear" w:color="auto" w:fill="45B0E1" w:themeFill="accent1" w:themeFillTint="99"/>
          </w:tcPr>
          <w:p w14:paraId="61F3187E" w14:textId="77777777" w:rsidR="003D1AE7" w:rsidRPr="003D1AE7" w:rsidRDefault="003D1AE7"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Gender </w:t>
            </w:r>
          </w:p>
        </w:tc>
        <w:tc>
          <w:tcPr>
            <w:tcW w:w="2707" w:type="pct"/>
            <w:shd w:val="clear" w:color="auto" w:fill="45B0E1" w:themeFill="accent1" w:themeFillTint="99"/>
          </w:tcPr>
          <w:p w14:paraId="45FF9687" w14:textId="77777777" w:rsidR="003D1AE7" w:rsidRPr="003D1AE7" w:rsidRDefault="003D1AE7"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3D1AE7" w14:paraId="1850C6C6" w14:textId="77777777" w:rsidTr="002A7648">
        <w:trPr>
          <w:jc w:val="center"/>
        </w:trPr>
        <w:tc>
          <w:tcPr>
            <w:tcW w:w="2293" w:type="pct"/>
          </w:tcPr>
          <w:p w14:paraId="7310FD31" w14:textId="77777777" w:rsidR="003D1AE7" w:rsidRDefault="003D1AE7"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Female </w:t>
            </w:r>
          </w:p>
        </w:tc>
        <w:tc>
          <w:tcPr>
            <w:tcW w:w="2707" w:type="pct"/>
          </w:tcPr>
          <w:p w14:paraId="6DCE243A" w14:textId="3B0D848A" w:rsidR="003D1AE7" w:rsidRDefault="00C87E70" w:rsidP="002A7648">
            <w:pPr>
              <w:autoSpaceDE w:val="0"/>
              <w:autoSpaceDN w:val="0"/>
              <w:adjustRightInd w:val="0"/>
              <w:spacing w:after="120" w:line="276" w:lineRule="auto"/>
              <w:jc w:val="both"/>
              <w:rPr>
                <w:rFonts w:cstheme="minorHAnsi"/>
                <w:color w:val="000000"/>
                <w:lang w:val="en-AU"/>
              </w:rPr>
            </w:pPr>
            <w:r w:rsidRPr="009F7DE6">
              <w:rPr>
                <w:rFonts w:cstheme="minorHAnsi"/>
              </w:rPr>
              <w:t>48%</w:t>
            </w:r>
          </w:p>
        </w:tc>
      </w:tr>
      <w:tr w:rsidR="003D1AE7" w14:paraId="7ACE740F" w14:textId="77777777" w:rsidTr="002A7648">
        <w:trPr>
          <w:jc w:val="center"/>
        </w:trPr>
        <w:tc>
          <w:tcPr>
            <w:tcW w:w="2293" w:type="pct"/>
          </w:tcPr>
          <w:p w14:paraId="6DE65D96" w14:textId="77777777" w:rsidR="003D1AE7" w:rsidRDefault="003D1AE7"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Male </w:t>
            </w:r>
          </w:p>
        </w:tc>
        <w:tc>
          <w:tcPr>
            <w:tcW w:w="2707" w:type="pct"/>
          </w:tcPr>
          <w:p w14:paraId="39A14485" w14:textId="32E7F040" w:rsidR="003D1AE7" w:rsidRDefault="00C87E70" w:rsidP="002A7648">
            <w:pPr>
              <w:autoSpaceDE w:val="0"/>
              <w:autoSpaceDN w:val="0"/>
              <w:adjustRightInd w:val="0"/>
              <w:spacing w:after="120" w:line="276" w:lineRule="auto"/>
              <w:jc w:val="both"/>
              <w:rPr>
                <w:rFonts w:cstheme="minorHAnsi"/>
                <w:color w:val="000000"/>
                <w:lang w:val="en-AU"/>
              </w:rPr>
            </w:pPr>
            <w:r w:rsidRPr="009F7DE6">
              <w:rPr>
                <w:rFonts w:cstheme="minorHAnsi"/>
              </w:rPr>
              <w:t>52%</w:t>
            </w:r>
          </w:p>
        </w:tc>
      </w:tr>
      <w:tr w:rsidR="003D1AE7" w14:paraId="5E00D239" w14:textId="77777777" w:rsidTr="002A7648">
        <w:trPr>
          <w:jc w:val="center"/>
        </w:trPr>
        <w:tc>
          <w:tcPr>
            <w:tcW w:w="2293" w:type="pct"/>
          </w:tcPr>
          <w:p w14:paraId="5D476A2B" w14:textId="767322CC" w:rsidR="003D1AE7" w:rsidRDefault="003D1AE7"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Other/unknown </w:t>
            </w:r>
          </w:p>
        </w:tc>
        <w:tc>
          <w:tcPr>
            <w:tcW w:w="2707" w:type="pct"/>
          </w:tcPr>
          <w:p w14:paraId="17C0E43E" w14:textId="0B40216B" w:rsidR="003D1AE7" w:rsidRDefault="00C87E70"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0%</w:t>
            </w:r>
          </w:p>
        </w:tc>
      </w:tr>
    </w:tbl>
    <w:p w14:paraId="6BAC2037" w14:textId="77777777" w:rsidR="00673592" w:rsidRPr="003A7CF6" w:rsidRDefault="00673592" w:rsidP="00DE1BFF">
      <w:pPr>
        <w:autoSpaceDE w:val="0"/>
        <w:autoSpaceDN w:val="0"/>
        <w:adjustRightInd w:val="0"/>
        <w:spacing w:after="0" w:line="276" w:lineRule="auto"/>
        <w:rPr>
          <w:rFonts w:cstheme="minorHAnsi"/>
          <w:lang w:val="en-AU"/>
        </w:rPr>
      </w:pPr>
    </w:p>
    <w:tbl>
      <w:tblPr>
        <w:tblStyle w:val="TableGrid"/>
        <w:tblW w:w="3042" w:type="pct"/>
        <w:jc w:val="center"/>
        <w:tblLook w:val="0420" w:firstRow="1" w:lastRow="0" w:firstColumn="0" w:lastColumn="0" w:noHBand="0" w:noVBand="1"/>
      </w:tblPr>
      <w:tblGrid>
        <w:gridCol w:w="2515"/>
        <w:gridCol w:w="2970"/>
      </w:tblGrid>
      <w:tr w:rsidR="003A7CF6" w14:paraId="145EB62F" w14:textId="77777777" w:rsidTr="002A7648">
        <w:trPr>
          <w:tblHeader/>
          <w:jc w:val="center"/>
        </w:trPr>
        <w:tc>
          <w:tcPr>
            <w:tcW w:w="2293" w:type="pct"/>
            <w:shd w:val="clear" w:color="auto" w:fill="45B0E1" w:themeFill="accent1" w:themeFillTint="99"/>
          </w:tcPr>
          <w:p w14:paraId="50936288" w14:textId="77777777" w:rsidR="003A7CF6" w:rsidRPr="003D1AE7" w:rsidRDefault="003A7CF6" w:rsidP="002A7648">
            <w:pPr>
              <w:autoSpaceDE w:val="0"/>
              <w:autoSpaceDN w:val="0"/>
              <w:adjustRightInd w:val="0"/>
              <w:spacing w:after="120" w:line="276" w:lineRule="auto"/>
              <w:jc w:val="both"/>
              <w:rPr>
                <w:rFonts w:cstheme="minorHAnsi"/>
                <w:b/>
                <w:bCs/>
                <w:color w:val="000000"/>
                <w:lang w:val="en-AU"/>
              </w:rPr>
            </w:pPr>
            <w:r>
              <w:rPr>
                <w:rFonts w:cstheme="minorHAnsi"/>
                <w:b/>
                <w:bCs/>
                <w:color w:val="000000"/>
                <w:lang w:val="en-AU"/>
              </w:rPr>
              <w:t>Institution</w:t>
            </w:r>
          </w:p>
        </w:tc>
        <w:tc>
          <w:tcPr>
            <w:tcW w:w="2707" w:type="pct"/>
            <w:shd w:val="clear" w:color="auto" w:fill="45B0E1" w:themeFill="accent1" w:themeFillTint="99"/>
          </w:tcPr>
          <w:p w14:paraId="4137CA75" w14:textId="77777777" w:rsidR="003A7CF6" w:rsidRPr="003D1AE7" w:rsidRDefault="003A7CF6"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3A7CF6" w14:paraId="4A9C9AFF" w14:textId="77777777" w:rsidTr="002A7648">
        <w:trPr>
          <w:jc w:val="center"/>
        </w:trPr>
        <w:tc>
          <w:tcPr>
            <w:tcW w:w="2293" w:type="pct"/>
          </w:tcPr>
          <w:p w14:paraId="107FEE16" w14:textId="77777777" w:rsidR="003A7CF6" w:rsidRDefault="003A7CF6" w:rsidP="002A7648">
            <w:pPr>
              <w:autoSpaceDE w:val="0"/>
              <w:autoSpaceDN w:val="0"/>
              <w:adjustRightInd w:val="0"/>
              <w:spacing w:after="120" w:line="276" w:lineRule="auto"/>
              <w:jc w:val="both"/>
              <w:rPr>
                <w:rFonts w:cstheme="minorHAnsi"/>
                <w:color w:val="000000"/>
                <w:lang w:val="en-AU"/>
              </w:rPr>
            </w:pPr>
            <w:r w:rsidRPr="009F7DE6">
              <w:rPr>
                <w:rFonts w:cstheme="minorHAnsi"/>
              </w:rPr>
              <w:t>DFAT (Australia)</w:t>
            </w:r>
          </w:p>
        </w:tc>
        <w:tc>
          <w:tcPr>
            <w:tcW w:w="2707" w:type="pct"/>
          </w:tcPr>
          <w:p w14:paraId="16DD80A3" w14:textId="77777777" w:rsidR="003A7CF6" w:rsidRDefault="003A7CF6" w:rsidP="002A7648">
            <w:pPr>
              <w:autoSpaceDE w:val="0"/>
              <w:autoSpaceDN w:val="0"/>
              <w:adjustRightInd w:val="0"/>
              <w:spacing w:after="120" w:line="276" w:lineRule="auto"/>
              <w:jc w:val="both"/>
              <w:rPr>
                <w:rFonts w:cstheme="minorHAnsi"/>
                <w:color w:val="000000"/>
                <w:lang w:val="en-AU"/>
              </w:rPr>
            </w:pPr>
            <w:r w:rsidRPr="009F7DE6">
              <w:rPr>
                <w:rFonts w:cstheme="minorHAnsi"/>
              </w:rPr>
              <w:t>26%</w:t>
            </w:r>
          </w:p>
        </w:tc>
      </w:tr>
      <w:tr w:rsidR="003A7CF6" w14:paraId="6C01D7B8" w14:textId="77777777" w:rsidTr="002A7648">
        <w:trPr>
          <w:jc w:val="center"/>
        </w:trPr>
        <w:tc>
          <w:tcPr>
            <w:tcW w:w="2293" w:type="pct"/>
          </w:tcPr>
          <w:p w14:paraId="74F301CC" w14:textId="77777777" w:rsidR="003A7CF6" w:rsidRDefault="003A7CF6" w:rsidP="002A7648">
            <w:pPr>
              <w:autoSpaceDE w:val="0"/>
              <w:autoSpaceDN w:val="0"/>
              <w:adjustRightInd w:val="0"/>
              <w:spacing w:after="120" w:line="276" w:lineRule="auto"/>
              <w:jc w:val="both"/>
              <w:rPr>
                <w:rFonts w:cstheme="minorHAnsi"/>
                <w:color w:val="000000"/>
                <w:lang w:val="en-AU"/>
              </w:rPr>
            </w:pPr>
            <w:r w:rsidRPr="009F7DE6">
              <w:rPr>
                <w:rFonts w:cstheme="minorHAnsi"/>
              </w:rPr>
              <w:t>Aust. OGD</w:t>
            </w:r>
          </w:p>
        </w:tc>
        <w:tc>
          <w:tcPr>
            <w:tcW w:w="2707" w:type="pct"/>
          </w:tcPr>
          <w:p w14:paraId="2998F528" w14:textId="77777777" w:rsidR="003A7CF6" w:rsidRDefault="003A7CF6" w:rsidP="002A7648">
            <w:pPr>
              <w:autoSpaceDE w:val="0"/>
              <w:autoSpaceDN w:val="0"/>
              <w:adjustRightInd w:val="0"/>
              <w:spacing w:after="120" w:line="276" w:lineRule="auto"/>
              <w:jc w:val="both"/>
              <w:rPr>
                <w:rFonts w:cstheme="minorHAnsi"/>
                <w:color w:val="000000"/>
                <w:lang w:val="en-AU"/>
              </w:rPr>
            </w:pPr>
            <w:r w:rsidRPr="009F7DE6">
              <w:rPr>
                <w:rFonts w:cstheme="minorHAnsi"/>
              </w:rPr>
              <w:t>2%</w:t>
            </w:r>
          </w:p>
        </w:tc>
      </w:tr>
      <w:tr w:rsidR="003A7CF6" w14:paraId="38C6CDFF" w14:textId="77777777" w:rsidTr="002A7648">
        <w:trPr>
          <w:jc w:val="center"/>
        </w:trPr>
        <w:tc>
          <w:tcPr>
            <w:tcW w:w="2293" w:type="pct"/>
          </w:tcPr>
          <w:p w14:paraId="1DBDA608" w14:textId="77777777" w:rsidR="003A7CF6" w:rsidRDefault="003A7CF6"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TAF </w:t>
            </w:r>
          </w:p>
        </w:tc>
        <w:tc>
          <w:tcPr>
            <w:tcW w:w="2707" w:type="pct"/>
          </w:tcPr>
          <w:p w14:paraId="0F9741DF" w14:textId="77777777" w:rsidR="003A7CF6" w:rsidRDefault="003A7CF6" w:rsidP="002A7648">
            <w:pPr>
              <w:autoSpaceDE w:val="0"/>
              <w:autoSpaceDN w:val="0"/>
              <w:adjustRightInd w:val="0"/>
              <w:spacing w:after="120" w:line="276" w:lineRule="auto"/>
              <w:jc w:val="both"/>
              <w:rPr>
                <w:rFonts w:cstheme="minorHAnsi"/>
                <w:color w:val="000000"/>
                <w:lang w:val="en-AU"/>
              </w:rPr>
            </w:pPr>
            <w:r w:rsidRPr="009F7DE6">
              <w:rPr>
                <w:rFonts w:cstheme="minorHAnsi"/>
              </w:rPr>
              <w:t>17%</w:t>
            </w:r>
          </w:p>
        </w:tc>
      </w:tr>
      <w:tr w:rsidR="003A7CF6" w14:paraId="4730EF20" w14:textId="77777777" w:rsidTr="002A7648">
        <w:trPr>
          <w:jc w:val="center"/>
        </w:trPr>
        <w:tc>
          <w:tcPr>
            <w:tcW w:w="2293" w:type="pct"/>
          </w:tcPr>
          <w:p w14:paraId="3DD97C24" w14:textId="77777777" w:rsidR="003A7CF6" w:rsidRDefault="003A7CF6" w:rsidP="002A7648">
            <w:pPr>
              <w:autoSpaceDE w:val="0"/>
              <w:autoSpaceDN w:val="0"/>
              <w:adjustRightInd w:val="0"/>
              <w:spacing w:after="120" w:line="276" w:lineRule="auto"/>
              <w:jc w:val="both"/>
              <w:rPr>
                <w:rFonts w:cstheme="minorHAnsi"/>
                <w:color w:val="000000"/>
                <w:lang w:val="en-AU"/>
              </w:rPr>
            </w:pPr>
            <w:r w:rsidRPr="009F7DE6">
              <w:rPr>
                <w:rFonts w:cstheme="minorHAnsi"/>
              </w:rPr>
              <w:t>Aust. Institution</w:t>
            </w:r>
          </w:p>
        </w:tc>
        <w:tc>
          <w:tcPr>
            <w:tcW w:w="2707" w:type="pct"/>
          </w:tcPr>
          <w:p w14:paraId="5B7C3603" w14:textId="77777777" w:rsidR="003A7CF6" w:rsidRPr="009F7DE6" w:rsidRDefault="003A7CF6" w:rsidP="002A7648">
            <w:pPr>
              <w:autoSpaceDE w:val="0"/>
              <w:autoSpaceDN w:val="0"/>
              <w:adjustRightInd w:val="0"/>
              <w:spacing w:after="120" w:line="276" w:lineRule="auto"/>
              <w:jc w:val="both"/>
              <w:rPr>
                <w:rFonts w:cstheme="minorHAnsi"/>
              </w:rPr>
            </w:pPr>
            <w:r w:rsidRPr="009F7DE6">
              <w:rPr>
                <w:rFonts w:cstheme="minorHAnsi"/>
              </w:rPr>
              <w:t>12%</w:t>
            </w:r>
          </w:p>
        </w:tc>
      </w:tr>
      <w:tr w:rsidR="003A7CF6" w14:paraId="74874D9A" w14:textId="77777777" w:rsidTr="002A7648">
        <w:trPr>
          <w:jc w:val="center"/>
        </w:trPr>
        <w:tc>
          <w:tcPr>
            <w:tcW w:w="2293" w:type="pct"/>
          </w:tcPr>
          <w:p w14:paraId="3B5276E4" w14:textId="77777777" w:rsidR="003A7CF6" w:rsidRPr="009F7DE6" w:rsidRDefault="003A7CF6" w:rsidP="002A7648">
            <w:pPr>
              <w:autoSpaceDE w:val="0"/>
              <w:autoSpaceDN w:val="0"/>
              <w:adjustRightInd w:val="0"/>
              <w:spacing w:after="120" w:line="276" w:lineRule="auto"/>
              <w:jc w:val="both"/>
              <w:rPr>
                <w:rFonts w:cstheme="minorHAnsi"/>
              </w:rPr>
            </w:pPr>
            <w:r>
              <w:rPr>
                <w:rFonts w:cstheme="minorHAnsi"/>
              </w:rPr>
              <w:t xml:space="preserve">ASEAN Secretariat </w:t>
            </w:r>
          </w:p>
        </w:tc>
        <w:tc>
          <w:tcPr>
            <w:tcW w:w="2707" w:type="pct"/>
          </w:tcPr>
          <w:p w14:paraId="65A7E19E" w14:textId="77777777" w:rsidR="003A7CF6" w:rsidRPr="009F7DE6" w:rsidRDefault="003A7CF6" w:rsidP="002A7648">
            <w:pPr>
              <w:autoSpaceDE w:val="0"/>
              <w:autoSpaceDN w:val="0"/>
              <w:adjustRightInd w:val="0"/>
              <w:spacing w:after="120" w:line="276" w:lineRule="auto"/>
              <w:jc w:val="both"/>
              <w:rPr>
                <w:rFonts w:cstheme="minorHAnsi"/>
              </w:rPr>
            </w:pPr>
            <w:r>
              <w:rPr>
                <w:rFonts w:cstheme="minorHAnsi"/>
              </w:rPr>
              <w:t>19%</w:t>
            </w:r>
          </w:p>
        </w:tc>
      </w:tr>
      <w:tr w:rsidR="003A7CF6" w14:paraId="00AE4203" w14:textId="77777777" w:rsidTr="002A7648">
        <w:trPr>
          <w:jc w:val="center"/>
        </w:trPr>
        <w:tc>
          <w:tcPr>
            <w:tcW w:w="2293" w:type="pct"/>
          </w:tcPr>
          <w:p w14:paraId="05B8F9AC" w14:textId="77777777" w:rsidR="003A7CF6" w:rsidRDefault="003A7CF6" w:rsidP="002A7648">
            <w:pPr>
              <w:autoSpaceDE w:val="0"/>
              <w:autoSpaceDN w:val="0"/>
              <w:adjustRightInd w:val="0"/>
              <w:spacing w:after="120" w:line="276" w:lineRule="auto"/>
              <w:jc w:val="both"/>
              <w:rPr>
                <w:rFonts w:cstheme="minorHAnsi"/>
              </w:rPr>
            </w:pPr>
            <w:r>
              <w:rPr>
                <w:rFonts w:cstheme="minorHAnsi"/>
              </w:rPr>
              <w:t xml:space="preserve">ASEAN Body </w:t>
            </w:r>
          </w:p>
        </w:tc>
        <w:tc>
          <w:tcPr>
            <w:tcW w:w="2707" w:type="pct"/>
          </w:tcPr>
          <w:p w14:paraId="244EDE2E" w14:textId="77777777" w:rsidR="003A7CF6" w:rsidRDefault="003A7CF6" w:rsidP="002A7648">
            <w:pPr>
              <w:autoSpaceDE w:val="0"/>
              <w:autoSpaceDN w:val="0"/>
              <w:adjustRightInd w:val="0"/>
              <w:spacing w:after="120" w:line="276" w:lineRule="auto"/>
              <w:jc w:val="both"/>
              <w:rPr>
                <w:rFonts w:cstheme="minorHAnsi"/>
              </w:rPr>
            </w:pPr>
            <w:r>
              <w:rPr>
                <w:rFonts w:cstheme="minorHAnsi"/>
              </w:rPr>
              <w:t>5%</w:t>
            </w:r>
          </w:p>
        </w:tc>
      </w:tr>
      <w:tr w:rsidR="003A7CF6" w14:paraId="23EDF858" w14:textId="77777777" w:rsidTr="002A7648">
        <w:trPr>
          <w:jc w:val="center"/>
        </w:trPr>
        <w:tc>
          <w:tcPr>
            <w:tcW w:w="2293" w:type="pct"/>
          </w:tcPr>
          <w:p w14:paraId="38272284" w14:textId="77777777" w:rsidR="003A7CF6" w:rsidRDefault="003A7CF6" w:rsidP="002A7648">
            <w:pPr>
              <w:autoSpaceDE w:val="0"/>
              <w:autoSpaceDN w:val="0"/>
              <w:adjustRightInd w:val="0"/>
              <w:spacing w:after="120" w:line="276" w:lineRule="auto"/>
              <w:jc w:val="both"/>
              <w:rPr>
                <w:rFonts w:cstheme="minorHAnsi"/>
              </w:rPr>
            </w:pPr>
            <w:r>
              <w:rPr>
                <w:rFonts w:cstheme="minorHAnsi"/>
              </w:rPr>
              <w:t>ASEAN Member State</w:t>
            </w:r>
          </w:p>
        </w:tc>
        <w:tc>
          <w:tcPr>
            <w:tcW w:w="2707" w:type="pct"/>
          </w:tcPr>
          <w:p w14:paraId="5063E8FC" w14:textId="77777777" w:rsidR="003A7CF6" w:rsidRDefault="003A7CF6" w:rsidP="002A7648">
            <w:pPr>
              <w:autoSpaceDE w:val="0"/>
              <w:autoSpaceDN w:val="0"/>
              <w:adjustRightInd w:val="0"/>
              <w:spacing w:after="120" w:line="276" w:lineRule="auto"/>
              <w:jc w:val="both"/>
              <w:rPr>
                <w:rFonts w:cstheme="minorHAnsi"/>
              </w:rPr>
            </w:pPr>
            <w:r>
              <w:rPr>
                <w:rFonts w:cstheme="minorHAnsi"/>
              </w:rPr>
              <w:t>14%</w:t>
            </w:r>
          </w:p>
        </w:tc>
      </w:tr>
      <w:tr w:rsidR="003A7CF6" w14:paraId="5C0C51FB" w14:textId="77777777" w:rsidTr="002A7648">
        <w:trPr>
          <w:jc w:val="center"/>
        </w:trPr>
        <w:tc>
          <w:tcPr>
            <w:tcW w:w="2293" w:type="pct"/>
          </w:tcPr>
          <w:p w14:paraId="7B5D17EA" w14:textId="77777777" w:rsidR="003A7CF6" w:rsidRDefault="003A7CF6" w:rsidP="002A7648">
            <w:pPr>
              <w:autoSpaceDE w:val="0"/>
              <w:autoSpaceDN w:val="0"/>
              <w:adjustRightInd w:val="0"/>
              <w:spacing w:after="120" w:line="276" w:lineRule="auto"/>
              <w:jc w:val="both"/>
              <w:rPr>
                <w:rFonts w:cstheme="minorHAnsi"/>
              </w:rPr>
            </w:pPr>
            <w:r>
              <w:rPr>
                <w:rFonts w:cstheme="minorHAnsi"/>
              </w:rPr>
              <w:t xml:space="preserve">CSO </w:t>
            </w:r>
          </w:p>
        </w:tc>
        <w:tc>
          <w:tcPr>
            <w:tcW w:w="2707" w:type="pct"/>
          </w:tcPr>
          <w:p w14:paraId="3D6B64F1" w14:textId="77777777" w:rsidR="003A7CF6" w:rsidRDefault="003A7CF6" w:rsidP="002A7648">
            <w:pPr>
              <w:autoSpaceDE w:val="0"/>
              <w:autoSpaceDN w:val="0"/>
              <w:adjustRightInd w:val="0"/>
              <w:spacing w:after="120" w:line="276" w:lineRule="auto"/>
              <w:jc w:val="both"/>
              <w:rPr>
                <w:rFonts w:cstheme="minorHAnsi"/>
              </w:rPr>
            </w:pPr>
            <w:r>
              <w:rPr>
                <w:rFonts w:cstheme="minorHAnsi"/>
              </w:rPr>
              <w:t>0%</w:t>
            </w:r>
          </w:p>
        </w:tc>
      </w:tr>
      <w:tr w:rsidR="003A7CF6" w14:paraId="32F86666" w14:textId="77777777" w:rsidTr="002A7648">
        <w:trPr>
          <w:jc w:val="center"/>
        </w:trPr>
        <w:tc>
          <w:tcPr>
            <w:tcW w:w="2293" w:type="pct"/>
          </w:tcPr>
          <w:p w14:paraId="5FB2019E" w14:textId="77777777" w:rsidR="003A7CF6" w:rsidRDefault="003A7CF6" w:rsidP="002A7648">
            <w:pPr>
              <w:autoSpaceDE w:val="0"/>
              <w:autoSpaceDN w:val="0"/>
              <w:adjustRightInd w:val="0"/>
              <w:spacing w:after="120" w:line="276" w:lineRule="auto"/>
              <w:jc w:val="both"/>
              <w:rPr>
                <w:rFonts w:cstheme="minorHAnsi"/>
              </w:rPr>
            </w:pPr>
            <w:r>
              <w:rPr>
                <w:rFonts w:cstheme="minorHAnsi"/>
              </w:rPr>
              <w:t xml:space="preserve">Other </w:t>
            </w:r>
          </w:p>
        </w:tc>
        <w:tc>
          <w:tcPr>
            <w:tcW w:w="2707" w:type="pct"/>
          </w:tcPr>
          <w:p w14:paraId="4AF4F8C4" w14:textId="77777777" w:rsidR="003A7CF6" w:rsidRDefault="003A7CF6" w:rsidP="002A7648">
            <w:pPr>
              <w:autoSpaceDE w:val="0"/>
              <w:autoSpaceDN w:val="0"/>
              <w:adjustRightInd w:val="0"/>
              <w:spacing w:after="120" w:line="276" w:lineRule="auto"/>
              <w:jc w:val="both"/>
              <w:rPr>
                <w:rFonts w:cstheme="minorHAnsi"/>
              </w:rPr>
            </w:pPr>
            <w:r>
              <w:rPr>
                <w:rFonts w:cstheme="minorHAnsi"/>
              </w:rPr>
              <w:t>5%</w:t>
            </w:r>
          </w:p>
        </w:tc>
      </w:tr>
    </w:tbl>
    <w:p w14:paraId="05936448" w14:textId="6A5FF7DD" w:rsidR="00E50920" w:rsidRPr="003A7CF6" w:rsidRDefault="00547D6A" w:rsidP="002A7648">
      <w:pPr>
        <w:pStyle w:val="ListParagraph"/>
        <w:numPr>
          <w:ilvl w:val="0"/>
          <w:numId w:val="21"/>
        </w:numPr>
        <w:autoSpaceDE w:val="0"/>
        <w:autoSpaceDN w:val="0"/>
        <w:adjustRightInd w:val="0"/>
        <w:spacing w:before="240" w:after="120" w:line="276" w:lineRule="auto"/>
        <w:ind w:left="714" w:hanging="357"/>
        <w:contextualSpacing w:val="0"/>
        <w:rPr>
          <w:rFonts w:cstheme="minorHAnsi"/>
          <w:lang w:val="en-AU"/>
        </w:rPr>
      </w:pPr>
      <w:r w:rsidRPr="007C3B9D">
        <w:rPr>
          <w:rFonts w:cstheme="minorHAnsi"/>
          <w:i/>
          <w:iCs/>
          <w:color w:val="0F4761" w:themeColor="accent1" w:themeShade="BF"/>
          <w:lang w:val="en-AU"/>
        </w:rPr>
        <w:t>Survey</w:t>
      </w:r>
      <w:r w:rsidRPr="007C3B9D">
        <w:rPr>
          <w:rFonts w:cstheme="minorHAnsi"/>
          <w:i/>
          <w:iCs/>
          <w:color w:val="000000"/>
          <w:lang w:val="en-AU"/>
        </w:rPr>
        <w:t>:</w:t>
      </w:r>
      <w:r w:rsidR="00E575BA" w:rsidRPr="007C3B9D">
        <w:rPr>
          <w:rFonts w:cstheme="minorHAnsi"/>
          <w:color w:val="000000"/>
          <w:lang w:val="en-AU"/>
        </w:rPr>
        <w:t xml:space="preserve"> An online survey </w:t>
      </w:r>
      <w:r w:rsidR="00175014" w:rsidRPr="007C3B9D">
        <w:rPr>
          <w:rFonts w:cstheme="minorHAnsi"/>
          <w:color w:val="000000"/>
          <w:lang w:val="en-AU"/>
        </w:rPr>
        <w:t>was</w:t>
      </w:r>
      <w:r w:rsidR="00E575BA" w:rsidRPr="007C3B9D">
        <w:rPr>
          <w:rFonts w:cstheme="minorHAnsi"/>
          <w:color w:val="000000"/>
          <w:lang w:val="en-AU"/>
        </w:rPr>
        <w:t xml:space="preserve"> developed contain</w:t>
      </w:r>
      <w:r w:rsidR="00175014" w:rsidRPr="007C3B9D">
        <w:rPr>
          <w:rFonts w:cstheme="minorHAnsi"/>
          <w:color w:val="000000"/>
          <w:lang w:val="en-AU"/>
        </w:rPr>
        <w:t>ing</w:t>
      </w:r>
      <w:r w:rsidR="00E575BA" w:rsidRPr="007C3B9D">
        <w:rPr>
          <w:rFonts w:cstheme="minorHAnsi"/>
          <w:color w:val="000000"/>
          <w:lang w:val="en-AU"/>
        </w:rPr>
        <w:t xml:space="preserve"> questions that explore</w:t>
      </w:r>
      <w:r w:rsidR="00175014" w:rsidRPr="007C3B9D">
        <w:rPr>
          <w:rFonts w:cstheme="minorHAnsi"/>
          <w:color w:val="000000"/>
          <w:lang w:val="en-AU"/>
        </w:rPr>
        <w:t>d</w:t>
      </w:r>
      <w:r w:rsidR="00E575BA" w:rsidRPr="007C3B9D">
        <w:rPr>
          <w:rFonts w:cstheme="minorHAnsi"/>
          <w:color w:val="000000"/>
          <w:lang w:val="en-AU"/>
        </w:rPr>
        <w:t xml:space="preserve"> the evaluation criteria</w:t>
      </w:r>
      <w:r w:rsidR="00D14008" w:rsidRPr="007C3B9D">
        <w:rPr>
          <w:rFonts w:cstheme="minorHAnsi"/>
          <w:color w:val="000000"/>
          <w:lang w:val="en-AU"/>
        </w:rPr>
        <w:t>,</w:t>
      </w:r>
      <w:r w:rsidR="00E575BA" w:rsidRPr="007C3B9D">
        <w:rPr>
          <w:rFonts w:cstheme="minorHAnsi"/>
          <w:color w:val="000000"/>
          <w:lang w:val="en-AU"/>
        </w:rPr>
        <w:t xml:space="preserve"> and distributed to </w:t>
      </w:r>
      <w:r w:rsidR="00D14008" w:rsidRPr="007C3B9D">
        <w:rPr>
          <w:rFonts w:cstheme="minorHAnsi"/>
          <w:color w:val="000000"/>
          <w:lang w:val="en-AU"/>
        </w:rPr>
        <w:t>relevant stakeholders</w:t>
      </w:r>
      <w:r w:rsidR="0036140D" w:rsidRPr="007C3B9D">
        <w:rPr>
          <w:rFonts w:cstheme="minorHAnsi"/>
          <w:color w:val="000000"/>
          <w:lang w:val="en-AU"/>
        </w:rPr>
        <w:t xml:space="preserve">, whose valuable observations have been </w:t>
      </w:r>
      <w:proofErr w:type="gramStart"/>
      <w:r w:rsidR="0036140D" w:rsidRPr="007C3B9D">
        <w:rPr>
          <w:rFonts w:cstheme="minorHAnsi"/>
          <w:color w:val="000000"/>
          <w:lang w:val="en-AU"/>
        </w:rPr>
        <w:t>taken into account</w:t>
      </w:r>
      <w:proofErr w:type="gramEnd"/>
      <w:r w:rsidR="0036140D" w:rsidRPr="007C3B9D">
        <w:rPr>
          <w:rFonts w:cstheme="minorHAnsi"/>
          <w:color w:val="000000"/>
          <w:lang w:val="en-AU"/>
        </w:rPr>
        <w:t xml:space="preserve"> in the formulation of the findings. </w:t>
      </w:r>
      <w:r w:rsidR="00175014" w:rsidRPr="007C3B9D">
        <w:rPr>
          <w:rFonts w:cstheme="minorHAnsi"/>
          <w:color w:val="000000"/>
          <w:lang w:val="en-AU"/>
        </w:rPr>
        <w:t xml:space="preserve">A total of </w:t>
      </w:r>
      <w:r w:rsidR="0036140D" w:rsidRPr="007C3B9D">
        <w:rPr>
          <w:rFonts w:cstheme="minorHAnsi"/>
          <w:color w:val="000000"/>
          <w:lang w:val="en-AU"/>
        </w:rPr>
        <w:t>25</w:t>
      </w:r>
      <w:r w:rsidR="00175014" w:rsidRPr="007C3B9D">
        <w:rPr>
          <w:rFonts w:cstheme="minorHAnsi"/>
          <w:color w:val="000000"/>
          <w:lang w:val="en-AU"/>
        </w:rPr>
        <w:t xml:space="preserve"> persons participated in the survey</w:t>
      </w:r>
      <w:r w:rsidR="0036140D" w:rsidRPr="007C3B9D">
        <w:rPr>
          <w:rFonts w:cstheme="minorHAnsi"/>
          <w:color w:val="000000"/>
          <w:lang w:val="en-AU"/>
        </w:rPr>
        <w:t>, whose profiles are disaggregated as follows:</w:t>
      </w:r>
    </w:p>
    <w:tbl>
      <w:tblPr>
        <w:tblStyle w:val="TableGrid"/>
        <w:tblW w:w="3042" w:type="pct"/>
        <w:jc w:val="center"/>
        <w:tblLook w:val="0420" w:firstRow="1" w:lastRow="0" w:firstColumn="0" w:lastColumn="0" w:noHBand="0" w:noVBand="1"/>
      </w:tblPr>
      <w:tblGrid>
        <w:gridCol w:w="2515"/>
        <w:gridCol w:w="2970"/>
      </w:tblGrid>
      <w:tr w:rsidR="00E50920" w14:paraId="47E643EA" w14:textId="77777777" w:rsidTr="002A7648">
        <w:trPr>
          <w:tblHeader/>
          <w:jc w:val="center"/>
        </w:trPr>
        <w:tc>
          <w:tcPr>
            <w:tcW w:w="2293" w:type="pct"/>
            <w:shd w:val="clear" w:color="auto" w:fill="45B0E1" w:themeFill="accent1" w:themeFillTint="99"/>
          </w:tcPr>
          <w:p w14:paraId="3020177D" w14:textId="77777777" w:rsidR="00E50920" w:rsidRPr="003D1AE7" w:rsidRDefault="00E50920"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Gender </w:t>
            </w:r>
          </w:p>
        </w:tc>
        <w:tc>
          <w:tcPr>
            <w:tcW w:w="2707" w:type="pct"/>
            <w:shd w:val="clear" w:color="auto" w:fill="45B0E1" w:themeFill="accent1" w:themeFillTint="99"/>
          </w:tcPr>
          <w:p w14:paraId="5A31E9E1" w14:textId="77777777" w:rsidR="00E50920" w:rsidRPr="003D1AE7" w:rsidRDefault="00E50920"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E50920" w14:paraId="4F5BB095" w14:textId="77777777" w:rsidTr="002A7648">
        <w:trPr>
          <w:tblHeader/>
          <w:jc w:val="center"/>
        </w:trPr>
        <w:tc>
          <w:tcPr>
            <w:tcW w:w="2293" w:type="pct"/>
          </w:tcPr>
          <w:p w14:paraId="67C8466A" w14:textId="77777777" w:rsidR="00E50920" w:rsidRDefault="00E50920"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Female </w:t>
            </w:r>
          </w:p>
        </w:tc>
        <w:tc>
          <w:tcPr>
            <w:tcW w:w="2707" w:type="pct"/>
          </w:tcPr>
          <w:p w14:paraId="09424B9E" w14:textId="5DA10179" w:rsidR="00E50920" w:rsidRDefault="00E50920" w:rsidP="002A7648">
            <w:pPr>
              <w:autoSpaceDE w:val="0"/>
              <w:autoSpaceDN w:val="0"/>
              <w:adjustRightInd w:val="0"/>
              <w:spacing w:after="120" w:line="276" w:lineRule="auto"/>
              <w:jc w:val="both"/>
              <w:rPr>
                <w:rFonts w:cstheme="minorHAnsi"/>
                <w:color w:val="000000"/>
                <w:lang w:val="en-AU"/>
              </w:rPr>
            </w:pPr>
            <w:r w:rsidRPr="009F7DE6">
              <w:rPr>
                <w:rFonts w:cstheme="minorHAnsi"/>
              </w:rPr>
              <w:t>40%</w:t>
            </w:r>
          </w:p>
        </w:tc>
      </w:tr>
      <w:tr w:rsidR="00E50920" w14:paraId="1CF83832" w14:textId="77777777" w:rsidTr="002A7648">
        <w:trPr>
          <w:tblHeader/>
          <w:jc w:val="center"/>
        </w:trPr>
        <w:tc>
          <w:tcPr>
            <w:tcW w:w="2293" w:type="pct"/>
          </w:tcPr>
          <w:p w14:paraId="0B922936" w14:textId="77777777" w:rsidR="00E50920" w:rsidRDefault="00E50920"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Male </w:t>
            </w:r>
          </w:p>
        </w:tc>
        <w:tc>
          <w:tcPr>
            <w:tcW w:w="2707" w:type="pct"/>
          </w:tcPr>
          <w:p w14:paraId="0143B15F" w14:textId="6C5F6459" w:rsidR="00E50920" w:rsidRDefault="00E50920" w:rsidP="002A7648">
            <w:pPr>
              <w:autoSpaceDE w:val="0"/>
              <w:autoSpaceDN w:val="0"/>
              <w:adjustRightInd w:val="0"/>
              <w:spacing w:after="120" w:line="276" w:lineRule="auto"/>
              <w:jc w:val="both"/>
              <w:rPr>
                <w:rFonts w:cstheme="minorHAnsi"/>
                <w:color w:val="000000"/>
                <w:lang w:val="en-AU"/>
              </w:rPr>
            </w:pPr>
            <w:r w:rsidRPr="009F7DE6">
              <w:rPr>
                <w:rFonts w:cstheme="minorHAnsi"/>
              </w:rPr>
              <w:t>56%</w:t>
            </w:r>
          </w:p>
        </w:tc>
      </w:tr>
      <w:tr w:rsidR="00E50920" w14:paraId="25D843D4" w14:textId="77777777" w:rsidTr="002A7648">
        <w:trPr>
          <w:tblHeader/>
          <w:jc w:val="center"/>
        </w:trPr>
        <w:tc>
          <w:tcPr>
            <w:tcW w:w="2293" w:type="pct"/>
          </w:tcPr>
          <w:p w14:paraId="79908FDB" w14:textId="6D27F57C" w:rsidR="00E50920" w:rsidRDefault="00E50920" w:rsidP="002A7648">
            <w:pPr>
              <w:autoSpaceDE w:val="0"/>
              <w:autoSpaceDN w:val="0"/>
              <w:adjustRightInd w:val="0"/>
              <w:spacing w:after="120" w:line="276" w:lineRule="auto"/>
              <w:jc w:val="both"/>
              <w:rPr>
                <w:rFonts w:cstheme="minorHAnsi"/>
                <w:color w:val="000000"/>
                <w:lang w:val="en-AU"/>
              </w:rPr>
            </w:pPr>
            <w:r w:rsidRPr="009F7DE6">
              <w:rPr>
                <w:rFonts w:cstheme="minorHAnsi"/>
              </w:rPr>
              <w:t>Prefer not to say</w:t>
            </w:r>
          </w:p>
        </w:tc>
        <w:tc>
          <w:tcPr>
            <w:tcW w:w="2707" w:type="pct"/>
          </w:tcPr>
          <w:p w14:paraId="39EBCB05" w14:textId="1CC76A4B" w:rsidR="00E50920" w:rsidRDefault="00E50920" w:rsidP="002A7648">
            <w:pPr>
              <w:autoSpaceDE w:val="0"/>
              <w:autoSpaceDN w:val="0"/>
              <w:adjustRightInd w:val="0"/>
              <w:spacing w:after="120" w:line="276" w:lineRule="auto"/>
              <w:jc w:val="both"/>
              <w:rPr>
                <w:rFonts w:cstheme="minorHAnsi"/>
                <w:color w:val="000000"/>
                <w:lang w:val="en-AU"/>
              </w:rPr>
            </w:pPr>
            <w:r w:rsidRPr="009F7DE6">
              <w:rPr>
                <w:rFonts w:cstheme="minorHAnsi"/>
              </w:rPr>
              <w:t>4%</w:t>
            </w:r>
          </w:p>
        </w:tc>
      </w:tr>
    </w:tbl>
    <w:p w14:paraId="76B3A830" w14:textId="77777777" w:rsidR="009C4D89" w:rsidRDefault="009C4D89" w:rsidP="009C4D89">
      <w:pPr>
        <w:autoSpaceDE w:val="0"/>
        <w:autoSpaceDN w:val="0"/>
        <w:adjustRightInd w:val="0"/>
        <w:spacing w:after="0" w:line="276" w:lineRule="auto"/>
        <w:rPr>
          <w:rFonts w:cstheme="minorHAnsi"/>
          <w:lang w:val="en-AU"/>
        </w:rPr>
      </w:pPr>
    </w:p>
    <w:tbl>
      <w:tblPr>
        <w:tblStyle w:val="TableGrid"/>
        <w:tblW w:w="3042" w:type="pct"/>
        <w:jc w:val="center"/>
        <w:tblLook w:val="0420" w:firstRow="1" w:lastRow="0" w:firstColumn="0" w:lastColumn="0" w:noHBand="0" w:noVBand="1"/>
      </w:tblPr>
      <w:tblGrid>
        <w:gridCol w:w="2515"/>
        <w:gridCol w:w="2970"/>
      </w:tblGrid>
      <w:tr w:rsidR="00E50920" w14:paraId="73B8CC63" w14:textId="77777777" w:rsidTr="002A7648">
        <w:trPr>
          <w:tblHeader/>
          <w:jc w:val="center"/>
        </w:trPr>
        <w:tc>
          <w:tcPr>
            <w:tcW w:w="2293" w:type="pct"/>
            <w:shd w:val="clear" w:color="auto" w:fill="45B0E1" w:themeFill="accent1" w:themeFillTint="99"/>
          </w:tcPr>
          <w:p w14:paraId="51AD0D01" w14:textId="73F20F9D" w:rsidR="00E50920" w:rsidRPr="003D1AE7" w:rsidRDefault="00E50920" w:rsidP="002A7648">
            <w:pPr>
              <w:autoSpaceDE w:val="0"/>
              <w:autoSpaceDN w:val="0"/>
              <w:adjustRightInd w:val="0"/>
              <w:spacing w:after="120" w:line="276" w:lineRule="auto"/>
              <w:jc w:val="both"/>
              <w:rPr>
                <w:rFonts w:cstheme="minorHAnsi"/>
                <w:b/>
                <w:bCs/>
                <w:color w:val="000000"/>
                <w:lang w:val="en-AU"/>
              </w:rPr>
            </w:pPr>
            <w:r>
              <w:rPr>
                <w:rFonts w:cstheme="minorHAnsi"/>
                <w:b/>
                <w:bCs/>
                <w:color w:val="000000"/>
                <w:lang w:val="en-AU"/>
              </w:rPr>
              <w:t xml:space="preserve">Age </w:t>
            </w:r>
          </w:p>
        </w:tc>
        <w:tc>
          <w:tcPr>
            <w:tcW w:w="2707" w:type="pct"/>
            <w:shd w:val="clear" w:color="auto" w:fill="45B0E1" w:themeFill="accent1" w:themeFillTint="99"/>
          </w:tcPr>
          <w:p w14:paraId="76D8BC32" w14:textId="77777777" w:rsidR="00E50920" w:rsidRPr="003D1AE7" w:rsidRDefault="00E50920"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E50920" w14:paraId="5FF8C890" w14:textId="77777777" w:rsidTr="002A7648">
        <w:trPr>
          <w:tblHeader/>
          <w:jc w:val="center"/>
        </w:trPr>
        <w:tc>
          <w:tcPr>
            <w:tcW w:w="2293" w:type="pct"/>
          </w:tcPr>
          <w:p w14:paraId="1385E67B" w14:textId="49F5BE0E" w:rsidR="00E50920" w:rsidRDefault="00E50920" w:rsidP="002A7648">
            <w:pPr>
              <w:autoSpaceDE w:val="0"/>
              <w:autoSpaceDN w:val="0"/>
              <w:adjustRightInd w:val="0"/>
              <w:spacing w:after="120" w:line="276" w:lineRule="auto"/>
              <w:jc w:val="both"/>
              <w:rPr>
                <w:rFonts w:cstheme="minorHAnsi"/>
                <w:color w:val="000000"/>
                <w:lang w:val="en-AU"/>
              </w:rPr>
            </w:pPr>
            <w:r w:rsidRPr="009F7DE6">
              <w:rPr>
                <w:rFonts w:cstheme="minorHAnsi"/>
              </w:rPr>
              <w:t>18-25</w:t>
            </w:r>
          </w:p>
        </w:tc>
        <w:tc>
          <w:tcPr>
            <w:tcW w:w="2707" w:type="pct"/>
          </w:tcPr>
          <w:p w14:paraId="12E7C18C" w14:textId="0741F73C" w:rsidR="00E50920" w:rsidRDefault="00E649CD" w:rsidP="002A7648">
            <w:pPr>
              <w:autoSpaceDE w:val="0"/>
              <w:autoSpaceDN w:val="0"/>
              <w:adjustRightInd w:val="0"/>
              <w:spacing w:after="120" w:line="276" w:lineRule="auto"/>
              <w:jc w:val="both"/>
              <w:rPr>
                <w:rFonts w:cstheme="minorHAnsi"/>
                <w:color w:val="000000"/>
                <w:lang w:val="en-AU"/>
              </w:rPr>
            </w:pPr>
            <w:r w:rsidRPr="009F7DE6">
              <w:rPr>
                <w:rFonts w:cstheme="minorHAnsi"/>
              </w:rPr>
              <w:t>4%</w:t>
            </w:r>
          </w:p>
        </w:tc>
      </w:tr>
      <w:tr w:rsidR="00E50920" w14:paraId="3ABECCC7" w14:textId="77777777" w:rsidTr="002A7648">
        <w:trPr>
          <w:tblHeader/>
          <w:jc w:val="center"/>
        </w:trPr>
        <w:tc>
          <w:tcPr>
            <w:tcW w:w="2293" w:type="pct"/>
          </w:tcPr>
          <w:p w14:paraId="663318B2" w14:textId="55AB493E" w:rsidR="00E50920" w:rsidRDefault="00CA62AF" w:rsidP="002A7648">
            <w:pPr>
              <w:autoSpaceDE w:val="0"/>
              <w:autoSpaceDN w:val="0"/>
              <w:adjustRightInd w:val="0"/>
              <w:spacing w:after="120" w:line="276" w:lineRule="auto"/>
              <w:jc w:val="both"/>
              <w:rPr>
                <w:rFonts w:cstheme="minorHAnsi"/>
                <w:color w:val="000000"/>
                <w:lang w:val="en-AU"/>
              </w:rPr>
            </w:pPr>
            <w:r w:rsidRPr="009F7DE6">
              <w:rPr>
                <w:rFonts w:cstheme="minorHAnsi"/>
              </w:rPr>
              <w:t>26-35</w:t>
            </w:r>
          </w:p>
        </w:tc>
        <w:tc>
          <w:tcPr>
            <w:tcW w:w="2707" w:type="pct"/>
          </w:tcPr>
          <w:p w14:paraId="51476371" w14:textId="01AC191E" w:rsidR="00E50920" w:rsidRDefault="00E649CD" w:rsidP="002A7648">
            <w:pPr>
              <w:autoSpaceDE w:val="0"/>
              <w:autoSpaceDN w:val="0"/>
              <w:adjustRightInd w:val="0"/>
              <w:spacing w:after="120" w:line="276" w:lineRule="auto"/>
              <w:jc w:val="both"/>
              <w:rPr>
                <w:rFonts w:cstheme="minorHAnsi"/>
                <w:color w:val="000000"/>
                <w:lang w:val="en-AU"/>
              </w:rPr>
            </w:pPr>
            <w:r w:rsidRPr="009F7DE6">
              <w:rPr>
                <w:rFonts w:cstheme="minorHAnsi"/>
              </w:rPr>
              <w:t>36%</w:t>
            </w:r>
          </w:p>
        </w:tc>
      </w:tr>
      <w:tr w:rsidR="00E50920" w14:paraId="1202FDEF" w14:textId="77777777" w:rsidTr="002A7648">
        <w:trPr>
          <w:tblHeader/>
          <w:jc w:val="center"/>
        </w:trPr>
        <w:tc>
          <w:tcPr>
            <w:tcW w:w="2293" w:type="pct"/>
          </w:tcPr>
          <w:p w14:paraId="44C2C942" w14:textId="3D8CE588" w:rsidR="00E50920" w:rsidRDefault="00CA62AF" w:rsidP="002A7648">
            <w:pPr>
              <w:autoSpaceDE w:val="0"/>
              <w:autoSpaceDN w:val="0"/>
              <w:adjustRightInd w:val="0"/>
              <w:spacing w:after="120" w:line="276" w:lineRule="auto"/>
              <w:jc w:val="both"/>
              <w:rPr>
                <w:rFonts w:cstheme="minorHAnsi"/>
                <w:color w:val="000000"/>
                <w:lang w:val="en-AU"/>
              </w:rPr>
            </w:pPr>
            <w:r w:rsidRPr="009F7DE6">
              <w:rPr>
                <w:rFonts w:cstheme="minorHAnsi"/>
              </w:rPr>
              <w:t>36-45</w:t>
            </w:r>
          </w:p>
        </w:tc>
        <w:tc>
          <w:tcPr>
            <w:tcW w:w="2707" w:type="pct"/>
          </w:tcPr>
          <w:p w14:paraId="7FAFB014" w14:textId="064FB799" w:rsidR="00E50920" w:rsidRDefault="00E649CD" w:rsidP="002A7648">
            <w:pPr>
              <w:autoSpaceDE w:val="0"/>
              <w:autoSpaceDN w:val="0"/>
              <w:adjustRightInd w:val="0"/>
              <w:spacing w:after="120" w:line="276" w:lineRule="auto"/>
              <w:jc w:val="both"/>
              <w:rPr>
                <w:rFonts w:cstheme="minorHAnsi"/>
                <w:color w:val="000000"/>
                <w:lang w:val="en-AU"/>
              </w:rPr>
            </w:pPr>
            <w:r w:rsidRPr="009F7DE6">
              <w:rPr>
                <w:rFonts w:cstheme="minorHAnsi"/>
              </w:rPr>
              <w:t>20%</w:t>
            </w:r>
          </w:p>
        </w:tc>
      </w:tr>
      <w:tr w:rsidR="00CA62AF" w14:paraId="7812DEFE" w14:textId="77777777" w:rsidTr="002A7648">
        <w:trPr>
          <w:tblHeader/>
          <w:jc w:val="center"/>
        </w:trPr>
        <w:tc>
          <w:tcPr>
            <w:tcW w:w="2293" w:type="pct"/>
          </w:tcPr>
          <w:p w14:paraId="55419574" w14:textId="6BFA5817" w:rsidR="00CA62AF" w:rsidRPr="009F7DE6" w:rsidRDefault="00CA62AF" w:rsidP="002A7648">
            <w:pPr>
              <w:autoSpaceDE w:val="0"/>
              <w:autoSpaceDN w:val="0"/>
              <w:adjustRightInd w:val="0"/>
              <w:spacing w:after="120" w:line="276" w:lineRule="auto"/>
              <w:jc w:val="both"/>
              <w:rPr>
                <w:rFonts w:cstheme="minorHAnsi"/>
              </w:rPr>
            </w:pPr>
            <w:r>
              <w:rPr>
                <w:rFonts w:cstheme="minorHAnsi"/>
              </w:rPr>
              <w:t>46-55</w:t>
            </w:r>
          </w:p>
        </w:tc>
        <w:tc>
          <w:tcPr>
            <w:tcW w:w="2707" w:type="pct"/>
          </w:tcPr>
          <w:p w14:paraId="500F5A95" w14:textId="3B585E61" w:rsidR="00CA62AF" w:rsidRPr="009F7DE6" w:rsidRDefault="00E649CD" w:rsidP="002A7648">
            <w:pPr>
              <w:autoSpaceDE w:val="0"/>
              <w:autoSpaceDN w:val="0"/>
              <w:adjustRightInd w:val="0"/>
              <w:spacing w:after="120" w:line="276" w:lineRule="auto"/>
              <w:jc w:val="both"/>
              <w:rPr>
                <w:rFonts w:cstheme="minorHAnsi"/>
              </w:rPr>
            </w:pPr>
            <w:r w:rsidRPr="009F7DE6">
              <w:rPr>
                <w:rFonts w:cstheme="minorHAnsi"/>
              </w:rPr>
              <w:t>32%</w:t>
            </w:r>
          </w:p>
        </w:tc>
      </w:tr>
      <w:tr w:rsidR="00CA62AF" w14:paraId="22403D7A" w14:textId="77777777" w:rsidTr="002A7648">
        <w:trPr>
          <w:tblHeader/>
          <w:jc w:val="center"/>
        </w:trPr>
        <w:tc>
          <w:tcPr>
            <w:tcW w:w="2293" w:type="pct"/>
          </w:tcPr>
          <w:p w14:paraId="05CA0433" w14:textId="439E5E5A" w:rsidR="00CA62AF" w:rsidRDefault="00CA62AF" w:rsidP="002A7648">
            <w:pPr>
              <w:autoSpaceDE w:val="0"/>
              <w:autoSpaceDN w:val="0"/>
              <w:adjustRightInd w:val="0"/>
              <w:spacing w:after="120" w:line="276" w:lineRule="auto"/>
              <w:jc w:val="both"/>
              <w:rPr>
                <w:rFonts w:cstheme="minorHAnsi"/>
              </w:rPr>
            </w:pPr>
            <w:r>
              <w:rPr>
                <w:rFonts w:cstheme="minorHAnsi"/>
              </w:rPr>
              <w:t xml:space="preserve">66 and above </w:t>
            </w:r>
          </w:p>
        </w:tc>
        <w:tc>
          <w:tcPr>
            <w:tcW w:w="2707" w:type="pct"/>
          </w:tcPr>
          <w:p w14:paraId="320FC689" w14:textId="1F2BF635" w:rsidR="00CA62AF" w:rsidRPr="009F7DE6" w:rsidRDefault="00E649CD" w:rsidP="002A7648">
            <w:pPr>
              <w:autoSpaceDE w:val="0"/>
              <w:autoSpaceDN w:val="0"/>
              <w:adjustRightInd w:val="0"/>
              <w:spacing w:after="120" w:line="276" w:lineRule="auto"/>
              <w:jc w:val="both"/>
              <w:rPr>
                <w:rFonts w:cstheme="minorHAnsi"/>
              </w:rPr>
            </w:pPr>
            <w:r w:rsidRPr="009F7DE6">
              <w:rPr>
                <w:rFonts w:cstheme="minorHAnsi"/>
              </w:rPr>
              <w:t>8%</w:t>
            </w:r>
          </w:p>
        </w:tc>
      </w:tr>
    </w:tbl>
    <w:p w14:paraId="76535622" w14:textId="77777777" w:rsidR="009C4D89" w:rsidRDefault="009C4D89" w:rsidP="009C4D89">
      <w:pPr>
        <w:autoSpaceDE w:val="0"/>
        <w:autoSpaceDN w:val="0"/>
        <w:adjustRightInd w:val="0"/>
        <w:spacing w:after="0" w:line="276" w:lineRule="auto"/>
        <w:rPr>
          <w:rFonts w:cstheme="minorHAnsi"/>
          <w:lang w:val="en-AU"/>
        </w:rPr>
      </w:pPr>
    </w:p>
    <w:tbl>
      <w:tblPr>
        <w:tblStyle w:val="TableGrid"/>
        <w:tblW w:w="3042" w:type="pct"/>
        <w:jc w:val="center"/>
        <w:tblLook w:val="0420" w:firstRow="1" w:lastRow="0" w:firstColumn="0" w:lastColumn="0" w:noHBand="0" w:noVBand="1"/>
      </w:tblPr>
      <w:tblGrid>
        <w:gridCol w:w="2515"/>
        <w:gridCol w:w="2970"/>
      </w:tblGrid>
      <w:tr w:rsidR="00E649CD" w14:paraId="482DCBC8" w14:textId="77777777" w:rsidTr="002A7648">
        <w:trPr>
          <w:tblHeader/>
          <w:jc w:val="center"/>
        </w:trPr>
        <w:tc>
          <w:tcPr>
            <w:tcW w:w="2293" w:type="pct"/>
            <w:shd w:val="clear" w:color="auto" w:fill="45B0E1" w:themeFill="accent1" w:themeFillTint="99"/>
          </w:tcPr>
          <w:p w14:paraId="70211750" w14:textId="21C5F679" w:rsidR="00E649CD" w:rsidRPr="003F1D1D" w:rsidRDefault="003F1D1D" w:rsidP="002A7648">
            <w:pPr>
              <w:autoSpaceDE w:val="0"/>
              <w:autoSpaceDN w:val="0"/>
              <w:adjustRightInd w:val="0"/>
              <w:spacing w:after="120" w:line="276" w:lineRule="auto"/>
              <w:jc w:val="both"/>
              <w:rPr>
                <w:b/>
                <w:bCs/>
              </w:rPr>
            </w:pPr>
            <w:r w:rsidRPr="003F1D1D">
              <w:rPr>
                <w:b/>
                <w:bCs/>
              </w:rPr>
              <w:t xml:space="preserve">Country </w:t>
            </w:r>
          </w:p>
        </w:tc>
        <w:tc>
          <w:tcPr>
            <w:tcW w:w="2707" w:type="pct"/>
            <w:shd w:val="clear" w:color="auto" w:fill="45B0E1" w:themeFill="accent1" w:themeFillTint="99"/>
          </w:tcPr>
          <w:p w14:paraId="40884E3A" w14:textId="77777777" w:rsidR="00E649CD" w:rsidRPr="003D1AE7" w:rsidRDefault="00E649CD"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E649CD" w14:paraId="40C34EF9" w14:textId="77777777" w:rsidTr="002A7648">
        <w:trPr>
          <w:jc w:val="center"/>
        </w:trPr>
        <w:tc>
          <w:tcPr>
            <w:tcW w:w="2293" w:type="pct"/>
          </w:tcPr>
          <w:p w14:paraId="1FEF80CA" w14:textId="08D35933" w:rsidR="00E649CD" w:rsidRDefault="00C12C96" w:rsidP="002A7648">
            <w:pPr>
              <w:autoSpaceDE w:val="0"/>
              <w:autoSpaceDN w:val="0"/>
              <w:adjustRightInd w:val="0"/>
              <w:spacing w:after="120" w:line="276" w:lineRule="auto"/>
              <w:jc w:val="both"/>
              <w:rPr>
                <w:rFonts w:cstheme="minorHAnsi"/>
                <w:color w:val="000000"/>
                <w:lang w:val="en-AU"/>
              </w:rPr>
            </w:pPr>
            <w:r>
              <w:rPr>
                <w:rFonts w:cstheme="minorHAnsi"/>
              </w:rPr>
              <w:t xml:space="preserve">Brunei Darussalam </w:t>
            </w:r>
          </w:p>
        </w:tc>
        <w:tc>
          <w:tcPr>
            <w:tcW w:w="2707" w:type="pct"/>
          </w:tcPr>
          <w:p w14:paraId="422C83A6" w14:textId="6F029D5E" w:rsidR="00E649CD" w:rsidRDefault="008605FF" w:rsidP="002A7648">
            <w:pPr>
              <w:autoSpaceDE w:val="0"/>
              <w:autoSpaceDN w:val="0"/>
              <w:adjustRightInd w:val="0"/>
              <w:spacing w:after="120" w:line="276" w:lineRule="auto"/>
              <w:jc w:val="both"/>
              <w:rPr>
                <w:rFonts w:cstheme="minorHAnsi"/>
                <w:color w:val="000000"/>
                <w:lang w:val="en-AU"/>
              </w:rPr>
            </w:pPr>
            <w:r w:rsidRPr="009F7DE6">
              <w:rPr>
                <w:rFonts w:cstheme="minorHAnsi"/>
              </w:rPr>
              <w:t>12%</w:t>
            </w:r>
          </w:p>
        </w:tc>
      </w:tr>
      <w:tr w:rsidR="00E649CD" w14:paraId="6F3CA371" w14:textId="77777777" w:rsidTr="002A7648">
        <w:trPr>
          <w:jc w:val="center"/>
        </w:trPr>
        <w:tc>
          <w:tcPr>
            <w:tcW w:w="2293" w:type="pct"/>
          </w:tcPr>
          <w:p w14:paraId="1FB96DDE" w14:textId="2BE5A217" w:rsidR="00E649CD" w:rsidRDefault="00C12C96" w:rsidP="002A7648">
            <w:pPr>
              <w:autoSpaceDE w:val="0"/>
              <w:autoSpaceDN w:val="0"/>
              <w:adjustRightInd w:val="0"/>
              <w:spacing w:after="120" w:line="276" w:lineRule="auto"/>
              <w:jc w:val="both"/>
              <w:rPr>
                <w:rFonts w:cstheme="minorHAnsi"/>
                <w:color w:val="000000"/>
                <w:lang w:val="en-AU"/>
              </w:rPr>
            </w:pPr>
            <w:r>
              <w:rPr>
                <w:rFonts w:cstheme="minorHAnsi"/>
              </w:rPr>
              <w:t>Cambodia</w:t>
            </w:r>
          </w:p>
        </w:tc>
        <w:tc>
          <w:tcPr>
            <w:tcW w:w="2707" w:type="pct"/>
          </w:tcPr>
          <w:p w14:paraId="27B89519" w14:textId="09D21852" w:rsidR="00E649CD" w:rsidRDefault="008605FF" w:rsidP="002A7648">
            <w:pPr>
              <w:autoSpaceDE w:val="0"/>
              <w:autoSpaceDN w:val="0"/>
              <w:adjustRightInd w:val="0"/>
              <w:spacing w:after="120" w:line="276" w:lineRule="auto"/>
              <w:jc w:val="both"/>
              <w:rPr>
                <w:rFonts w:cstheme="minorHAnsi"/>
                <w:color w:val="000000"/>
                <w:lang w:val="en-AU"/>
              </w:rPr>
            </w:pPr>
            <w:r w:rsidRPr="009F7DE6">
              <w:rPr>
                <w:rFonts w:cstheme="minorHAnsi"/>
              </w:rPr>
              <w:t>4%</w:t>
            </w:r>
          </w:p>
        </w:tc>
      </w:tr>
      <w:tr w:rsidR="00E649CD" w14:paraId="63B9001E" w14:textId="77777777" w:rsidTr="002A7648">
        <w:trPr>
          <w:jc w:val="center"/>
        </w:trPr>
        <w:tc>
          <w:tcPr>
            <w:tcW w:w="2293" w:type="pct"/>
          </w:tcPr>
          <w:p w14:paraId="04570B35" w14:textId="3081EA83" w:rsidR="00E649CD" w:rsidRDefault="00C12C96" w:rsidP="002A7648">
            <w:pPr>
              <w:autoSpaceDE w:val="0"/>
              <w:autoSpaceDN w:val="0"/>
              <w:adjustRightInd w:val="0"/>
              <w:spacing w:after="120" w:line="276" w:lineRule="auto"/>
              <w:jc w:val="both"/>
              <w:rPr>
                <w:rFonts w:cstheme="minorHAnsi"/>
                <w:color w:val="000000"/>
                <w:lang w:val="en-AU"/>
              </w:rPr>
            </w:pPr>
            <w:r>
              <w:rPr>
                <w:rFonts w:cstheme="minorHAnsi"/>
              </w:rPr>
              <w:t xml:space="preserve">Indonesia </w:t>
            </w:r>
          </w:p>
        </w:tc>
        <w:tc>
          <w:tcPr>
            <w:tcW w:w="2707" w:type="pct"/>
          </w:tcPr>
          <w:p w14:paraId="1A55AC20" w14:textId="6E73065E" w:rsidR="00E649CD" w:rsidRDefault="008605FF" w:rsidP="002A7648">
            <w:pPr>
              <w:autoSpaceDE w:val="0"/>
              <w:autoSpaceDN w:val="0"/>
              <w:adjustRightInd w:val="0"/>
              <w:spacing w:after="120" w:line="276" w:lineRule="auto"/>
              <w:jc w:val="both"/>
              <w:rPr>
                <w:rFonts w:cstheme="minorHAnsi"/>
                <w:color w:val="000000"/>
                <w:lang w:val="en-AU"/>
              </w:rPr>
            </w:pPr>
            <w:r w:rsidRPr="009F7DE6">
              <w:rPr>
                <w:rFonts w:cstheme="minorHAnsi"/>
              </w:rPr>
              <w:t>8%</w:t>
            </w:r>
          </w:p>
        </w:tc>
      </w:tr>
      <w:tr w:rsidR="00E649CD" w14:paraId="585D70B1" w14:textId="77777777" w:rsidTr="002A7648">
        <w:trPr>
          <w:jc w:val="center"/>
        </w:trPr>
        <w:tc>
          <w:tcPr>
            <w:tcW w:w="2293" w:type="pct"/>
          </w:tcPr>
          <w:p w14:paraId="4B467D74" w14:textId="5D492B77" w:rsidR="00E649CD" w:rsidRPr="009F7DE6" w:rsidRDefault="00C12C96" w:rsidP="002A7648">
            <w:pPr>
              <w:autoSpaceDE w:val="0"/>
              <w:autoSpaceDN w:val="0"/>
              <w:adjustRightInd w:val="0"/>
              <w:spacing w:after="120" w:line="276" w:lineRule="auto"/>
              <w:jc w:val="both"/>
              <w:rPr>
                <w:rFonts w:cstheme="minorHAnsi"/>
              </w:rPr>
            </w:pPr>
            <w:r>
              <w:rPr>
                <w:rFonts w:cstheme="minorHAnsi"/>
              </w:rPr>
              <w:t>Lao PDR</w:t>
            </w:r>
          </w:p>
        </w:tc>
        <w:tc>
          <w:tcPr>
            <w:tcW w:w="2707" w:type="pct"/>
          </w:tcPr>
          <w:p w14:paraId="6A479CF6" w14:textId="2196EF49" w:rsidR="00E649CD" w:rsidRPr="009F7DE6" w:rsidRDefault="00642CB8" w:rsidP="002A7648">
            <w:pPr>
              <w:autoSpaceDE w:val="0"/>
              <w:autoSpaceDN w:val="0"/>
              <w:adjustRightInd w:val="0"/>
              <w:spacing w:after="120" w:line="276" w:lineRule="auto"/>
              <w:jc w:val="both"/>
              <w:rPr>
                <w:rFonts w:cstheme="minorHAnsi"/>
              </w:rPr>
            </w:pPr>
            <w:r w:rsidRPr="009F7DE6">
              <w:rPr>
                <w:rFonts w:cstheme="minorHAnsi"/>
              </w:rPr>
              <w:t>4%</w:t>
            </w:r>
          </w:p>
        </w:tc>
      </w:tr>
      <w:tr w:rsidR="00E649CD" w14:paraId="17D8F823" w14:textId="77777777" w:rsidTr="002A7648">
        <w:trPr>
          <w:jc w:val="center"/>
        </w:trPr>
        <w:tc>
          <w:tcPr>
            <w:tcW w:w="2293" w:type="pct"/>
          </w:tcPr>
          <w:p w14:paraId="13B922A6" w14:textId="11AA9A1D" w:rsidR="00E649CD" w:rsidRDefault="00C12C96" w:rsidP="002A7648">
            <w:pPr>
              <w:autoSpaceDE w:val="0"/>
              <w:autoSpaceDN w:val="0"/>
              <w:adjustRightInd w:val="0"/>
              <w:spacing w:after="120" w:line="276" w:lineRule="auto"/>
              <w:jc w:val="both"/>
              <w:rPr>
                <w:rFonts w:cstheme="minorHAnsi"/>
              </w:rPr>
            </w:pPr>
            <w:r>
              <w:rPr>
                <w:rFonts w:cstheme="minorHAnsi"/>
              </w:rPr>
              <w:t xml:space="preserve">Malaysia </w:t>
            </w:r>
            <w:r w:rsidR="00E649CD">
              <w:rPr>
                <w:rFonts w:cstheme="minorHAnsi"/>
              </w:rPr>
              <w:t xml:space="preserve"> </w:t>
            </w:r>
          </w:p>
        </w:tc>
        <w:tc>
          <w:tcPr>
            <w:tcW w:w="2707" w:type="pct"/>
          </w:tcPr>
          <w:p w14:paraId="407306CF" w14:textId="594D67E9" w:rsidR="00E649CD" w:rsidRPr="009F7DE6" w:rsidRDefault="00642CB8" w:rsidP="002A7648">
            <w:pPr>
              <w:autoSpaceDE w:val="0"/>
              <w:autoSpaceDN w:val="0"/>
              <w:adjustRightInd w:val="0"/>
              <w:spacing w:after="120" w:line="276" w:lineRule="auto"/>
              <w:jc w:val="both"/>
              <w:rPr>
                <w:rFonts w:cstheme="minorHAnsi"/>
              </w:rPr>
            </w:pPr>
            <w:r w:rsidRPr="009F7DE6">
              <w:rPr>
                <w:rFonts w:cstheme="minorHAnsi"/>
              </w:rPr>
              <w:t>8%</w:t>
            </w:r>
          </w:p>
        </w:tc>
      </w:tr>
      <w:tr w:rsidR="00C12C96" w14:paraId="5A712D16" w14:textId="77777777" w:rsidTr="002A7648">
        <w:trPr>
          <w:jc w:val="center"/>
        </w:trPr>
        <w:tc>
          <w:tcPr>
            <w:tcW w:w="2293" w:type="pct"/>
          </w:tcPr>
          <w:p w14:paraId="7B35FA11" w14:textId="76F39303" w:rsidR="00C12C96" w:rsidRDefault="008605FF" w:rsidP="002A7648">
            <w:pPr>
              <w:autoSpaceDE w:val="0"/>
              <w:autoSpaceDN w:val="0"/>
              <w:adjustRightInd w:val="0"/>
              <w:spacing w:after="120" w:line="276" w:lineRule="auto"/>
              <w:jc w:val="both"/>
              <w:rPr>
                <w:rFonts w:cstheme="minorHAnsi"/>
              </w:rPr>
            </w:pPr>
            <w:r>
              <w:rPr>
                <w:rFonts w:cstheme="minorHAnsi"/>
              </w:rPr>
              <w:t xml:space="preserve">Philippines </w:t>
            </w:r>
          </w:p>
        </w:tc>
        <w:tc>
          <w:tcPr>
            <w:tcW w:w="2707" w:type="pct"/>
          </w:tcPr>
          <w:p w14:paraId="60C75768" w14:textId="755E01C6" w:rsidR="00C12C96" w:rsidRPr="009F7DE6" w:rsidRDefault="00642CB8" w:rsidP="002A7648">
            <w:pPr>
              <w:autoSpaceDE w:val="0"/>
              <w:autoSpaceDN w:val="0"/>
              <w:adjustRightInd w:val="0"/>
              <w:spacing w:after="120" w:line="276" w:lineRule="auto"/>
              <w:jc w:val="both"/>
              <w:rPr>
                <w:rFonts w:cstheme="minorHAnsi"/>
              </w:rPr>
            </w:pPr>
            <w:r w:rsidRPr="009F7DE6">
              <w:rPr>
                <w:rFonts w:cstheme="minorHAnsi"/>
              </w:rPr>
              <w:t>20%</w:t>
            </w:r>
          </w:p>
        </w:tc>
      </w:tr>
      <w:tr w:rsidR="008605FF" w14:paraId="53CAC0B8" w14:textId="77777777" w:rsidTr="002A7648">
        <w:trPr>
          <w:jc w:val="center"/>
        </w:trPr>
        <w:tc>
          <w:tcPr>
            <w:tcW w:w="2293" w:type="pct"/>
          </w:tcPr>
          <w:p w14:paraId="4E35166E" w14:textId="6A82D296" w:rsidR="008605FF" w:rsidRDefault="008605FF" w:rsidP="002A7648">
            <w:pPr>
              <w:autoSpaceDE w:val="0"/>
              <w:autoSpaceDN w:val="0"/>
              <w:adjustRightInd w:val="0"/>
              <w:spacing w:after="120" w:line="276" w:lineRule="auto"/>
              <w:jc w:val="both"/>
              <w:rPr>
                <w:rFonts w:cstheme="minorHAnsi"/>
              </w:rPr>
            </w:pPr>
            <w:r>
              <w:rPr>
                <w:rFonts w:cstheme="minorHAnsi"/>
              </w:rPr>
              <w:lastRenderedPageBreak/>
              <w:t>Singapore</w:t>
            </w:r>
          </w:p>
        </w:tc>
        <w:tc>
          <w:tcPr>
            <w:tcW w:w="2707" w:type="pct"/>
          </w:tcPr>
          <w:p w14:paraId="65AA5D50" w14:textId="6C136B76" w:rsidR="008605FF" w:rsidRPr="009F7DE6" w:rsidRDefault="00D45BD3" w:rsidP="002A7648">
            <w:pPr>
              <w:autoSpaceDE w:val="0"/>
              <w:autoSpaceDN w:val="0"/>
              <w:adjustRightInd w:val="0"/>
              <w:spacing w:after="120" w:line="276" w:lineRule="auto"/>
              <w:jc w:val="both"/>
              <w:rPr>
                <w:rFonts w:cstheme="minorHAnsi"/>
              </w:rPr>
            </w:pPr>
            <w:r>
              <w:rPr>
                <w:rFonts w:cstheme="minorHAnsi"/>
              </w:rPr>
              <w:t>0%</w:t>
            </w:r>
          </w:p>
        </w:tc>
      </w:tr>
      <w:tr w:rsidR="008605FF" w14:paraId="5E89FAB3" w14:textId="77777777" w:rsidTr="002A7648">
        <w:trPr>
          <w:jc w:val="center"/>
        </w:trPr>
        <w:tc>
          <w:tcPr>
            <w:tcW w:w="2293" w:type="pct"/>
          </w:tcPr>
          <w:p w14:paraId="3117AE78" w14:textId="0A30E4FA" w:rsidR="008605FF" w:rsidRDefault="008605FF" w:rsidP="002A7648">
            <w:pPr>
              <w:autoSpaceDE w:val="0"/>
              <w:autoSpaceDN w:val="0"/>
              <w:adjustRightInd w:val="0"/>
              <w:spacing w:after="120" w:line="276" w:lineRule="auto"/>
              <w:jc w:val="both"/>
              <w:rPr>
                <w:rFonts w:cstheme="minorHAnsi"/>
              </w:rPr>
            </w:pPr>
            <w:r>
              <w:rPr>
                <w:rFonts w:cstheme="minorHAnsi"/>
              </w:rPr>
              <w:t xml:space="preserve">Thailand </w:t>
            </w:r>
          </w:p>
        </w:tc>
        <w:tc>
          <w:tcPr>
            <w:tcW w:w="2707" w:type="pct"/>
          </w:tcPr>
          <w:p w14:paraId="748CF46D" w14:textId="29E2ADF1" w:rsidR="008605FF" w:rsidRPr="009F7DE6" w:rsidRDefault="00D45BD3" w:rsidP="002A7648">
            <w:pPr>
              <w:autoSpaceDE w:val="0"/>
              <w:autoSpaceDN w:val="0"/>
              <w:adjustRightInd w:val="0"/>
              <w:spacing w:after="120" w:line="276" w:lineRule="auto"/>
              <w:jc w:val="both"/>
              <w:rPr>
                <w:rFonts w:cstheme="minorHAnsi"/>
              </w:rPr>
            </w:pPr>
            <w:r w:rsidRPr="009F7DE6">
              <w:rPr>
                <w:rFonts w:cstheme="minorHAnsi"/>
              </w:rPr>
              <w:t>20</w:t>
            </w:r>
            <w:r>
              <w:rPr>
                <w:rFonts w:cstheme="minorHAnsi"/>
              </w:rPr>
              <w:t>%</w:t>
            </w:r>
          </w:p>
        </w:tc>
      </w:tr>
      <w:tr w:rsidR="008605FF" w14:paraId="243750D9" w14:textId="77777777" w:rsidTr="002A7648">
        <w:trPr>
          <w:jc w:val="center"/>
        </w:trPr>
        <w:tc>
          <w:tcPr>
            <w:tcW w:w="2293" w:type="pct"/>
          </w:tcPr>
          <w:p w14:paraId="3B5AAB1E" w14:textId="59A6DE48" w:rsidR="008605FF" w:rsidRDefault="008605FF" w:rsidP="002A7648">
            <w:pPr>
              <w:autoSpaceDE w:val="0"/>
              <w:autoSpaceDN w:val="0"/>
              <w:adjustRightInd w:val="0"/>
              <w:spacing w:after="120" w:line="276" w:lineRule="auto"/>
              <w:jc w:val="both"/>
              <w:rPr>
                <w:rFonts w:cstheme="minorHAnsi"/>
              </w:rPr>
            </w:pPr>
            <w:r>
              <w:rPr>
                <w:rFonts w:cstheme="minorHAnsi"/>
              </w:rPr>
              <w:t xml:space="preserve">Viet Nam </w:t>
            </w:r>
          </w:p>
        </w:tc>
        <w:tc>
          <w:tcPr>
            <w:tcW w:w="2707" w:type="pct"/>
          </w:tcPr>
          <w:p w14:paraId="20638022" w14:textId="18D839A9" w:rsidR="008605FF" w:rsidRPr="009F7DE6" w:rsidRDefault="00D45BD3" w:rsidP="002A7648">
            <w:pPr>
              <w:autoSpaceDE w:val="0"/>
              <w:autoSpaceDN w:val="0"/>
              <w:adjustRightInd w:val="0"/>
              <w:spacing w:after="120" w:line="276" w:lineRule="auto"/>
              <w:jc w:val="both"/>
              <w:rPr>
                <w:rFonts w:cstheme="minorHAnsi"/>
              </w:rPr>
            </w:pPr>
            <w:r w:rsidRPr="009F7DE6">
              <w:rPr>
                <w:rFonts w:cstheme="minorHAnsi"/>
              </w:rPr>
              <w:t>4%</w:t>
            </w:r>
          </w:p>
        </w:tc>
      </w:tr>
      <w:tr w:rsidR="008605FF" w14:paraId="4531EC04" w14:textId="77777777" w:rsidTr="002A7648">
        <w:trPr>
          <w:jc w:val="center"/>
        </w:trPr>
        <w:tc>
          <w:tcPr>
            <w:tcW w:w="2293" w:type="pct"/>
          </w:tcPr>
          <w:p w14:paraId="638D04E6" w14:textId="7C20E497" w:rsidR="008605FF" w:rsidRDefault="008605FF" w:rsidP="002A7648">
            <w:pPr>
              <w:autoSpaceDE w:val="0"/>
              <w:autoSpaceDN w:val="0"/>
              <w:adjustRightInd w:val="0"/>
              <w:spacing w:after="120" w:line="276" w:lineRule="auto"/>
              <w:jc w:val="both"/>
              <w:rPr>
                <w:rFonts w:cstheme="minorHAnsi"/>
              </w:rPr>
            </w:pPr>
            <w:r>
              <w:rPr>
                <w:rFonts w:cstheme="minorHAnsi"/>
              </w:rPr>
              <w:t xml:space="preserve">Timor Leste </w:t>
            </w:r>
          </w:p>
        </w:tc>
        <w:tc>
          <w:tcPr>
            <w:tcW w:w="2707" w:type="pct"/>
          </w:tcPr>
          <w:p w14:paraId="3401D415" w14:textId="3239D854" w:rsidR="008605FF" w:rsidRPr="009F7DE6" w:rsidRDefault="00D45BD3" w:rsidP="002A7648">
            <w:pPr>
              <w:autoSpaceDE w:val="0"/>
              <w:autoSpaceDN w:val="0"/>
              <w:adjustRightInd w:val="0"/>
              <w:spacing w:after="120" w:line="276" w:lineRule="auto"/>
              <w:jc w:val="both"/>
              <w:rPr>
                <w:rFonts w:cstheme="minorHAnsi"/>
              </w:rPr>
            </w:pPr>
            <w:r w:rsidRPr="009F7DE6">
              <w:rPr>
                <w:rFonts w:cstheme="minorHAnsi"/>
              </w:rPr>
              <w:t>16%</w:t>
            </w:r>
          </w:p>
        </w:tc>
      </w:tr>
      <w:tr w:rsidR="00D45BD3" w14:paraId="22D2B44B" w14:textId="77777777" w:rsidTr="002A7648">
        <w:trPr>
          <w:jc w:val="center"/>
        </w:trPr>
        <w:tc>
          <w:tcPr>
            <w:tcW w:w="2293" w:type="pct"/>
          </w:tcPr>
          <w:p w14:paraId="4A55E9D0" w14:textId="0EA39708" w:rsidR="00D45BD3" w:rsidRDefault="00D45BD3" w:rsidP="002A7648">
            <w:pPr>
              <w:autoSpaceDE w:val="0"/>
              <w:autoSpaceDN w:val="0"/>
              <w:adjustRightInd w:val="0"/>
              <w:spacing w:after="120" w:line="276" w:lineRule="auto"/>
              <w:jc w:val="both"/>
              <w:rPr>
                <w:rFonts w:cstheme="minorHAnsi"/>
              </w:rPr>
            </w:pPr>
            <w:r>
              <w:rPr>
                <w:rFonts w:cstheme="minorHAnsi"/>
              </w:rPr>
              <w:t xml:space="preserve">Australia </w:t>
            </w:r>
          </w:p>
        </w:tc>
        <w:tc>
          <w:tcPr>
            <w:tcW w:w="2707" w:type="pct"/>
          </w:tcPr>
          <w:p w14:paraId="5CF7A06F" w14:textId="60BB0639" w:rsidR="00D45BD3" w:rsidRPr="009F7DE6" w:rsidRDefault="00D45BD3" w:rsidP="002A7648">
            <w:pPr>
              <w:autoSpaceDE w:val="0"/>
              <w:autoSpaceDN w:val="0"/>
              <w:adjustRightInd w:val="0"/>
              <w:spacing w:after="120" w:line="276" w:lineRule="auto"/>
              <w:jc w:val="both"/>
              <w:rPr>
                <w:rFonts w:cstheme="minorHAnsi"/>
              </w:rPr>
            </w:pPr>
            <w:r w:rsidRPr="009F7DE6">
              <w:rPr>
                <w:rFonts w:cstheme="minorHAnsi"/>
              </w:rPr>
              <w:t>4%</w:t>
            </w:r>
          </w:p>
        </w:tc>
      </w:tr>
    </w:tbl>
    <w:p w14:paraId="3DC82A95" w14:textId="77777777" w:rsidR="00A26BB8" w:rsidRDefault="00A26BB8" w:rsidP="00903D77">
      <w:pPr>
        <w:pStyle w:val="ListParagraph"/>
        <w:spacing w:after="0" w:line="276" w:lineRule="auto"/>
        <w:contextualSpacing w:val="0"/>
        <w:jc w:val="both"/>
        <w:rPr>
          <w:rFonts w:cstheme="minorHAnsi"/>
          <w:color w:val="000000"/>
          <w:lang w:val="en-AU"/>
        </w:rPr>
      </w:pPr>
    </w:p>
    <w:tbl>
      <w:tblPr>
        <w:tblStyle w:val="TableGrid"/>
        <w:tblW w:w="3042" w:type="pct"/>
        <w:jc w:val="center"/>
        <w:tblLook w:val="0420" w:firstRow="1" w:lastRow="0" w:firstColumn="0" w:lastColumn="0" w:noHBand="0" w:noVBand="1"/>
      </w:tblPr>
      <w:tblGrid>
        <w:gridCol w:w="2515"/>
        <w:gridCol w:w="2970"/>
      </w:tblGrid>
      <w:tr w:rsidR="00EE26BA" w14:paraId="1D17DA56" w14:textId="77777777" w:rsidTr="002A7648">
        <w:trPr>
          <w:tblHeader/>
          <w:jc w:val="center"/>
        </w:trPr>
        <w:tc>
          <w:tcPr>
            <w:tcW w:w="2293" w:type="pct"/>
            <w:shd w:val="clear" w:color="auto" w:fill="45B0E1" w:themeFill="accent1" w:themeFillTint="99"/>
          </w:tcPr>
          <w:p w14:paraId="3EDF73CF" w14:textId="16983F30" w:rsidR="00EE26BA" w:rsidRPr="003F1D1D" w:rsidRDefault="004A642E" w:rsidP="002A7648">
            <w:pPr>
              <w:autoSpaceDE w:val="0"/>
              <w:autoSpaceDN w:val="0"/>
              <w:adjustRightInd w:val="0"/>
              <w:spacing w:after="120" w:line="276" w:lineRule="auto"/>
              <w:jc w:val="both"/>
              <w:rPr>
                <w:b/>
                <w:bCs/>
              </w:rPr>
            </w:pPr>
            <w:r>
              <w:rPr>
                <w:b/>
                <w:bCs/>
              </w:rPr>
              <w:t xml:space="preserve">Role </w:t>
            </w:r>
          </w:p>
        </w:tc>
        <w:tc>
          <w:tcPr>
            <w:tcW w:w="2707" w:type="pct"/>
            <w:shd w:val="clear" w:color="auto" w:fill="45B0E1" w:themeFill="accent1" w:themeFillTint="99"/>
          </w:tcPr>
          <w:p w14:paraId="1D6A9661" w14:textId="77777777" w:rsidR="00EE26BA" w:rsidRPr="003D1AE7" w:rsidRDefault="00EE26BA"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EE26BA" w14:paraId="5A240EBE" w14:textId="77777777" w:rsidTr="002A7648">
        <w:trPr>
          <w:jc w:val="center"/>
        </w:trPr>
        <w:tc>
          <w:tcPr>
            <w:tcW w:w="2293" w:type="pct"/>
          </w:tcPr>
          <w:p w14:paraId="371FD994" w14:textId="22A6379E" w:rsidR="00EE26BA" w:rsidRDefault="004A642E" w:rsidP="002A7648">
            <w:pPr>
              <w:autoSpaceDE w:val="0"/>
              <w:autoSpaceDN w:val="0"/>
              <w:adjustRightInd w:val="0"/>
              <w:spacing w:after="120" w:line="276" w:lineRule="auto"/>
              <w:jc w:val="both"/>
              <w:rPr>
                <w:rFonts w:cstheme="minorHAnsi"/>
                <w:color w:val="000000"/>
                <w:lang w:val="en-AU"/>
              </w:rPr>
            </w:pPr>
            <w:r>
              <w:rPr>
                <w:rFonts w:cstheme="minorHAnsi"/>
              </w:rPr>
              <w:t xml:space="preserve">Ministry </w:t>
            </w:r>
            <w:r w:rsidR="00EE26BA">
              <w:rPr>
                <w:rFonts w:cstheme="minorHAnsi"/>
              </w:rPr>
              <w:t xml:space="preserve"> </w:t>
            </w:r>
          </w:p>
        </w:tc>
        <w:tc>
          <w:tcPr>
            <w:tcW w:w="2707" w:type="pct"/>
          </w:tcPr>
          <w:p w14:paraId="5BEACF6A" w14:textId="0BC58E22" w:rsidR="00EE26BA" w:rsidRDefault="00EE26BA" w:rsidP="002A7648">
            <w:pPr>
              <w:autoSpaceDE w:val="0"/>
              <w:autoSpaceDN w:val="0"/>
              <w:adjustRightInd w:val="0"/>
              <w:spacing w:after="120" w:line="276" w:lineRule="auto"/>
              <w:jc w:val="both"/>
              <w:rPr>
                <w:rFonts w:cstheme="minorHAnsi"/>
                <w:color w:val="000000"/>
                <w:lang w:val="en-AU"/>
              </w:rPr>
            </w:pPr>
            <w:r w:rsidRPr="009F7DE6">
              <w:rPr>
                <w:rFonts w:cstheme="minorHAnsi"/>
              </w:rPr>
              <w:t>1</w:t>
            </w:r>
            <w:r w:rsidR="005F430C">
              <w:rPr>
                <w:rFonts w:cstheme="minorHAnsi"/>
              </w:rPr>
              <w:t>6</w:t>
            </w:r>
            <w:r w:rsidRPr="009F7DE6">
              <w:rPr>
                <w:rFonts w:cstheme="minorHAnsi"/>
              </w:rPr>
              <w:t>%</w:t>
            </w:r>
          </w:p>
        </w:tc>
      </w:tr>
      <w:tr w:rsidR="00EE26BA" w14:paraId="0420B54D" w14:textId="77777777" w:rsidTr="002A7648">
        <w:trPr>
          <w:jc w:val="center"/>
        </w:trPr>
        <w:tc>
          <w:tcPr>
            <w:tcW w:w="2293" w:type="pct"/>
          </w:tcPr>
          <w:p w14:paraId="345664D1" w14:textId="358EFBE7" w:rsidR="00EE26BA" w:rsidRDefault="004A642E" w:rsidP="002A7648">
            <w:pPr>
              <w:autoSpaceDE w:val="0"/>
              <w:autoSpaceDN w:val="0"/>
              <w:adjustRightInd w:val="0"/>
              <w:spacing w:after="120" w:line="276" w:lineRule="auto"/>
              <w:jc w:val="both"/>
              <w:rPr>
                <w:rFonts w:cstheme="minorHAnsi"/>
                <w:color w:val="000000"/>
                <w:lang w:val="en-AU"/>
              </w:rPr>
            </w:pPr>
            <w:r>
              <w:rPr>
                <w:rFonts w:cstheme="minorHAnsi"/>
              </w:rPr>
              <w:t xml:space="preserve">Diplomat </w:t>
            </w:r>
          </w:p>
        </w:tc>
        <w:tc>
          <w:tcPr>
            <w:tcW w:w="2707" w:type="pct"/>
          </w:tcPr>
          <w:p w14:paraId="71667EF0" w14:textId="631FE941" w:rsidR="00EE26BA" w:rsidRDefault="005F430C" w:rsidP="002A7648">
            <w:pPr>
              <w:autoSpaceDE w:val="0"/>
              <w:autoSpaceDN w:val="0"/>
              <w:adjustRightInd w:val="0"/>
              <w:spacing w:after="120" w:line="276" w:lineRule="auto"/>
              <w:jc w:val="both"/>
              <w:rPr>
                <w:rFonts w:cstheme="minorHAnsi"/>
                <w:color w:val="000000"/>
                <w:lang w:val="en-AU"/>
              </w:rPr>
            </w:pPr>
            <w:r>
              <w:rPr>
                <w:rFonts w:cstheme="minorHAnsi"/>
              </w:rPr>
              <w:t>16%</w:t>
            </w:r>
          </w:p>
        </w:tc>
      </w:tr>
      <w:tr w:rsidR="00EE26BA" w14:paraId="5247A2B2" w14:textId="77777777" w:rsidTr="002A7648">
        <w:trPr>
          <w:jc w:val="center"/>
        </w:trPr>
        <w:tc>
          <w:tcPr>
            <w:tcW w:w="2293" w:type="pct"/>
          </w:tcPr>
          <w:p w14:paraId="75D8050A" w14:textId="7D37E1EE" w:rsidR="00EE26BA" w:rsidRDefault="004A642E" w:rsidP="002A7648">
            <w:pPr>
              <w:autoSpaceDE w:val="0"/>
              <w:autoSpaceDN w:val="0"/>
              <w:adjustRightInd w:val="0"/>
              <w:spacing w:after="120" w:line="276" w:lineRule="auto"/>
              <w:jc w:val="both"/>
              <w:rPr>
                <w:rFonts w:cstheme="minorHAnsi"/>
                <w:color w:val="000000"/>
                <w:lang w:val="en-AU"/>
              </w:rPr>
            </w:pPr>
            <w:r>
              <w:rPr>
                <w:rFonts w:cstheme="minorHAnsi"/>
              </w:rPr>
              <w:t>Academic</w:t>
            </w:r>
            <w:r w:rsidR="005F430C">
              <w:rPr>
                <w:rFonts w:cstheme="minorHAnsi"/>
              </w:rPr>
              <w:t xml:space="preserve">/think tank </w:t>
            </w:r>
          </w:p>
        </w:tc>
        <w:tc>
          <w:tcPr>
            <w:tcW w:w="2707" w:type="pct"/>
          </w:tcPr>
          <w:p w14:paraId="7B464811" w14:textId="543692E1" w:rsidR="00EE26BA" w:rsidRDefault="005F430C" w:rsidP="002A7648">
            <w:pPr>
              <w:autoSpaceDE w:val="0"/>
              <w:autoSpaceDN w:val="0"/>
              <w:adjustRightInd w:val="0"/>
              <w:spacing w:after="120" w:line="276" w:lineRule="auto"/>
              <w:jc w:val="both"/>
              <w:rPr>
                <w:rFonts w:cstheme="minorHAnsi"/>
                <w:color w:val="000000"/>
                <w:lang w:val="en-AU"/>
              </w:rPr>
            </w:pPr>
            <w:r>
              <w:rPr>
                <w:rFonts w:cstheme="minorHAnsi"/>
              </w:rPr>
              <w:t>20%</w:t>
            </w:r>
          </w:p>
        </w:tc>
      </w:tr>
      <w:tr w:rsidR="00EE26BA" w14:paraId="125F0389" w14:textId="77777777" w:rsidTr="002A7648">
        <w:trPr>
          <w:jc w:val="center"/>
        </w:trPr>
        <w:tc>
          <w:tcPr>
            <w:tcW w:w="2293" w:type="pct"/>
          </w:tcPr>
          <w:p w14:paraId="21395D82" w14:textId="17632B3A" w:rsidR="00EE26BA" w:rsidRPr="009F7DE6" w:rsidRDefault="00EE26BA" w:rsidP="002A7648">
            <w:pPr>
              <w:autoSpaceDE w:val="0"/>
              <w:autoSpaceDN w:val="0"/>
              <w:adjustRightInd w:val="0"/>
              <w:spacing w:after="120" w:line="276" w:lineRule="auto"/>
              <w:jc w:val="both"/>
              <w:rPr>
                <w:rFonts w:cstheme="minorHAnsi"/>
              </w:rPr>
            </w:pPr>
            <w:r>
              <w:rPr>
                <w:rFonts w:cstheme="minorHAnsi"/>
              </w:rPr>
              <w:t>La</w:t>
            </w:r>
            <w:r w:rsidR="005F430C">
              <w:rPr>
                <w:rFonts w:cstheme="minorHAnsi"/>
              </w:rPr>
              <w:t xml:space="preserve">w Enforcement </w:t>
            </w:r>
          </w:p>
        </w:tc>
        <w:tc>
          <w:tcPr>
            <w:tcW w:w="2707" w:type="pct"/>
          </w:tcPr>
          <w:p w14:paraId="30C50BB6" w14:textId="5612782A" w:rsidR="00EE26BA" w:rsidRPr="009F7DE6" w:rsidRDefault="005F430C" w:rsidP="002A7648">
            <w:pPr>
              <w:autoSpaceDE w:val="0"/>
              <w:autoSpaceDN w:val="0"/>
              <w:adjustRightInd w:val="0"/>
              <w:spacing w:after="120" w:line="276" w:lineRule="auto"/>
              <w:jc w:val="both"/>
              <w:rPr>
                <w:rFonts w:cstheme="minorHAnsi"/>
              </w:rPr>
            </w:pPr>
            <w:r>
              <w:rPr>
                <w:rFonts w:cstheme="minorHAnsi"/>
              </w:rPr>
              <w:t>20%</w:t>
            </w:r>
          </w:p>
        </w:tc>
      </w:tr>
      <w:tr w:rsidR="00EE26BA" w14:paraId="4B0C942C" w14:textId="77777777" w:rsidTr="002A7648">
        <w:trPr>
          <w:jc w:val="center"/>
        </w:trPr>
        <w:tc>
          <w:tcPr>
            <w:tcW w:w="2293" w:type="pct"/>
          </w:tcPr>
          <w:p w14:paraId="62175E02" w14:textId="35093AF8" w:rsidR="00EE26BA" w:rsidRDefault="005F430C" w:rsidP="002A7648">
            <w:pPr>
              <w:autoSpaceDE w:val="0"/>
              <w:autoSpaceDN w:val="0"/>
              <w:adjustRightInd w:val="0"/>
              <w:spacing w:after="120" w:line="276" w:lineRule="auto"/>
              <w:jc w:val="both"/>
              <w:rPr>
                <w:rFonts w:cstheme="minorHAnsi"/>
              </w:rPr>
            </w:pPr>
            <w:r>
              <w:rPr>
                <w:rFonts w:cstheme="minorHAnsi"/>
              </w:rPr>
              <w:t xml:space="preserve">CSO </w:t>
            </w:r>
          </w:p>
        </w:tc>
        <w:tc>
          <w:tcPr>
            <w:tcW w:w="2707" w:type="pct"/>
          </w:tcPr>
          <w:p w14:paraId="357E5841" w14:textId="58A91E65" w:rsidR="00EE26BA" w:rsidRPr="009F7DE6" w:rsidRDefault="005F430C" w:rsidP="002A7648">
            <w:pPr>
              <w:autoSpaceDE w:val="0"/>
              <w:autoSpaceDN w:val="0"/>
              <w:adjustRightInd w:val="0"/>
              <w:spacing w:after="120" w:line="276" w:lineRule="auto"/>
              <w:jc w:val="both"/>
              <w:rPr>
                <w:rFonts w:cstheme="minorHAnsi"/>
              </w:rPr>
            </w:pPr>
            <w:r>
              <w:rPr>
                <w:rFonts w:cstheme="minorHAnsi"/>
              </w:rPr>
              <w:t>12%</w:t>
            </w:r>
          </w:p>
        </w:tc>
      </w:tr>
      <w:tr w:rsidR="005F430C" w14:paraId="79A773A7" w14:textId="77777777" w:rsidTr="002A7648">
        <w:trPr>
          <w:jc w:val="center"/>
        </w:trPr>
        <w:tc>
          <w:tcPr>
            <w:tcW w:w="2293" w:type="pct"/>
          </w:tcPr>
          <w:p w14:paraId="75B20AA9" w14:textId="23DE7C94" w:rsidR="005F430C" w:rsidRDefault="005F430C" w:rsidP="002A7648">
            <w:pPr>
              <w:autoSpaceDE w:val="0"/>
              <w:autoSpaceDN w:val="0"/>
              <w:adjustRightInd w:val="0"/>
              <w:spacing w:after="120" w:line="276" w:lineRule="auto"/>
              <w:jc w:val="both"/>
              <w:rPr>
                <w:rFonts w:cstheme="minorHAnsi"/>
              </w:rPr>
            </w:pPr>
            <w:r>
              <w:rPr>
                <w:rFonts w:cstheme="minorHAnsi"/>
              </w:rPr>
              <w:t xml:space="preserve">Other </w:t>
            </w:r>
          </w:p>
        </w:tc>
        <w:tc>
          <w:tcPr>
            <w:tcW w:w="2707" w:type="pct"/>
          </w:tcPr>
          <w:p w14:paraId="4A4FFCF1" w14:textId="14EB20AC" w:rsidR="005F430C" w:rsidRDefault="005F430C" w:rsidP="002A7648">
            <w:pPr>
              <w:autoSpaceDE w:val="0"/>
              <w:autoSpaceDN w:val="0"/>
              <w:adjustRightInd w:val="0"/>
              <w:spacing w:after="120" w:line="276" w:lineRule="auto"/>
              <w:jc w:val="both"/>
              <w:rPr>
                <w:rFonts w:cstheme="minorHAnsi"/>
              </w:rPr>
            </w:pPr>
            <w:r>
              <w:rPr>
                <w:rFonts w:cstheme="minorHAnsi"/>
              </w:rPr>
              <w:t>16%</w:t>
            </w:r>
          </w:p>
        </w:tc>
      </w:tr>
    </w:tbl>
    <w:p w14:paraId="762A92C1" w14:textId="77777777" w:rsidR="005F430C" w:rsidRDefault="005F430C" w:rsidP="00903D77">
      <w:pPr>
        <w:pStyle w:val="ListParagraph"/>
        <w:spacing w:after="0" w:line="276" w:lineRule="auto"/>
        <w:contextualSpacing w:val="0"/>
        <w:jc w:val="both"/>
        <w:rPr>
          <w:rFonts w:cstheme="minorHAnsi"/>
          <w:color w:val="000000"/>
          <w:lang w:val="en-AU"/>
        </w:rPr>
      </w:pPr>
    </w:p>
    <w:tbl>
      <w:tblPr>
        <w:tblStyle w:val="TableGrid"/>
        <w:tblW w:w="3042" w:type="pct"/>
        <w:jc w:val="center"/>
        <w:tblLook w:val="0420" w:firstRow="1" w:lastRow="0" w:firstColumn="0" w:lastColumn="0" w:noHBand="0" w:noVBand="1"/>
      </w:tblPr>
      <w:tblGrid>
        <w:gridCol w:w="2515"/>
        <w:gridCol w:w="2970"/>
      </w:tblGrid>
      <w:tr w:rsidR="005F430C" w14:paraId="082D7A56" w14:textId="77777777" w:rsidTr="002A7648">
        <w:trPr>
          <w:tblHeader/>
          <w:jc w:val="center"/>
        </w:trPr>
        <w:tc>
          <w:tcPr>
            <w:tcW w:w="2293" w:type="pct"/>
            <w:shd w:val="clear" w:color="auto" w:fill="45B0E1" w:themeFill="accent1" w:themeFillTint="99"/>
          </w:tcPr>
          <w:p w14:paraId="270AFD61" w14:textId="4B840D6C" w:rsidR="005F430C" w:rsidRPr="003F1D1D" w:rsidRDefault="005F430C" w:rsidP="002A7648">
            <w:pPr>
              <w:autoSpaceDE w:val="0"/>
              <w:autoSpaceDN w:val="0"/>
              <w:adjustRightInd w:val="0"/>
              <w:spacing w:after="120" w:line="276" w:lineRule="auto"/>
              <w:jc w:val="both"/>
              <w:rPr>
                <w:b/>
                <w:bCs/>
              </w:rPr>
            </w:pPr>
            <w:r>
              <w:rPr>
                <w:b/>
                <w:bCs/>
              </w:rPr>
              <w:t>Invol</w:t>
            </w:r>
            <w:r w:rsidR="00BA6002">
              <w:rPr>
                <w:b/>
                <w:bCs/>
              </w:rPr>
              <w:t xml:space="preserve">vement </w:t>
            </w:r>
            <w:r>
              <w:rPr>
                <w:b/>
                <w:bCs/>
              </w:rPr>
              <w:t xml:space="preserve"> </w:t>
            </w:r>
          </w:p>
        </w:tc>
        <w:tc>
          <w:tcPr>
            <w:tcW w:w="2707" w:type="pct"/>
            <w:shd w:val="clear" w:color="auto" w:fill="45B0E1" w:themeFill="accent1" w:themeFillTint="99"/>
          </w:tcPr>
          <w:p w14:paraId="6BA731C6" w14:textId="77777777" w:rsidR="005F430C" w:rsidRPr="003D1AE7" w:rsidRDefault="005F430C"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5F430C" w14:paraId="17C49667" w14:textId="77777777" w:rsidTr="002A7648">
        <w:trPr>
          <w:jc w:val="center"/>
        </w:trPr>
        <w:tc>
          <w:tcPr>
            <w:tcW w:w="2293" w:type="pct"/>
          </w:tcPr>
          <w:p w14:paraId="53BADD07" w14:textId="14402416" w:rsidR="005F430C" w:rsidRDefault="00BA6002" w:rsidP="002A7648">
            <w:pPr>
              <w:autoSpaceDE w:val="0"/>
              <w:autoSpaceDN w:val="0"/>
              <w:adjustRightInd w:val="0"/>
              <w:spacing w:after="120" w:line="276" w:lineRule="auto"/>
              <w:jc w:val="both"/>
              <w:rPr>
                <w:rFonts w:cstheme="minorHAnsi"/>
                <w:color w:val="000000"/>
                <w:lang w:val="en-AU"/>
              </w:rPr>
            </w:pPr>
            <w:r>
              <w:rPr>
                <w:rFonts w:cstheme="minorHAnsi"/>
              </w:rPr>
              <w:t xml:space="preserve">Participant </w:t>
            </w:r>
            <w:r w:rsidR="005F430C">
              <w:rPr>
                <w:rFonts w:cstheme="minorHAnsi"/>
              </w:rPr>
              <w:t xml:space="preserve"> </w:t>
            </w:r>
          </w:p>
        </w:tc>
        <w:tc>
          <w:tcPr>
            <w:tcW w:w="2707" w:type="pct"/>
          </w:tcPr>
          <w:p w14:paraId="42BE40B1" w14:textId="0515F714" w:rsidR="005F430C" w:rsidRDefault="00BA6002" w:rsidP="002A7648">
            <w:pPr>
              <w:autoSpaceDE w:val="0"/>
              <w:autoSpaceDN w:val="0"/>
              <w:adjustRightInd w:val="0"/>
              <w:spacing w:after="120" w:line="276" w:lineRule="auto"/>
              <w:jc w:val="both"/>
              <w:rPr>
                <w:rFonts w:cstheme="minorHAnsi"/>
                <w:color w:val="000000"/>
                <w:lang w:val="en-AU"/>
              </w:rPr>
            </w:pPr>
            <w:r>
              <w:rPr>
                <w:rFonts w:cstheme="minorHAnsi"/>
              </w:rPr>
              <w:t>68%</w:t>
            </w:r>
          </w:p>
        </w:tc>
      </w:tr>
      <w:tr w:rsidR="005F430C" w14:paraId="6B0BC204" w14:textId="77777777" w:rsidTr="002A7648">
        <w:trPr>
          <w:jc w:val="center"/>
        </w:trPr>
        <w:tc>
          <w:tcPr>
            <w:tcW w:w="2293" w:type="pct"/>
          </w:tcPr>
          <w:p w14:paraId="6BCAA78F" w14:textId="77361C94" w:rsidR="005F430C" w:rsidRDefault="00BA6002" w:rsidP="002A7648">
            <w:pPr>
              <w:autoSpaceDE w:val="0"/>
              <w:autoSpaceDN w:val="0"/>
              <w:adjustRightInd w:val="0"/>
              <w:spacing w:after="120" w:line="276" w:lineRule="auto"/>
              <w:jc w:val="both"/>
              <w:rPr>
                <w:rFonts w:cstheme="minorHAnsi"/>
                <w:color w:val="000000"/>
                <w:lang w:val="en-AU"/>
              </w:rPr>
            </w:pPr>
            <w:r>
              <w:rPr>
                <w:rFonts w:cstheme="minorHAnsi"/>
              </w:rPr>
              <w:t xml:space="preserve">Resource Person </w:t>
            </w:r>
            <w:r w:rsidR="005F430C">
              <w:rPr>
                <w:rFonts w:cstheme="minorHAnsi"/>
              </w:rPr>
              <w:t xml:space="preserve"> </w:t>
            </w:r>
          </w:p>
        </w:tc>
        <w:tc>
          <w:tcPr>
            <w:tcW w:w="2707" w:type="pct"/>
          </w:tcPr>
          <w:p w14:paraId="588B175A" w14:textId="71BB5BAA" w:rsidR="005F430C" w:rsidRDefault="00BA6002" w:rsidP="002A7648">
            <w:pPr>
              <w:autoSpaceDE w:val="0"/>
              <w:autoSpaceDN w:val="0"/>
              <w:adjustRightInd w:val="0"/>
              <w:spacing w:after="120" w:line="276" w:lineRule="auto"/>
              <w:jc w:val="both"/>
              <w:rPr>
                <w:rFonts w:cstheme="minorHAnsi"/>
                <w:color w:val="000000"/>
                <w:lang w:val="en-AU"/>
              </w:rPr>
            </w:pPr>
            <w:r>
              <w:rPr>
                <w:rFonts w:cstheme="minorHAnsi"/>
              </w:rPr>
              <w:t>24%</w:t>
            </w:r>
          </w:p>
        </w:tc>
      </w:tr>
      <w:tr w:rsidR="005F430C" w14:paraId="25A067A1" w14:textId="77777777" w:rsidTr="002A7648">
        <w:trPr>
          <w:jc w:val="center"/>
        </w:trPr>
        <w:tc>
          <w:tcPr>
            <w:tcW w:w="2293" w:type="pct"/>
          </w:tcPr>
          <w:p w14:paraId="3D1F09FD" w14:textId="4BE3CD65" w:rsidR="005F430C" w:rsidRDefault="00BA6002" w:rsidP="002A7648">
            <w:pPr>
              <w:autoSpaceDE w:val="0"/>
              <w:autoSpaceDN w:val="0"/>
              <w:adjustRightInd w:val="0"/>
              <w:spacing w:after="120" w:line="276" w:lineRule="auto"/>
              <w:jc w:val="both"/>
              <w:rPr>
                <w:rFonts w:cstheme="minorHAnsi"/>
                <w:color w:val="000000"/>
                <w:lang w:val="en-AU"/>
              </w:rPr>
            </w:pPr>
            <w:r>
              <w:rPr>
                <w:rFonts w:cstheme="minorHAnsi"/>
              </w:rPr>
              <w:t xml:space="preserve">Focal Point </w:t>
            </w:r>
          </w:p>
        </w:tc>
        <w:tc>
          <w:tcPr>
            <w:tcW w:w="2707" w:type="pct"/>
          </w:tcPr>
          <w:p w14:paraId="6ACF1689" w14:textId="12C8ADE0" w:rsidR="005F430C" w:rsidRDefault="00BA6002"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4%</w:t>
            </w:r>
          </w:p>
        </w:tc>
      </w:tr>
      <w:tr w:rsidR="005F430C" w14:paraId="38075320" w14:textId="77777777" w:rsidTr="002A7648">
        <w:trPr>
          <w:jc w:val="center"/>
        </w:trPr>
        <w:tc>
          <w:tcPr>
            <w:tcW w:w="2293" w:type="pct"/>
          </w:tcPr>
          <w:p w14:paraId="15B447A9" w14:textId="50FFB47F" w:rsidR="005F430C" w:rsidRPr="009F7DE6" w:rsidRDefault="00BA6002" w:rsidP="002A7648">
            <w:pPr>
              <w:autoSpaceDE w:val="0"/>
              <w:autoSpaceDN w:val="0"/>
              <w:adjustRightInd w:val="0"/>
              <w:spacing w:after="120" w:line="276" w:lineRule="auto"/>
              <w:jc w:val="both"/>
              <w:rPr>
                <w:rFonts w:cstheme="minorHAnsi"/>
              </w:rPr>
            </w:pPr>
            <w:r>
              <w:rPr>
                <w:rFonts w:cstheme="minorHAnsi"/>
              </w:rPr>
              <w:t xml:space="preserve">Observer </w:t>
            </w:r>
            <w:r w:rsidR="005F430C">
              <w:rPr>
                <w:rFonts w:cstheme="minorHAnsi"/>
              </w:rPr>
              <w:t xml:space="preserve"> </w:t>
            </w:r>
          </w:p>
        </w:tc>
        <w:tc>
          <w:tcPr>
            <w:tcW w:w="2707" w:type="pct"/>
          </w:tcPr>
          <w:p w14:paraId="402DCC67" w14:textId="55CCC3EF" w:rsidR="005F430C" w:rsidRPr="009F7DE6" w:rsidRDefault="00BA6002" w:rsidP="002A7648">
            <w:pPr>
              <w:autoSpaceDE w:val="0"/>
              <w:autoSpaceDN w:val="0"/>
              <w:adjustRightInd w:val="0"/>
              <w:spacing w:after="120" w:line="276" w:lineRule="auto"/>
              <w:jc w:val="both"/>
              <w:rPr>
                <w:rFonts w:cstheme="minorHAnsi"/>
              </w:rPr>
            </w:pPr>
            <w:r>
              <w:rPr>
                <w:rFonts w:cstheme="minorHAnsi"/>
              </w:rPr>
              <w:t>4%</w:t>
            </w:r>
          </w:p>
        </w:tc>
      </w:tr>
    </w:tbl>
    <w:p w14:paraId="335978C8" w14:textId="0BC3144F" w:rsidR="00175014" w:rsidRPr="00363B6A" w:rsidRDefault="00F5596D" w:rsidP="002A7648">
      <w:pPr>
        <w:pStyle w:val="ListParagraph"/>
        <w:numPr>
          <w:ilvl w:val="0"/>
          <w:numId w:val="21"/>
        </w:numPr>
        <w:spacing w:before="240" w:after="120" w:line="276" w:lineRule="auto"/>
        <w:ind w:left="714" w:hanging="357"/>
        <w:contextualSpacing w:val="0"/>
        <w:jc w:val="both"/>
        <w:rPr>
          <w:rFonts w:cstheme="minorHAnsi"/>
          <w:color w:val="000000"/>
          <w:lang w:val="en-AU"/>
        </w:rPr>
      </w:pPr>
      <w:r w:rsidRPr="007C3B9D">
        <w:rPr>
          <w:rFonts w:cstheme="minorHAnsi"/>
          <w:i/>
          <w:iCs/>
          <w:color w:val="0F4761" w:themeColor="accent1" w:themeShade="BF"/>
          <w:lang w:val="en-AU"/>
        </w:rPr>
        <w:t>Program</w:t>
      </w:r>
      <w:r w:rsidR="690FC37C" w:rsidRPr="007C3B9D">
        <w:rPr>
          <w:rFonts w:cstheme="minorHAnsi"/>
          <w:i/>
          <w:iCs/>
          <w:color w:val="0F4761" w:themeColor="accent1" w:themeShade="BF"/>
          <w:lang w:val="en-AU"/>
        </w:rPr>
        <w:t xml:space="preserve"> activity observation</w:t>
      </w:r>
      <w:r w:rsidR="690FC37C" w:rsidRPr="007C3B9D">
        <w:rPr>
          <w:rFonts w:cstheme="minorHAnsi"/>
          <w:color w:val="000000" w:themeColor="text1"/>
          <w:lang w:val="en-AU"/>
        </w:rPr>
        <w:t xml:space="preserve">: </w:t>
      </w:r>
      <w:r w:rsidR="00175014" w:rsidRPr="007C3B9D">
        <w:rPr>
          <w:rFonts w:cstheme="minorHAnsi"/>
          <w:color w:val="000000" w:themeColor="text1"/>
          <w:lang w:val="en-AU"/>
        </w:rPr>
        <w:t>The</w:t>
      </w:r>
      <w:r w:rsidR="00352EA9" w:rsidRPr="007C3B9D">
        <w:rPr>
          <w:rFonts w:cstheme="minorHAnsi"/>
          <w:color w:val="000000" w:themeColor="text1"/>
          <w:lang w:val="en-AU"/>
        </w:rPr>
        <w:t xml:space="preserve"> evaluation team observed and participated in the </w:t>
      </w:r>
      <w:r w:rsidR="00DC5E45" w:rsidRPr="007C3B9D">
        <w:rPr>
          <w:rFonts w:cstheme="minorHAnsi"/>
          <w:color w:val="000000" w:themeColor="text1"/>
          <w:lang w:val="en-AU"/>
        </w:rPr>
        <w:t xml:space="preserve">APSP </w:t>
      </w:r>
      <w:r w:rsidR="00BA43A5" w:rsidRPr="007C3B9D">
        <w:rPr>
          <w:rFonts w:cstheme="minorHAnsi"/>
          <w:color w:val="000000" w:themeColor="text1"/>
          <w:lang w:val="en-AU"/>
        </w:rPr>
        <w:t>Semi-annual</w:t>
      </w:r>
      <w:r w:rsidR="00CA2611" w:rsidRPr="007C3B9D">
        <w:rPr>
          <w:rFonts w:cstheme="minorHAnsi"/>
          <w:color w:val="000000" w:themeColor="text1"/>
          <w:lang w:val="en-AU"/>
        </w:rPr>
        <w:t xml:space="preserve"> Review in August 2024, which provided real-time insights into the program’s progress. </w:t>
      </w:r>
      <w:r w:rsidR="0039659C" w:rsidRPr="007C3B9D">
        <w:rPr>
          <w:rFonts w:cstheme="minorHAnsi"/>
          <w:color w:val="000000" w:themeColor="text1"/>
          <w:lang w:val="en-AU"/>
        </w:rPr>
        <w:t>Additionally</w:t>
      </w:r>
      <w:r w:rsidR="00CA2611" w:rsidRPr="007C3B9D">
        <w:rPr>
          <w:rFonts w:cstheme="minorHAnsi"/>
          <w:color w:val="000000" w:themeColor="text1"/>
          <w:lang w:val="en-AU"/>
        </w:rPr>
        <w:t xml:space="preserve">, </w:t>
      </w:r>
      <w:r w:rsidR="00352EA9" w:rsidRPr="007C3B9D">
        <w:rPr>
          <w:rFonts w:cstheme="minorHAnsi"/>
          <w:color w:val="000000" w:themeColor="text1"/>
          <w:lang w:val="en-AU"/>
        </w:rPr>
        <w:t xml:space="preserve">the evaluation team </w:t>
      </w:r>
      <w:r w:rsidR="690FC37C" w:rsidRPr="007C3B9D">
        <w:rPr>
          <w:rFonts w:cstheme="minorHAnsi"/>
          <w:color w:val="000000" w:themeColor="text1"/>
          <w:lang w:val="en-AU"/>
        </w:rPr>
        <w:t>observe</w:t>
      </w:r>
      <w:r w:rsidR="00175014" w:rsidRPr="007C3B9D">
        <w:rPr>
          <w:rFonts w:cstheme="minorHAnsi"/>
          <w:color w:val="000000" w:themeColor="text1"/>
          <w:lang w:val="en-AU"/>
        </w:rPr>
        <w:t>d</w:t>
      </w:r>
      <w:r w:rsidR="690FC37C" w:rsidRPr="007C3B9D">
        <w:rPr>
          <w:rFonts w:cstheme="minorHAnsi"/>
          <w:color w:val="000000" w:themeColor="text1"/>
          <w:lang w:val="en-AU"/>
        </w:rPr>
        <w:t xml:space="preserve"> </w:t>
      </w:r>
      <w:r w:rsidR="005573A2" w:rsidRPr="007C3B9D">
        <w:rPr>
          <w:rFonts w:cstheme="minorHAnsi"/>
          <w:color w:val="000000" w:themeColor="text1"/>
          <w:lang w:val="en-AU"/>
        </w:rPr>
        <w:t>an ASEAN-Australia workshop</w:t>
      </w:r>
      <w:r w:rsidR="690FC37C" w:rsidRPr="007C3B9D">
        <w:rPr>
          <w:rFonts w:cstheme="minorHAnsi"/>
          <w:color w:val="000000" w:themeColor="text1"/>
          <w:lang w:val="en-AU"/>
        </w:rPr>
        <w:t xml:space="preserve"> in </w:t>
      </w:r>
      <w:r w:rsidR="00CA2611" w:rsidRPr="007C3B9D">
        <w:rPr>
          <w:rFonts w:cstheme="minorHAnsi"/>
          <w:color w:val="000000" w:themeColor="text1"/>
          <w:lang w:val="en-AU"/>
        </w:rPr>
        <w:t>Bangkok on 17</w:t>
      </w:r>
      <w:r w:rsidR="005573A2" w:rsidRPr="007C3B9D">
        <w:rPr>
          <w:rFonts w:cstheme="minorHAnsi"/>
          <w:color w:val="000000" w:themeColor="text1"/>
          <w:lang w:val="en-AU"/>
        </w:rPr>
        <w:t xml:space="preserve"> and 18</w:t>
      </w:r>
      <w:r w:rsidR="00CA2611" w:rsidRPr="007C3B9D">
        <w:rPr>
          <w:rFonts w:cstheme="minorHAnsi"/>
          <w:color w:val="000000" w:themeColor="text1"/>
          <w:lang w:val="en-AU"/>
        </w:rPr>
        <w:t xml:space="preserve"> September 2024</w:t>
      </w:r>
      <w:r w:rsidR="690FC37C" w:rsidRPr="007C3B9D">
        <w:rPr>
          <w:rFonts w:cstheme="minorHAnsi"/>
          <w:color w:val="000000" w:themeColor="text1"/>
          <w:lang w:val="en-AU"/>
        </w:rPr>
        <w:t>.</w:t>
      </w:r>
    </w:p>
    <w:p w14:paraId="7658B982" w14:textId="77777777" w:rsidR="00175014" w:rsidRPr="007C3B9D" w:rsidRDefault="005C7EAE" w:rsidP="00903D77">
      <w:pPr>
        <w:pStyle w:val="ListParagraph"/>
        <w:numPr>
          <w:ilvl w:val="0"/>
          <w:numId w:val="21"/>
        </w:numPr>
        <w:spacing w:after="120" w:line="276" w:lineRule="auto"/>
        <w:contextualSpacing w:val="0"/>
        <w:jc w:val="both"/>
        <w:rPr>
          <w:rFonts w:cstheme="minorHAnsi"/>
          <w:color w:val="000000"/>
          <w:lang w:val="en-AU"/>
        </w:rPr>
      </w:pPr>
      <w:r w:rsidRPr="007C3B9D">
        <w:rPr>
          <w:rFonts w:cstheme="minorHAnsi"/>
          <w:i/>
          <w:iCs/>
          <w:color w:val="0F4761" w:themeColor="accent1" w:themeShade="BF"/>
          <w:lang w:val="en-AU"/>
        </w:rPr>
        <w:t>Case studies:</w:t>
      </w:r>
      <w:r w:rsidRPr="007C3B9D">
        <w:rPr>
          <w:rFonts w:cstheme="minorHAnsi"/>
          <w:color w:val="0F4761" w:themeColor="accent1" w:themeShade="BF"/>
          <w:lang w:val="en-AU"/>
        </w:rPr>
        <w:t xml:space="preserve"> </w:t>
      </w:r>
      <w:r w:rsidRPr="007C3B9D">
        <w:rPr>
          <w:rFonts w:cstheme="minorHAnsi"/>
          <w:lang w:val="en-AU"/>
        </w:rPr>
        <w:t xml:space="preserve">The evaluators </w:t>
      </w:r>
      <w:r w:rsidR="00175014" w:rsidRPr="007C3B9D">
        <w:rPr>
          <w:rFonts w:cstheme="minorHAnsi"/>
          <w:lang w:val="en-AU"/>
        </w:rPr>
        <w:t>prepared</w:t>
      </w:r>
      <w:r w:rsidRPr="007C3B9D">
        <w:rPr>
          <w:rFonts w:cstheme="minorHAnsi"/>
          <w:lang w:val="en-AU"/>
        </w:rPr>
        <w:t xml:space="preserve"> two case studies on issues that highlight </w:t>
      </w:r>
      <w:r w:rsidR="00175014" w:rsidRPr="007C3B9D">
        <w:rPr>
          <w:rFonts w:cstheme="minorHAnsi"/>
          <w:lang w:val="en-AU"/>
        </w:rPr>
        <w:t>areas</w:t>
      </w:r>
      <w:r w:rsidRPr="007C3B9D">
        <w:rPr>
          <w:rFonts w:cstheme="minorHAnsi"/>
          <w:lang w:val="en-AU"/>
        </w:rPr>
        <w:t xml:space="preserve"> of relevance in the design of a future iteration of APSP. </w:t>
      </w:r>
      <w:r w:rsidR="00175014" w:rsidRPr="007C3B9D">
        <w:rPr>
          <w:rFonts w:cstheme="minorHAnsi"/>
          <w:lang w:val="en-AU"/>
        </w:rPr>
        <w:t>These case studies examine the following areas:</w:t>
      </w:r>
    </w:p>
    <w:p w14:paraId="0A01A143" w14:textId="2CD93460" w:rsidR="00175014" w:rsidRPr="007C3B9D" w:rsidRDefault="000E63CF" w:rsidP="00903D77">
      <w:pPr>
        <w:pStyle w:val="ListParagraph"/>
        <w:numPr>
          <w:ilvl w:val="1"/>
          <w:numId w:val="21"/>
        </w:numPr>
        <w:spacing w:after="0" w:line="276" w:lineRule="auto"/>
        <w:contextualSpacing w:val="0"/>
        <w:jc w:val="both"/>
        <w:rPr>
          <w:rFonts w:cstheme="minorHAnsi"/>
          <w:color w:val="000000"/>
          <w:lang w:val="en-AU"/>
        </w:rPr>
      </w:pPr>
      <w:r w:rsidRPr="007C3B9D">
        <w:rPr>
          <w:lang w:val="en-AU"/>
        </w:rPr>
        <w:t>OGD component, focusing on how APSP commenced with a dedicated component on OGDs</w:t>
      </w:r>
      <w:r w:rsidR="00437ECC" w:rsidRPr="007C3B9D">
        <w:rPr>
          <w:lang w:val="en-AU"/>
        </w:rPr>
        <w:t xml:space="preserve">, with an </w:t>
      </w:r>
      <w:r w:rsidRPr="007C3B9D">
        <w:rPr>
          <w:lang w:val="en-AU"/>
        </w:rPr>
        <w:t xml:space="preserve">adaptive approach in the latter </w:t>
      </w:r>
      <w:r w:rsidR="00437ECC" w:rsidRPr="007C3B9D">
        <w:rPr>
          <w:lang w:val="en-AU"/>
        </w:rPr>
        <w:t xml:space="preserve">program period of the program, focusing on </w:t>
      </w:r>
      <w:r w:rsidRPr="007C3B9D">
        <w:rPr>
          <w:lang w:val="en-AU"/>
        </w:rPr>
        <w:t>how OG</w:t>
      </w:r>
      <w:r w:rsidR="00C24DC2" w:rsidRPr="007C3B9D">
        <w:rPr>
          <w:lang w:val="en-AU"/>
        </w:rPr>
        <w:t>D</w:t>
      </w:r>
      <w:r w:rsidRPr="007C3B9D">
        <w:rPr>
          <w:lang w:val="en-AU"/>
        </w:rPr>
        <w:t xml:space="preserve">s have responded to the approach and involvement in </w:t>
      </w:r>
      <w:proofErr w:type="gramStart"/>
      <w:r w:rsidRPr="007C3B9D">
        <w:rPr>
          <w:lang w:val="en-AU"/>
        </w:rPr>
        <w:t>APSP</w:t>
      </w:r>
      <w:r w:rsidR="00363B6A">
        <w:rPr>
          <w:lang w:val="en-AU"/>
        </w:rPr>
        <w:t>;</w:t>
      </w:r>
      <w:proofErr w:type="gramEnd"/>
    </w:p>
    <w:p w14:paraId="1D44CA17" w14:textId="55A410F0" w:rsidR="00E2301E" w:rsidRPr="007C3B9D" w:rsidRDefault="000E63CF" w:rsidP="00903D77">
      <w:pPr>
        <w:pStyle w:val="ListParagraph"/>
        <w:numPr>
          <w:ilvl w:val="1"/>
          <w:numId w:val="21"/>
        </w:numPr>
        <w:spacing w:after="120" w:line="276" w:lineRule="auto"/>
        <w:contextualSpacing w:val="0"/>
        <w:jc w:val="both"/>
        <w:rPr>
          <w:rFonts w:cstheme="minorHAnsi"/>
          <w:color w:val="000000"/>
          <w:lang w:val="en-AU"/>
        </w:rPr>
      </w:pPr>
      <w:r w:rsidRPr="007C3B9D">
        <w:rPr>
          <w:lang w:val="en-AU"/>
        </w:rPr>
        <w:t>WPS polic</w:t>
      </w:r>
      <w:r w:rsidR="00437ECC" w:rsidRPr="007C3B9D">
        <w:rPr>
          <w:lang w:val="en-AU"/>
        </w:rPr>
        <w:t xml:space="preserve">y, focusing on </w:t>
      </w:r>
      <w:r w:rsidRPr="007C3B9D">
        <w:rPr>
          <w:lang w:val="en-AU"/>
        </w:rPr>
        <w:t xml:space="preserve">how APSP works in a crowded and cross-sectoral space </w:t>
      </w:r>
      <w:r w:rsidR="00437ECC" w:rsidRPr="007C3B9D">
        <w:rPr>
          <w:lang w:val="en-AU"/>
        </w:rPr>
        <w:t>despite challenges related to</w:t>
      </w:r>
      <w:r w:rsidRPr="007C3B9D">
        <w:rPr>
          <w:lang w:val="en-AU"/>
        </w:rPr>
        <w:t xml:space="preserve"> engagement </w:t>
      </w:r>
      <w:r w:rsidR="00437ECC" w:rsidRPr="007C3B9D">
        <w:rPr>
          <w:lang w:val="en-AU"/>
        </w:rPr>
        <w:t>in the</w:t>
      </w:r>
      <w:r w:rsidRPr="007C3B9D">
        <w:rPr>
          <w:lang w:val="en-AU"/>
        </w:rPr>
        <w:t xml:space="preserve"> political security</w:t>
      </w:r>
      <w:r w:rsidR="00363B6A">
        <w:rPr>
          <w:lang w:val="en-AU"/>
        </w:rPr>
        <w:t>.</w:t>
      </w:r>
    </w:p>
    <w:p w14:paraId="6FF2975E" w14:textId="28510626" w:rsidR="00F84232" w:rsidRDefault="004463A5" w:rsidP="00446279">
      <w:pPr>
        <w:pStyle w:val="Heading2"/>
      </w:pPr>
      <w:bookmarkStart w:id="12" w:name="_Toc206492262"/>
      <w:r w:rsidRPr="007C3B9D">
        <w:lastRenderedPageBreak/>
        <w:t>Evaluation constraints</w:t>
      </w:r>
      <w:bookmarkEnd w:id="12"/>
    </w:p>
    <w:p w14:paraId="69AE78DB" w14:textId="35A10E96" w:rsidR="00175014" w:rsidRPr="007C3B9D" w:rsidRDefault="00633968" w:rsidP="00903D77">
      <w:pPr>
        <w:spacing w:after="120" w:line="276" w:lineRule="auto"/>
        <w:jc w:val="both"/>
        <w:rPr>
          <w:rFonts w:cs="Calibri"/>
          <w:lang w:val="en-AU"/>
        </w:rPr>
      </w:pPr>
      <w:r w:rsidRPr="007C3B9D">
        <w:rPr>
          <w:rFonts w:cs="Calibri"/>
          <w:lang w:val="en-AU"/>
        </w:rPr>
        <w:t xml:space="preserve">The evaluation </w:t>
      </w:r>
      <w:r w:rsidR="00175014" w:rsidRPr="007C3B9D">
        <w:rPr>
          <w:rFonts w:cs="Calibri"/>
          <w:lang w:val="en-AU"/>
        </w:rPr>
        <w:t>proceeded</w:t>
      </w:r>
      <w:r w:rsidRPr="007C3B9D">
        <w:rPr>
          <w:rFonts w:cs="Calibri"/>
          <w:lang w:val="en-AU"/>
        </w:rPr>
        <w:t xml:space="preserve"> smoothly, with </w:t>
      </w:r>
      <w:r w:rsidR="007D04EA" w:rsidRPr="007C3B9D">
        <w:rPr>
          <w:rFonts w:cs="Calibri"/>
          <w:lang w:val="en-AU"/>
        </w:rPr>
        <w:t>TAF and DFAT</w:t>
      </w:r>
      <w:r w:rsidRPr="007C3B9D">
        <w:rPr>
          <w:rFonts w:cs="Calibri"/>
          <w:lang w:val="en-AU"/>
        </w:rPr>
        <w:t xml:space="preserve"> </w:t>
      </w:r>
      <w:r w:rsidR="00175014" w:rsidRPr="007C3B9D">
        <w:rPr>
          <w:rFonts w:cs="Calibri"/>
          <w:lang w:val="en-AU"/>
        </w:rPr>
        <w:t>highly responsive to requests for information</w:t>
      </w:r>
      <w:r w:rsidR="00BA0CE3" w:rsidRPr="007C3B9D">
        <w:rPr>
          <w:rFonts w:cs="Calibri"/>
          <w:lang w:val="en-AU"/>
        </w:rPr>
        <w:t xml:space="preserve">, and regular meetings held </w:t>
      </w:r>
      <w:r w:rsidR="004463A5" w:rsidRPr="007C3B9D">
        <w:rPr>
          <w:rFonts w:cs="Calibri"/>
          <w:lang w:val="en-AU"/>
        </w:rPr>
        <w:t>in order</w:t>
      </w:r>
      <w:r w:rsidR="00BA0CE3" w:rsidRPr="007C3B9D">
        <w:rPr>
          <w:rFonts w:cs="Calibri"/>
          <w:lang w:val="en-AU"/>
        </w:rPr>
        <w:t xml:space="preserve"> plan </w:t>
      </w:r>
      <w:r w:rsidR="00175014" w:rsidRPr="007C3B9D">
        <w:rPr>
          <w:rFonts w:cs="Calibri"/>
          <w:lang w:val="en-AU"/>
        </w:rPr>
        <w:t>and implement each of the phases</w:t>
      </w:r>
      <w:r w:rsidR="00BA0CE3" w:rsidRPr="007C3B9D">
        <w:rPr>
          <w:rFonts w:cs="Calibri"/>
          <w:lang w:val="en-AU"/>
        </w:rPr>
        <w:t>.</w:t>
      </w:r>
      <w:r w:rsidRPr="007C3B9D">
        <w:rPr>
          <w:rFonts w:cs="Calibri"/>
          <w:lang w:val="en-AU"/>
        </w:rPr>
        <w:t xml:space="preserve"> </w:t>
      </w:r>
      <w:r w:rsidR="00175014" w:rsidRPr="007C3B9D">
        <w:rPr>
          <w:rFonts w:cs="Calibri"/>
          <w:lang w:val="en-AU"/>
        </w:rPr>
        <w:t xml:space="preserve">Furthermore, key informants were largely highly available, and enthusiastic and </w:t>
      </w:r>
      <w:r w:rsidR="004463A5" w:rsidRPr="007C3B9D">
        <w:rPr>
          <w:rFonts w:cs="Calibri"/>
          <w:lang w:val="en-AU"/>
        </w:rPr>
        <w:t>forthcoming</w:t>
      </w:r>
      <w:r w:rsidR="00175014" w:rsidRPr="007C3B9D">
        <w:rPr>
          <w:rFonts w:cs="Calibri"/>
          <w:lang w:val="en-AU"/>
        </w:rPr>
        <w:t xml:space="preserve"> </w:t>
      </w:r>
      <w:r w:rsidR="004463A5" w:rsidRPr="007C3B9D">
        <w:rPr>
          <w:rFonts w:cs="Calibri"/>
          <w:lang w:val="en-AU"/>
        </w:rPr>
        <w:t xml:space="preserve">during </w:t>
      </w:r>
      <w:r w:rsidR="00175014" w:rsidRPr="007C3B9D">
        <w:rPr>
          <w:rFonts w:cs="Calibri"/>
          <w:lang w:val="en-AU"/>
        </w:rPr>
        <w:t xml:space="preserve">interviews. </w:t>
      </w:r>
    </w:p>
    <w:p w14:paraId="1B4BCA24" w14:textId="11CE065A" w:rsidR="00175014" w:rsidRPr="007C3B9D" w:rsidRDefault="00175014" w:rsidP="00903D77">
      <w:pPr>
        <w:spacing w:after="120" w:line="276" w:lineRule="auto"/>
        <w:jc w:val="both"/>
        <w:rPr>
          <w:rFonts w:cs="Calibri"/>
          <w:lang w:val="en-AU"/>
        </w:rPr>
      </w:pPr>
      <w:r w:rsidRPr="007C3B9D">
        <w:rPr>
          <w:rFonts w:cs="Calibri"/>
          <w:color w:val="000000"/>
          <w:lang w:val="en-AU"/>
        </w:rPr>
        <w:t>Several</w:t>
      </w:r>
      <w:r w:rsidR="00BA0CE3" w:rsidRPr="007C3B9D">
        <w:rPr>
          <w:rFonts w:cs="Calibri"/>
          <w:color w:val="000000"/>
          <w:lang w:val="en-AU"/>
        </w:rPr>
        <w:t xml:space="preserve"> potential risks </w:t>
      </w:r>
      <w:r w:rsidRPr="007C3B9D">
        <w:rPr>
          <w:rFonts w:cs="Calibri"/>
          <w:color w:val="000000"/>
          <w:lang w:val="en-AU"/>
        </w:rPr>
        <w:t>were</w:t>
      </w:r>
      <w:r w:rsidR="00BA0CE3" w:rsidRPr="007C3B9D">
        <w:rPr>
          <w:rFonts w:cs="Calibri"/>
          <w:color w:val="000000"/>
          <w:lang w:val="en-AU"/>
        </w:rPr>
        <w:t xml:space="preserve"> identified</w:t>
      </w:r>
      <w:r w:rsidRPr="007C3B9D">
        <w:rPr>
          <w:rFonts w:cs="Calibri"/>
          <w:color w:val="000000"/>
          <w:lang w:val="en-AU"/>
        </w:rPr>
        <w:t xml:space="preserve"> in the Planning Phase, which </w:t>
      </w:r>
      <w:r w:rsidRPr="007C3B9D">
        <w:rPr>
          <w:rFonts w:cs="Calibri"/>
          <w:i/>
          <w:iCs/>
          <w:color w:val="000000"/>
          <w:lang w:val="en-AU"/>
        </w:rPr>
        <w:t>inter alia</w:t>
      </w:r>
      <w:r w:rsidRPr="007C3B9D">
        <w:rPr>
          <w:rFonts w:cs="Calibri"/>
          <w:color w:val="000000"/>
          <w:lang w:val="en-AU"/>
        </w:rPr>
        <w:t xml:space="preserve"> identified a potential low response rate to the evaluation survey</w:t>
      </w:r>
      <w:r w:rsidRPr="007C3B9D">
        <w:rPr>
          <w:rFonts w:cs="Calibri"/>
          <w:lang w:val="en-AU"/>
        </w:rPr>
        <w:t xml:space="preserve">. Despite implementing the mitigation measures foreseen, out of </w:t>
      </w:r>
      <w:r w:rsidR="00AE7F29" w:rsidRPr="007C3B9D">
        <w:rPr>
          <w:rFonts w:cs="Calibri"/>
          <w:lang w:val="en-AU"/>
        </w:rPr>
        <w:t>2</w:t>
      </w:r>
      <w:r w:rsidR="003C3849" w:rsidRPr="007C3B9D">
        <w:rPr>
          <w:rFonts w:cs="Calibri"/>
          <w:lang w:val="en-AU"/>
        </w:rPr>
        <w:t>70</w:t>
      </w:r>
      <w:r w:rsidR="00AE7F29" w:rsidRPr="007C3B9D">
        <w:rPr>
          <w:rFonts w:cs="Calibri"/>
          <w:lang w:val="en-AU"/>
        </w:rPr>
        <w:t xml:space="preserve"> </w:t>
      </w:r>
      <w:r w:rsidRPr="007C3B9D">
        <w:rPr>
          <w:rFonts w:cs="Calibri"/>
          <w:lang w:val="en-AU"/>
        </w:rPr>
        <w:t xml:space="preserve">requests for feedback, only </w:t>
      </w:r>
      <w:r w:rsidR="00493922" w:rsidRPr="007C3B9D">
        <w:rPr>
          <w:rFonts w:cs="Calibri"/>
          <w:lang w:val="en-AU"/>
        </w:rPr>
        <w:t>35</w:t>
      </w:r>
      <w:r w:rsidRPr="007C3B9D">
        <w:rPr>
          <w:rFonts w:cs="Calibri"/>
          <w:lang w:val="en-AU"/>
        </w:rPr>
        <w:t xml:space="preserve"> participants responded, which was attributed to the considerable </w:t>
      </w:r>
      <w:proofErr w:type="gramStart"/>
      <w:r w:rsidRPr="007C3B9D">
        <w:rPr>
          <w:rFonts w:cs="Calibri"/>
          <w:lang w:val="en-AU"/>
        </w:rPr>
        <w:t>period of time</w:t>
      </w:r>
      <w:proofErr w:type="gramEnd"/>
      <w:r w:rsidRPr="007C3B9D">
        <w:rPr>
          <w:rFonts w:cs="Calibri"/>
          <w:lang w:val="en-AU"/>
        </w:rPr>
        <w:t xml:space="preserve"> that had elapsed since the activities in question. Nevertheless, the quality of responses was relatively high, with valuable insights provided by direct beneficiaries. </w:t>
      </w:r>
    </w:p>
    <w:p w14:paraId="4F9A9F7E" w14:textId="53086B80" w:rsidR="001B6D99" w:rsidRPr="007C3B9D" w:rsidRDefault="00175014" w:rsidP="00903D77">
      <w:pPr>
        <w:spacing w:after="120" w:line="276" w:lineRule="auto"/>
        <w:jc w:val="both"/>
        <w:rPr>
          <w:rFonts w:cs="Calibri"/>
          <w:lang w:val="en-AU"/>
        </w:rPr>
      </w:pPr>
      <w:r w:rsidRPr="007C3B9D">
        <w:rPr>
          <w:rFonts w:cs="Calibri"/>
          <w:lang w:val="en-AU"/>
        </w:rPr>
        <w:t xml:space="preserve">The risk matrix also highlighted the potential unavailability of KI; indeed, the meetings planned to be held in Jakarta with ASEAN officials were unexpectedly postponed, </w:t>
      </w:r>
      <w:proofErr w:type="gramStart"/>
      <w:r w:rsidRPr="007C3B9D">
        <w:rPr>
          <w:rFonts w:cs="Calibri"/>
          <w:lang w:val="en-AU"/>
        </w:rPr>
        <w:t>in order to</w:t>
      </w:r>
      <w:proofErr w:type="gramEnd"/>
      <w:r w:rsidRPr="007C3B9D">
        <w:rPr>
          <w:rFonts w:cs="Calibri"/>
          <w:lang w:val="en-AU"/>
        </w:rPr>
        <w:t xml:space="preserve"> allow further time for them to assess the proposed interview questions. These meetings were subsequently conducted online after the field </w:t>
      </w:r>
      <w:r w:rsidR="00BB1507" w:rsidRPr="007C3B9D">
        <w:rPr>
          <w:rFonts w:cs="Calibri"/>
          <w:lang w:val="en-AU"/>
        </w:rPr>
        <w:t>mission but</w:t>
      </w:r>
      <w:r w:rsidRPr="007C3B9D">
        <w:rPr>
          <w:rFonts w:cs="Calibri"/>
          <w:lang w:val="en-AU"/>
        </w:rPr>
        <w:t xml:space="preserve"> unfortunately extended the data collection phase by </w:t>
      </w:r>
      <w:proofErr w:type="gramStart"/>
      <w:r w:rsidRPr="007C3B9D">
        <w:rPr>
          <w:rFonts w:cs="Calibri"/>
          <w:lang w:val="en-AU"/>
        </w:rPr>
        <w:t>a number of</w:t>
      </w:r>
      <w:proofErr w:type="gramEnd"/>
      <w:r w:rsidRPr="007C3B9D">
        <w:rPr>
          <w:rFonts w:cs="Calibri"/>
          <w:lang w:val="en-AU"/>
        </w:rPr>
        <w:t xml:space="preserve"> weeks.</w:t>
      </w:r>
    </w:p>
    <w:p w14:paraId="778CD84B" w14:textId="77777777" w:rsidR="001B6D99" w:rsidRPr="007C3B9D" w:rsidRDefault="001B6D99" w:rsidP="00903D77">
      <w:pPr>
        <w:spacing w:after="120" w:line="276" w:lineRule="auto"/>
        <w:jc w:val="both"/>
        <w:rPr>
          <w:rFonts w:cs="Calibri"/>
          <w:lang w:val="en-AU"/>
        </w:rPr>
      </w:pPr>
      <w:r w:rsidRPr="007C3B9D">
        <w:rPr>
          <w:rFonts w:cs="Calibri"/>
          <w:lang w:val="en-AU"/>
        </w:rPr>
        <w:br w:type="page"/>
      </w:r>
    </w:p>
    <w:p w14:paraId="5626BCC6" w14:textId="793DFDAA" w:rsidR="00450DA7" w:rsidRDefault="00450DA7" w:rsidP="00903D77">
      <w:pPr>
        <w:pStyle w:val="Heading1"/>
        <w:pBdr>
          <w:bottom w:val="single" w:sz="4" w:space="0" w:color="595959" w:themeColor="text1" w:themeTint="A6"/>
        </w:pBdr>
        <w:spacing w:before="0" w:after="120" w:line="276" w:lineRule="auto"/>
        <w:rPr>
          <w:lang w:val="en-AU"/>
        </w:rPr>
      </w:pPr>
      <w:bookmarkStart w:id="13" w:name="_Toc206492263"/>
      <w:r w:rsidRPr="007C3B9D">
        <w:rPr>
          <w:lang w:val="en-AU"/>
        </w:rPr>
        <w:lastRenderedPageBreak/>
        <w:t>Findings</w:t>
      </w:r>
      <w:bookmarkEnd w:id="13"/>
    </w:p>
    <w:p w14:paraId="3CAAB9BE" w14:textId="07875A55" w:rsidR="00BB1507" w:rsidRPr="007C3B9D" w:rsidRDefault="00450DA7" w:rsidP="00446279">
      <w:pPr>
        <w:pStyle w:val="Heading2"/>
      </w:pPr>
      <w:bookmarkStart w:id="14" w:name="_Toc206492264"/>
      <w:r w:rsidRPr="007C3B9D">
        <w:t>Relevance</w:t>
      </w:r>
      <w:bookmarkEnd w:id="14"/>
    </w:p>
    <w:p w14:paraId="0714E30D" w14:textId="60E78808" w:rsidR="00450DA7" w:rsidRPr="007C3B9D" w:rsidRDefault="00450DA7" w:rsidP="00903D77">
      <w:pPr>
        <w:spacing w:after="120" w:line="276" w:lineRule="auto"/>
        <w:jc w:val="both"/>
        <w:rPr>
          <w:rFonts w:cstheme="minorHAnsi"/>
          <w:b/>
          <w:bCs/>
          <w:i/>
          <w:iCs/>
          <w:lang w:val="en-AU"/>
        </w:rPr>
      </w:pPr>
      <w:r w:rsidRPr="007C3B9D">
        <w:rPr>
          <w:rFonts w:cstheme="minorHAnsi"/>
          <w:b/>
          <w:bCs/>
          <w:i/>
          <w:iCs/>
          <w:color w:val="0F4761" w:themeColor="accent1" w:themeShade="BF"/>
          <w:lang w:val="en-AU"/>
        </w:rPr>
        <w:t>EQ1 – How well do the program objectives, activities and approaches address the regional, political and security challenges and priorities within the ASEAN context?</w:t>
      </w:r>
    </w:p>
    <w:p w14:paraId="7178DC52" w14:textId="1C7FF204" w:rsidR="00450DA7" w:rsidRPr="007C3B9D" w:rsidRDefault="00450DA7" w:rsidP="00903D77">
      <w:pPr>
        <w:spacing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JC1.1 The program is based on a sound understanding of ASEAN’s needs and capacities in relation to political security.</w:t>
      </w:r>
    </w:p>
    <w:p w14:paraId="560E565D" w14:textId="056DF055" w:rsidR="00D7418D" w:rsidRPr="007C3B9D" w:rsidRDefault="00394860" w:rsidP="0035461D">
      <w:pPr>
        <w:pStyle w:val="Heading3"/>
      </w:pPr>
      <w:r w:rsidRPr="007C3B9D">
        <w:t xml:space="preserve">Regional political security context </w:t>
      </w:r>
    </w:p>
    <w:p w14:paraId="300F8C44" w14:textId="6AA84FE8" w:rsidR="00394860" w:rsidRPr="007C3B9D" w:rsidRDefault="00394860" w:rsidP="00903D77">
      <w:pPr>
        <w:spacing w:after="120" w:line="276" w:lineRule="auto"/>
        <w:rPr>
          <w:b/>
          <w:bCs/>
          <w:color w:val="0F4761" w:themeColor="accent1" w:themeShade="BF"/>
          <w:lang w:val="en-AU"/>
        </w:rPr>
      </w:pPr>
      <w:r w:rsidRPr="007C3B9D">
        <w:rPr>
          <w:rFonts w:cs="Calibri"/>
          <w:lang w:val="en-AU"/>
        </w:rPr>
        <w:t>ASEAN and its member states face a complex array of political security needs and challenges that necessitate coordinated and comprehensive strategies, and holistic approaches that combines robust legal frameworks, enhanced cooperation among member states, and engagement with external partners, thus strengthening regional mechanisms and fostering a culture of collaboration. The APSP directly addressed key areas of concern with its focus on cybersecurity, maritime security, transnational crime, and the integration of the Women, Peace, and Security (WPS) agenda.</w:t>
      </w:r>
    </w:p>
    <w:p w14:paraId="4521A36F" w14:textId="27D665D1" w:rsidR="005373E9" w:rsidRPr="007C3B9D" w:rsidRDefault="00394860" w:rsidP="00903D77">
      <w:pPr>
        <w:spacing w:after="120" w:line="276" w:lineRule="auto"/>
        <w:jc w:val="both"/>
        <w:rPr>
          <w:rFonts w:cs="Calibri"/>
          <w:lang w:val="en-AU"/>
        </w:rPr>
      </w:pPr>
      <w:r w:rsidRPr="007C3B9D">
        <w:rPr>
          <w:rFonts w:eastAsiaTheme="majorEastAsia" w:cs="Calibri"/>
          <w:i/>
          <w:iCs/>
          <w:color w:val="0F4761" w:themeColor="accent1" w:themeShade="BF"/>
          <w:lang w:val="en-AU"/>
        </w:rPr>
        <w:t>Cybersecurity</w:t>
      </w:r>
      <w:r w:rsidRPr="007C3B9D">
        <w:rPr>
          <w:rFonts w:cs="Calibri"/>
          <w:i/>
          <w:iCs/>
          <w:color w:val="0F4761" w:themeColor="accent1" w:themeShade="BF"/>
          <w:lang w:val="en-AU"/>
        </w:rPr>
        <w:t>:</w:t>
      </w:r>
      <w:r w:rsidRPr="007C3B9D">
        <w:rPr>
          <w:rFonts w:cs="Calibri"/>
          <w:lang w:val="en-AU"/>
        </w:rPr>
        <w:t xml:space="preserve"> As ASEAN member states have increasingly embraced digital technologies, the region has become more susceptible to cyber threats. The ASEAN Cybersecurity Cooperation Strategy (2017-2020)</w:t>
      </w:r>
      <w:r w:rsidRPr="007C3B9D">
        <w:rPr>
          <w:rStyle w:val="FootnoteReference"/>
          <w:rFonts w:cs="Calibri"/>
          <w:lang w:val="en-AU"/>
        </w:rPr>
        <w:footnoteReference w:id="4"/>
      </w:r>
      <w:r w:rsidRPr="007C3B9D">
        <w:rPr>
          <w:rFonts w:cs="Calibri"/>
          <w:lang w:val="en-AU"/>
        </w:rPr>
        <w:t xml:space="preserve"> was developed to enhance regional cooperation and strengthen information and communications technology (ICT) security. This strategy emphasises the importance of building robust cybersecurity frameworks and fostering collaboration among member states to address the evolving cyber threat landscape. Despite these efforts, challenges persist. The rapid evolution of cybercrime necessitates continuous updates to legal frameworks and the development of specialised expertise.</w:t>
      </w:r>
    </w:p>
    <w:p w14:paraId="4777D991" w14:textId="5BC7FF65" w:rsidR="005373E9" w:rsidRPr="007C3B9D" w:rsidRDefault="00394860" w:rsidP="00903D77">
      <w:pPr>
        <w:spacing w:after="120" w:line="276" w:lineRule="auto"/>
        <w:jc w:val="both"/>
        <w:rPr>
          <w:lang w:val="en-AU"/>
        </w:rPr>
      </w:pPr>
      <w:r w:rsidRPr="007C3B9D">
        <w:rPr>
          <w:rFonts w:eastAsiaTheme="majorEastAsia"/>
          <w:i/>
          <w:iCs/>
          <w:color w:val="0F4761" w:themeColor="accent1" w:themeShade="BF"/>
          <w:lang w:val="en-AU"/>
        </w:rPr>
        <w:t>Maritime Security</w:t>
      </w:r>
      <w:r w:rsidRPr="007C3B9D">
        <w:rPr>
          <w:i/>
          <w:iCs/>
          <w:color w:val="0F4761" w:themeColor="accent1" w:themeShade="BF"/>
          <w:lang w:val="en-AU"/>
        </w:rPr>
        <w:t>:</w:t>
      </w:r>
      <w:r w:rsidRPr="007C3B9D">
        <w:rPr>
          <w:color w:val="0F4761" w:themeColor="accent1" w:themeShade="BF"/>
          <w:lang w:val="en-AU"/>
        </w:rPr>
        <w:t xml:space="preserve"> </w:t>
      </w:r>
      <w:r w:rsidRPr="007C3B9D">
        <w:rPr>
          <w:lang w:val="en-AU"/>
        </w:rPr>
        <w:t>Maritime security remains a critical concern for ASEAN</w:t>
      </w:r>
      <w:r w:rsidRPr="007C3B9D">
        <w:rPr>
          <w:rStyle w:val="FootnoteReference"/>
          <w:rFonts w:cstheme="minorHAnsi"/>
          <w:lang w:val="en-AU"/>
        </w:rPr>
        <w:footnoteReference w:id="5"/>
      </w:r>
      <w:r w:rsidRPr="007C3B9D">
        <w:rPr>
          <w:lang w:val="en-AU"/>
        </w:rPr>
        <w:t xml:space="preserve">, and </w:t>
      </w:r>
      <w:r w:rsidRPr="007C3B9D">
        <w:rPr>
          <w:color w:val="333333"/>
          <w:spacing w:val="2"/>
          <w:lang w:val="en-AU"/>
        </w:rPr>
        <w:t xml:space="preserve">is guided by </w:t>
      </w:r>
      <w:r w:rsidR="008B70BE" w:rsidRPr="007C3B9D">
        <w:rPr>
          <w:lang w:val="en-AU"/>
        </w:rPr>
        <w:t xml:space="preserve">the ASEAN Senior Officials’ Meeting (SOM), </w:t>
      </w:r>
      <w:r w:rsidR="005373E9" w:rsidRPr="007C3B9D">
        <w:rPr>
          <w:lang w:val="en-AU"/>
        </w:rPr>
        <w:t xml:space="preserve">with </w:t>
      </w:r>
      <w:r w:rsidR="005373E9" w:rsidRPr="007C3B9D">
        <w:rPr>
          <w:rFonts w:eastAsia="Times New Roman"/>
          <w:lang w:val="en-AU"/>
        </w:rPr>
        <w:t>maritime security policy captured in the ASEAN Outlook on the Indo-Pacific (AOIP) and the ASEAN Maritime Outlook (AMO) and discussed at the annual ASEAN Maritime Forum (AMF</w:t>
      </w:r>
      <w:r w:rsidR="00B943A4" w:rsidRPr="007C3B9D">
        <w:rPr>
          <w:rFonts w:eastAsia="Times New Roman"/>
          <w:lang w:val="en-AU"/>
        </w:rPr>
        <w:t>)</w:t>
      </w:r>
      <w:r w:rsidR="008B70BE" w:rsidRPr="007C3B9D">
        <w:rPr>
          <w:lang w:val="en-AU"/>
        </w:rPr>
        <w:t xml:space="preserve">. </w:t>
      </w:r>
    </w:p>
    <w:p w14:paraId="045464CC" w14:textId="566D0194" w:rsidR="00394860" w:rsidRPr="007C3B9D" w:rsidRDefault="008B70BE" w:rsidP="00903D77">
      <w:pPr>
        <w:spacing w:after="120" w:line="276" w:lineRule="auto"/>
        <w:jc w:val="both"/>
        <w:rPr>
          <w:lang w:val="en-AU"/>
        </w:rPr>
      </w:pPr>
      <w:r w:rsidRPr="007C3B9D">
        <w:rPr>
          <w:lang w:val="en-AU"/>
        </w:rPr>
        <w:t>The</w:t>
      </w:r>
      <w:r w:rsidR="005373E9" w:rsidRPr="007C3B9D">
        <w:rPr>
          <w:lang w:val="en-AU"/>
        </w:rPr>
        <w:t xml:space="preserve"> </w:t>
      </w:r>
      <w:r w:rsidR="00394860" w:rsidRPr="007C3B9D">
        <w:rPr>
          <w:lang w:val="en-AU"/>
        </w:rPr>
        <w:t>ASEAN Regional Forum (ARF)</w:t>
      </w:r>
      <w:r w:rsidR="00394860" w:rsidRPr="007C3B9D">
        <w:rPr>
          <w:rStyle w:val="FootnoteReference"/>
          <w:rFonts w:cstheme="minorHAnsi"/>
          <w:lang w:val="en-AU"/>
        </w:rPr>
        <w:footnoteReference w:id="6"/>
      </w:r>
      <w:r w:rsidR="00394860" w:rsidRPr="007C3B9D">
        <w:rPr>
          <w:lang w:val="en-AU"/>
        </w:rPr>
        <w:t xml:space="preserve"> </w:t>
      </w:r>
      <w:r w:rsidR="00394860" w:rsidRPr="007C3B9D">
        <w:rPr>
          <w:spacing w:val="2"/>
          <w:lang w:val="en-AU"/>
        </w:rPr>
        <w:t>Work Plan on Maritime Security</w:t>
      </w:r>
      <w:r w:rsidR="00394860" w:rsidRPr="007C3B9D">
        <w:rPr>
          <w:rStyle w:val="FootnoteReference"/>
          <w:rFonts w:cstheme="minorHAnsi"/>
          <w:lang w:val="en-AU"/>
        </w:rPr>
        <w:footnoteReference w:id="7"/>
      </w:r>
      <w:r w:rsidR="00394860" w:rsidRPr="007C3B9D">
        <w:rPr>
          <w:lang w:val="en-AU"/>
        </w:rPr>
        <w:t xml:space="preserve"> </w:t>
      </w:r>
      <w:r w:rsidR="005373E9" w:rsidRPr="007C3B9D">
        <w:rPr>
          <w:lang w:val="en-AU"/>
        </w:rPr>
        <w:t xml:space="preserve">is an important complementary forum, </w:t>
      </w:r>
      <w:r w:rsidR="00394860" w:rsidRPr="007C3B9D">
        <w:rPr>
          <w:spacing w:val="2"/>
          <w:lang w:val="en-AU"/>
        </w:rPr>
        <w:t>which focuses on priority areas, including shared awareness and exchange of information and best practices;</w:t>
      </w:r>
      <w:r w:rsidR="00394860" w:rsidRPr="007C3B9D">
        <w:rPr>
          <w:lang w:val="en-AU"/>
        </w:rPr>
        <w:t xml:space="preserve"> </w:t>
      </w:r>
      <w:r w:rsidR="00394860" w:rsidRPr="007C3B9D">
        <w:rPr>
          <w:spacing w:val="2"/>
          <w:lang w:val="en-AU"/>
        </w:rPr>
        <w:t>confidence building measures based on international and regional legal frameworks, arrangements and cooperation including the 1982 UN Convention on the Law of the Sea (UNCLOS)</w:t>
      </w:r>
      <w:r w:rsidR="00394860" w:rsidRPr="007C3B9D">
        <w:rPr>
          <w:rStyle w:val="FootnoteReference"/>
          <w:rFonts w:cstheme="minorHAnsi"/>
          <w:spacing w:val="2"/>
          <w:lang w:val="en-AU"/>
        </w:rPr>
        <w:footnoteReference w:id="8"/>
      </w:r>
      <w:r w:rsidR="005373E9" w:rsidRPr="007C3B9D">
        <w:rPr>
          <w:spacing w:val="2"/>
          <w:lang w:val="en-AU"/>
        </w:rPr>
        <w:t>;</w:t>
      </w:r>
      <w:r w:rsidR="00394860" w:rsidRPr="007C3B9D">
        <w:rPr>
          <w:spacing w:val="2"/>
          <w:lang w:val="en-AU"/>
        </w:rPr>
        <w:t xml:space="preserve"> and</w:t>
      </w:r>
      <w:r w:rsidR="00394860" w:rsidRPr="007C3B9D">
        <w:rPr>
          <w:lang w:val="en-AU"/>
        </w:rPr>
        <w:t xml:space="preserve"> </w:t>
      </w:r>
      <w:r w:rsidR="00394860" w:rsidRPr="007C3B9D">
        <w:rPr>
          <w:spacing w:val="2"/>
          <w:lang w:val="en-AU"/>
        </w:rPr>
        <w:t>capacity building and enhancing cooperation in the region</w:t>
      </w:r>
      <w:r w:rsidR="005373E9" w:rsidRPr="007C3B9D">
        <w:rPr>
          <w:lang w:val="en-AU"/>
        </w:rPr>
        <w:t xml:space="preserve">. </w:t>
      </w:r>
      <w:r w:rsidR="00394860" w:rsidRPr="007C3B9D">
        <w:rPr>
          <w:rFonts w:cstheme="minorHAnsi"/>
          <w:lang w:val="en-AU"/>
        </w:rPr>
        <w:t>Recent incidents, such as confrontations between Chinese and Philippine vessels, have heightened tensions in the region. These events underscore the need for ASEAN to develop effective mechanisms for conflict resolution and to uphold international maritime laws to ensure freedom of navigation and overflight.</w:t>
      </w:r>
    </w:p>
    <w:p w14:paraId="34ABA81F" w14:textId="13326F14" w:rsidR="00394860" w:rsidRPr="007C3B9D" w:rsidRDefault="00394860" w:rsidP="00903D77">
      <w:pPr>
        <w:spacing w:after="120" w:line="276" w:lineRule="auto"/>
        <w:jc w:val="both"/>
        <w:rPr>
          <w:lang w:val="en-AU"/>
        </w:rPr>
      </w:pPr>
      <w:r w:rsidRPr="007C3B9D">
        <w:rPr>
          <w:rFonts w:eastAsiaTheme="majorEastAsia"/>
          <w:i/>
          <w:iCs/>
          <w:color w:val="0F4761" w:themeColor="accent1" w:themeShade="BF"/>
          <w:lang w:val="en-AU"/>
        </w:rPr>
        <w:t>Transnational Crime</w:t>
      </w:r>
      <w:r w:rsidRPr="007C3B9D">
        <w:rPr>
          <w:rFonts w:cs="Calibri"/>
          <w:i/>
          <w:iCs/>
          <w:color w:val="0F4761" w:themeColor="accent1" w:themeShade="BF"/>
          <w:lang w:val="en-AU"/>
        </w:rPr>
        <w:t>:</w:t>
      </w:r>
      <w:r w:rsidRPr="007C3B9D">
        <w:rPr>
          <w:rFonts w:cs="Calibri"/>
          <w:color w:val="0F4761" w:themeColor="accent1" w:themeShade="BF"/>
          <w:lang w:val="en-AU"/>
        </w:rPr>
        <w:t xml:space="preserve"> </w:t>
      </w:r>
      <w:r w:rsidRPr="007C3B9D">
        <w:rPr>
          <w:lang w:val="en-AU"/>
        </w:rPr>
        <w:t xml:space="preserve">Transnational crime, including terrorism, human trafficking, and drug smuggling, poses significant threats to regional stability. The ASEAN Plan of Action in Combating Transnational </w:t>
      </w:r>
      <w:r w:rsidRPr="007C3B9D">
        <w:rPr>
          <w:lang w:val="en-AU"/>
        </w:rPr>
        <w:lastRenderedPageBreak/>
        <w:t>Crime (2016-2025)</w:t>
      </w:r>
      <w:r w:rsidRPr="007C3B9D">
        <w:rPr>
          <w:lang w:val="en-AU"/>
        </w:rPr>
        <w:footnoteReference w:id="9"/>
      </w:r>
      <w:r w:rsidRPr="007C3B9D">
        <w:rPr>
          <w:lang w:val="en-AU"/>
        </w:rPr>
        <w:t xml:space="preserve"> outlines strategies to enhance cooperation among member states in addressing these issues, emphasising information-sharing, legal cooperation, and capacity building to effectively combat transnational crime. The ASEAN Senior Officials Meeting on Transnational Crime (SOMTC) Work </w:t>
      </w:r>
      <w:r w:rsidR="008332B1" w:rsidRPr="007C3B9D">
        <w:rPr>
          <w:lang w:val="en-AU"/>
        </w:rPr>
        <w:t>Program</w:t>
      </w:r>
      <w:r w:rsidRPr="007C3B9D">
        <w:rPr>
          <w:lang w:val="en-AU"/>
        </w:rPr>
        <w:t xml:space="preserve"> (2022-2024)</w:t>
      </w:r>
      <w:r w:rsidRPr="007C3B9D">
        <w:rPr>
          <w:lang w:val="en-AU"/>
        </w:rPr>
        <w:footnoteReference w:id="10"/>
      </w:r>
      <w:r w:rsidRPr="007C3B9D">
        <w:rPr>
          <w:lang w:val="en-AU"/>
        </w:rPr>
        <w:t xml:space="preserve"> provides policy guidelines and proposed activities for the effective implementation of measures against various forms of transnational crime. This includes strengthening legal frameworks, enhancing law enforcement cooperation, and engaging with external partners to address emerging threats. </w:t>
      </w:r>
    </w:p>
    <w:p w14:paraId="6B4E1095" w14:textId="12F31986" w:rsidR="00601F71" w:rsidRPr="007C3B9D" w:rsidRDefault="00394860" w:rsidP="00903D77">
      <w:pPr>
        <w:spacing w:after="120" w:line="276" w:lineRule="auto"/>
        <w:jc w:val="both"/>
        <w:rPr>
          <w:lang w:val="en-AU"/>
        </w:rPr>
      </w:pPr>
      <w:r w:rsidRPr="007C3B9D">
        <w:rPr>
          <w:rFonts w:eastAsiaTheme="majorEastAsia"/>
          <w:i/>
          <w:iCs/>
          <w:color w:val="0F4761" w:themeColor="accent1" w:themeShade="BF"/>
          <w:lang w:val="en-AU"/>
        </w:rPr>
        <w:t>Women, Peace, and Security (WPS)</w:t>
      </w:r>
      <w:r w:rsidRPr="007C3B9D">
        <w:rPr>
          <w:rFonts w:cs="Calibri"/>
          <w:i/>
          <w:iCs/>
          <w:color w:val="0F4761" w:themeColor="accent1" w:themeShade="BF"/>
          <w:lang w:val="en-AU"/>
        </w:rPr>
        <w:t>:</w:t>
      </w:r>
      <w:r w:rsidRPr="007C3B9D">
        <w:rPr>
          <w:rFonts w:cs="Calibri"/>
          <w:color w:val="E97132" w:themeColor="accent2"/>
          <w:lang w:val="en-AU"/>
        </w:rPr>
        <w:t xml:space="preserve"> </w:t>
      </w:r>
      <w:r w:rsidRPr="007C3B9D">
        <w:rPr>
          <w:lang w:val="en-AU"/>
        </w:rPr>
        <w:t>The integration of the WPS agenda into ASEAN's political security framework is essential for promoting inclusive and sustainable peace. Since the adoption of the Joint Statement on Promoting Women, Peace, and Security in ASEAN in 2017</w:t>
      </w:r>
      <w:r w:rsidRPr="007C3B9D">
        <w:rPr>
          <w:lang w:val="en-AU"/>
        </w:rPr>
        <w:footnoteReference w:id="11"/>
      </w:r>
      <w:r w:rsidRPr="007C3B9D">
        <w:rPr>
          <w:lang w:val="en-AU"/>
        </w:rPr>
        <w:t xml:space="preserve">, ASEAN has set important milestones in implementing the WPS agenda through concerted multi-sectoral efforts and partnerships </w:t>
      </w:r>
      <w:proofErr w:type="gramStart"/>
      <w:r w:rsidRPr="007C3B9D">
        <w:rPr>
          <w:lang w:val="en-AU"/>
        </w:rPr>
        <w:t>in order to</w:t>
      </w:r>
      <w:proofErr w:type="gramEnd"/>
      <w:r w:rsidRPr="007C3B9D">
        <w:rPr>
          <w:lang w:val="en-AU"/>
        </w:rPr>
        <w:t xml:space="preserve"> mainstream gender perspectives in peace and security initiatives, recognising the vital role of women in conflict prevention, resolution, and post-conflict reconstruction. However, challenges remain in translating commitments into concrete actions, necessitating continuous advocacy and capacity building to ensure meaningful participation of women in peace and security processes.</w:t>
      </w:r>
    </w:p>
    <w:p w14:paraId="00CDAFB6" w14:textId="7970220E" w:rsidR="00C520F2" w:rsidRPr="007C3B9D" w:rsidRDefault="00394860" w:rsidP="0035461D">
      <w:pPr>
        <w:pStyle w:val="Heading3"/>
      </w:pPr>
      <w:r w:rsidRPr="007C3B9D">
        <w:t>APSP alignment with ASEAN needs</w:t>
      </w:r>
    </w:p>
    <w:p w14:paraId="0BFB32DF" w14:textId="44E37678" w:rsidR="00394860" w:rsidRPr="007C3B9D" w:rsidRDefault="00394860" w:rsidP="00903D77">
      <w:pPr>
        <w:spacing w:after="120" w:line="276" w:lineRule="auto"/>
        <w:jc w:val="both"/>
        <w:rPr>
          <w:lang w:val="en-AU"/>
        </w:rPr>
      </w:pPr>
      <w:r w:rsidRPr="007C3B9D">
        <w:rPr>
          <w:lang w:val="en-AU"/>
        </w:rPr>
        <w:t>The APSP has addressed key priority themes for Australia and the region, with its focus on the selected key thematic areas in direct alignment with the needs and initiatives outlined above. The Program Strategy provided the intervention logic, with this having been regularly refined and strengthened, through stakeholder workshops, learnings, and analyses.</w:t>
      </w:r>
    </w:p>
    <w:p w14:paraId="3EDB41BF" w14:textId="77777777" w:rsidR="00394860" w:rsidRPr="007C3B9D" w:rsidRDefault="00394860" w:rsidP="00903D77">
      <w:pPr>
        <w:spacing w:after="120" w:line="276" w:lineRule="auto"/>
        <w:jc w:val="both"/>
        <w:rPr>
          <w:lang w:val="en-AU"/>
        </w:rPr>
      </w:pPr>
      <w:r w:rsidRPr="007C3B9D">
        <w:rPr>
          <w:lang w:val="en-AU"/>
        </w:rPr>
        <w:t>Crucially, the program was not only anchored in ASEAN needs, but also those of its member states, and of Australia itself. Specifically, the program was intended to focus on:</w:t>
      </w:r>
    </w:p>
    <w:p w14:paraId="7C7600B8" w14:textId="77777777" w:rsidR="00394860" w:rsidRPr="007C3B9D" w:rsidRDefault="00394860" w:rsidP="00B81514">
      <w:pPr>
        <w:pStyle w:val="ListParagraph"/>
        <w:numPr>
          <w:ilvl w:val="0"/>
          <w:numId w:val="18"/>
        </w:numPr>
        <w:spacing w:after="0" w:line="276" w:lineRule="auto"/>
        <w:contextualSpacing w:val="0"/>
        <w:jc w:val="both"/>
        <w:rPr>
          <w:rFonts w:cs="Calibri"/>
          <w:lang w:val="en-AU"/>
        </w:rPr>
      </w:pPr>
      <w:r w:rsidRPr="007C3B9D">
        <w:rPr>
          <w:rFonts w:cs="Calibri"/>
          <w:lang w:val="en-AU"/>
        </w:rPr>
        <w:t xml:space="preserve">Addressing gaps in multilateral cooperation and regional approaches, for example relative to cybersecurity concerns, where there is a clear need to establish regional </w:t>
      </w:r>
      <w:proofErr w:type="gramStart"/>
      <w:r w:rsidRPr="007C3B9D">
        <w:rPr>
          <w:rFonts w:cs="Calibri"/>
          <w:lang w:val="en-AU"/>
        </w:rPr>
        <w:t>mechanisms;</w:t>
      </w:r>
      <w:proofErr w:type="gramEnd"/>
    </w:p>
    <w:p w14:paraId="560685DC" w14:textId="77777777" w:rsidR="00394860" w:rsidRPr="007C3B9D" w:rsidRDefault="00394860" w:rsidP="00B81514">
      <w:pPr>
        <w:pStyle w:val="ListParagraph"/>
        <w:numPr>
          <w:ilvl w:val="0"/>
          <w:numId w:val="18"/>
        </w:numPr>
        <w:spacing w:after="0" w:line="276" w:lineRule="auto"/>
        <w:contextualSpacing w:val="0"/>
        <w:jc w:val="both"/>
        <w:rPr>
          <w:rFonts w:cs="Calibri"/>
          <w:lang w:val="en-AU"/>
        </w:rPr>
      </w:pPr>
      <w:r w:rsidRPr="007C3B9D">
        <w:rPr>
          <w:rFonts w:cs="Calibri"/>
          <w:lang w:val="en-AU"/>
        </w:rPr>
        <w:t xml:space="preserve">Providing opportunities to support bilateral and multi-lateral dialogue, </w:t>
      </w:r>
      <w:proofErr w:type="gramStart"/>
      <w:r w:rsidRPr="007C3B9D">
        <w:rPr>
          <w:rFonts w:cs="Calibri"/>
          <w:lang w:val="en-AU"/>
        </w:rPr>
        <w:t>in order to</w:t>
      </w:r>
      <w:proofErr w:type="gramEnd"/>
      <w:r w:rsidRPr="007C3B9D">
        <w:rPr>
          <w:rFonts w:cs="Calibri"/>
          <w:lang w:val="en-AU"/>
        </w:rPr>
        <w:t xml:space="preserve"> address common </w:t>
      </w:r>
      <w:proofErr w:type="gramStart"/>
      <w:r w:rsidRPr="007C3B9D">
        <w:rPr>
          <w:rFonts w:cs="Calibri"/>
          <w:lang w:val="en-AU"/>
        </w:rPr>
        <w:t>concerns;</w:t>
      </w:r>
      <w:proofErr w:type="gramEnd"/>
    </w:p>
    <w:p w14:paraId="534A1BDE" w14:textId="6C1BF3AC" w:rsidR="00394860" w:rsidRPr="007C3B9D" w:rsidRDefault="00394860" w:rsidP="00B81514">
      <w:pPr>
        <w:pStyle w:val="ListParagraph"/>
        <w:numPr>
          <w:ilvl w:val="0"/>
          <w:numId w:val="18"/>
        </w:numPr>
        <w:spacing w:after="0" w:line="276" w:lineRule="auto"/>
        <w:contextualSpacing w:val="0"/>
        <w:jc w:val="both"/>
        <w:rPr>
          <w:rFonts w:cs="Calibri"/>
          <w:lang w:val="en-AU"/>
        </w:rPr>
      </w:pPr>
      <w:r w:rsidRPr="007C3B9D">
        <w:rPr>
          <w:rFonts w:cs="Calibri"/>
          <w:lang w:val="en-AU"/>
        </w:rPr>
        <w:t xml:space="preserve">Ensuring complementarity with other ASEAN and ASEAN Member State </w:t>
      </w:r>
      <w:proofErr w:type="gramStart"/>
      <w:r w:rsidRPr="007C3B9D">
        <w:rPr>
          <w:rFonts w:cs="Calibri"/>
          <w:lang w:val="en-AU"/>
        </w:rPr>
        <w:t>initiatives</w:t>
      </w:r>
      <w:r w:rsidR="00460764" w:rsidRPr="007C3B9D">
        <w:rPr>
          <w:rFonts w:cs="Calibri"/>
          <w:lang w:val="en-AU"/>
        </w:rPr>
        <w:t>;</w:t>
      </w:r>
      <w:proofErr w:type="gramEnd"/>
      <w:r w:rsidR="00460764" w:rsidRPr="007C3B9D">
        <w:rPr>
          <w:rFonts w:cs="Calibri"/>
          <w:lang w:val="en-AU"/>
        </w:rPr>
        <w:t xml:space="preserve"> </w:t>
      </w:r>
    </w:p>
    <w:p w14:paraId="5D1BF069" w14:textId="77777777" w:rsidR="00394860" w:rsidRPr="007C3B9D" w:rsidRDefault="00394860" w:rsidP="00B81514">
      <w:pPr>
        <w:pStyle w:val="ListParagraph"/>
        <w:numPr>
          <w:ilvl w:val="0"/>
          <w:numId w:val="18"/>
        </w:numPr>
        <w:spacing w:after="0" w:line="276" w:lineRule="auto"/>
        <w:contextualSpacing w:val="0"/>
        <w:jc w:val="both"/>
        <w:rPr>
          <w:rFonts w:cs="Calibri"/>
          <w:lang w:val="en-AU"/>
        </w:rPr>
      </w:pPr>
      <w:r w:rsidRPr="007C3B9D">
        <w:rPr>
          <w:rFonts w:cs="Calibri"/>
          <w:lang w:val="en-AU"/>
        </w:rPr>
        <w:t>Leveraging existing in-country knowledge and networks; and</w:t>
      </w:r>
    </w:p>
    <w:p w14:paraId="13E2C10B" w14:textId="77777777" w:rsidR="00394860" w:rsidRPr="007C3B9D" w:rsidRDefault="00394860" w:rsidP="00903D77">
      <w:pPr>
        <w:pStyle w:val="ListParagraph"/>
        <w:numPr>
          <w:ilvl w:val="0"/>
          <w:numId w:val="18"/>
        </w:numPr>
        <w:spacing w:after="120" w:line="276" w:lineRule="auto"/>
        <w:contextualSpacing w:val="0"/>
        <w:jc w:val="both"/>
        <w:rPr>
          <w:rFonts w:cs="Calibri"/>
          <w:lang w:val="en-AU"/>
        </w:rPr>
      </w:pPr>
      <w:r w:rsidRPr="007C3B9D">
        <w:rPr>
          <w:rFonts w:cs="Calibri"/>
          <w:lang w:val="en-AU"/>
        </w:rPr>
        <w:t>Establishing thematic ‘watching briefs’, to identify emerging concerns and opportunities in real time.</w:t>
      </w:r>
    </w:p>
    <w:p w14:paraId="7D146EC0" w14:textId="77777777" w:rsidR="00394860" w:rsidRPr="007C3B9D" w:rsidRDefault="00394860" w:rsidP="00903D77">
      <w:pPr>
        <w:spacing w:after="120" w:line="276" w:lineRule="auto"/>
        <w:jc w:val="both"/>
        <w:rPr>
          <w:rFonts w:cs="Calibri"/>
          <w:lang w:val="en-AU"/>
        </w:rPr>
      </w:pPr>
      <w:r w:rsidRPr="007C3B9D">
        <w:rPr>
          <w:rFonts w:cs="Calibri"/>
          <w:lang w:val="en-AU"/>
        </w:rPr>
        <w:t xml:space="preserve">The APSP was therefore designed to address ASEAN’s multifaceted security needs, with the focal areas aligned with ASEAN’s security framework, and responding to the region's emerging threats. By recognising the diversity of ASEAN’s member states and their unique challenges, the APSP has strategically positioned itself to provide relevant support while respecting ASEAN’s sovereignty and non-interference principles. ASEAN’s eagerness to engage with partners who bring technical expertise and experience is evident in observation of one ASEAN official that </w:t>
      </w:r>
      <w:r w:rsidRPr="007C3B9D">
        <w:rPr>
          <w:rFonts w:cs="Calibri"/>
          <w:i/>
          <w:iCs/>
          <w:lang w:val="en-AU"/>
        </w:rPr>
        <w:t xml:space="preserve">‘the member countries </w:t>
      </w:r>
      <w:r w:rsidRPr="007C3B9D">
        <w:rPr>
          <w:rFonts w:cs="Calibri"/>
          <w:i/>
          <w:iCs/>
          <w:lang w:val="en-AU"/>
        </w:rPr>
        <w:lastRenderedPageBreak/>
        <w:t>are eager to learn from experts from fellow member countries, and especially from dialogue partners, [who are] able to share best practices and experiences’</w:t>
      </w:r>
      <w:r w:rsidRPr="007C3B9D">
        <w:rPr>
          <w:rFonts w:cs="Calibri"/>
          <w:lang w:val="en-AU"/>
        </w:rPr>
        <w:t>.</w:t>
      </w:r>
    </w:p>
    <w:p w14:paraId="13E9BEF4" w14:textId="5ED7E9AB" w:rsidR="00394860" w:rsidRPr="007C3B9D" w:rsidRDefault="00394860" w:rsidP="00903D77">
      <w:pPr>
        <w:spacing w:after="120" w:line="276" w:lineRule="auto"/>
        <w:jc w:val="both"/>
        <w:rPr>
          <w:rFonts w:cs="Calibri"/>
          <w:lang w:val="en-AU"/>
        </w:rPr>
      </w:pPr>
      <w:r w:rsidRPr="007C3B9D">
        <w:rPr>
          <w:rFonts w:cs="Calibri"/>
          <w:lang w:val="en-AU"/>
        </w:rPr>
        <w:t>The APSP’s development was grounded in a thorough analysis of ASEAN’s needs and strategic priorities, ensuring its alignment with existing ASEAN frameworks and action plans. This alignment was not static; instead, it evolved continuously as APSP engaged with ASEAN stakeholders through workshops, collaborative learnings, and stakeholder consultations. </w:t>
      </w:r>
      <w:proofErr w:type="gramStart"/>
      <w:r w:rsidRPr="007C3B9D">
        <w:rPr>
          <w:rFonts w:cs="Calibri"/>
          <w:lang w:val="en-AU"/>
        </w:rPr>
        <w:t>In particular,</w:t>
      </w:r>
      <w:r w:rsidR="0001193E" w:rsidRPr="007C3B9D">
        <w:rPr>
          <w:rFonts w:cs="Calibri"/>
          <w:lang w:val="en-AU"/>
        </w:rPr>
        <w:t xml:space="preserve"> </w:t>
      </w:r>
      <w:r w:rsidRPr="007C3B9D">
        <w:rPr>
          <w:rFonts w:cs="Calibri"/>
          <w:lang w:val="en-AU"/>
        </w:rPr>
        <w:t>one</w:t>
      </w:r>
      <w:proofErr w:type="gramEnd"/>
      <w:r w:rsidRPr="007C3B9D">
        <w:rPr>
          <w:rFonts w:cs="Calibri"/>
          <w:lang w:val="en-AU"/>
        </w:rPr>
        <w:t xml:space="preserve"> ASEAN official acknowledged that</w:t>
      </w:r>
      <w:r w:rsidRPr="007C3B9D">
        <w:rPr>
          <w:rFonts w:cs="Calibri"/>
          <w:i/>
          <w:iCs/>
          <w:lang w:val="en-AU"/>
        </w:rPr>
        <w:t xml:space="preserve"> ‘it's not that ASEAN [itself] doesn't have the capacity; [it is that they don’t] at the state level.’ </w:t>
      </w:r>
      <w:r w:rsidRPr="007C3B9D">
        <w:rPr>
          <w:rFonts w:cs="Calibri"/>
          <w:lang w:val="en-AU"/>
        </w:rPr>
        <w:t>APSP’s external support therefore assisted ASEAN in mobilising initiatives by examining work plans and proposing relevant activities, helping the organisation to bridge its strategic</w:t>
      </w:r>
      <w:r w:rsidRPr="007C3B9D">
        <w:rPr>
          <w:rFonts w:cs="Calibri"/>
          <w:b/>
          <w:bCs/>
          <w:lang w:val="en-AU"/>
        </w:rPr>
        <w:t xml:space="preserve"> </w:t>
      </w:r>
      <w:r w:rsidRPr="007C3B9D">
        <w:rPr>
          <w:rFonts w:cs="Calibri"/>
          <w:lang w:val="en-AU"/>
        </w:rPr>
        <w:t>objectives with concrete action, and in turn fulfil its mandate relative to its member states, addressing capacity gaps where national resources or expertise may fall short.</w:t>
      </w:r>
    </w:p>
    <w:p w14:paraId="094F4C38" w14:textId="77777777" w:rsidR="00394860" w:rsidRPr="007C3B9D" w:rsidRDefault="00394860" w:rsidP="00903D77">
      <w:pPr>
        <w:spacing w:after="120" w:line="276" w:lineRule="auto"/>
        <w:jc w:val="both"/>
        <w:rPr>
          <w:rFonts w:cs="Calibri"/>
          <w:i/>
          <w:iCs/>
          <w:lang w:val="en-AU"/>
        </w:rPr>
      </w:pPr>
      <w:r w:rsidRPr="007C3B9D">
        <w:rPr>
          <w:rFonts w:cs="Calibri"/>
          <w:lang w:val="en-AU"/>
        </w:rPr>
        <w:t xml:space="preserve">One of the core strengths of APSP has been its attentiveness to the different capacities and readiness levels across AMS. This regional diversity, ranging from high-capacity, technology-driven Singapore to the Mekong region’s nations, which are still building their security capabilities, has necessitated a flexible, tailored approach from APSP. This was confirmed by one ASEAN official, stating that </w:t>
      </w:r>
      <w:r w:rsidRPr="007C3B9D">
        <w:rPr>
          <w:rFonts w:cs="Calibri"/>
          <w:i/>
          <w:iCs/>
          <w:lang w:val="en-AU"/>
        </w:rPr>
        <w:t xml:space="preserve">‘some member states are very easy to deal with [whereas] some members did need a push, like in the Mekong countries.’ </w:t>
      </w:r>
      <w:r w:rsidRPr="007C3B9D">
        <w:rPr>
          <w:rFonts w:cs="Calibri"/>
          <w:lang w:val="en-AU"/>
        </w:rPr>
        <w:t>ASEAN member states also emphasised the responsiveness and timeliness of the program relative to their own specific needs, with for example an Indonesian ministry representative stating that ‘</w:t>
      </w:r>
      <w:r w:rsidRPr="007C3B9D">
        <w:rPr>
          <w:rFonts w:cs="Calibri"/>
          <w:i/>
          <w:iCs/>
          <w:lang w:val="en-AU"/>
        </w:rPr>
        <w:t>we reached out to the Australian Mission because of our needs as the Government of Indonesia to participate and contribute for the leadership of ASEAN in 2023. It's only a once in a lifetime opportunity for us to show our contribution for Indonesia's legacy. We reached out to the Australian Mission because we don't have enough budget and the expertise to do what we wanted to do</w:t>
      </w:r>
      <w:r w:rsidRPr="007C3B9D">
        <w:rPr>
          <w:rFonts w:cs="Calibri"/>
          <w:lang w:val="en-AU"/>
        </w:rPr>
        <w:t>.’</w:t>
      </w:r>
    </w:p>
    <w:p w14:paraId="422BAEF3" w14:textId="77777777" w:rsidR="00394860" w:rsidRPr="007C3B9D" w:rsidRDefault="00394860" w:rsidP="00903D77">
      <w:pPr>
        <w:spacing w:after="120" w:line="276" w:lineRule="auto"/>
        <w:jc w:val="both"/>
        <w:rPr>
          <w:rFonts w:cs="Calibri"/>
          <w:lang w:val="en-AU"/>
        </w:rPr>
      </w:pPr>
      <w:r w:rsidRPr="007C3B9D">
        <w:rPr>
          <w:rFonts w:cs="Calibri"/>
          <w:lang w:val="en-AU"/>
        </w:rPr>
        <w:t>This underscores the complexity of addressing the diverse security capacities and needs across ASEAN, where APSP’s adaptable approach has been instrumental in providing customised support. This flexibility exemplifies the program’s nuanced approach that bridges the gap between ASEAN’s collective goals and individual member capabilities.</w:t>
      </w:r>
    </w:p>
    <w:p w14:paraId="20E3795F" w14:textId="3CF86E77" w:rsidR="00394860" w:rsidRPr="007C3B9D" w:rsidRDefault="00394860" w:rsidP="00903D77">
      <w:pPr>
        <w:spacing w:after="120" w:line="276" w:lineRule="auto"/>
        <w:jc w:val="both"/>
        <w:rPr>
          <w:rFonts w:cs="Calibri"/>
          <w:lang w:val="en-AU"/>
        </w:rPr>
      </w:pPr>
      <w:r w:rsidRPr="007C3B9D">
        <w:rPr>
          <w:rFonts w:cs="Calibri"/>
          <w:lang w:val="en-AU"/>
        </w:rPr>
        <w:t>A key element of APSP’s operational model is its emphasis on fostering both bilateral and multilateral dialogues within ASEAN, with a specific focus on common political security challenges such as cybersecurity and transnational crime. This model has allowed APSP to integrate its support in ways that reinforce ASEAN’s broader security framework. ASEAN’s procedural framework outlines a meticulous, consensus-driven approach to partner engagement, beginning with ensuring that initiatives align with</w:t>
      </w:r>
      <w:r w:rsidR="00D34F1D" w:rsidRPr="007C3B9D">
        <w:rPr>
          <w:lang w:val="en-AU"/>
        </w:rPr>
        <w:t xml:space="preserve"> ASEAN frameworks, policies and work plans</w:t>
      </w:r>
      <w:r w:rsidRPr="007C3B9D">
        <w:rPr>
          <w:rFonts w:cs="Calibri"/>
          <w:lang w:val="en-AU"/>
        </w:rPr>
        <w:t>, followed by collaborative drafting and a multi-tiered review process. This structured engagement underscores APSP’s role in ensuring that all interventions are aligned with ASEAN’s collective priorities. This not only strengthens the APSP’s legitimacy within ASEAN but also ensures that its projects bolster ASEAN’s established security frameworks and are executed in a manner that respects ASEAN’s procedural rigor.</w:t>
      </w:r>
    </w:p>
    <w:p w14:paraId="51B3E3DD" w14:textId="77777777" w:rsidR="00394860" w:rsidRPr="007C3B9D" w:rsidRDefault="00394860" w:rsidP="00903D77">
      <w:pPr>
        <w:spacing w:after="120" w:line="276" w:lineRule="auto"/>
        <w:jc w:val="both"/>
        <w:rPr>
          <w:rFonts w:cs="Calibri"/>
          <w:lang w:val="en-AU"/>
        </w:rPr>
      </w:pPr>
      <w:r w:rsidRPr="007C3B9D">
        <w:rPr>
          <w:rFonts w:cs="Calibri"/>
          <w:lang w:val="en-AU"/>
        </w:rPr>
        <w:t>The program’s complementarity with ASEAN’s established frameworks has further solidified its role as a valuable partner, with APSP having supported ASEAN in a facilitative role rather than imposing external technical solutions. This has allowed AMS to engage directly on technical issues, while preserving ASEAN procedural autonomy. APSP has therefore operated in harmony with ASEAN’s decision-making structures.</w:t>
      </w:r>
    </w:p>
    <w:p w14:paraId="7D397185" w14:textId="77777777" w:rsidR="00394860" w:rsidRPr="007C3B9D" w:rsidRDefault="00394860" w:rsidP="00903D77">
      <w:pPr>
        <w:spacing w:after="120" w:line="276" w:lineRule="auto"/>
        <w:jc w:val="both"/>
        <w:rPr>
          <w:rFonts w:cs="Calibri"/>
          <w:lang w:val="en-AU"/>
        </w:rPr>
      </w:pPr>
      <w:r w:rsidRPr="007C3B9D">
        <w:rPr>
          <w:rFonts w:cs="Calibri"/>
          <w:lang w:val="en-AU"/>
        </w:rPr>
        <w:t xml:space="preserve">In areas of heightened sensitivity, APSP has further demonstrated its value by adopting a non-intrusive support model. By establishing thematic ‘watching briefs’ and leveraging existing in-country expertise, APSP has remained responsive to ASEAN’s complex and sensitive security dynamics. The </w:t>
      </w:r>
      <w:r w:rsidRPr="007C3B9D">
        <w:rPr>
          <w:rFonts w:cs="Calibri"/>
          <w:lang w:val="en-AU"/>
        </w:rPr>
        <w:lastRenderedPageBreak/>
        <w:t>APSP’s engagement on maritime security highlights this sensitivity, with one TAF representative highlighting that APSP has ‘</w:t>
      </w:r>
      <w:r w:rsidRPr="007C3B9D">
        <w:rPr>
          <w:rFonts w:cs="Calibri"/>
          <w:i/>
          <w:iCs/>
          <w:lang w:val="en-AU"/>
        </w:rPr>
        <w:t>deliberately focused on less contentious areas such as People-to-People relations, economic resilience, climate change, and environmental protection’</w:t>
      </w:r>
      <w:r w:rsidRPr="007C3B9D">
        <w:rPr>
          <w:rFonts w:cs="Calibri"/>
          <w:lang w:val="en-AU"/>
        </w:rPr>
        <w:t xml:space="preserve"> rather than military issues that might evoke sovereignty concerns. This ‘soft’ approach has enabled APSP to advance maritime security without touching on sensitive topics such as naval or coast guard operations, aligning its objectives with ASEAN’s own approach to maritime security, which prioritises cooperation and stability over confrontation. By focusing on such entry points, APSP has succeeded in promoting regional resilience without infringing on national security concerns, thus creating a cooperative platform for maritime security that ASEAN member states can comfortably support.</w:t>
      </w:r>
    </w:p>
    <w:p w14:paraId="1FC4EC29" w14:textId="77777777" w:rsidR="00394860" w:rsidRPr="007C3B9D" w:rsidRDefault="00394860" w:rsidP="00903D77">
      <w:pPr>
        <w:spacing w:after="120" w:line="276" w:lineRule="auto"/>
        <w:jc w:val="both"/>
        <w:rPr>
          <w:rFonts w:cs="Calibri"/>
          <w:lang w:val="en-AU"/>
        </w:rPr>
      </w:pPr>
      <w:r w:rsidRPr="007C3B9D">
        <w:rPr>
          <w:rFonts w:cs="Calibri"/>
          <w:lang w:val="en-AU"/>
        </w:rPr>
        <w:t>Capacity-building has been another crucial aspect of APSP’s alignment with ASEAN’s needs, particularly in building the skills of ASEAN Secretariat staff, with an ASEAN official noting that the training provided by APSP has enabled staff to service member states and ASEAN sectoral bodies more effectively. This skill-building initiative has enhanced ASEAN’s institutional ability to address politically security issues and underscores APSP’s focus on building long-term, sustainable capacity within the organisation, thus empowering the organisation to manage its own security initiatives more independently and effectively.</w:t>
      </w:r>
    </w:p>
    <w:p w14:paraId="60A4A980" w14:textId="77777777" w:rsidR="00394860" w:rsidRPr="007C3B9D" w:rsidRDefault="00394860" w:rsidP="00903D77">
      <w:pPr>
        <w:spacing w:after="120" w:line="276" w:lineRule="auto"/>
        <w:jc w:val="both"/>
        <w:rPr>
          <w:rFonts w:cs="Calibri"/>
          <w:lang w:val="en-AU"/>
        </w:rPr>
      </w:pPr>
      <w:r w:rsidRPr="007C3B9D">
        <w:rPr>
          <w:rFonts w:cs="Calibri"/>
          <w:lang w:val="en-AU"/>
        </w:rPr>
        <w:t>This alignment with ASEAN’s needs has not been without challenges, however, particularly in managing the sensitivities surrounding political security issues. ASEAN’s approach to security often involves high-level Vision Statements, which underscore ASEAN’s preference for consensus-driven goals, but which some ASEAN stakeholders observed can be difficult to translate into specific, actionable initiatives for both AMS and external partners. This highlights the delicate balance APSP must maintain in providing support that aligns with ASEAN’s security objectives while avoiding politically contentious issues.</w:t>
      </w:r>
    </w:p>
    <w:p w14:paraId="28076DB7" w14:textId="3F001D51" w:rsidR="00394860" w:rsidRPr="007C3B9D" w:rsidRDefault="00394860" w:rsidP="00903D77">
      <w:pPr>
        <w:spacing w:after="120" w:line="276" w:lineRule="auto"/>
        <w:jc w:val="both"/>
        <w:rPr>
          <w:rFonts w:cs="Calibri"/>
          <w:lang w:val="en-AU"/>
        </w:rPr>
      </w:pPr>
      <w:r w:rsidRPr="007C3B9D">
        <w:rPr>
          <w:rFonts w:cs="Calibri"/>
          <w:lang w:val="en-AU"/>
        </w:rPr>
        <w:t>One area where APSP’s support has been significant is in cybersecurity, where ASEAN has faced increasing threats from digitalisation, but has encountered hesitations around strict digital regulation. An Australian expert observed that ‘</w:t>
      </w:r>
      <w:r w:rsidRPr="007C3B9D">
        <w:rPr>
          <w:rFonts w:cs="Calibri"/>
          <w:i/>
          <w:iCs/>
          <w:lang w:val="en-AU"/>
        </w:rPr>
        <w:t>initially, there was reluctance to engage in discussions around [digital] regulation because of concerns that this could potentially inhibit economic progress</w:t>
      </w:r>
      <w:r w:rsidRPr="007C3B9D">
        <w:rPr>
          <w:rFonts w:cs="Calibri"/>
          <w:lang w:val="en-AU"/>
        </w:rPr>
        <w:t xml:space="preserve">.’ Over time, however, APSP has helped ASEAN member states recognise that digitalisation presents a double-edged sword, with economic as well as social and community risks, illustrating how APSP’s nuanced engagement has facilitated a more comprehensive understanding of cybersecurity risks across ASEAN. </w:t>
      </w:r>
      <w:r w:rsidR="00D34F1D" w:rsidRPr="007C3B9D">
        <w:rPr>
          <w:lang w:val="en-AU"/>
        </w:rPr>
        <w:t xml:space="preserve">A key example was APSP’s facilitation of a workshop supporting the UNGGE Norms of Responsible State </w:t>
      </w:r>
      <w:r w:rsidR="00363B6A" w:rsidRPr="007C3B9D">
        <w:rPr>
          <w:lang w:val="en-AU"/>
        </w:rPr>
        <w:t>Behaviour</w:t>
      </w:r>
      <w:r w:rsidR="00D34F1D" w:rsidRPr="007C3B9D">
        <w:rPr>
          <w:lang w:val="en-AU"/>
        </w:rPr>
        <w:t xml:space="preserve"> in Cyberspace, which supported ASEAN officials and experts to explore best practices tailored to their country and regional contexts. </w:t>
      </w:r>
      <w:r w:rsidRPr="007C3B9D">
        <w:rPr>
          <w:rFonts w:cs="Calibri"/>
          <w:lang w:val="en-AU"/>
        </w:rPr>
        <w:t xml:space="preserve">Such shifts in perception highlight APSP’s role in bridging ASEAN’s economic and security priorities, promoting a balanced approach to digital transformation that </w:t>
      </w:r>
      <w:proofErr w:type="gramStart"/>
      <w:r w:rsidRPr="007C3B9D">
        <w:rPr>
          <w:rFonts w:cs="Calibri"/>
          <w:lang w:val="en-AU"/>
        </w:rPr>
        <w:t>takes into account</w:t>
      </w:r>
      <w:proofErr w:type="gramEnd"/>
      <w:r w:rsidRPr="007C3B9D">
        <w:rPr>
          <w:rFonts w:cs="Calibri"/>
          <w:lang w:val="en-AU"/>
        </w:rPr>
        <w:t xml:space="preserve"> both security and economic development.</w:t>
      </w:r>
    </w:p>
    <w:p w14:paraId="4008D3A2" w14:textId="77777777" w:rsidR="00394860" w:rsidRPr="007C3B9D" w:rsidRDefault="00394860" w:rsidP="00903D77">
      <w:pPr>
        <w:spacing w:after="120" w:line="276" w:lineRule="auto"/>
        <w:jc w:val="both"/>
        <w:rPr>
          <w:rFonts w:cs="Calibri"/>
          <w:lang w:val="en-AU"/>
        </w:rPr>
      </w:pPr>
      <w:r w:rsidRPr="007C3B9D">
        <w:rPr>
          <w:rFonts w:cs="Calibri"/>
          <w:lang w:val="en-AU"/>
        </w:rPr>
        <w:t>The APSP has also been instrumental in responding to the rising issue of online radicalisation and risks associated with emerging technologies, with an Australian government official observing that ‘</w:t>
      </w:r>
      <w:r w:rsidRPr="007C3B9D">
        <w:rPr>
          <w:rFonts w:cs="Calibri"/>
          <w:i/>
          <w:iCs/>
          <w:lang w:val="en-AU"/>
        </w:rPr>
        <w:t>I go to these bilateral CT dialogs, everyone is talking about the same issues. Everyone is talking about online youth radicalisation, everyone is talking about the risk posed by generative AI, in terms of generating propaganda, aiding recruitment</w:t>
      </w:r>
      <w:r w:rsidRPr="007C3B9D">
        <w:rPr>
          <w:rFonts w:cs="Calibri"/>
          <w:lang w:val="en-AU"/>
        </w:rPr>
        <w:t>.’ This reflects APSP’s coherence with the prevailing security discourse within ASEAN, ensuring that its initiatives remain relevant and aligned with crucial topics for ASEAN security stakeholders, by addressing both present and emergent threats.</w:t>
      </w:r>
    </w:p>
    <w:p w14:paraId="2DABB2A3" w14:textId="77777777" w:rsidR="00394860" w:rsidRPr="007C3B9D" w:rsidRDefault="00394860" w:rsidP="00903D77">
      <w:pPr>
        <w:spacing w:after="120" w:line="276" w:lineRule="auto"/>
        <w:jc w:val="both"/>
        <w:rPr>
          <w:rFonts w:cs="Calibri"/>
          <w:lang w:val="en-AU"/>
        </w:rPr>
      </w:pPr>
      <w:r w:rsidRPr="007C3B9D">
        <w:rPr>
          <w:rFonts w:cs="Calibri"/>
          <w:lang w:val="en-AU"/>
        </w:rPr>
        <w:t>The COVID-19 pandemic further underscored the interconnectedness of ASEAN’s security landscape and the critical role of APSP’s partnership in times of crisis. As highlighted by an Indonesian government official, the pandemic ‘</w:t>
      </w:r>
      <w:r w:rsidRPr="007C3B9D">
        <w:rPr>
          <w:rFonts w:cs="Calibri"/>
          <w:i/>
          <w:iCs/>
          <w:lang w:val="en-AU"/>
        </w:rPr>
        <w:t xml:space="preserve">reflected our inability to handle [a crisis] when borders closed and </w:t>
      </w:r>
      <w:r w:rsidRPr="007C3B9D">
        <w:rPr>
          <w:rFonts w:cs="Calibri"/>
          <w:i/>
          <w:iCs/>
          <w:lang w:val="en-AU"/>
        </w:rPr>
        <w:lastRenderedPageBreak/>
        <w:t>we didn't have resources available to us domestically. That’s when we turn to our neighbours</w:t>
      </w:r>
      <w:r w:rsidRPr="007C3B9D">
        <w:rPr>
          <w:rFonts w:cs="Calibri"/>
          <w:lang w:val="en-AU"/>
        </w:rPr>
        <w:t xml:space="preserve">.’ This sentiment underscores ASEAN’s reliance on regional cooperation in crisis scenarios, illustrating the role of APSP as a partner that can help ASEAN manage regional interdependencies more effectively. The pandemic has heightened ASEAN’s awareness of the need for regional preparedness, a realisation that APSP has supported by sustaining regional security concerns, even amidst global disruption. </w:t>
      </w:r>
    </w:p>
    <w:p w14:paraId="2789C732" w14:textId="38D7044F" w:rsidR="00394860" w:rsidRPr="007C3B9D" w:rsidRDefault="00394860" w:rsidP="00903D77">
      <w:pPr>
        <w:spacing w:after="120" w:line="276" w:lineRule="auto"/>
        <w:jc w:val="both"/>
        <w:rPr>
          <w:rFonts w:cs="Calibri"/>
          <w:lang w:val="en-AU"/>
        </w:rPr>
      </w:pPr>
      <w:r w:rsidRPr="007C3B9D">
        <w:rPr>
          <w:rFonts w:cs="Calibri"/>
          <w:lang w:val="en-AU"/>
        </w:rPr>
        <w:t xml:space="preserve">The program however has struggled to maintain the timeliness of its interventions, which would have served to maintain and increase its alignment with regional needs. While this was in part </w:t>
      </w:r>
      <w:proofErr w:type="gramStart"/>
      <w:r w:rsidRPr="007C3B9D">
        <w:rPr>
          <w:rFonts w:cs="Calibri"/>
          <w:lang w:val="en-AU"/>
        </w:rPr>
        <w:t>due to the effects</w:t>
      </w:r>
      <w:proofErr w:type="gramEnd"/>
      <w:r w:rsidRPr="007C3B9D">
        <w:rPr>
          <w:rFonts w:cs="Calibri"/>
          <w:lang w:val="en-AU"/>
        </w:rPr>
        <w:t xml:space="preserve"> of the pandemic, which restricted implementation in the early period, it was largely the result of the complex and lengthy internal procedural requirements necessary for ASEAN approval of each request presented by APSP. The implications and responses to this constraint are outlined at </w:t>
      </w:r>
      <w:r w:rsidRPr="007C3B9D">
        <w:rPr>
          <w:rFonts w:cs="Calibri"/>
          <w:i/>
          <w:iCs/>
          <w:lang w:val="en-AU"/>
        </w:rPr>
        <w:t>Effectiveness</w:t>
      </w:r>
      <w:r w:rsidRPr="007C3B9D">
        <w:rPr>
          <w:rFonts w:cs="Calibri"/>
          <w:lang w:val="en-AU"/>
        </w:rPr>
        <w:t xml:space="preserve"> below.</w:t>
      </w:r>
    </w:p>
    <w:p w14:paraId="7980C279" w14:textId="2B9744D7" w:rsidR="00394860" w:rsidRPr="007C3B9D" w:rsidRDefault="00274DE8" w:rsidP="0035461D">
      <w:pPr>
        <w:pStyle w:val="Heading3"/>
      </w:pPr>
      <w:r w:rsidRPr="007C3B9D">
        <w:t>Survey</w:t>
      </w:r>
      <w:r w:rsidR="0036140D" w:rsidRPr="007C3B9D">
        <w:t xml:space="preserve"> feedback</w:t>
      </w:r>
    </w:p>
    <w:p w14:paraId="0E58F8BA" w14:textId="4AD0C967" w:rsidR="00A53D7A" w:rsidRDefault="00274DE8" w:rsidP="00903D77">
      <w:pPr>
        <w:spacing w:after="120" w:line="276" w:lineRule="auto"/>
        <w:jc w:val="both"/>
        <w:rPr>
          <w:rFonts w:cs="Calibri"/>
          <w:lang w:val="en-AU"/>
        </w:rPr>
      </w:pPr>
      <w:r w:rsidRPr="007C3B9D">
        <w:rPr>
          <w:rFonts w:cs="Calibri"/>
          <w:lang w:val="en-AU"/>
        </w:rPr>
        <w:t>Survey respondents strongly consider that individual, institutional and regional needs and priorities were addressed by the activities in which they participated, as indicated by the table below:</w:t>
      </w:r>
    </w:p>
    <w:tbl>
      <w:tblPr>
        <w:tblStyle w:val="TableGrid"/>
        <w:tblW w:w="3042" w:type="pct"/>
        <w:jc w:val="center"/>
        <w:tblLook w:val="0420" w:firstRow="1" w:lastRow="0" w:firstColumn="0" w:lastColumn="0" w:noHBand="0" w:noVBand="1"/>
      </w:tblPr>
      <w:tblGrid>
        <w:gridCol w:w="2515"/>
        <w:gridCol w:w="2970"/>
      </w:tblGrid>
      <w:tr w:rsidR="008832D0" w14:paraId="5C523AE9" w14:textId="77777777" w:rsidTr="002A7648">
        <w:trPr>
          <w:tblHeader/>
          <w:jc w:val="center"/>
        </w:trPr>
        <w:tc>
          <w:tcPr>
            <w:tcW w:w="2293" w:type="pct"/>
            <w:shd w:val="clear" w:color="auto" w:fill="45B0E1" w:themeFill="accent1" w:themeFillTint="99"/>
          </w:tcPr>
          <w:p w14:paraId="11A395A7" w14:textId="3724898C" w:rsidR="008832D0" w:rsidRPr="003D1AE7" w:rsidRDefault="008832D0" w:rsidP="002A7648">
            <w:pPr>
              <w:autoSpaceDE w:val="0"/>
              <w:autoSpaceDN w:val="0"/>
              <w:adjustRightInd w:val="0"/>
              <w:spacing w:after="120" w:line="276" w:lineRule="auto"/>
              <w:rPr>
                <w:rFonts w:cstheme="minorHAnsi"/>
                <w:b/>
                <w:bCs/>
                <w:color w:val="000000"/>
                <w:lang w:val="en-AU"/>
              </w:rPr>
            </w:pPr>
            <w:r w:rsidRPr="008832D0">
              <w:rPr>
                <w:rFonts w:cstheme="minorHAnsi"/>
                <w:b/>
                <w:bCs/>
                <w:lang w:val="en-AU"/>
              </w:rPr>
              <w:t>Extent to which program responded to individual needs &amp; priorities</w:t>
            </w:r>
          </w:p>
        </w:tc>
        <w:tc>
          <w:tcPr>
            <w:tcW w:w="2707" w:type="pct"/>
            <w:shd w:val="clear" w:color="auto" w:fill="45B0E1" w:themeFill="accent1" w:themeFillTint="99"/>
          </w:tcPr>
          <w:p w14:paraId="4BB0E51C" w14:textId="77777777" w:rsidR="008832D0" w:rsidRPr="003D1AE7" w:rsidRDefault="008832D0"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8832D0" w14:paraId="7492FEFA" w14:textId="77777777" w:rsidTr="002A7648">
        <w:trPr>
          <w:jc w:val="center"/>
        </w:trPr>
        <w:tc>
          <w:tcPr>
            <w:tcW w:w="2293" w:type="pct"/>
          </w:tcPr>
          <w:p w14:paraId="59AAF162" w14:textId="73FCC8B8" w:rsidR="008832D0" w:rsidRDefault="008832D0" w:rsidP="002A7648">
            <w:pPr>
              <w:autoSpaceDE w:val="0"/>
              <w:autoSpaceDN w:val="0"/>
              <w:adjustRightInd w:val="0"/>
              <w:spacing w:after="120" w:line="276" w:lineRule="auto"/>
              <w:jc w:val="both"/>
              <w:rPr>
                <w:rFonts w:cstheme="minorHAnsi"/>
                <w:color w:val="000000"/>
                <w:lang w:val="en-AU"/>
              </w:rPr>
            </w:pPr>
            <w:r w:rsidRPr="007C3B9D">
              <w:rPr>
                <w:rFonts w:cstheme="minorHAnsi"/>
                <w:lang w:val="en-AU"/>
              </w:rPr>
              <w:t>Addressed well</w:t>
            </w:r>
          </w:p>
        </w:tc>
        <w:tc>
          <w:tcPr>
            <w:tcW w:w="2707" w:type="pct"/>
          </w:tcPr>
          <w:p w14:paraId="0DFB164B" w14:textId="2ED7DF13" w:rsidR="008832D0" w:rsidRDefault="009E6FD6" w:rsidP="002A7648">
            <w:pPr>
              <w:autoSpaceDE w:val="0"/>
              <w:autoSpaceDN w:val="0"/>
              <w:adjustRightInd w:val="0"/>
              <w:spacing w:after="120" w:line="276" w:lineRule="auto"/>
              <w:jc w:val="both"/>
              <w:rPr>
                <w:rFonts w:cstheme="minorHAnsi"/>
                <w:color w:val="000000"/>
                <w:lang w:val="en-AU"/>
              </w:rPr>
            </w:pPr>
            <w:r>
              <w:rPr>
                <w:rFonts w:cstheme="minorHAnsi"/>
              </w:rPr>
              <w:t>3</w:t>
            </w:r>
            <w:r w:rsidR="008832D0" w:rsidRPr="009F7DE6">
              <w:rPr>
                <w:rFonts w:cstheme="minorHAnsi"/>
              </w:rPr>
              <w:t>6%</w:t>
            </w:r>
          </w:p>
        </w:tc>
      </w:tr>
      <w:tr w:rsidR="008832D0" w14:paraId="21BA4916" w14:textId="77777777" w:rsidTr="002A7648">
        <w:trPr>
          <w:jc w:val="center"/>
        </w:trPr>
        <w:tc>
          <w:tcPr>
            <w:tcW w:w="2293" w:type="pct"/>
          </w:tcPr>
          <w:p w14:paraId="464CC4D1" w14:textId="0876EBD8" w:rsidR="008832D0" w:rsidRDefault="008832D0" w:rsidP="002A7648">
            <w:pPr>
              <w:autoSpaceDE w:val="0"/>
              <w:autoSpaceDN w:val="0"/>
              <w:adjustRightInd w:val="0"/>
              <w:spacing w:after="120" w:line="276" w:lineRule="auto"/>
              <w:jc w:val="both"/>
              <w:rPr>
                <w:rFonts w:cstheme="minorHAnsi"/>
                <w:color w:val="000000"/>
                <w:lang w:val="en-AU"/>
              </w:rPr>
            </w:pPr>
            <w:r w:rsidRPr="007C3B9D">
              <w:rPr>
                <w:rFonts w:cstheme="minorHAnsi"/>
                <w:lang w:val="en-AU"/>
              </w:rPr>
              <w:t>Addressed</w:t>
            </w:r>
          </w:p>
        </w:tc>
        <w:tc>
          <w:tcPr>
            <w:tcW w:w="2707" w:type="pct"/>
          </w:tcPr>
          <w:p w14:paraId="0A27537B" w14:textId="2A9598AC" w:rsidR="008832D0" w:rsidRDefault="009E6FD6" w:rsidP="002A7648">
            <w:pPr>
              <w:autoSpaceDE w:val="0"/>
              <w:autoSpaceDN w:val="0"/>
              <w:adjustRightInd w:val="0"/>
              <w:spacing w:after="120" w:line="276" w:lineRule="auto"/>
              <w:jc w:val="both"/>
              <w:rPr>
                <w:rFonts w:cstheme="minorHAnsi"/>
                <w:color w:val="000000"/>
                <w:lang w:val="en-AU"/>
              </w:rPr>
            </w:pPr>
            <w:r>
              <w:rPr>
                <w:rFonts w:cstheme="minorHAnsi"/>
              </w:rPr>
              <w:t>3</w:t>
            </w:r>
            <w:r w:rsidR="008832D0" w:rsidRPr="009F7DE6">
              <w:rPr>
                <w:rFonts w:cstheme="minorHAnsi"/>
              </w:rPr>
              <w:t>2%</w:t>
            </w:r>
          </w:p>
        </w:tc>
      </w:tr>
      <w:tr w:rsidR="008832D0" w14:paraId="3D776133" w14:textId="77777777" w:rsidTr="002A7648">
        <w:trPr>
          <w:jc w:val="center"/>
        </w:trPr>
        <w:tc>
          <w:tcPr>
            <w:tcW w:w="2293" w:type="pct"/>
          </w:tcPr>
          <w:p w14:paraId="02929BB3" w14:textId="40BFA712" w:rsidR="008832D0" w:rsidRDefault="008832D0"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707" w:type="pct"/>
          </w:tcPr>
          <w:p w14:paraId="4D6BD92D" w14:textId="78970779" w:rsidR="008832D0" w:rsidRDefault="008832D0" w:rsidP="002A7648">
            <w:pPr>
              <w:autoSpaceDE w:val="0"/>
              <w:autoSpaceDN w:val="0"/>
              <w:adjustRightInd w:val="0"/>
              <w:spacing w:after="120" w:line="276" w:lineRule="auto"/>
              <w:jc w:val="both"/>
              <w:rPr>
                <w:rFonts w:cstheme="minorHAnsi"/>
                <w:color w:val="000000"/>
                <w:lang w:val="en-AU"/>
              </w:rPr>
            </w:pPr>
            <w:r w:rsidRPr="009F7DE6">
              <w:rPr>
                <w:rFonts w:cstheme="minorHAnsi"/>
              </w:rPr>
              <w:t>1</w:t>
            </w:r>
            <w:r w:rsidR="009E6FD6">
              <w:rPr>
                <w:rFonts w:cstheme="minorHAnsi"/>
              </w:rPr>
              <w:t>2</w:t>
            </w:r>
            <w:r w:rsidRPr="009F7DE6">
              <w:rPr>
                <w:rFonts w:cstheme="minorHAnsi"/>
              </w:rPr>
              <w:t>%</w:t>
            </w:r>
          </w:p>
        </w:tc>
      </w:tr>
      <w:tr w:rsidR="008832D0" w14:paraId="441EB987" w14:textId="77777777" w:rsidTr="002A7648">
        <w:trPr>
          <w:jc w:val="center"/>
        </w:trPr>
        <w:tc>
          <w:tcPr>
            <w:tcW w:w="2293" w:type="pct"/>
          </w:tcPr>
          <w:p w14:paraId="27D8C7CE" w14:textId="75008669" w:rsidR="008832D0" w:rsidRDefault="008832D0" w:rsidP="002A7648">
            <w:pPr>
              <w:autoSpaceDE w:val="0"/>
              <w:autoSpaceDN w:val="0"/>
              <w:adjustRightInd w:val="0"/>
              <w:spacing w:after="120" w:line="276" w:lineRule="auto"/>
              <w:jc w:val="both"/>
              <w:rPr>
                <w:rFonts w:cstheme="minorHAnsi"/>
                <w:color w:val="000000"/>
                <w:lang w:val="en-AU"/>
              </w:rPr>
            </w:pPr>
            <w:r>
              <w:rPr>
                <w:rFonts w:cstheme="minorHAnsi"/>
              </w:rPr>
              <w:t xml:space="preserve">Not addressed </w:t>
            </w:r>
          </w:p>
        </w:tc>
        <w:tc>
          <w:tcPr>
            <w:tcW w:w="2707" w:type="pct"/>
          </w:tcPr>
          <w:p w14:paraId="4276015A" w14:textId="7BA6B5A4" w:rsidR="008832D0" w:rsidRPr="009F7DE6" w:rsidRDefault="008832D0" w:rsidP="002A7648">
            <w:pPr>
              <w:autoSpaceDE w:val="0"/>
              <w:autoSpaceDN w:val="0"/>
              <w:adjustRightInd w:val="0"/>
              <w:spacing w:after="120" w:line="276" w:lineRule="auto"/>
              <w:jc w:val="both"/>
              <w:rPr>
                <w:rFonts w:cstheme="minorHAnsi"/>
              </w:rPr>
            </w:pPr>
            <w:r w:rsidRPr="009F7DE6">
              <w:rPr>
                <w:rFonts w:cstheme="minorHAnsi"/>
              </w:rPr>
              <w:t>1</w:t>
            </w:r>
            <w:r w:rsidR="009E6FD6">
              <w:rPr>
                <w:rFonts w:cstheme="minorHAnsi"/>
              </w:rPr>
              <w:t>6</w:t>
            </w:r>
            <w:r w:rsidRPr="009F7DE6">
              <w:rPr>
                <w:rFonts w:cstheme="minorHAnsi"/>
              </w:rPr>
              <w:t>%</w:t>
            </w:r>
          </w:p>
        </w:tc>
      </w:tr>
      <w:tr w:rsidR="008832D0" w14:paraId="14CDD580" w14:textId="77777777" w:rsidTr="002A7648">
        <w:trPr>
          <w:jc w:val="center"/>
        </w:trPr>
        <w:tc>
          <w:tcPr>
            <w:tcW w:w="2293" w:type="pct"/>
          </w:tcPr>
          <w:p w14:paraId="69C05618" w14:textId="757F3B27" w:rsidR="008832D0" w:rsidRPr="009F7DE6" w:rsidRDefault="008832D0" w:rsidP="002A7648">
            <w:pPr>
              <w:autoSpaceDE w:val="0"/>
              <w:autoSpaceDN w:val="0"/>
              <w:adjustRightInd w:val="0"/>
              <w:spacing w:after="120" w:line="276" w:lineRule="auto"/>
              <w:jc w:val="both"/>
              <w:rPr>
                <w:rFonts w:cstheme="minorHAnsi"/>
              </w:rPr>
            </w:pPr>
            <w:r>
              <w:rPr>
                <w:rFonts w:cstheme="minorHAnsi"/>
              </w:rPr>
              <w:t xml:space="preserve">N/A </w:t>
            </w:r>
          </w:p>
        </w:tc>
        <w:tc>
          <w:tcPr>
            <w:tcW w:w="2707" w:type="pct"/>
          </w:tcPr>
          <w:p w14:paraId="12B3BFB2" w14:textId="14916192" w:rsidR="008832D0" w:rsidRPr="009F7DE6" w:rsidRDefault="009E6FD6" w:rsidP="002A7648">
            <w:pPr>
              <w:autoSpaceDE w:val="0"/>
              <w:autoSpaceDN w:val="0"/>
              <w:adjustRightInd w:val="0"/>
              <w:spacing w:after="120" w:line="276" w:lineRule="auto"/>
              <w:jc w:val="both"/>
              <w:rPr>
                <w:rFonts w:cstheme="minorHAnsi"/>
              </w:rPr>
            </w:pPr>
            <w:r>
              <w:rPr>
                <w:rFonts w:cstheme="minorHAnsi"/>
              </w:rPr>
              <w:t>4</w:t>
            </w:r>
            <w:r w:rsidR="008832D0">
              <w:rPr>
                <w:rFonts w:cstheme="minorHAnsi"/>
              </w:rPr>
              <w:t>%</w:t>
            </w:r>
          </w:p>
        </w:tc>
      </w:tr>
    </w:tbl>
    <w:p w14:paraId="3DF9A943" w14:textId="77777777" w:rsidR="00636B03" w:rsidRDefault="00636B03" w:rsidP="00636B03">
      <w:pPr>
        <w:spacing w:after="0" w:line="276" w:lineRule="auto"/>
        <w:jc w:val="both"/>
        <w:rPr>
          <w:rFonts w:cs="Calibri"/>
          <w:lang w:val="en-AU"/>
        </w:rPr>
      </w:pPr>
    </w:p>
    <w:tbl>
      <w:tblPr>
        <w:tblStyle w:val="TableGrid"/>
        <w:tblW w:w="3042" w:type="pct"/>
        <w:jc w:val="center"/>
        <w:tblLook w:val="0420" w:firstRow="1" w:lastRow="0" w:firstColumn="0" w:lastColumn="0" w:noHBand="0" w:noVBand="1"/>
      </w:tblPr>
      <w:tblGrid>
        <w:gridCol w:w="2515"/>
        <w:gridCol w:w="2970"/>
      </w:tblGrid>
      <w:tr w:rsidR="009E6FD6" w14:paraId="623D63C3" w14:textId="77777777" w:rsidTr="00627015">
        <w:trPr>
          <w:tblHeader/>
          <w:jc w:val="center"/>
        </w:trPr>
        <w:tc>
          <w:tcPr>
            <w:tcW w:w="2293" w:type="pct"/>
            <w:shd w:val="clear" w:color="auto" w:fill="45B0E1" w:themeFill="accent1" w:themeFillTint="99"/>
          </w:tcPr>
          <w:p w14:paraId="6B42DF72" w14:textId="68883D3B" w:rsidR="009E6FD6" w:rsidRPr="003D1AE7" w:rsidRDefault="009E6FD6" w:rsidP="002A7648">
            <w:pPr>
              <w:autoSpaceDE w:val="0"/>
              <w:autoSpaceDN w:val="0"/>
              <w:adjustRightInd w:val="0"/>
              <w:spacing w:after="120" w:line="276" w:lineRule="auto"/>
              <w:rPr>
                <w:rFonts w:cstheme="minorHAnsi"/>
                <w:b/>
                <w:bCs/>
                <w:color w:val="000000"/>
                <w:lang w:val="en-AU"/>
              </w:rPr>
            </w:pPr>
            <w:r w:rsidRPr="009E6FD6">
              <w:rPr>
                <w:rFonts w:cstheme="minorHAnsi"/>
                <w:b/>
                <w:bCs/>
                <w:lang w:val="en-AU"/>
              </w:rPr>
              <w:t>Extent to which program responded to institutions’ needs &amp; priorities</w:t>
            </w:r>
          </w:p>
        </w:tc>
        <w:tc>
          <w:tcPr>
            <w:tcW w:w="2707" w:type="pct"/>
            <w:shd w:val="clear" w:color="auto" w:fill="45B0E1" w:themeFill="accent1" w:themeFillTint="99"/>
          </w:tcPr>
          <w:p w14:paraId="7F831158" w14:textId="77777777" w:rsidR="009E6FD6" w:rsidRPr="003D1AE7" w:rsidRDefault="009E6FD6" w:rsidP="002A7648">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9E6FD6" w14:paraId="1DF06932" w14:textId="77777777" w:rsidTr="00627015">
        <w:trPr>
          <w:jc w:val="center"/>
        </w:trPr>
        <w:tc>
          <w:tcPr>
            <w:tcW w:w="2293" w:type="pct"/>
          </w:tcPr>
          <w:p w14:paraId="68292759" w14:textId="77777777" w:rsidR="009E6FD6" w:rsidRDefault="009E6FD6" w:rsidP="002A7648">
            <w:pPr>
              <w:autoSpaceDE w:val="0"/>
              <w:autoSpaceDN w:val="0"/>
              <w:adjustRightInd w:val="0"/>
              <w:spacing w:after="120" w:line="276" w:lineRule="auto"/>
              <w:jc w:val="both"/>
              <w:rPr>
                <w:rFonts w:cstheme="minorHAnsi"/>
                <w:color w:val="000000"/>
                <w:lang w:val="en-AU"/>
              </w:rPr>
            </w:pPr>
            <w:r w:rsidRPr="007C3B9D">
              <w:rPr>
                <w:rFonts w:cstheme="minorHAnsi"/>
                <w:lang w:val="en-AU"/>
              </w:rPr>
              <w:t>Addressed well</w:t>
            </w:r>
          </w:p>
        </w:tc>
        <w:tc>
          <w:tcPr>
            <w:tcW w:w="2707" w:type="pct"/>
          </w:tcPr>
          <w:p w14:paraId="0DD776AC" w14:textId="36CF98D5" w:rsidR="009E6FD6" w:rsidRDefault="006643B2" w:rsidP="002A7648">
            <w:pPr>
              <w:autoSpaceDE w:val="0"/>
              <w:autoSpaceDN w:val="0"/>
              <w:adjustRightInd w:val="0"/>
              <w:spacing w:after="120" w:line="276" w:lineRule="auto"/>
              <w:jc w:val="both"/>
              <w:rPr>
                <w:rFonts w:cstheme="minorHAnsi"/>
                <w:color w:val="000000"/>
                <w:lang w:val="en-AU"/>
              </w:rPr>
            </w:pPr>
            <w:r>
              <w:rPr>
                <w:rFonts w:cstheme="minorHAnsi"/>
              </w:rPr>
              <w:t>28</w:t>
            </w:r>
            <w:r w:rsidR="003A7B0A">
              <w:rPr>
                <w:rFonts w:cstheme="minorHAnsi"/>
              </w:rPr>
              <w:t>%</w:t>
            </w:r>
          </w:p>
        </w:tc>
      </w:tr>
      <w:tr w:rsidR="009E6FD6" w14:paraId="2EE9320B" w14:textId="77777777" w:rsidTr="00627015">
        <w:trPr>
          <w:jc w:val="center"/>
        </w:trPr>
        <w:tc>
          <w:tcPr>
            <w:tcW w:w="2293" w:type="pct"/>
          </w:tcPr>
          <w:p w14:paraId="2B006C4C" w14:textId="126D3C39" w:rsidR="009E6FD6" w:rsidRDefault="009E6FD6" w:rsidP="002A7648">
            <w:pPr>
              <w:autoSpaceDE w:val="0"/>
              <w:autoSpaceDN w:val="0"/>
              <w:adjustRightInd w:val="0"/>
              <w:spacing w:after="120" w:line="276" w:lineRule="auto"/>
              <w:jc w:val="both"/>
              <w:rPr>
                <w:rFonts w:cstheme="minorHAnsi"/>
                <w:color w:val="000000"/>
                <w:lang w:val="en-AU"/>
              </w:rPr>
            </w:pPr>
            <w:r w:rsidRPr="007C3B9D">
              <w:rPr>
                <w:rFonts w:cstheme="minorHAnsi"/>
                <w:lang w:val="en-AU"/>
              </w:rPr>
              <w:t>Addressed</w:t>
            </w:r>
            <w:r w:rsidR="002F010D">
              <w:rPr>
                <w:rFonts w:cstheme="minorHAnsi"/>
                <w:lang w:val="en-AU"/>
              </w:rPr>
              <w:t xml:space="preserve"> </w:t>
            </w:r>
          </w:p>
        </w:tc>
        <w:tc>
          <w:tcPr>
            <w:tcW w:w="2707" w:type="pct"/>
          </w:tcPr>
          <w:p w14:paraId="4A475DE0" w14:textId="5B94B75F" w:rsidR="009E6FD6" w:rsidRDefault="006643B2" w:rsidP="002A7648">
            <w:pPr>
              <w:autoSpaceDE w:val="0"/>
              <w:autoSpaceDN w:val="0"/>
              <w:adjustRightInd w:val="0"/>
              <w:spacing w:after="120" w:line="276" w:lineRule="auto"/>
              <w:jc w:val="both"/>
              <w:rPr>
                <w:rFonts w:cstheme="minorHAnsi"/>
                <w:color w:val="000000"/>
                <w:lang w:val="en-AU"/>
              </w:rPr>
            </w:pPr>
            <w:r>
              <w:rPr>
                <w:rFonts w:cstheme="minorHAnsi"/>
              </w:rPr>
              <w:t>36</w:t>
            </w:r>
            <w:r w:rsidR="009E6FD6" w:rsidRPr="009F7DE6">
              <w:rPr>
                <w:rFonts w:cstheme="minorHAnsi"/>
              </w:rPr>
              <w:t>%</w:t>
            </w:r>
          </w:p>
        </w:tc>
      </w:tr>
      <w:tr w:rsidR="009E6FD6" w14:paraId="2F3622CC" w14:textId="77777777" w:rsidTr="00627015">
        <w:trPr>
          <w:jc w:val="center"/>
        </w:trPr>
        <w:tc>
          <w:tcPr>
            <w:tcW w:w="2293" w:type="pct"/>
          </w:tcPr>
          <w:p w14:paraId="43319767" w14:textId="77777777" w:rsidR="009E6FD6" w:rsidRDefault="009E6FD6" w:rsidP="002A7648">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707" w:type="pct"/>
          </w:tcPr>
          <w:p w14:paraId="608A283A" w14:textId="34FA1C88" w:rsidR="009E6FD6" w:rsidRDefault="006643B2" w:rsidP="002A7648">
            <w:pPr>
              <w:autoSpaceDE w:val="0"/>
              <w:autoSpaceDN w:val="0"/>
              <w:adjustRightInd w:val="0"/>
              <w:spacing w:after="120" w:line="276" w:lineRule="auto"/>
              <w:jc w:val="both"/>
              <w:rPr>
                <w:rFonts w:cstheme="minorHAnsi"/>
                <w:color w:val="000000"/>
                <w:lang w:val="en-AU"/>
              </w:rPr>
            </w:pPr>
            <w:r>
              <w:rPr>
                <w:rFonts w:cstheme="minorHAnsi"/>
              </w:rPr>
              <w:t>2</w:t>
            </w:r>
            <w:r w:rsidR="00794AF7">
              <w:rPr>
                <w:rFonts w:cstheme="minorHAnsi"/>
              </w:rPr>
              <w:t>0</w:t>
            </w:r>
            <w:r w:rsidR="009E6FD6" w:rsidRPr="009F7DE6">
              <w:rPr>
                <w:rFonts w:cstheme="minorHAnsi"/>
              </w:rPr>
              <w:t>%</w:t>
            </w:r>
          </w:p>
        </w:tc>
      </w:tr>
      <w:tr w:rsidR="009E6FD6" w14:paraId="3E3F0D23" w14:textId="77777777" w:rsidTr="00627015">
        <w:trPr>
          <w:jc w:val="center"/>
        </w:trPr>
        <w:tc>
          <w:tcPr>
            <w:tcW w:w="2293" w:type="pct"/>
          </w:tcPr>
          <w:p w14:paraId="4AE1AAE6" w14:textId="77777777" w:rsidR="009E6FD6" w:rsidRDefault="009E6FD6" w:rsidP="002A7648">
            <w:pPr>
              <w:autoSpaceDE w:val="0"/>
              <w:autoSpaceDN w:val="0"/>
              <w:adjustRightInd w:val="0"/>
              <w:spacing w:after="120" w:line="276" w:lineRule="auto"/>
              <w:jc w:val="both"/>
              <w:rPr>
                <w:rFonts w:cstheme="minorHAnsi"/>
                <w:color w:val="000000"/>
                <w:lang w:val="en-AU"/>
              </w:rPr>
            </w:pPr>
            <w:r>
              <w:rPr>
                <w:rFonts w:cstheme="minorHAnsi"/>
              </w:rPr>
              <w:t xml:space="preserve">Not addressed </w:t>
            </w:r>
          </w:p>
        </w:tc>
        <w:tc>
          <w:tcPr>
            <w:tcW w:w="2707" w:type="pct"/>
          </w:tcPr>
          <w:p w14:paraId="4E661BA3" w14:textId="055B4DA6" w:rsidR="009E6FD6" w:rsidRPr="009F7DE6" w:rsidRDefault="00320A56" w:rsidP="002A7648">
            <w:pPr>
              <w:autoSpaceDE w:val="0"/>
              <w:autoSpaceDN w:val="0"/>
              <w:adjustRightInd w:val="0"/>
              <w:spacing w:after="120" w:line="276" w:lineRule="auto"/>
              <w:jc w:val="both"/>
              <w:rPr>
                <w:rFonts w:cstheme="minorHAnsi"/>
              </w:rPr>
            </w:pPr>
            <w:r>
              <w:rPr>
                <w:rFonts w:cstheme="minorHAnsi"/>
              </w:rPr>
              <w:t>12</w:t>
            </w:r>
            <w:r w:rsidR="009E6FD6" w:rsidRPr="009F7DE6">
              <w:rPr>
                <w:rFonts w:cstheme="minorHAnsi"/>
              </w:rPr>
              <w:t>%</w:t>
            </w:r>
          </w:p>
        </w:tc>
      </w:tr>
      <w:tr w:rsidR="009E6FD6" w14:paraId="23B451BF" w14:textId="77777777" w:rsidTr="00627015">
        <w:trPr>
          <w:jc w:val="center"/>
        </w:trPr>
        <w:tc>
          <w:tcPr>
            <w:tcW w:w="2293" w:type="pct"/>
          </w:tcPr>
          <w:p w14:paraId="13E7D827" w14:textId="77777777" w:rsidR="009E6FD6" w:rsidRPr="009F7DE6" w:rsidRDefault="009E6FD6" w:rsidP="002A7648">
            <w:pPr>
              <w:autoSpaceDE w:val="0"/>
              <w:autoSpaceDN w:val="0"/>
              <w:adjustRightInd w:val="0"/>
              <w:spacing w:after="120" w:line="276" w:lineRule="auto"/>
              <w:jc w:val="both"/>
              <w:rPr>
                <w:rFonts w:cstheme="minorHAnsi"/>
              </w:rPr>
            </w:pPr>
            <w:r>
              <w:rPr>
                <w:rFonts w:cstheme="minorHAnsi"/>
              </w:rPr>
              <w:t xml:space="preserve">N/A </w:t>
            </w:r>
          </w:p>
        </w:tc>
        <w:tc>
          <w:tcPr>
            <w:tcW w:w="2707" w:type="pct"/>
          </w:tcPr>
          <w:p w14:paraId="405BFAE1" w14:textId="1B84C252" w:rsidR="009E6FD6" w:rsidRPr="009F7DE6" w:rsidRDefault="00320A56" w:rsidP="002A7648">
            <w:pPr>
              <w:autoSpaceDE w:val="0"/>
              <w:autoSpaceDN w:val="0"/>
              <w:adjustRightInd w:val="0"/>
              <w:spacing w:after="120" w:line="276" w:lineRule="auto"/>
              <w:jc w:val="both"/>
              <w:rPr>
                <w:rFonts w:cstheme="minorHAnsi"/>
              </w:rPr>
            </w:pPr>
            <w:r>
              <w:rPr>
                <w:rFonts w:cstheme="minorHAnsi"/>
              </w:rPr>
              <w:t>4</w:t>
            </w:r>
            <w:r w:rsidR="009E6FD6">
              <w:rPr>
                <w:rFonts w:cstheme="minorHAnsi"/>
              </w:rPr>
              <w:t>%</w:t>
            </w:r>
          </w:p>
        </w:tc>
      </w:tr>
    </w:tbl>
    <w:p w14:paraId="0E69F018" w14:textId="77777777" w:rsidR="00E75982" w:rsidRDefault="00E75982" w:rsidP="00903D77">
      <w:pPr>
        <w:spacing w:after="120" w:line="276" w:lineRule="auto"/>
        <w:jc w:val="both"/>
        <w:rPr>
          <w:rFonts w:cs="Calibri"/>
          <w:lang w:val="en-AU"/>
        </w:rPr>
      </w:pPr>
    </w:p>
    <w:tbl>
      <w:tblPr>
        <w:tblStyle w:val="TableGrid"/>
        <w:tblW w:w="3042" w:type="pct"/>
        <w:jc w:val="center"/>
        <w:tblLook w:val="0420" w:firstRow="1" w:lastRow="0" w:firstColumn="0" w:lastColumn="0" w:noHBand="0" w:noVBand="1"/>
      </w:tblPr>
      <w:tblGrid>
        <w:gridCol w:w="2515"/>
        <w:gridCol w:w="2970"/>
      </w:tblGrid>
      <w:tr w:rsidR="00E75982" w14:paraId="36DCAAF8" w14:textId="77777777" w:rsidTr="00627015">
        <w:trPr>
          <w:tblHeader/>
          <w:jc w:val="center"/>
        </w:trPr>
        <w:tc>
          <w:tcPr>
            <w:tcW w:w="2293" w:type="pct"/>
            <w:shd w:val="clear" w:color="auto" w:fill="45B0E1" w:themeFill="accent1" w:themeFillTint="99"/>
          </w:tcPr>
          <w:p w14:paraId="3968022E" w14:textId="549EE992" w:rsidR="00E75982" w:rsidRPr="003D1AE7" w:rsidRDefault="00E75982" w:rsidP="00627015">
            <w:pPr>
              <w:autoSpaceDE w:val="0"/>
              <w:autoSpaceDN w:val="0"/>
              <w:adjustRightInd w:val="0"/>
              <w:spacing w:after="120" w:line="276" w:lineRule="auto"/>
              <w:rPr>
                <w:rFonts w:cstheme="minorHAnsi"/>
                <w:b/>
                <w:bCs/>
                <w:color w:val="000000"/>
                <w:lang w:val="en-AU"/>
              </w:rPr>
            </w:pPr>
            <w:r w:rsidRPr="009E6FD6">
              <w:rPr>
                <w:rFonts w:cstheme="minorHAnsi"/>
                <w:b/>
                <w:bCs/>
                <w:lang w:val="en-AU"/>
              </w:rPr>
              <w:lastRenderedPageBreak/>
              <w:t xml:space="preserve">Extent to which program responded to </w:t>
            </w:r>
            <w:r>
              <w:rPr>
                <w:rFonts w:cstheme="minorHAnsi"/>
                <w:b/>
                <w:bCs/>
                <w:lang w:val="en-AU"/>
              </w:rPr>
              <w:t>regional</w:t>
            </w:r>
            <w:r w:rsidRPr="009E6FD6">
              <w:rPr>
                <w:rFonts w:cstheme="minorHAnsi"/>
                <w:b/>
                <w:bCs/>
                <w:lang w:val="en-AU"/>
              </w:rPr>
              <w:t xml:space="preserve"> needs &amp; priorities</w:t>
            </w:r>
          </w:p>
        </w:tc>
        <w:tc>
          <w:tcPr>
            <w:tcW w:w="2707" w:type="pct"/>
            <w:shd w:val="clear" w:color="auto" w:fill="45B0E1" w:themeFill="accent1" w:themeFillTint="99"/>
          </w:tcPr>
          <w:p w14:paraId="662865F7" w14:textId="77777777" w:rsidR="00E75982" w:rsidRPr="003D1AE7" w:rsidRDefault="00E75982" w:rsidP="00627015">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E75982" w14:paraId="742ED14C" w14:textId="77777777" w:rsidTr="00627015">
        <w:trPr>
          <w:jc w:val="center"/>
        </w:trPr>
        <w:tc>
          <w:tcPr>
            <w:tcW w:w="2293" w:type="pct"/>
          </w:tcPr>
          <w:p w14:paraId="4A97B7B2" w14:textId="77777777" w:rsidR="00E75982" w:rsidRDefault="00E75982" w:rsidP="00627015">
            <w:pPr>
              <w:autoSpaceDE w:val="0"/>
              <w:autoSpaceDN w:val="0"/>
              <w:adjustRightInd w:val="0"/>
              <w:spacing w:after="120" w:line="276" w:lineRule="auto"/>
              <w:jc w:val="both"/>
              <w:rPr>
                <w:rFonts w:cstheme="minorHAnsi"/>
                <w:color w:val="000000"/>
                <w:lang w:val="en-AU"/>
              </w:rPr>
            </w:pPr>
            <w:r w:rsidRPr="007C3B9D">
              <w:rPr>
                <w:rFonts w:cstheme="minorHAnsi"/>
                <w:lang w:val="en-AU"/>
              </w:rPr>
              <w:t>Addressed well</w:t>
            </w:r>
          </w:p>
        </w:tc>
        <w:tc>
          <w:tcPr>
            <w:tcW w:w="2707" w:type="pct"/>
          </w:tcPr>
          <w:p w14:paraId="396F0C12" w14:textId="7BFF96DD" w:rsidR="00E75982" w:rsidRDefault="00E75982" w:rsidP="00627015">
            <w:pPr>
              <w:autoSpaceDE w:val="0"/>
              <w:autoSpaceDN w:val="0"/>
              <w:adjustRightInd w:val="0"/>
              <w:spacing w:after="120" w:line="276" w:lineRule="auto"/>
              <w:jc w:val="both"/>
              <w:rPr>
                <w:rFonts w:cstheme="minorHAnsi"/>
                <w:color w:val="000000"/>
                <w:lang w:val="en-AU"/>
              </w:rPr>
            </w:pPr>
            <w:r>
              <w:rPr>
                <w:rFonts w:cstheme="minorHAnsi"/>
              </w:rPr>
              <w:t>36</w:t>
            </w:r>
            <w:r w:rsidRPr="009F7DE6">
              <w:rPr>
                <w:rFonts w:cstheme="minorHAnsi"/>
              </w:rPr>
              <w:t>%</w:t>
            </w:r>
          </w:p>
        </w:tc>
      </w:tr>
      <w:tr w:rsidR="00E75982" w14:paraId="5CCBCEC8" w14:textId="77777777" w:rsidTr="00627015">
        <w:trPr>
          <w:jc w:val="center"/>
        </w:trPr>
        <w:tc>
          <w:tcPr>
            <w:tcW w:w="2293" w:type="pct"/>
          </w:tcPr>
          <w:p w14:paraId="43204ABE" w14:textId="77777777" w:rsidR="00E75982" w:rsidRDefault="00E75982" w:rsidP="00627015">
            <w:pPr>
              <w:autoSpaceDE w:val="0"/>
              <w:autoSpaceDN w:val="0"/>
              <w:adjustRightInd w:val="0"/>
              <w:spacing w:after="120" w:line="276" w:lineRule="auto"/>
              <w:jc w:val="both"/>
              <w:rPr>
                <w:rFonts w:cstheme="minorHAnsi"/>
                <w:color w:val="000000"/>
                <w:lang w:val="en-AU"/>
              </w:rPr>
            </w:pPr>
            <w:r w:rsidRPr="007C3B9D">
              <w:rPr>
                <w:rFonts w:cstheme="minorHAnsi"/>
                <w:lang w:val="en-AU"/>
              </w:rPr>
              <w:t>Addressed</w:t>
            </w:r>
          </w:p>
        </w:tc>
        <w:tc>
          <w:tcPr>
            <w:tcW w:w="2707" w:type="pct"/>
          </w:tcPr>
          <w:p w14:paraId="48E037DC" w14:textId="3CC41638" w:rsidR="00E75982" w:rsidRDefault="00E75982" w:rsidP="00627015">
            <w:pPr>
              <w:autoSpaceDE w:val="0"/>
              <w:autoSpaceDN w:val="0"/>
              <w:adjustRightInd w:val="0"/>
              <w:spacing w:after="120" w:line="276" w:lineRule="auto"/>
              <w:jc w:val="both"/>
              <w:rPr>
                <w:rFonts w:cstheme="minorHAnsi"/>
                <w:color w:val="000000"/>
                <w:lang w:val="en-AU"/>
              </w:rPr>
            </w:pPr>
            <w:r>
              <w:rPr>
                <w:rFonts w:cstheme="minorHAnsi"/>
              </w:rPr>
              <w:t>12</w:t>
            </w:r>
            <w:r w:rsidRPr="009F7DE6">
              <w:rPr>
                <w:rFonts w:cstheme="minorHAnsi"/>
              </w:rPr>
              <w:t>%</w:t>
            </w:r>
          </w:p>
        </w:tc>
      </w:tr>
      <w:tr w:rsidR="00E75982" w14:paraId="1FE608E3" w14:textId="77777777" w:rsidTr="00627015">
        <w:trPr>
          <w:jc w:val="center"/>
        </w:trPr>
        <w:tc>
          <w:tcPr>
            <w:tcW w:w="2293" w:type="pct"/>
          </w:tcPr>
          <w:p w14:paraId="11C8C306" w14:textId="77777777" w:rsidR="00E75982" w:rsidRDefault="00E75982" w:rsidP="00627015">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707" w:type="pct"/>
          </w:tcPr>
          <w:p w14:paraId="5DEE7407" w14:textId="4F1F9084" w:rsidR="00E75982" w:rsidRDefault="00E75982" w:rsidP="00627015">
            <w:pPr>
              <w:autoSpaceDE w:val="0"/>
              <w:autoSpaceDN w:val="0"/>
              <w:adjustRightInd w:val="0"/>
              <w:spacing w:after="120" w:line="276" w:lineRule="auto"/>
              <w:jc w:val="both"/>
              <w:rPr>
                <w:rFonts w:cstheme="minorHAnsi"/>
                <w:color w:val="000000"/>
                <w:lang w:val="en-AU"/>
              </w:rPr>
            </w:pPr>
            <w:r>
              <w:rPr>
                <w:rFonts w:cstheme="minorHAnsi"/>
              </w:rPr>
              <w:t>30</w:t>
            </w:r>
            <w:r w:rsidRPr="009F7DE6">
              <w:rPr>
                <w:rFonts w:cstheme="minorHAnsi"/>
              </w:rPr>
              <w:t>%</w:t>
            </w:r>
          </w:p>
        </w:tc>
      </w:tr>
      <w:tr w:rsidR="00E75982" w14:paraId="1297BB76" w14:textId="77777777" w:rsidTr="00627015">
        <w:trPr>
          <w:jc w:val="center"/>
        </w:trPr>
        <w:tc>
          <w:tcPr>
            <w:tcW w:w="2293" w:type="pct"/>
          </w:tcPr>
          <w:p w14:paraId="56EFA5DC" w14:textId="77777777" w:rsidR="00E75982" w:rsidRDefault="00E75982" w:rsidP="00627015">
            <w:pPr>
              <w:autoSpaceDE w:val="0"/>
              <w:autoSpaceDN w:val="0"/>
              <w:adjustRightInd w:val="0"/>
              <w:spacing w:after="120" w:line="276" w:lineRule="auto"/>
              <w:jc w:val="both"/>
              <w:rPr>
                <w:rFonts w:cstheme="minorHAnsi"/>
                <w:color w:val="000000"/>
                <w:lang w:val="en-AU"/>
              </w:rPr>
            </w:pPr>
            <w:r>
              <w:rPr>
                <w:rFonts w:cstheme="minorHAnsi"/>
              </w:rPr>
              <w:t xml:space="preserve">Not addressed </w:t>
            </w:r>
          </w:p>
        </w:tc>
        <w:tc>
          <w:tcPr>
            <w:tcW w:w="2707" w:type="pct"/>
          </w:tcPr>
          <w:p w14:paraId="42BAC802" w14:textId="416B4B5E" w:rsidR="00E75982" w:rsidRPr="009F7DE6" w:rsidRDefault="009E4BB3" w:rsidP="00627015">
            <w:pPr>
              <w:autoSpaceDE w:val="0"/>
              <w:autoSpaceDN w:val="0"/>
              <w:adjustRightInd w:val="0"/>
              <w:spacing w:after="120" w:line="276" w:lineRule="auto"/>
              <w:jc w:val="both"/>
              <w:rPr>
                <w:rFonts w:cstheme="minorHAnsi"/>
              </w:rPr>
            </w:pPr>
            <w:r>
              <w:rPr>
                <w:rFonts w:cstheme="minorHAnsi"/>
              </w:rPr>
              <w:t>20</w:t>
            </w:r>
            <w:r w:rsidR="00E75982" w:rsidRPr="009F7DE6">
              <w:rPr>
                <w:rFonts w:cstheme="minorHAnsi"/>
              </w:rPr>
              <w:t>%</w:t>
            </w:r>
          </w:p>
        </w:tc>
      </w:tr>
      <w:tr w:rsidR="00E75982" w14:paraId="1104A8BB" w14:textId="77777777" w:rsidTr="00627015">
        <w:trPr>
          <w:jc w:val="center"/>
        </w:trPr>
        <w:tc>
          <w:tcPr>
            <w:tcW w:w="2293" w:type="pct"/>
          </w:tcPr>
          <w:p w14:paraId="61FF6353" w14:textId="77777777" w:rsidR="00E75982" w:rsidRPr="009F7DE6" w:rsidRDefault="00E75982" w:rsidP="00627015">
            <w:pPr>
              <w:autoSpaceDE w:val="0"/>
              <w:autoSpaceDN w:val="0"/>
              <w:adjustRightInd w:val="0"/>
              <w:spacing w:after="120" w:line="276" w:lineRule="auto"/>
              <w:jc w:val="both"/>
              <w:rPr>
                <w:rFonts w:cstheme="minorHAnsi"/>
              </w:rPr>
            </w:pPr>
            <w:r>
              <w:rPr>
                <w:rFonts w:cstheme="minorHAnsi"/>
              </w:rPr>
              <w:t xml:space="preserve">N/A </w:t>
            </w:r>
          </w:p>
        </w:tc>
        <w:tc>
          <w:tcPr>
            <w:tcW w:w="2707" w:type="pct"/>
          </w:tcPr>
          <w:p w14:paraId="1D924F9B" w14:textId="1F774C4F" w:rsidR="00E75982" w:rsidRPr="009F7DE6" w:rsidRDefault="004038E6" w:rsidP="00627015">
            <w:pPr>
              <w:autoSpaceDE w:val="0"/>
              <w:autoSpaceDN w:val="0"/>
              <w:adjustRightInd w:val="0"/>
              <w:spacing w:after="120" w:line="276" w:lineRule="auto"/>
              <w:jc w:val="both"/>
              <w:rPr>
                <w:rFonts w:cstheme="minorHAnsi"/>
              </w:rPr>
            </w:pPr>
            <w:r>
              <w:rPr>
                <w:rFonts w:cstheme="minorHAnsi"/>
              </w:rPr>
              <w:t>2</w:t>
            </w:r>
            <w:r w:rsidR="00E75982">
              <w:rPr>
                <w:rFonts w:cstheme="minorHAnsi"/>
              </w:rPr>
              <w:t>%</w:t>
            </w:r>
          </w:p>
        </w:tc>
      </w:tr>
    </w:tbl>
    <w:p w14:paraId="4BC63D94" w14:textId="60FC323F" w:rsidR="00274DE8" w:rsidRPr="007C3B9D" w:rsidRDefault="00274DE8" w:rsidP="00627015">
      <w:pPr>
        <w:spacing w:before="240" w:after="120" w:line="276" w:lineRule="auto"/>
        <w:jc w:val="both"/>
        <w:rPr>
          <w:rFonts w:cs="Calibri"/>
          <w:lang w:val="en-AU"/>
        </w:rPr>
      </w:pPr>
      <w:r w:rsidRPr="007C3B9D">
        <w:rPr>
          <w:rFonts w:cs="Calibri"/>
          <w:lang w:val="en-AU"/>
        </w:rPr>
        <w:t xml:space="preserve">The survey narrative feedback confirms this largely positive reception, with </w:t>
      </w:r>
      <w:proofErr w:type="gramStart"/>
      <w:r w:rsidRPr="007C3B9D">
        <w:rPr>
          <w:rFonts w:cs="Calibri"/>
          <w:lang w:val="en-AU"/>
        </w:rPr>
        <w:t>particular appreciation</w:t>
      </w:r>
      <w:proofErr w:type="gramEnd"/>
      <w:r w:rsidRPr="007C3B9D">
        <w:rPr>
          <w:rFonts w:cs="Calibri"/>
          <w:lang w:val="en-AU"/>
        </w:rPr>
        <w:t xml:space="preserve"> for the program’s role in addressing foundational knowledge, networking opportunities, and technical preparedness concerning the </w:t>
      </w:r>
      <w:r w:rsidR="009A4E79" w:rsidRPr="007C3B9D">
        <w:rPr>
          <w:rFonts w:cs="Calibri"/>
          <w:lang w:val="en-AU"/>
        </w:rPr>
        <w:t xml:space="preserve">specific </w:t>
      </w:r>
      <w:r w:rsidRPr="007C3B9D">
        <w:rPr>
          <w:rFonts w:cs="Calibri"/>
          <w:lang w:val="en-AU"/>
        </w:rPr>
        <w:t>thematic issues. Participants generally felt activities supported their individual and institutional needs, though certain areas for improvement emerged.</w:t>
      </w:r>
    </w:p>
    <w:p w14:paraId="0F352B5D" w14:textId="73B67A73" w:rsidR="00274DE8" w:rsidRPr="007C3B9D" w:rsidRDefault="00274DE8" w:rsidP="00903D77">
      <w:pPr>
        <w:spacing w:after="120" w:line="276" w:lineRule="auto"/>
        <w:jc w:val="both"/>
        <w:rPr>
          <w:rFonts w:cs="Calibri"/>
          <w:lang w:val="en-AU"/>
        </w:rPr>
      </w:pPr>
      <w:r w:rsidRPr="007C3B9D">
        <w:rPr>
          <w:rFonts w:cs="Calibri"/>
          <w:lang w:val="en-AU"/>
        </w:rPr>
        <w:t>One participant highlighted the program’s relevance to her work in implementing Timor-Leste’s Ocean Law and Policy within the framework of UNCLOS. Her experience underscored the program’s utility for individuals closely involved in governmental maritime initiatives.</w:t>
      </w:r>
    </w:p>
    <w:p w14:paraId="05CD450A" w14:textId="64F46C23" w:rsidR="00274DE8" w:rsidRPr="007C3B9D" w:rsidRDefault="00274DE8" w:rsidP="00903D77">
      <w:pPr>
        <w:spacing w:after="120" w:line="276" w:lineRule="auto"/>
        <w:jc w:val="both"/>
        <w:rPr>
          <w:rFonts w:cs="Calibri"/>
          <w:lang w:val="en-AU"/>
        </w:rPr>
      </w:pPr>
      <w:r w:rsidRPr="007C3B9D">
        <w:rPr>
          <w:rFonts w:cs="Calibri"/>
          <w:lang w:val="en-AU"/>
        </w:rPr>
        <w:t xml:space="preserve">However, not all aspects were seen as comprehensive. Another respondent acknowledged that while the program provided valuable insights into regional security challenges, it lacked concrete solutions and inclusivity for smaller nations and civil society. The participant also emphasised the need for clearer follow-up actions to ensure that knowledge gained could be effectively applied to address specific individual priorities. </w:t>
      </w:r>
    </w:p>
    <w:p w14:paraId="2EDE313A" w14:textId="77777777" w:rsidR="00274DE8" w:rsidRPr="007C3B9D" w:rsidRDefault="00274DE8" w:rsidP="00903D77">
      <w:pPr>
        <w:spacing w:after="120" w:line="276" w:lineRule="auto"/>
        <w:jc w:val="both"/>
        <w:rPr>
          <w:rFonts w:cs="Calibri"/>
          <w:lang w:val="en-AU"/>
        </w:rPr>
      </w:pPr>
      <w:r w:rsidRPr="007C3B9D">
        <w:rPr>
          <w:rFonts w:cs="Calibri"/>
          <w:lang w:val="en-AU"/>
        </w:rPr>
        <w:t>Participants also noted the value of learning about gender perspectives in the context of peace and security, although some felt the training would have benefited from a more practical approach rather than focusing predominantly on theory. This feedback points to a need for tangible applications that could enhance the immediate usefulness of the content.</w:t>
      </w:r>
    </w:p>
    <w:p w14:paraId="1D135870" w14:textId="77777777" w:rsidR="00274DE8" w:rsidRPr="007C3B9D" w:rsidRDefault="00274DE8" w:rsidP="00903D77">
      <w:pPr>
        <w:spacing w:after="120" w:line="276" w:lineRule="auto"/>
        <w:jc w:val="both"/>
        <w:rPr>
          <w:rFonts w:cs="Calibri"/>
          <w:lang w:val="en-AU"/>
        </w:rPr>
      </w:pPr>
      <w:r w:rsidRPr="007C3B9D">
        <w:rPr>
          <w:rFonts w:cs="Calibri"/>
          <w:lang w:val="en-AU"/>
        </w:rPr>
        <w:t>The program’s focus on ASEAN and the Law of the Sea was seen as beneficial, especially as Timor-Leste prepares for ASEAN membership. Respondents appreciated the technical understanding they gained, which they saw as valuable for regional integration efforts. However, the complexity of the Law of the Sea prompted suggestions for dividing its content into more specific issues, making the material more manageable and targeted.</w:t>
      </w:r>
    </w:p>
    <w:p w14:paraId="0A34766A" w14:textId="693A8346" w:rsidR="00274DE8" w:rsidRPr="007C3B9D" w:rsidRDefault="00274DE8" w:rsidP="00903D77">
      <w:pPr>
        <w:spacing w:after="120" w:line="276" w:lineRule="auto"/>
        <w:jc w:val="both"/>
        <w:rPr>
          <w:rFonts w:cs="Calibri"/>
          <w:lang w:val="en-AU"/>
        </w:rPr>
      </w:pPr>
      <w:r w:rsidRPr="007C3B9D">
        <w:rPr>
          <w:rFonts w:cs="Calibri"/>
          <w:lang w:val="en-AU"/>
        </w:rPr>
        <w:t>Additionally, some respondents expressed a need for the program to address cybersecurity and disinformation—areas they considered crucial but found inadequately covered. This gap suggested that capacity-building could be expanded to include more practical strategies for current and emerging digital threats.</w:t>
      </w:r>
    </w:p>
    <w:p w14:paraId="19AF7D0D" w14:textId="35614C11" w:rsidR="00274DE8" w:rsidRPr="007C3B9D" w:rsidRDefault="00274DE8" w:rsidP="00903D77">
      <w:pPr>
        <w:spacing w:after="120" w:line="276" w:lineRule="auto"/>
        <w:jc w:val="both"/>
        <w:rPr>
          <w:rFonts w:cs="Calibri"/>
          <w:lang w:val="en-AU"/>
        </w:rPr>
      </w:pPr>
      <w:r w:rsidRPr="007C3B9D">
        <w:rPr>
          <w:rFonts w:cs="Calibri"/>
          <w:lang w:val="en-AU"/>
        </w:rPr>
        <w:t>Finally, a participant emphasised the value of understanding UNCLOS to manage complex maritime governance issues within ASEAN. They noted that this foundational knowledge supports government confidence in regional decision-making, indicating that the training's legal focus aligns with key governance priorities.</w:t>
      </w:r>
    </w:p>
    <w:p w14:paraId="28D765D8" w14:textId="1A9032DE" w:rsidR="00274DE8" w:rsidRPr="007C3B9D" w:rsidRDefault="00274DE8" w:rsidP="00903D77">
      <w:pPr>
        <w:spacing w:after="120" w:line="276" w:lineRule="auto"/>
        <w:jc w:val="both"/>
        <w:rPr>
          <w:rFonts w:cs="Calibri"/>
          <w:lang w:val="en-AU"/>
        </w:rPr>
      </w:pPr>
      <w:r w:rsidRPr="007C3B9D">
        <w:rPr>
          <w:rFonts w:cs="Calibri"/>
          <w:lang w:val="en-AU"/>
        </w:rPr>
        <w:t>Overall, while APSP support effectively addressed core needs, participants recommended practical applications, targeted content on specific thematic issues, and an expanded focus on emerging cybersecurity challenges to enhance its relevance to both individual and institutional objectives.</w:t>
      </w:r>
    </w:p>
    <w:p w14:paraId="301DF7ED" w14:textId="4CD554AF" w:rsidR="00450DA7" w:rsidRPr="007C3B9D" w:rsidRDefault="00450DA7" w:rsidP="00903D77">
      <w:pPr>
        <w:spacing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lastRenderedPageBreak/>
        <w:t>JC1.2 The program, including its four target areas, is aligned with Australia’s and ASEAN’s policies and priorities.</w:t>
      </w:r>
    </w:p>
    <w:p w14:paraId="2A8C84FB" w14:textId="74F00CE7" w:rsidR="00394860" w:rsidRPr="007C3B9D" w:rsidRDefault="00394860" w:rsidP="00903D77">
      <w:pPr>
        <w:spacing w:after="120" w:line="276" w:lineRule="auto"/>
        <w:jc w:val="both"/>
        <w:rPr>
          <w:rFonts w:cs="Calibri"/>
          <w:lang w:val="en-AU"/>
        </w:rPr>
      </w:pPr>
      <w:r w:rsidRPr="007C3B9D">
        <w:rPr>
          <w:rFonts w:cs="Calibri"/>
          <w:lang w:val="en-AU"/>
        </w:rPr>
        <w:t xml:space="preserve">Australia’s program objectives, activities, and approaches align strongly with ASEAN’s political and security frameworks, positioning both ASEAN and Australia to address emerging challenges collaboratively. Indeed, the strategic importance of Australia’s support for ASEAN and AMS institutional capacities cannot be overstated, by supporting ASEAN’s ability to lead on political security </w:t>
      </w:r>
      <w:r w:rsidR="00A96D40" w:rsidRPr="007C3B9D">
        <w:rPr>
          <w:rFonts w:cs="Calibri"/>
          <w:lang w:val="en-AU"/>
        </w:rPr>
        <w:t>concerns and</w:t>
      </w:r>
      <w:r w:rsidRPr="007C3B9D">
        <w:rPr>
          <w:rFonts w:cs="Calibri"/>
          <w:lang w:val="en-AU"/>
        </w:rPr>
        <w:t xml:space="preserve"> increasing Australia-ASEAN engagement on these issues. </w:t>
      </w:r>
    </w:p>
    <w:p w14:paraId="6BD64867" w14:textId="77777777" w:rsidR="00394860" w:rsidRPr="007C3B9D" w:rsidRDefault="00394860" w:rsidP="00903D77">
      <w:pPr>
        <w:spacing w:after="120" w:line="276" w:lineRule="auto"/>
        <w:rPr>
          <w:b/>
          <w:bCs/>
          <w:color w:val="0F4761" w:themeColor="accent1" w:themeShade="BF"/>
          <w:lang w:val="en-AU"/>
        </w:rPr>
      </w:pPr>
      <w:r w:rsidRPr="007C3B9D">
        <w:rPr>
          <w:b/>
          <w:bCs/>
          <w:color w:val="0F4761" w:themeColor="accent1" w:themeShade="BF"/>
          <w:lang w:val="en-AU"/>
        </w:rPr>
        <w:t>Specific policy framework</w:t>
      </w:r>
    </w:p>
    <w:p w14:paraId="16A4929A" w14:textId="77777777" w:rsidR="00394860" w:rsidRPr="007C3B9D" w:rsidRDefault="00394860" w:rsidP="00903D77">
      <w:pPr>
        <w:spacing w:after="120" w:line="276" w:lineRule="auto"/>
        <w:jc w:val="both"/>
        <w:rPr>
          <w:rFonts w:cs="Calibri"/>
          <w:b/>
          <w:bCs/>
          <w:color w:val="E97132" w:themeColor="accent2"/>
          <w:lang w:val="en-AU"/>
        </w:rPr>
      </w:pPr>
      <w:r w:rsidRPr="007C3B9D">
        <w:rPr>
          <w:rFonts w:cs="Calibri"/>
          <w:i/>
          <w:iCs/>
          <w:color w:val="0F4761" w:themeColor="accent1" w:themeShade="BF"/>
          <w:lang w:val="en-AU"/>
        </w:rPr>
        <w:t>Cybersecurity:</w:t>
      </w:r>
      <w:r w:rsidRPr="007C3B9D">
        <w:rPr>
          <w:rFonts w:cs="Calibri"/>
          <w:b/>
          <w:bCs/>
          <w:color w:val="0F4761" w:themeColor="accent1" w:themeShade="BF"/>
          <w:lang w:val="en-AU"/>
        </w:rPr>
        <w:t xml:space="preserve"> </w:t>
      </w:r>
      <w:r w:rsidRPr="007C3B9D">
        <w:rPr>
          <w:rFonts w:cs="Calibri"/>
          <w:lang w:val="en-AU"/>
        </w:rPr>
        <w:t>ASEAN’s Cybersecurity Cooperation Strategy (2021–2025)</w:t>
      </w:r>
      <w:r w:rsidRPr="007C3B9D">
        <w:rPr>
          <w:rStyle w:val="FootnoteReference"/>
          <w:rFonts w:cs="Calibri"/>
          <w:lang w:val="en-AU"/>
        </w:rPr>
        <w:footnoteReference w:id="12"/>
      </w:r>
      <w:r w:rsidRPr="007C3B9D">
        <w:rPr>
          <w:rFonts w:cs="Calibri"/>
          <w:lang w:val="en-AU"/>
        </w:rPr>
        <w:t> underscores the critical need for regional cyber readiness, coordinated policies, and an interconnected response to cyber threats. Australia’s involvement aligns with these goals, advancing ASEAN’s cyber resilience while bolstering bilateral ties on cybersecurity measures, with one DFAT official stating that </w:t>
      </w:r>
      <w:r w:rsidRPr="007C3B9D">
        <w:rPr>
          <w:rFonts w:cs="Calibri"/>
          <w:i/>
          <w:iCs/>
          <w:lang w:val="en-AU"/>
        </w:rPr>
        <w:t>’this program has been essential to Australia’s broader engagement with Southeast Asia, ensuring cyber norms are respected and enacted on a regional scale’.</w:t>
      </w:r>
      <w:r w:rsidRPr="007C3B9D">
        <w:rPr>
          <w:rFonts w:cs="Calibri"/>
          <w:lang w:val="en-AU"/>
        </w:rPr>
        <w:t xml:space="preserve"> Furthermore, through the ASEAN Digital Ministers Meeting (ADGMIN), the program enhances ASEAN’s cross-pillar coordination by linking cybersecurity to digital economy initiatives. The ASEAN Coordinating Committee on Cybersecurity (ASEAN </w:t>
      </w:r>
      <w:proofErr w:type="spellStart"/>
      <w:r w:rsidRPr="007C3B9D">
        <w:rPr>
          <w:rFonts w:cs="Calibri"/>
          <w:lang w:val="en-AU"/>
        </w:rPr>
        <w:t>CyberCC</w:t>
      </w:r>
      <w:proofErr w:type="spellEnd"/>
      <w:r w:rsidRPr="007C3B9D">
        <w:rPr>
          <w:rFonts w:cs="Calibri"/>
          <w:lang w:val="en-AU"/>
        </w:rPr>
        <w:t>), established to bridge digital ministers and cybersecurity, has also been central to cross-pillar dialogue.</w:t>
      </w:r>
    </w:p>
    <w:p w14:paraId="4298E919" w14:textId="3401C2EA" w:rsidR="00394860" w:rsidRPr="007C3B9D" w:rsidRDefault="00394860" w:rsidP="00903D77">
      <w:pPr>
        <w:spacing w:after="120" w:line="276" w:lineRule="auto"/>
        <w:jc w:val="both"/>
        <w:rPr>
          <w:rFonts w:cs="Calibri"/>
          <w:lang w:val="en-AU"/>
        </w:rPr>
      </w:pPr>
      <w:r w:rsidRPr="007C3B9D">
        <w:rPr>
          <w:rFonts w:cs="Calibri"/>
          <w:lang w:val="en-AU"/>
        </w:rPr>
        <w:t xml:space="preserve">Stakeholders emphasised the strategic importance of APSP working through ASEAN </w:t>
      </w:r>
      <w:r w:rsidR="00A96D40" w:rsidRPr="007C3B9D">
        <w:rPr>
          <w:rFonts w:cs="Calibri"/>
          <w:lang w:val="en-AU"/>
        </w:rPr>
        <w:t>mechanisms and</w:t>
      </w:r>
      <w:r w:rsidRPr="007C3B9D">
        <w:rPr>
          <w:rFonts w:cs="Calibri"/>
          <w:lang w:val="en-AU"/>
        </w:rPr>
        <w:t xml:space="preserve"> providing capacity building with the entirety of ASEAN member states, for example, through its support to an upcoming workshop on UNGGE Norms for Responsible State Behaviour in Cyberspace</w:t>
      </w:r>
      <w:r w:rsidRPr="007C3B9D">
        <w:rPr>
          <w:rStyle w:val="FootnoteReference"/>
          <w:rFonts w:cs="Calibri"/>
          <w:lang w:val="en-AU"/>
        </w:rPr>
        <w:footnoteReference w:id="13"/>
      </w:r>
      <w:r w:rsidRPr="007C3B9D">
        <w:rPr>
          <w:rFonts w:cs="Calibri"/>
          <w:lang w:val="en-AU"/>
        </w:rPr>
        <w:t xml:space="preserve">. Indeed, support for AMS adhesion to the UNGGE norms has been critical in elevating ASEAN’s voice on global cyber policies, in particular given that </w:t>
      </w:r>
      <w:r w:rsidRPr="007C3B9D">
        <w:rPr>
          <w:rFonts w:cs="Calibri"/>
          <w:i/>
          <w:iCs/>
          <w:lang w:val="en-AU"/>
        </w:rPr>
        <w:t xml:space="preserve">’ASEAN [was] the first regional organisation in the world that subscribed to the norms back in 2018,’ (ASEAN official), </w:t>
      </w:r>
      <w:r w:rsidRPr="007C3B9D">
        <w:rPr>
          <w:rFonts w:cs="Calibri"/>
          <w:lang w:val="en-AU"/>
        </w:rPr>
        <w:t>marking the region’s commitment to global cybersecurity governance.</w:t>
      </w:r>
    </w:p>
    <w:p w14:paraId="7F334509" w14:textId="77777777" w:rsidR="00394860" w:rsidRPr="007C3B9D" w:rsidRDefault="00394860" w:rsidP="00903D77">
      <w:pPr>
        <w:spacing w:after="120" w:line="276" w:lineRule="auto"/>
        <w:jc w:val="both"/>
        <w:rPr>
          <w:rFonts w:cs="Calibri"/>
          <w:lang w:val="en-AU"/>
        </w:rPr>
      </w:pPr>
      <w:r w:rsidRPr="007C3B9D">
        <w:rPr>
          <w:rFonts w:cs="Calibri"/>
          <w:lang w:val="en-AU"/>
        </w:rPr>
        <w:t>Future program support to cybersecurity would need to address emerging threats in misinformation and disinformation, with an ASEAN representative stating that ‘</w:t>
      </w:r>
      <w:r w:rsidRPr="007C3B9D">
        <w:rPr>
          <w:rFonts w:cs="Calibri"/>
          <w:i/>
          <w:iCs/>
          <w:lang w:val="en-AU"/>
        </w:rPr>
        <w:t>ASEAN’s ongoing focus on fake news and disinformation as priorities, emphasised in its digital strategies, remains a pressing concern’.</w:t>
      </w:r>
      <w:r w:rsidRPr="007C3B9D">
        <w:rPr>
          <w:rFonts w:cs="Calibri"/>
          <w:lang w:val="en-AU"/>
        </w:rPr>
        <w:t> Australia’s role in bolstering ASEAN’s regional digital resilience in these areas is therefore crucial, especially given the growing impact of disinformation on political stability. </w:t>
      </w:r>
      <w:r w:rsidRPr="007C3B9D">
        <w:rPr>
          <w:rFonts w:cs="Calibri"/>
          <w:i/>
          <w:iCs/>
          <w:lang w:val="en-AU"/>
        </w:rPr>
        <w:t xml:space="preserve">Interconnected approaches, </w:t>
      </w:r>
      <w:r w:rsidRPr="007C3B9D">
        <w:rPr>
          <w:rFonts w:cs="Calibri"/>
          <w:lang w:val="en-AU"/>
        </w:rPr>
        <w:t xml:space="preserve">that emphasise digital resilience, preventive diplomacy, and the integration of WPS, would ensure continued relevance, aligning closely with ASEAN’s and Australia’s evolving priorities, and as emphasised by an ASEAN official, </w:t>
      </w:r>
      <w:r w:rsidRPr="007C3B9D">
        <w:rPr>
          <w:rFonts w:cs="Calibri"/>
          <w:i/>
          <w:iCs/>
          <w:lang w:val="en-AU"/>
        </w:rPr>
        <w:t>‘[thereby] reinforcing the mutual strategic benefits in tackling these issues.’</w:t>
      </w:r>
    </w:p>
    <w:p w14:paraId="6CEC6C1E" w14:textId="002494EB" w:rsidR="00394860" w:rsidRPr="007C3B9D" w:rsidRDefault="00394860" w:rsidP="00903D77">
      <w:pPr>
        <w:spacing w:after="120" w:line="276" w:lineRule="auto"/>
        <w:jc w:val="both"/>
        <w:rPr>
          <w:rFonts w:cs="Calibri"/>
          <w:b/>
          <w:bCs/>
          <w:color w:val="E97132" w:themeColor="accent2"/>
          <w:lang w:val="en-AU"/>
        </w:rPr>
      </w:pPr>
      <w:r w:rsidRPr="007C3B9D">
        <w:rPr>
          <w:rFonts w:cs="Calibri"/>
          <w:i/>
          <w:iCs/>
          <w:color w:val="0F4761" w:themeColor="accent1" w:themeShade="BF"/>
          <w:lang w:val="en-AU"/>
        </w:rPr>
        <w:t>Transnational crime:</w:t>
      </w:r>
      <w:r w:rsidRPr="007C3B9D">
        <w:rPr>
          <w:rFonts w:cs="Calibri"/>
          <w:b/>
          <w:bCs/>
          <w:color w:val="0F4761" w:themeColor="accent1" w:themeShade="BF"/>
          <w:lang w:val="en-AU"/>
        </w:rPr>
        <w:t xml:space="preserve"> </w:t>
      </w:r>
      <w:r w:rsidRPr="007C3B9D">
        <w:rPr>
          <w:rFonts w:cs="Calibri"/>
          <w:lang w:val="en-AU"/>
        </w:rPr>
        <w:t xml:space="preserve">ASEAN’s commitment to combatting transnational crime is </w:t>
      </w:r>
      <w:r w:rsidR="00887B4F" w:rsidRPr="007C3B9D">
        <w:rPr>
          <w:rFonts w:cs="Calibri"/>
          <w:lang w:val="en-AU"/>
        </w:rPr>
        <w:t>centred on</w:t>
      </w:r>
      <w:r w:rsidRPr="007C3B9D">
        <w:rPr>
          <w:rFonts w:cs="Calibri"/>
          <w:lang w:val="en-AU"/>
        </w:rPr>
        <w:t xml:space="preserve"> documents </w:t>
      </w:r>
      <w:r w:rsidR="00887B4F" w:rsidRPr="007C3B9D">
        <w:rPr>
          <w:rFonts w:cs="Calibri"/>
          <w:lang w:val="en-AU"/>
        </w:rPr>
        <w:t xml:space="preserve">including the </w:t>
      </w:r>
      <w:r w:rsidR="00887B4F" w:rsidRPr="007C3B9D">
        <w:rPr>
          <w:lang w:val="en-AU"/>
        </w:rPr>
        <w:t>ASEAN-Australia SOMTC Work Plan</w:t>
      </w:r>
      <w:r w:rsidR="00887B4F" w:rsidRPr="007C3B9D">
        <w:rPr>
          <w:rStyle w:val="FootnoteReference"/>
          <w:lang w:val="en-AU"/>
        </w:rPr>
        <w:footnoteReference w:id="14"/>
      </w:r>
      <w:r w:rsidR="00887B4F" w:rsidRPr="007C3B9D">
        <w:rPr>
          <w:lang w:val="en-AU"/>
        </w:rPr>
        <w:t xml:space="preserve">, which provides a formal basis for collaboration on transnational crime priorities, </w:t>
      </w:r>
      <w:r w:rsidRPr="007C3B9D">
        <w:rPr>
          <w:rFonts w:cs="Calibri"/>
          <w:lang w:val="en-AU"/>
        </w:rPr>
        <w:t>the ASEAN Plan of Action in Combating Transnational Crime, referred to above, and the ASEAN Document Series on Transnational Crime: Terrorism and Violent Extremism</w:t>
      </w:r>
      <w:r w:rsidRPr="007C3B9D">
        <w:rPr>
          <w:rStyle w:val="FootnoteReference"/>
          <w:rFonts w:cs="Calibri"/>
          <w:lang w:val="en-AU"/>
        </w:rPr>
        <w:footnoteReference w:id="15"/>
      </w:r>
      <w:r w:rsidRPr="007C3B9D">
        <w:rPr>
          <w:rFonts w:cs="Calibri"/>
          <w:lang w:val="en-AU"/>
        </w:rPr>
        <w:t xml:space="preserve">, which outline ASEAN’s objectives for addressing issues such as human </w:t>
      </w:r>
      <w:r w:rsidRPr="007C3B9D">
        <w:rPr>
          <w:rFonts w:cs="Calibri"/>
          <w:lang w:val="en-AU"/>
        </w:rPr>
        <w:lastRenderedPageBreak/>
        <w:t>trafficking, terrorism, and violent extremism, thus contributing to ASEAN’s Political Security Community Blueprint</w:t>
      </w:r>
      <w:r w:rsidRPr="007C3B9D">
        <w:rPr>
          <w:rStyle w:val="FootnoteReference"/>
          <w:rFonts w:cs="Calibri"/>
          <w:lang w:val="en-AU"/>
        </w:rPr>
        <w:footnoteReference w:id="16"/>
      </w:r>
      <w:r w:rsidRPr="007C3B9D">
        <w:rPr>
          <w:rFonts w:cs="Calibri"/>
          <w:lang w:val="en-AU"/>
        </w:rPr>
        <w:t>. Australia’s active support in this area, particularly through its National Strategy to Fight Transnational, Serious, and Organised Crime</w:t>
      </w:r>
      <w:r w:rsidRPr="007C3B9D">
        <w:rPr>
          <w:rStyle w:val="FootnoteReference"/>
          <w:rFonts w:cs="Calibri"/>
          <w:lang w:val="en-AU"/>
        </w:rPr>
        <w:footnoteReference w:id="17"/>
      </w:r>
      <w:r w:rsidRPr="007C3B9D">
        <w:rPr>
          <w:rFonts w:cs="Calibri"/>
          <w:lang w:val="en-AU"/>
        </w:rPr>
        <w:t>, allows for deepened collaboration across ASEAN, and in relation to which, as an Australian government official observed, ‘</w:t>
      </w:r>
      <w:r w:rsidRPr="007C3B9D">
        <w:rPr>
          <w:rFonts w:cs="Calibri"/>
          <w:i/>
          <w:iCs/>
          <w:lang w:val="en-AU"/>
        </w:rPr>
        <w:t xml:space="preserve">APSP gives us a set of opportunities for working with ASEAN institutionally…on illicit drugs, on </w:t>
      </w:r>
      <w:proofErr w:type="gramStart"/>
      <w:r w:rsidRPr="007C3B9D">
        <w:rPr>
          <w:rFonts w:cs="Calibri"/>
          <w:i/>
          <w:iCs/>
          <w:lang w:val="en-AU"/>
        </w:rPr>
        <w:t>counter-terrorism</w:t>
      </w:r>
      <w:proofErr w:type="gramEnd"/>
      <w:r w:rsidRPr="007C3B9D">
        <w:rPr>
          <w:rFonts w:cs="Calibri"/>
          <w:i/>
          <w:iCs/>
          <w:lang w:val="en-AU"/>
        </w:rPr>
        <w:t>, and on cyber</w:t>
      </w:r>
      <w:r w:rsidRPr="007C3B9D">
        <w:rPr>
          <w:rFonts w:cs="Calibri"/>
          <w:lang w:val="en-AU"/>
        </w:rPr>
        <w:t>.’</w:t>
      </w:r>
    </w:p>
    <w:p w14:paraId="44FCB2DC" w14:textId="77777777" w:rsidR="00394860" w:rsidRPr="007C3B9D" w:rsidRDefault="00394860" w:rsidP="00903D77">
      <w:pPr>
        <w:spacing w:after="120" w:line="276" w:lineRule="auto"/>
        <w:jc w:val="both"/>
        <w:rPr>
          <w:rFonts w:cs="Calibri"/>
          <w:i/>
          <w:iCs/>
          <w:lang w:val="en-AU"/>
        </w:rPr>
      </w:pPr>
      <w:r w:rsidRPr="007C3B9D">
        <w:rPr>
          <w:rFonts w:cs="Calibri"/>
          <w:lang w:val="en-AU"/>
        </w:rPr>
        <w:t>The program’s engagement relative to transnational crime has primarily been through SOMTC, as referred to above, which was described by an Australian government official ‘</w:t>
      </w:r>
      <w:r w:rsidRPr="007C3B9D">
        <w:rPr>
          <w:rFonts w:cs="Calibri"/>
          <w:i/>
          <w:iCs/>
          <w:lang w:val="en-AU"/>
        </w:rPr>
        <w:t>a really good way to engage with ASEAN and with all ASEAN countries</w:t>
      </w:r>
      <w:r w:rsidRPr="007C3B9D">
        <w:rPr>
          <w:rFonts w:cs="Calibri"/>
          <w:lang w:val="en-AU"/>
        </w:rPr>
        <w:t>.’ Additionally, Indonesia’s role as the voluntary lead shepherd for ASEAN’s counterterrorism initiatives has strengthened the relationship with Australia on counterterrorism dialogue, illustrating a close ASEAN-Australia partnership, with an Australian government official emphasising that ‘</w:t>
      </w:r>
      <w:r w:rsidRPr="007C3B9D">
        <w:rPr>
          <w:rFonts w:cs="Calibri"/>
          <w:i/>
          <w:iCs/>
          <w:lang w:val="en-AU"/>
        </w:rPr>
        <w:t>we announce these activities officially at the ASEAN-Australia CT Dialogue, which obviously then feeds into the SOMTC, elevating our relationship with ASEAN member states’.</w:t>
      </w:r>
    </w:p>
    <w:p w14:paraId="2D66746B" w14:textId="77777777" w:rsidR="00394860" w:rsidRPr="007C3B9D" w:rsidRDefault="00394860" w:rsidP="00903D77">
      <w:pPr>
        <w:spacing w:after="120" w:line="276" w:lineRule="auto"/>
        <w:jc w:val="both"/>
        <w:rPr>
          <w:rFonts w:cs="Calibri"/>
          <w:i/>
          <w:iCs/>
          <w:lang w:val="en-AU"/>
        </w:rPr>
      </w:pPr>
      <w:r w:rsidRPr="007C3B9D">
        <w:rPr>
          <w:rFonts w:cs="Calibri"/>
          <w:lang w:val="en-AU"/>
        </w:rPr>
        <w:t xml:space="preserve">A key factor in Australia’s approach is ensuring these programs remain relevant across ASEAN member states, including those with whom Australia has limited bilateral counterterrorism arrangements. The flexibility of these platforms provides Australia with strategic benefits and enables a broad reach across ASEAN, fostering trust and operational alignment, with an Australian official stating that </w:t>
      </w:r>
      <w:r w:rsidRPr="007C3B9D">
        <w:rPr>
          <w:rFonts w:cs="Calibri"/>
          <w:i/>
          <w:iCs/>
          <w:lang w:val="en-AU"/>
        </w:rPr>
        <w:t>‘working through ASEAN sectoral bodies has been a critical strength, allowing Australia to support capacity building and address regional security concerns at a multilateral level’.</w:t>
      </w:r>
    </w:p>
    <w:p w14:paraId="4E8D062F" w14:textId="5932AA19" w:rsidR="00394860" w:rsidRPr="00627015" w:rsidRDefault="00394860" w:rsidP="00903D77">
      <w:pPr>
        <w:spacing w:after="120" w:line="276" w:lineRule="auto"/>
        <w:jc w:val="both"/>
        <w:rPr>
          <w:rFonts w:cs="Calibri"/>
          <w:b/>
          <w:bCs/>
          <w:lang w:val="en-AU"/>
        </w:rPr>
      </w:pPr>
      <w:r w:rsidRPr="007C3B9D">
        <w:rPr>
          <w:rFonts w:cs="Calibri"/>
          <w:i/>
          <w:iCs/>
          <w:color w:val="0F4761" w:themeColor="accent1" w:themeShade="BF"/>
          <w:lang w:val="en-AU"/>
        </w:rPr>
        <w:t>Maritime Security:</w:t>
      </w:r>
      <w:r w:rsidRPr="007C3B9D">
        <w:rPr>
          <w:rFonts w:cs="Calibri"/>
          <w:b/>
          <w:bCs/>
          <w:color w:val="0F4761" w:themeColor="accent1" w:themeShade="BF"/>
          <w:lang w:val="en-AU"/>
        </w:rPr>
        <w:t xml:space="preserve"> </w:t>
      </w:r>
      <w:r w:rsidRPr="007C3B9D">
        <w:rPr>
          <w:rFonts w:cs="Calibri"/>
          <w:lang w:val="en-AU"/>
        </w:rPr>
        <w:t>Maritime security is a strategic focus for ASEAN, given the economic and political importance of secure waters in the region, in the broadest sense</w:t>
      </w:r>
      <w:r w:rsidR="00AE6C48" w:rsidRPr="007C3B9D">
        <w:rPr>
          <w:rFonts w:cs="Calibri"/>
          <w:lang w:val="en-AU"/>
        </w:rPr>
        <w:t xml:space="preserve">. </w:t>
      </w:r>
      <w:r w:rsidR="00AE6C48" w:rsidRPr="007C3B9D">
        <w:rPr>
          <w:lang w:val="en-AU"/>
        </w:rPr>
        <w:t>ASEAN’s maritime security priorities stem from the ASEAN Outlook on the Indo-Pacific (AOIP)</w:t>
      </w:r>
      <w:r w:rsidR="00AE6C48" w:rsidRPr="007C3B9D">
        <w:rPr>
          <w:rStyle w:val="FootnoteReference"/>
          <w:lang w:val="en-AU"/>
        </w:rPr>
        <w:footnoteReference w:id="18"/>
      </w:r>
      <w:r w:rsidR="00AE6C48" w:rsidRPr="007C3B9D">
        <w:rPr>
          <w:lang w:val="en-AU"/>
        </w:rPr>
        <w:t xml:space="preserve">, </w:t>
      </w:r>
      <w:r w:rsidR="00DD5D06" w:rsidRPr="007C3B9D">
        <w:rPr>
          <w:rFonts w:cs="Calibri"/>
          <w:lang w:val="en-AU"/>
        </w:rPr>
        <w:t>with</w:t>
      </w:r>
      <w:r w:rsidR="00AE6C48" w:rsidRPr="007C3B9D">
        <w:rPr>
          <w:rFonts w:cs="Calibri"/>
          <w:lang w:val="en-AU"/>
        </w:rPr>
        <w:t xml:space="preserve"> the </w:t>
      </w:r>
      <w:r w:rsidRPr="007C3B9D">
        <w:rPr>
          <w:rFonts w:cs="Calibri"/>
          <w:lang w:val="en-AU"/>
        </w:rPr>
        <w:t>ASEAN Regional Forum Work Plan for Maritime Security (2022–2026)</w:t>
      </w:r>
      <w:r w:rsidRPr="007C3B9D">
        <w:rPr>
          <w:rStyle w:val="FootnoteReference"/>
          <w:rFonts w:cs="Calibri"/>
          <w:lang w:val="en-AU"/>
        </w:rPr>
        <w:footnoteReference w:id="19"/>
      </w:r>
      <w:r w:rsidRPr="007C3B9D">
        <w:rPr>
          <w:rFonts w:cs="Calibri"/>
          <w:lang w:val="en-AU"/>
        </w:rPr>
        <w:t> and Australia’s Civil Maritime Security Strategy</w:t>
      </w:r>
      <w:r w:rsidRPr="007C3B9D">
        <w:rPr>
          <w:rStyle w:val="FootnoteReference"/>
          <w:rFonts w:cs="Calibri"/>
          <w:lang w:val="en-AU"/>
        </w:rPr>
        <w:footnoteReference w:id="20"/>
      </w:r>
      <w:r w:rsidRPr="007C3B9D">
        <w:rPr>
          <w:rFonts w:cs="Calibri"/>
          <w:lang w:val="en-AU"/>
        </w:rPr>
        <w:t> both emphasis</w:t>
      </w:r>
      <w:r w:rsidR="00DD5D06" w:rsidRPr="007C3B9D">
        <w:rPr>
          <w:rFonts w:cs="Calibri"/>
          <w:lang w:val="en-AU"/>
        </w:rPr>
        <w:t>ing</w:t>
      </w:r>
      <w:r w:rsidRPr="007C3B9D">
        <w:rPr>
          <w:rFonts w:cs="Calibri"/>
          <w:lang w:val="en-AU"/>
        </w:rPr>
        <w:t xml:space="preserve"> cooperation to manage threats such as piracy, illegal fishing, and environmental degradation. The APSP program has therefore provided Australia with avenues to support maritime security efforts directly, bolstering ASEAN’s capabilities and fostering joint approaches to issues of shared concern, like including marine pollution and cyber-related maritime </w:t>
      </w:r>
      <w:r w:rsidRPr="00627015">
        <w:rPr>
          <w:rFonts w:cs="Calibri"/>
          <w:lang w:val="en-AU"/>
        </w:rPr>
        <w:t>threats.</w:t>
      </w:r>
    </w:p>
    <w:p w14:paraId="2C604A8A" w14:textId="77777777" w:rsidR="00394860" w:rsidRPr="007C3B9D" w:rsidRDefault="00394860" w:rsidP="00903D77">
      <w:pPr>
        <w:spacing w:after="120" w:line="276" w:lineRule="auto"/>
        <w:jc w:val="both"/>
        <w:rPr>
          <w:rFonts w:cs="Calibri"/>
          <w:lang w:val="en-AU"/>
        </w:rPr>
      </w:pPr>
      <w:r w:rsidRPr="007C3B9D">
        <w:rPr>
          <w:rFonts w:cs="Calibri"/>
          <w:lang w:val="en-AU"/>
        </w:rPr>
        <w:t>Future support to maritime security could focus on strengthening the ASEAN Regional Forum’s preventive diplomacy. As one AMS government representative highlighted, while confidence-building activities within ARF have been ongoing, the forum has not fully achieved its conflict resolution mandate, stating that ‘</w:t>
      </w:r>
      <w:r w:rsidRPr="007C3B9D">
        <w:rPr>
          <w:rFonts w:cs="Calibri"/>
          <w:i/>
          <w:iCs/>
          <w:lang w:val="en-AU"/>
        </w:rPr>
        <w:t xml:space="preserve">maybe in terms of conflict resolution, Australia could channel some resources into moving the ARF to its next evolutionary phase,’ </w:t>
      </w:r>
      <w:r w:rsidRPr="007C3B9D">
        <w:rPr>
          <w:rFonts w:cs="Calibri"/>
          <w:lang w:val="en-AU"/>
        </w:rPr>
        <w:t>thus positioning it as a stronger diplomatic platform in the Indo-Pacific. This approach would directly support Australia’s and ASEAN’s joint goal of regional stability and confidence-building.</w:t>
      </w:r>
    </w:p>
    <w:p w14:paraId="05185BBD" w14:textId="77777777" w:rsidR="00394860" w:rsidRPr="00627015" w:rsidRDefault="00394860" w:rsidP="00903D77">
      <w:pPr>
        <w:spacing w:after="120" w:line="276" w:lineRule="auto"/>
        <w:jc w:val="both"/>
        <w:rPr>
          <w:rFonts w:cs="Calibri"/>
          <w:b/>
          <w:bCs/>
          <w:lang w:val="en-AU"/>
        </w:rPr>
      </w:pPr>
      <w:r w:rsidRPr="007C3B9D">
        <w:rPr>
          <w:rFonts w:cs="Calibri"/>
          <w:i/>
          <w:iCs/>
          <w:color w:val="0F4761" w:themeColor="accent1" w:themeShade="BF"/>
          <w:lang w:val="en-AU"/>
        </w:rPr>
        <w:t xml:space="preserve">Women, Peace, and Security (WPS): </w:t>
      </w:r>
      <w:r w:rsidRPr="007C3B9D">
        <w:rPr>
          <w:rFonts w:cs="Calibri"/>
          <w:lang w:val="en-AU"/>
        </w:rPr>
        <w:t>The ASEAN Regional Plan of Action on Women, Peace, and Security</w:t>
      </w:r>
      <w:r w:rsidRPr="007C3B9D">
        <w:rPr>
          <w:rStyle w:val="FootnoteReference"/>
          <w:rFonts w:cs="Calibri"/>
          <w:lang w:val="en-AU"/>
        </w:rPr>
        <w:footnoteReference w:id="21"/>
      </w:r>
      <w:r w:rsidRPr="007C3B9D">
        <w:rPr>
          <w:rFonts w:cs="Calibri"/>
          <w:lang w:val="en-AU"/>
        </w:rPr>
        <w:t> and the ASEAN Regional Forum Framework on Inclusive Processes for WPS</w:t>
      </w:r>
      <w:r w:rsidRPr="007C3B9D">
        <w:rPr>
          <w:rStyle w:val="FootnoteReference"/>
          <w:rFonts w:cs="Calibri"/>
          <w:lang w:val="en-AU"/>
        </w:rPr>
        <w:footnoteReference w:id="22"/>
      </w:r>
      <w:r w:rsidRPr="007C3B9D">
        <w:rPr>
          <w:rFonts w:cs="Calibri"/>
          <w:lang w:val="en-AU"/>
        </w:rPr>
        <w:t xml:space="preserve"> represent a commitment to gender inclusivity within security and peace processes across the ASEAN community </w:t>
      </w:r>
      <w:r w:rsidRPr="007C3B9D">
        <w:rPr>
          <w:rFonts w:cs="Calibri"/>
          <w:lang w:val="en-AU"/>
        </w:rPr>
        <w:lastRenderedPageBreak/>
        <w:t>pillars. Australia’s National Action Plan on WPS (2021–2031)</w:t>
      </w:r>
      <w:r w:rsidRPr="007C3B9D">
        <w:rPr>
          <w:rStyle w:val="FootnoteReference"/>
          <w:rFonts w:cs="Calibri"/>
          <w:lang w:val="en-AU"/>
        </w:rPr>
        <w:footnoteReference w:id="23"/>
      </w:r>
      <w:r w:rsidRPr="007C3B9D">
        <w:rPr>
          <w:rFonts w:cs="Calibri"/>
          <w:lang w:val="en-AU"/>
        </w:rPr>
        <w:t> complements these efforts by prioritising women’s participation in peacebuilding and enhancing the protection of women in conflict-affected settings</w:t>
      </w:r>
      <w:r w:rsidRPr="00627015">
        <w:rPr>
          <w:rFonts w:cs="Calibri"/>
          <w:lang w:val="en-AU"/>
        </w:rPr>
        <w:t xml:space="preserve">.  </w:t>
      </w:r>
    </w:p>
    <w:p w14:paraId="12841FB4" w14:textId="77777777" w:rsidR="00394860" w:rsidRPr="007C3B9D" w:rsidRDefault="00394860" w:rsidP="00903D77">
      <w:pPr>
        <w:spacing w:after="120" w:line="276" w:lineRule="auto"/>
        <w:jc w:val="both"/>
        <w:rPr>
          <w:rFonts w:cs="Calibri"/>
          <w:lang w:val="en-AU"/>
        </w:rPr>
      </w:pPr>
      <w:r w:rsidRPr="007C3B9D">
        <w:rPr>
          <w:rFonts w:cs="Calibri"/>
          <w:lang w:val="en-AU"/>
        </w:rPr>
        <w:t>Australia’s WPS approach not only supports the meaningful inclusion of women in traditional peace processes but also encourages their participation in digital security and cybersecurity initiatives. In this way, the program aligns with ASEAN’s broader digital transformation goals, fostering a more inclusive and secure digital ecosystem.</w:t>
      </w:r>
    </w:p>
    <w:p w14:paraId="71C0FF26" w14:textId="77777777" w:rsidR="00394860" w:rsidRDefault="00394860" w:rsidP="00903D77">
      <w:pPr>
        <w:spacing w:after="120" w:line="276" w:lineRule="auto"/>
        <w:jc w:val="both"/>
        <w:rPr>
          <w:rFonts w:cs="Calibri"/>
          <w:lang w:val="en-AU"/>
        </w:rPr>
      </w:pPr>
      <w:r w:rsidRPr="007C3B9D">
        <w:rPr>
          <w:rFonts w:cs="Calibri"/>
          <w:lang w:val="en-AU"/>
        </w:rPr>
        <w:t>Looking forward, the WPS agenda within the program could expand its focus on digital literacy and cyber capacity-building for women, responding to the need for resilience in both physical and digital spheres, with one Australian government representative stating that ‘</w:t>
      </w:r>
      <w:r w:rsidRPr="007C3B9D">
        <w:rPr>
          <w:rFonts w:cs="Calibri"/>
          <w:i/>
          <w:iCs/>
          <w:lang w:val="en-AU"/>
        </w:rPr>
        <w:t xml:space="preserve">future programs should integrate the WPS agenda with digital economy priorities to further empower women across ASEAN’. </w:t>
      </w:r>
      <w:r w:rsidRPr="007C3B9D">
        <w:rPr>
          <w:rFonts w:cs="Calibri"/>
          <w:lang w:val="en-AU"/>
        </w:rPr>
        <w:t>Such inclusion would align with Australia’s strategic priorities, reinforcing ASEAN’s ability to address emerging cybersecurity challenges with a gender-sensitive lens, and providing vital cross-linkages across the program’s thematic areas of focus, and bolstering the program’s existing GEDSI approach.</w:t>
      </w:r>
    </w:p>
    <w:p w14:paraId="14094EF1" w14:textId="41E6033A" w:rsidR="00394860" w:rsidRPr="007C3B9D" w:rsidRDefault="00394860" w:rsidP="0035461D">
      <w:pPr>
        <w:pStyle w:val="Heading3"/>
      </w:pPr>
      <w:r w:rsidRPr="007C3B9D">
        <w:t>APSP alignment with ASEAN and Australian policies and priorities</w:t>
      </w:r>
    </w:p>
    <w:p w14:paraId="442629E0" w14:textId="485D8629" w:rsidR="00394860" w:rsidRPr="007C3B9D" w:rsidRDefault="00394860" w:rsidP="00903D77">
      <w:pPr>
        <w:spacing w:after="120" w:line="276" w:lineRule="auto"/>
        <w:jc w:val="both"/>
        <w:rPr>
          <w:rFonts w:cs="Calibri"/>
          <w:lang w:val="en-AU"/>
        </w:rPr>
      </w:pPr>
      <w:r w:rsidRPr="007C3B9D">
        <w:rPr>
          <w:rFonts w:cs="Calibri"/>
          <w:lang w:val="en-AU"/>
        </w:rPr>
        <w:t>Australia’s engagement with regional political security issues focuses on mutual stability and resilience, underpinned by the ASEAN-Australia Comprehensive Strategic Partnership</w:t>
      </w:r>
      <w:r w:rsidRPr="007C3B9D">
        <w:rPr>
          <w:rStyle w:val="FootnoteReference"/>
          <w:rFonts w:cs="Calibri"/>
          <w:lang w:val="en-AU"/>
        </w:rPr>
        <w:footnoteReference w:id="24"/>
      </w:r>
      <w:r w:rsidRPr="007C3B9D">
        <w:rPr>
          <w:rFonts w:cs="Calibri"/>
          <w:lang w:val="en-AU"/>
        </w:rPr>
        <w:t xml:space="preserve">, and </w:t>
      </w:r>
      <w:r w:rsidR="00DD5D06" w:rsidRPr="007C3B9D">
        <w:rPr>
          <w:rFonts w:cs="Calibri"/>
          <w:lang w:val="en-AU"/>
        </w:rPr>
        <w:t xml:space="preserve">current </w:t>
      </w:r>
      <w:r w:rsidRPr="007C3B9D">
        <w:rPr>
          <w:rFonts w:cs="Calibri"/>
          <w:lang w:val="en-AU"/>
        </w:rPr>
        <w:t xml:space="preserve">Plan of Action 2025-2029. With strategic alignment across the program’s target areas, APSP not only bolsters ASEAN’s capacity, but also reinforces Australia’s ability to address its political security interests in the region. </w:t>
      </w:r>
    </w:p>
    <w:p w14:paraId="0721444E" w14:textId="77777777" w:rsidR="00394860" w:rsidRPr="007C3B9D" w:rsidRDefault="00394860" w:rsidP="00903D77">
      <w:pPr>
        <w:spacing w:after="120" w:line="276" w:lineRule="auto"/>
        <w:jc w:val="both"/>
        <w:rPr>
          <w:rFonts w:cs="Calibri"/>
          <w:lang w:val="en-AU"/>
        </w:rPr>
      </w:pPr>
      <w:r w:rsidRPr="007C3B9D">
        <w:rPr>
          <w:rFonts w:cs="Calibri"/>
          <w:lang w:val="en-AU"/>
        </w:rPr>
        <w:t>The program’s alignment with ASEAN’s and Australia’s policies reflects a strategically coordinated approach to address shared challenges in cybersecurity, transnational crime, maritime security, and the WPS agenda. The Strategic Partnership exemplifies a joint commitment to advancing regional stability and resilience, structured around well-defined policy synergies and collaboration mechanisms. This partnership illustrates Australia’s responsiveness to ASEAN’s regional security needs, supporting ASEAN’s ability to lead on political security issues, through enhanced collaboration across ASEAN’s political, economic, and security pillars.</w:t>
      </w:r>
    </w:p>
    <w:p w14:paraId="22461438" w14:textId="46F0AB03" w:rsidR="00394860" w:rsidRPr="007C3B9D" w:rsidRDefault="00394860" w:rsidP="00903D77">
      <w:pPr>
        <w:spacing w:after="120" w:line="276" w:lineRule="auto"/>
        <w:jc w:val="both"/>
        <w:rPr>
          <w:rFonts w:cs="Calibri"/>
          <w:lang w:val="en-AU"/>
        </w:rPr>
      </w:pPr>
      <w:r w:rsidRPr="007C3B9D">
        <w:rPr>
          <w:rFonts w:cs="Calibri"/>
          <w:lang w:val="en-AU"/>
        </w:rPr>
        <w:t>In particular, the program’s alignment within ASEAN’s sectoral bodies and frameworks strengthens ASEAN’s institutional capacity to independently address regional security threats. The endorsement from sectoral bodies and dialogue partners</w:t>
      </w:r>
      <w:r w:rsidR="00DD5D06" w:rsidRPr="007C3B9D">
        <w:rPr>
          <w:rFonts w:cs="Calibri"/>
          <w:lang w:val="en-AU"/>
        </w:rPr>
        <w:t xml:space="preserve"> </w:t>
      </w:r>
      <w:r w:rsidR="00DD5D06" w:rsidRPr="007C3B9D">
        <w:rPr>
          <w:lang w:val="en-AU"/>
        </w:rPr>
        <w:t xml:space="preserve">(external states or </w:t>
      </w:r>
      <w:r w:rsidR="0046730E" w:rsidRPr="007C3B9D">
        <w:rPr>
          <w:lang w:val="en-AU"/>
        </w:rPr>
        <w:t>organizations</w:t>
      </w:r>
      <w:r w:rsidR="00DD5D06" w:rsidRPr="007C3B9D">
        <w:rPr>
          <w:lang w:val="en-AU"/>
        </w:rPr>
        <w:t xml:space="preserve"> </w:t>
      </w:r>
      <w:r w:rsidR="00F00074" w:rsidRPr="007C3B9D">
        <w:rPr>
          <w:lang w:val="en-AU"/>
        </w:rPr>
        <w:t>having</w:t>
      </w:r>
      <w:r w:rsidR="00DD5D06" w:rsidRPr="007C3B9D">
        <w:rPr>
          <w:lang w:val="en-AU"/>
        </w:rPr>
        <w:t xml:space="preserve"> formal partnerships with ASEAN) </w:t>
      </w:r>
      <w:r w:rsidRPr="007C3B9D">
        <w:rPr>
          <w:rFonts w:cs="Calibri"/>
          <w:lang w:val="en-AU"/>
        </w:rPr>
        <w:t>provides a strong foundation for program relevance, with an Australian government official emphasising the need to</w:t>
      </w:r>
      <w:r w:rsidRPr="007C3B9D">
        <w:rPr>
          <w:rFonts w:cs="Calibri"/>
          <w:i/>
          <w:iCs/>
          <w:lang w:val="en-AU"/>
        </w:rPr>
        <w:t xml:space="preserve"> ‘put APSP in a bigger context of ASEAN and Australia cooperation’ </w:t>
      </w:r>
      <w:r w:rsidRPr="007C3B9D">
        <w:rPr>
          <w:rFonts w:cs="Calibri"/>
          <w:lang w:val="en-AU"/>
        </w:rPr>
        <w:t>to maximise its impact across various ASEAN initiatives. This integration across ASEAN structures allows the program to contribute substantively to cross-sectoral collaboration, a priority identified in ASEAN’s Cybersecurity Cooperation Strategy and other strategic frameworks.</w:t>
      </w:r>
    </w:p>
    <w:p w14:paraId="75825E70" w14:textId="77777777" w:rsidR="00394860" w:rsidRPr="007C3B9D" w:rsidRDefault="00394860" w:rsidP="00903D77">
      <w:pPr>
        <w:spacing w:after="120" w:line="276" w:lineRule="auto"/>
        <w:jc w:val="both"/>
        <w:rPr>
          <w:rFonts w:cs="Calibri"/>
          <w:lang w:val="en-AU"/>
        </w:rPr>
      </w:pPr>
      <w:r w:rsidRPr="007C3B9D">
        <w:rPr>
          <w:rFonts w:cs="Calibri"/>
          <w:lang w:val="en-AU"/>
        </w:rPr>
        <w:t xml:space="preserve">Australia’s long-standing support for ASEAN’s political security pillar represents a shift from earlier years when development programs were largely limited to economic or social initiatives, with a DFAT official observing that </w:t>
      </w:r>
      <w:r w:rsidRPr="007C3B9D">
        <w:rPr>
          <w:rFonts w:cs="Calibri"/>
          <w:i/>
          <w:iCs/>
          <w:lang w:val="en-AU"/>
        </w:rPr>
        <w:t xml:space="preserve">’our security work was quite ad hoc and fragmented,’ </w:t>
      </w:r>
      <w:r w:rsidRPr="007C3B9D">
        <w:rPr>
          <w:rFonts w:cs="Calibri"/>
          <w:lang w:val="en-AU"/>
        </w:rPr>
        <w:t xml:space="preserve">indicating a need to pivot towards a more cohesive security framework. The program has therefore filled a critical gap, with DFAT now leveraging its resources to strengthen ASEAN’s security portfolio, particularly in countering </w:t>
      </w:r>
      <w:r w:rsidRPr="007C3B9D">
        <w:rPr>
          <w:rFonts w:cs="Calibri"/>
          <w:lang w:val="en-AU"/>
        </w:rPr>
        <w:lastRenderedPageBreak/>
        <w:t>transnational crime and strengthening maritime security. One stakeholder further observed that DFAT’s robust security support has ‘</w:t>
      </w:r>
      <w:r w:rsidRPr="007C3B9D">
        <w:rPr>
          <w:rFonts w:cs="Calibri"/>
          <w:i/>
          <w:iCs/>
          <w:lang w:val="en-AU"/>
        </w:rPr>
        <w:t>brought cohesion to ASEAN’s portfolio, making the region more resilient and connected to Australian interests</w:t>
      </w:r>
      <w:r w:rsidRPr="007C3B9D">
        <w:rPr>
          <w:rFonts w:cs="Calibri"/>
          <w:lang w:val="en-AU"/>
        </w:rPr>
        <w:t>.’</w:t>
      </w:r>
    </w:p>
    <w:p w14:paraId="256DF470" w14:textId="77777777" w:rsidR="00394860" w:rsidRPr="007C3B9D" w:rsidRDefault="00394860" w:rsidP="00903D77">
      <w:pPr>
        <w:spacing w:after="120" w:line="276" w:lineRule="auto"/>
        <w:jc w:val="both"/>
        <w:rPr>
          <w:rFonts w:cs="Calibri"/>
          <w:lang w:val="en-AU"/>
        </w:rPr>
      </w:pPr>
      <w:r w:rsidRPr="007C3B9D">
        <w:rPr>
          <w:rFonts w:cs="Calibri"/>
          <w:lang w:val="en-AU"/>
        </w:rPr>
        <w:t>Another essential aspect of alignment lies in the program’s responsiveness to emerging digital and cyber challenges, as highlighted above. Australia’s 2023-2030 Cyber Security Strategy supports these efforts, ensuring that both countries share a cyber policy framework that addresses issues such as misinformation, digital resilience, and data protection. </w:t>
      </w:r>
      <w:r w:rsidRPr="007C3B9D">
        <w:rPr>
          <w:rFonts w:cs="Calibri"/>
          <w:i/>
          <w:iCs/>
          <w:lang w:val="en-AU"/>
        </w:rPr>
        <w:t xml:space="preserve"> </w:t>
      </w:r>
      <w:r w:rsidRPr="007C3B9D">
        <w:rPr>
          <w:rFonts w:cs="Calibri"/>
          <w:lang w:val="en-AU"/>
        </w:rPr>
        <w:t xml:space="preserve">Australian government stakeholders emphasised the APSP’s contributions to supporting capacity building with all AMS, </w:t>
      </w:r>
      <w:proofErr w:type="gramStart"/>
      <w:r w:rsidRPr="007C3B9D">
        <w:rPr>
          <w:rFonts w:cs="Calibri"/>
          <w:lang w:val="en-AU"/>
        </w:rPr>
        <w:t>thus</w:t>
      </w:r>
      <w:proofErr w:type="gramEnd"/>
      <w:r w:rsidRPr="007C3B9D">
        <w:rPr>
          <w:rFonts w:cs="Calibri"/>
          <w:lang w:val="en-AU"/>
        </w:rPr>
        <w:t xml:space="preserve"> to fostering digital security across the entire ASEAN community.</w:t>
      </w:r>
    </w:p>
    <w:p w14:paraId="06472902" w14:textId="546EB4CB" w:rsidR="00394860" w:rsidRPr="007C3B9D" w:rsidRDefault="00394860" w:rsidP="00903D77">
      <w:pPr>
        <w:spacing w:after="120" w:line="276" w:lineRule="auto"/>
        <w:jc w:val="both"/>
        <w:rPr>
          <w:rFonts w:cs="Calibri"/>
          <w:lang w:val="en-AU"/>
        </w:rPr>
      </w:pPr>
      <w:r w:rsidRPr="007C3B9D">
        <w:rPr>
          <w:rFonts w:cs="Calibri"/>
          <w:lang w:val="en-AU"/>
        </w:rPr>
        <w:t xml:space="preserve">This alignment is reinforced by Australia’s positioning as a </w:t>
      </w:r>
      <w:r w:rsidR="000B619D" w:rsidRPr="007C3B9D">
        <w:rPr>
          <w:rFonts w:cs="Calibri"/>
          <w:lang w:val="en-AU"/>
        </w:rPr>
        <w:t>key</w:t>
      </w:r>
      <w:r w:rsidRPr="007C3B9D">
        <w:rPr>
          <w:rFonts w:cs="Calibri"/>
          <w:lang w:val="en-AU"/>
        </w:rPr>
        <w:t xml:space="preserve"> partner in regional security initiatives, especially through programs targeting cross-border crime and terrorism. The ASEAN Ministerial Meeting on Transnational Crime (AMMTC) and SOMTC, as described above, enable Australia </w:t>
      </w:r>
      <w:r w:rsidR="000B619D" w:rsidRPr="007C3B9D">
        <w:rPr>
          <w:rFonts w:cs="Calibri"/>
          <w:lang w:val="en-AU"/>
        </w:rPr>
        <w:t xml:space="preserve">to </w:t>
      </w:r>
      <w:r w:rsidRPr="007C3B9D">
        <w:rPr>
          <w:rFonts w:cs="Calibri"/>
          <w:lang w:val="en-AU"/>
        </w:rPr>
        <w:t>foster shared responsibility for security in a way that bilateral programs alone might not achieve. As an Australian government official emphasised, ‘</w:t>
      </w:r>
      <w:r w:rsidRPr="007C3B9D">
        <w:rPr>
          <w:rFonts w:cs="Calibri"/>
          <w:i/>
          <w:iCs/>
          <w:lang w:val="en-AU"/>
        </w:rPr>
        <w:t>APSP gives us a set of opportunities for working with ASEAN institutionally</w:t>
      </w:r>
      <w:r w:rsidRPr="007C3B9D">
        <w:rPr>
          <w:rFonts w:cs="Calibri"/>
          <w:lang w:val="en-AU"/>
        </w:rPr>
        <w:t>’, indicating that institutional cooperation has amplified the program’s outcomes.</w:t>
      </w:r>
    </w:p>
    <w:p w14:paraId="72FCEDAB" w14:textId="77777777" w:rsidR="00394860" w:rsidRPr="007C3B9D" w:rsidRDefault="00394860" w:rsidP="00903D77">
      <w:pPr>
        <w:spacing w:after="120" w:line="276" w:lineRule="auto"/>
        <w:jc w:val="both"/>
        <w:rPr>
          <w:rFonts w:cs="Calibri"/>
          <w:lang w:val="en-AU"/>
        </w:rPr>
      </w:pPr>
      <w:r w:rsidRPr="007C3B9D">
        <w:rPr>
          <w:rFonts w:cs="Calibri"/>
          <w:lang w:val="en-AU"/>
        </w:rPr>
        <w:t>The alignment is further validated by ASEAN’s strategic focus on inclusivity, particularly in empowering women through the WPS agenda. By supporting the ASEAN Regional Plan of Action on WPS, Australia contributes to the inclusion of women in peace and security. This approach is integral to ASEAN’s long-term vision, with Australia’s National Action Plan on WPS reinforcing the meaningful participation of women in peace and security processes</w:t>
      </w:r>
      <w:r w:rsidRPr="007C3B9D">
        <w:rPr>
          <w:rFonts w:cs="Calibri"/>
          <w:i/>
          <w:iCs/>
          <w:lang w:val="en-AU"/>
        </w:rPr>
        <w:t>.</w:t>
      </w:r>
      <w:r w:rsidRPr="007C3B9D">
        <w:rPr>
          <w:rFonts w:cs="Calibri"/>
          <w:lang w:val="en-AU"/>
        </w:rPr>
        <w:t> This aligns with Australia’s strategic focus on promoting inclusive governance, which both strengthens ASEAN’s resilience, and advances gender equality as a stabilising force.</w:t>
      </w:r>
    </w:p>
    <w:p w14:paraId="0716F77D" w14:textId="024E71C0" w:rsidR="00394860" w:rsidRPr="007C3B9D" w:rsidRDefault="00394860" w:rsidP="00903D77">
      <w:pPr>
        <w:spacing w:after="120" w:line="276" w:lineRule="auto"/>
        <w:jc w:val="both"/>
        <w:rPr>
          <w:rFonts w:cs="Calibri"/>
          <w:lang w:val="en-AU"/>
        </w:rPr>
      </w:pPr>
      <w:r w:rsidRPr="007C3B9D">
        <w:rPr>
          <w:rFonts w:cs="Calibri"/>
          <w:lang w:val="en-AU"/>
        </w:rPr>
        <w:t>As the program looks to the future, maintaining this overall alignment will likely depend on Australia’s adaptability to ASEAN’s evolving priorities. The program’s demand-driven approach, as discussed throughout the current report, would enable Australia to respond selectively to ASEAN’s evolving strategic vision, allowing it to prioritise projects that enhance both regional security and Australia’s own strategic interests. With new challenges continually emerging in the Indo-Pacific, this flexible strategy would allow Australia to align more closely with ASEAN’s dynamic security landscape, enhancing its relevance and impact over time.</w:t>
      </w:r>
    </w:p>
    <w:p w14:paraId="5AD4C888" w14:textId="721A8741" w:rsidR="00450DA7" w:rsidRPr="007C3B9D" w:rsidRDefault="00450DA7" w:rsidP="00627015">
      <w:pPr>
        <w:spacing w:before="240"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JC1.3 The program forms a sound basis for continued/future engagement with ASEAN and its partners.</w:t>
      </w:r>
    </w:p>
    <w:p w14:paraId="0E7EB81E" w14:textId="77777777" w:rsidR="00980523" w:rsidRPr="007C3B9D" w:rsidRDefault="00980523" w:rsidP="00903D77">
      <w:pPr>
        <w:spacing w:after="120" w:line="276" w:lineRule="auto"/>
        <w:jc w:val="both"/>
        <w:rPr>
          <w:rFonts w:cs="Calibri"/>
          <w:lang w:val="en-AU"/>
        </w:rPr>
      </w:pPr>
      <w:proofErr w:type="gramStart"/>
      <w:r w:rsidRPr="007C3B9D">
        <w:rPr>
          <w:rFonts w:cs="Calibri"/>
          <w:lang w:val="en-AU"/>
        </w:rPr>
        <w:t>A number of</w:t>
      </w:r>
      <w:proofErr w:type="gramEnd"/>
      <w:r w:rsidRPr="007C3B9D">
        <w:rPr>
          <w:rFonts w:cs="Calibri"/>
          <w:lang w:val="en-AU"/>
        </w:rPr>
        <w:t xml:space="preserve"> interrelated factors have established a strong foundation for the APSP and Australia to continue their engagement with ASEAN and ASEAN member states on critical political security issues.</w:t>
      </w:r>
    </w:p>
    <w:p w14:paraId="2E6A07E7" w14:textId="77777777" w:rsidR="00980523" w:rsidRPr="007C3B9D" w:rsidRDefault="00980523" w:rsidP="00903D77">
      <w:pPr>
        <w:spacing w:after="120" w:line="276" w:lineRule="auto"/>
        <w:jc w:val="both"/>
        <w:rPr>
          <w:rFonts w:cs="Calibri"/>
          <w:b/>
          <w:bCs/>
          <w:lang w:val="en-AU"/>
        </w:rPr>
      </w:pPr>
      <w:r w:rsidRPr="007C3B9D">
        <w:rPr>
          <w:rFonts w:cs="Calibri"/>
          <w:i/>
          <w:iCs/>
          <w:color w:val="0F4761" w:themeColor="accent1" w:themeShade="BF"/>
          <w:lang w:val="en-AU"/>
        </w:rPr>
        <w:t>Strategic alignment:</w:t>
      </w:r>
      <w:r w:rsidRPr="007C3B9D">
        <w:rPr>
          <w:rFonts w:cs="Calibri"/>
          <w:b/>
          <w:bCs/>
          <w:color w:val="0F4761" w:themeColor="accent1" w:themeShade="BF"/>
          <w:lang w:val="en-AU"/>
        </w:rPr>
        <w:t xml:space="preserve"> </w:t>
      </w:r>
      <w:r w:rsidRPr="007C3B9D">
        <w:rPr>
          <w:rFonts w:cs="Calibri"/>
          <w:lang w:val="en-AU"/>
        </w:rPr>
        <w:t>The alignment between APSP’s objectives and ASEAN’s strategic frameworks ensures that APSP is well-positioned to engage ASEAN in a sustained manner. By supporting ASEAN’s own regional plans, as described above, APSP operates within ASEAN’s established security frameworks, reinforcing ASEAN’s capacity without imposing external priorities. This alignment signals APSP’s commitment to ASEAN’s long-term goals and establishes it as a compatible partner for future engagement.</w:t>
      </w:r>
      <w:r w:rsidRPr="007C3B9D">
        <w:rPr>
          <w:rFonts w:cs="Calibri"/>
          <w:b/>
          <w:bCs/>
          <w:lang w:val="en-AU"/>
        </w:rPr>
        <w:t xml:space="preserve"> </w:t>
      </w:r>
      <w:r w:rsidRPr="007C3B9D">
        <w:rPr>
          <w:rFonts w:cs="Calibri"/>
          <w:lang w:val="en-AU"/>
        </w:rPr>
        <w:t>Further, APSP’s commitment to aligning with ASEAN’s procedural norms, and its emphasis on multilateral as well as bilateral dialogues, enable it to encourage the collaborative environment that ASEAN values. Furthermore, the program’s alignment with ASEAN’s procedural framework ensures that its projects remain compatible with ASEAN’s collective decision-making processes. This focus on cooperation and respect for ASEAN’s autonomy strongly positions APSP for continued engagement on political security issues.</w:t>
      </w:r>
    </w:p>
    <w:p w14:paraId="34BDFAD1" w14:textId="77777777" w:rsidR="00980523" w:rsidRPr="00BD68A1" w:rsidRDefault="00980523" w:rsidP="00903D77">
      <w:pPr>
        <w:spacing w:after="120" w:line="276" w:lineRule="auto"/>
        <w:jc w:val="both"/>
        <w:rPr>
          <w:rFonts w:cs="Calibri"/>
          <w:i/>
          <w:iCs/>
          <w:lang w:val="en-AU"/>
        </w:rPr>
      </w:pPr>
      <w:r w:rsidRPr="007C3B9D">
        <w:rPr>
          <w:rFonts w:cs="Calibri"/>
          <w:i/>
          <w:iCs/>
          <w:color w:val="0F4761" w:themeColor="accent1" w:themeShade="BF"/>
          <w:lang w:val="en-AU"/>
        </w:rPr>
        <w:lastRenderedPageBreak/>
        <w:t xml:space="preserve">Alignment with ASEAN’s security needs: </w:t>
      </w:r>
      <w:r w:rsidRPr="007C3B9D">
        <w:rPr>
          <w:rFonts w:cs="Calibri"/>
          <w:lang w:val="en-AU"/>
        </w:rPr>
        <w:t xml:space="preserve">APSP addresses critical security concerns for ASEAN, across the four selected themes, which are not only current but evolving, and which will likely persist in ASEAN’s security landscape. In focusing on essential security areas, APSP supports ASEAN’s objectives and lays a foundation for long-term cooperation, as ASEAN and its member states will continue to require support in addressing their shared </w:t>
      </w:r>
      <w:r w:rsidRPr="00BD68A1">
        <w:rPr>
          <w:rFonts w:cs="Calibri"/>
          <w:lang w:val="en-AU"/>
        </w:rPr>
        <w:t>priorities.</w:t>
      </w:r>
    </w:p>
    <w:p w14:paraId="774BEBDB" w14:textId="77777777" w:rsidR="00980523" w:rsidRPr="007C3B9D" w:rsidRDefault="00980523" w:rsidP="00903D77">
      <w:pPr>
        <w:spacing w:after="120" w:line="276" w:lineRule="auto"/>
        <w:jc w:val="both"/>
        <w:rPr>
          <w:rFonts w:cs="Calibri"/>
          <w:i/>
          <w:iCs/>
          <w:color w:val="E97132" w:themeColor="accent2"/>
          <w:lang w:val="en-AU"/>
        </w:rPr>
      </w:pPr>
      <w:r w:rsidRPr="007C3B9D">
        <w:rPr>
          <w:rFonts w:cs="Calibri"/>
          <w:i/>
          <w:iCs/>
          <w:color w:val="0F4761" w:themeColor="accent1" w:themeShade="BF"/>
          <w:lang w:val="en-AU"/>
        </w:rPr>
        <w:t>Integration with ASEAN’s structures and priorities:</w:t>
      </w:r>
      <w:r w:rsidRPr="007C3B9D">
        <w:rPr>
          <w:rFonts w:cs="Calibri"/>
          <w:i/>
          <w:iCs/>
          <w:color w:val="E97132" w:themeColor="accent2"/>
          <w:lang w:val="en-AU"/>
        </w:rPr>
        <w:t xml:space="preserve"> </w:t>
      </w:r>
      <w:r w:rsidRPr="007C3B9D">
        <w:rPr>
          <w:rFonts w:cs="Calibri"/>
          <w:lang w:val="en-AU"/>
        </w:rPr>
        <w:t>APSP’s alignment with ASEAN’s existing frameworks underscores its capability to support ASEAN’s unique procedural and decision-making norms. The program’s design respects ASEAN’s consensus-driven approach and non-interference principle. This integration with ASEAN’s structures and respect for its operational culture fosters continuity and acceptance within the organisation, essential for building a sound basis for future cooperation.</w:t>
      </w:r>
    </w:p>
    <w:p w14:paraId="36A418C9" w14:textId="77777777" w:rsidR="00980523" w:rsidRPr="007C3B9D" w:rsidRDefault="00980523" w:rsidP="00903D77">
      <w:pPr>
        <w:spacing w:after="120" w:line="276" w:lineRule="auto"/>
        <w:jc w:val="both"/>
        <w:rPr>
          <w:rFonts w:cs="Calibri"/>
          <w:i/>
          <w:iCs/>
          <w:color w:val="E97132" w:themeColor="accent2"/>
          <w:lang w:val="en-AU"/>
        </w:rPr>
      </w:pPr>
      <w:r w:rsidRPr="007C3B9D">
        <w:rPr>
          <w:rFonts w:cs="Calibri"/>
          <w:i/>
          <w:iCs/>
          <w:color w:val="0F4761" w:themeColor="accent1" w:themeShade="BF"/>
          <w:lang w:val="en-AU"/>
        </w:rPr>
        <w:t xml:space="preserve">Flexibility in engaging diverse member capacities: </w:t>
      </w:r>
      <w:r w:rsidRPr="007C3B9D">
        <w:rPr>
          <w:rFonts w:cs="Calibri"/>
          <w:lang w:val="en-AU"/>
        </w:rPr>
        <w:t xml:space="preserve">APSP’s responsiveness to the different capacities and readiness levels across ASEAN member states reflects its adaptability, a core attribute for continued engagement. APSP’s ability to tailor its support to different national contexts within ASEAN underscores its potential to remain relevant as AMS capacities evolve. The program’s willingness to adapt to these varying needs positions it as a flexible partner capable of ongoing engagement with </w:t>
      </w:r>
      <w:proofErr w:type="gramStart"/>
      <w:r w:rsidRPr="007C3B9D">
        <w:rPr>
          <w:rFonts w:cs="Calibri"/>
          <w:lang w:val="en-AU"/>
        </w:rPr>
        <w:t>ASEAN as a whole</w:t>
      </w:r>
      <w:proofErr w:type="gramEnd"/>
      <w:r w:rsidRPr="007C3B9D">
        <w:rPr>
          <w:rFonts w:cs="Calibri"/>
          <w:lang w:val="en-AU"/>
        </w:rPr>
        <w:t>.</w:t>
      </w:r>
    </w:p>
    <w:p w14:paraId="5057A3F8" w14:textId="77777777" w:rsidR="00980523" w:rsidRPr="007C3B9D" w:rsidRDefault="00980523" w:rsidP="00903D77">
      <w:pPr>
        <w:spacing w:after="120" w:line="276" w:lineRule="auto"/>
        <w:jc w:val="both"/>
        <w:rPr>
          <w:rFonts w:cs="Calibri"/>
          <w:i/>
          <w:iCs/>
          <w:color w:val="E97132" w:themeColor="accent2"/>
          <w:lang w:val="en-AU"/>
        </w:rPr>
      </w:pPr>
      <w:r w:rsidRPr="007C3B9D">
        <w:rPr>
          <w:rFonts w:cs="Calibri"/>
          <w:i/>
          <w:iCs/>
          <w:color w:val="0F4761" w:themeColor="accent1" w:themeShade="BF"/>
          <w:lang w:val="en-AU"/>
        </w:rPr>
        <w:t>Capacity-building as a long-term strategy</w:t>
      </w:r>
      <w:r w:rsidRPr="007C3B9D">
        <w:rPr>
          <w:rFonts w:cs="Calibri"/>
          <w:i/>
          <w:iCs/>
          <w:color w:val="BF4E14" w:themeColor="accent2" w:themeShade="BF"/>
          <w:lang w:val="en-AU"/>
        </w:rPr>
        <w:t xml:space="preserve">: </w:t>
      </w:r>
      <w:r w:rsidRPr="007C3B9D">
        <w:rPr>
          <w:rFonts w:cs="Calibri"/>
          <w:lang w:val="en-AU"/>
        </w:rPr>
        <w:t>A major element of APSP’s design is its focus on building ASEAN’s institutional capacities, vital to ensuring ASEAN’s internal resilience and capability to independently manage future security initiatives. This approach ensures that APSP’s contributions embedded within ASEAN’s internal structures, equipping them with the skills and resources necessary for sustained engagement. This in turn creates a sound basis for future cooperation, as ASEAN will increasingly be able to rely on its own capacities to engage effectively with APSP and other partners.</w:t>
      </w:r>
    </w:p>
    <w:p w14:paraId="4D3A4FD6" w14:textId="77777777" w:rsidR="00980523" w:rsidRPr="007C3B9D" w:rsidRDefault="00980523" w:rsidP="00903D77">
      <w:pPr>
        <w:spacing w:after="120" w:line="276" w:lineRule="auto"/>
        <w:jc w:val="both"/>
        <w:rPr>
          <w:rFonts w:cs="Calibri"/>
          <w:color w:val="E97132" w:themeColor="accent2"/>
          <w:lang w:val="en-AU"/>
        </w:rPr>
      </w:pPr>
      <w:r w:rsidRPr="007C3B9D">
        <w:rPr>
          <w:rFonts w:cs="Calibri"/>
          <w:i/>
          <w:iCs/>
          <w:color w:val="0F4761" w:themeColor="accent1" w:themeShade="BF"/>
          <w:lang w:val="en-AU"/>
        </w:rPr>
        <w:t>Responsiveness to emerging threats:</w:t>
      </w:r>
      <w:r w:rsidRPr="007C3B9D">
        <w:rPr>
          <w:rFonts w:cs="Calibri"/>
          <w:color w:val="0F4761" w:themeColor="accent1" w:themeShade="BF"/>
          <w:lang w:val="en-AU"/>
        </w:rPr>
        <w:t xml:space="preserve"> </w:t>
      </w:r>
      <w:r w:rsidRPr="007C3B9D">
        <w:rPr>
          <w:rFonts w:cs="Calibri"/>
          <w:lang w:val="en-AU"/>
        </w:rPr>
        <w:t>APSP’s attentiveness to regional security developments enable it to stay responsive to ASEAN’s complex and shifting security environment, for example related to cybersecurity, as outlined above. This ability to respond to both traditional and emerging security issues highlights APSP’s potential to evolve in step with ASEAN’s needs, thus strengthening its role as a sustainable partner, capable of addressing both current and future needs.</w:t>
      </w:r>
    </w:p>
    <w:p w14:paraId="5115B06A" w14:textId="77777777" w:rsidR="00980523" w:rsidRPr="007C3B9D" w:rsidRDefault="00980523" w:rsidP="00903D77">
      <w:pPr>
        <w:spacing w:after="120" w:line="276" w:lineRule="auto"/>
        <w:jc w:val="both"/>
        <w:rPr>
          <w:rFonts w:cs="Calibri"/>
          <w:color w:val="E97132" w:themeColor="accent2"/>
          <w:lang w:val="en-AU"/>
        </w:rPr>
      </w:pPr>
      <w:r w:rsidRPr="007C3B9D">
        <w:rPr>
          <w:rFonts w:cs="Calibri"/>
          <w:i/>
          <w:iCs/>
          <w:color w:val="0F4761" w:themeColor="accent1" w:themeShade="BF"/>
          <w:lang w:val="en-AU"/>
        </w:rPr>
        <w:t>Non-intrusive support model in sensitive areas:</w:t>
      </w:r>
      <w:r w:rsidRPr="007C3B9D">
        <w:rPr>
          <w:rFonts w:cs="Calibri"/>
          <w:color w:val="0F4761" w:themeColor="accent1" w:themeShade="BF"/>
          <w:lang w:val="en-AU"/>
        </w:rPr>
        <w:t xml:space="preserve"> </w:t>
      </w:r>
      <w:r w:rsidRPr="007C3B9D">
        <w:rPr>
          <w:rFonts w:cs="Calibri"/>
          <w:lang w:val="en-AU"/>
        </w:rPr>
        <w:t>In areas of heightened political sensitivity, such as counter-terrorism and maritime security, APSP has taken a non-intrusive approach by focusing on non-contentious initiatives. This approach aligns with ASEAN’s own principles of non-interference, allowing APSP to support ASEAN’s goals without overstepping boundaries. This has fostered considerable trust, and positions APSP as a partner that respects ASEAN’s political context, thus establishing a solid foundation for future cooperation in sensitive areas.</w:t>
      </w:r>
    </w:p>
    <w:p w14:paraId="6F923981" w14:textId="6D3A713D" w:rsidR="00450DA7" w:rsidRPr="007C3B9D" w:rsidRDefault="00450DA7" w:rsidP="00BD68A1">
      <w:pPr>
        <w:spacing w:before="360" w:after="120" w:line="276" w:lineRule="auto"/>
        <w:jc w:val="both"/>
        <w:rPr>
          <w:rFonts w:cstheme="minorHAnsi"/>
          <w:b/>
          <w:bCs/>
          <w:i/>
          <w:iCs/>
          <w:color w:val="0F4761" w:themeColor="accent1" w:themeShade="BF"/>
          <w:lang w:val="en-AU"/>
        </w:rPr>
      </w:pPr>
      <w:r w:rsidRPr="007C3B9D">
        <w:rPr>
          <w:rFonts w:cstheme="minorHAnsi"/>
          <w:b/>
          <w:bCs/>
          <w:i/>
          <w:iCs/>
          <w:color w:val="0F4761" w:themeColor="accent1" w:themeShade="BF"/>
          <w:lang w:val="en-AU"/>
        </w:rPr>
        <w:t>EQ2 – Has the program provided opportunities for engagement and knowledge exchange between ASEAN and Australian agencies and organisations working on political-security issues?</w:t>
      </w:r>
    </w:p>
    <w:p w14:paraId="40D5CFA3" w14:textId="77777777" w:rsidR="00450DA7" w:rsidRPr="007C3B9D" w:rsidRDefault="00450DA7" w:rsidP="00903D77">
      <w:pPr>
        <w:spacing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JC2.1 The program engages a growing range of agencies and organisations in Australia and ASEAN, including ASEAN sectoral bodies/mechanisms; ASEAN Secretariat; ASEAN institute; ASEAN Member States that serve as chair or leader/lead shepherd in areas relevant to APSP</w:t>
      </w:r>
    </w:p>
    <w:p w14:paraId="15796730" w14:textId="5C4374FF" w:rsidR="00980523" w:rsidRPr="007C3B9D" w:rsidRDefault="00980523" w:rsidP="00903D77">
      <w:pPr>
        <w:spacing w:after="120" w:line="276" w:lineRule="auto"/>
        <w:jc w:val="both"/>
        <w:rPr>
          <w:rFonts w:cs="Calibri"/>
          <w:lang w:val="en-AU"/>
        </w:rPr>
      </w:pPr>
      <w:r w:rsidRPr="007C3B9D">
        <w:rPr>
          <w:rFonts w:cs="Calibri"/>
          <w:i/>
          <w:iCs/>
          <w:color w:val="0F4761" w:themeColor="accent1" w:themeShade="BF"/>
          <w:lang w:val="en-AU"/>
        </w:rPr>
        <w:t>Engaging</w:t>
      </w:r>
      <w:r w:rsidR="00B44D9D" w:rsidRPr="007C3B9D">
        <w:rPr>
          <w:rFonts w:cs="Calibri"/>
          <w:i/>
          <w:iCs/>
          <w:color w:val="0F4761" w:themeColor="accent1" w:themeShade="BF"/>
          <w:lang w:val="en-AU"/>
        </w:rPr>
        <w:t xml:space="preserve"> Other</w:t>
      </w:r>
      <w:r w:rsidRPr="007C3B9D">
        <w:rPr>
          <w:rFonts w:cs="Calibri"/>
          <w:i/>
          <w:iCs/>
          <w:color w:val="0F4761" w:themeColor="accent1" w:themeShade="BF"/>
          <w:lang w:val="en-AU"/>
        </w:rPr>
        <w:t xml:space="preserve"> Australian Government Departments</w:t>
      </w:r>
      <w:r w:rsidR="00B44D9D" w:rsidRPr="007C3B9D">
        <w:rPr>
          <w:rFonts w:cs="Calibri"/>
          <w:i/>
          <w:iCs/>
          <w:color w:val="0F4761" w:themeColor="accent1" w:themeShade="BF"/>
          <w:lang w:val="en-AU"/>
        </w:rPr>
        <w:t xml:space="preserve"> (OGD)</w:t>
      </w:r>
      <w:r w:rsidR="007C78D0" w:rsidRPr="007C3B9D">
        <w:rPr>
          <w:rFonts w:cs="Calibri"/>
          <w:i/>
          <w:iCs/>
          <w:color w:val="0F4761" w:themeColor="accent1" w:themeShade="BF"/>
          <w:lang w:val="en-AU"/>
        </w:rPr>
        <w:t xml:space="preserve">, including other Australian </w:t>
      </w:r>
      <w:r w:rsidR="00B44D9D" w:rsidRPr="007C3B9D">
        <w:rPr>
          <w:rFonts w:cs="Calibri"/>
          <w:i/>
          <w:iCs/>
          <w:color w:val="0F4761" w:themeColor="accent1" w:themeShade="BF"/>
          <w:lang w:val="en-AU"/>
        </w:rPr>
        <w:t>Entities</w:t>
      </w:r>
      <w:r w:rsidRPr="007C3B9D">
        <w:rPr>
          <w:rFonts w:cs="Calibri"/>
          <w:i/>
          <w:iCs/>
          <w:color w:val="0F4761" w:themeColor="accent1" w:themeShade="BF"/>
          <w:lang w:val="en-AU"/>
        </w:rPr>
        <w:t xml:space="preserve">: </w:t>
      </w:r>
      <w:r w:rsidRPr="007C3B9D">
        <w:rPr>
          <w:rFonts w:cs="Calibri"/>
          <w:lang w:val="en-AU"/>
        </w:rPr>
        <w:t xml:space="preserve">The APSP and DFAT have faced considerable challenges in fully engaging a diverse range of OGD in its </w:t>
      </w:r>
      <w:r w:rsidRPr="007C3B9D">
        <w:rPr>
          <w:rFonts w:cs="Calibri"/>
          <w:lang w:val="en-AU"/>
        </w:rPr>
        <w:lastRenderedPageBreak/>
        <w:t>activities. Although DFAT was initially tasked with advocating for inter-departmental collaboration, efforts to involve additional Australian government agencies were often met with limited success. This limited engagement appears to stem from both organisational priorities and resource constraints. As one TAF representative noted, ‘</w:t>
      </w:r>
      <w:r w:rsidRPr="007C3B9D">
        <w:rPr>
          <w:rFonts w:cs="Calibri"/>
          <w:i/>
          <w:iCs/>
          <w:lang w:val="en-AU"/>
        </w:rPr>
        <w:t xml:space="preserve">it’s been difficult to involve other government departments of Australia; they’re not really interested in doing anything with ASEAN. We usually conclude they lack the manpower to prioritise </w:t>
      </w:r>
      <w:proofErr w:type="gramStart"/>
      <w:r w:rsidRPr="007C3B9D">
        <w:rPr>
          <w:rFonts w:cs="Calibri"/>
          <w:i/>
          <w:iCs/>
          <w:lang w:val="en-AU"/>
        </w:rPr>
        <w:t>ASEAN, or</w:t>
      </w:r>
      <w:proofErr w:type="gramEnd"/>
      <w:r w:rsidRPr="007C3B9D">
        <w:rPr>
          <w:rFonts w:cs="Calibri"/>
          <w:i/>
          <w:iCs/>
          <w:lang w:val="en-AU"/>
        </w:rPr>
        <w:t xml:space="preserve"> have already set agendas that don’t include ASEAN as a region’</w:t>
      </w:r>
      <w:r w:rsidRPr="007C3B9D">
        <w:rPr>
          <w:rFonts w:cs="Calibri"/>
          <w:lang w:val="en-AU"/>
        </w:rPr>
        <w:t>.</w:t>
      </w:r>
    </w:p>
    <w:p w14:paraId="6D78475E" w14:textId="6B9DEC33" w:rsidR="00980523" w:rsidRPr="007C3B9D" w:rsidRDefault="00980523" w:rsidP="00903D77">
      <w:pPr>
        <w:spacing w:after="120" w:line="276" w:lineRule="auto"/>
        <w:jc w:val="both"/>
        <w:rPr>
          <w:rFonts w:cs="Calibri"/>
          <w:lang w:val="en-AU"/>
        </w:rPr>
      </w:pPr>
      <w:r w:rsidRPr="007C3B9D">
        <w:rPr>
          <w:rFonts w:cs="Calibri"/>
          <w:lang w:val="en-AU"/>
        </w:rPr>
        <w:t xml:space="preserve">The organisational structure of DFAT itself may also limit the effectiveness of its advocacy role relative to OGD. </w:t>
      </w:r>
      <w:r w:rsidR="00B44D9D" w:rsidRPr="007C3B9D">
        <w:rPr>
          <w:rFonts w:cs="Calibri"/>
          <w:lang w:val="en-AU"/>
        </w:rPr>
        <w:t>T</w:t>
      </w:r>
      <w:r w:rsidRPr="007C3B9D">
        <w:rPr>
          <w:rFonts w:cs="Calibri"/>
          <w:lang w:val="en-AU"/>
        </w:rPr>
        <w:t xml:space="preserve">he APSP’s original design incorporated a dual structure, with TAF responsible for the implementation of program activities, and DFAT responsible for engagement with </w:t>
      </w:r>
      <w:r w:rsidR="00B44D9D" w:rsidRPr="007C3B9D">
        <w:rPr>
          <w:rFonts w:cs="Calibri"/>
          <w:lang w:val="en-AU"/>
        </w:rPr>
        <w:t>OGD</w:t>
      </w:r>
      <w:r w:rsidRPr="007C3B9D">
        <w:rPr>
          <w:rFonts w:cs="Calibri"/>
          <w:lang w:val="en-AU"/>
        </w:rPr>
        <w:t xml:space="preserve">. However, in the initial stages of the program, a lack of dedicated staffing for APSP reduced DFAT’s capacity to drive this engagement effectively. The absence of a dedicated First Secretary for APSP meant that responsibility for the program fell to a Development Counsellor, who was already managing other initiatives, which constrained their ability to prioritise APSP. </w:t>
      </w:r>
    </w:p>
    <w:p w14:paraId="3A56E46C" w14:textId="3113C152" w:rsidR="00980523" w:rsidRPr="007C3B9D" w:rsidRDefault="00980523" w:rsidP="00903D77">
      <w:pPr>
        <w:spacing w:after="120" w:line="276" w:lineRule="auto"/>
        <w:jc w:val="both"/>
        <w:rPr>
          <w:rFonts w:cs="Calibri"/>
          <w:lang w:val="en-AU"/>
        </w:rPr>
      </w:pPr>
      <w:r w:rsidRPr="007C3B9D">
        <w:rPr>
          <w:rFonts w:cs="Calibri"/>
          <w:lang w:val="en-AU"/>
        </w:rPr>
        <w:t xml:space="preserve">Unforeseen disruptions such as the COVID-19 pandemic and pre-existing international commitments of </w:t>
      </w:r>
      <w:r w:rsidR="007C78D0" w:rsidRPr="007C3B9D">
        <w:rPr>
          <w:rFonts w:cs="Calibri"/>
          <w:lang w:val="en-AU"/>
        </w:rPr>
        <w:t>OGD</w:t>
      </w:r>
      <w:r w:rsidR="007D064A" w:rsidRPr="007C3B9D">
        <w:rPr>
          <w:rFonts w:cs="Calibri"/>
          <w:lang w:val="en-AU"/>
        </w:rPr>
        <w:t xml:space="preserve"> </w:t>
      </w:r>
      <w:r w:rsidRPr="007C3B9D">
        <w:rPr>
          <w:rFonts w:cs="Calibri"/>
          <w:lang w:val="en-AU"/>
        </w:rPr>
        <w:t xml:space="preserve">further hindered these initial objectives. Strict ASEAN definitions of what constitutes an ASEAN activity complicated collaboration, often restricting </w:t>
      </w:r>
      <w:r w:rsidR="007C78D0" w:rsidRPr="007C3B9D">
        <w:rPr>
          <w:rFonts w:cs="Calibri"/>
          <w:lang w:val="en-AU"/>
        </w:rPr>
        <w:t>OGD</w:t>
      </w:r>
      <w:r w:rsidR="007D064A" w:rsidRPr="007C3B9D">
        <w:rPr>
          <w:rFonts w:cs="Calibri"/>
          <w:lang w:val="en-AU"/>
        </w:rPr>
        <w:t xml:space="preserve"> </w:t>
      </w:r>
      <w:r w:rsidRPr="007C3B9D">
        <w:rPr>
          <w:rFonts w:cs="Calibri"/>
          <w:lang w:val="en-AU"/>
        </w:rPr>
        <w:t xml:space="preserve">from participating in activities not perceived as directly relevant to their mandate. </w:t>
      </w:r>
    </w:p>
    <w:p w14:paraId="3285E611" w14:textId="487842AC" w:rsidR="00980523" w:rsidRPr="007C3B9D" w:rsidRDefault="00980523" w:rsidP="00903D77">
      <w:pPr>
        <w:spacing w:after="120" w:line="276" w:lineRule="auto"/>
        <w:jc w:val="both"/>
        <w:rPr>
          <w:rFonts w:cs="Calibri"/>
          <w:i/>
          <w:iCs/>
          <w:lang w:val="en-AU"/>
        </w:rPr>
      </w:pPr>
      <w:r w:rsidRPr="007C3B9D">
        <w:rPr>
          <w:rFonts w:cs="Calibri"/>
          <w:lang w:val="en-AU"/>
        </w:rPr>
        <w:t xml:space="preserve">For future any future program, clarifying structure and responsibilities could yield improvements in agency engagement and program outcomes. Furthermore, to enhance APSP’s relevance and appeal to </w:t>
      </w:r>
      <w:r w:rsidR="007C78D0" w:rsidRPr="007C3B9D">
        <w:rPr>
          <w:rFonts w:cs="Calibri"/>
          <w:lang w:val="en-AU"/>
        </w:rPr>
        <w:t>OGD</w:t>
      </w:r>
      <w:r w:rsidRPr="007C3B9D">
        <w:rPr>
          <w:rFonts w:cs="Calibri"/>
          <w:lang w:val="en-AU"/>
        </w:rPr>
        <w:t xml:space="preserve">, the program should consider introducing more flexible criteria for project eligibility, allowing </w:t>
      </w:r>
      <w:r w:rsidR="007D064A" w:rsidRPr="007C3B9D">
        <w:rPr>
          <w:rFonts w:cs="Calibri"/>
          <w:lang w:val="en-AU"/>
        </w:rPr>
        <w:t xml:space="preserve">them </w:t>
      </w:r>
      <w:r w:rsidRPr="007C3B9D">
        <w:rPr>
          <w:rFonts w:cs="Calibri"/>
          <w:lang w:val="en-AU"/>
        </w:rPr>
        <w:t>to participate in a wider range of ASEAN-centred activities</w:t>
      </w:r>
      <w:r w:rsidR="00FC48D6" w:rsidRPr="007C3B9D">
        <w:rPr>
          <w:rFonts w:cs="Calibri"/>
          <w:lang w:val="en-AU"/>
        </w:rPr>
        <w:t xml:space="preserve">, </w:t>
      </w:r>
      <w:r w:rsidR="00FC48D6" w:rsidRPr="007C3B9D">
        <w:rPr>
          <w:lang w:val="en-AU"/>
        </w:rPr>
        <w:t>for example by allowing OGD to propose cross-cutting areas, such as cryptocurrency regulations, AI-driven disinformation, at the concept note stage to encourage broader OGD participation</w:t>
      </w:r>
      <w:r w:rsidRPr="007C3B9D">
        <w:rPr>
          <w:rFonts w:cs="Calibri"/>
          <w:lang w:val="en-AU"/>
        </w:rPr>
        <w:t>. Another key improvement would be to facilitate early involvement of stakeholders from ASEAN and Australia, securing regional buy-in by collaboratively identifying project themes. As one AFP officer highlighted, ‘</w:t>
      </w:r>
      <w:r w:rsidRPr="007C3B9D">
        <w:rPr>
          <w:rFonts w:cs="Calibri"/>
          <w:i/>
          <w:iCs/>
          <w:lang w:val="en-AU"/>
        </w:rPr>
        <w:t>if we could be part of the discussions earlier… we could suggest themes for workshops or capability development, which would allow us to secure buy-in for programs like cryptocurrency training.’</w:t>
      </w:r>
    </w:p>
    <w:p w14:paraId="55D7E40E" w14:textId="6C1B0E57" w:rsidR="00980523" w:rsidRPr="007C3B9D" w:rsidRDefault="00980523" w:rsidP="00903D77">
      <w:pPr>
        <w:spacing w:after="120" w:line="276" w:lineRule="auto"/>
        <w:jc w:val="both"/>
        <w:rPr>
          <w:rFonts w:cs="Calibri"/>
          <w:lang w:val="en-AU"/>
        </w:rPr>
      </w:pPr>
      <w:r w:rsidRPr="007C3B9D">
        <w:rPr>
          <w:rFonts w:cs="Calibri"/>
          <w:lang w:val="en-AU"/>
        </w:rPr>
        <w:t>The challenges related to limited OG</w:t>
      </w:r>
      <w:r w:rsidR="00C24DC2" w:rsidRPr="007C3B9D">
        <w:rPr>
          <w:rFonts w:cs="Calibri"/>
          <w:lang w:val="en-AU"/>
        </w:rPr>
        <w:t>D</w:t>
      </w:r>
      <w:r w:rsidRPr="007C3B9D">
        <w:rPr>
          <w:rFonts w:cs="Calibri"/>
          <w:lang w:val="en-AU"/>
        </w:rPr>
        <w:t xml:space="preserve"> engagement are furthered discussed at </w:t>
      </w:r>
      <w:r w:rsidRPr="007C3B9D">
        <w:rPr>
          <w:rFonts w:cs="Calibri"/>
          <w:i/>
          <w:iCs/>
          <w:lang w:val="en-AU"/>
        </w:rPr>
        <w:t>Effectiveness</w:t>
      </w:r>
      <w:r w:rsidRPr="007C3B9D">
        <w:rPr>
          <w:rFonts w:cs="Calibri"/>
          <w:lang w:val="en-AU"/>
        </w:rPr>
        <w:t xml:space="preserve"> </w:t>
      </w:r>
      <w:r w:rsidR="005055C0" w:rsidRPr="007C3B9D">
        <w:rPr>
          <w:rFonts w:cs="Calibri"/>
          <w:lang w:val="en-AU"/>
        </w:rPr>
        <w:t>below and</w:t>
      </w:r>
      <w:r w:rsidRPr="007C3B9D">
        <w:rPr>
          <w:rFonts w:cs="Calibri"/>
          <w:lang w:val="en-AU"/>
        </w:rPr>
        <w:t xml:space="preserve"> are fully explored in </w:t>
      </w:r>
      <w:r w:rsidRPr="007C3B9D">
        <w:rPr>
          <w:rFonts w:cs="Calibri"/>
          <w:i/>
          <w:iCs/>
          <w:lang w:val="en-AU"/>
        </w:rPr>
        <w:t xml:space="preserve">Annex </w:t>
      </w:r>
      <w:r w:rsidR="001F0627" w:rsidRPr="007C3B9D">
        <w:rPr>
          <w:rFonts w:cs="Calibri"/>
          <w:i/>
          <w:iCs/>
          <w:lang w:val="en-AU"/>
        </w:rPr>
        <w:t>6</w:t>
      </w:r>
      <w:r w:rsidRPr="007C3B9D">
        <w:rPr>
          <w:rFonts w:cs="Calibri"/>
          <w:lang w:val="en-AU"/>
        </w:rPr>
        <w:t>.</w:t>
      </w:r>
    </w:p>
    <w:p w14:paraId="5654CAAC" w14:textId="03A4DB37" w:rsidR="00980523" w:rsidRPr="007C3B9D" w:rsidRDefault="00980523" w:rsidP="00903D77">
      <w:pPr>
        <w:spacing w:after="120" w:line="276" w:lineRule="auto"/>
        <w:jc w:val="both"/>
        <w:rPr>
          <w:rFonts w:cs="Calibri"/>
          <w:i/>
          <w:iCs/>
          <w:color w:val="E97132" w:themeColor="accent2"/>
          <w:lang w:val="en-AU"/>
        </w:rPr>
      </w:pPr>
      <w:r w:rsidRPr="007C3B9D">
        <w:rPr>
          <w:rFonts w:cs="Calibri"/>
          <w:lang w:val="en-AU"/>
        </w:rPr>
        <w:t xml:space="preserve">One of APSP’s primary objectives has been to engage </w:t>
      </w:r>
      <w:r w:rsidR="007C78D0" w:rsidRPr="007C3B9D">
        <w:rPr>
          <w:rFonts w:cs="Calibri"/>
          <w:lang w:val="en-AU"/>
        </w:rPr>
        <w:t>OGD</w:t>
      </w:r>
      <w:r w:rsidR="00FC48D6" w:rsidRPr="007C3B9D">
        <w:rPr>
          <w:rFonts w:cs="Calibri"/>
          <w:lang w:val="en-AU"/>
        </w:rPr>
        <w:t xml:space="preserve"> </w:t>
      </w:r>
      <w:r w:rsidRPr="007C3B9D">
        <w:rPr>
          <w:rFonts w:cs="Calibri"/>
          <w:lang w:val="en-AU"/>
        </w:rPr>
        <w:t>to establish a strong foundation for collaboration on political security issues. The Australian Federal Police (AFP), for instance, has played a crucial role in building rapport and continuity in the region. The AFP’s strong reputation among ASEAN counterparts has helped bolster mutual trust and deepen the scope of security collaboration, as highlighted by their statement, with an AFP officer stating that ‘</w:t>
      </w:r>
      <w:r w:rsidRPr="007C3B9D">
        <w:rPr>
          <w:rFonts w:cs="Calibri"/>
          <w:i/>
          <w:iCs/>
          <w:lang w:val="en-AU"/>
        </w:rPr>
        <w:t xml:space="preserve">the AFP has a very good reputation in these countries, and it’s good for us to </w:t>
      </w:r>
      <w:proofErr w:type="gramStart"/>
      <w:r w:rsidRPr="007C3B9D">
        <w:rPr>
          <w:rFonts w:cs="Calibri"/>
          <w:i/>
          <w:iCs/>
          <w:lang w:val="en-AU"/>
        </w:rPr>
        <w:t>say</w:t>
      </w:r>
      <w:proofErr w:type="gramEnd"/>
      <w:r w:rsidRPr="007C3B9D">
        <w:rPr>
          <w:rFonts w:cs="Calibri"/>
          <w:i/>
          <w:iCs/>
          <w:lang w:val="en-AU"/>
        </w:rPr>
        <w:t xml:space="preserve"> ‘we’re here again supporting your activities</w:t>
      </w:r>
      <w:r w:rsidRPr="007C3B9D">
        <w:rPr>
          <w:rFonts w:cs="Calibri"/>
          <w:lang w:val="en-AU"/>
        </w:rPr>
        <w:t>’’. This level of endorsement reinforces Australia’s credibility in ASEAN and lays a foundation for future, more complex collaborative efforts.</w:t>
      </w:r>
    </w:p>
    <w:p w14:paraId="0DEFFD4E" w14:textId="667A7D9B" w:rsidR="00980523" w:rsidRPr="007C3B9D" w:rsidRDefault="00980523" w:rsidP="00903D77">
      <w:pPr>
        <w:spacing w:after="120" w:line="276" w:lineRule="auto"/>
        <w:jc w:val="both"/>
        <w:rPr>
          <w:rFonts w:cs="Calibri"/>
          <w:lang w:val="en-AU"/>
        </w:rPr>
      </w:pPr>
      <w:r w:rsidRPr="007C3B9D">
        <w:rPr>
          <w:rFonts w:cs="Calibri"/>
          <w:lang w:val="en-AU"/>
        </w:rPr>
        <w:t>APSP has also worked to integrate Australian academic and institutional expertise into their partnership with ASEAN, including the Australian National Centre for Ocean Resources and Security (ANCORS) within the University of Wollongong</w:t>
      </w:r>
      <w:r w:rsidRPr="007C3B9D">
        <w:rPr>
          <w:rStyle w:val="FootnoteReference"/>
          <w:rFonts w:cs="Calibri"/>
          <w:lang w:val="en-AU"/>
        </w:rPr>
        <w:footnoteReference w:id="25"/>
      </w:r>
      <w:r w:rsidRPr="007C3B9D">
        <w:rPr>
          <w:rFonts w:cs="Calibri"/>
          <w:lang w:val="en-AU"/>
        </w:rPr>
        <w:t>, and the Commonwealth Scientific and Industrial Research Organisation (CSIRO)</w:t>
      </w:r>
      <w:r w:rsidRPr="007C3B9D">
        <w:rPr>
          <w:rStyle w:val="FootnoteReference"/>
          <w:rFonts w:cs="Calibri"/>
          <w:lang w:val="en-AU"/>
        </w:rPr>
        <w:footnoteReference w:id="26"/>
      </w:r>
      <w:r w:rsidRPr="007C3B9D">
        <w:rPr>
          <w:rFonts w:cs="Calibri"/>
          <w:lang w:val="en-AU"/>
        </w:rPr>
        <w:t xml:space="preserve"> bring years of research and field experience that can be adapted to meet ASEAN’s unique security needs. </w:t>
      </w:r>
      <w:r w:rsidR="00D45F92" w:rsidRPr="007C3B9D">
        <w:rPr>
          <w:lang w:val="en-AU"/>
        </w:rPr>
        <w:t xml:space="preserve">CSIRO partnered with APSP as a renowned Australian research </w:t>
      </w:r>
      <w:r w:rsidR="00D45F92" w:rsidRPr="007C3B9D">
        <w:rPr>
          <w:lang w:val="en-AU"/>
        </w:rPr>
        <w:lastRenderedPageBreak/>
        <w:t xml:space="preserve">institution to provide research and technical assistance on combating marine plastic pollution, aligning with broader maritime security and environmental sustainability goals in the ASEAN region. For its part, </w:t>
      </w:r>
      <w:r w:rsidRPr="007C3B9D">
        <w:rPr>
          <w:rFonts w:cs="Calibri"/>
          <w:lang w:val="en-AU"/>
        </w:rPr>
        <w:t>ANCORS</w:t>
      </w:r>
      <w:r w:rsidR="00D45F92" w:rsidRPr="007C3B9D">
        <w:rPr>
          <w:rFonts w:cs="Calibri"/>
          <w:lang w:val="en-AU"/>
        </w:rPr>
        <w:t xml:space="preserve"> </w:t>
      </w:r>
      <w:r w:rsidRPr="007C3B9D">
        <w:rPr>
          <w:rFonts w:cs="Calibri"/>
          <w:lang w:val="en-AU"/>
        </w:rPr>
        <w:t>has applied its Indo-Pacific experience to address issues of maritime security and resource management, underscoring the value of leveraging existing institutional strengths, with one representative emphasising that ‘</w:t>
      </w:r>
      <w:r w:rsidRPr="007C3B9D">
        <w:rPr>
          <w:rFonts w:cs="Calibri"/>
          <w:i/>
          <w:iCs/>
          <w:lang w:val="en-AU"/>
        </w:rPr>
        <w:t>ANCORS has worked throughout the Indo-Pacific region for many years; this is not new territory, and with our resources, it’s something we can tailor as needed’</w:t>
      </w:r>
      <w:r w:rsidRPr="007C3B9D">
        <w:rPr>
          <w:rFonts w:cs="Calibri"/>
          <w:lang w:val="en-AU"/>
        </w:rPr>
        <w:t xml:space="preserve">. Expanding academic and institutional engagement within APSP not only strengthens technical expertise but also underscores Australia’s long-term commitment to the region, creating enduring educational and operational ties. Incidentally, academic and institutional engagement would also serve to showcase Australia’s growing education sector, a key national industry, particularly given its increasing presence in the Southeast Asian region. </w:t>
      </w:r>
    </w:p>
    <w:p w14:paraId="4AD5647D" w14:textId="1F3B428D" w:rsidR="00980523" w:rsidRPr="007C3B9D" w:rsidRDefault="00980523" w:rsidP="00903D77">
      <w:pPr>
        <w:spacing w:after="120" w:line="276" w:lineRule="auto"/>
        <w:jc w:val="both"/>
        <w:rPr>
          <w:rFonts w:cs="Calibri"/>
          <w:lang w:val="en-AU"/>
        </w:rPr>
      </w:pPr>
      <w:r w:rsidRPr="007C3B9D">
        <w:rPr>
          <w:rFonts w:cs="Calibri"/>
          <w:i/>
          <w:iCs/>
          <w:color w:val="0F4761" w:themeColor="accent1" w:themeShade="BF"/>
          <w:lang w:val="en-AU"/>
        </w:rPr>
        <w:t>Engagement with ASEAN Secretariat and sectoral bodies:</w:t>
      </w:r>
      <w:r w:rsidRPr="007C3B9D">
        <w:rPr>
          <w:rFonts w:cs="Calibri"/>
          <w:i/>
          <w:iCs/>
          <w:color w:val="E97132" w:themeColor="accent2"/>
          <w:lang w:val="en-AU"/>
        </w:rPr>
        <w:t xml:space="preserve"> </w:t>
      </w:r>
      <w:r w:rsidRPr="007C3B9D">
        <w:rPr>
          <w:rFonts w:cs="Calibri"/>
          <w:lang w:val="en-AU"/>
        </w:rPr>
        <w:t xml:space="preserve">The APSP’s engagement with the ASEAN Secretariat and sectoral bodies has proven instrumental in creating initiatives that ASEAN member states recognise as regionally relevant. </w:t>
      </w:r>
      <w:r w:rsidR="00D45F92" w:rsidRPr="007C3B9D">
        <w:rPr>
          <w:lang w:val="en-AU"/>
        </w:rPr>
        <w:t>For each proposed activity, APSP collaborates with an AMS co-chair, ensuring the topic aligns with both ASEAN-wide priorities and the co-chair’s national or sectoral objectives</w:t>
      </w:r>
      <w:r w:rsidR="00D45F92" w:rsidRPr="007C3B9D">
        <w:rPr>
          <w:rFonts w:cs="Calibri"/>
          <w:lang w:val="en-AU"/>
        </w:rPr>
        <w:t xml:space="preserve">. </w:t>
      </w:r>
      <w:r w:rsidRPr="007C3B9D">
        <w:rPr>
          <w:rFonts w:cs="Calibri"/>
          <w:lang w:val="en-AU"/>
        </w:rPr>
        <w:t>By working within these established frameworks, APSP activities are formally acknowledged as ASEAN-led, lending them regional legitimacy and fostering a sense of shared ownership among member states. However, engagement through ASEAN mechanisms also introduces challenges. While some member states actively participate in sectoral activities, one DFAT represented indicated the risk that others may deprioritise these engagements due to differing national agendas or limited resources. Such reliance on ASEAN sectoral bodies highlights the necessity of aligning APSP initiatives closely with ASEAN’s evolving priorities, since those that resonate with ASEAN’s official stance are more likely to achieve robust engagement. Addressing potential gaps would improve program continuity, potentially making APSP programs more attractive and ensuring the buy-in of all ASEAN member states.</w:t>
      </w:r>
    </w:p>
    <w:p w14:paraId="777CF05D" w14:textId="00A78EB8" w:rsidR="00980523" w:rsidRPr="007C3B9D" w:rsidRDefault="00980523" w:rsidP="00903D77">
      <w:pPr>
        <w:spacing w:after="120" w:line="276" w:lineRule="auto"/>
        <w:jc w:val="both"/>
        <w:rPr>
          <w:rFonts w:cs="Calibri"/>
          <w:lang w:val="en-AU"/>
        </w:rPr>
      </w:pPr>
      <w:r w:rsidRPr="007C3B9D">
        <w:rPr>
          <w:rFonts w:cs="Calibri"/>
          <w:i/>
          <w:iCs/>
          <w:color w:val="0F4761" w:themeColor="accent1" w:themeShade="BF"/>
          <w:lang w:val="en-AU"/>
        </w:rPr>
        <w:t>Private sector engagement</w:t>
      </w:r>
      <w:r w:rsidRPr="007C3B9D">
        <w:rPr>
          <w:rFonts w:cs="Calibri"/>
          <w:color w:val="0F4761" w:themeColor="accent1" w:themeShade="BF"/>
          <w:lang w:val="en-AU"/>
        </w:rPr>
        <w:t xml:space="preserve">: </w:t>
      </w:r>
      <w:r w:rsidRPr="007C3B9D">
        <w:rPr>
          <w:rFonts w:cs="Calibri"/>
          <w:lang w:val="en-AU"/>
        </w:rPr>
        <w:t xml:space="preserve">For </w:t>
      </w:r>
      <w:proofErr w:type="gramStart"/>
      <w:r w:rsidRPr="007C3B9D">
        <w:rPr>
          <w:rFonts w:cs="Calibri"/>
          <w:lang w:val="en-AU"/>
        </w:rPr>
        <w:t>a number of</w:t>
      </w:r>
      <w:proofErr w:type="gramEnd"/>
      <w:r w:rsidRPr="007C3B9D">
        <w:rPr>
          <w:rFonts w:cs="Calibri"/>
          <w:lang w:val="en-AU"/>
        </w:rPr>
        <w:t xml:space="preserve"> political security sectors, there is considerable scope for increased engagement with the private sector. For example, cybersecurity has emerged as a particularly vital area for cross-sectoral collaboration. Given the dynamic and rapidly evolving nature of cyber threats, APSP will need to find ways to incorporate greater industry involvement, recognising that private sector insights and technical capabilities are essential for addressing cybersecurity challenges effectively. The AFP has advocated for enhanced industry engagement in cyber initiatives, indicating that they are actively exploring ways to outsource certain technical components and integrate leading-edge knowledge from Australia’s top universities</w:t>
      </w:r>
      <w:r w:rsidR="000B619D" w:rsidRPr="007C3B9D">
        <w:rPr>
          <w:rFonts w:cs="Calibri"/>
          <w:lang w:val="en-AU"/>
        </w:rPr>
        <w:t>, stating that</w:t>
      </w:r>
      <w:r w:rsidRPr="007C3B9D">
        <w:rPr>
          <w:rFonts w:cs="Calibri"/>
          <w:lang w:val="en-AU"/>
        </w:rPr>
        <w:t xml:space="preserve"> ‘</w:t>
      </w:r>
      <w:r w:rsidR="000B619D" w:rsidRPr="007C3B9D">
        <w:rPr>
          <w:rFonts w:cs="Calibri"/>
          <w:i/>
          <w:iCs/>
          <w:lang w:val="en-AU"/>
        </w:rPr>
        <w:t>w</w:t>
      </w:r>
      <w:r w:rsidRPr="007C3B9D">
        <w:rPr>
          <w:rFonts w:cs="Calibri"/>
          <w:i/>
          <w:iCs/>
          <w:lang w:val="en-AU"/>
        </w:rPr>
        <w:t>ith cyber, industry engagement is critical, and we are considering outsourcing. Universities in Australia, like the University of New South Wales, are doing excellent work in this area</w:t>
      </w:r>
      <w:r w:rsidRPr="007C3B9D">
        <w:rPr>
          <w:rFonts w:cs="Calibri"/>
          <w:lang w:val="en-AU"/>
        </w:rPr>
        <w:t>.’ Expanding industry involvement in APSP initiatives could significantly enhance the program’s impact in cybersecurity and other highly</w:t>
      </w:r>
      <w:r w:rsidR="000B619D" w:rsidRPr="007C3B9D">
        <w:rPr>
          <w:rFonts w:cs="Calibri"/>
          <w:lang w:val="en-AU"/>
        </w:rPr>
        <w:t xml:space="preserve"> </w:t>
      </w:r>
      <w:r w:rsidRPr="007C3B9D">
        <w:rPr>
          <w:rFonts w:cs="Calibri"/>
          <w:lang w:val="en-AU"/>
        </w:rPr>
        <w:t>technical areas.</w:t>
      </w:r>
    </w:p>
    <w:p w14:paraId="658B87D7" w14:textId="720177A3" w:rsidR="00450DA7" w:rsidRPr="007C3B9D" w:rsidRDefault="00450DA7" w:rsidP="00BD68A1">
      <w:pPr>
        <w:spacing w:before="360"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JC2.2 Australian and ASEAN participants recogn</w:t>
      </w:r>
      <w:r w:rsidR="008332B1" w:rsidRPr="007C3B9D">
        <w:rPr>
          <w:rFonts w:cstheme="minorHAnsi"/>
          <w:i/>
          <w:iCs/>
          <w:color w:val="0F4761" w:themeColor="accent1" w:themeShade="BF"/>
          <w:lang w:val="en-AU"/>
        </w:rPr>
        <w:t>is</w:t>
      </w:r>
      <w:r w:rsidRPr="007C3B9D">
        <w:rPr>
          <w:rFonts w:cstheme="minorHAnsi"/>
          <w:i/>
          <w:iCs/>
          <w:color w:val="0F4761" w:themeColor="accent1" w:themeShade="BF"/>
          <w:lang w:val="en-AU"/>
        </w:rPr>
        <w:t xml:space="preserve">e the reciprocal dimension of learning and knowledge exchange. </w:t>
      </w:r>
    </w:p>
    <w:p w14:paraId="561FA521" w14:textId="7EB111E3" w:rsidR="00980523" w:rsidRPr="007C3B9D" w:rsidRDefault="00980523" w:rsidP="00903D77">
      <w:pPr>
        <w:spacing w:after="120" w:line="276" w:lineRule="auto"/>
        <w:jc w:val="both"/>
        <w:rPr>
          <w:rFonts w:cs="Calibri"/>
          <w:lang w:val="en-AU"/>
        </w:rPr>
      </w:pPr>
      <w:r w:rsidRPr="007C3B9D">
        <w:rPr>
          <w:rFonts w:cs="Calibri"/>
          <w:lang w:val="en-AU"/>
        </w:rPr>
        <w:t xml:space="preserve">APSP has established itself as a significant platform for mutual engagement between ASEAN and </w:t>
      </w:r>
      <w:r w:rsidR="00141A80" w:rsidRPr="007C3B9D">
        <w:rPr>
          <w:rFonts w:cs="Calibri"/>
          <w:lang w:val="en-AU"/>
        </w:rPr>
        <w:t>OGD</w:t>
      </w:r>
      <w:r w:rsidR="007D064A" w:rsidRPr="007C3B9D">
        <w:rPr>
          <w:rFonts w:cs="Calibri"/>
          <w:lang w:val="en-AU"/>
        </w:rPr>
        <w:t xml:space="preserve"> </w:t>
      </w:r>
      <w:r w:rsidRPr="007C3B9D">
        <w:rPr>
          <w:rFonts w:cs="Calibri"/>
          <w:lang w:val="en-AU"/>
        </w:rPr>
        <w:t>in the political security domain. By facilitating collaborative knowledge exchange, APSP not only strengthens operational expertise and regional security but also fosters a deeper understanding of shared challenges and solutions.</w:t>
      </w:r>
    </w:p>
    <w:p w14:paraId="170EB63D" w14:textId="77777777" w:rsidR="00980523" w:rsidRPr="007C3B9D" w:rsidRDefault="00980523" w:rsidP="00903D77">
      <w:pPr>
        <w:spacing w:after="120" w:line="276" w:lineRule="auto"/>
        <w:rPr>
          <w:b/>
          <w:bCs/>
          <w:color w:val="0F4761" w:themeColor="accent1" w:themeShade="BF"/>
          <w:lang w:val="en-AU"/>
        </w:rPr>
      </w:pPr>
      <w:r w:rsidRPr="007C3B9D">
        <w:rPr>
          <w:b/>
          <w:bCs/>
          <w:color w:val="0F4761" w:themeColor="accent1" w:themeShade="BF"/>
          <w:lang w:val="en-AU"/>
        </w:rPr>
        <w:t>Operational and strategic benefits</w:t>
      </w:r>
    </w:p>
    <w:p w14:paraId="2A71EE12" w14:textId="77777777" w:rsidR="00980523" w:rsidRPr="007C3B9D" w:rsidRDefault="00980523" w:rsidP="00903D77">
      <w:pPr>
        <w:spacing w:after="120" w:line="276" w:lineRule="auto"/>
        <w:jc w:val="both"/>
        <w:rPr>
          <w:rFonts w:cs="Calibri"/>
          <w:lang w:val="en-AU"/>
        </w:rPr>
      </w:pPr>
      <w:r w:rsidRPr="007C3B9D">
        <w:rPr>
          <w:rFonts w:cs="Calibri"/>
          <w:lang w:val="en-AU"/>
        </w:rPr>
        <w:lastRenderedPageBreak/>
        <w:t>One of the core strengths of APSP has been its ability to create a platform for reciprocal learning, where both Australian and ASEAN participants gain valuable insights. Stakeholders highlighted the operational benefits of the program, not only in terms of sharing Australian expertise but also in learning from ASEAN counterparts, thus reflecting the program’s role in fostering two-way exchanges of knowledge that go beyond mere technical training, enhancing both operational efficiency and diplomatic relations.</w:t>
      </w:r>
    </w:p>
    <w:p w14:paraId="6FC6ECF2" w14:textId="77777777" w:rsidR="00980523" w:rsidRPr="007C3B9D" w:rsidRDefault="00980523" w:rsidP="00903D77">
      <w:pPr>
        <w:spacing w:after="120" w:line="276" w:lineRule="auto"/>
        <w:jc w:val="both"/>
        <w:rPr>
          <w:rFonts w:cs="Calibri"/>
          <w:lang w:val="en-AU"/>
        </w:rPr>
      </w:pPr>
      <w:r w:rsidRPr="007C3B9D">
        <w:rPr>
          <w:rFonts w:cs="Calibri"/>
          <w:lang w:val="en-AU"/>
        </w:rPr>
        <w:t>The workshops and collaborative activities organised under APSP further illustrate how reciprocal learning fosters operational improvements on both sides, providing opportunities to understand diverse regional security challenges and solutions, adding a layer of practical and strategic insight to their work. These reciprocal benefits contribute to a more comprehensive and nuanced approach to regional security, as both Australian and ASEAN participants bring unique perspectives and experiences to the table.</w:t>
      </w:r>
    </w:p>
    <w:p w14:paraId="3D7CF9E6" w14:textId="64B17BF7" w:rsidR="00980523" w:rsidRPr="007C3B9D" w:rsidRDefault="00980523" w:rsidP="0035461D">
      <w:pPr>
        <w:pStyle w:val="Heading3"/>
      </w:pPr>
      <w:r w:rsidRPr="007C3B9D">
        <w:t>Leveraging sectoral expertise</w:t>
      </w:r>
    </w:p>
    <w:p w14:paraId="7E8BBB4D" w14:textId="13E62686" w:rsidR="00980523" w:rsidRPr="007C3B9D" w:rsidRDefault="00980523" w:rsidP="00903D77">
      <w:pPr>
        <w:spacing w:after="120" w:line="276" w:lineRule="auto"/>
        <w:jc w:val="both"/>
        <w:rPr>
          <w:rFonts w:cs="Calibri"/>
          <w:b/>
          <w:bCs/>
          <w:lang w:val="en-AU"/>
        </w:rPr>
      </w:pPr>
      <w:r w:rsidRPr="007C3B9D">
        <w:rPr>
          <w:rFonts w:cs="Calibri"/>
          <w:lang w:val="en-AU"/>
        </w:rPr>
        <w:t xml:space="preserve">The APSP’s engagement with specialised institutions, as indicated above, exemplifies how reciprocal knowledge exchange is achieved by leveraging sectoral expertise, allowing ASEAN members to benefit from Australia’s specialised knowledge, while Australian representatives benefit from the opportunity to adapt their approaches based on ASEAN’s unique security concerns and regional dynamics. </w:t>
      </w:r>
      <w:r w:rsidR="000A710B" w:rsidRPr="007C3B9D">
        <w:rPr>
          <w:lang w:val="en-AU"/>
        </w:rPr>
        <w:t xml:space="preserve">As a key example, APSP facilitated two knowledge-exchange sessions between the ASEAN Women for Peace Registry (AWPR) and the Australian Civil Society Coalition on WPS in July 2023 and October 2024, offering valuable insights into implementing WPS in both regional and national contexts. </w:t>
      </w:r>
      <w:r w:rsidR="00F26133" w:rsidRPr="007C3B9D">
        <w:rPr>
          <w:lang w:val="en-AU"/>
        </w:rPr>
        <w:t>AWPR found the first exchange in July 2023 was very useful on sharing experiences and lessons learned in implementing the ASEAN RPA-WPS and NAPs-WPS. This was then followed up with a second exchange in Manila in October 2024.</w:t>
      </w:r>
      <w:r w:rsidR="005641A4" w:rsidRPr="007C3B9D">
        <w:rPr>
          <w:lang w:val="en-AU"/>
        </w:rPr>
        <w:t xml:space="preserve"> </w:t>
      </w:r>
      <w:r w:rsidR="000A710B" w:rsidRPr="007C3B9D">
        <w:rPr>
          <w:lang w:val="en-AU"/>
        </w:rPr>
        <w:t xml:space="preserve">Through such </w:t>
      </w:r>
      <w:r w:rsidR="005641A4" w:rsidRPr="007C3B9D">
        <w:rPr>
          <w:lang w:val="en-AU"/>
        </w:rPr>
        <w:t xml:space="preserve">iterative </w:t>
      </w:r>
      <w:r w:rsidR="000A710B" w:rsidRPr="007C3B9D">
        <w:rPr>
          <w:lang w:val="en-AU"/>
        </w:rPr>
        <w:t xml:space="preserve">exchanges, </w:t>
      </w:r>
      <w:r w:rsidRPr="007C3B9D">
        <w:rPr>
          <w:rFonts w:cs="Calibri"/>
          <w:lang w:val="en-AU"/>
        </w:rPr>
        <w:t>Australian institutions also gain a deeper understanding of the regional security landscape, allowing them to tailor their approaches to the political and operational realities of ASEAN. This underscores the bidirectional nature of learning within APSP, where Australian expertise is shared, helping ASEAN members build capacity in critical areas, but also enhanced by insights gained from ASEAN participants.</w:t>
      </w:r>
      <w:r w:rsidRPr="007C3B9D">
        <w:rPr>
          <w:rFonts w:cs="Calibri"/>
          <w:b/>
          <w:bCs/>
          <w:lang w:val="en-AU"/>
        </w:rPr>
        <w:t xml:space="preserve"> </w:t>
      </w:r>
    </w:p>
    <w:p w14:paraId="519D7581" w14:textId="77777777" w:rsidR="00980523" w:rsidRPr="007C3B9D" w:rsidRDefault="00980523" w:rsidP="0035461D">
      <w:pPr>
        <w:pStyle w:val="Heading3"/>
      </w:pPr>
      <w:r w:rsidRPr="007C3B9D">
        <w:t>Mutual recognition of strategic priorities</w:t>
      </w:r>
    </w:p>
    <w:p w14:paraId="20B1AB5C" w14:textId="77777777" w:rsidR="00980523" w:rsidRPr="007C3B9D" w:rsidRDefault="00980523" w:rsidP="00903D77">
      <w:pPr>
        <w:spacing w:after="120" w:line="276" w:lineRule="auto"/>
        <w:jc w:val="both"/>
        <w:rPr>
          <w:rFonts w:cs="Calibri"/>
          <w:lang w:val="en-AU"/>
        </w:rPr>
      </w:pPr>
      <w:r w:rsidRPr="007C3B9D">
        <w:rPr>
          <w:rFonts w:cs="Calibri"/>
          <w:lang w:val="en-AU"/>
        </w:rPr>
        <w:t>The reciprocal dimension of APSP is evident not only in technical and operational exchanges but also in the alignment of strategic priorities. APSP has focused on core issues that remain central to ASEAN’s security framework, and by working collaboratively in these areas, Australian and ASEAN participants have been able to recognise shared priorities, strengthening the foundation for mutual capacity building. This alignment of priorities facilitates reciprocal knowledge exchange, as Australian participants gain insight into ASEAN’s strategic direction, while ASEAN members benefit from Australia’s experience in addressing these issues on national and regional levels.</w:t>
      </w:r>
    </w:p>
    <w:p w14:paraId="5B07A590" w14:textId="40811FD7" w:rsidR="00980523" w:rsidRPr="007C3B9D" w:rsidRDefault="00980523" w:rsidP="0035461D">
      <w:pPr>
        <w:pStyle w:val="Heading3"/>
      </w:pPr>
      <w:r w:rsidRPr="007C3B9D">
        <w:t>ASEAN’s convening power</w:t>
      </w:r>
    </w:p>
    <w:p w14:paraId="4F67678B" w14:textId="77777777" w:rsidR="00980523" w:rsidRPr="007C3B9D" w:rsidRDefault="00980523" w:rsidP="00903D77">
      <w:pPr>
        <w:spacing w:after="120" w:line="276" w:lineRule="auto"/>
        <w:jc w:val="both"/>
        <w:rPr>
          <w:rFonts w:cs="Calibri"/>
          <w:lang w:val="en-AU"/>
        </w:rPr>
      </w:pPr>
      <w:r w:rsidRPr="007C3B9D">
        <w:rPr>
          <w:rFonts w:cs="Calibri"/>
          <w:lang w:val="en-AU"/>
        </w:rPr>
        <w:t xml:space="preserve">ASEAN’s convening power has added significant value to APSP by bringing together the right stakeholders for effective knowledge exchange. Through this role, ASEAN has facilitated discussions that allow Australian and ASEAN participants to engage with a broad range of security professionals, enhancing the scope and depth of reciprocal learning.   ASEAN’s role as a convener not only increases engagement opportunities but also provides a framework for addressing regional security concerns </w:t>
      </w:r>
      <w:r w:rsidRPr="007C3B9D">
        <w:rPr>
          <w:rFonts w:cs="Calibri"/>
          <w:lang w:val="en-AU"/>
        </w:rPr>
        <w:lastRenderedPageBreak/>
        <w:t>in a coordinated manner. This has been particularly valuable in areas like maritime security and cybersecurity, where regional collaboration is essential.</w:t>
      </w:r>
    </w:p>
    <w:p w14:paraId="4CFC1E5B" w14:textId="434111C5" w:rsidR="00980523" w:rsidRPr="007C3B9D" w:rsidRDefault="00980523" w:rsidP="0035461D">
      <w:pPr>
        <w:pStyle w:val="Heading3"/>
      </w:pPr>
      <w:r w:rsidRPr="007C3B9D">
        <w:t>Challenges</w:t>
      </w:r>
    </w:p>
    <w:p w14:paraId="28E5E86D" w14:textId="6A083E2E" w:rsidR="001957EC" w:rsidRPr="007C3B9D" w:rsidRDefault="00980523" w:rsidP="00903D77">
      <w:pPr>
        <w:spacing w:after="120" w:line="276" w:lineRule="auto"/>
        <w:jc w:val="both"/>
        <w:rPr>
          <w:rFonts w:cs="Calibri"/>
          <w:lang w:val="en-AU"/>
        </w:rPr>
      </w:pPr>
      <w:r w:rsidRPr="007C3B9D">
        <w:rPr>
          <w:rFonts w:cs="Calibri"/>
          <w:lang w:val="en-AU"/>
        </w:rPr>
        <w:t>The limited involvement of OGDs, as described above, remains an ongoing challenge in fully realising the reciprocal potential of learning and knowledge exchange, as it has somewhat restricted the diversity of perspectives and expertise available to ASEAN counterparts, and limited the scope of bidirectional learning, as ASEAN participants primarily interact with a narrower subset of Australian expertise</w:t>
      </w:r>
      <w:r w:rsidR="004463A5" w:rsidRPr="007C3B9D">
        <w:rPr>
          <w:rFonts w:cs="Calibri"/>
          <w:lang w:val="en-AU"/>
        </w:rPr>
        <w:t xml:space="preserve"> (see also </w:t>
      </w:r>
      <w:r w:rsidR="004463A5" w:rsidRPr="007C3B9D">
        <w:rPr>
          <w:rFonts w:cs="Calibri"/>
          <w:i/>
          <w:iCs/>
          <w:lang w:val="en-AU"/>
        </w:rPr>
        <w:t>Effectiveness</w:t>
      </w:r>
      <w:r w:rsidR="004463A5" w:rsidRPr="007C3B9D">
        <w:rPr>
          <w:rFonts w:cs="Calibri"/>
          <w:lang w:val="en-AU"/>
        </w:rPr>
        <w:t xml:space="preserve"> below and </w:t>
      </w:r>
      <w:r w:rsidR="004463A5" w:rsidRPr="007C3B9D">
        <w:rPr>
          <w:rFonts w:cs="Calibri"/>
          <w:i/>
          <w:iCs/>
          <w:lang w:val="en-AU"/>
        </w:rPr>
        <w:t xml:space="preserve">Annex </w:t>
      </w:r>
      <w:r w:rsidR="001F0627" w:rsidRPr="007C3B9D">
        <w:rPr>
          <w:rFonts w:cs="Calibri"/>
          <w:i/>
          <w:iCs/>
          <w:lang w:val="en-AU"/>
        </w:rPr>
        <w:t>6</w:t>
      </w:r>
      <w:r w:rsidR="004463A5" w:rsidRPr="007C3B9D">
        <w:rPr>
          <w:rFonts w:cs="Calibri"/>
          <w:lang w:val="en-AU"/>
        </w:rPr>
        <w:t xml:space="preserve"> (OG</w:t>
      </w:r>
      <w:r w:rsidR="00C24DC2" w:rsidRPr="007C3B9D">
        <w:rPr>
          <w:rFonts w:cs="Calibri"/>
          <w:lang w:val="en-AU"/>
        </w:rPr>
        <w:t>D</w:t>
      </w:r>
      <w:r w:rsidR="004463A5" w:rsidRPr="007C3B9D">
        <w:rPr>
          <w:rFonts w:cs="Calibri"/>
          <w:lang w:val="en-AU"/>
        </w:rPr>
        <w:t xml:space="preserve"> Case-Study))</w:t>
      </w:r>
      <w:r w:rsidRPr="007C3B9D">
        <w:rPr>
          <w:rFonts w:cs="Calibri"/>
          <w:lang w:val="en-AU"/>
        </w:rPr>
        <w:t>.</w:t>
      </w:r>
    </w:p>
    <w:p w14:paraId="150B0EAF" w14:textId="237ABEEA" w:rsidR="00450DA7" w:rsidRPr="007C3B9D" w:rsidRDefault="00450DA7" w:rsidP="00446279">
      <w:pPr>
        <w:pStyle w:val="Heading2"/>
      </w:pPr>
      <w:bookmarkStart w:id="15" w:name="_Toc206492265"/>
      <w:r w:rsidRPr="007C3B9D">
        <w:t>Efficiency</w:t>
      </w:r>
      <w:bookmarkEnd w:id="15"/>
    </w:p>
    <w:p w14:paraId="0D7CAB30" w14:textId="02C009D6" w:rsidR="00450DA7" w:rsidRPr="007C3B9D" w:rsidRDefault="00450DA7" w:rsidP="00903D77">
      <w:pPr>
        <w:spacing w:after="120" w:line="276" w:lineRule="auto"/>
        <w:jc w:val="both"/>
        <w:rPr>
          <w:rFonts w:cstheme="minorHAnsi"/>
          <w:b/>
          <w:bCs/>
          <w:i/>
          <w:iCs/>
          <w:color w:val="0F4761" w:themeColor="accent1" w:themeShade="BF"/>
          <w:lang w:val="en-AU"/>
        </w:rPr>
      </w:pPr>
      <w:r w:rsidRPr="007C3B9D">
        <w:rPr>
          <w:rFonts w:cstheme="minorHAnsi"/>
          <w:b/>
          <w:bCs/>
          <w:i/>
          <w:iCs/>
          <w:color w:val="0F4761" w:themeColor="accent1" w:themeShade="BF"/>
          <w:lang w:val="en-AU"/>
        </w:rPr>
        <w:t>EQ3 – How well and efficient were the resources allocated to support ASEAN and Australia priorities and cross-sectoral and multi-sectoral approaches in program implementation?</w:t>
      </w:r>
    </w:p>
    <w:p w14:paraId="62B8A1E0" w14:textId="2044691F" w:rsidR="000E799F" w:rsidRPr="007C3B9D" w:rsidRDefault="000E799F" w:rsidP="00903D77">
      <w:pPr>
        <w:spacing w:after="120" w:line="276" w:lineRule="auto"/>
        <w:jc w:val="both"/>
        <w:rPr>
          <w:lang w:val="en-AU"/>
        </w:rPr>
      </w:pPr>
      <w:r w:rsidRPr="007C3B9D">
        <w:rPr>
          <w:lang w:val="en-AU"/>
        </w:rPr>
        <w:t xml:space="preserve">The program has been </w:t>
      </w:r>
      <w:r w:rsidR="008332B1" w:rsidRPr="007C3B9D">
        <w:rPr>
          <w:lang w:val="en-AU"/>
        </w:rPr>
        <w:t xml:space="preserve">largely </w:t>
      </w:r>
      <w:r w:rsidRPr="007C3B9D">
        <w:rPr>
          <w:lang w:val="en-AU"/>
        </w:rPr>
        <w:t xml:space="preserve">efficient, in the sense that TAF has made good use of APSP resources to pursue the program goals, and that its management of APSP (under the direction of the Australian Mission to ASEAN and in consultation with ASEC) has been responsive to changing circumstances, and pro-active in engaging stakeholders. </w:t>
      </w:r>
      <w:r w:rsidR="008332B1" w:rsidRPr="007C3B9D">
        <w:rPr>
          <w:lang w:val="en-AU"/>
        </w:rPr>
        <w:t>Overall</w:t>
      </w:r>
      <w:r w:rsidRPr="007C3B9D">
        <w:rPr>
          <w:lang w:val="en-AU"/>
        </w:rPr>
        <w:t xml:space="preserve">, TAF’s efficient management of the program constitutes added value for both DFAT and ASEAN in the pursuit of political security partnership. </w:t>
      </w:r>
    </w:p>
    <w:p w14:paraId="092CB79C" w14:textId="4AAE5E69" w:rsidR="00450DA7" w:rsidRPr="007C3B9D" w:rsidRDefault="00450DA7" w:rsidP="00A868FE">
      <w:pPr>
        <w:spacing w:before="240"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JC3.1 The program makes appropriate use of human and financial resources in relation to both EOIOs in the program.</w:t>
      </w:r>
    </w:p>
    <w:p w14:paraId="2DAA5B5B" w14:textId="6F483950" w:rsidR="00B81514" w:rsidRDefault="000E799F" w:rsidP="00903D77">
      <w:pPr>
        <w:spacing w:after="120" w:line="276" w:lineRule="auto"/>
        <w:jc w:val="both"/>
        <w:rPr>
          <w:lang w:val="en-AU"/>
        </w:rPr>
      </w:pPr>
      <w:r w:rsidRPr="007C3B9D">
        <w:rPr>
          <w:lang w:val="en-AU"/>
        </w:rPr>
        <w:t>The table below summar</w:t>
      </w:r>
      <w:r w:rsidR="008332B1" w:rsidRPr="007C3B9D">
        <w:rPr>
          <w:lang w:val="en-AU"/>
        </w:rPr>
        <w:t>is</w:t>
      </w:r>
      <w:r w:rsidRPr="007C3B9D">
        <w:rPr>
          <w:lang w:val="en-AU"/>
        </w:rPr>
        <w:t>es the broad areas of APSP expenditure, according to financial reports submitted by TAF to DFAT:</w:t>
      </w:r>
    </w:p>
    <w:tbl>
      <w:tblPr>
        <w:tblStyle w:val="TableGrid"/>
        <w:tblW w:w="0" w:type="auto"/>
        <w:jc w:val="cente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ook w:val="04A0" w:firstRow="1" w:lastRow="0" w:firstColumn="1" w:lastColumn="0" w:noHBand="0" w:noVBand="1"/>
      </w:tblPr>
      <w:tblGrid>
        <w:gridCol w:w="1689"/>
        <w:gridCol w:w="1192"/>
        <w:gridCol w:w="1691"/>
        <w:gridCol w:w="1573"/>
        <w:gridCol w:w="1633"/>
        <w:gridCol w:w="1238"/>
      </w:tblGrid>
      <w:tr w:rsidR="008332B1" w:rsidRPr="007C3B9D" w14:paraId="75029603" w14:textId="77777777" w:rsidTr="00B81514">
        <w:trPr>
          <w:jc w:val="center"/>
        </w:trPr>
        <w:tc>
          <w:tcPr>
            <w:tcW w:w="1689" w:type="dxa"/>
            <w:shd w:val="clear" w:color="auto" w:fill="156082" w:themeFill="accent1"/>
          </w:tcPr>
          <w:p w14:paraId="62F0D8B9" w14:textId="31D8718A" w:rsidR="000E799F" w:rsidRPr="007C3B9D" w:rsidRDefault="00B81514" w:rsidP="00903D77">
            <w:pPr>
              <w:spacing w:after="120" w:line="276" w:lineRule="auto"/>
              <w:jc w:val="center"/>
              <w:rPr>
                <w:b/>
                <w:bCs/>
                <w:color w:val="DAE9F7" w:themeColor="text2" w:themeTint="1A"/>
                <w:lang w:val="en-AU"/>
              </w:rPr>
            </w:pPr>
            <w:r>
              <w:rPr>
                <w:lang w:val="en-AU"/>
              </w:rPr>
              <w:br w:type="page"/>
            </w:r>
            <w:r w:rsidR="000E799F" w:rsidRPr="007C3B9D">
              <w:rPr>
                <w:b/>
                <w:bCs/>
                <w:color w:val="DAE9F7" w:themeColor="text2" w:themeTint="1A"/>
                <w:lang w:val="en-AU"/>
              </w:rPr>
              <w:t>Period</w:t>
            </w:r>
          </w:p>
        </w:tc>
        <w:tc>
          <w:tcPr>
            <w:tcW w:w="1192" w:type="dxa"/>
            <w:shd w:val="clear" w:color="auto" w:fill="156082" w:themeFill="accent1"/>
          </w:tcPr>
          <w:p w14:paraId="4CB71589" w14:textId="77777777" w:rsidR="000E799F" w:rsidRPr="007C3B9D" w:rsidRDefault="000E799F" w:rsidP="00903D77">
            <w:pPr>
              <w:spacing w:after="120" w:line="276" w:lineRule="auto"/>
              <w:jc w:val="center"/>
              <w:rPr>
                <w:b/>
                <w:bCs/>
                <w:color w:val="DAE9F7" w:themeColor="text2" w:themeTint="1A"/>
                <w:lang w:val="en-AU"/>
              </w:rPr>
            </w:pPr>
            <w:r w:rsidRPr="007C3B9D">
              <w:rPr>
                <w:b/>
                <w:bCs/>
                <w:color w:val="DAE9F7" w:themeColor="text2" w:themeTint="1A"/>
                <w:lang w:val="en-AU"/>
              </w:rPr>
              <w:t>TAF Staff</w:t>
            </w:r>
          </w:p>
        </w:tc>
        <w:tc>
          <w:tcPr>
            <w:tcW w:w="1691" w:type="dxa"/>
            <w:shd w:val="clear" w:color="auto" w:fill="156082" w:themeFill="accent1"/>
          </w:tcPr>
          <w:p w14:paraId="26C20AED" w14:textId="77777777" w:rsidR="000E799F" w:rsidRPr="007C3B9D" w:rsidRDefault="000E799F" w:rsidP="00903D77">
            <w:pPr>
              <w:spacing w:after="120" w:line="276" w:lineRule="auto"/>
              <w:jc w:val="center"/>
              <w:rPr>
                <w:b/>
                <w:bCs/>
                <w:color w:val="DAE9F7" w:themeColor="text2" w:themeTint="1A"/>
                <w:lang w:val="en-AU"/>
              </w:rPr>
            </w:pPr>
            <w:r w:rsidRPr="007C3B9D">
              <w:rPr>
                <w:b/>
                <w:bCs/>
                <w:color w:val="DAE9F7" w:themeColor="text2" w:themeTint="1A"/>
                <w:lang w:val="en-AU"/>
              </w:rPr>
              <w:t>Consultants</w:t>
            </w:r>
          </w:p>
        </w:tc>
        <w:tc>
          <w:tcPr>
            <w:tcW w:w="1573" w:type="dxa"/>
            <w:shd w:val="clear" w:color="auto" w:fill="156082" w:themeFill="accent1"/>
          </w:tcPr>
          <w:p w14:paraId="7D29FDFC" w14:textId="77777777" w:rsidR="000E799F" w:rsidRPr="007C3B9D" w:rsidRDefault="000E799F" w:rsidP="00903D77">
            <w:pPr>
              <w:spacing w:after="120" w:line="276" w:lineRule="auto"/>
              <w:jc w:val="center"/>
              <w:rPr>
                <w:b/>
                <w:bCs/>
                <w:color w:val="DAE9F7" w:themeColor="text2" w:themeTint="1A"/>
                <w:lang w:val="en-AU"/>
              </w:rPr>
            </w:pPr>
            <w:r w:rsidRPr="007C3B9D">
              <w:rPr>
                <w:b/>
                <w:bCs/>
                <w:color w:val="DAE9F7" w:themeColor="text2" w:themeTint="1A"/>
                <w:lang w:val="en-AU"/>
              </w:rPr>
              <w:t>Activities</w:t>
            </w:r>
          </w:p>
        </w:tc>
        <w:tc>
          <w:tcPr>
            <w:tcW w:w="1633" w:type="dxa"/>
            <w:shd w:val="clear" w:color="auto" w:fill="156082" w:themeFill="accent1"/>
          </w:tcPr>
          <w:p w14:paraId="4F01AF39" w14:textId="77777777" w:rsidR="000E799F" w:rsidRPr="007C3B9D" w:rsidRDefault="000E799F" w:rsidP="00903D77">
            <w:pPr>
              <w:spacing w:after="120" w:line="276" w:lineRule="auto"/>
              <w:jc w:val="center"/>
              <w:rPr>
                <w:b/>
                <w:bCs/>
                <w:color w:val="DAE9F7" w:themeColor="text2" w:themeTint="1A"/>
                <w:lang w:val="en-AU"/>
              </w:rPr>
            </w:pPr>
            <w:r w:rsidRPr="007C3B9D">
              <w:rPr>
                <w:b/>
                <w:bCs/>
                <w:color w:val="DAE9F7" w:themeColor="text2" w:themeTint="1A"/>
                <w:lang w:val="en-AU"/>
              </w:rPr>
              <w:t>TAF operations</w:t>
            </w:r>
          </w:p>
        </w:tc>
        <w:tc>
          <w:tcPr>
            <w:tcW w:w="1238" w:type="dxa"/>
            <w:shd w:val="clear" w:color="auto" w:fill="156082" w:themeFill="accent1"/>
          </w:tcPr>
          <w:p w14:paraId="0EABEF28" w14:textId="77777777" w:rsidR="000E799F" w:rsidRPr="007C3B9D" w:rsidRDefault="000E799F" w:rsidP="00903D77">
            <w:pPr>
              <w:spacing w:after="120" w:line="276" w:lineRule="auto"/>
              <w:jc w:val="center"/>
              <w:rPr>
                <w:b/>
                <w:bCs/>
                <w:color w:val="DAE9F7" w:themeColor="text2" w:themeTint="1A"/>
                <w:lang w:val="en-AU"/>
              </w:rPr>
            </w:pPr>
            <w:r w:rsidRPr="007C3B9D">
              <w:rPr>
                <w:b/>
                <w:bCs/>
                <w:color w:val="DAE9F7" w:themeColor="text2" w:themeTint="1A"/>
                <w:lang w:val="en-AU"/>
              </w:rPr>
              <w:t>Total</w:t>
            </w:r>
          </w:p>
        </w:tc>
      </w:tr>
      <w:tr w:rsidR="000E799F" w:rsidRPr="007C3B9D" w14:paraId="4C7E7FCE" w14:textId="77777777" w:rsidTr="00B81514">
        <w:trPr>
          <w:jc w:val="center"/>
        </w:trPr>
        <w:tc>
          <w:tcPr>
            <w:tcW w:w="1689" w:type="dxa"/>
          </w:tcPr>
          <w:p w14:paraId="7F41F20A" w14:textId="4AAE1470" w:rsidR="000E799F" w:rsidRPr="007C3B9D" w:rsidRDefault="000E799F" w:rsidP="00903D77">
            <w:pPr>
              <w:spacing w:after="120" w:line="276" w:lineRule="auto"/>
              <w:jc w:val="center"/>
              <w:rPr>
                <w:lang w:val="en-AU"/>
              </w:rPr>
            </w:pPr>
            <w:r w:rsidRPr="007C3B9D">
              <w:rPr>
                <w:lang w:val="en-AU"/>
              </w:rPr>
              <w:t xml:space="preserve">Cumulative </w:t>
            </w:r>
            <w:r w:rsidR="008332B1" w:rsidRPr="007C3B9D">
              <w:rPr>
                <w:lang w:val="en-AU"/>
              </w:rPr>
              <w:t>to</w:t>
            </w:r>
            <w:r w:rsidRPr="007C3B9D">
              <w:rPr>
                <w:lang w:val="en-AU"/>
              </w:rPr>
              <w:t xml:space="preserve"> 07/31/24</w:t>
            </w:r>
          </w:p>
        </w:tc>
        <w:tc>
          <w:tcPr>
            <w:tcW w:w="1192" w:type="dxa"/>
          </w:tcPr>
          <w:p w14:paraId="1FEF5AB4" w14:textId="77777777" w:rsidR="000E799F" w:rsidRPr="007C3B9D" w:rsidRDefault="000E799F" w:rsidP="00903D77">
            <w:pPr>
              <w:spacing w:after="120" w:line="276" w:lineRule="auto"/>
              <w:jc w:val="center"/>
              <w:rPr>
                <w:lang w:val="en-AU"/>
              </w:rPr>
            </w:pPr>
            <w:r w:rsidRPr="007C3B9D">
              <w:rPr>
                <w:lang w:val="en-AU"/>
              </w:rPr>
              <w:t>1,635</w:t>
            </w:r>
          </w:p>
          <w:p w14:paraId="3C77629D" w14:textId="77777777" w:rsidR="000E799F" w:rsidRPr="007C3B9D" w:rsidRDefault="000E799F" w:rsidP="00903D77">
            <w:pPr>
              <w:spacing w:after="120" w:line="276" w:lineRule="auto"/>
              <w:jc w:val="center"/>
              <w:rPr>
                <w:lang w:val="en-AU"/>
              </w:rPr>
            </w:pPr>
            <w:r w:rsidRPr="007C3B9D">
              <w:rPr>
                <w:lang w:val="en-AU"/>
              </w:rPr>
              <w:t>29%</w:t>
            </w:r>
          </w:p>
        </w:tc>
        <w:tc>
          <w:tcPr>
            <w:tcW w:w="1691" w:type="dxa"/>
          </w:tcPr>
          <w:p w14:paraId="4B0EF5DB" w14:textId="77777777" w:rsidR="000E799F" w:rsidRPr="007C3B9D" w:rsidRDefault="000E799F" w:rsidP="00903D77">
            <w:pPr>
              <w:spacing w:after="120" w:line="276" w:lineRule="auto"/>
              <w:jc w:val="center"/>
              <w:rPr>
                <w:lang w:val="en-AU"/>
              </w:rPr>
            </w:pPr>
            <w:r w:rsidRPr="007C3B9D">
              <w:rPr>
                <w:lang w:val="en-AU"/>
              </w:rPr>
              <w:t>125</w:t>
            </w:r>
          </w:p>
          <w:p w14:paraId="17FA9DB7" w14:textId="77777777" w:rsidR="000E799F" w:rsidRPr="007C3B9D" w:rsidRDefault="000E799F" w:rsidP="00903D77">
            <w:pPr>
              <w:spacing w:after="120" w:line="276" w:lineRule="auto"/>
              <w:jc w:val="center"/>
              <w:rPr>
                <w:lang w:val="en-AU"/>
              </w:rPr>
            </w:pPr>
            <w:r w:rsidRPr="007C3B9D">
              <w:rPr>
                <w:lang w:val="en-AU"/>
              </w:rPr>
              <w:t>2%</w:t>
            </w:r>
          </w:p>
        </w:tc>
        <w:tc>
          <w:tcPr>
            <w:tcW w:w="1573" w:type="dxa"/>
          </w:tcPr>
          <w:p w14:paraId="04813014" w14:textId="77777777" w:rsidR="000E799F" w:rsidRPr="007C3B9D" w:rsidRDefault="000E799F" w:rsidP="00903D77">
            <w:pPr>
              <w:spacing w:after="120" w:line="276" w:lineRule="auto"/>
              <w:jc w:val="center"/>
              <w:rPr>
                <w:lang w:val="en-AU"/>
              </w:rPr>
            </w:pPr>
            <w:r w:rsidRPr="007C3B9D">
              <w:rPr>
                <w:lang w:val="en-AU"/>
              </w:rPr>
              <w:t>3,051</w:t>
            </w:r>
          </w:p>
          <w:p w14:paraId="6B1E2463" w14:textId="77777777" w:rsidR="000E799F" w:rsidRPr="007C3B9D" w:rsidRDefault="000E799F" w:rsidP="00903D77">
            <w:pPr>
              <w:spacing w:after="120" w:line="276" w:lineRule="auto"/>
              <w:jc w:val="center"/>
              <w:rPr>
                <w:lang w:val="en-AU"/>
              </w:rPr>
            </w:pPr>
            <w:r w:rsidRPr="007C3B9D">
              <w:rPr>
                <w:lang w:val="en-AU"/>
              </w:rPr>
              <w:t>54%</w:t>
            </w:r>
          </w:p>
        </w:tc>
        <w:tc>
          <w:tcPr>
            <w:tcW w:w="1633" w:type="dxa"/>
          </w:tcPr>
          <w:p w14:paraId="7E66E1D9" w14:textId="77777777" w:rsidR="000E799F" w:rsidRPr="007C3B9D" w:rsidRDefault="000E799F" w:rsidP="00903D77">
            <w:pPr>
              <w:spacing w:after="120" w:line="276" w:lineRule="auto"/>
              <w:jc w:val="center"/>
              <w:rPr>
                <w:lang w:val="en-AU"/>
              </w:rPr>
            </w:pPr>
            <w:r w:rsidRPr="007C3B9D">
              <w:rPr>
                <w:lang w:val="en-AU"/>
              </w:rPr>
              <w:t>868</w:t>
            </w:r>
          </w:p>
          <w:p w14:paraId="4BF333A6" w14:textId="77777777" w:rsidR="000E799F" w:rsidRPr="007C3B9D" w:rsidRDefault="000E799F" w:rsidP="00903D77">
            <w:pPr>
              <w:spacing w:after="120" w:line="276" w:lineRule="auto"/>
              <w:jc w:val="center"/>
              <w:rPr>
                <w:lang w:val="en-AU"/>
              </w:rPr>
            </w:pPr>
            <w:r w:rsidRPr="007C3B9D">
              <w:rPr>
                <w:lang w:val="en-AU"/>
              </w:rPr>
              <w:t>15%</w:t>
            </w:r>
          </w:p>
        </w:tc>
        <w:tc>
          <w:tcPr>
            <w:tcW w:w="1238" w:type="dxa"/>
          </w:tcPr>
          <w:p w14:paraId="4C113DD9" w14:textId="77777777" w:rsidR="000E799F" w:rsidRPr="007C3B9D" w:rsidRDefault="000E799F" w:rsidP="00903D77">
            <w:pPr>
              <w:spacing w:after="120" w:line="276" w:lineRule="auto"/>
              <w:jc w:val="center"/>
              <w:rPr>
                <w:b/>
                <w:bCs/>
                <w:lang w:val="en-AU"/>
              </w:rPr>
            </w:pPr>
            <w:r w:rsidRPr="007C3B9D">
              <w:rPr>
                <w:b/>
                <w:bCs/>
                <w:lang w:val="en-AU"/>
              </w:rPr>
              <w:t>5,679</w:t>
            </w:r>
          </w:p>
        </w:tc>
      </w:tr>
      <w:tr w:rsidR="000E799F" w:rsidRPr="007C3B9D" w14:paraId="0E83D555" w14:textId="77777777" w:rsidTr="00B81514">
        <w:trPr>
          <w:jc w:val="center"/>
        </w:trPr>
        <w:tc>
          <w:tcPr>
            <w:tcW w:w="1689" w:type="dxa"/>
          </w:tcPr>
          <w:p w14:paraId="2BF9D0BD" w14:textId="696A330A" w:rsidR="000E799F" w:rsidRPr="007C3B9D" w:rsidRDefault="000E799F" w:rsidP="00903D77">
            <w:pPr>
              <w:spacing w:after="120" w:line="276" w:lineRule="auto"/>
              <w:jc w:val="center"/>
              <w:rPr>
                <w:lang w:val="en-AU"/>
              </w:rPr>
            </w:pPr>
            <w:r w:rsidRPr="007C3B9D">
              <w:rPr>
                <w:lang w:val="en-AU"/>
              </w:rPr>
              <w:t>Forecast 08/24</w:t>
            </w:r>
            <w:r w:rsidR="008332B1" w:rsidRPr="007C3B9D">
              <w:rPr>
                <w:lang w:val="en-AU"/>
              </w:rPr>
              <w:t xml:space="preserve"> – </w:t>
            </w:r>
            <w:r w:rsidRPr="007C3B9D">
              <w:rPr>
                <w:lang w:val="en-AU"/>
              </w:rPr>
              <w:t>04/25</w:t>
            </w:r>
            <w:r w:rsidR="008332B1" w:rsidRPr="007C3B9D">
              <w:rPr>
                <w:lang w:val="en-AU"/>
              </w:rPr>
              <w:t xml:space="preserve"> </w:t>
            </w:r>
          </w:p>
        </w:tc>
        <w:tc>
          <w:tcPr>
            <w:tcW w:w="1192" w:type="dxa"/>
          </w:tcPr>
          <w:p w14:paraId="29C9A067" w14:textId="77777777" w:rsidR="000E799F" w:rsidRPr="007C3B9D" w:rsidRDefault="000E799F" w:rsidP="00903D77">
            <w:pPr>
              <w:spacing w:after="120" w:line="276" w:lineRule="auto"/>
              <w:jc w:val="center"/>
              <w:rPr>
                <w:lang w:val="en-AU"/>
              </w:rPr>
            </w:pPr>
            <w:r w:rsidRPr="007C3B9D">
              <w:rPr>
                <w:lang w:val="en-AU"/>
              </w:rPr>
              <w:t>430</w:t>
            </w:r>
          </w:p>
          <w:p w14:paraId="371B5CAB" w14:textId="77777777" w:rsidR="000E799F" w:rsidRPr="007C3B9D" w:rsidRDefault="000E799F" w:rsidP="00903D77">
            <w:pPr>
              <w:spacing w:after="120" w:line="276" w:lineRule="auto"/>
              <w:jc w:val="center"/>
              <w:rPr>
                <w:lang w:val="en-AU"/>
              </w:rPr>
            </w:pPr>
            <w:r w:rsidRPr="007C3B9D">
              <w:rPr>
                <w:lang w:val="en-AU"/>
              </w:rPr>
              <w:t>11%</w:t>
            </w:r>
          </w:p>
        </w:tc>
        <w:tc>
          <w:tcPr>
            <w:tcW w:w="1691" w:type="dxa"/>
          </w:tcPr>
          <w:p w14:paraId="2FBEF060" w14:textId="77777777" w:rsidR="000E799F" w:rsidRPr="007C3B9D" w:rsidRDefault="000E799F" w:rsidP="00903D77">
            <w:pPr>
              <w:spacing w:after="120" w:line="276" w:lineRule="auto"/>
              <w:jc w:val="center"/>
              <w:rPr>
                <w:lang w:val="en-AU"/>
              </w:rPr>
            </w:pPr>
            <w:r w:rsidRPr="007C3B9D">
              <w:rPr>
                <w:lang w:val="en-AU"/>
              </w:rPr>
              <w:t>0</w:t>
            </w:r>
          </w:p>
          <w:p w14:paraId="4B186E10" w14:textId="77777777" w:rsidR="000E799F" w:rsidRPr="007C3B9D" w:rsidRDefault="000E799F" w:rsidP="00903D77">
            <w:pPr>
              <w:spacing w:after="120" w:line="276" w:lineRule="auto"/>
              <w:jc w:val="center"/>
              <w:rPr>
                <w:lang w:val="en-AU"/>
              </w:rPr>
            </w:pPr>
            <w:r w:rsidRPr="007C3B9D">
              <w:rPr>
                <w:lang w:val="en-AU"/>
              </w:rPr>
              <w:t>0%</w:t>
            </w:r>
          </w:p>
        </w:tc>
        <w:tc>
          <w:tcPr>
            <w:tcW w:w="1573" w:type="dxa"/>
          </w:tcPr>
          <w:p w14:paraId="034337D4" w14:textId="77777777" w:rsidR="000E799F" w:rsidRPr="007C3B9D" w:rsidRDefault="000E799F" w:rsidP="00903D77">
            <w:pPr>
              <w:spacing w:after="120" w:line="276" w:lineRule="auto"/>
              <w:jc w:val="center"/>
              <w:rPr>
                <w:lang w:val="en-AU"/>
              </w:rPr>
            </w:pPr>
            <w:r w:rsidRPr="007C3B9D">
              <w:rPr>
                <w:lang w:val="en-AU"/>
              </w:rPr>
              <w:t>2,910</w:t>
            </w:r>
          </w:p>
          <w:p w14:paraId="44C17597" w14:textId="77777777" w:rsidR="000E799F" w:rsidRPr="007C3B9D" w:rsidRDefault="000E799F" w:rsidP="00903D77">
            <w:pPr>
              <w:spacing w:after="120" w:line="276" w:lineRule="auto"/>
              <w:jc w:val="center"/>
              <w:rPr>
                <w:lang w:val="en-AU"/>
              </w:rPr>
            </w:pPr>
            <w:r w:rsidRPr="007C3B9D">
              <w:rPr>
                <w:lang w:val="en-AU"/>
              </w:rPr>
              <w:t>73%</w:t>
            </w:r>
          </w:p>
        </w:tc>
        <w:tc>
          <w:tcPr>
            <w:tcW w:w="1633" w:type="dxa"/>
          </w:tcPr>
          <w:p w14:paraId="4CC8F6D3" w14:textId="77777777" w:rsidR="000E799F" w:rsidRPr="007C3B9D" w:rsidRDefault="000E799F" w:rsidP="00903D77">
            <w:pPr>
              <w:spacing w:after="120" w:line="276" w:lineRule="auto"/>
              <w:jc w:val="center"/>
              <w:rPr>
                <w:lang w:val="en-AU"/>
              </w:rPr>
            </w:pPr>
            <w:r w:rsidRPr="007C3B9D">
              <w:rPr>
                <w:lang w:val="en-AU"/>
              </w:rPr>
              <w:t>631</w:t>
            </w:r>
          </w:p>
          <w:p w14:paraId="54B1ECBE" w14:textId="77777777" w:rsidR="000E799F" w:rsidRPr="007C3B9D" w:rsidRDefault="000E799F" w:rsidP="00903D77">
            <w:pPr>
              <w:spacing w:after="120" w:line="276" w:lineRule="auto"/>
              <w:jc w:val="center"/>
              <w:rPr>
                <w:lang w:val="en-AU"/>
              </w:rPr>
            </w:pPr>
            <w:r w:rsidRPr="007C3B9D">
              <w:rPr>
                <w:lang w:val="en-AU"/>
              </w:rPr>
              <w:t>16%</w:t>
            </w:r>
          </w:p>
        </w:tc>
        <w:tc>
          <w:tcPr>
            <w:tcW w:w="1238" w:type="dxa"/>
          </w:tcPr>
          <w:p w14:paraId="48D42B09" w14:textId="77777777" w:rsidR="000E799F" w:rsidRPr="007C3B9D" w:rsidRDefault="000E799F" w:rsidP="00903D77">
            <w:pPr>
              <w:spacing w:after="120" w:line="276" w:lineRule="auto"/>
              <w:jc w:val="center"/>
              <w:rPr>
                <w:b/>
                <w:bCs/>
                <w:lang w:val="en-AU"/>
              </w:rPr>
            </w:pPr>
            <w:r w:rsidRPr="007C3B9D">
              <w:rPr>
                <w:b/>
                <w:bCs/>
                <w:lang w:val="en-AU"/>
              </w:rPr>
              <w:t>3,971</w:t>
            </w:r>
          </w:p>
        </w:tc>
      </w:tr>
      <w:tr w:rsidR="000E799F" w:rsidRPr="007C3B9D" w14:paraId="3791D997" w14:textId="77777777" w:rsidTr="00B81514">
        <w:trPr>
          <w:trHeight w:val="596"/>
          <w:jc w:val="center"/>
        </w:trPr>
        <w:tc>
          <w:tcPr>
            <w:tcW w:w="1689" w:type="dxa"/>
          </w:tcPr>
          <w:p w14:paraId="622AFA28" w14:textId="3691D373" w:rsidR="000E799F" w:rsidRPr="007C3B9D" w:rsidRDefault="000E799F" w:rsidP="00903D77">
            <w:pPr>
              <w:spacing w:after="120" w:line="276" w:lineRule="auto"/>
              <w:jc w:val="center"/>
              <w:rPr>
                <w:b/>
                <w:bCs/>
                <w:lang w:val="en-AU"/>
              </w:rPr>
            </w:pPr>
            <w:r w:rsidRPr="007C3B9D">
              <w:rPr>
                <w:b/>
                <w:bCs/>
                <w:lang w:val="en-AU"/>
              </w:rPr>
              <w:t>Sub-total</w:t>
            </w:r>
            <w:r w:rsidR="008332B1" w:rsidRPr="007C3B9D">
              <w:rPr>
                <w:b/>
                <w:bCs/>
                <w:lang w:val="en-AU"/>
              </w:rPr>
              <w:t xml:space="preserve"> a</w:t>
            </w:r>
            <w:r w:rsidRPr="007C3B9D">
              <w:rPr>
                <w:b/>
                <w:bCs/>
                <w:lang w:val="en-AU"/>
              </w:rPr>
              <w:t>s % of total</w:t>
            </w:r>
          </w:p>
        </w:tc>
        <w:tc>
          <w:tcPr>
            <w:tcW w:w="1192" w:type="dxa"/>
          </w:tcPr>
          <w:p w14:paraId="25CBAEDE" w14:textId="77777777" w:rsidR="000E799F" w:rsidRPr="007C3B9D" w:rsidRDefault="000E799F" w:rsidP="00903D77">
            <w:pPr>
              <w:spacing w:after="120" w:line="276" w:lineRule="auto"/>
              <w:jc w:val="center"/>
              <w:rPr>
                <w:b/>
                <w:bCs/>
                <w:lang w:val="en-AU"/>
              </w:rPr>
            </w:pPr>
            <w:r w:rsidRPr="007C3B9D">
              <w:rPr>
                <w:b/>
                <w:bCs/>
                <w:lang w:val="en-AU"/>
              </w:rPr>
              <w:t>2,065</w:t>
            </w:r>
          </w:p>
          <w:p w14:paraId="1200486D" w14:textId="77777777" w:rsidR="000E799F" w:rsidRPr="007C3B9D" w:rsidRDefault="000E799F" w:rsidP="00903D77">
            <w:pPr>
              <w:spacing w:after="120" w:line="276" w:lineRule="auto"/>
              <w:jc w:val="center"/>
              <w:rPr>
                <w:b/>
                <w:bCs/>
                <w:lang w:val="en-AU"/>
              </w:rPr>
            </w:pPr>
            <w:r w:rsidRPr="007C3B9D">
              <w:rPr>
                <w:b/>
                <w:bCs/>
                <w:lang w:val="en-AU"/>
              </w:rPr>
              <w:t>21%</w:t>
            </w:r>
          </w:p>
        </w:tc>
        <w:tc>
          <w:tcPr>
            <w:tcW w:w="1691" w:type="dxa"/>
          </w:tcPr>
          <w:p w14:paraId="2FE745E8" w14:textId="77777777" w:rsidR="000E799F" w:rsidRPr="007C3B9D" w:rsidRDefault="000E799F" w:rsidP="00903D77">
            <w:pPr>
              <w:spacing w:after="120" w:line="276" w:lineRule="auto"/>
              <w:jc w:val="center"/>
              <w:rPr>
                <w:b/>
                <w:bCs/>
                <w:lang w:val="en-AU"/>
              </w:rPr>
            </w:pPr>
            <w:r w:rsidRPr="007C3B9D">
              <w:rPr>
                <w:b/>
                <w:bCs/>
                <w:lang w:val="en-AU"/>
              </w:rPr>
              <w:t>125</w:t>
            </w:r>
          </w:p>
          <w:p w14:paraId="5671939F" w14:textId="77777777" w:rsidR="000E799F" w:rsidRPr="007C3B9D" w:rsidRDefault="000E799F" w:rsidP="00903D77">
            <w:pPr>
              <w:spacing w:after="120" w:line="276" w:lineRule="auto"/>
              <w:jc w:val="center"/>
              <w:rPr>
                <w:b/>
                <w:bCs/>
                <w:lang w:val="en-AU"/>
              </w:rPr>
            </w:pPr>
            <w:r w:rsidRPr="007C3B9D">
              <w:rPr>
                <w:b/>
                <w:bCs/>
                <w:lang w:val="en-AU"/>
              </w:rPr>
              <w:t>1%</w:t>
            </w:r>
          </w:p>
        </w:tc>
        <w:tc>
          <w:tcPr>
            <w:tcW w:w="1573" w:type="dxa"/>
          </w:tcPr>
          <w:p w14:paraId="5E391965" w14:textId="77777777" w:rsidR="000E799F" w:rsidRPr="007C3B9D" w:rsidRDefault="000E799F" w:rsidP="00903D77">
            <w:pPr>
              <w:spacing w:after="120" w:line="276" w:lineRule="auto"/>
              <w:jc w:val="center"/>
              <w:rPr>
                <w:b/>
                <w:bCs/>
                <w:lang w:val="en-AU"/>
              </w:rPr>
            </w:pPr>
            <w:r w:rsidRPr="007C3B9D">
              <w:rPr>
                <w:b/>
                <w:bCs/>
                <w:lang w:val="en-AU"/>
              </w:rPr>
              <w:t>5,961</w:t>
            </w:r>
          </w:p>
          <w:p w14:paraId="4F902157" w14:textId="77777777" w:rsidR="000E799F" w:rsidRPr="007C3B9D" w:rsidRDefault="000E799F" w:rsidP="00903D77">
            <w:pPr>
              <w:spacing w:after="120" w:line="276" w:lineRule="auto"/>
              <w:jc w:val="center"/>
              <w:rPr>
                <w:b/>
                <w:bCs/>
                <w:lang w:val="en-AU"/>
              </w:rPr>
            </w:pPr>
            <w:r w:rsidRPr="007C3B9D">
              <w:rPr>
                <w:b/>
                <w:bCs/>
                <w:lang w:val="en-AU"/>
              </w:rPr>
              <w:t>62%</w:t>
            </w:r>
          </w:p>
        </w:tc>
        <w:tc>
          <w:tcPr>
            <w:tcW w:w="1633" w:type="dxa"/>
          </w:tcPr>
          <w:p w14:paraId="675BE4CA" w14:textId="77777777" w:rsidR="000E799F" w:rsidRPr="007C3B9D" w:rsidRDefault="000E799F" w:rsidP="00903D77">
            <w:pPr>
              <w:spacing w:after="120" w:line="276" w:lineRule="auto"/>
              <w:jc w:val="center"/>
              <w:rPr>
                <w:b/>
                <w:bCs/>
                <w:lang w:val="en-AU"/>
              </w:rPr>
            </w:pPr>
            <w:r w:rsidRPr="007C3B9D">
              <w:rPr>
                <w:b/>
                <w:bCs/>
                <w:lang w:val="en-AU"/>
              </w:rPr>
              <w:t>1,499</w:t>
            </w:r>
          </w:p>
          <w:p w14:paraId="4B64FF96" w14:textId="77777777" w:rsidR="000E799F" w:rsidRPr="007C3B9D" w:rsidRDefault="000E799F" w:rsidP="00903D77">
            <w:pPr>
              <w:spacing w:after="120" w:line="276" w:lineRule="auto"/>
              <w:jc w:val="center"/>
              <w:rPr>
                <w:b/>
                <w:bCs/>
                <w:lang w:val="en-AU"/>
              </w:rPr>
            </w:pPr>
            <w:r w:rsidRPr="007C3B9D">
              <w:rPr>
                <w:b/>
                <w:bCs/>
                <w:lang w:val="en-AU"/>
              </w:rPr>
              <w:t>16%</w:t>
            </w:r>
          </w:p>
        </w:tc>
        <w:tc>
          <w:tcPr>
            <w:tcW w:w="1238" w:type="dxa"/>
          </w:tcPr>
          <w:p w14:paraId="7CADEE09" w14:textId="77777777" w:rsidR="000E799F" w:rsidRPr="007C3B9D" w:rsidRDefault="000E799F" w:rsidP="00903D77">
            <w:pPr>
              <w:spacing w:after="120" w:line="276" w:lineRule="auto"/>
              <w:jc w:val="center"/>
              <w:rPr>
                <w:b/>
                <w:bCs/>
                <w:lang w:val="en-AU"/>
              </w:rPr>
            </w:pPr>
            <w:r w:rsidRPr="007C3B9D">
              <w:rPr>
                <w:b/>
                <w:bCs/>
                <w:lang w:val="en-AU"/>
              </w:rPr>
              <w:t>9,650</w:t>
            </w:r>
          </w:p>
        </w:tc>
      </w:tr>
    </w:tbl>
    <w:p w14:paraId="5EA1C7F7" w14:textId="0D4A85AF" w:rsidR="008332B1" w:rsidRPr="007C3B9D" w:rsidRDefault="008332B1" w:rsidP="00903D77">
      <w:pPr>
        <w:spacing w:after="120" w:line="276" w:lineRule="auto"/>
        <w:jc w:val="center"/>
        <w:rPr>
          <w:i/>
          <w:iCs/>
          <w:color w:val="0F4761" w:themeColor="accent1" w:themeShade="BF"/>
          <w:sz w:val="18"/>
          <w:szCs w:val="18"/>
          <w:lang w:val="en-AU"/>
        </w:rPr>
      </w:pPr>
      <w:r w:rsidRPr="007C3B9D">
        <w:rPr>
          <w:i/>
          <w:iCs/>
          <w:color w:val="0F4761" w:themeColor="accent1" w:themeShade="BF"/>
          <w:sz w:val="18"/>
          <w:szCs w:val="18"/>
          <w:lang w:val="en-AU"/>
        </w:rPr>
        <w:t xml:space="preserve">Figure </w:t>
      </w:r>
      <w:r w:rsidR="0049332A" w:rsidRPr="007C3B9D">
        <w:rPr>
          <w:i/>
          <w:iCs/>
          <w:color w:val="0F4761" w:themeColor="accent1" w:themeShade="BF"/>
          <w:sz w:val="18"/>
          <w:szCs w:val="18"/>
          <w:lang w:val="en-AU"/>
        </w:rPr>
        <w:t>1</w:t>
      </w:r>
      <w:r w:rsidRPr="007C3B9D">
        <w:rPr>
          <w:i/>
          <w:iCs/>
          <w:color w:val="0F4761" w:themeColor="accent1" w:themeShade="BF"/>
          <w:sz w:val="18"/>
          <w:szCs w:val="18"/>
          <w:lang w:val="en-AU"/>
        </w:rPr>
        <w:t xml:space="preserve"> APSP budget (AUD thousands.) Source: TAF Monthly Updates</w:t>
      </w:r>
    </w:p>
    <w:p w14:paraId="7155352B" w14:textId="45518037" w:rsidR="000E799F" w:rsidRPr="007C3B9D" w:rsidRDefault="008332B1" w:rsidP="00903D77">
      <w:pPr>
        <w:spacing w:after="120" w:line="276" w:lineRule="auto"/>
        <w:jc w:val="both"/>
        <w:rPr>
          <w:lang w:val="en-AU"/>
        </w:rPr>
      </w:pPr>
      <w:r w:rsidRPr="007C3B9D">
        <w:rPr>
          <w:lang w:val="en-AU"/>
        </w:rPr>
        <w:t>The following elements are observed:</w:t>
      </w:r>
    </w:p>
    <w:p w14:paraId="6CE59F1D" w14:textId="6B79D8D8" w:rsidR="000E799F" w:rsidRPr="007C3B9D" w:rsidRDefault="000E799F" w:rsidP="00B81514">
      <w:pPr>
        <w:pStyle w:val="ListParagraph"/>
        <w:numPr>
          <w:ilvl w:val="0"/>
          <w:numId w:val="24"/>
        </w:numPr>
        <w:spacing w:after="0" w:line="276" w:lineRule="auto"/>
        <w:contextualSpacing w:val="0"/>
        <w:jc w:val="both"/>
        <w:rPr>
          <w:lang w:val="en-AU"/>
        </w:rPr>
      </w:pPr>
      <w:r w:rsidRPr="007C3B9D">
        <w:rPr>
          <w:lang w:val="en-AU"/>
        </w:rPr>
        <w:t>The APSP budget is AUD</w:t>
      </w:r>
      <w:r w:rsidR="008332B1" w:rsidRPr="007C3B9D">
        <w:rPr>
          <w:lang w:val="en-AU"/>
        </w:rPr>
        <w:t xml:space="preserve"> </w:t>
      </w:r>
      <w:r w:rsidRPr="007C3B9D">
        <w:rPr>
          <w:lang w:val="en-AU"/>
        </w:rPr>
        <w:t>9.5m. The total figure in the table (AUD</w:t>
      </w:r>
      <w:r w:rsidR="008332B1" w:rsidRPr="007C3B9D">
        <w:rPr>
          <w:lang w:val="en-AU"/>
        </w:rPr>
        <w:t xml:space="preserve"> </w:t>
      </w:r>
      <w:r w:rsidRPr="007C3B9D">
        <w:rPr>
          <w:lang w:val="en-AU"/>
        </w:rPr>
        <w:t>9.65m) includes AUD</w:t>
      </w:r>
      <w:r w:rsidR="008332B1" w:rsidRPr="007C3B9D">
        <w:rPr>
          <w:lang w:val="en-AU"/>
        </w:rPr>
        <w:t xml:space="preserve"> </w:t>
      </w:r>
      <w:r w:rsidRPr="007C3B9D">
        <w:rPr>
          <w:lang w:val="en-AU"/>
        </w:rPr>
        <w:t xml:space="preserve">114,000 in unscheduled activities. Some of the scheduled activities may not take place by April 2025 due to organisational </w:t>
      </w:r>
      <w:proofErr w:type="gramStart"/>
      <w:r w:rsidRPr="007C3B9D">
        <w:rPr>
          <w:lang w:val="en-AU"/>
        </w:rPr>
        <w:t>delays</w:t>
      </w:r>
      <w:r w:rsidR="00B81514">
        <w:rPr>
          <w:lang w:val="en-AU"/>
        </w:rPr>
        <w:t>;</w:t>
      </w:r>
      <w:proofErr w:type="gramEnd"/>
    </w:p>
    <w:p w14:paraId="40161C56" w14:textId="4C2975E2" w:rsidR="000E799F" w:rsidRPr="007C3B9D" w:rsidRDefault="000E799F" w:rsidP="00903D77">
      <w:pPr>
        <w:pStyle w:val="ListParagraph"/>
        <w:numPr>
          <w:ilvl w:val="0"/>
          <w:numId w:val="24"/>
        </w:numPr>
        <w:spacing w:after="120" w:line="276" w:lineRule="auto"/>
        <w:contextualSpacing w:val="0"/>
        <w:jc w:val="both"/>
        <w:rPr>
          <w:lang w:val="en-AU"/>
        </w:rPr>
      </w:pPr>
      <w:r w:rsidRPr="007C3B9D">
        <w:rPr>
          <w:lang w:val="en-AU"/>
        </w:rPr>
        <w:t>The total budget earmarked by DFAT for APSP is AUD</w:t>
      </w:r>
      <w:r w:rsidR="008332B1" w:rsidRPr="007C3B9D">
        <w:rPr>
          <w:lang w:val="en-AU"/>
        </w:rPr>
        <w:t xml:space="preserve"> </w:t>
      </w:r>
      <w:r w:rsidRPr="007C3B9D">
        <w:rPr>
          <w:lang w:val="en-AU"/>
        </w:rPr>
        <w:t>10.5m. Of this, AUD</w:t>
      </w:r>
      <w:r w:rsidR="008332B1" w:rsidRPr="007C3B9D">
        <w:rPr>
          <w:lang w:val="en-AU"/>
        </w:rPr>
        <w:t xml:space="preserve"> </w:t>
      </w:r>
      <w:r w:rsidRPr="007C3B9D">
        <w:rPr>
          <w:lang w:val="en-AU"/>
        </w:rPr>
        <w:t>1.0m is managed directly by DFAT and is therefore not included above (the budget managed by DFAT covers its participation in APSP activities, reported grant to CSIRO, etc.).</w:t>
      </w:r>
    </w:p>
    <w:p w14:paraId="4EE40C44" w14:textId="77777777" w:rsidR="000E799F" w:rsidRPr="007C3B9D" w:rsidRDefault="000E799F" w:rsidP="00903D77">
      <w:pPr>
        <w:spacing w:after="120" w:line="276" w:lineRule="auto"/>
        <w:jc w:val="both"/>
        <w:rPr>
          <w:lang w:val="en-AU"/>
        </w:rPr>
      </w:pPr>
      <w:r w:rsidRPr="007C3B9D">
        <w:rPr>
          <w:lang w:val="en-AU"/>
        </w:rPr>
        <w:lastRenderedPageBreak/>
        <w:t>As the table indicates, APSP financial outlays until end-July 2024 have been allocated as follows, according to budget documents received:</w:t>
      </w:r>
    </w:p>
    <w:p w14:paraId="1DB759CF" w14:textId="77777777" w:rsidR="000E799F" w:rsidRPr="007C3B9D" w:rsidRDefault="000E799F" w:rsidP="00B81514">
      <w:pPr>
        <w:pStyle w:val="ListParagraph"/>
        <w:numPr>
          <w:ilvl w:val="0"/>
          <w:numId w:val="25"/>
        </w:numPr>
        <w:spacing w:after="0" w:line="276" w:lineRule="auto"/>
        <w:contextualSpacing w:val="0"/>
        <w:jc w:val="both"/>
        <w:rPr>
          <w:lang w:val="en-AU"/>
        </w:rPr>
      </w:pPr>
      <w:r w:rsidRPr="007C3B9D">
        <w:rPr>
          <w:lang w:val="en-AU"/>
        </w:rPr>
        <w:t>TAF staff costs: 29% of total expenditure till end-July 2024.</w:t>
      </w:r>
    </w:p>
    <w:p w14:paraId="1DFD0A28" w14:textId="77777777" w:rsidR="000E799F" w:rsidRPr="007C3B9D" w:rsidRDefault="000E799F" w:rsidP="00B81514">
      <w:pPr>
        <w:pStyle w:val="ListParagraph"/>
        <w:numPr>
          <w:ilvl w:val="0"/>
          <w:numId w:val="25"/>
        </w:numPr>
        <w:spacing w:after="0" w:line="276" w:lineRule="auto"/>
        <w:contextualSpacing w:val="0"/>
        <w:jc w:val="both"/>
        <w:rPr>
          <w:lang w:val="en-AU"/>
        </w:rPr>
      </w:pPr>
      <w:r w:rsidRPr="007C3B9D">
        <w:rPr>
          <w:lang w:val="en-AU"/>
        </w:rPr>
        <w:t>Consultants: 2%</w:t>
      </w:r>
    </w:p>
    <w:p w14:paraId="0F7B5D9A" w14:textId="77777777" w:rsidR="000E799F" w:rsidRPr="007C3B9D" w:rsidRDefault="000E799F" w:rsidP="00B81514">
      <w:pPr>
        <w:pStyle w:val="ListParagraph"/>
        <w:numPr>
          <w:ilvl w:val="0"/>
          <w:numId w:val="25"/>
        </w:numPr>
        <w:spacing w:after="0" w:line="276" w:lineRule="auto"/>
        <w:contextualSpacing w:val="0"/>
        <w:jc w:val="both"/>
        <w:rPr>
          <w:lang w:val="en-AU"/>
        </w:rPr>
      </w:pPr>
      <w:r w:rsidRPr="007C3B9D">
        <w:rPr>
          <w:lang w:val="en-AU"/>
        </w:rPr>
        <w:t>TAF operational costs (overheads, etc.): 15%.</w:t>
      </w:r>
    </w:p>
    <w:p w14:paraId="0AC291D9" w14:textId="77777777" w:rsidR="000E799F" w:rsidRPr="007C3B9D" w:rsidRDefault="000E799F" w:rsidP="00903D77">
      <w:pPr>
        <w:pStyle w:val="ListParagraph"/>
        <w:numPr>
          <w:ilvl w:val="0"/>
          <w:numId w:val="25"/>
        </w:numPr>
        <w:spacing w:after="120" w:line="276" w:lineRule="auto"/>
        <w:contextualSpacing w:val="0"/>
        <w:jc w:val="both"/>
        <w:rPr>
          <w:lang w:val="en-AU"/>
        </w:rPr>
      </w:pPr>
      <w:r w:rsidRPr="007C3B9D">
        <w:rPr>
          <w:lang w:val="en-AU"/>
        </w:rPr>
        <w:t>Activities: 54%.</w:t>
      </w:r>
    </w:p>
    <w:p w14:paraId="79058997" w14:textId="77777777" w:rsidR="000E799F" w:rsidRPr="007C3B9D" w:rsidRDefault="000E799F" w:rsidP="00903D77">
      <w:pPr>
        <w:spacing w:after="120" w:line="276" w:lineRule="auto"/>
        <w:jc w:val="both"/>
        <w:rPr>
          <w:lang w:val="en-AU"/>
        </w:rPr>
      </w:pPr>
      <w:r w:rsidRPr="007C3B9D">
        <w:rPr>
          <w:lang w:val="en-AU"/>
        </w:rPr>
        <w:t>These proportions are expected to be somewhat different by the time the program is completed in April 2025:</w:t>
      </w:r>
    </w:p>
    <w:p w14:paraId="647C618F" w14:textId="77777777" w:rsidR="000E799F" w:rsidRPr="007C3B9D" w:rsidRDefault="000E799F" w:rsidP="00B81514">
      <w:pPr>
        <w:pStyle w:val="ListParagraph"/>
        <w:numPr>
          <w:ilvl w:val="0"/>
          <w:numId w:val="26"/>
        </w:numPr>
        <w:spacing w:after="0" w:line="276" w:lineRule="auto"/>
        <w:contextualSpacing w:val="0"/>
        <w:jc w:val="both"/>
        <w:rPr>
          <w:lang w:val="en-AU"/>
        </w:rPr>
      </w:pPr>
      <w:r w:rsidRPr="007C3B9D">
        <w:rPr>
          <w:lang w:val="en-AU"/>
        </w:rPr>
        <w:t>TAF staff costs: 21% of total expenditure.</w:t>
      </w:r>
    </w:p>
    <w:p w14:paraId="12B7A6F5" w14:textId="77777777" w:rsidR="000E799F" w:rsidRPr="007C3B9D" w:rsidRDefault="000E799F" w:rsidP="00B81514">
      <w:pPr>
        <w:pStyle w:val="ListParagraph"/>
        <w:numPr>
          <w:ilvl w:val="0"/>
          <w:numId w:val="26"/>
        </w:numPr>
        <w:spacing w:after="0" w:line="276" w:lineRule="auto"/>
        <w:contextualSpacing w:val="0"/>
        <w:jc w:val="both"/>
        <w:rPr>
          <w:lang w:val="en-AU"/>
        </w:rPr>
      </w:pPr>
      <w:r w:rsidRPr="007C3B9D">
        <w:rPr>
          <w:lang w:val="en-AU"/>
        </w:rPr>
        <w:t>Consultants: 1%</w:t>
      </w:r>
    </w:p>
    <w:p w14:paraId="2A8CD015" w14:textId="77777777" w:rsidR="000E799F" w:rsidRPr="007C3B9D" w:rsidRDefault="000E799F" w:rsidP="00B81514">
      <w:pPr>
        <w:pStyle w:val="ListParagraph"/>
        <w:numPr>
          <w:ilvl w:val="0"/>
          <w:numId w:val="26"/>
        </w:numPr>
        <w:spacing w:after="0" w:line="276" w:lineRule="auto"/>
        <w:contextualSpacing w:val="0"/>
        <w:jc w:val="both"/>
        <w:rPr>
          <w:lang w:val="en-AU"/>
        </w:rPr>
      </w:pPr>
      <w:r w:rsidRPr="007C3B9D">
        <w:rPr>
          <w:lang w:val="en-AU"/>
        </w:rPr>
        <w:t>TAF operational costs: 16%.</w:t>
      </w:r>
    </w:p>
    <w:p w14:paraId="77178F9D" w14:textId="77777777" w:rsidR="000E799F" w:rsidRPr="007C3B9D" w:rsidRDefault="000E799F" w:rsidP="00903D77">
      <w:pPr>
        <w:pStyle w:val="ListParagraph"/>
        <w:numPr>
          <w:ilvl w:val="0"/>
          <w:numId w:val="26"/>
        </w:numPr>
        <w:spacing w:after="120" w:line="276" w:lineRule="auto"/>
        <w:contextualSpacing w:val="0"/>
        <w:jc w:val="both"/>
        <w:rPr>
          <w:lang w:val="en-AU"/>
        </w:rPr>
      </w:pPr>
      <w:r w:rsidRPr="007C3B9D">
        <w:rPr>
          <w:lang w:val="en-AU"/>
        </w:rPr>
        <w:t>Activities: 62%.</w:t>
      </w:r>
    </w:p>
    <w:p w14:paraId="19FDF8D5" w14:textId="4669F195" w:rsidR="00E510A9" w:rsidRPr="007C3B9D" w:rsidRDefault="000E799F" w:rsidP="00903D77">
      <w:pPr>
        <w:spacing w:after="120" w:line="276" w:lineRule="auto"/>
        <w:jc w:val="both"/>
        <w:rPr>
          <w:lang w:val="en-AU"/>
        </w:rPr>
      </w:pPr>
      <w:r w:rsidRPr="007C3B9D">
        <w:rPr>
          <w:lang w:val="en-AU"/>
        </w:rPr>
        <w:t xml:space="preserve">The variance between the allocation of spending </w:t>
      </w:r>
      <w:r w:rsidR="008332B1" w:rsidRPr="007C3B9D">
        <w:rPr>
          <w:lang w:val="en-AU"/>
        </w:rPr>
        <w:t>until</w:t>
      </w:r>
      <w:r w:rsidRPr="007C3B9D">
        <w:rPr>
          <w:lang w:val="en-AU"/>
        </w:rPr>
        <w:t xml:space="preserve"> July 2024 compared to the forecast overall budget </w:t>
      </w:r>
      <w:r w:rsidR="008332B1" w:rsidRPr="007C3B9D">
        <w:rPr>
          <w:lang w:val="en-AU"/>
        </w:rPr>
        <w:t>can be explained by the</w:t>
      </w:r>
      <w:r w:rsidRPr="007C3B9D">
        <w:rPr>
          <w:lang w:val="en-AU"/>
        </w:rPr>
        <w:t xml:space="preserve"> many activities </w:t>
      </w:r>
      <w:r w:rsidR="008332B1" w:rsidRPr="007C3B9D">
        <w:rPr>
          <w:lang w:val="en-AU"/>
        </w:rPr>
        <w:t xml:space="preserve">that will take </w:t>
      </w:r>
      <w:r w:rsidRPr="007C3B9D">
        <w:rPr>
          <w:lang w:val="en-AU"/>
        </w:rPr>
        <w:t>place in the program’s final months, while staffing remains stable. Activity costs therefore represent a higher proportion of program costs in these final months. At the time of writing, TAF foresees an overspend</w:t>
      </w:r>
      <w:r w:rsidR="008332B1" w:rsidRPr="007C3B9D">
        <w:rPr>
          <w:lang w:val="en-AU"/>
        </w:rPr>
        <w:t xml:space="preserve"> </w:t>
      </w:r>
      <w:r w:rsidRPr="007C3B9D">
        <w:rPr>
          <w:lang w:val="en-AU"/>
        </w:rPr>
        <w:t>of about AUD</w:t>
      </w:r>
      <w:r w:rsidR="008332B1" w:rsidRPr="007C3B9D">
        <w:rPr>
          <w:lang w:val="en-AU"/>
        </w:rPr>
        <w:t xml:space="preserve"> </w:t>
      </w:r>
      <w:r w:rsidRPr="007C3B9D">
        <w:rPr>
          <w:lang w:val="en-AU"/>
        </w:rPr>
        <w:t>150,000</w:t>
      </w:r>
      <w:r w:rsidR="008332B1" w:rsidRPr="007C3B9D">
        <w:rPr>
          <w:lang w:val="en-AU"/>
        </w:rPr>
        <w:t>,</w:t>
      </w:r>
      <w:r w:rsidRPr="007C3B9D">
        <w:rPr>
          <w:lang w:val="en-AU"/>
        </w:rPr>
        <w:t xml:space="preserve"> compared to the AUD</w:t>
      </w:r>
      <w:r w:rsidR="008332B1" w:rsidRPr="007C3B9D">
        <w:rPr>
          <w:lang w:val="en-AU"/>
        </w:rPr>
        <w:t xml:space="preserve"> </w:t>
      </w:r>
      <w:r w:rsidRPr="007C3B9D">
        <w:rPr>
          <w:lang w:val="en-AU"/>
        </w:rPr>
        <w:t>9.5m budget</w:t>
      </w:r>
      <w:r w:rsidR="008332B1" w:rsidRPr="007C3B9D">
        <w:rPr>
          <w:lang w:val="en-AU"/>
        </w:rPr>
        <w:t xml:space="preserve">, </w:t>
      </w:r>
      <w:proofErr w:type="gramStart"/>
      <w:r w:rsidRPr="007C3B9D">
        <w:rPr>
          <w:lang w:val="en-AU"/>
        </w:rPr>
        <w:t xml:space="preserve">assuming </w:t>
      </w:r>
      <w:r w:rsidR="008332B1" w:rsidRPr="007C3B9D">
        <w:rPr>
          <w:lang w:val="en-AU"/>
        </w:rPr>
        <w:t>that</w:t>
      </w:r>
      <w:proofErr w:type="gramEnd"/>
      <w:r w:rsidR="008332B1" w:rsidRPr="007C3B9D">
        <w:rPr>
          <w:lang w:val="en-AU"/>
        </w:rPr>
        <w:t xml:space="preserve"> </w:t>
      </w:r>
      <w:r w:rsidRPr="007C3B9D">
        <w:rPr>
          <w:lang w:val="en-AU"/>
        </w:rPr>
        <w:t>all proposed activities take place. In practice</w:t>
      </w:r>
      <w:r w:rsidR="00E510A9" w:rsidRPr="007C3B9D">
        <w:rPr>
          <w:lang w:val="en-AU"/>
        </w:rPr>
        <w:t>. In practice, ASEC or AMS co-chairs may not finalise endorsements in time for activities to be implemented before the program period ends, alongside other scheduling factors.</w:t>
      </w:r>
    </w:p>
    <w:p w14:paraId="4D8B6667" w14:textId="2DA2EF1B" w:rsidR="000E799F" w:rsidRPr="007C3B9D" w:rsidRDefault="000E799F" w:rsidP="00903D77">
      <w:pPr>
        <w:spacing w:after="120" w:line="276" w:lineRule="auto"/>
        <w:jc w:val="both"/>
        <w:rPr>
          <w:b/>
          <w:bCs/>
          <w:color w:val="0F4761" w:themeColor="accent1" w:themeShade="BF"/>
          <w:lang w:val="en-AU"/>
        </w:rPr>
      </w:pPr>
      <w:r w:rsidRPr="007C3B9D">
        <w:rPr>
          <w:b/>
          <w:bCs/>
          <w:color w:val="0F4761" w:themeColor="accent1" w:themeShade="BF"/>
          <w:lang w:val="en-AU"/>
        </w:rPr>
        <w:t>Consistency of budget allocation with program priorities</w:t>
      </w:r>
    </w:p>
    <w:p w14:paraId="77E46CFC" w14:textId="5E8DDF41" w:rsidR="000E799F" w:rsidRPr="007C3B9D" w:rsidRDefault="000E799F" w:rsidP="00903D77">
      <w:pPr>
        <w:spacing w:after="120" w:line="276" w:lineRule="auto"/>
        <w:jc w:val="both"/>
        <w:rPr>
          <w:lang w:val="en-AU"/>
        </w:rPr>
      </w:pPr>
      <w:r w:rsidRPr="007C3B9D">
        <w:rPr>
          <w:lang w:val="en-AU"/>
        </w:rPr>
        <w:t>As the above table shows, financial reports distinguish between personnel costs, consultancies, TAF operational costs and the cost of activities</w:t>
      </w:r>
      <w:r w:rsidR="008332B1" w:rsidRPr="007C3B9D">
        <w:rPr>
          <w:lang w:val="en-AU"/>
        </w:rPr>
        <w:t xml:space="preserve">; they </w:t>
      </w:r>
      <w:r w:rsidRPr="007C3B9D">
        <w:rPr>
          <w:lang w:val="en-AU"/>
        </w:rPr>
        <w:t xml:space="preserve">do not break activities down by pillar. The program’s overall budget </w:t>
      </w:r>
      <w:r w:rsidR="008332B1" w:rsidRPr="007C3B9D">
        <w:rPr>
          <w:lang w:val="en-AU"/>
        </w:rPr>
        <w:t xml:space="preserve">therefore </w:t>
      </w:r>
      <w:r w:rsidRPr="007C3B9D">
        <w:rPr>
          <w:lang w:val="en-AU"/>
        </w:rPr>
        <w:t xml:space="preserve">did not provide a separate allocation for each pillar (though a separate budget line existed for WPS). The table below reproduces the overall APSP budget as </w:t>
      </w:r>
      <w:r w:rsidR="008332B1" w:rsidRPr="007C3B9D">
        <w:rPr>
          <w:lang w:val="en-AU"/>
        </w:rPr>
        <w:t>of</w:t>
      </w:r>
      <w:r w:rsidRPr="007C3B9D">
        <w:rPr>
          <w:lang w:val="en-AU"/>
        </w:rPr>
        <w:t xml:space="preserve"> September 2023.</w:t>
      </w:r>
    </w:p>
    <w:p w14:paraId="5C8ABDFC" w14:textId="5A658A77" w:rsidR="000E799F" w:rsidRPr="007C3B9D" w:rsidRDefault="000E799F" w:rsidP="00B81514">
      <w:pPr>
        <w:spacing w:after="0" w:line="276" w:lineRule="auto"/>
        <w:jc w:val="center"/>
        <w:rPr>
          <w:lang w:val="en-AU"/>
        </w:rPr>
      </w:pPr>
      <w:r w:rsidRPr="007C3B9D">
        <w:rPr>
          <w:noProof/>
          <w:lang w:val="en-AU"/>
        </w:rPr>
        <w:drawing>
          <wp:inline distT="0" distB="0" distL="0" distR="0" wp14:anchorId="26584676" wp14:editId="546DAB14">
            <wp:extent cx="4489622" cy="3551189"/>
            <wp:effectExtent l="0" t="0" r="0" b="0"/>
            <wp:docPr id="1089436791" name="Grafik 1" descr="Table of APSP budget, accessible table available at Anne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36791" name="Grafik 1" descr="Table of APSP budget, accessible table available at Annex 7"/>
                    <pic:cNvPicPr/>
                  </pic:nvPicPr>
                  <pic:blipFill>
                    <a:blip r:embed="rId11"/>
                    <a:stretch>
                      <a:fillRect/>
                    </a:stretch>
                  </pic:blipFill>
                  <pic:spPr>
                    <a:xfrm>
                      <a:off x="0" y="0"/>
                      <a:ext cx="4505165" cy="3563483"/>
                    </a:xfrm>
                    <a:prstGeom prst="rect">
                      <a:avLst/>
                    </a:prstGeom>
                  </pic:spPr>
                </pic:pic>
              </a:graphicData>
            </a:graphic>
          </wp:inline>
        </w:drawing>
      </w:r>
    </w:p>
    <w:p w14:paraId="51A75AB1" w14:textId="6FE035B3" w:rsidR="000E799F" w:rsidRPr="007C3B9D" w:rsidRDefault="008332B1" w:rsidP="00903D77">
      <w:pPr>
        <w:spacing w:after="120" w:line="276" w:lineRule="auto"/>
        <w:jc w:val="center"/>
        <w:rPr>
          <w:i/>
          <w:iCs/>
          <w:color w:val="0F4761" w:themeColor="accent1" w:themeShade="BF"/>
          <w:sz w:val="18"/>
          <w:szCs w:val="18"/>
          <w:lang w:val="en-AU"/>
        </w:rPr>
      </w:pPr>
      <w:r w:rsidRPr="007C3B9D">
        <w:rPr>
          <w:i/>
          <w:iCs/>
          <w:color w:val="0F4761" w:themeColor="accent1" w:themeShade="BF"/>
          <w:sz w:val="18"/>
          <w:szCs w:val="18"/>
          <w:lang w:val="en-AU"/>
        </w:rPr>
        <w:lastRenderedPageBreak/>
        <w:t xml:space="preserve">Figure </w:t>
      </w:r>
      <w:r w:rsidR="0049332A" w:rsidRPr="007C3B9D">
        <w:rPr>
          <w:i/>
          <w:iCs/>
          <w:color w:val="0F4761" w:themeColor="accent1" w:themeShade="BF"/>
          <w:sz w:val="18"/>
          <w:szCs w:val="18"/>
          <w:lang w:val="en-AU"/>
        </w:rPr>
        <w:t>2</w:t>
      </w:r>
      <w:r w:rsidRPr="007C3B9D">
        <w:rPr>
          <w:i/>
          <w:iCs/>
          <w:color w:val="0F4761" w:themeColor="accent1" w:themeShade="BF"/>
          <w:sz w:val="18"/>
          <w:szCs w:val="18"/>
          <w:lang w:val="en-AU"/>
        </w:rPr>
        <w:t xml:space="preserve">: </w:t>
      </w:r>
      <w:r w:rsidR="000E799F" w:rsidRPr="007C3B9D">
        <w:rPr>
          <w:i/>
          <w:iCs/>
          <w:color w:val="0F4761" w:themeColor="accent1" w:themeShade="BF"/>
          <w:sz w:val="18"/>
          <w:szCs w:val="18"/>
          <w:lang w:val="en-AU"/>
        </w:rPr>
        <w:t>APSP budget as revised in September 2023. Source: Amendment 4 to Grant Agreement</w:t>
      </w:r>
    </w:p>
    <w:p w14:paraId="2088FFFA" w14:textId="51B286E4" w:rsidR="000E799F" w:rsidRPr="007C3B9D" w:rsidRDefault="000E799F" w:rsidP="00903D77">
      <w:pPr>
        <w:spacing w:after="120" w:line="276" w:lineRule="auto"/>
        <w:jc w:val="both"/>
        <w:rPr>
          <w:lang w:val="en-AU"/>
        </w:rPr>
      </w:pPr>
      <w:r w:rsidRPr="007C3B9D">
        <w:rPr>
          <w:lang w:val="en-AU"/>
        </w:rPr>
        <w:t xml:space="preserve">The program being demand-driven, it made sense not to allocate specific amounts to each pillar, though </w:t>
      </w:r>
      <w:proofErr w:type="gramStart"/>
      <w:r w:rsidRPr="007C3B9D">
        <w:rPr>
          <w:lang w:val="en-AU"/>
        </w:rPr>
        <w:t xml:space="preserve">it is clear </w:t>
      </w:r>
      <w:r w:rsidR="00CA3723" w:rsidRPr="007C3B9D">
        <w:rPr>
          <w:lang w:val="en-AU"/>
        </w:rPr>
        <w:t>that maritime</w:t>
      </w:r>
      <w:proofErr w:type="gramEnd"/>
      <w:r w:rsidR="00CA3723" w:rsidRPr="007C3B9D">
        <w:rPr>
          <w:lang w:val="en-AU"/>
        </w:rPr>
        <w:t xml:space="preserve"> security, cybersecurity and the transnational organised crime would </w:t>
      </w:r>
      <w:r w:rsidRPr="007C3B9D">
        <w:rPr>
          <w:lang w:val="en-AU"/>
        </w:rPr>
        <w:t xml:space="preserve">take up </w:t>
      </w:r>
      <w:proofErr w:type="gramStart"/>
      <w:r w:rsidRPr="007C3B9D">
        <w:rPr>
          <w:lang w:val="en-AU"/>
        </w:rPr>
        <w:t xml:space="preserve">the </w:t>
      </w:r>
      <w:r w:rsidR="00CA3723" w:rsidRPr="007C3B9D">
        <w:rPr>
          <w:lang w:val="en-AU"/>
        </w:rPr>
        <w:t>majority</w:t>
      </w:r>
      <w:r w:rsidRPr="007C3B9D">
        <w:rPr>
          <w:lang w:val="en-AU"/>
        </w:rPr>
        <w:t xml:space="preserve"> of</w:t>
      </w:r>
      <w:proofErr w:type="gramEnd"/>
      <w:r w:rsidRPr="007C3B9D">
        <w:rPr>
          <w:lang w:val="en-AU"/>
        </w:rPr>
        <w:t xml:space="preserve"> funded activities, simply because these are key ASEAN priorities. </w:t>
      </w:r>
    </w:p>
    <w:p w14:paraId="4EBFC1C5" w14:textId="578896FE" w:rsidR="000E799F" w:rsidRPr="007C3B9D" w:rsidRDefault="000E799F" w:rsidP="0035461D">
      <w:pPr>
        <w:pStyle w:val="Heading3"/>
      </w:pPr>
      <w:r w:rsidRPr="007C3B9D">
        <w:t>Costs in line with sector practice</w:t>
      </w:r>
    </w:p>
    <w:p w14:paraId="2D798EB0" w14:textId="655034BC" w:rsidR="000E799F" w:rsidRPr="007C3B9D" w:rsidRDefault="000E799F" w:rsidP="00903D77">
      <w:pPr>
        <w:spacing w:after="120" w:line="276" w:lineRule="auto"/>
        <w:jc w:val="both"/>
        <w:rPr>
          <w:lang w:val="en-AU"/>
        </w:rPr>
      </w:pPr>
      <w:r w:rsidRPr="007C3B9D">
        <w:rPr>
          <w:lang w:val="en-AU"/>
        </w:rPr>
        <w:t xml:space="preserve">Overall, the allocation of resources is fully in line with what would be expected in a </w:t>
      </w:r>
      <w:r w:rsidR="008332B1" w:rsidRPr="007C3B9D">
        <w:rPr>
          <w:lang w:val="en-AU"/>
        </w:rPr>
        <w:t>program</w:t>
      </w:r>
      <w:r w:rsidRPr="007C3B9D">
        <w:rPr>
          <w:lang w:val="en-AU"/>
        </w:rPr>
        <w:t xml:space="preserve"> of this nature: activities represent almost two-thirds of the overall budget (62%), covering event organisation, travel, accommodation, etc. Staff costs (21%) are reasonable</w:t>
      </w:r>
      <w:r w:rsidR="00CA3723" w:rsidRPr="007C3B9D">
        <w:rPr>
          <w:lang w:val="en-AU"/>
        </w:rPr>
        <w:t>,</w:t>
      </w:r>
      <w:r w:rsidRPr="007C3B9D">
        <w:rPr>
          <w:lang w:val="en-AU"/>
        </w:rPr>
        <w:t xml:space="preserve"> considering the level of professional skills and expertise required for the effective implementation of the program. TAF operational costs/overheads are also reasonable and in line with development cooperation practice.</w:t>
      </w:r>
    </w:p>
    <w:p w14:paraId="31325B1C" w14:textId="5103FF1D" w:rsidR="000E799F" w:rsidRPr="007C3B9D" w:rsidRDefault="000E799F" w:rsidP="00903D77">
      <w:pPr>
        <w:spacing w:after="120" w:line="276" w:lineRule="auto"/>
        <w:jc w:val="both"/>
        <w:rPr>
          <w:lang w:val="en-AU"/>
        </w:rPr>
      </w:pPr>
      <w:r w:rsidRPr="007C3B9D">
        <w:rPr>
          <w:lang w:val="en-AU"/>
        </w:rPr>
        <w:t>The evaluators did not verify the nature of reported expenditure – this is the task of auditors – but they did confirm with TAF and DFAT personnel that financial and narrative reports were in line with requirements and generally delivered on schedule. There have been no reports of disagreements between DFAT and TAF on the allocation of resources or on financial reporting.</w:t>
      </w:r>
    </w:p>
    <w:p w14:paraId="3544317F" w14:textId="0A6E1B72" w:rsidR="001957EC" w:rsidRPr="007C3B9D" w:rsidRDefault="000E799F" w:rsidP="00903D77">
      <w:pPr>
        <w:spacing w:after="120" w:line="276" w:lineRule="auto"/>
        <w:jc w:val="both"/>
        <w:rPr>
          <w:lang w:val="en-AU"/>
        </w:rPr>
      </w:pPr>
      <w:r w:rsidRPr="007C3B9D">
        <w:rPr>
          <w:lang w:val="en-AU"/>
        </w:rPr>
        <w:t xml:space="preserve">The program may appear to be </w:t>
      </w:r>
      <w:r w:rsidR="00CA3723" w:rsidRPr="007C3B9D">
        <w:rPr>
          <w:lang w:val="en-AU"/>
        </w:rPr>
        <w:t>‘</w:t>
      </w:r>
      <w:r w:rsidRPr="007C3B9D">
        <w:rPr>
          <w:lang w:val="en-AU"/>
        </w:rPr>
        <w:t>expensive</w:t>
      </w:r>
      <w:r w:rsidR="00CA3723" w:rsidRPr="007C3B9D">
        <w:rPr>
          <w:lang w:val="en-AU"/>
        </w:rPr>
        <w:t>’</w:t>
      </w:r>
      <w:r w:rsidRPr="007C3B9D">
        <w:rPr>
          <w:lang w:val="en-AU"/>
        </w:rPr>
        <w:t xml:space="preserve"> in comparison with other development cooperation activities, </w:t>
      </w:r>
      <w:r w:rsidR="001E34BF" w:rsidRPr="007C3B9D">
        <w:rPr>
          <w:lang w:val="en-AU"/>
        </w:rPr>
        <w:t>since logistical costs can be significant (for example for senior-level forums and urgent scheduling), however such expenditure</w:t>
      </w:r>
      <w:r w:rsidRPr="007C3B9D">
        <w:rPr>
          <w:lang w:val="en-AU"/>
        </w:rPr>
        <w:t xml:space="preserve"> is clearly justified by the nature of the activities undertaken, and of the professional skills and experience of the implementing </w:t>
      </w:r>
      <w:r w:rsidR="001E34BF" w:rsidRPr="007C3B9D">
        <w:rPr>
          <w:lang w:val="en-AU"/>
        </w:rPr>
        <w:t xml:space="preserve">team, and in particular given </w:t>
      </w:r>
      <w:r w:rsidR="00E510A9" w:rsidRPr="007C3B9D">
        <w:rPr>
          <w:lang w:val="en-AU"/>
        </w:rPr>
        <w:t xml:space="preserve">the </w:t>
      </w:r>
      <w:r w:rsidR="001E34BF" w:rsidRPr="007C3B9D">
        <w:rPr>
          <w:lang w:val="en-AU"/>
        </w:rPr>
        <w:t xml:space="preserve">high </w:t>
      </w:r>
      <w:r w:rsidR="00E510A9" w:rsidRPr="007C3B9D">
        <w:rPr>
          <w:lang w:val="en-AU"/>
        </w:rPr>
        <w:t xml:space="preserve">strategic value </w:t>
      </w:r>
      <w:r w:rsidR="001E34BF" w:rsidRPr="007C3B9D">
        <w:rPr>
          <w:lang w:val="en-AU"/>
        </w:rPr>
        <w:t>of</w:t>
      </w:r>
      <w:r w:rsidR="00E510A9" w:rsidRPr="007C3B9D">
        <w:rPr>
          <w:lang w:val="en-AU"/>
        </w:rPr>
        <w:t xml:space="preserve"> ASEAN-wide engagement and regional stability</w:t>
      </w:r>
      <w:r w:rsidR="001E34BF" w:rsidRPr="007C3B9D">
        <w:rPr>
          <w:lang w:val="en-AU"/>
        </w:rPr>
        <w:t xml:space="preserve">. </w:t>
      </w:r>
      <w:r w:rsidRPr="007C3B9D">
        <w:rPr>
          <w:lang w:val="en-AU"/>
        </w:rPr>
        <w:t>Meetings were generally held in ASEAN Member States’ capitals or major cities, taking account of the nationality of sectoral body chairs and of the rotating ASEAN leadership. Meetings have often been organised at relatively short notice, with accommodation appropriate to the seniority of participants, some of which register at short notice</w:t>
      </w:r>
      <w:r w:rsidR="00CA3723" w:rsidRPr="007C3B9D">
        <w:rPr>
          <w:lang w:val="en-AU"/>
        </w:rPr>
        <w:t>.</w:t>
      </w:r>
      <w:r w:rsidRPr="007C3B9D">
        <w:rPr>
          <w:lang w:val="en-AU"/>
        </w:rPr>
        <w:t xml:space="preserve"> </w:t>
      </w:r>
      <w:r w:rsidR="00CA3723" w:rsidRPr="007C3B9D">
        <w:rPr>
          <w:lang w:val="en-AU"/>
        </w:rPr>
        <w:t>T</w:t>
      </w:r>
      <w:r w:rsidRPr="007C3B9D">
        <w:rPr>
          <w:lang w:val="en-AU"/>
        </w:rPr>
        <w:t xml:space="preserve">hese factors </w:t>
      </w:r>
      <w:r w:rsidR="00CA3723" w:rsidRPr="007C3B9D">
        <w:rPr>
          <w:lang w:val="en-AU"/>
        </w:rPr>
        <w:t xml:space="preserve">have </w:t>
      </w:r>
      <w:r w:rsidRPr="007C3B9D">
        <w:rPr>
          <w:lang w:val="en-AU"/>
        </w:rPr>
        <w:t>contribute</w:t>
      </w:r>
      <w:r w:rsidR="00CA3723" w:rsidRPr="007C3B9D">
        <w:rPr>
          <w:lang w:val="en-AU"/>
        </w:rPr>
        <w:t>d</w:t>
      </w:r>
      <w:r w:rsidRPr="007C3B9D">
        <w:rPr>
          <w:lang w:val="en-AU"/>
        </w:rPr>
        <w:t xml:space="preserve"> to costs, </w:t>
      </w:r>
      <w:r w:rsidR="00CA3723" w:rsidRPr="007C3B9D">
        <w:rPr>
          <w:lang w:val="en-AU"/>
        </w:rPr>
        <w:t>however</w:t>
      </w:r>
      <w:r w:rsidRPr="007C3B9D">
        <w:rPr>
          <w:lang w:val="en-AU"/>
        </w:rPr>
        <w:t xml:space="preserve"> TAF’s ability to respond to short-term requests has also contributed to ASEAN officials’ positive view of the program.</w:t>
      </w:r>
    </w:p>
    <w:p w14:paraId="1046DA2D" w14:textId="0A41846E" w:rsidR="00450DA7" w:rsidRPr="007C3B9D" w:rsidRDefault="00450DA7" w:rsidP="00A868FE">
      <w:pPr>
        <w:spacing w:before="240"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 xml:space="preserve">JC3.2 Program management is effective, in that pro-active and timely action was taken to address changing circumstances (including the pandemic), and M&amp;E and management accountability processes are in use. </w:t>
      </w:r>
    </w:p>
    <w:p w14:paraId="58FD81A5" w14:textId="77777777" w:rsidR="000E799F" w:rsidRPr="007C3B9D" w:rsidRDefault="000E799F" w:rsidP="0035461D">
      <w:pPr>
        <w:pStyle w:val="Heading3"/>
      </w:pPr>
      <w:r w:rsidRPr="007C3B9D">
        <w:t>Program management</w:t>
      </w:r>
    </w:p>
    <w:p w14:paraId="10638EE8" w14:textId="77777777" w:rsidR="000E799F" w:rsidRPr="007C3B9D" w:rsidRDefault="000E799F" w:rsidP="00903D77">
      <w:pPr>
        <w:spacing w:after="120" w:line="276" w:lineRule="auto"/>
        <w:jc w:val="both"/>
        <w:rPr>
          <w:lang w:val="en-AU"/>
        </w:rPr>
      </w:pPr>
      <w:r w:rsidRPr="007C3B9D">
        <w:rPr>
          <w:lang w:val="en-AU"/>
        </w:rPr>
        <w:t>The program’s management contributed to its efficient implementation. Two factors in particular drove APSP’s sound management:</w:t>
      </w:r>
    </w:p>
    <w:p w14:paraId="566E0657" w14:textId="11EDC424" w:rsidR="000E799F" w:rsidRPr="007C3B9D" w:rsidRDefault="000E799F" w:rsidP="00903D77">
      <w:pPr>
        <w:pStyle w:val="ListParagraph"/>
        <w:numPr>
          <w:ilvl w:val="0"/>
          <w:numId w:val="27"/>
        </w:numPr>
        <w:spacing w:after="120" w:line="276" w:lineRule="auto"/>
        <w:contextualSpacing w:val="0"/>
        <w:jc w:val="both"/>
        <w:rPr>
          <w:lang w:val="en-AU"/>
        </w:rPr>
      </w:pPr>
      <w:r w:rsidRPr="007C3B9D">
        <w:rPr>
          <w:lang w:val="en-AU"/>
        </w:rPr>
        <w:t>An excellent working relationship between the Australian Mission and the DFAT team</w:t>
      </w:r>
      <w:r w:rsidR="00CA3723" w:rsidRPr="007C3B9D">
        <w:rPr>
          <w:lang w:val="en-AU"/>
        </w:rPr>
        <w:t>:</w:t>
      </w:r>
      <w:r w:rsidRPr="007C3B9D">
        <w:rPr>
          <w:lang w:val="en-AU"/>
        </w:rPr>
        <w:t xml:space="preserve"> </w:t>
      </w:r>
      <w:r w:rsidR="00AF7A98" w:rsidRPr="007C3B9D">
        <w:rPr>
          <w:lang w:val="en-AU"/>
        </w:rPr>
        <w:t>In general terms, TAF manages event organisation, contracting specialists, and operational logistics, while the Australian Mission provides strategic diplomatic input, secures high-level buy-in, and ensures alignment with broader Australian–ASEAN foreign policy objectives. In this regard, a</w:t>
      </w:r>
      <w:r w:rsidRPr="007C3B9D">
        <w:rPr>
          <w:lang w:val="en-AU"/>
        </w:rPr>
        <w:t xml:space="preserve"> clear division of labour is evident</w:t>
      </w:r>
      <w:r w:rsidR="00AF7A98" w:rsidRPr="007C3B9D">
        <w:rPr>
          <w:lang w:val="en-AU"/>
        </w:rPr>
        <w:t xml:space="preserve">, with considerable overlap </w:t>
      </w:r>
      <w:r w:rsidR="001B03B2" w:rsidRPr="007C3B9D">
        <w:rPr>
          <w:lang w:val="en-AU"/>
        </w:rPr>
        <w:t>however,</w:t>
      </w:r>
      <w:r w:rsidR="00AF7A98" w:rsidRPr="007C3B9D">
        <w:rPr>
          <w:lang w:val="en-AU"/>
        </w:rPr>
        <w:t xml:space="preserve"> in these roles, which contributes significantly to the project’s overall </w:t>
      </w:r>
      <w:r w:rsidR="001B03B2" w:rsidRPr="007C3B9D">
        <w:rPr>
          <w:lang w:val="en-AU"/>
        </w:rPr>
        <w:t>efficiency</w:t>
      </w:r>
      <w:r w:rsidR="00AF7A98" w:rsidRPr="007C3B9D">
        <w:rPr>
          <w:lang w:val="en-AU"/>
        </w:rPr>
        <w:t xml:space="preserve"> and effectiveness. </w:t>
      </w:r>
      <w:r w:rsidRPr="007C3B9D">
        <w:rPr>
          <w:lang w:val="en-AU"/>
        </w:rPr>
        <w:t xml:space="preserve"> Beyond this, the Mission clearly trust</w:t>
      </w:r>
      <w:r w:rsidR="00AF7A98" w:rsidRPr="007C3B9D">
        <w:rPr>
          <w:lang w:val="en-AU"/>
        </w:rPr>
        <w:t>s</w:t>
      </w:r>
      <w:r w:rsidRPr="007C3B9D">
        <w:rPr>
          <w:lang w:val="en-AU"/>
        </w:rPr>
        <w:t xml:space="preserve"> the TAF team’s ability to engage sensitively with ASEAN officials and </w:t>
      </w:r>
      <w:r w:rsidR="001B03B2" w:rsidRPr="007C3B9D">
        <w:rPr>
          <w:lang w:val="en-AU"/>
        </w:rPr>
        <w:t xml:space="preserve">values </w:t>
      </w:r>
      <w:r w:rsidRPr="007C3B9D">
        <w:rPr>
          <w:lang w:val="en-AU"/>
        </w:rPr>
        <w:t xml:space="preserve">its advice when building meeting agendas, identifying speakers, etc. Conversely the TAF team was very open to the Mission in relation to the day-to-day management of the program, ensuring for example that a representative of DFAT sat on recruitment panels for relevant TAF positions. There was clear evidence that TAF and the </w:t>
      </w:r>
      <w:r w:rsidRPr="007C3B9D">
        <w:rPr>
          <w:lang w:val="en-AU"/>
        </w:rPr>
        <w:lastRenderedPageBreak/>
        <w:t xml:space="preserve">Mission were in virtually permanent contact – in sharp contrast to a </w:t>
      </w:r>
      <w:r w:rsidR="00CA3723" w:rsidRPr="007C3B9D">
        <w:rPr>
          <w:lang w:val="en-AU"/>
        </w:rPr>
        <w:t>‘</w:t>
      </w:r>
      <w:r w:rsidRPr="007C3B9D">
        <w:rPr>
          <w:lang w:val="en-AU"/>
        </w:rPr>
        <w:t>classic</w:t>
      </w:r>
      <w:r w:rsidR="00CA3723" w:rsidRPr="007C3B9D">
        <w:rPr>
          <w:lang w:val="en-AU"/>
        </w:rPr>
        <w:t>’</w:t>
      </w:r>
      <w:r w:rsidRPr="007C3B9D">
        <w:rPr>
          <w:lang w:val="en-AU"/>
        </w:rPr>
        <w:t xml:space="preserve"> development cooperation model where implementing agencies report to donors but do not frequently consult them</w:t>
      </w:r>
      <w:r w:rsidR="00CA3723" w:rsidRPr="007C3B9D">
        <w:rPr>
          <w:lang w:val="en-AU"/>
        </w:rPr>
        <w:t xml:space="preserve"> (see also Added Value of TAF below)</w:t>
      </w:r>
      <w:r w:rsidRPr="007C3B9D">
        <w:rPr>
          <w:lang w:val="en-AU"/>
        </w:rPr>
        <w:t>.</w:t>
      </w:r>
    </w:p>
    <w:p w14:paraId="55F609F3" w14:textId="79DDD672" w:rsidR="000E799F" w:rsidRPr="007C3B9D" w:rsidRDefault="000E799F" w:rsidP="00903D77">
      <w:pPr>
        <w:pStyle w:val="ListParagraph"/>
        <w:numPr>
          <w:ilvl w:val="0"/>
          <w:numId w:val="27"/>
        </w:numPr>
        <w:spacing w:after="120" w:line="276" w:lineRule="auto"/>
        <w:contextualSpacing w:val="0"/>
        <w:jc w:val="both"/>
        <w:rPr>
          <w:lang w:val="en-AU"/>
        </w:rPr>
      </w:pPr>
      <w:r w:rsidRPr="007C3B9D">
        <w:rPr>
          <w:lang w:val="en-AU"/>
        </w:rPr>
        <w:t xml:space="preserve">The TAF team and its DFAT counterpart are highly </w:t>
      </w:r>
      <w:r w:rsidR="001B03B2" w:rsidRPr="007C3B9D">
        <w:rPr>
          <w:lang w:val="en-AU"/>
        </w:rPr>
        <w:t>motivated and</w:t>
      </w:r>
      <w:r w:rsidRPr="007C3B9D">
        <w:rPr>
          <w:lang w:val="en-AU"/>
        </w:rPr>
        <w:t xml:space="preserve"> clearly embrace the </w:t>
      </w:r>
      <w:r w:rsidR="00CA3723" w:rsidRPr="007C3B9D">
        <w:rPr>
          <w:lang w:val="en-AU"/>
        </w:rPr>
        <w:t xml:space="preserve">program’s </w:t>
      </w:r>
      <w:r w:rsidRPr="007C3B9D">
        <w:rPr>
          <w:lang w:val="en-AU"/>
        </w:rPr>
        <w:t>goal</w:t>
      </w:r>
      <w:r w:rsidR="00CA3723" w:rsidRPr="007C3B9D">
        <w:rPr>
          <w:lang w:val="en-AU"/>
        </w:rPr>
        <w:t>s</w:t>
      </w:r>
      <w:r w:rsidRPr="007C3B9D">
        <w:rPr>
          <w:lang w:val="en-AU"/>
        </w:rPr>
        <w:t>. Staff on both sides have experience of working with ASEC (</w:t>
      </w:r>
      <w:r w:rsidR="00CA3723" w:rsidRPr="007C3B9D">
        <w:rPr>
          <w:lang w:val="en-AU"/>
        </w:rPr>
        <w:t xml:space="preserve">indeed, </w:t>
      </w:r>
      <w:r w:rsidRPr="007C3B9D">
        <w:rPr>
          <w:lang w:val="en-AU"/>
        </w:rPr>
        <w:t xml:space="preserve">some previously worked in ASEC) and some TAF team members have also </w:t>
      </w:r>
      <w:r w:rsidR="00CA3723" w:rsidRPr="007C3B9D">
        <w:rPr>
          <w:lang w:val="en-AU"/>
        </w:rPr>
        <w:t xml:space="preserve">previously </w:t>
      </w:r>
      <w:r w:rsidRPr="007C3B9D">
        <w:rPr>
          <w:lang w:val="en-AU"/>
        </w:rPr>
        <w:t>worked for DFAT.</w:t>
      </w:r>
    </w:p>
    <w:p w14:paraId="5AE8A104" w14:textId="77777777" w:rsidR="000E799F" w:rsidRPr="007C3B9D" w:rsidRDefault="000E799F" w:rsidP="00903D77">
      <w:pPr>
        <w:spacing w:after="120" w:line="276" w:lineRule="auto"/>
        <w:jc w:val="both"/>
        <w:rPr>
          <w:lang w:val="en-AU"/>
        </w:rPr>
      </w:pPr>
      <w:r w:rsidRPr="007C3B9D">
        <w:rPr>
          <w:lang w:val="en-AU"/>
        </w:rPr>
        <w:t>The close working relationship between the Australian Mission and the TAF APSP team helped ensure that program management was responsive to changing circumstances and identified emerging needs, including to keep the program aligned with DFAT priorities and management practices. For example, a GESI (later GEDSI) advisor was added to the team in late 2021, and the structure of the program was revised in 2021 to incorporate the two current EOIOs.</w:t>
      </w:r>
    </w:p>
    <w:p w14:paraId="318FBDFD" w14:textId="77777777" w:rsidR="00E07A02" w:rsidRPr="007C3B9D" w:rsidRDefault="000E799F" w:rsidP="00903D77">
      <w:pPr>
        <w:spacing w:after="120" w:line="276" w:lineRule="auto"/>
        <w:jc w:val="both"/>
        <w:rPr>
          <w:lang w:val="en-AU"/>
        </w:rPr>
      </w:pPr>
      <w:r w:rsidRPr="007C3B9D">
        <w:rPr>
          <w:lang w:val="en-AU"/>
        </w:rPr>
        <w:t>Sound policies and strategies on MEL</w:t>
      </w:r>
      <w:r w:rsidR="00CA3723" w:rsidRPr="007C3B9D">
        <w:rPr>
          <w:lang w:val="en-AU"/>
        </w:rPr>
        <w:t xml:space="preserve"> and </w:t>
      </w:r>
      <w:r w:rsidRPr="007C3B9D">
        <w:rPr>
          <w:lang w:val="en-AU"/>
        </w:rPr>
        <w:t>GEDSI, combined with a clear strategy to seek engagement opportunities with ASEC, helped the program team steer APSP towards areas where ASEAN demand was strongest, and where Australian counterparts were able to deliver the most added value.</w:t>
      </w:r>
    </w:p>
    <w:p w14:paraId="3CFE0CA3" w14:textId="7813DEB6" w:rsidR="00E07A02" w:rsidRPr="007C3B9D" w:rsidRDefault="00E07A02" w:rsidP="00903D77">
      <w:pPr>
        <w:spacing w:after="120" w:line="276" w:lineRule="auto"/>
        <w:jc w:val="both"/>
        <w:rPr>
          <w:rFonts w:cstheme="minorHAnsi"/>
          <w:lang w:val="en-AU"/>
        </w:rPr>
      </w:pPr>
      <w:r w:rsidRPr="007C3B9D">
        <w:rPr>
          <w:rFonts w:cstheme="minorHAnsi"/>
          <w:lang w:val="en-AU"/>
        </w:rPr>
        <w:t>Nevertheless, areas for improvement could include instituting formal advance planning sessions with AMS co-chairs, adopting a structured risk management framework, and ensuring cross-team knowledge transfer to maintain continuity amid staff rotations.</w:t>
      </w:r>
    </w:p>
    <w:p w14:paraId="2C83B0E7" w14:textId="315CD3F2" w:rsidR="000E799F" w:rsidRPr="007C3B9D" w:rsidRDefault="000E799F" w:rsidP="0035461D">
      <w:pPr>
        <w:pStyle w:val="Heading3"/>
      </w:pPr>
      <w:r w:rsidRPr="007C3B9D">
        <w:t xml:space="preserve">Procedural </w:t>
      </w:r>
      <w:r w:rsidR="00CA3723" w:rsidRPr="007C3B9D">
        <w:t>concerns</w:t>
      </w:r>
    </w:p>
    <w:p w14:paraId="53264CEF" w14:textId="75E3305F" w:rsidR="000E799F" w:rsidRPr="007C3B9D" w:rsidRDefault="000E799F" w:rsidP="00903D77">
      <w:pPr>
        <w:spacing w:after="120" w:line="276" w:lineRule="auto"/>
        <w:jc w:val="both"/>
        <w:rPr>
          <w:lang w:val="en-AU"/>
        </w:rPr>
      </w:pPr>
      <w:r w:rsidRPr="007C3B9D">
        <w:rPr>
          <w:lang w:val="en-AU"/>
        </w:rPr>
        <w:t xml:space="preserve">The program’s efficiency is </w:t>
      </w:r>
      <w:r w:rsidR="00CA3723" w:rsidRPr="007C3B9D">
        <w:rPr>
          <w:lang w:val="en-AU"/>
        </w:rPr>
        <w:t>however considerably constrained</w:t>
      </w:r>
      <w:r w:rsidRPr="007C3B9D">
        <w:rPr>
          <w:lang w:val="en-AU"/>
        </w:rPr>
        <w:t xml:space="preserve"> by a complex and lengthy procedure for obtaining ASEAN endorsement of each APSP activity request (see overview in </w:t>
      </w:r>
      <w:r w:rsidRPr="007C3B9D">
        <w:rPr>
          <w:i/>
          <w:iCs/>
          <w:lang w:val="en-AU"/>
        </w:rPr>
        <w:t>Sustainability</w:t>
      </w:r>
      <w:r w:rsidRPr="007C3B9D">
        <w:rPr>
          <w:lang w:val="en-AU"/>
        </w:rPr>
        <w:t xml:space="preserve"> below). The following steps are generally required</w:t>
      </w:r>
      <w:r w:rsidR="00141A80" w:rsidRPr="007C3B9D">
        <w:rPr>
          <w:lang w:val="en-AU"/>
        </w:rPr>
        <w:t xml:space="preserve"> (might differ depending on discussion with the ASEAN co-proponent)</w:t>
      </w:r>
      <w:r w:rsidRPr="007C3B9D">
        <w:rPr>
          <w:lang w:val="en-AU"/>
        </w:rPr>
        <w:t>:</w:t>
      </w:r>
    </w:p>
    <w:p w14:paraId="76DC2955" w14:textId="77777777" w:rsidR="000E799F" w:rsidRPr="007C3B9D" w:rsidRDefault="000E799F" w:rsidP="00B81514">
      <w:pPr>
        <w:numPr>
          <w:ilvl w:val="0"/>
          <w:numId w:val="28"/>
        </w:numPr>
        <w:spacing w:after="0" w:line="276" w:lineRule="auto"/>
        <w:jc w:val="both"/>
        <w:rPr>
          <w:lang w:val="en-AU"/>
        </w:rPr>
      </w:pPr>
      <w:r w:rsidRPr="007C3B9D">
        <w:rPr>
          <w:lang w:val="en-AU"/>
        </w:rPr>
        <w:t>Upon receiving a proposal, ASEC first checks whether it aligns with one of the ASEAN priority areas.</w:t>
      </w:r>
    </w:p>
    <w:p w14:paraId="772AA9DF" w14:textId="4621F1A8" w:rsidR="000E799F" w:rsidRPr="007C3B9D" w:rsidRDefault="000E799F" w:rsidP="00B81514">
      <w:pPr>
        <w:numPr>
          <w:ilvl w:val="0"/>
          <w:numId w:val="28"/>
        </w:numPr>
        <w:spacing w:after="0" w:line="276" w:lineRule="auto"/>
        <w:jc w:val="both"/>
        <w:rPr>
          <w:lang w:val="en-AU"/>
        </w:rPr>
      </w:pPr>
      <w:r w:rsidRPr="007C3B9D">
        <w:rPr>
          <w:lang w:val="en-AU"/>
        </w:rPr>
        <w:t>APSP and ASEAN Member States then engage directly on the proposal. Activities must be co-chaired, co-organ</w:t>
      </w:r>
      <w:r w:rsidR="008332B1" w:rsidRPr="007C3B9D">
        <w:rPr>
          <w:lang w:val="en-AU"/>
        </w:rPr>
        <w:t>is</w:t>
      </w:r>
      <w:r w:rsidRPr="007C3B9D">
        <w:rPr>
          <w:lang w:val="en-AU"/>
        </w:rPr>
        <w:t>ed and co-led by at least one ASEAN Member State.</w:t>
      </w:r>
    </w:p>
    <w:p w14:paraId="3AC3C3ED" w14:textId="77777777" w:rsidR="000E799F" w:rsidRPr="007C3B9D" w:rsidRDefault="000E799F" w:rsidP="00B81514">
      <w:pPr>
        <w:numPr>
          <w:ilvl w:val="0"/>
          <w:numId w:val="28"/>
        </w:numPr>
        <w:spacing w:after="0" w:line="276" w:lineRule="auto"/>
        <w:jc w:val="both"/>
        <w:rPr>
          <w:lang w:val="en-AU"/>
        </w:rPr>
      </w:pPr>
      <w:r w:rsidRPr="007C3B9D">
        <w:rPr>
          <w:lang w:val="en-AU"/>
        </w:rPr>
        <w:t>APSP and ASEAN Cooperate Points jointly draft the proposal.</w:t>
      </w:r>
    </w:p>
    <w:p w14:paraId="034034F1" w14:textId="77777777" w:rsidR="000E799F" w:rsidRPr="007C3B9D" w:rsidRDefault="000E799F" w:rsidP="00B81514">
      <w:pPr>
        <w:numPr>
          <w:ilvl w:val="0"/>
          <w:numId w:val="28"/>
        </w:numPr>
        <w:spacing w:after="0" w:line="276" w:lineRule="auto"/>
        <w:jc w:val="both"/>
        <w:rPr>
          <w:lang w:val="en-AU"/>
        </w:rPr>
      </w:pPr>
      <w:r w:rsidRPr="007C3B9D">
        <w:rPr>
          <w:lang w:val="en-AU"/>
        </w:rPr>
        <w:t>The relevant ASEC desk conducts a preliminary review of the draft proposal, focusing on format and adherence to ASEAN practices, providing input to the ASEAN Co-Proponent.</w:t>
      </w:r>
    </w:p>
    <w:p w14:paraId="513BACDC" w14:textId="77777777" w:rsidR="000E799F" w:rsidRPr="007C3B9D" w:rsidRDefault="000E799F" w:rsidP="00B81514">
      <w:pPr>
        <w:numPr>
          <w:ilvl w:val="0"/>
          <w:numId w:val="28"/>
        </w:numPr>
        <w:spacing w:after="0" w:line="276" w:lineRule="auto"/>
        <w:jc w:val="both"/>
        <w:rPr>
          <w:lang w:val="en-AU"/>
        </w:rPr>
      </w:pPr>
      <w:r w:rsidRPr="007C3B9D">
        <w:rPr>
          <w:lang w:val="en-AU"/>
        </w:rPr>
        <w:t>The ASEAN Co-Proponent submits the draft and supporting documents to ASEC for review, assessment by the relevant sectoral body, and government approval.</w:t>
      </w:r>
    </w:p>
    <w:p w14:paraId="79634D4F" w14:textId="77777777" w:rsidR="000E799F" w:rsidRPr="007C3B9D" w:rsidRDefault="000E799F" w:rsidP="00B81514">
      <w:pPr>
        <w:numPr>
          <w:ilvl w:val="0"/>
          <w:numId w:val="28"/>
        </w:numPr>
        <w:spacing w:after="0" w:line="276" w:lineRule="auto"/>
        <w:jc w:val="both"/>
        <w:rPr>
          <w:lang w:val="en-AU"/>
        </w:rPr>
      </w:pPr>
      <w:r w:rsidRPr="007C3B9D">
        <w:rPr>
          <w:lang w:val="en-AU"/>
        </w:rPr>
        <w:t>The ASEAN Co-Proponent leads the proposal through approvals at the sectoral level.</w:t>
      </w:r>
    </w:p>
    <w:p w14:paraId="7199DB4A" w14:textId="77777777" w:rsidR="000E799F" w:rsidRPr="007C3B9D" w:rsidRDefault="000E799F" w:rsidP="00B81514">
      <w:pPr>
        <w:numPr>
          <w:ilvl w:val="0"/>
          <w:numId w:val="28"/>
        </w:numPr>
        <w:spacing w:after="0" w:line="276" w:lineRule="auto"/>
        <w:jc w:val="both"/>
        <w:rPr>
          <w:lang w:val="en-AU"/>
        </w:rPr>
      </w:pPr>
      <w:r w:rsidRPr="007C3B9D">
        <w:rPr>
          <w:lang w:val="en-AU"/>
        </w:rPr>
        <w:t>The ASEAN Co-Proponent prepares and shares an implementation package for final review, aligning it with ASEAN practices before execution.</w:t>
      </w:r>
    </w:p>
    <w:p w14:paraId="367E8F02" w14:textId="77777777" w:rsidR="000E799F" w:rsidRPr="007C3B9D" w:rsidRDefault="000E799F" w:rsidP="00903D77">
      <w:pPr>
        <w:numPr>
          <w:ilvl w:val="0"/>
          <w:numId w:val="28"/>
        </w:numPr>
        <w:spacing w:after="120" w:line="276" w:lineRule="auto"/>
        <w:jc w:val="both"/>
        <w:rPr>
          <w:lang w:val="en-AU"/>
        </w:rPr>
      </w:pPr>
      <w:r w:rsidRPr="007C3B9D">
        <w:rPr>
          <w:lang w:val="en-AU"/>
        </w:rPr>
        <w:t>ASEC decides its representative for events, ensuring compliance with ASEAN’s guidelines and priorities throughout the process.</w:t>
      </w:r>
    </w:p>
    <w:p w14:paraId="4B98ABB1" w14:textId="270BBE80" w:rsidR="000E799F" w:rsidRPr="007C3B9D" w:rsidRDefault="000E799F" w:rsidP="00903D77">
      <w:pPr>
        <w:spacing w:after="120" w:line="276" w:lineRule="auto"/>
        <w:jc w:val="both"/>
        <w:rPr>
          <w:lang w:val="en-AU"/>
        </w:rPr>
      </w:pPr>
      <w:r w:rsidRPr="007C3B9D">
        <w:rPr>
          <w:lang w:val="en-AU"/>
        </w:rPr>
        <w:t>While the APSP program team has become adept at smoothing the way</w:t>
      </w:r>
      <w:r w:rsidR="00CA3723" w:rsidRPr="007C3B9D">
        <w:rPr>
          <w:lang w:val="en-AU"/>
        </w:rPr>
        <w:t xml:space="preserve">, </w:t>
      </w:r>
      <w:r w:rsidRPr="007C3B9D">
        <w:rPr>
          <w:lang w:val="en-AU"/>
        </w:rPr>
        <w:t xml:space="preserve">thus contributing to the program’s sustainability, the process remains cumbersome and prone to delays that limit its efficiency. It would be advisable </w:t>
      </w:r>
      <w:r w:rsidR="00B17BF9" w:rsidRPr="007C3B9D">
        <w:rPr>
          <w:lang w:val="en-AU"/>
        </w:rPr>
        <w:t xml:space="preserve">therefore </w:t>
      </w:r>
      <w:r w:rsidRPr="007C3B9D">
        <w:rPr>
          <w:lang w:val="en-AU"/>
        </w:rPr>
        <w:t xml:space="preserve">to </w:t>
      </w:r>
      <w:r w:rsidR="00B17BF9" w:rsidRPr="007C3B9D">
        <w:rPr>
          <w:lang w:val="en-AU"/>
        </w:rPr>
        <w:t xml:space="preserve">contribute to enhancing </w:t>
      </w:r>
      <w:r w:rsidRPr="007C3B9D">
        <w:rPr>
          <w:lang w:val="en-AU"/>
        </w:rPr>
        <w:t xml:space="preserve">the endorsement procedure, </w:t>
      </w:r>
      <w:r w:rsidR="00B17BF9" w:rsidRPr="007C3B9D">
        <w:rPr>
          <w:lang w:val="en-AU"/>
        </w:rPr>
        <w:t xml:space="preserve">for example </w:t>
      </w:r>
      <w:r w:rsidRPr="007C3B9D">
        <w:rPr>
          <w:lang w:val="en-AU"/>
        </w:rPr>
        <w:t xml:space="preserve">by setting time </w:t>
      </w:r>
      <w:r w:rsidR="00B17BF9" w:rsidRPr="007C3B9D">
        <w:rPr>
          <w:lang w:val="en-AU"/>
        </w:rPr>
        <w:t>frameworks in consultation with ASEAN</w:t>
      </w:r>
      <w:r w:rsidRPr="007C3B9D">
        <w:rPr>
          <w:lang w:val="en-AU"/>
        </w:rPr>
        <w:t>. </w:t>
      </w:r>
      <w:r w:rsidRPr="007C3B9D">
        <w:rPr>
          <w:rFonts w:cstheme="minorHAnsi"/>
          <w:lang w:val="en-AU"/>
        </w:rPr>
        <w:t>The program initially anticipated the creation of a joint DFAT/</w:t>
      </w:r>
      <w:r w:rsidR="00CA3723" w:rsidRPr="007C3B9D">
        <w:rPr>
          <w:rFonts w:cstheme="minorHAnsi"/>
          <w:lang w:val="en-AU"/>
        </w:rPr>
        <w:t xml:space="preserve"> </w:t>
      </w:r>
      <w:r w:rsidRPr="007C3B9D">
        <w:rPr>
          <w:rFonts w:cstheme="minorHAnsi"/>
          <w:lang w:val="en-AU"/>
        </w:rPr>
        <w:t xml:space="preserve">TAF </w:t>
      </w:r>
      <w:r w:rsidR="008332B1" w:rsidRPr="007C3B9D">
        <w:rPr>
          <w:rFonts w:cstheme="minorHAnsi"/>
          <w:lang w:val="en-AU"/>
        </w:rPr>
        <w:t>program</w:t>
      </w:r>
      <w:r w:rsidRPr="007C3B9D">
        <w:rPr>
          <w:rFonts w:cstheme="minorHAnsi"/>
          <w:lang w:val="en-AU"/>
        </w:rPr>
        <w:t xml:space="preserve"> strategy </w:t>
      </w:r>
      <w:r w:rsidR="00CA3723" w:rsidRPr="007C3B9D">
        <w:rPr>
          <w:rFonts w:cstheme="minorHAnsi"/>
          <w:lang w:val="en-AU"/>
        </w:rPr>
        <w:t>and</w:t>
      </w:r>
      <w:r w:rsidRPr="007C3B9D">
        <w:rPr>
          <w:rFonts w:cstheme="minorHAnsi"/>
          <w:lang w:val="en-AU"/>
        </w:rPr>
        <w:t xml:space="preserve"> management mechanism</w:t>
      </w:r>
      <w:r w:rsidR="00CA3723" w:rsidRPr="007C3B9D">
        <w:rPr>
          <w:rFonts w:cstheme="minorHAnsi"/>
          <w:lang w:val="en-AU"/>
        </w:rPr>
        <w:t xml:space="preserve">, which subsequently </w:t>
      </w:r>
      <w:r w:rsidRPr="007C3B9D">
        <w:rPr>
          <w:rFonts w:cstheme="minorHAnsi"/>
          <w:lang w:val="en-AU"/>
        </w:rPr>
        <w:t xml:space="preserve">proved unnecessary, largely </w:t>
      </w:r>
      <w:r w:rsidR="00CA3723" w:rsidRPr="007C3B9D">
        <w:rPr>
          <w:rFonts w:cstheme="minorHAnsi"/>
          <w:lang w:val="en-AU"/>
        </w:rPr>
        <w:t>since</w:t>
      </w:r>
      <w:r w:rsidRPr="007C3B9D">
        <w:rPr>
          <w:rFonts w:cstheme="minorHAnsi"/>
          <w:lang w:val="en-AU"/>
        </w:rPr>
        <w:t xml:space="preserve"> programming issues are addressed </w:t>
      </w:r>
      <w:r w:rsidR="00CA3723" w:rsidRPr="007C3B9D">
        <w:rPr>
          <w:rFonts w:cstheme="minorHAnsi"/>
          <w:lang w:val="en-AU"/>
        </w:rPr>
        <w:t xml:space="preserve">directly </w:t>
      </w:r>
      <w:r w:rsidRPr="007C3B9D">
        <w:rPr>
          <w:rFonts w:cstheme="minorHAnsi"/>
          <w:lang w:val="en-AU"/>
        </w:rPr>
        <w:t xml:space="preserve">between DFAT and </w:t>
      </w:r>
      <w:r w:rsidRPr="007C3B9D">
        <w:rPr>
          <w:rFonts w:cstheme="minorHAnsi"/>
          <w:lang w:val="en-AU"/>
        </w:rPr>
        <w:lastRenderedPageBreak/>
        <w:t xml:space="preserve">ASEC. </w:t>
      </w:r>
      <w:r w:rsidR="00CA3723" w:rsidRPr="007C3B9D">
        <w:rPr>
          <w:rFonts w:cstheme="minorHAnsi"/>
          <w:lang w:val="en-AU"/>
        </w:rPr>
        <w:t>Nevertheless,</w:t>
      </w:r>
      <w:r w:rsidRPr="007C3B9D">
        <w:rPr>
          <w:rFonts w:cstheme="minorHAnsi"/>
          <w:lang w:val="en-AU"/>
        </w:rPr>
        <w:t xml:space="preserve"> the establishment of a strategy consultation mechanism bringing together ASEAN, DFAT and other key stakeholders would be desirable (see </w:t>
      </w:r>
      <w:r w:rsidR="00CA3723" w:rsidRPr="007C3B9D">
        <w:rPr>
          <w:rFonts w:cstheme="minorHAnsi"/>
          <w:i/>
          <w:iCs/>
          <w:lang w:val="en-AU"/>
        </w:rPr>
        <w:t>R</w:t>
      </w:r>
      <w:r w:rsidRPr="007C3B9D">
        <w:rPr>
          <w:rFonts w:cstheme="minorHAnsi"/>
          <w:i/>
          <w:iCs/>
          <w:lang w:val="en-AU"/>
        </w:rPr>
        <w:t>ecommendations</w:t>
      </w:r>
      <w:r w:rsidRPr="007C3B9D">
        <w:rPr>
          <w:rFonts w:cstheme="minorHAnsi"/>
          <w:lang w:val="en-AU"/>
        </w:rPr>
        <w:t>).</w:t>
      </w:r>
    </w:p>
    <w:p w14:paraId="635BE3E4" w14:textId="0CF0979C" w:rsidR="00B17BF9" w:rsidRPr="007C3B9D" w:rsidRDefault="00B17BF9" w:rsidP="00903D77">
      <w:pPr>
        <w:spacing w:after="120" w:line="276" w:lineRule="auto"/>
        <w:jc w:val="both"/>
        <w:rPr>
          <w:lang w:val="en-AU"/>
        </w:rPr>
      </w:pPr>
      <w:r w:rsidRPr="007C3B9D">
        <w:rPr>
          <w:lang w:val="en-AU"/>
        </w:rPr>
        <w:t>That said, it is accepted that delays can also stem from multiple factors prior to the formal ASEAN endorsement itself, which include identifying an AMS co-chair’s priorities, completing Canberra-based approvals, and determining how to engage on Myanmar issues. In addition, different ASEAN co-proponents may follow slightly varied workflows, leading to different timelines and procedural requirements</w:t>
      </w:r>
      <w:r w:rsidR="005B2CDE" w:rsidRPr="007C3B9D">
        <w:rPr>
          <w:lang w:val="en-AU"/>
        </w:rPr>
        <w:t>.</w:t>
      </w:r>
    </w:p>
    <w:p w14:paraId="7A15F335" w14:textId="7DC128BB" w:rsidR="000E799F" w:rsidRPr="007C3B9D" w:rsidRDefault="000E799F" w:rsidP="0035461D">
      <w:pPr>
        <w:pStyle w:val="Heading3"/>
      </w:pPr>
      <w:r w:rsidRPr="007C3B9D">
        <w:t>Accountability</w:t>
      </w:r>
    </w:p>
    <w:p w14:paraId="6A8B6280" w14:textId="4CD3BAE7" w:rsidR="001957EC" w:rsidRPr="007C3B9D" w:rsidRDefault="000E799F" w:rsidP="00903D77">
      <w:pPr>
        <w:spacing w:after="120" w:line="276" w:lineRule="auto"/>
        <w:jc w:val="both"/>
        <w:rPr>
          <w:lang w:val="en-AU"/>
        </w:rPr>
      </w:pPr>
      <w:r w:rsidRPr="007C3B9D">
        <w:rPr>
          <w:lang w:val="en-AU"/>
        </w:rPr>
        <w:t xml:space="preserve">The accountability structures are clear within TAF. Most TAF APSP team members are based in Bangkok and report to TAF’s Thailand Country Representative, and to the APSP Regional Program Manager in relation to their APSP work. Other program staff based in Laos and Jakarta report administratively to their respective Country Representatives, and to the APSP Program Manager in relation to their APSP activities. The Regional Program Manager reports to the Thailand Country Representative (the former Representative, under whose leadership APSP was initiated, is now a TAF Vice-President based in the USA; he maintains an overview of the program). No concern has arisen in relation to management processes and financial oversight and reporting mechanisms. The Australian Mission </w:t>
      </w:r>
      <w:proofErr w:type="gramStart"/>
      <w:r w:rsidRPr="007C3B9D">
        <w:rPr>
          <w:lang w:val="en-AU"/>
        </w:rPr>
        <w:t>is able to</w:t>
      </w:r>
      <w:proofErr w:type="gramEnd"/>
      <w:r w:rsidRPr="007C3B9D">
        <w:rPr>
          <w:lang w:val="en-AU"/>
        </w:rPr>
        <w:t xml:space="preserve"> communicate directly with TAF’s APSP team members, with the Program Manager in copy. </w:t>
      </w:r>
    </w:p>
    <w:p w14:paraId="6B8F47C3" w14:textId="169DD415" w:rsidR="00246254" w:rsidRPr="007C3B9D" w:rsidRDefault="00450DA7" w:rsidP="00446279">
      <w:pPr>
        <w:pStyle w:val="Heading2"/>
      </w:pPr>
      <w:bookmarkStart w:id="16" w:name="_Toc206492266"/>
      <w:r w:rsidRPr="007C3B9D">
        <w:t>Effectiveness</w:t>
      </w:r>
      <w:bookmarkEnd w:id="16"/>
    </w:p>
    <w:p w14:paraId="3C43F183" w14:textId="77777777" w:rsidR="00246254" w:rsidRPr="007C3B9D" w:rsidRDefault="00450DA7" w:rsidP="00903D77">
      <w:pPr>
        <w:spacing w:after="120" w:line="276" w:lineRule="auto"/>
        <w:jc w:val="both"/>
        <w:rPr>
          <w:b/>
          <w:bCs/>
          <w:i/>
          <w:iCs/>
          <w:color w:val="156082" w:themeColor="accent1"/>
          <w:highlight w:val="yellow"/>
          <w:lang w:val="en-AU"/>
        </w:rPr>
      </w:pPr>
      <w:r w:rsidRPr="007C3B9D">
        <w:rPr>
          <w:b/>
          <w:bCs/>
          <w:i/>
          <w:iCs/>
          <w:color w:val="0F4761" w:themeColor="accent1" w:themeShade="BF"/>
          <w:lang w:val="en-AU"/>
        </w:rPr>
        <w:t>EQ4 – To what extent were the program’s activities and initiatives effective in enhancing dialogue mechanisms and information-sharing among stakeholders?</w:t>
      </w:r>
    </w:p>
    <w:p w14:paraId="3A82D4C0" w14:textId="77777777" w:rsidR="00A4297B" w:rsidRPr="007C3B9D" w:rsidRDefault="00A4297B" w:rsidP="00903D77">
      <w:pPr>
        <w:spacing w:after="120" w:line="276" w:lineRule="auto"/>
        <w:jc w:val="both"/>
        <w:rPr>
          <w:rFonts w:cs="Calibri"/>
          <w:lang w:val="en-AU"/>
        </w:rPr>
      </w:pPr>
      <w:r w:rsidRPr="007C3B9D">
        <w:rPr>
          <w:rFonts w:cs="Calibri"/>
          <w:lang w:val="en-AU"/>
        </w:rPr>
        <w:t>The APSP program represents a distinctive diplomatic and operational initiative designed to foster stability, security, and robust political cooperation between ASEAN and Australia. Since its inception in 2019, APSP has sought to advance ASEAN centrality and leadership in addressing regional political security challenges by supporting ASEAN Member States (AMS) across critical issues related to maritime security, cybersecurity, Women, Peace, and Security (WPS), and transnational crime. APSP aims to enhance ASEAN’s capacity for coordinated responses to transnational threats while strengthening ASEAN-Australia relations and promoting the resilience of ASEAN’s political security mechanisms.</w:t>
      </w:r>
    </w:p>
    <w:p w14:paraId="39644F05" w14:textId="77777777" w:rsidR="00BE6F32" w:rsidRPr="007C3B9D" w:rsidRDefault="00A4297B" w:rsidP="00903D77">
      <w:pPr>
        <w:spacing w:after="120" w:line="276" w:lineRule="auto"/>
        <w:jc w:val="both"/>
        <w:rPr>
          <w:rFonts w:cs="Calibri"/>
          <w:lang w:val="en-AU"/>
        </w:rPr>
      </w:pPr>
      <w:r w:rsidRPr="007C3B9D">
        <w:rPr>
          <w:rFonts w:cs="Calibri"/>
          <w:lang w:val="en-AU"/>
        </w:rPr>
        <w:t xml:space="preserve">Designed to offer demand-driven and flexible support, APSP operates within ASEAN frameworks, engaging key institutions including the ASEAN Secretariat and sectoral bodies. </w:t>
      </w:r>
      <w:r w:rsidR="005B2CDE" w:rsidRPr="007C3B9D">
        <w:rPr>
          <w:lang w:val="en-AU"/>
        </w:rPr>
        <w:t xml:space="preserve">Under the demand-driven model, an AMS or the ASEAN Secretariat identifies a need or priority area, formally submits it to APSP, and co-develops the concept note alongside APSP, ensuring alignment with ASEAN frameworks and national interests. </w:t>
      </w:r>
      <w:r w:rsidRPr="007C3B9D">
        <w:rPr>
          <w:rFonts w:cs="Calibri"/>
          <w:lang w:val="en-AU"/>
        </w:rPr>
        <w:t xml:space="preserve">APSP’s demand-driven structure </w:t>
      </w:r>
      <w:r w:rsidR="005B2CDE" w:rsidRPr="007C3B9D">
        <w:rPr>
          <w:lang w:val="en-AU"/>
        </w:rPr>
        <w:t>was intended to facilitate a whole-of-government approach</w:t>
      </w:r>
      <w:r w:rsidR="005B2CDE" w:rsidRPr="007C3B9D">
        <w:rPr>
          <w:rFonts w:cs="Calibri"/>
          <w:lang w:val="en-AU"/>
        </w:rPr>
        <w:t>,</w:t>
      </w:r>
      <w:r w:rsidRPr="007C3B9D">
        <w:rPr>
          <w:rFonts w:cs="Calibri"/>
          <w:lang w:val="en-AU"/>
        </w:rPr>
        <w:t xml:space="preserve"> involving diverse Australian Government Departments (OGDs) to ensure multi-sectoral engagement, coherence, and sustainable impact</w:t>
      </w:r>
      <w:r w:rsidR="005B2CDE" w:rsidRPr="007C3B9D">
        <w:rPr>
          <w:rFonts w:cs="Calibri"/>
          <w:lang w:val="en-AU"/>
        </w:rPr>
        <w:t xml:space="preserve">, </w:t>
      </w:r>
      <w:r w:rsidR="005B2CDE" w:rsidRPr="007C3B9D">
        <w:rPr>
          <w:lang w:val="en-AU"/>
        </w:rPr>
        <w:t>however in practice, OGD engagement proved somewhat challenging</w:t>
      </w:r>
      <w:r w:rsidRPr="007C3B9D">
        <w:rPr>
          <w:rFonts w:cs="Calibri"/>
          <w:lang w:val="en-AU"/>
        </w:rPr>
        <w:t>. The APSP implementing organisation, the Asia Foundation (TAF), has leveraged its expertise in ASEAN’s socio-political context, supporting APSP’s strategic goals through collaborative engagement.</w:t>
      </w:r>
    </w:p>
    <w:p w14:paraId="2FCF1B4D" w14:textId="22768F4D" w:rsidR="001B6D99" w:rsidRPr="007C3B9D" w:rsidRDefault="001B6D99" w:rsidP="0035461D">
      <w:pPr>
        <w:pStyle w:val="Heading3"/>
      </w:pPr>
      <w:r w:rsidRPr="007C3B9D">
        <w:t>Overall outcomes</w:t>
      </w:r>
    </w:p>
    <w:p w14:paraId="2F860A68" w14:textId="33D74CEF" w:rsidR="00002865" w:rsidRPr="007C3B9D" w:rsidRDefault="001B6D99" w:rsidP="00903D77">
      <w:pPr>
        <w:spacing w:after="120" w:line="276" w:lineRule="auto"/>
        <w:jc w:val="both"/>
        <w:rPr>
          <w:rFonts w:cs="Calibri"/>
          <w:lang w:val="en-AU"/>
        </w:rPr>
      </w:pPr>
      <w:r w:rsidRPr="007C3B9D">
        <w:rPr>
          <w:rFonts w:cs="Calibri"/>
          <w:lang w:val="en-AU"/>
        </w:rPr>
        <w:lastRenderedPageBreak/>
        <w:t>The APSP was implemented and monitored in line with a set of Key Performance Indicators (KPIs)</w:t>
      </w:r>
      <w:r w:rsidR="004463A5" w:rsidRPr="007C3B9D">
        <w:rPr>
          <w:rFonts w:cs="Calibri"/>
          <w:lang w:val="en-AU"/>
        </w:rPr>
        <w:t xml:space="preserve">, </w:t>
      </w:r>
      <w:r w:rsidRPr="007C3B9D">
        <w:rPr>
          <w:rFonts w:cs="Calibri"/>
          <w:lang w:val="en-AU"/>
        </w:rPr>
        <w:t xml:space="preserve">an </w:t>
      </w:r>
      <w:r w:rsidR="004463A5" w:rsidRPr="007C3B9D">
        <w:rPr>
          <w:rFonts w:cs="Calibri"/>
          <w:lang w:val="en-AU"/>
        </w:rPr>
        <w:t>overview</w:t>
      </w:r>
      <w:r w:rsidRPr="007C3B9D">
        <w:rPr>
          <w:rFonts w:cs="Calibri"/>
          <w:lang w:val="en-AU"/>
        </w:rPr>
        <w:t xml:space="preserve"> of which is provided below:</w:t>
      </w:r>
    </w:p>
    <w:tbl>
      <w:tblPr>
        <w:tblStyle w:val="TableGrid"/>
        <w:tblW w:w="5000"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ook w:val="0420" w:firstRow="1" w:lastRow="0" w:firstColumn="0" w:lastColumn="0" w:noHBand="0" w:noVBand="1"/>
      </w:tblPr>
      <w:tblGrid>
        <w:gridCol w:w="1230"/>
        <w:gridCol w:w="7786"/>
      </w:tblGrid>
      <w:tr w:rsidR="00002865" w:rsidRPr="007C3B9D" w14:paraId="3D948DB6" w14:textId="77777777" w:rsidTr="00DE7D59">
        <w:trPr>
          <w:tblHeader/>
        </w:trPr>
        <w:tc>
          <w:tcPr>
            <w:tcW w:w="682" w:type="pct"/>
            <w:shd w:val="clear" w:color="auto" w:fill="45B0E1" w:themeFill="accent1" w:themeFillTint="99"/>
          </w:tcPr>
          <w:p w14:paraId="38A4B1BF" w14:textId="14EE0766" w:rsidR="00002865" w:rsidRPr="003D6262" w:rsidRDefault="00002865" w:rsidP="00B81514">
            <w:pPr>
              <w:spacing w:line="276" w:lineRule="auto"/>
              <w:jc w:val="both"/>
              <w:rPr>
                <w:rFonts w:cstheme="minorHAnsi"/>
                <w:b/>
                <w:bCs/>
                <w:color w:val="000000" w:themeColor="text1"/>
                <w:lang w:val="en-AU"/>
              </w:rPr>
            </w:pPr>
            <w:r w:rsidRPr="003D6262">
              <w:rPr>
                <w:rFonts w:cstheme="minorHAnsi"/>
                <w:b/>
                <w:bCs/>
                <w:color w:val="000000" w:themeColor="text1"/>
                <w:lang w:val="en-AU"/>
              </w:rPr>
              <w:t xml:space="preserve">No </w:t>
            </w:r>
          </w:p>
        </w:tc>
        <w:tc>
          <w:tcPr>
            <w:tcW w:w="4318" w:type="pct"/>
            <w:shd w:val="clear" w:color="auto" w:fill="45B0E1" w:themeFill="accent1" w:themeFillTint="99"/>
          </w:tcPr>
          <w:p w14:paraId="2143B572" w14:textId="5F484F58" w:rsidR="00002865" w:rsidRPr="003D6262" w:rsidRDefault="003D6262" w:rsidP="00B81514">
            <w:pPr>
              <w:spacing w:line="276" w:lineRule="auto"/>
              <w:jc w:val="both"/>
              <w:rPr>
                <w:rFonts w:cstheme="minorHAnsi"/>
                <w:b/>
                <w:bCs/>
                <w:lang w:val="en-AU"/>
              </w:rPr>
            </w:pPr>
            <w:r w:rsidRPr="003D6262">
              <w:rPr>
                <w:rFonts w:cstheme="minorHAnsi"/>
                <w:b/>
                <w:bCs/>
                <w:lang w:val="en-AU"/>
              </w:rPr>
              <w:t xml:space="preserve">Indicator </w:t>
            </w:r>
          </w:p>
        </w:tc>
      </w:tr>
      <w:tr w:rsidR="004463A5" w:rsidRPr="007C3B9D" w14:paraId="40054BD4" w14:textId="77777777" w:rsidTr="00DE7D59">
        <w:tc>
          <w:tcPr>
            <w:tcW w:w="682" w:type="pct"/>
          </w:tcPr>
          <w:p w14:paraId="056425CB" w14:textId="77777777" w:rsidR="004463A5" w:rsidRPr="007C3B9D" w:rsidRDefault="004463A5" w:rsidP="00B81514">
            <w:pPr>
              <w:spacing w:line="276" w:lineRule="auto"/>
              <w:jc w:val="both"/>
              <w:rPr>
                <w:rFonts w:cstheme="minorHAnsi"/>
                <w:color w:val="000000" w:themeColor="text1"/>
                <w:lang w:val="en-AU"/>
              </w:rPr>
            </w:pPr>
            <w:r w:rsidRPr="007C3B9D">
              <w:rPr>
                <w:rFonts w:cstheme="minorHAnsi"/>
                <w:color w:val="000000" w:themeColor="text1"/>
                <w:lang w:val="en-AU"/>
              </w:rPr>
              <w:t>1</w:t>
            </w:r>
          </w:p>
        </w:tc>
        <w:tc>
          <w:tcPr>
            <w:tcW w:w="4318" w:type="pct"/>
          </w:tcPr>
          <w:p w14:paraId="27935DA3" w14:textId="5417DC25" w:rsidR="004463A5" w:rsidRPr="007C3B9D" w:rsidRDefault="004463A5" w:rsidP="00B81514">
            <w:pPr>
              <w:spacing w:line="276" w:lineRule="auto"/>
              <w:jc w:val="both"/>
              <w:rPr>
                <w:rFonts w:cstheme="minorHAnsi"/>
                <w:lang w:val="en-AU"/>
              </w:rPr>
            </w:pPr>
            <w:r w:rsidRPr="007C3B9D">
              <w:rPr>
                <w:rFonts w:cstheme="minorHAnsi"/>
                <w:lang w:val="en-AU"/>
              </w:rPr>
              <w:t xml:space="preserve">Progress in regular and ad hoc interface between ASEAN and Australian counterparts to exchange ideas to improve program implementation </w:t>
            </w:r>
          </w:p>
        </w:tc>
      </w:tr>
      <w:tr w:rsidR="004463A5" w:rsidRPr="007C3B9D" w14:paraId="708EE539" w14:textId="77777777" w:rsidTr="00DE7D59">
        <w:tc>
          <w:tcPr>
            <w:tcW w:w="682" w:type="pct"/>
          </w:tcPr>
          <w:p w14:paraId="263AE44D" w14:textId="77777777" w:rsidR="004463A5" w:rsidRPr="007C3B9D" w:rsidRDefault="004463A5" w:rsidP="00B81514">
            <w:pPr>
              <w:spacing w:line="276" w:lineRule="auto"/>
              <w:jc w:val="both"/>
              <w:rPr>
                <w:rFonts w:cstheme="minorHAnsi"/>
                <w:color w:val="000000" w:themeColor="text1"/>
                <w:lang w:val="en-AU"/>
              </w:rPr>
            </w:pPr>
            <w:r w:rsidRPr="007C3B9D">
              <w:rPr>
                <w:rFonts w:cstheme="minorHAnsi"/>
                <w:color w:val="000000" w:themeColor="text1"/>
                <w:lang w:val="en-AU"/>
              </w:rPr>
              <w:t>1.1</w:t>
            </w:r>
          </w:p>
        </w:tc>
        <w:tc>
          <w:tcPr>
            <w:tcW w:w="4318" w:type="pct"/>
          </w:tcPr>
          <w:p w14:paraId="3C55211C" w14:textId="77777777" w:rsidR="004463A5" w:rsidRPr="007C3B9D" w:rsidRDefault="004463A5" w:rsidP="00B81514">
            <w:pPr>
              <w:spacing w:line="276" w:lineRule="auto"/>
              <w:jc w:val="both"/>
              <w:rPr>
                <w:rFonts w:eastAsia="Times New Roman" w:cstheme="minorHAnsi"/>
                <w:color w:val="000000" w:themeColor="text1"/>
                <w:lang w:val="en-AU"/>
              </w:rPr>
            </w:pPr>
            <w:r w:rsidRPr="007C3B9D">
              <w:rPr>
                <w:rFonts w:cstheme="minorHAnsi"/>
                <w:lang w:val="en-AU"/>
              </w:rPr>
              <w:t>Progress in number of programs / activities informed by well-targeted and valued expertise shared by Australia</w:t>
            </w:r>
          </w:p>
        </w:tc>
      </w:tr>
      <w:tr w:rsidR="004463A5" w:rsidRPr="007C3B9D" w14:paraId="08166180" w14:textId="77777777" w:rsidTr="00DE7D59">
        <w:tc>
          <w:tcPr>
            <w:tcW w:w="682" w:type="pct"/>
          </w:tcPr>
          <w:p w14:paraId="34FCA6B5" w14:textId="77777777" w:rsidR="004463A5" w:rsidRPr="007C3B9D" w:rsidRDefault="004463A5" w:rsidP="00B81514">
            <w:pPr>
              <w:spacing w:line="276" w:lineRule="auto"/>
              <w:jc w:val="both"/>
              <w:rPr>
                <w:rFonts w:cstheme="minorHAnsi"/>
                <w:color w:val="000000" w:themeColor="text1"/>
                <w:lang w:val="en-AU"/>
              </w:rPr>
            </w:pPr>
            <w:r w:rsidRPr="007C3B9D">
              <w:rPr>
                <w:rFonts w:cstheme="minorHAnsi"/>
                <w:color w:val="000000" w:themeColor="text1"/>
                <w:lang w:val="en-AU"/>
              </w:rPr>
              <w:t>1.2</w:t>
            </w:r>
          </w:p>
        </w:tc>
        <w:tc>
          <w:tcPr>
            <w:tcW w:w="4318" w:type="pct"/>
          </w:tcPr>
          <w:p w14:paraId="5B942FEA" w14:textId="77777777" w:rsidR="004463A5" w:rsidRPr="007C3B9D" w:rsidRDefault="004463A5" w:rsidP="00B81514">
            <w:pPr>
              <w:spacing w:line="276" w:lineRule="auto"/>
              <w:jc w:val="both"/>
              <w:rPr>
                <w:rFonts w:eastAsia="Times New Roman" w:cstheme="minorHAnsi"/>
                <w:color w:val="000000" w:themeColor="text1"/>
                <w:lang w:val="en-AU"/>
              </w:rPr>
            </w:pPr>
            <w:r w:rsidRPr="007C3B9D">
              <w:rPr>
                <w:rFonts w:cstheme="minorHAnsi"/>
                <w:lang w:val="en-AU"/>
              </w:rPr>
              <w:t xml:space="preserve">Positive and prompt APSP support to the implementation of ASEAN-initiated activities </w:t>
            </w:r>
          </w:p>
        </w:tc>
      </w:tr>
      <w:tr w:rsidR="004463A5" w:rsidRPr="007C3B9D" w14:paraId="5BE342D9" w14:textId="77777777" w:rsidTr="00DE7D59">
        <w:tc>
          <w:tcPr>
            <w:tcW w:w="682" w:type="pct"/>
          </w:tcPr>
          <w:p w14:paraId="5DA71130" w14:textId="77777777" w:rsidR="004463A5" w:rsidRPr="007C3B9D" w:rsidRDefault="004463A5" w:rsidP="00B81514">
            <w:pPr>
              <w:spacing w:line="276" w:lineRule="auto"/>
              <w:jc w:val="both"/>
              <w:rPr>
                <w:rFonts w:cstheme="minorHAnsi"/>
                <w:color w:val="000000" w:themeColor="text1"/>
                <w:lang w:val="en-AU"/>
              </w:rPr>
            </w:pPr>
            <w:r w:rsidRPr="007C3B9D">
              <w:rPr>
                <w:rFonts w:cstheme="minorHAnsi"/>
                <w:color w:val="000000" w:themeColor="text1"/>
                <w:lang w:val="en-AU"/>
              </w:rPr>
              <w:t>1.3</w:t>
            </w:r>
          </w:p>
        </w:tc>
        <w:tc>
          <w:tcPr>
            <w:tcW w:w="4318" w:type="pct"/>
          </w:tcPr>
          <w:p w14:paraId="6D4B4649" w14:textId="77777777" w:rsidR="004463A5" w:rsidRPr="007C3B9D" w:rsidRDefault="004463A5" w:rsidP="00B81514">
            <w:pPr>
              <w:spacing w:line="276" w:lineRule="auto"/>
              <w:jc w:val="both"/>
              <w:rPr>
                <w:rFonts w:eastAsia="Times New Roman" w:cstheme="minorHAnsi"/>
                <w:color w:val="000000" w:themeColor="text1"/>
                <w:lang w:val="en-AU"/>
              </w:rPr>
            </w:pPr>
            <w:r w:rsidRPr="007C3B9D">
              <w:rPr>
                <w:rFonts w:cstheme="minorHAnsi"/>
                <w:lang w:val="en-AU"/>
              </w:rPr>
              <w:t xml:space="preserve">Progress in the involvement of ASEAN and Australian counterparts </w:t>
            </w:r>
            <w:proofErr w:type="gramStart"/>
            <w:r w:rsidRPr="007C3B9D">
              <w:rPr>
                <w:rFonts w:cstheme="minorHAnsi"/>
                <w:lang w:val="en-AU"/>
              </w:rPr>
              <w:t>as a result of</w:t>
            </w:r>
            <w:proofErr w:type="gramEnd"/>
            <w:r w:rsidRPr="007C3B9D">
              <w:rPr>
                <w:rFonts w:cstheme="minorHAnsi"/>
                <w:lang w:val="en-AU"/>
              </w:rPr>
              <w:t xml:space="preserve"> APSP activities</w:t>
            </w:r>
          </w:p>
        </w:tc>
      </w:tr>
      <w:tr w:rsidR="004463A5" w:rsidRPr="007C3B9D" w14:paraId="1C42C153" w14:textId="77777777" w:rsidTr="00DE7D59">
        <w:tc>
          <w:tcPr>
            <w:tcW w:w="682" w:type="pct"/>
          </w:tcPr>
          <w:p w14:paraId="38886D6D" w14:textId="77777777" w:rsidR="004463A5" w:rsidRPr="007C3B9D" w:rsidRDefault="004463A5" w:rsidP="00B81514">
            <w:pPr>
              <w:spacing w:line="276" w:lineRule="auto"/>
              <w:jc w:val="both"/>
              <w:rPr>
                <w:rFonts w:cstheme="minorHAnsi"/>
                <w:color w:val="000000" w:themeColor="text1"/>
                <w:lang w:val="en-AU"/>
              </w:rPr>
            </w:pPr>
            <w:r w:rsidRPr="007C3B9D">
              <w:rPr>
                <w:rFonts w:cstheme="minorHAnsi"/>
                <w:color w:val="000000" w:themeColor="text1"/>
                <w:lang w:val="en-AU"/>
              </w:rPr>
              <w:t>2</w:t>
            </w:r>
          </w:p>
        </w:tc>
        <w:tc>
          <w:tcPr>
            <w:tcW w:w="4318" w:type="pct"/>
          </w:tcPr>
          <w:p w14:paraId="38DDBBA3" w14:textId="16251A77" w:rsidR="004463A5" w:rsidRPr="007C3B9D" w:rsidRDefault="004463A5" w:rsidP="00B81514">
            <w:pPr>
              <w:spacing w:line="276" w:lineRule="auto"/>
              <w:jc w:val="both"/>
              <w:rPr>
                <w:rFonts w:cstheme="minorHAnsi"/>
                <w:lang w:val="en-AU"/>
              </w:rPr>
            </w:pPr>
            <w:r w:rsidRPr="007C3B9D">
              <w:rPr>
                <w:rFonts w:cstheme="minorHAnsi"/>
                <w:lang w:val="en-AU"/>
              </w:rPr>
              <w:t>Improved understanding and awareness of ASEAN and stakeholders on GEDSI, cross-sectoral and multi-stakeholder approaches to political security</w:t>
            </w:r>
          </w:p>
        </w:tc>
      </w:tr>
      <w:tr w:rsidR="004463A5" w:rsidRPr="007C3B9D" w14:paraId="2690005A" w14:textId="77777777" w:rsidTr="00DE7D59">
        <w:tc>
          <w:tcPr>
            <w:tcW w:w="682" w:type="pct"/>
          </w:tcPr>
          <w:p w14:paraId="47FF5BD4" w14:textId="77777777" w:rsidR="004463A5" w:rsidRPr="007C3B9D" w:rsidRDefault="004463A5" w:rsidP="00B81514">
            <w:pPr>
              <w:spacing w:line="276" w:lineRule="auto"/>
              <w:jc w:val="both"/>
              <w:rPr>
                <w:rFonts w:cstheme="minorHAnsi"/>
                <w:color w:val="000000" w:themeColor="text1"/>
                <w:lang w:val="en-AU"/>
              </w:rPr>
            </w:pPr>
            <w:r w:rsidRPr="007C3B9D">
              <w:rPr>
                <w:rFonts w:cstheme="minorHAnsi"/>
                <w:color w:val="000000" w:themeColor="text1"/>
                <w:lang w:val="en-AU"/>
              </w:rPr>
              <w:t>2.1</w:t>
            </w:r>
          </w:p>
        </w:tc>
        <w:tc>
          <w:tcPr>
            <w:tcW w:w="4318" w:type="pct"/>
          </w:tcPr>
          <w:p w14:paraId="2A72A337" w14:textId="77777777" w:rsidR="004463A5" w:rsidRPr="007C3B9D" w:rsidRDefault="004463A5" w:rsidP="00B81514">
            <w:pPr>
              <w:spacing w:line="276" w:lineRule="auto"/>
              <w:jc w:val="both"/>
              <w:rPr>
                <w:rFonts w:cstheme="minorHAnsi"/>
                <w:lang w:val="en-AU"/>
              </w:rPr>
            </w:pPr>
            <w:r w:rsidRPr="007C3B9D">
              <w:rPr>
                <w:rFonts w:cstheme="minorHAnsi"/>
                <w:lang w:val="en-AU"/>
              </w:rPr>
              <w:t xml:space="preserve">At least 75% of APSP activities have clear link and contribute to the implementation of ASEAN frameworks, including declarations and workplans. </w:t>
            </w:r>
          </w:p>
        </w:tc>
      </w:tr>
      <w:tr w:rsidR="004463A5" w:rsidRPr="007C3B9D" w14:paraId="0F8F3CA6" w14:textId="77777777" w:rsidTr="00DE7D59">
        <w:tc>
          <w:tcPr>
            <w:tcW w:w="682" w:type="pct"/>
          </w:tcPr>
          <w:p w14:paraId="7D6A3C15" w14:textId="77777777" w:rsidR="004463A5" w:rsidRPr="007C3B9D" w:rsidRDefault="004463A5" w:rsidP="00B81514">
            <w:pPr>
              <w:spacing w:line="276" w:lineRule="auto"/>
              <w:jc w:val="both"/>
              <w:rPr>
                <w:rFonts w:cstheme="minorHAnsi"/>
                <w:color w:val="000000" w:themeColor="text1"/>
                <w:lang w:val="en-AU"/>
              </w:rPr>
            </w:pPr>
            <w:r w:rsidRPr="007C3B9D">
              <w:rPr>
                <w:rFonts w:cstheme="minorHAnsi"/>
                <w:color w:val="000000" w:themeColor="text1"/>
                <w:lang w:val="en-AU"/>
              </w:rPr>
              <w:t>2.2</w:t>
            </w:r>
          </w:p>
        </w:tc>
        <w:tc>
          <w:tcPr>
            <w:tcW w:w="4318" w:type="pct"/>
          </w:tcPr>
          <w:p w14:paraId="6F8FE517" w14:textId="77777777" w:rsidR="004463A5" w:rsidRPr="007C3B9D" w:rsidRDefault="004463A5" w:rsidP="00B81514">
            <w:pPr>
              <w:spacing w:line="276" w:lineRule="auto"/>
              <w:jc w:val="both"/>
              <w:rPr>
                <w:rFonts w:cstheme="minorHAnsi"/>
                <w:lang w:val="en-AU"/>
              </w:rPr>
            </w:pPr>
            <w:r w:rsidRPr="007C3B9D">
              <w:rPr>
                <w:rFonts w:cstheme="minorHAnsi"/>
                <w:lang w:val="en-AU"/>
              </w:rPr>
              <w:t xml:space="preserve">At least 75% of APSP activities demonstrate cross-sectoral and/or multi-stakeholder approaches to political security responses </w:t>
            </w:r>
          </w:p>
        </w:tc>
      </w:tr>
      <w:tr w:rsidR="004463A5" w:rsidRPr="007C3B9D" w14:paraId="0ECE21B0" w14:textId="77777777" w:rsidTr="00DE7D59">
        <w:tc>
          <w:tcPr>
            <w:tcW w:w="682" w:type="pct"/>
            <w:vMerge w:val="restart"/>
          </w:tcPr>
          <w:p w14:paraId="05166421" w14:textId="77777777" w:rsidR="004463A5" w:rsidRPr="007C3B9D" w:rsidRDefault="004463A5" w:rsidP="00B81514">
            <w:pPr>
              <w:spacing w:line="276" w:lineRule="auto"/>
              <w:jc w:val="both"/>
              <w:rPr>
                <w:rFonts w:cstheme="minorHAnsi"/>
                <w:color w:val="000000" w:themeColor="text1"/>
                <w:lang w:val="en-AU"/>
              </w:rPr>
            </w:pPr>
            <w:r w:rsidRPr="007C3B9D">
              <w:rPr>
                <w:rFonts w:eastAsia="Times New Roman" w:cstheme="minorHAnsi"/>
                <w:color w:val="000000" w:themeColor="text1"/>
                <w:lang w:val="en-AU"/>
              </w:rPr>
              <w:t xml:space="preserve">2.3. </w:t>
            </w:r>
          </w:p>
        </w:tc>
        <w:tc>
          <w:tcPr>
            <w:tcW w:w="4318" w:type="pct"/>
          </w:tcPr>
          <w:p w14:paraId="33486691" w14:textId="4D56CDE1" w:rsidR="004463A5" w:rsidRPr="007C3B9D" w:rsidRDefault="004463A5" w:rsidP="00B81514">
            <w:pPr>
              <w:spacing w:line="276" w:lineRule="auto"/>
              <w:jc w:val="both"/>
              <w:rPr>
                <w:rFonts w:cstheme="minorHAnsi"/>
                <w:lang w:val="en-AU"/>
              </w:rPr>
            </w:pPr>
            <w:r w:rsidRPr="007C3B9D">
              <w:rPr>
                <w:rFonts w:cstheme="minorHAnsi"/>
                <w:lang w:val="en-AU"/>
              </w:rPr>
              <w:t xml:space="preserve">At least 75% of APSP activities have either mainstreamed GEDSI or are GEDSI-focused. </w:t>
            </w:r>
          </w:p>
        </w:tc>
      </w:tr>
      <w:tr w:rsidR="004463A5" w:rsidRPr="007C3B9D" w14:paraId="67931175" w14:textId="77777777" w:rsidTr="00DE7D59">
        <w:tc>
          <w:tcPr>
            <w:tcW w:w="682" w:type="pct"/>
            <w:vMerge/>
          </w:tcPr>
          <w:p w14:paraId="14EF0447" w14:textId="77777777" w:rsidR="004463A5" w:rsidRPr="007C3B9D" w:rsidRDefault="004463A5" w:rsidP="00B81514">
            <w:pPr>
              <w:spacing w:line="276" w:lineRule="auto"/>
              <w:jc w:val="both"/>
              <w:rPr>
                <w:rFonts w:eastAsia="Times New Roman" w:cstheme="minorHAnsi"/>
                <w:color w:val="000000" w:themeColor="text1"/>
                <w:lang w:val="en-AU"/>
              </w:rPr>
            </w:pPr>
          </w:p>
        </w:tc>
        <w:tc>
          <w:tcPr>
            <w:tcW w:w="4318" w:type="pct"/>
          </w:tcPr>
          <w:p w14:paraId="4D2DAFD0" w14:textId="4AD44B3A" w:rsidR="004463A5" w:rsidRPr="007C3B9D" w:rsidRDefault="004463A5" w:rsidP="00B81514">
            <w:pPr>
              <w:spacing w:line="276" w:lineRule="auto"/>
              <w:jc w:val="both"/>
              <w:rPr>
                <w:rFonts w:cstheme="minorHAnsi"/>
                <w:lang w:val="en-AU"/>
              </w:rPr>
            </w:pPr>
            <w:r w:rsidRPr="007C3B9D">
              <w:rPr>
                <w:rFonts w:cstheme="minorHAnsi"/>
                <w:lang w:val="en-AU"/>
              </w:rPr>
              <w:t>At least 45% of the budget under TAF management is dedicated to GEDSI</w:t>
            </w:r>
          </w:p>
        </w:tc>
      </w:tr>
      <w:tr w:rsidR="004463A5" w:rsidRPr="007C3B9D" w14:paraId="719A6C0A" w14:textId="77777777" w:rsidTr="00DE7D59">
        <w:tc>
          <w:tcPr>
            <w:tcW w:w="682" w:type="pct"/>
          </w:tcPr>
          <w:p w14:paraId="1011A85F" w14:textId="77777777" w:rsidR="004463A5" w:rsidRPr="007C3B9D" w:rsidRDefault="004463A5" w:rsidP="00B81514">
            <w:pPr>
              <w:spacing w:line="276" w:lineRule="auto"/>
              <w:jc w:val="both"/>
              <w:rPr>
                <w:rFonts w:eastAsia="Times New Roman" w:cstheme="minorHAnsi"/>
                <w:color w:val="000000" w:themeColor="text1"/>
                <w:lang w:val="en-AU"/>
              </w:rPr>
            </w:pPr>
            <w:r w:rsidRPr="007C3B9D">
              <w:rPr>
                <w:rFonts w:eastAsia="Times New Roman" w:cstheme="minorHAnsi"/>
                <w:color w:val="000000" w:themeColor="text1"/>
                <w:lang w:val="en-AU"/>
              </w:rPr>
              <w:t>2.4</w:t>
            </w:r>
          </w:p>
        </w:tc>
        <w:tc>
          <w:tcPr>
            <w:tcW w:w="4318" w:type="pct"/>
          </w:tcPr>
          <w:p w14:paraId="10750973" w14:textId="77777777" w:rsidR="004463A5" w:rsidRPr="007C3B9D" w:rsidRDefault="004463A5" w:rsidP="00B81514">
            <w:pPr>
              <w:spacing w:line="276" w:lineRule="auto"/>
              <w:jc w:val="both"/>
              <w:rPr>
                <w:rFonts w:eastAsia="Times New Roman" w:cstheme="minorHAnsi"/>
                <w:color w:val="000000" w:themeColor="text1"/>
                <w:lang w:val="en-AU"/>
              </w:rPr>
            </w:pPr>
            <w:r w:rsidRPr="007C3B9D">
              <w:rPr>
                <w:rFonts w:cstheme="minorHAnsi"/>
                <w:lang w:val="en-AU"/>
              </w:rPr>
              <w:t xml:space="preserve">At least 75% of positive assessment of APSP activities by ASEAN and Australian counterparts </w:t>
            </w:r>
          </w:p>
        </w:tc>
      </w:tr>
    </w:tbl>
    <w:p w14:paraId="5136B030" w14:textId="2C4B4EC5" w:rsidR="00493922" w:rsidRPr="007C3B9D" w:rsidRDefault="001B6D99" w:rsidP="00A868FE">
      <w:pPr>
        <w:spacing w:before="240" w:after="120" w:line="276" w:lineRule="auto"/>
        <w:jc w:val="both"/>
        <w:rPr>
          <w:rFonts w:cs="Calibri"/>
          <w:lang w:val="en-AU"/>
        </w:rPr>
      </w:pPr>
      <w:r w:rsidRPr="007C3B9D">
        <w:rPr>
          <w:rFonts w:cs="Calibri"/>
          <w:lang w:val="en-AU"/>
        </w:rPr>
        <w:t xml:space="preserve">TAF provided comprehensive Annual Reports that described the program’s cumulative and </w:t>
      </w:r>
      <w:r w:rsidR="004463A5" w:rsidRPr="007C3B9D">
        <w:rPr>
          <w:rFonts w:cs="Calibri"/>
          <w:lang w:val="en-AU"/>
        </w:rPr>
        <w:t>yearly</w:t>
      </w:r>
      <w:r w:rsidRPr="007C3B9D">
        <w:rPr>
          <w:rFonts w:cs="Calibri"/>
          <w:lang w:val="en-AU"/>
        </w:rPr>
        <w:t xml:space="preserve"> </w:t>
      </w:r>
      <w:r w:rsidR="004463A5" w:rsidRPr="007C3B9D">
        <w:rPr>
          <w:rFonts w:cs="Calibri"/>
          <w:lang w:val="en-AU"/>
        </w:rPr>
        <w:t>outcomes</w:t>
      </w:r>
      <w:r w:rsidRPr="007C3B9D">
        <w:rPr>
          <w:rFonts w:cs="Calibri"/>
          <w:lang w:val="en-AU"/>
        </w:rPr>
        <w:t xml:space="preserve">, </w:t>
      </w:r>
      <w:r w:rsidR="004463A5" w:rsidRPr="007C3B9D">
        <w:rPr>
          <w:rFonts w:cs="Calibri"/>
          <w:lang w:val="en-AU"/>
        </w:rPr>
        <w:t xml:space="preserve">and Semi-Annual </w:t>
      </w:r>
      <w:r w:rsidR="00493922" w:rsidRPr="007C3B9D">
        <w:rPr>
          <w:rFonts w:cs="Calibri"/>
          <w:lang w:val="en-AU"/>
        </w:rPr>
        <w:t>Reviews</w:t>
      </w:r>
      <w:r w:rsidR="004463A5" w:rsidRPr="007C3B9D">
        <w:rPr>
          <w:rFonts w:cs="Calibri"/>
          <w:lang w:val="en-AU"/>
        </w:rPr>
        <w:t xml:space="preserve"> that</w:t>
      </w:r>
      <w:r w:rsidRPr="007C3B9D">
        <w:rPr>
          <w:rFonts w:cs="Calibri"/>
          <w:lang w:val="en-AU"/>
        </w:rPr>
        <w:t xml:space="preserve"> </w:t>
      </w:r>
      <w:r w:rsidR="004463A5" w:rsidRPr="007C3B9D">
        <w:rPr>
          <w:rFonts w:cs="Calibri"/>
          <w:lang w:val="en-AU"/>
        </w:rPr>
        <w:t xml:space="preserve">outlined cumulative and six-monthly results </w:t>
      </w:r>
      <w:r w:rsidRPr="007C3B9D">
        <w:rPr>
          <w:rFonts w:cs="Calibri"/>
          <w:lang w:val="en-AU"/>
        </w:rPr>
        <w:t>(</w:t>
      </w:r>
      <w:r w:rsidRPr="007C3B9D">
        <w:rPr>
          <w:rFonts w:cs="Calibri"/>
          <w:i/>
          <w:iCs/>
          <w:lang w:val="en-AU"/>
        </w:rPr>
        <w:t>see also Efficiency below</w:t>
      </w:r>
      <w:r w:rsidRPr="007C3B9D">
        <w:rPr>
          <w:rFonts w:cs="Calibri"/>
          <w:lang w:val="en-AU"/>
        </w:rPr>
        <w:t xml:space="preserve">). The </w:t>
      </w:r>
      <w:r w:rsidR="00493922" w:rsidRPr="007C3B9D">
        <w:rPr>
          <w:rFonts w:cs="Calibri"/>
          <w:lang w:val="en-AU"/>
        </w:rPr>
        <w:t>2023 Annual Report outlined the program’s progress as of November of that year, with each EOIO considered to be on track. Considerable detail concerning the activities is provided, which collectively support the conclusion that the program has been achieving its Key Performance Indicators, however it is observed that the outcomes are described almost exclusively in quantitative terms, which are described as a ‘</w:t>
      </w:r>
      <w:r w:rsidR="00493922" w:rsidRPr="007C3B9D">
        <w:rPr>
          <w:rFonts w:cs="Calibri"/>
          <w:i/>
          <w:iCs/>
          <w:lang w:val="en-AU"/>
        </w:rPr>
        <w:t>quantitative testament of APSP’s success</w:t>
      </w:r>
      <w:r w:rsidR="00493922" w:rsidRPr="007C3B9D">
        <w:rPr>
          <w:rFonts w:cs="Calibri"/>
          <w:lang w:val="en-AU"/>
        </w:rPr>
        <w:t>’</w:t>
      </w:r>
      <w:r w:rsidR="00493922" w:rsidRPr="007C3B9D">
        <w:rPr>
          <w:rStyle w:val="FootnoteReference"/>
          <w:rFonts w:cs="Calibri"/>
          <w:lang w:val="en-AU"/>
        </w:rPr>
        <w:footnoteReference w:id="27"/>
      </w:r>
      <w:r w:rsidR="00493922" w:rsidRPr="007C3B9D">
        <w:rPr>
          <w:rFonts w:cs="Calibri"/>
          <w:lang w:val="en-AU"/>
        </w:rPr>
        <w:t xml:space="preserve">, are neither linked nor analysed directly in line with the KPIs, with the narrative containing little information concerning longer-term and more qualitative outcomes, relying largely on the results of participant feedback surveys provided at the time of each activity – which it is emphasised are very positive – without a ‘deeper dive’ regarding </w:t>
      </w:r>
      <w:r w:rsidR="00493922" w:rsidRPr="007C3B9D">
        <w:rPr>
          <w:rFonts w:cs="Calibri"/>
          <w:i/>
          <w:iCs/>
          <w:lang w:val="en-AU"/>
        </w:rPr>
        <w:t>inter alia</w:t>
      </w:r>
      <w:r w:rsidR="00493922" w:rsidRPr="007C3B9D">
        <w:rPr>
          <w:rFonts w:cs="Calibri"/>
          <w:lang w:val="en-AU"/>
        </w:rPr>
        <w:t xml:space="preserve"> ASEAN partners’ perceptions. This strongly suggest the need for more rigorous strategic monitoring and reporting for the final phase of the </w:t>
      </w:r>
      <w:proofErr w:type="gramStart"/>
      <w:r w:rsidR="00493922" w:rsidRPr="007C3B9D">
        <w:rPr>
          <w:rFonts w:cs="Calibri"/>
          <w:lang w:val="en-AU"/>
        </w:rPr>
        <w:t>program, and</w:t>
      </w:r>
      <w:proofErr w:type="gramEnd"/>
      <w:r w:rsidR="00493922" w:rsidRPr="007C3B9D">
        <w:rPr>
          <w:rFonts w:cs="Calibri"/>
          <w:lang w:val="en-AU"/>
        </w:rPr>
        <w:t xml:space="preserve"> embedded into any future initiative.</w:t>
      </w:r>
    </w:p>
    <w:p w14:paraId="11E5501A" w14:textId="7FCFBBF8" w:rsidR="00493922" w:rsidRPr="007C3B9D" w:rsidRDefault="00493922" w:rsidP="00903D77">
      <w:pPr>
        <w:spacing w:after="120" w:line="276" w:lineRule="auto"/>
        <w:jc w:val="both"/>
        <w:rPr>
          <w:rFonts w:cs="Calibri"/>
          <w:lang w:val="en-AU"/>
        </w:rPr>
      </w:pPr>
      <w:r w:rsidRPr="007C3B9D">
        <w:rPr>
          <w:rFonts w:cs="Calibri"/>
          <w:lang w:val="en-AU"/>
        </w:rPr>
        <w:t xml:space="preserve">Nevertheless, activity reporting is extremely </w:t>
      </w:r>
      <w:proofErr w:type="gramStart"/>
      <w:r w:rsidRPr="007C3B9D">
        <w:rPr>
          <w:rFonts w:cs="Calibri"/>
          <w:lang w:val="en-AU"/>
        </w:rPr>
        <w:t>thorough, and</w:t>
      </w:r>
      <w:proofErr w:type="gramEnd"/>
      <w:r w:rsidRPr="007C3B9D">
        <w:rPr>
          <w:rFonts w:cs="Calibri"/>
          <w:lang w:val="en-AU"/>
        </w:rPr>
        <w:t xml:space="preserve"> is frank and realistic in its assessment of constraints and projected workplan, and it is evident that the program has achieved considerable momentum despite its somewhat uncertain beginnings, as described below. </w:t>
      </w:r>
    </w:p>
    <w:p w14:paraId="18DF834E" w14:textId="6858C74C" w:rsidR="00F178E2" w:rsidRPr="007C3B9D" w:rsidRDefault="00493922" w:rsidP="00903D77">
      <w:pPr>
        <w:spacing w:after="120" w:line="276" w:lineRule="auto"/>
        <w:jc w:val="both"/>
        <w:rPr>
          <w:rFonts w:cs="Calibri"/>
          <w:lang w:val="en-AU"/>
        </w:rPr>
      </w:pPr>
      <w:r w:rsidRPr="007C3B9D">
        <w:rPr>
          <w:rFonts w:cs="Calibri"/>
          <w:lang w:val="en-AU"/>
        </w:rPr>
        <w:t>The program’s outcomes for the cumulative program period, with examples, is summarised below:</w:t>
      </w:r>
    </w:p>
    <w:p w14:paraId="4FC539EF" w14:textId="2CDCA29B" w:rsidR="00F178E2" w:rsidRPr="007C3B9D" w:rsidRDefault="00F178E2" w:rsidP="0035461D">
      <w:pPr>
        <w:pStyle w:val="Heading3"/>
      </w:pPr>
      <w:r w:rsidRPr="007C3B9D">
        <w:t>Outcome 1: Stronger ASEAN-Australia relationships and engagement</w:t>
      </w:r>
    </w:p>
    <w:p w14:paraId="427100D5" w14:textId="77777777" w:rsidR="00493922" w:rsidRPr="007C3B9D" w:rsidRDefault="00F178E2" w:rsidP="00B81514">
      <w:pPr>
        <w:numPr>
          <w:ilvl w:val="0"/>
          <w:numId w:val="22"/>
        </w:numPr>
        <w:spacing w:after="0" w:line="276" w:lineRule="auto"/>
        <w:jc w:val="both"/>
        <w:rPr>
          <w:rFonts w:cs="Calibri"/>
          <w:lang w:val="en-AU"/>
        </w:rPr>
      </w:pPr>
      <w:r w:rsidRPr="007C3B9D">
        <w:rPr>
          <w:rFonts w:cs="Calibri"/>
          <w:lang w:val="en-AU"/>
        </w:rPr>
        <w:t>Direct contribution to the implementation of ASEAN-Australia Plan of Action.</w:t>
      </w:r>
    </w:p>
    <w:p w14:paraId="4D8C0BB6" w14:textId="4466665D" w:rsidR="00493922" w:rsidRPr="007C3B9D" w:rsidRDefault="00F178E2" w:rsidP="00B81514">
      <w:pPr>
        <w:numPr>
          <w:ilvl w:val="0"/>
          <w:numId w:val="22"/>
        </w:numPr>
        <w:spacing w:after="0" w:line="276" w:lineRule="auto"/>
        <w:jc w:val="both"/>
        <w:rPr>
          <w:rFonts w:cs="Calibri"/>
          <w:lang w:val="en-AU"/>
        </w:rPr>
      </w:pPr>
      <w:r w:rsidRPr="007C3B9D">
        <w:rPr>
          <w:rFonts w:cs="Calibri"/>
          <w:lang w:val="en-AU"/>
        </w:rPr>
        <w:lastRenderedPageBreak/>
        <w:t>Enabled Australia to work with ASEAN on sensitive issues or crowded areas</w:t>
      </w:r>
      <w:r w:rsidR="00493922" w:rsidRPr="007C3B9D">
        <w:rPr>
          <w:rFonts w:cs="Calibri"/>
          <w:lang w:val="en-AU"/>
        </w:rPr>
        <w:t xml:space="preserve"> (e.g. </w:t>
      </w:r>
      <w:r w:rsidRPr="007C3B9D">
        <w:rPr>
          <w:rFonts w:cs="Calibri"/>
          <w:lang w:val="en-AU"/>
        </w:rPr>
        <w:t>Track 2 Workshop on Conflict Prevention</w:t>
      </w:r>
      <w:r w:rsidR="00493922" w:rsidRPr="007C3B9D">
        <w:rPr>
          <w:rFonts w:cs="Calibri"/>
          <w:lang w:val="en-AU"/>
        </w:rPr>
        <w:t>)</w:t>
      </w:r>
    </w:p>
    <w:p w14:paraId="60F3B167" w14:textId="77777777" w:rsidR="00493922" w:rsidRPr="007C3B9D" w:rsidRDefault="00F178E2" w:rsidP="00B81514">
      <w:pPr>
        <w:numPr>
          <w:ilvl w:val="0"/>
          <w:numId w:val="22"/>
        </w:numPr>
        <w:spacing w:after="0" w:line="276" w:lineRule="auto"/>
        <w:jc w:val="both"/>
        <w:rPr>
          <w:rFonts w:cs="Calibri"/>
          <w:lang w:val="en-AU"/>
        </w:rPr>
      </w:pPr>
      <w:r w:rsidRPr="007C3B9D">
        <w:rPr>
          <w:rFonts w:cs="Calibri"/>
          <w:lang w:val="en-AU"/>
        </w:rPr>
        <w:t>Enabled Australia to be responsive to ASEAN requests, with timely follow-through on concrete activities</w:t>
      </w:r>
      <w:r w:rsidR="00493922" w:rsidRPr="007C3B9D">
        <w:rPr>
          <w:rFonts w:cs="Calibri"/>
          <w:lang w:val="en-AU"/>
        </w:rPr>
        <w:t xml:space="preserve"> (e.g. </w:t>
      </w:r>
      <w:r w:rsidRPr="007C3B9D">
        <w:rPr>
          <w:rFonts w:cs="Calibri"/>
          <w:lang w:val="en-AU"/>
        </w:rPr>
        <w:t>3rd ASEAN Women Leaders’ Summit</w:t>
      </w:r>
      <w:r w:rsidR="00493922" w:rsidRPr="007C3B9D">
        <w:rPr>
          <w:rFonts w:cs="Calibri"/>
          <w:lang w:val="en-AU"/>
        </w:rPr>
        <w:t>)</w:t>
      </w:r>
    </w:p>
    <w:p w14:paraId="67A05F14" w14:textId="2B4275BF" w:rsidR="00493922" w:rsidRPr="007C3B9D" w:rsidRDefault="00493922" w:rsidP="00B81514">
      <w:pPr>
        <w:numPr>
          <w:ilvl w:val="0"/>
          <w:numId w:val="22"/>
        </w:numPr>
        <w:spacing w:after="0" w:line="276" w:lineRule="auto"/>
        <w:jc w:val="both"/>
        <w:rPr>
          <w:rFonts w:cs="Calibri"/>
          <w:lang w:val="en-AU"/>
        </w:rPr>
      </w:pPr>
      <w:r w:rsidRPr="007C3B9D">
        <w:rPr>
          <w:rFonts w:cs="Calibri"/>
          <w:lang w:val="en-AU"/>
        </w:rPr>
        <w:t>He</w:t>
      </w:r>
      <w:r w:rsidR="00F178E2" w:rsidRPr="007C3B9D">
        <w:rPr>
          <w:rFonts w:cs="Calibri"/>
          <w:lang w:val="en-AU"/>
        </w:rPr>
        <w:t xml:space="preserve">lped Australia broaden and/or deepen the relationship and engagement with 13 ASEAN partners and ASEAN-led mechanisms (6 of which </w:t>
      </w:r>
      <w:r w:rsidRPr="007C3B9D">
        <w:rPr>
          <w:rFonts w:cs="Calibri"/>
          <w:lang w:val="en-AU"/>
        </w:rPr>
        <w:t>were</w:t>
      </w:r>
      <w:r w:rsidR="00F178E2" w:rsidRPr="007C3B9D">
        <w:rPr>
          <w:rFonts w:cs="Calibri"/>
          <w:lang w:val="en-AU"/>
        </w:rPr>
        <w:t xml:space="preserve"> new partners for Australia)</w:t>
      </w:r>
      <w:r w:rsidRPr="007C3B9D">
        <w:rPr>
          <w:rFonts w:cs="Calibri"/>
          <w:lang w:val="en-AU"/>
        </w:rPr>
        <w:t xml:space="preserve"> (e.g. </w:t>
      </w:r>
      <w:r w:rsidR="00F178E2" w:rsidRPr="007C3B9D">
        <w:rPr>
          <w:rFonts w:cs="Calibri"/>
          <w:lang w:val="en-AU"/>
        </w:rPr>
        <w:t>Go-to partner for WPS, while helping Australia provide strategic support focusing on APSC pillar</w:t>
      </w:r>
      <w:r w:rsidRPr="007C3B9D">
        <w:rPr>
          <w:rFonts w:cs="Calibri"/>
          <w:lang w:val="en-AU"/>
        </w:rPr>
        <w:t>)</w:t>
      </w:r>
    </w:p>
    <w:p w14:paraId="7AA2DB4E" w14:textId="33B4DED9" w:rsidR="00F178E2" w:rsidRPr="007C3B9D" w:rsidRDefault="00493922" w:rsidP="00903D77">
      <w:pPr>
        <w:numPr>
          <w:ilvl w:val="0"/>
          <w:numId w:val="22"/>
        </w:numPr>
        <w:spacing w:after="120" w:line="276" w:lineRule="auto"/>
        <w:jc w:val="both"/>
        <w:rPr>
          <w:rFonts w:cs="Calibri"/>
          <w:lang w:val="en-AU"/>
        </w:rPr>
      </w:pPr>
      <w:r w:rsidRPr="007C3B9D">
        <w:rPr>
          <w:rFonts w:cs="Calibri"/>
          <w:lang w:val="en-AU"/>
        </w:rPr>
        <w:t>H</w:t>
      </w:r>
      <w:r w:rsidR="00F178E2" w:rsidRPr="007C3B9D">
        <w:rPr>
          <w:rFonts w:cs="Calibri"/>
          <w:lang w:val="en-AU"/>
        </w:rPr>
        <w:t>elped Australia promot</w:t>
      </w:r>
      <w:r w:rsidRPr="007C3B9D">
        <w:rPr>
          <w:rFonts w:cs="Calibri"/>
          <w:lang w:val="en-AU"/>
        </w:rPr>
        <w:t>e</w:t>
      </w:r>
      <w:r w:rsidR="00F178E2" w:rsidRPr="007C3B9D">
        <w:rPr>
          <w:rFonts w:cs="Calibri"/>
          <w:lang w:val="en-AU"/>
        </w:rPr>
        <w:t xml:space="preserve"> and facilitat</w:t>
      </w:r>
      <w:r w:rsidRPr="007C3B9D">
        <w:rPr>
          <w:rFonts w:cs="Calibri"/>
          <w:lang w:val="en-AU"/>
        </w:rPr>
        <w:t xml:space="preserve">e </w:t>
      </w:r>
      <w:r w:rsidR="00F178E2" w:rsidRPr="007C3B9D">
        <w:rPr>
          <w:rFonts w:cs="Calibri"/>
          <w:lang w:val="en-AU"/>
        </w:rPr>
        <w:t>involvement of 14 OGDs and Australian actors with ASEAN</w:t>
      </w:r>
      <w:r w:rsidRPr="007C3B9D">
        <w:rPr>
          <w:rFonts w:cs="Calibri"/>
          <w:lang w:val="en-AU"/>
        </w:rPr>
        <w:t>, referring to the need for a c</w:t>
      </w:r>
      <w:r w:rsidR="00F178E2" w:rsidRPr="007C3B9D">
        <w:rPr>
          <w:rFonts w:cs="Calibri"/>
          <w:lang w:val="en-AU"/>
        </w:rPr>
        <w:t>hange in strategy to promote OGD engagement</w:t>
      </w:r>
      <w:r w:rsidRPr="007C3B9D">
        <w:rPr>
          <w:rFonts w:cs="Calibri"/>
          <w:lang w:val="en-AU"/>
        </w:rPr>
        <w:t>.</w:t>
      </w:r>
    </w:p>
    <w:p w14:paraId="3BBE683D" w14:textId="7E78595C" w:rsidR="00493922" w:rsidRPr="007C3B9D" w:rsidRDefault="00493922" w:rsidP="00903D77">
      <w:pPr>
        <w:spacing w:after="120" w:line="276" w:lineRule="auto"/>
        <w:jc w:val="both"/>
        <w:rPr>
          <w:rFonts w:cs="Calibri"/>
          <w:lang w:val="en-AU"/>
        </w:rPr>
      </w:pPr>
      <w:r w:rsidRPr="007C3B9D">
        <w:rPr>
          <w:rFonts w:cs="Calibri"/>
          <w:lang w:val="en-AU"/>
        </w:rPr>
        <w:t>The table below provides a cumulative summary of ASEAN partners and mechanisms that were supported by the program, which clearly demonstrates a significant increase in the level and diversity of support to ASEAN in the post-Covid-19 period:</w:t>
      </w:r>
    </w:p>
    <w:p w14:paraId="5CDC6CFD" w14:textId="68DB079F" w:rsidR="00F178E2" w:rsidRPr="007C3B9D" w:rsidRDefault="00F178E2" w:rsidP="00903D77">
      <w:pPr>
        <w:spacing w:after="120" w:line="276" w:lineRule="auto"/>
        <w:jc w:val="center"/>
        <w:rPr>
          <w:rFonts w:ascii="Calibri" w:hAnsi="Calibri" w:cs="Calibri"/>
          <w:lang w:val="en-AU"/>
        </w:rPr>
      </w:pPr>
      <w:r w:rsidRPr="007C3B9D">
        <w:rPr>
          <w:rFonts w:ascii="Calibri" w:hAnsi="Calibri" w:cs="Calibri"/>
          <w:noProof/>
          <w:lang w:val="en-AU"/>
        </w:rPr>
        <w:drawing>
          <wp:inline distT="0" distB="0" distL="0" distR="0" wp14:anchorId="35C04D95" wp14:editId="444A436F">
            <wp:extent cx="3921211" cy="2217411"/>
            <wp:effectExtent l="0" t="0" r="3175" b="5715"/>
            <wp:docPr id="638854615" name="Picture 23" descr="A line graph illustrating the cumulative number of ASEAN mechanisms supported by APSP over time. The graph shows steady growth from 1 mechanism in 2010 to 2 mechanisms in 2020, followed by a sharp increase to 10 mechanisms in 2022 and further growth to 13 mechanisms by mid-2024, reflecting APSP's expanding engagement with ASEAN bo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54615" name="Picture 23" descr="A line graph illustrating the cumulative number of ASEAN mechanisms supported by APSP over time. The graph shows steady growth from 1 mechanism in 2010 to 2 mechanisms in 2020, followed by a sharp increase to 10 mechanisms in 2022 and further growth to 13 mechanisms by mid-2024, reflecting APSP's expanding engagement with ASEAN bodies.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9602" cy="2284360"/>
                    </a:xfrm>
                    <a:prstGeom prst="rect">
                      <a:avLst/>
                    </a:prstGeom>
                  </pic:spPr>
                </pic:pic>
              </a:graphicData>
            </a:graphic>
          </wp:inline>
        </w:drawing>
      </w:r>
    </w:p>
    <w:p w14:paraId="3FDB3E46" w14:textId="224B4E00" w:rsidR="00F178E2" w:rsidRPr="007C3B9D" w:rsidRDefault="00493922" w:rsidP="00903D77">
      <w:pPr>
        <w:spacing w:after="120" w:line="276" w:lineRule="auto"/>
        <w:jc w:val="center"/>
        <w:rPr>
          <w:i/>
          <w:iCs/>
          <w:color w:val="0F4761" w:themeColor="accent1" w:themeShade="BF"/>
          <w:sz w:val="18"/>
          <w:szCs w:val="18"/>
          <w:lang w:val="en-AU"/>
        </w:rPr>
      </w:pPr>
      <w:r w:rsidRPr="007C3B9D">
        <w:rPr>
          <w:i/>
          <w:iCs/>
          <w:color w:val="0F4761" w:themeColor="accent1" w:themeShade="BF"/>
          <w:sz w:val="18"/>
          <w:szCs w:val="18"/>
          <w:lang w:val="en-AU"/>
        </w:rPr>
        <w:t xml:space="preserve">Fig. </w:t>
      </w:r>
      <w:r w:rsidR="00DC1242" w:rsidRPr="007C3B9D">
        <w:rPr>
          <w:i/>
          <w:iCs/>
          <w:color w:val="0F4761" w:themeColor="accent1" w:themeShade="BF"/>
          <w:sz w:val="18"/>
          <w:szCs w:val="18"/>
          <w:lang w:val="en-AU"/>
        </w:rPr>
        <w:t>3:</w:t>
      </w:r>
      <w:r w:rsidRPr="007C3B9D">
        <w:rPr>
          <w:i/>
          <w:iCs/>
          <w:color w:val="0F4761" w:themeColor="accent1" w:themeShade="BF"/>
          <w:sz w:val="18"/>
          <w:szCs w:val="18"/>
          <w:lang w:val="en-AU"/>
        </w:rPr>
        <w:t xml:space="preserve"> ASEAN partners/ mechanisms supported. Source: The Asia Foundation</w:t>
      </w:r>
    </w:p>
    <w:p w14:paraId="5FB55481" w14:textId="77777777" w:rsidR="00493922" w:rsidRPr="007C3B9D" w:rsidRDefault="00493922" w:rsidP="00903D77">
      <w:pPr>
        <w:spacing w:after="120" w:line="276" w:lineRule="auto"/>
        <w:jc w:val="center"/>
        <w:rPr>
          <w:i/>
          <w:iCs/>
          <w:color w:val="0F4761" w:themeColor="accent1" w:themeShade="BF"/>
          <w:sz w:val="18"/>
          <w:szCs w:val="18"/>
          <w:lang w:val="en-AU"/>
        </w:rPr>
      </w:pPr>
    </w:p>
    <w:p w14:paraId="2FF208B4" w14:textId="142097CF" w:rsidR="00493922" w:rsidRPr="007C3B9D" w:rsidRDefault="00493922" w:rsidP="00903D77">
      <w:pPr>
        <w:spacing w:after="120" w:line="276" w:lineRule="auto"/>
        <w:jc w:val="both"/>
        <w:rPr>
          <w:rFonts w:cs="Calibri"/>
          <w:lang w:val="en-AU"/>
        </w:rPr>
      </w:pPr>
      <w:r w:rsidRPr="007C3B9D">
        <w:rPr>
          <w:rFonts w:cs="Calibri"/>
          <w:lang w:val="en-AU"/>
        </w:rPr>
        <w:t>Furthermore, the table below provides a cumulative summary of evolution of the level of engagement of OGD and other Australian entities, which also shows a similarly impressive post-Covid-10 upward trend:</w:t>
      </w:r>
    </w:p>
    <w:p w14:paraId="3EC78A4C" w14:textId="69A95E73" w:rsidR="00493922" w:rsidRPr="007C3B9D" w:rsidRDefault="00F178E2" w:rsidP="00903D77">
      <w:pPr>
        <w:spacing w:after="120" w:line="276" w:lineRule="auto"/>
        <w:jc w:val="center"/>
        <w:rPr>
          <w:rFonts w:ascii="Calibri" w:hAnsi="Calibri" w:cs="Calibri"/>
          <w:lang w:val="en-AU"/>
        </w:rPr>
      </w:pPr>
      <w:r w:rsidRPr="007C3B9D">
        <w:rPr>
          <w:rFonts w:ascii="Calibri" w:hAnsi="Calibri" w:cs="Calibri"/>
          <w:noProof/>
          <w:lang w:val="en-AU"/>
        </w:rPr>
        <w:drawing>
          <wp:inline distT="0" distB="0" distL="0" distR="0" wp14:anchorId="4E57C085" wp14:editId="253775AB">
            <wp:extent cx="3566984" cy="2063592"/>
            <wp:effectExtent l="0" t="0" r="1905" b="0"/>
            <wp:docPr id="723675810" name="Picture 24" descr="A line graph showing APSP's engagement with Australian entities over time. Engagement started in 2021 with 2 entities, rose to 4 in 2022, expanded rapidly to 13 entities in 2023 and reached 14 entities by July 2024 , highlighting APSP's growing collaboration with Australian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75810" name="Picture 24" descr="A line graph showing APSP's engagement with Australian entities over time. Engagement started in 2021 with 2 entities, rose to 4 in 2022, expanded rapidly to 13 entities in 2023 and reached 14 entities by July 2024 , highlighting APSP's growing collaboration with Australian partners.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8710" cy="2093517"/>
                    </a:xfrm>
                    <a:prstGeom prst="rect">
                      <a:avLst/>
                    </a:prstGeom>
                  </pic:spPr>
                </pic:pic>
              </a:graphicData>
            </a:graphic>
          </wp:inline>
        </w:drawing>
      </w:r>
    </w:p>
    <w:p w14:paraId="5A61705E" w14:textId="53D914F9" w:rsidR="00A868FE" w:rsidRDefault="00493922" w:rsidP="00903D77">
      <w:pPr>
        <w:spacing w:after="120" w:line="276" w:lineRule="auto"/>
        <w:jc w:val="center"/>
        <w:rPr>
          <w:i/>
          <w:iCs/>
          <w:color w:val="0F4761" w:themeColor="accent1" w:themeShade="BF"/>
          <w:sz w:val="18"/>
          <w:szCs w:val="18"/>
          <w:lang w:val="en-AU"/>
        </w:rPr>
      </w:pPr>
      <w:r w:rsidRPr="007C3B9D">
        <w:rPr>
          <w:i/>
          <w:iCs/>
          <w:color w:val="0F4761" w:themeColor="accent1" w:themeShade="BF"/>
          <w:sz w:val="18"/>
          <w:szCs w:val="18"/>
          <w:lang w:val="en-AU"/>
        </w:rPr>
        <w:t xml:space="preserve">Fig. </w:t>
      </w:r>
      <w:r w:rsidR="00DC1242" w:rsidRPr="007C3B9D">
        <w:rPr>
          <w:i/>
          <w:iCs/>
          <w:color w:val="0F4761" w:themeColor="accent1" w:themeShade="BF"/>
          <w:sz w:val="18"/>
          <w:szCs w:val="18"/>
          <w:lang w:val="en-AU"/>
        </w:rPr>
        <w:t xml:space="preserve">4: </w:t>
      </w:r>
      <w:r w:rsidRPr="007C3B9D">
        <w:rPr>
          <w:i/>
          <w:iCs/>
          <w:color w:val="0F4761" w:themeColor="accent1" w:themeShade="BF"/>
          <w:sz w:val="18"/>
          <w:szCs w:val="18"/>
          <w:lang w:val="en-AU"/>
        </w:rPr>
        <w:t>Engagement of OGD and Australian entities. Source: The Asia Foundation</w:t>
      </w:r>
    </w:p>
    <w:p w14:paraId="4A06891F" w14:textId="77777777" w:rsidR="00A868FE" w:rsidRDefault="00A868FE">
      <w:pPr>
        <w:rPr>
          <w:i/>
          <w:iCs/>
          <w:color w:val="0F4761" w:themeColor="accent1" w:themeShade="BF"/>
          <w:sz w:val="18"/>
          <w:szCs w:val="18"/>
          <w:lang w:val="en-AU"/>
        </w:rPr>
      </w:pPr>
      <w:r>
        <w:rPr>
          <w:i/>
          <w:iCs/>
          <w:color w:val="0F4761" w:themeColor="accent1" w:themeShade="BF"/>
          <w:sz w:val="18"/>
          <w:szCs w:val="18"/>
          <w:lang w:val="en-AU"/>
        </w:rPr>
        <w:br w:type="page"/>
      </w:r>
    </w:p>
    <w:p w14:paraId="67A7C60A" w14:textId="53065525" w:rsidR="00493922" w:rsidRPr="007C3B9D" w:rsidRDefault="00F178E2" w:rsidP="0035461D">
      <w:pPr>
        <w:pStyle w:val="Heading3"/>
      </w:pPr>
      <w:r w:rsidRPr="007C3B9D">
        <w:lastRenderedPageBreak/>
        <w:t>Outcome 2: ASEAN is addressing targeted political-security issues using increasingly effective cross-sectoral/multi-stakeholder approaches</w:t>
      </w:r>
    </w:p>
    <w:p w14:paraId="30F21F7D" w14:textId="77777777" w:rsidR="00493922" w:rsidRPr="007C3B9D" w:rsidRDefault="00F178E2" w:rsidP="00B81514">
      <w:pPr>
        <w:pStyle w:val="ListParagraph"/>
        <w:numPr>
          <w:ilvl w:val="0"/>
          <w:numId w:val="23"/>
        </w:numPr>
        <w:spacing w:after="0" w:line="276" w:lineRule="auto"/>
        <w:contextualSpacing w:val="0"/>
        <w:jc w:val="both"/>
        <w:rPr>
          <w:rFonts w:cs="Calibri"/>
          <w:color w:val="156082" w:themeColor="accent1"/>
          <w:lang w:val="en-AU"/>
        </w:rPr>
      </w:pPr>
      <w:r w:rsidRPr="007C3B9D">
        <w:rPr>
          <w:rFonts w:cs="Calibri"/>
          <w:lang w:val="en-AU"/>
        </w:rPr>
        <w:t>All activities have clear and explicit links with ASEAN frameworks and priorities.</w:t>
      </w:r>
    </w:p>
    <w:p w14:paraId="19CE65AE" w14:textId="4022FCEE" w:rsidR="00493922" w:rsidRPr="007C3B9D" w:rsidRDefault="00493922" w:rsidP="00B81514">
      <w:pPr>
        <w:pStyle w:val="ListParagraph"/>
        <w:numPr>
          <w:ilvl w:val="0"/>
          <w:numId w:val="23"/>
        </w:numPr>
        <w:spacing w:after="0" w:line="276" w:lineRule="auto"/>
        <w:contextualSpacing w:val="0"/>
        <w:jc w:val="both"/>
        <w:rPr>
          <w:rFonts w:cs="Calibri"/>
          <w:color w:val="156082" w:themeColor="accent1"/>
          <w:lang w:val="en-AU"/>
        </w:rPr>
      </w:pPr>
      <w:r w:rsidRPr="007C3B9D">
        <w:rPr>
          <w:rFonts w:cs="Calibri"/>
          <w:lang w:val="en-AU"/>
        </w:rPr>
        <w:t>E</w:t>
      </w:r>
      <w:r w:rsidR="00F178E2" w:rsidRPr="007C3B9D">
        <w:rPr>
          <w:rFonts w:cs="Calibri"/>
          <w:lang w:val="en-AU"/>
        </w:rPr>
        <w:t>xplicit effort in and contribut</w:t>
      </w:r>
      <w:r w:rsidRPr="007C3B9D">
        <w:rPr>
          <w:rFonts w:cs="Calibri"/>
          <w:lang w:val="en-AU"/>
        </w:rPr>
        <w:t>ion</w:t>
      </w:r>
      <w:r w:rsidR="00F178E2" w:rsidRPr="007C3B9D">
        <w:rPr>
          <w:rFonts w:cs="Calibri"/>
          <w:lang w:val="en-AU"/>
        </w:rPr>
        <w:t xml:space="preserve"> to promoting participation of, and exchange among representatives from diverse but relevant ASEAN sectoral bodies and other stakeholders</w:t>
      </w:r>
      <w:r w:rsidRPr="007C3B9D">
        <w:rPr>
          <w:rFonts w:cs="Calibri"/>
          <w:lang w:val="en-AU"/>
        </w:rPr>
        <w:t xml:space="preserve"> (e.g. </w:t>
      </w:r>
      <w:r w:rsidR="00F178E2" w:rsidRPr="007C3B9D">
        <w:rPr>
          <w:rFonts w:cs="Calibri"/>
          <w:lang w:val="en-AU"/>
        </w:rPr>
        <w:t>ASEAN-Australia Counter-Terrorism Workshop</w:t>
      </w:r>
      <w:r w:rsidRPr="007C3B9D">
        <w:rPr>
          <w:rFonts w:cs="Calibri"/>
          <w:lang w:val="en-AU"/>
        </w:rPr>
        <w:t>)</w:t>
      </w:r>
    </w:p>
    <w:p w14:paraId="2F72C724" w14:textId="77777777" w:rsidR="00493922" w:rsidRPr="007C3B9D" w:rsidRDefault="00F178E2" w:rsidP="00B81514">
      <w:pPr>
        <w:pStyle w:val="ListParagraph"/>
        <w:numPr>
          <w:ilvl w:val="0"/>
          <w:numId w:val="23"/>
        </w:numPr>
        <w:spacing w:after="0" w:line="276" w:lineRule="auto"/>
        <w:contextualSpacing w:val="0"/>
        <w:jc w:val="both"/>
        <w:rPr>
          <w:rFonts w:cs="Calibri"/>
          <w:color w:val="156082" w:themeColor="accent1"/>
          <w:lang w:val="en-AU"/>
        </w:rPr>
      </w:pPr>
      <w:r w:rsidRPr="007C3B9D">
        <w:rPr>
          <w:rFonts w:cs="Calibri"/>
          <w:lang w:val="en-AU"/>
        </w:rPr>
        <w:t>Enabled Australia to engage academics and experts in the discussion on political security issues to inform government officials</w:t>
      </w:r>
      <w:r w:rsidR="00493922" w:rsidRPr="007C3B9D">
        <w:rPr>
          <w:rFonts w:cs="Calibri"/>
          <w:lang w:val="en-AU"/>
        </w:rPr>
        <w:t xml:space="preserve"> (e.g. </w:t>
      </w:r>
      <w:r w:rsidRPr="007C3B9D">
        <w:rPr>
          <w:rFonts w:cs="Calibri"/>
          <w:lang w:val="en-AU"/>
        </w:rPr>
        <w:t>Track 2 Workshop on Conflict Prevention</w:t>
      </w:r>
      <w:r w:rsidR="00493922" w:rsidRPr="007C3B9D">
        <w:rPr>
          <w:rFonts w:cs="Calibri"/>
          <w:lang w:val="en-AU"/>
        </w:rPr>
        <w:t>)</w:t>
      </w:r>
    </w:p>
    <w:p w14:paraId="721A5DA7" w14:textId="47CAE75A" w:rsidR="00493922" w:rsidRPr="007C3B9D" w:rsidRDefault="00F178E2" w:rsidP="00B81514">
      <w:pPr>
        <w:pStyle w:val="ListParagraph"/>
        <w:numPr>
          <w:ilvl w:val="0"/>
          <w:numId w:val="23"/>
        </w:numPr>
        <w:spacing w:after="0" w:line="276" w:lineRule="auto"/>
        <w:contextualSpacing w:val="0"/>
        <w:jc w:val="both"/>
        <w:rPr>
          <w:rFonts w:cs="Calibri"/>
          <w:lang w:val="en-AU"/>
        </w:rPr>
      </w:pPr>
      <w:r w:rsidRPr="007C3B9D">
        <w:rPr>
          <w:rFonts w:cs="Calibri"/>
          <w:lang w:val="en-AU"/>
        </w:rPr>
        <w:t xml:space="preserve">Support to Timor-Leste toward becoming </w:t>
      </w:r>
      <w:r w:rsidR="00493922" w:rsidRPr="007C3B9D">
        <w:rPr>
          <w:rFonts w:cs="Calibri"/>
          <w:lang w:val="en-AU"/>
        </w:rPr>
        <w:t>11</w:t>
      </w:r>
      <w:r w:rsidR="00493922" w:rsidRPr="007C3B9D">
        <w:rPr>
          <w:rFonts w:cs="Calibri"/>
          <w:vertAlign w:val="superscript"/>
          <w:lang w:val="en-AU"/>
        </w:rPr>
        <w:t>th</w:t>
      </w:r>
      <w:r w:rsidR="00493922" w:rsidRPr="007C3B9D">
        <w:rPr>
          <w:rFonts w:cs="Calibri"/>
          <w:lang w:val="en-AU"/>
        </w:rPr>
        <w:t xml:space="preserve"> AMS,</w:t>
      </w:r>
      <w:r w:rsidRPr="007C3B9D">
        <w:rPr>
          <w:rFonts w:cs="Calibri"/>
          <w:lang w:val="en-AU"/>
        </w:rPr>
        <w:t xml:space="preserve"> in line with the </w:t>
      </w:r>
      <w:proofErr w:type="gramStart"/>
      <w:r w:rsidRPr="007C3B9D">
        <w:rPr>
          <w:rFonts w:cs="Calibri"/>
          <w:lang w:val="en-AU"/>
        </w:rPr>
        <w:t>Roadmap</w:t>
      </w:r>
      <w:proofErr w:type="gramEnd"/>
    </w:p>
    <w:p w14:paraId="1E2A36B4" w14:textId="565067AF" w:rsidR="00F178E2" w:rsidRPr="007C3B9D" w:rsidRDefault="00493922" w:rsidP="00903D77">
      <w:pPr>
        <w:pStyle w:val="ListParagraph"/>
        <w:numPr>
          <w:ilvl w:val="0"/>
          <w:numId w:val="23"/>
        </w:numPr>
        <w:spacing w:after="120" w:line="276" w:lineRule="auto"/>
        <w:contextualSpacing w:val="0"/>
        <w:jc w:val="both"/>
        <w:rPr>
          <w:rFonts w:cs="Calibri"/>
          <w:lang w:val="en-AU"/>
        </w:rPr>
      </w:pPr>
      <w:r w:rsidRPr="007C3B9D">
        <w:rPr>
          <w:rFonts w:cs="Calibri"/>
          <w:lang w:val="en-AU"/>
        </w:rPr>
        <w:t>Positive</w:t>
      </w:r>
      <w:r w:rsidR="00F178E2" w:rsidRPr="007C3B9D">
        <w:rPr>
          <w:rFonts w:cs="Calibri"/>
          <w:lang w:val="en-AU"/>
        </w:rPr>
        <w:t xml:space="preserve"> feedback from participants</w:t>
      </w:r>
      <w:r w:rsidRPr="007C3B9D">
        <w:rPr>
          <w:rFonts w:cs="Calibri"/>
          <w:lang w:val="en-AU"/>
        </w:rPr>
        <w:t xml:space="preserve"> concerning </w:t>
      </w:r>
      <w:r w:rsidR="00F178E2" w:rsidRPr="007C3B9D">
        <w:rPr>
          <w:rFonts w:cs="Calibri"/>
          <w:lang w:val="en-AU"/>
        </w:rPr>
        <w:t>the activities (content and logistics).</w:t>
      </w:r>
    </w:p>
    <w:p w14:paraId="478960D8" w14:textId="4F455080" w:rsidR="00493922" w:rsidRPr="007C3B9D" w:rsidRDefault="00493922" w:rsidP="00903D77">
      <w:pPr>
        <w:spacing w:after="120" w:line="276" w:lineRule="auto"/>
        <w:jc w:val="both"/>
        <w:rPr>
          <w:rFonts w:cs="Calibri"/>
          <w:lang w:val="en-AU"/>
        </w:rPr>
      </w:pPr>
      <w:r w:rsidRPr="007C3B9D">
        <w:rPr>
          <w:rFonts w:cs="Calibri"/>
          <w:lang w:val="en-AU"/>
        </w:rPr>
        <w:t>The following table provides an indication of the status of APSP’s activities as of the August 2024 Semi-Annual Review:</w:t>
      </w:r>
    </w:p>
    <w:p w14:paraId="7C55239E" w14:textId="77777777" w:rsidR="00493922" w:rsidRPr="007C3B9D" w:rsidRDefault="00493922" w:rsidP="00903D77">
      <w:pPr>
        <w:spacing w:after="120" w:line="276" w:lineRule="auto"/>
        <w:jc w:val="center"/>
        <w:rPr>
          <w:rFonts w:ascii="Calibri" w:hAnsi="Calibri" w:cs="Calibri"/>
          <w:lang w:val="en-AU"/>
        </w:rPr>
      </w:pPr>
      <w:r w:rsidRPr="007C3B9D">
        <w:rPr>
          <w:rFonts w:ascii="Calibri" w:hAnsi="Calibri" w:cs="Calibri"/>
          <w:noProof/>
          <w:lang w:val="en-AU"/>
        </w:rPr>
        <w:drawing>
          <wp:inline distT="0" distB="0" distL="0" distR="0" wp14:anchorId="6DF79BA1" wp14:editId="09D8878C">
            <wp:extent cx="3266711" cy="1828800"/>
            <wp:effectExtent l="0" t="0" r="0" b="0"/>
            <wp:docPr id="1458318432" name="Picture 26" descr="APSP Activities Counts for December 2023 and August 2024: Completed, 15, 20; On-going 7, 11; Approved for implementation 4, 4; Under review and approval process 9, 3; Removed 0, 2; Total 35,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18432" name="Picture 26" descr="APSP Activities Counts for December 2023 and August 2024: Completed, 15, 20; On-going 7, 11; Approved for implementation 4, 4; Under review and approval process 9, 3; Removed 0, 2; Total 35, 40’.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0645" cy="1892584"/>
                    </a:xfrm>
                    <a:prstGeom prst="rect">
                      <a:avLst/>
                    </a:prstGeom>
                  </pic:spPr>
                </pic:pic>
              </a:graphicData>
            </a:graphic>
          </wp:inline>
        </w:drawing>
      </w:r>
    </w:p>
    <w:p w14:paraId="69446CD7" w14:textId="729D04CC" w:rsidR="00493922" w:rsidRPr="007C3B9D" w:rsidRDefault="00493922" w:rsidP="00903D77">
      <w:pPr>
        <w:spacing w:after="120" w:line="276" w:lineRule="auto"/>
        <w:jc w:val="center"/>
        <w:rPr>
          <w:i/>
          <w:iCs/>
          <w:color w:val="0F4761" w:themeColor="accent1" w:themeShade="BF"/>
          <w:sz w:val="18"/>
          <w:szCs w:val="18"/>
          <w:lang w:val="en-AU"/>
        </w:rPr>
      </w:pPr>
      <w:r w:rsidRPr="007C3B9D">
        <w:rPr>
          <w:i/>
          <w:iCs/>
          <w:color w:val="0F4761" w:themeColor="accent1" w:themeShade="BF"/>
          <w:sz w:val="18"/>
          <w:szCs w:val="18"/>
          <w:lang w:val="en-AU"/>
        </w:rPr>
        <w:t xml:space="preserve">Fig. </w:t>
      </w:r>
      <w:r w:rsidR="00DC1242" w:rsidRPr="007C3B9D">
        <w:rPr>
          <w:i/>
          <w:iCs/>
          <w:color w:val="0F4761" w:themeColor="accent1" w:themeShade="BF"/>
          <w:sz w:val="18"/>
          <w:szCs w:val="18"/>
          <w:lang w:val="en-AU"/>
        </w:rPr>
        <w:t>5</w:t>
      </w:r>
      <w:r w:rsidRPr="007C3B9D">
        <w:rPr>
          <w:i/>
          <w:iCs/>
          <w:color w:val="0F4761" w:themeColor="accent1" w:themeShade="BF"/>
          <w:sz w:val="18"/>
          <w:szCs w:val="18"/>
          <w:lang w:val="en-AU"/>
        </w:rPr>
        <w:t xml:space="preserve"> APSP Activities Count. Source: The Asia Foundation</w:t>
      </w:r>
    </w:p>
    <w:p w14:paraId="5AE1CC0C" w14:textId="16A2BBD7" w:rsidR="00493922" w:rsidRPr="007C3B9D" w:rsidRDefault="00493922" w:rsidP="00903D77">
      <w:pPr>
        <w:spacing w:after="120" w:line="276" w:lineRule="auto"/>
        <w:jc w:val="both"/>
        <w:rPr>
          <w:rFonts w:cs="Calibri"/>
          <w:lang w:val="en-AU"/>
        </w:rPr>
      </w:pPr>
      <w:r w:rsidRPr="007C3B9D">
        <w:rPr>
          <w:rFonts w:cs="Calibri"/>
          <w:lang w:val="en-AU"/>
        </w:rPr>
        <w:t xml:space="preserve">The APSP is committed to completing program activities prior to its April 2024 end-date, however, as can be observed, the program has a total of 18 activities to complete, which appears somewhat ambitious. Nevertheless, APSP has established a structured workplan for the remaining program period, which appears generally feasible given the swift acceleration of outputs in the later period of implementation, as demonstrated above, and which is also confirmed by their Expenditure Forecast and overall efficiencies of activity implementation, as described at </w:t>
      </w:r>
      <w:r w:rsidRPr="007C3B9D">
        <w:rPr>
          <w:rFonts w:cs="Calibri"/>
          <w:i/>
          <w:iCs/>
          <w:lang w:val="en-AU"/>
        </w:rPr>
        <w:t>Efficiency</w:t>
      </w:r>
      <w:r w:rsidRPr="007C3B9D">
        <w:rPr>
          <w:rFonts w:cs="Calibri"/>
          <w:lang w:val="en-AU"/>
        </w:rPr>
        <w:t xml:space="preserve"> above. The table below provides a summary of the on-going and planned activities for the remaining period:</w:t>
      </w:r>
    </w:p>
    <w:p w14:paraId="4A451092" w14:textId="73549526" w:rsidR="00F178E2" w:rsidRPr="007C3B9D" w:rsidRDefault="00F178E2" w:rsidP="00903D77">
      <w:pPr>
        <w:spacing w:after="120" w:line="276" w:lineRule="auto"/>
        <w:jc w:val="center"/>
        <w:rPr>
          <w:rFonts w:ascii="Calibri" w:hAnsi="Calibri" w:cs="Calibri"/>
          <w:highlight w:val="yellow"/>
          <w:lang w:val="en-AU"/>
        </w:rPr>
      </w:pPr>
      <w:r w:rsidRPr="007C3B9D">
        <w:rPr>
          <w:rFonts w:ascii="Calibri" w:hAnsi="Calibri" w:cs="Calibri"/>
          <w:noProof/>
          <w:lang w:val="en-AU"/>
        </w:rPr>
        <w:drawing>
          <wp:inline distT="0" distB="0" distL="0" distR="0" wp14:anchorId="0EEAB749" wp14:editId="7F918890">
            <wp:extent cx="4326910" cy="2290119"/>
            <wp:effectExtent l="0" t="0" r="3810" b="0"/>
            <wp:docPr id="1253353530" name="Picture 25" descr="Ongoing and planned APSP activities for 2024 - 2025. &#10;Maritime Security: (1) A Sustainable Forum/; Building the Online Resources of the EAMF, (2) A Sustainable Forum: Building the Research Capacity of the EAMF, (3) 14th AMF and 12th EAMF, (4) 2nd Law of the Sea Training for ASEAN Member States and ASEC, (5) Policy Brief on WPS and maritime security. &#10;Cybersecurity: (6) Ideathon for ASEAN youth on fake news , (7) ASEAN-Australia Workshop on Socialising the Guideline and Practices in Dealing with Fake News , (8) ASEAN-Australia Workshop on Norms for Responsible State Behaviour in Cyberspace, (9) 2nd ASEAN-Australia Cyber Capacity Building Workshop. &#10;WPS: (10) Strengthening Institutional Capacity of AWPR through ASEAN-IPR, (11)  Research on women’s leadership in the armed forces in ASEAN, (12) Baseline on Women in the Security Sector.&#10;Transnational crime: (13) ASEAN-Australia Workshop on Safe Handling and Disposal of Illicit Drugs and Precursor Chemicals, (14) 3rd ASEAN-Australia Counter Terrorism Workshop.&#10;Others: (15) ASEAN-IPR Website (ongoing), (16) Culture of Prevention Video , (17) Track 1.5  Workshop on Conflict Prevention and the ASEAN-led Regional Architecture, (18) 3rd ASEC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53530" name="Picture 25" descr="Ongoing and planned APSP activities for 2024 - 2025. &#10;Maritime Security: (1) A Sustainable Forum/; Building the Online Resources of the EAMF, (2) A Sustainable Forum: Building the Research Capacity of the EAMF, (3) 14th AMF and 12th EAMF, (4) 2nd Law of the Sea Training for ASEAN Member States and ASEC, (5) Policy Brief on WPS and maritime security. &#10;Cybersecurity: (6) Ideathon for ASEAN youth on fake news , (7) ASEAN-Australia Workshop on Socialising the Guideline and Practices in Dealing with Fake News , (8) ASEAN-Australia Workshop on Norms for Responsible State Behaviour in Cyberspace, (9) 2nd ASEAN-Australia Cyber Capacity Building Workshop. &#10;WPS: (10) Strengthening Institutional Capacity of AWPR through ASEAN-IPR, (11)  Research on women’s leadership in the armed forces in ASEAN, (12) Baseline on Women in the Security Sector.&#10;Transnational crime: (13) ASEAN-Australia Workshop on Safe Handling and Disposal of Illicit Drugs and Precursor Chemicals, (14) 3rd ASEAN-Australia Counter Terrorism Workshop.&#10;Others: (15) ASEAN-IPR Website (ongoing), (16) Culture of Prevention Video , (17) Track 1.5  Workshop on Conflict Prevention and the ASEAN-led Regional Architecture, (18) 3rd ASEC professional develop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1334" cy="2303046"/>
                    </a:xfrm>
                    <a:prstGeom prst="rect">
                      <a:avLst/>
                    </a:prstGeom>
                  </pic:spPr>
                </pic:pic>
              </a:graphicData>
            </a:graphic>
          </wp:inline>
        </w:drawing>
      </w:r>
    </w:p>
    <w:p w14:paraId="5D6506AE" w14:textId="43F3718F" w:rsidR="00493922" w:rsidRPr="007C3B9D" w:rsidRDefault="00493922" w:rsidP="00903D77">
      <w:pPr>
        <w:spacing w:after="120" w:line="276" w:lineRule="auto"/>
        <w:jc w:val="center"/>
        <w:rPr>
          <w:i/>
          <w:iCs/>
          <w:color w:val="0F4761" w:themeColor="accent1" w:themeShade="BF"/>
          <w:sz w:val="18"/>
          <w:szCs w:val="18"/>
          <w:lang w:val="en-AU"/>
        </w:rPr>
      </w:pPr>
      <w:r w:rsidRPr="007C3B9D">
        <w:rPr>
          <w:i/>
          <w:iCs/>
          <w:color w:val="0F4761" w:themeColor="accent1" w:themeShade="BF"/>
          <w:sz w:val="18"/>
          <w:szCs w:val="18"/>
          <w:lang w:val="en-AU"/>
        </w:rPr>
        <w:t xml:space="preserve">Fig. </w:t>
      </w:r>
      <w:r w:rsidR="00DC1242" w:rsidRPr="007C3B9D">
        <w:rPr>
          <w:i/>
          <w:iCs/>
          <w:color w:val="0F4761" w:themeColor="accent1" w:themeShade="BF"/>
          <w:sz w:val="18"/>
          <w:szCs w:val="18"/>
          <w:lang w:val="en-AU"/>
        </w:rPr>
        <w:t>6:</w:t>
      </w:r>
      <w:r w:rsidRPr="007C3B9D">
        <w:rPr>
          <w:i/>
          <w:iCs/>
          <w:color w:val="0F4761" w:themeColor="accent1" w:themeShade="BF"/>
          <w:sz w:val="18"/>
          <w:szCs w:val="18"/>
          <w:lang w:val="en-AU"/>
        </w:rPr>
        <w:t xml:space="preserve"> On-going and planned activities. Source: The Asia Foundation</w:t>
      </w:r>
    </w:p>
    <w:p w14:paraId="78058FDC" w14:textId="77777777" w:rsidR="00A4297B" w:rsidRPr="007C3B9D" w:rsidRDefault="00A4297B" w:rsidP="00903D77">
      <w:pPr>
        <w:spacing w:after="120" w:line="276" w:lineRule="auto"/>
        <w:jc w:val="both"/>
        <w:rPr>
          <w:b/>
          <w:bCs/>
          <w:i/>
          <w:iCs/>
          <w:color w:val="156082" w:themeColor="accent1"/>
          <w:highlight w:val="yellow"/>
          <w:lang w:val="en-AU"/>
        </w:rPr>
      </w:pPr>
      <w:r w:rsidRPr="007C3B9D">
        <w:rPr>
          <w:i/>
          <w:iCs/>
          <w:color w:val="0F4761" w:themeColor="accent1" w:themeShade="BF"/>
          <w:lang w:val="en-AU"/>
        </w:rPr>
        <w:t>JC4.1 The program emphasises mutual interaction among Australian and ASEAN stakeholders.</w:t>
      </w:r>
    </w:p>
    <w:p w14:paraId="6041C3FB" w14:textId="77777777" w:rsidR="00A4297B" w:rsidRPr="007C3B9D" w:rsidRDefault="00A4297B" w:rsidP="00903D77">
      <w:pPr>
        <w:spacing w:after="120" w:line="276" w:lineRule="auto"/>
        <w:jc w:val="both"/>
        <w:rPr>
          <w:rFonts w:cs="Calibri"/>
          <w:lang w:val="en-AU"/>
        </w:rPr>
      </w:pPr>
      <w:r w:rsidRPr="007C3B9D">
        <w:rPr>
          <w:rFonts w:cs="Calibri"/>
          <w:lang w:val="en-AU"/>
        </w:rPr>
        <w:lastRenderedPageBreak/>
        <w:t xml:space="preserve">The APSP has operated as a cornerstone of Australia’s efforts to reinforce diplomatic and political security alliances within Southeast Asia. APSP’s structured yet flexible approach has provided Australia with an instrumental role in ASEAN’s political security framework, allowing it to address sensitive regional issues while building lasting relationships. In aligning APSP’s objectives with ASEAN’s strategic interests, as discussed at </w:t>
      </w:r>
      <w:r w:rsidRPr="007C3B9D">
        <w:rPr>
          <w:rFonts w:cs="Calibri"/>
          <w:i/>
          <w:iCs/>
          <w:lang w:val="en-AU"/>
        </w:rPr>
        <w:t>Relevance</w:t>
      </w:r>
      <w:r w:rsidRPr="007C3B9D">
        <w:rPr>
          <w:rFonts w:cs="Calibri"/>
          <w:lang w:val="en-AU"/>
        </w:rPr>
        <w:t xml:space="preserve"> above, Australia has not only enhanced its visibility and engagement but also fostered an environment of trust, cooperation, and mutual benefit that underpins a stronger ASEAN-Australia partnership.</w:t>
      </w:r>
    </w:p>
    <w:p w14:paraId="56086579" w14:textId="461D46C0" w:rsidR="00A4297B" w:rsidRPr="007C3B9D" w:rsidRDefault="00A4297B" w:rsidP="0035461D">
      <w:pPr>
        <w:pStyle w:val="Heading3"/>
      </w:pPr>
      <w:r w:rsidRPr="007C3B9D">
        <w:t>Increased Australian visibility and strategic role</w:t>
      </w:r>
    </w:p>
    <w:p w14:paraId="1B29C560" w14:textId="77777777" w:rsidR="00A4297B" w:rsidRPr="007C3B9D" w:rsidRDefault="00A4297B" w:rsidP="00903D77">
      <w:pPr>
        <w:spacing w:after="120" w:line="276" w:lineRule="auto"/>
        <w:jc w:val="both"/>
        <w:rPr>
          <w:rFonts w:cs="Calibri"/>
          <w:lang w:val="en-AU"/>
        </w:rPr>
      </w:pPr>
      <w:r w:rsidRPr="007C3B9D">
        <w:rPr>
          <w:rFonts w:cs="Calibri"/>
          <w:lang w:val="en-AU"/>
        </w:rPr>
        <w:t xml:space="preserve">Historically, Australia’s involvement in ASEAN’s political security sphere was relatively low-profile, limited to </w:t>
      </w:r>
      <w:r w:rsidRPr="007C3B9D">
        <w:rPr>
          <w:rFonts w:cs="Calibri"/>
          <w:i/>
          <w:iCs/>
          <w:lang w:val="en-AU"/>
        </w:rPr>
        <w:t>ad hoc</w:t>
      </w:r>
      <w:r w:rsidRPr="007C3B9D">
        <w:rPr>
          <w:rFonts w:cs="Calibri"/>
          <w:lang w:val="en-AU"/>
        </w:rPr>
        <w:t xml:space="preserve"> engagements rather than integrated initiatives. However, APSP has effectively elevated Australia’s role, establishing it as a prominent partner in ASEAN-led political security activities. Through APSP, Australia has positioned itself as a proactive actor in ASEAN dialogues and initiatives, reflecting a shift in both perception and participation. A former ASEAN Secretariat official highlighted this transformation, noting that ‘</w:t>
      </w:r>
      <w:r w:rsidRPr="007C3B9D">
        <w:rPr>
          <w:rFonts w:cs="Calibri"/>
          <w:i/>
          <w:iCs/>
          <w:lang w:val="en-AU"/>
        </w:rPr>
        <w:t>back when I was in the ASEAN Secretariat, [Australia] wasn’t one of the active players, but after the APSP, they’re becoming even more active’</w:t>
      </w:r>
      <w:r w:rsidRPr="007C3B9D">
        <w:rPr>
          <w:rFonts w:cs="Calibri"/>
          <w:lang w:val="en-AU"/>
        </w:rPr>
        <w:t>. This transition has enabled Australia to engage meaningfully with ASEAN on core security challenges, establishing Australia as an important contributor to regional stability.</w:t>
      </w:r>
    </w:p>
    <w:p w14:paraId="2C85B55D" w14:textId="77777777" w:rsidR="00A4297B" w:rsidRPr="007C3B9D" w:rsidRDefault="00A4297B" w:rsidP="00903D77">
      <w:pPr>
        <w:spacing w:after="120" w:line="276" w:lineRule="auto"/>
        <w:jc w:val="both"/>
        <w:rPr>
          <w:rFonts w:cs="Calibri"/>
          <w:lang w:val="en-AU"/>
        </w:rPr>
      </w:pPr>
      <w:r w:rsidRPr="007C3B9D">
        <w:rPr>
          <w:rFonts w:cs="Calibri"/>
          <w:lang w:val="en-AU"/>
        </w:rPr>
        <w:t>The strategic integration of Australia into ASEAN’s high-visibility platforms, such as the Expanded ASEAN Maritime Forum, the Women for Peace Registry, and the ASEAN Institute for Peace and Reconciliation, demonstrates APSP’s capacity to align Australian objectives with ASEAN’s primary concerns. These platforms allow Australia to showcase its expertise in areas where ASEAN has specific strategic interests, thereby reinforcing its diplomatic influence. For instance, in the context of the Expanded ASEAN Maritime Forum, Australia’s contributions have centred on fostering maritime security, an area of critical importance in Southeast Asia’s geopolitical landscape. As an ASEAN official reflected, ‘</w:t>
      </w:r>
      <w:r w:rsidRPr="007C3B9D">
        <w:rPr>
          <w:rFonts w:cs="Calibri"/>
          <w:i/>
          <w:iCs/>
          <w:lang w:val="en-AU"/>
        </w:rPr>
        <w:t>Australia is becoming more visible in the eyes of ASEAN, which is positive for their foreign policy-making processes’</w:t>
      </w:r>
      <w:r w:rsidRPr="007C3B9D">
        <w:rPr>
          <w:rFonts w:cs="Calibri"/>
          <w:lang w:val="en-AU"/>
        </w:rPr>
        <w:t>. This elevated visibility has not only improved Australia’s diplomatic positioning within ASEAN but has also ensured that APSP’s contributions are aligned with ASEAN’s priority security agendas, further solidifying Australia’s standing as a trusted partner.</w:t>
      </w:r>
    </w:p>
    <w:p w14:paraId="208B812F" w14:textId="07FF68A1" w:rsidR="00A4297B" w:rsidRPr="007C3B9D" w:rsidRDefault="00A4297B" w:rsidP="0035461D">
      <w:pPr>
        <w:pStyle w:val="Heading3"/>
      </w:pPr>
      <w:r w:rsidRPr="007C3B9D">
        <w:t>Strategic thematic engagement</w:t>
      </w:r>
    </w:p>
    <w:p w14:paraId="22E7BE18" w14:textId="77777777" w:rsidR="00A4297B" w:rsidRPr="007C3B9D" w:rsidRDefault="00A4297B" w:rsidP="00903D77">
      <w:pPr>
        <w:spacing w:after="120" w:line="276" w:lineRule="auto"/>
        <w:jc w:val="both"/>
        <w:rPr>
          <w:rFonts w:cs="Calibri"/>
          <w:lang w:val="en-AU"/>
        </w:rPr>
      </w:pPr>
      <w:r w:rsidRPr="007C3B9D">
        <w:rPr>
          <w:rFonts w:cs="Calibri"/>
          <w:lang w:val="en-AU"/>
        </w:rPr>
        <w:t xml:space="preserve">APSP has capitalised on its visibility by channelling resources into critical thematic engagements that address shared ASEAN-Australia concerns. The program’s focus on issues </w:t>
      </w:r>
      <w:proofErr w:type="gramStart"/>
      <w:r w:rsidRPr="007C3B9D">
        <w:rPr>
          <w:rFonts w:cs="Calibri"/>
          <w:lang w:val="en-AU"/>
        </w:rPr>
        <w:t>counter-terrorism</w:t>
      </w:r>
      <w:proofErr w:type="gramEnd"/>
      <w:r w:rsidRPr="007C3B9D">
        <w:rPr>
          <w:rFonts w:cs="Calibri"/>
          <w:lang w:val="en-AU"/>
        </w:rPr>
        <w:t>, transnational crime, and cybersecurity has enhanced Australia’s credibility within ASEAN’s security frameworks. By investing in these themes, APSP has delivered strategic benefits for both ASEAN and Australia, allowing the partnership to address issues of mutual concern while fostering knowledge exchange and capacity-building.</w:t>
      </w:r>
    </w:p>
    <w:p w14:paraId="2F746647" w14:textId="77777777" w:rsidR="00A4297B" w:rsidRPr="007C3B9D" w:rsidRDefault="00A4297B" w:rsidP="00903D77">
      <w:pPr>
        <w:spacing w:after="120" w:line="276" w:lineRule="auto"/>
        <w:jc w:val="both"/>
        <w:rPr>
          <w:rFonts w:cs="Calibri"/>
          <w:lang w:val="en-AU"/>
        </w:rPr>
      </w:pPr>
      <w:r w:rsidRPr="007C3B9D">
        <w:rPr>
          <w:rFonts w:cs="Calibri"/>
          <w:lang w:val="en-AU"/>
        </w:rPr>
        <w:t xml:space="preserve">For example, APSP’s engagement with the Senior Officials Meeting on Transnational Crime (SOMTC) has contributed to establishing Australia as a proactive partner in </w:t>
      </w:r>
      <w:proofErr w:type="gramStart"/>
      <w:r w:rsidRPr="007C3B9D">
        <w:rPr>
          <w:rFonts w:cs="Calibri"/>
          <w:lang w:val="en-AU"/>
        </w:rPr>
        <w:t>counter-terrorism</w:t>
      </w:r>
      <w:proofErr w:type="gramEnd"/>
      <w:r w:rsidRPr="007C3B9D">
        <w:rPr>
          <w:rFonts w:cs="Calibri"/>
          <w:lang w:val="en-AU"/>
        </w:rPr>
        <w:t xml:space="preserve"> and transnational crime prevention. The workshops supported by the program were not only well-received by ASEAN stakeholders but also provide ASEAN member states with practical tools and insights to address security challenges. This focus on practical, mutually beneficial outcomes was echoed in discussions surrounding APSP’s workshops, where a DFAT representative highlighted the benefits of these activities:</w:t>
      </w:r>
      <w:r w:rsidRPr="007C3B9D">
        <w:rPr>
          <w:rFonts w:cs="Calibri"/>
          <w:i/>
          <w:iCs/>
          <w:lang w:val="en-AU"/>
        </w:rPr>
        <w:t xml:space="preserve"> ‘workshops and capacity-building sessions provide unique opportunities for building relationships and discussing shared topics, such as cybercrime, that participants may want to explore </w:t>
      </w:r>
      <w:r w:rsidRPr="007C3B9D">
        <w:rPr>
          <w:rFonts w:cs="Calibri"/>
          <w:i/>
          <w:iCs/>
          <w:lang w:val="en-AU"/>
        </w:rPr>
        <w:lastRenderedPageBreak/>
        <w:t>furthe</w:t>
      </w:r>
      <w:r w:rsidRPr="007C3B9D">
        <w:rPr>
          <w:rFonts w:cs="Calibri"/>
          <w:lang w:val="en-AU"/>
        </w:rPr>
        <w:t>r’. By facilitating such in-depth exchanges on critical security issues, APSP enables ASEAN stakeholders to apply lessons from Australian practices, while Australia gains valuable insights into Southeast Asian security dynamics.</w:t>
      </w:r>
    </w:p>
    <w:p w14:paraId="1F84772E" w14:textId="1E6E27E4" w:rsidR="00A4297B" w:rsidRPr="007C3B9D" w:rsidRDefault="00A4297B" w:rsidP="00903D77">
      <w:pPr>
        <w:spacing w:after="120" w:line="276" w:lineRule="auto"/>
        <w:jc w:val="both"/>
        <w:rPr>
          <w:rFonts w:cs="Calibri"/>
          <w:lang w:val="en-AU"/>
        </w:rPr>
      </w:pPr>
      <w:r w:rsidRPr="007C3B9D">
        <w:rPr>
          <w:rFonts w:cs="Calibri"/>
          <w:lang w:val="en-AU"/>
        </w:rPr>
        <w:t xml:space="preserve">Additionally, APSP has strengthened operational ties between </w:t>
      </w:r>
      <w:r w:rsidR="00141A80" w:rsidRPr="007C3B9D">
        <w:rPr>
          <w:rFonts w:cs="Calibri"/>
          <w:lang w:val="en-AU"/>
        </w:rPr>
        <w:t>OGD</w:t>
      </w:r>
      <w:r w:rsidRPr="007C3B9D">
        <w:rPr>
          <w:rFonts w:cs="Calibri"/>
          <w:lang w:val="en-AU"/>
        </w:rPr>
        <w:t>, such as the Australian Federal Police (AFP), and their ASEAN counterparts. The AFP’s involvement in APSP activities, for example in drug disposal and counter-terrorism efforts, has provided ASEAN stakeholders with access to Australia’s expertise, thereby reinforcing Australia’s reputation as a credible operational partner. One DFAT official emphasised the significance of AFP’s presence in ASEAN, stating that ‘</w:t>
      </w:r>
      <w:r w:rsidRPr="007C3B9D">
        <w:rPr>
          <w:rFonts w:cs="Calibri"/>
          <w:i/>
          <w:iCs/>
          <w:lang w:val="en-AU"/>
        </w:rPr>
        <w:t>AFP’s regional presence and operational expertise provide practical and diplomatic benefits, especially in areas like drug disposal’</w:t>
      </w:r>
      <w:r w:rsidRPr="007C3B9D">
        <w:rPr>
          <w:rFonts w:cs="Calibri"/>
          <w:lang w:val="en-AU"/>
        </w:rPr>
        <w:t>. The AFP’s active engagement showcases Australia’s capacity to contribute operationally to ASEAN’s security frameworks, which not only strengthens ASEAN-Australia relations but also enhances Australia’s diplomatic and security influence in the region.</w:t>
      </w:r>
    </w:p>
    <w:p w14:paraId="37DCDAD5" w14:textId="5F20D9CC" w:rsidR="00A4297B" w:rsidRPr="008059F0" w:rsidRDefault="00A4297B" w:rsidP="0035461D">
      <w:pPr>
        <w:pStyle w:val="Heading3"/>
      </w:pPr>
      <w:r w:rsidRPr="008059F0">
        <w:t>OGD engagement challenges</w:t>
      </w:r>
    </w:p>
    <w:p w14:paraId="2EC3DCEB" w14:textId="3F797702" w:rsidR="00A4297B" w:rsidRPr="007C3B9D" w:rsidRDefault="00A4297B" w:rsidP="00903D77">
      <w:pPr>
        <w:spacing w:after="120" w:line="276" w:lineRule="auto"/>
        <w:jc w:val="both"/>
        <w:rPr>
          <w:rFonts w:cs="Calibri"/>
          <w:lang w:val="en-AU"/>
        </w:rPr>
      </w:pPr>
      <w:r w:rsidRPr="007C3B9D">
        <w:rPr>
          <w:rFonts w:cs="Calibri"/>
          <w:lang w:val="en-AU"/>
        </w:rPr>
        <w:t xml:space="preserve">While APSP has successfully elevated Australia’s engagement within ASEAN, the program has encountered notable challenges in achieving a fully integrated ‘whole-of-government’ approach. APSP’s initial vision was to involve a broad range of OGDs to support a cohesive, multi-sectoral Australian presence in ASEAN’s political security space. However, strategic and other constraints have limited the scope of OGD participation, revealing structural gaps in APSP’s ability to achieve full cross-government alignment. Comments from APSP stakeholders </w:t>
      </w:r>
      <w:r w:rsidR="00B03686" w:rsidRPr="007C3B9D">
        <w:rPr>
          <w:rFonts w:cs="Calibri"/>
          <w:lang w:val="en-AU"/>
        </w:rPr>
        <w:t>confirm</w:t>
      </w:r>
      <w:r w:rsidRPr="007C3B9D">
        <w:rPr>
          <w:rFonts w:cs="Calibri"/>
          <w:lang w:val="en-AU"/>
        </w:rPr>
        <w:t xml:space="preserve"> these challenges, with one interviewee noting, ‘</w:t>
      </w:r>
      <w:r w:rsidRPr="007C3B9D">
        <w:rPr>
          <w:rFonts w:cs="Calibri"/>
          <w:i/>
          <w:iCs/>
          <w:lang w:val="en-AU"/>
        </w:rPr>
        <w:t xml:space="preserve">it’s been difficult to involve other government departments of </w:t>
      </w:r>
      <w:proofErr w:type="gramStart"/>
      <w:r w:rsidRPr="007C3B9D">
        <w:rPr>
          <w:rFonts w:cs="Calibri"/>
          <w:i/>
          <w:iCs/>
          <w:lang w:val="en-AU"/>
        </w:rPr>
        <w:t>Australia;</w:t>
      </w:r>
      <w:proofErr w:type="gramEnd"/>
      <w:r w:rsidRPr="007C3B9D">
        <w:rPr>
          <w:rFonts w:cs="Calibri"/>
          <w:i/>
          <w:iCs/>
          <w:lang w:val="en-AU"/>
        </w:rPr>
        <w:t xml:space="preserve"> they’re not really interested in working with ASEAN’</w:t>
      </w:r>
      <w:r w:rsidRPr="007C3B9D">
        <w:rPr>
          <w:rFonts w:cs="Calibri"/>
          <w:lang w:val="en-AU"/>
        </w:rPr>
        <w:t>. This divergence in priorities has limited APSP’s capacity to fully leverage OGD expertise and political support within ASEAN and in the Australian capital, particularly in areas where inter-departmental collaboration could amplify Australia’s impact.</w:t>
      </w:r>
    </w:p>
    <w:p w14:paraId="2AFEFE69" w14:textId="77777777" w:rsidR="00A4297B" w:rsidRPr="007C3B9D" w:rsidRDefault="00A4297B" w:rsidP="00903D77">
      <w:pPr>
        <w:spacing w:after="120" w:line="276" w:lineRule="auto"/>
        <w:jc w:val="both"/>
        <w:rPr>
          <w:rFonts w:cs="Calibri"/>
          <w:lang w:val="en-AU"/>
        </w:rPr>
      </w:pPr>
      <w:r w:rsidRPr="007C3B9D">
        <w:rPr>
          <w:rFonts w:cs="Calibri"/>
          <w:lang w:val="en-AU"/>
        </w:rPr>
        <w:t>The absence of a dedicated advocate within DFAT for APSP in the earlier stages of program implementation complicated efforts to integrate OGDs consistently into APSP activities, with an Australian government official noting that ‘</w:t>
      </w:r>
      <w:r w:rsidRPr="007C3B9D">
        <w:rPr>
          <w:rFonts w:cs="Calibri"/>
          <w:i/>
          <w:iCs/>
          <w:lang w:val="en-AU"/>
        </w:rPr>
        <w:t>there wasn’t a dedicated First Secretary position for APSP; the Development Counsellor managed multiple programs, whereas most programs had dedicated personnel’</w:t>
      </w:r>
      <w:r w:rsidRPr="007C3B9D">
        <w:rPr>
          <w:rFonts w:cs="Calibri"/>
          <w:lang w:val="en-AU"/>
        </w:rPr>
        <w:t>. This reduced the program’s ability to establish early and consistent cross-government cooperation.</w:t>
      </w:r>
    </w:p>
    <w:p w14:paraId="1372D039" w14:textId="1551025C" w:rsidR="00A4297B" w:rsidRPr="007C3B9D" w:rsidRDefault="00A4297B" w:rsidP="00903D77">
      <w:pPr>
        <w:spacing w:after="120" w:line="276" w:lineRule="auto"/>
        <w:jc w:val="both"/>
        <w:rPr>
          <w:rFonts w:cs="Calibri"/>
          <w:lang w:val="en-AU"/>
        </w:rPr>
      </w:pPr>
      <w:r w:rsidRPr="007C3B9D">
        <w:rPr>
          <w:rFonts w:cs="Calibri"/>
          <w:lang w:val="en-AU"/>
        </w:rPr>
        <w:t>While APSP’s demand-driven structure allows it to respond flexibly to ASEAN’s needs, as discussed below, the difficulties in engaging OGD support have hindered the program’s capacity to provide the multi-departmental approaches that it initially targeted.</w:t>
      </w:r>
    </w:p>
    <w:p w14:paraId="36AAD886" w14:textId="44E0F00D" w:rsidR="00A4297B" w:rsidRPr="007C3B9D" w:rsidRDefault="00A4297B" w:rsidP="0035461D">
      <w:pPr>
        <w:pStyle w:val="Heading3"/>
      </w:pPr>
      <w:r w:rsidRPr="007C3B9D">
        <w:t xml:space="preserve">Flexibility and adaptability </w:t>
      </w:r>
    </w:p>
    <w:p w14:paraId="534160E6" w14:textId="6A2E5407" w:rsidR="00A4297B" w:rsidRPr="007C3B9D" w:rsidRDefault="00A4297B" w:rsidP="00903D77">
      <w:pPr>
        <w:spacing w:after="120" w:line="276" w:lineRule="auto"/>
        <w:jc w:val="both"/>
        <w:rPr>
          <w:rFonts w:cs="Calibri"/>
          <w:lang w:val="en-AU"/>
        </w:rPr>
      </w:pPr>
      <w:r w:rsidRPr="007C3B9D">
        <w:rPr>
          <w:rFonts w:cs="Calibri"/>
          <w:lang w:val="en-AU"/>
        </w:rPr>
        <w:t xml:space="preserve">Despite the challenges in achieving OGD engagement, APSP’s flexible structure has enabled it to adapt effectively to ASEAN’s shifting political security landscape. The program’s demand-driven approach allows APSP to adjust its activities in response to evolving needs, ensuring that Australia remains a relevant and responsive partner. Indeed, the program demonstrated a strong ingrained flexibility, which characterises it more as an evolutive support ‘mechanism,’ than a classic </w:t>
      </w:r>
      <w:proofErr w:type="gramStart"/>
      <w:r w:rsidRPr="007C3B9D">
        <w:rPr>
          <w:rFonts w:cs="Calibri"/>
          <w:lang w:val="en-AU"/>
        </w:rPr>
        <w:t>fixed-activity</w:t>
      </w:r>
      <w:proofErr w:type="gramEnd"/>
      <w:r w:rsidRPr="007C3B9D">
        <w:rPr>
          <w:rFonts w:cs="Calibri"/>
          <w:lang w:val="en-AU"/>
        </w:rPr>
        <w:t xml:space="preserve"> ‘project.’’ This adaptability has not only facilitated agile responses to ASEAN’s demands but also positions APSP as a partner that can provide rapid turnarounds to such demand, </w:t>
      </w:r>
      <w:proofErr w:type="gramStart"/>
      <w:r w:rsidRPr="007C3B9D">
        <w:rPr>
          <w:rFonts w:cs="Calibri"/>
          <w:lang w:val="en-AU"/>
        </w:rPr>
        <w:t>in order to</w:t>
      </w:r>
      <w:proofErr w:type="gramEnd"/>
      <w:r w:rsidRPr="007C3B9D">
        <w:rPr>
          <w:rFonts w:cs="Calibri"/>
          <w:lang w:val="en-AU"/>
        </w:rPr>
        <w:t xml:space="preserve"> maintain momentum and motivation. This adaptability is a core strength of APSP’s operational framework, allowing it to navigate political and other constraints and continue delivering impactful initiatives in a changing environment.</w:t>
      </w:r>
    </w:p>
    <w:p w14:paraId="0E2F37B1" w14:textId="1F27865A" w:rsidR="00A4297B" w:rsidRPr="007C3B9D" w:rsidRDefault="00A4297B" w:rsidP="00903D77">
      <w:pPr>
        <w:spacing w:after="120" w:line="276" w:lineRule="auto"/>
        <w:jc w:val="both"/>
        <w:rPr>
          <w:rFonts w:cs="Calibri"/>
          <w:lang w:val="en-AU"/>
        </w:rPr>
      </w:pPr>
      <w:r w:rsidRPr="007C3B9D">
        <w:rPr>
          <w:rFonts w:cs="Calibri"/>
          <w:lang w:val="en-AU"/>
        </w:rPr>
        <w:lastRenderedPageBreak/>
        <w:t xml:space="preserve">The </w:t>
      </w:r>
      <w:r w:rsidR="00B03686" w:rsidRPr="007C3B9D">
        <w:rPr>
          <w:rFonts w:cs="Calibri"/>
          <w:lang w:val="en-AU"/>
        </w:rPr>
        <w:t>Covid</w:t>
      </w:r>
      <w:r w:rsidRPr="007C3B9D">
        <w:rPr>
          <w:rFonts w:cs="Calibri"/>
          <w:lang w:val="en-AU"/>
        </w:rPr>
        <w:t>-19 pandemic</w:t>
      </w:r>
      <w:proofErr w:type="gramStart"/>
      <w:r w:rsidRPr="007C3B9D">
        <w:rPr>
          <w:rFonts w:cs="Calibri"/>
          <w:lang w:val="en-AU"/>
        </w:rPr>
        <w:t>, in particular, tested</w:t>
      </w:r>
      <w:proofErr w:type="gramEnd"/>
      <w:r w:rsidRPr="007C3B9D">
        <w:rPr>
          <w:rFonts w:cs="Calibri"/>
          <w:lang w:val="en-AU"/>
        </w:rPr>
        <w:t xml:space="preserve"> APSP’s adaptability and resilience. While many regional programs were forced to suspend activities, APSP managed to sustain its engagements with ASEAN stakeholders, transitioning to virtual formats where necessary. This adaptability enabled APSP to maintain continuity, ensuring that the partnership’s momentum was not lost</w:t>
      </w:r>
      <w:r w:rsidR="00B03686" w:rsidRPr="007C3B9D">
        <w:rPr>
          <w:rFonts w:cs="Calibri"/>
          <w:lang w:val="en-AU"/>
        </w:rPr>
        <w:t>,</w:t>
      </w:r>
      <w:r w:rsidRPr="007C3B9D">
        <w:rPr>
          <w:rFonts w:cs="Calibri"/>
          <w:lang w:val="en-AU"/>
        </w:rPr>
        <w:t xml:space="preserve"> despite the pandemic’s disruptive impact. One official reflected on APSP’s response to </w:t>
      </w:r>
      <w:r w:rsidR="00B03686" w:rsidRPr="007C3B9D">
        <w:rPr>
          <w:rFonts w:cs="Calibri"/>
          <w:lang w:val="en-AU"/>
        </w:rPr>
        <w:t>the pandemic</w:t>
      </w:r>
      <w:r w:rsidRPr="007C3B9D">
        <w:rPr>
          <w:rFonts w:cs="Calibri"/>
          <w:lang w:val="en-AU"/>
        </w:rPr>
        <w:t>, stating that ‘</w:t>
      </w:r>
      <w:r w:rsidRPr="007C3B9D">
        <w:rPr>
          <w:rFonts w:cs="Calibri"/>
          <w:i/>
          <w:iCs/>
          <w:lang w:val="en-AU"/>
        </w:rPr>
        <w:t xml:space="preserve">the program was beset by early challenges to implementation, including the dramatic impact of </w:t>
      </w:r>
      <w:r w:rsidR="00B03686" w:rsidRPr="007C3B9D">
        <w:rPr>
          <w:rFonts w:cs="Calibri"/>
          <w:i/>
          <w:iCs/>
          <w:lang w:val="en-AU"/>
        </w:rPr>
        <w:t>Covid</w:t>
      </w:r>
      <w:r w:rsidRPr="007C3B9D">
        <w:rPr>
          <w:rFonts w:cs="Calibri"/>
          <w:i/>
          <w:iCs/>
          <w:lang w:val="en-AU"/>
        </w:rPr>
        <w:t>-19, which slowed – but importantly did not stop – the conduct of activities</w:t>
      </w:r>
      <w:r w:rsidRPr="007C3B9D">
        <w:rPr>
          <w:rFonts w:cs="Calibri"/>
          <w:lang w:val="en-AU"/>
        </w:rPr>
        <w:t xml:space="preserve">.’ APSP’s ability to continue its operations during the pandemic underscores its commitment to </w:t>
      </w:r>
      <w:r w:rsidR="00D91F22" w:rsidRPr="007C3B9D">
        <w:rPr>
          <w:rFonts w:cs="Calibri"/>
          <w:lang w:val="en-AU"/>
        </w:rPr>
        <w:t>ASEAN and</w:t>
      </w:r>
      <w:r w:rsidRPr="007C3B9D">
        <w:rPr>
          <w:rFonts w:cs="Calibri"/>
          <w:lang w:val="en-AU"/>
        </w:rPr>
        <w:t xml:space="preserve"> </w:t>
      </w:r>
      <w:r w:rsidR="00B03686" w:rsidRPr="007C3B9D">
        <w:rPr>
          <w:rFonts w:cs="Calibri"/>
          <w:lang w:val="en-AU"/>
        </w:rPr>
        <w:t xml:space="preserve">further </w:t>
      </w:r>
      <w:r w:rsidRPr="007C3B9D">
        <w:rPr>
          <w:rFonts w:cs="Calibri"/>
          <w:lang w:val="en-AU"/>
        </w:rPr>
        <w:t xml:space="preserve">highlights the program’s </w:t>
      </w:r>
      <w:r w:rsidR="00B03686" w:rsidRPr="007C3B9D">
        <w:rPr>
          <w:rFonts w:cs="Calibri"/>
          <w:lang w:val="en-AU"/>
        </w:rPr>
        <w:t>capacity</w:t>
      </w:r>
      <w:r w:rsidRPr="007C3B9D">
        <w:rPr>
          <w:rFonts w:cs="Calibri"/>
          <w:lang w:val="en-AU"/>
        </w:rPr>
        <w:t xml:space="preserve"> </w:t>
      </w:r>
      <w:r w:rsidR="00B03686" w:rsidRPr="007C3B9D">
        <w:rPr>
          <w:rFonts w:cs="Calibri"/>
          <w:lang w:val="en-AU"/>
        </w:rPr>
        <w:t>to</w:t>
      </w:r>
      <w:r w:rsidRPr="007C3B9D">
        <w:rPr>
          <w:rFonts w:cs="Calibri"/>
          <w:lang w:val="en-AU"/>
        </w:rPr>
        <w:t xml:space="preserve"> respond to unforeseen challenges.</w:t>
      </w:r>
    </w:p>
    <w:p w14:paraId="44783680" w14:textId="2C530D71" w:rsidR="00A4297B" w:rsidRPr="007C3B9D" w:rsidRDefault="00A4297B" w:rsidP="00903D77">
      <w:pPr>
        <w:spacing w:after="120" w:line="276" w:lineRule="auto"/>
        <w:jc w:val="both"/>
        <w:rPr>
          <w:rFonts w:cs="Calibri"/>
          <w:lang w:val="en-AU"/>
        </w:rPr>
      </w:pPr>
      <w:r w:rsidRPr="007C3B9D">
        <w:rPr>
          <w:rFonts w:cs="Calibri"/>
          <w:lang w:val="en-AU"/>
        </w:rPr>
        <w:t xml:space="preserve">APSP’s flexibility is </w:t>
      </w:r>
      <w:r w:rsidR="00B03686" w:rsidRPr="007C3B9D">
        <w:rPr>
          <w:rFonts w:cs="Calibri"/>
          <w:lang w:val="en-AU"/>
        </w:rPr>
        <w:t>also</w:t>
      </w:r>
      <w:r w:rsidRPr="007C3B9D">
        <w:rPr>
          <w:rFonts w:cs="Calibri"/>
          <w:lang w:val="en-AU"/>
        </w:rPr>
        <w:t xml:space="preserve"> supported by the Asia Foundation (TAF), whose regional expertise and strategic insight have been invaluable in navigating ASEAN’s complex political dynamics. TAF’s dual role as both an administrative implementer and strategic advisor enhances APSP’s capacity to respond to ASEAN’s needs with agility and precision. TAF’s regional experience allows it to ‘</w:t>
      </w:r>
      <w:r w:rsidRPr="007C3B9D">
        <w:rPr>
          <w:rFonts w:cs="Calibri"/>
          <w:i/>
          <w:iCs/>
          <w:lang w:val="en-AU"/>
        </w:rPr>
        <w:t>provide expert inputs, strategic advice, and leverage its own in-house expertise</w:t>
      </w:r>
      <w:r w:rsidRPr="007C3B9D">
        <w:rPr>
          <w:rFonts w:cs="Calibri"/>
          <w:lang w:val="en-AU"/>
        </w:rPr>
        <w:t>’ (APSP documents), ensuring that activities align with ASEAN’s priorities. This partnership with TAF exemplifies APSP’s strategic approach to implementing demand-driven initiatives that are both adaptive and impactful, cementing Australia’s partnership with ASEAN</w:t>
      </w:r>
      <w:r w:rsidR="00B03686" w:rsidRPr="007C3B9D">
        <w:rPr>
          <w:rFonts w:cs="Calibri"/>
          <w:lang w:val="en-AU"/>
        </w:rPr>
        <w:t xml:space="preserve"> (see also </w:t>
      </w:r>
      <w:r w:rsidR="00B03686" w:rsidRPr="007C3B9D">
        <w:rPr>
          <w:rFonts w:cs="Calibri"/>
          <w:i/>
          <w:iCs/>
          <w:lang w:val="en-AU"/>
        </w:rPr>
        <w:t>Added Value</w:t>
      </w:r>
      <w:r w:rsidR="00B03686" w:rsidRPr="007C3B9D">
        <w:rPr>
          <w:rFonts w:cs="Calibri"/>
          <w:lang w:val="en-AU"/>
        </w:rPr>
        <w:t xml:space="preserve"> below)</w:t>
      </w:r>
      <w:r w:rsidRPr="007C3B9D">
        <w:rPr>
          <w:rFonts w:cs="Calibri"/>
          <w:lang w:val="en-AU"/>
        </w:rPr>
        <w:t>.</w:t>
      </w:r>
    </w:p>
    <w:p w14:paraId="52CFA4FD" w14:textId="58322B00" w:rsidR="00A4297B" w:rsidRPr="007C3B9D" w:rsidRDefault="00A4297B" w:rsidP="0035461D">
      <w:pPr>
        <w:pStyle w:val="Heading3"/>
      </w:pPr>
      <w:r w:rsidRPr="007C3B9D">
        <w:t>Strengthened diplomacy</w:t>
      </w:r>
    </w:p>
    <w:p w14:paraId="02F96B9C" w14:textId="77777777" w:rsidR="00A4297B" w:rsidRPr="007C3B9D" w:rsidRDefault="00A4297B" w:rsidP="00903D77">
      <w:pPr>
        <w:spacing w:after="120" w:line="276" w:lineRule="auto"/>
        <w:jc w:val="both"/>
        <w:rPr>
          <w:rFonts w:cs="Calibri"/>
          <w:lang w:val="en-AU"/>
        </w:rPr>
      </w:pPr>
      <w:r w:rsidRPr="007C3B9D">
        <w:rPr>
          <w:rFonts w:cs="Calibri"/>
          <w:lang w:val="en-AU"/>
        </w:rPr>
        <w:t>The longer-term benefits of APSP are evident in the strengthened diplomatic ties and operational networks it has fostered between ASEAN and Australia. Through APSP’s thematic focus on critical areas of regional concern, the program has created sustainable platforms for knowledge exchange, capacity-building, and mutual understanding. These initiatives not only enhance ASEAN’s institutional capacity but also provide Australia with a clearer understanding of Southeast Asian security dynamics, positioning Australia as a stronger ally in the region’s security architecture.</w:t>
      </w:r>
    </w:p>
    <w:p w14:paraId="6C7EC5C1" w14:textId="4057E723" w:rsidR="00945AEE" w:rsidRPr="007C3B9D" w:rsidRDefault="00A4297B" w:rsidP="00903D77">
      <w:pPr>
        <w:spacing w:after="120" w:line="276" w:lineRule="auto"/>
        <w:jc w:val="both"/>
        <w:rPr>
          <w:rFonts w:cs="Calibri"/>
          <w:lang w:val="en-AU"/>
        </w:rPr>
      </w:pPr>
      <w:r w:rsidRPr="007C3B9D">
        <w:rPr>
          <w:rFonts w:cs="Calibri"/>
          <w:lang w:val="en-AU"/>
        </w:rPr>
        <w:t xml:space="preserve">APSP’s contributions to ASEAN’s cybersecurity initiatives, for instance, have enabled ASEAN officials to learn from Australia’s cybersecurity standards and practices, while also allowing </w:t>
      </w:r>
      <w:r w:rsidR="00141A80" w:rsidRPr="007C3B9D">
        <w:rPr>
          <w:rFonts w:cs="Calibri"/>
          <w:lang w:val="en-AU"/>
        </w:rPr>
        <w:t>OGD</w:t>
      </w:r>
      <w:r w:rsidR="007D064A" w:rsidRPr="007C3B9D">
        <w:rPr>
          <w:rFonts w:cs="Calibri"/>
          <w:lang w:val="en-AU"/>
        </w:rPr>
        <w:t xml:space="preserve"> </w:t>
      </w:r>
      <w:r w:rsidRPr="007C3B9D">
        <w:rPr>
          <w:rFonts w:cs="Calibri"/>
          <w:lang w:val="en-AU"/>
        </w:rPr>
        <w:t>to gain insights into ASEAN’s unique security challenges. A former ASEAN official emphasised the reciprocal nature of these initiatives, commenting that ‘</w:t>
      </w:r>
      <w:r w:rsidRPr="007C3B9D">
        <w:rPr>
          <w:rFonts w:cs="Calibri"/>
          <w:i/>
          <w:iCs/>
          <w:lang w:val="en-AU"/>
        </w:rPr>
        <w:t>having this activity is giving them a lot of opportunity to improve these skills, because usually, especially at the SOM-TC level, Australia wasn’t one of the active players</w:t>
      </w:r>
      <w:r w:rsidRPr="007C3B9D">
        <w:rPr>
          <w:rFonts w:cs="Calibri"/>
          <w:lang w:val="en-AU"/>
        </w:rPr>
        <w:t>.’ These engagements foster mutual benefits, enhancing ASEAN’s capacity to address cybersecurity threats while reinforcing Australia’s influence as a trusted security partner.</w:t>
      </w:r>
    </w:p>
    <w:p w14:paraId="66FFF716" w14:textId="77777777" w:rsidR="007D5514" w:rsidRPr="007C3B9D" w:rsidRDefault="007D5514" w:rsidP="00903D77">
      <w:pPr>
        <w:spacing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JC4.2 The program encourages ASEAN Member States and/or the ASEAN Secretariat to undertake/ enhance consultation and dialogue with Member States and other stakeholders active in the target political security areas.</w:t>
      </w:r>
    </w:p>
    <w:p w14:paraId="6C224DCB" w14:textId="77777777" w:rsidR="00CC3147" w:rsidRPr="007C3B9D" w:rsidRDefault="00CC3147" w:rsidP="00903D77">
      <w:pPr>
        <w:spacing w:after="120" w:line="276" w:lineRule="auto"/>
        <w:jc w:val="both"/>
        <w:rPr>
          <w:rFonts w:cs="Calibri"/>
          <w:lang w:val="en-AU"/>
        </w:rPr>
      </w:pPr>
      <w:r w:rsidRPr="007C3B9D">
        <w:rPr>
          <w:rFonts w:cs="Calibri"/>
          <w:lang w:val="en-AU"/>
        </w:rPr>
        <w:t>A core objective of the ASEAN-Australia Political Security Partnership (APSP) has been to foster intra-ASEAN dialogue, consultation, and cooperation, supporting ASEAN’s own mechanisms for addressing political security challenges. APSP’s demand-driven and flexible approach, as outlined above, has allowed it to play a crucial role in encouraging ASEAN member states to work collectively on shared security issues, in the four thematic areas targeted by the program. The program’s emphasis on ASEAN centrality reflects a strategic commitment to supporting ASEAN’s leadership while enabling more cohesive intra-regional collaboration on complex security issues.</w:t>
      </w:r>
    </w:p>
    <w:p w14:paraId="7B0F5549" w14:textId="3644955D" w:rsidR="00CC3147" w:rsidRPr="007C3B9D" w:rsidRDefault="00CC3147" w:rsidP="0035461D">
      <w:pPr>
        <w:pStyle w:val="Heading3"/>
      </w:pPr>
      <w:r w:rsidRPr="007C3B9D">
        <w:t>Integration of ASEAN processes and sectoral bodies</w:t>
      </w:r>
    </w:p>
    <w:p w14:paraId="721853E7" w14:textId="0B8193BF" w:rsidR="00856359" w:rsidRPr="007C3B9D" w:rsidRDefault="00CC3147" w:rsidP="00903D77">
      <w:pPr>
        <w:spacing w:after="120" w:line="276" w:lineRule="auto"/>
        <w:jc w:val="both"/>
        <w:rPr>
          <w:lang w:val="en-AU"/>
        </w:rPr>
      </w:pPr>
      <w:r w:rsidRPr="007C3B9D">
        <w:rPr>
          <w:rFonts w:cs="Calibri"/>
          <w:lang w:val="en-AU"/>
        </w:rPr>
        <w:lastRenderedPageBreak/>
        <w:t>APSP’s success in fostering intra-ASEAN dialogue is evident in its consistent integration within ASEAN’s established processes and sectoral bodies. The program has engaged with various ASEAN entities, including the Senior Officials Meeting on Transnational Crime (SOMTC)</w:t>
      </w:r>
      <w:r w:rsidR="00856359" w:rsidRPr="007C3B9D">
        <w:rPr>
          <w:rFonts w:cs="Calibri"/>
          <w:lang w:val="en-AU"/>
        </w:rPr>
        <w:t xml:space="preserve">, which </w:t>
      </w:r>
      <w:r w:rsidR="00856359" w:rsidRPr="007C3B9D">
        <w:rPr>
          <w:lang w:val="en-AU"/>
        </w:rPr>
        <w:t xml:space="preserve">is situated under the </w:t>
      </w:r>
      <w:r w:rsidRPr="007C3B9D">
        <w:rPr>
          <w:rFonts w:cs="Calibri"/>
          <w:lang w:val="en-AU"/>
        </w:rPr>
        <w:t>ASEAN Political security Community (APSC)</w:t>
      </w:r>
      <w:r w:rsidR="00856359" w:rsidRPr="007C3B9D">
        <w:rPr>
          <w:rFonts w:cs="Calibri"/>
          <w:lang w:val="en-AU"/>
        </w:rPr>
        <w:t xml:space="preserve"> pillar</w:t>
      </w:r>
      <w:r w:rsidRPr="007C3B9D">
        <w:rPr>
          <w:rFonts w:cs="Calibri"/>
          <w:lang w:val="en-AU"/>
        </w:rPr>
        <w:t xml:space="preserve">, </w:t>
      </w:r>
      <w:proofErr w:type="gramStart"/>
      <w:r w:rsidR="006331AB" w:rsidRPr="007C3B9D">
        <w:rPr>
          <w:lang w:val="en-AU"/>
        </w:rPr>
        <w:t>and also</w:t>
      </w:r>
      <w:proofErr w:type="gramEnd"/>
      <w:r w:rsidR="00856359" w:rsidRPr="007C3B9D">
        <w:rPr>
          <w:lang w:val="en-AU"/>
        </w:rPr>
        <w:t xml:space="preserve"> collaborates with certain bodies in the socio-cultural and economic pillars when activities overlap with those domains</w:t>
      </w:r>
      <w:r w:rsidR="006331AB" w:rsidRPr="007C3B9D">
        <w:rPr>
          <w:lang w:val="en-AU"/>
        </w:rPr>
        <w:t xml:space="preserve">, </w:t>
      </w:r>
      <w:r w:rsidR="00856359" w:rsidRPr="007C3B9D">
        <w:rPr>
          <w:rFonts w:cs="Calibri"/>
          <w:lang w:val="en-AU"/>
        </w:rPr>
        <w:t xml:space="preserve">to ensure that its activities align with ASEAN’s priorities and procedural requirements. </w:t>
      </w:r>
    </w:p>
    <w:p w14:paraId="1647CAFB" w14:textId="4D0FCC2A" w:rsidR="00CC3147" w:rsidRPr="007C3B9D" w:rsidRDefault="00CC3147" w:rsidP="00903D77">
      <w:pPr>
        <w:spacing w:after="120" w:line="276" w:lineRule="auto"/>
        <w:jc w:val="both"/>
        <w:rPr>
          <w:rFonts w:cs="Calibri"/>
          <w:lang w:val="en-AU"/>
        </w:rPr>
      </w:pPr>
      <w:r w:rsidRPr="007C3B9D">
        <w:rPr>
          <w:rFonts w:cs="Calibri"/>
          <w:lang w:val="en-AU"/>
        </w:rPr>
        <w:t>This integration is crucial, as ASEAN’s consensus-based approach relies strongly on adherence to established protocols to maintain unity and legitimacy among member states. A DFAT official observed that ‘</w:t>
      </w:r>
      <w:r w:rsidRPr="007C3B9D">
        <w:rPr>
          <w:rFonts w:cs="Calibri"/>
          <w:i/>
          <w:iCs/>
          <w:lang w:val="en-AU"/>
        </w:rPr>
        <w:t>working through ASEAN mechanisms, like ASEAN sectoral bodies, ensures involvement from all ten ASEAN countries. Without using ASEAN processes, however, activities may not be seen as officially ASEAN’</w:t>
      </w:r>
      <w:r w:rsidRPr="007C3B9D">
        <w:rPr>
          <w:rFonts w:cs="Calibri"/>
          <w:lang w:val="en-AU"/>
        </w:rPr>
        <w:t>. By operating through ASEAN’s own frameworks, APSP has bolstered its credibility, and positioned itself as a partner that respects ASEAN’s operational structure.</w:t>
      </w:r>
    </w:p>
    <w:p w14:paraId="5B42C397" w14:textId="77777777" w:rsidR="00CC3147" w:rsidRPr="007C3B9D" w:rsidRDefault="00CC3147" w:rsidP="00903D77">
      <w:pPr>
        <w:spacing w:after="120" w:line="276" w:lineRule="auto"/>
        <w:jc w:val="both"/>
        <w:rPr>
          <w:rFonts w:cs="Calibri"/>
          <w:lang w:val="en-AU"/>
        </w:rPr>
      </w:pPr>
      <w:r w:rsidRPr="007C3B9D">
        <w:rPr>
          <w:rFonts w:cs="Calibri"/>
          <w:lang w:val="en-AU"/>
        </w:rPr>
        <w:t xml:space="preserve">APSP’s engagement with sectoral bodies, such as SOMTC and APSC, has proven effective in addressing specific regional concerns and fostering inter-member state collaboration on issues such as transnational crime and </w:t>
      </w:r>
      <w:proofErr w:type="gramStart"/>
      <w:r w:rsidRPr="007C3B9D">
        <w:rPr>
          <w:rFonts w:cs="Calibri"/>
          <w:lang w:val="en-AU"/>
        </w:rPr>
        <w:t>counter-terrorism</w:t>
      </w:r>
      <w:proofErr w:type="gramEnd"/>
      <w:r w:rsidRPr="007C3B9D">
        <w:rPr>
          <w:rFonts w:cs="Calibri"/>
          <w:lang w:val="en-AU"/>
        </w:rPr>
        <w:t>. These activities are often guided by existing ASEAN work plans and cross-sectoral action plans, which enhance APSP’s relevance by ensuring that its initiatives directly support ASEAN’s strategic goals. An ASEAN official emphasised the value of APSP’s alignment with ASEAN’s processes, noting that ‘</w:t>
      </w:r>
      <w:r w:rsidRPr="007C3B9D">
        <w:rPr>
          <w:rFonts w:cs="Calibri"/>
          <w:i/>
          <w:iCs/>
          <w:lang w:val="en-AU"/>
        </w:rPr>
        <w:t>activities supported through SOMTC have been effective, aligning with and actively implementing the SOMTC-Australia work plan on transnational crime, with APSP funding well-channelled into this progress’</w:t>
      </w:r>
      <w:r w:rsidRPr="007C3B9D">
        <w:rPr>
          <w:rFonts w:cs="Calibri"/>
          <w:lang w:val="en-AU"/>
        </w:rPr>
        <w:t>. This alignment underscores APSP’s commitment to ASEAN centrality and illustrates its role in reinforcing intra-ASEAN cooperation by addressing pressing security challenges through established ASEAN frameworks.</w:t>
      </w:r>
    </w:p>
    <w:p w14:paraId="2B5671D7" w14:textId="54B2A344" w:rsidR="00CC3147" w:rsidRPr="007C3B9D" w:rsidRDefault="00CC3147" w:rsidP="0035461D">
      <w:pPr>
        <w:pStyle w:val="Heading3"/>
      </w:pPr>
      <w:r w:rsidRPr="007C3B9D">
        <w:t>Cross-sectoral cohesion on sensitive and emerging issues</w:t>
      </w:r>
    </w:p>
    <w:p w14:paraId="2E5A13DB" w14:textId="77777777" w:rsidR="00CC3147" w:rsidRPr="007C3B9D" w:rsidRDefault="00CC3147" w:rsidP="00903D77">
      <w:pPr>
        <w:spacing w:after="120" w:line="276" w:lineRule="auto"/>
        <w:jc w:val="both"/>
        <w:rPr>
          <w:rFonts w:cs="Calibri"/>
          <w:lang w:val="en-AU"/>
        </w:rPr>
      </w:pPr>
      <w:r w:rsidRPr="007C3B9D">
        <w:rPr>
          <w:rFonts w:cs="Calibri"/>
          <w:lang w:val="en-AU"/>
        </w:rPr>
        <w:t>A defining strength of APSP is its ability to facilitate cross-sectoral dialogue on sensitive issues that are often overlooked in traditional political security frameworks. The program’s support for the Women, Peace, and Security (WPS) agenda within ASEAN is a prominent example of how APSP has encouraged AMS to incorporate gender considerations into security discussions, a priority area that previously lacked adequate attention within ASEAN. WPS is a critical but sensitive topic in the Southeast Asian context, as the concept remains relatively new and is often viewed as a ‘soft’ issue by political security actors. APSP’s involvement in WPS has broadened ASEAN’s understanding of gender security, providing a framework for AMS to engage in meaningful dialogue on the role of women in peacebuilding and conflict prevention.</w:t>
      </w:r>
    </w:p>
    <w:p w14:paraId="50B88EBA" w14:textId="77777777" w:rsidR="00CC3147" w:rsidRPr="007C3B9D" w:rsidRDefault="00CC3147" w:rsidP="00903D77">
      <w:pPr>
        <w:spacing w:after="120" w:line="276" w:lineRule="auto"/>
        <w:jc w:val="both"/>
        <w:rPr>
          <w:rFonts w:cs="Calibri"/>
          <w:lang w:val="en-AU"/>
        </w:rPr>
      </w:pPr>
      <w:r w:rsidRPr="007C3B9D">
        <w:rPr>
          <w:rFonts w:cs="Calibri"/>
          <w:lang w:val="en-AU"/>
        </w:rPr>
        <w:t>APSP’s role in advancing WPS within ASEAN has required a nuanced, multi-sectoral approach, as the issue intersects with both security and socio-cultural concerns. Initially, ASEAN’s approach to WPS was situated within the socio-cultural pillar, which limited its impact on political security discourse. APSP’s involvement has helped shift WPS into the political security sphere, fostering greater intra-ASEAN engagement on gender security. One TAF representative confirmed that ‘</w:t>
      </w:r>
      <w:r w:rsidRPr="007C3B9D">
        <w:rPr>
          <w:rFonts w:cs="Calibri"/>
          <w:i/>
          <w:iCs/>
          <w:lang w:val="en-AU"/>
        </w:rPr>
        <w:t>engagement with political security actors on gender equality remains challenging, as WPS is often dismissed as a ‘soft’ topic’</w:t>
      </w:r>
      <w:r w:rsidRPr="007C3B9D">
        <w:rPr>
          <w:rFonts w:cs="Calibri"/>
          <w:lang w:val="en-AU"/>
        </w:rPr>
        <w:t>. By advocating for WPS within ASEAN’s political security framework, APSP has encouraged ASEAN members to consider gender perspectives in security planning, thereby enriching the discourse around inclusive security and enhancing the scope of intra-ASEAN cooperation on WPS.</w:t>
      </w:r>
    </w:p>
    <w:p w14:paraId="53484B10" w14:textId="77777777" w:rsidR="00CC3147" w:rsidRPr="007C3B9D" w:rsidRDefault="00CC3147" w:rsidP="00903D77">
      <w:pPr>
        <w:spacing w:after="120" w:line="276" w:lineRule="auto"/>
        <w:jc w:val="both"/>
        <w:rPr>
          <w:rFonts w:cs="Calibri"/>
          <w:lang w:val="en-AU"/>
        </w:rPr>
      </w:pPr>
      <w:r w:rsidRPr="007C3B9D">
        <w:rPr>
          <w:rFonts w:cs="Calibri"/>
          <w:lang w:val="en-AU"/>
        </w:rPr>
        <w:t xml:space="preserve">The program’s support for the ASEAN Regional Plan of Action on WPS has provided a unified policy framework that has enabled ASEAN member states to address WPS collectively. Since the adoption of the plan, APSP has driven its implementation by supporting various WPS activities, including </w:t>
      </w:r>
      <w:r w:rsidRPr="007C3B9D">
        <w:rPr>
          <w:rFonts w:cs="Calibri"/>
          <w:lang w:val="en-AU"/>
        </w:rPr>
        <w:lastRenderedPageBreak/>
        <w:t>research initiatives, capacity-building sessions, and projects focused on women’s roles in peace and mediation. APSP’s efforts have been well-received within ASEAN, with one official noting that ‘</w:t>
      </w:r>
      <w:r w:rsidRPr="007C3B9D">
        <w:rPr>
          <w:rFonts w:cs="Calibri"/>
          <w:i/>
          <w:iCs/>
          <w:lang w:val="en-AU"/>
        </w:rPr>
        <w:t>APSP has facilitated inter-pillar dialogues across ASEAN’s community pillars, enhancing strategic collaboration on WPS’</w:t>
      </w:r>
      <w:r w:rsidRPr="007C3B9D">
        <w:rPr>
          <w:rFonts w:cs="Calibri"/>
          <w:lang w:val="en-AU"/>
        </w:rPr>
        <w:t>. Such cross-pillar engagement underscores APSP’s value in promoting a holistic approach to security that encompasses gender considerations, setting a precedent for AMS to integrate WPS into broader political security discussions.</w:t>
      </w:r>
    </w:p>
    <w:p w14:paraId="17748852" w14:textId="5C8CDD73" w:rsidR="00CC3147" w:rsidRPr="007C3B9D" w:rsidRDefault="00CC3147" w:rsidP="0035461D">
      <w:pPr>
        <w:pStyle w:val="Heading3"/>
      </w:pPr>
      <w:r w:rsidRPr="007C3B9D">
        <w:t>Challenges of harmonising diverse Member State capacities and interests</w:t>
      </w:r>
    </w:p>
    <w:p w14:paraId="6C9E6DA8" w14:textId="77777777" w:rsidR="00CC3147" w:rsidRPr="007C3B9D" w:rsidRDefault="00CC3147" w:rsidP="00903D77">
      <w:pPr>
        <w:spacing w:after="120" w:line="276" w:lineRule="auto"/>
        <w:jc w:val="both"/>
        <w:rPr>
          <w:rFonts w:cs="Calibri"/>
          <w:lang w:val="en-AU"/>
        </w:rPr>
      </w:pPr>
      <w:r w:rsidRPr="007C3B9D">
        <w:rPr>
          <w:rFonts w:cs="Calibri"/>
          <w:lang w:val="en-AU"/>
        </w:rPr>
        <w:t xml:space="preserve">Despite APSP’s successes in promoting intra-ASEAN dialogue, the program has encountered challenges in harmonising the interests and </w:t>
      </w:r>
      <w:proofErr w:type="gramStart"/>
      <w:r w:rsidRPr="007C3B9D">
        <w:rPr>
          <w:rFonts w:cs="Calibri"/>
          <w:lang w:val="en-AU"/>
        </w:rPr>
        <w:t>highly-divergent</w:t>
      </w:r>
      <w:proofErr w:type="gramEnd"/>
      <w:r w:rsidRPr="007C3B9D">
        <w:rPr>
          <w:rFonts w:cs="Calibri"/>
          <w:lang w:val="en-AU"/>
        </w:rPr>
        <w:t xml:space="preserve"> capacities of ASEAN member states. Each AMS operates within a unique political, legislative, and security context, which creates complexities for region-wide initiatives on sensitive security issues. The diversity in ASEAN’s regional landscape necessitates adaptable and carefully tailored approaches, as member states vary significantly in their willingness and capacity to address certain political security topics. An AFP official highlighted these challenges, noting that ‘</w:t>
      </w:r>
      <w:r w:rsidRPr="007C3B9D">
        <w:rPr>
          <w:rFonts w:cs="Calibri"/>
          <w:i/>
          <w:iCs/>
          <w:lang w:val="en-AU"/>
        </w:rPr>
        <w:t>ASEAN member states vary widely in their legislative frameworks, capabilities, expertise, and engagement’</w:t>
      </w:r>
      <w:r w:rsidRPr="007C3B9D">
        <w:rPr>
          <w:rFonts w:cs="Calibri"/>
          <w:lang w:val="en-AU"/>
        </w:rPr>
        <w:t>. This diversity often complicates efforts to foster a unified response to shared security challenges, requiring APSP to adopt flexible, context-sensitive strategies to accommodate varying levels of member state readiness and resource availability.</w:t>
      </w:r>
    </w:p>
    <w:p w14:paraId="14E1A4E5" w14:textId="77777777" w:rsidR="00CC3147" w:rsidRPr="007C3B9D" w:rsidRDefault="00CC3147" w:rsidP="00903D77">
      <w:pPr>
        <w:spacing w:after="120" w:line="276" w:lineRule="auto"/>
        <w:jc w:val="both"/>
        <w:rPr>
          <w:rFonts w:cs="Calibri"/>
          <w:lang w:val="en-AU"/>
        </w:rPr>
      </w:pPr>
      <w:r w:rsidRPr="007C3B9D">
        <w:rPr>
          <w:rFonts w:cs="Calibri"/>
          <w:lang w:val="en-AU"/>
        </w:rPr>
        <w:t xml:space="preserve">An example of this complexity was evident in APSP’s counter-terrorism workshops, which have encountered varying levels of engagement depending on the specific national priorities and security capacities of each member state. Although APSP has fostered significant engagement through SOMTC, translating these high-level dialogues into tangible, country-specific outcomes </w:t>
      </w:r>
      <w:proofErr w:type="gramStart"/>
      <w:r w:rsidRPr="007C3B9D">
        <w:rPr>
          <w:rFonts w:cs="Calibri"/>
          <w:lang w:val="en-AU"/>
        </w:rPr>
        <w:t>remains</w:t>
      </w:r>
      <w:proofErr w:type="gramEnd"/>
      <w:r w:rsidRPr="007C3B9D">
        <w:rPr>
          <w:rFonts w:cs="Calibri"/>
          <w:lang w:val="en-AU"/>
        </w:rPr>
        <w:t xml:space="preserve"> challenging. An official from DFAT reflected on this issue, stating that ‘</w:t>
      </w:r>
      <w:r w:rsidRPr="007C3B9D">
        <w:rPr>
          <w:rFonts w:cs="Calibri"/>
          <w:i/>
          <w:iCs/>
          <w:lang w:val="en-AU"/>
        </w:rPr>
        <w:t>translating these activities into policy change and tangible benefits is challenging, unlike bilateral programs where impact is more immediately visible’</w:t>
      </w:r>
      <w:r w:rsidRPr="007C3B9D">
        <w:rPr>
          <w:rFonts w:cs="Calibri"/>
          <w:lang w:val="en-AU"/>
        </w:rPr>
        <w:t xml:space="preserve">. APSP’s efforts to engage AMS in cross-sectoral discussions on </w:t>
      </w:r>
      <w:proofErr w:type="gramStart"/>
      <w:r w:rsidRPr="007C3B9D">
        <w:rPr>
          <w:rFonts w:cs="Calibri"/>
          <w:lang w:val="en-AU"/>
        </w:rPr>
        <w:t>counter-terrorism</w:t>
      </w:r>
      <w:proofErr w:type="gramEnd"/>
      <w:r w:rsidRPr="007C3B9D">
        <w:rPr>
          <w:rFonts w:cs="Calibri"/>
          <w:lang w:val="en-AU"/>
        </w:rPr>
        <w:t xml:space="preserve"> have been beneficial in raising awareness and building networks; however, the program must navigate complex political sensitivities and varying degrees of buy-in from member states to achieve concrete outcomes at the national level.</w:t>
      </w:r>
    </w:p>
    <w:p w14:paraId="2F7F9705" w14:textId="7D3CB3AA" w:rsidR="00CC3147" w:rsidRPr="007C3B9D" w:rsidRDefault="00CC3147" w:rsidP="0035461D">
      <w:pPr>
        <w:pStyle w:val="Heading3"/>
      </w:pPr>
      <w:r w:rsidRPr="007C3B9D">
        <w:t>Demand-Driven approach</w:t>
      </w:r>
    </w:p>
    <w:p w14:paraId="4CD16CA3" w14:textId="77777777" w:rsidR="00CC3147" w:rsidRPr="007C3B9D" w:rsidRDefault="00CC3147" w:rsidP="00903D77">
      <w:pPr>
        <w:spacing w:after="120" w:line="276" w:lineRule="auto"/>
        <w:jc w:val="both"/>
        <w:rPr>
          <w:rFonts w:cs="Calibri"/>
          <w:lang w:val="en-AU"/>
        </w:rPr>
      </w:pPr>
      <w:r w:rsidRPr="007C3B9D">
        <w:rPr>
          <w:rFonts w:cs="Calibri"/>
          <w:lang w:val="en-AU"/>
        </w:rPr>
        <w:t xml:space="preserve">APSP’s flexible, demand-driven structure has been instrumental in encouraging intra-ASEAN dialogue on emerging security issues, allowing ASEAN stakeholders to engage on sensitive topics in a way that respects ASEAN centrality and member state sovereignty. The demand-driven approach enables APSP to respond to specific requests from ASEAN, tailoring its activities to align with the priorities and comfort zones of AMS. By providing rapid turnaround support to ASEAN requests, APSP has built credibility and trust within ASEAN, which is essential for fostering meaningful, sustained dialogue. Indeed, program relevance has been enhanced by these approaches in its implementation, </w:t>
      </w:r>
      <w:proofErr w:type="gramStart"/>
      <w:r w:rsidRPr="007C3B9D">
        <w:rPr>
          <w:rFonts w:cs="Calibri"/>
          <w:lang w:val="en-AU"/>
        </w:rPr>
        <w:t>in particular by</w:t>
      </w:r>
      <w:proofErr w:type="gramEnd"/>
      <w:r w:rsidRPr="007C3B9D">
        <w:rPr>
          <w:rFonts w:cs="Calibri"/>
          <w:lang w:val="en-AU"/>
        </w:rPr>
        <w:t xml:space="preserve"> ensuring that all activities are firmly grounded in evidence-based analysis and that support is not only demand-driven but that such demand is generated according to identified needs and gaps.</w:t>
      </w:r>
    </w:p>
    <w:p w14:paraId="1941908B" w14:textId="77777777" w:rsidR="00CC3147" w:rsidRPr="007C3B9D" w:rsidRDefault="00CC3147" w:rsidP="00903D77">
      <w:pPr>
        <w:spacing w:after="120" w:line="276" w:lineRule="auto"/>
        <w:jc w:val="both"/>
        <w:rPr>
          <w:rFonts w:cs="Calibri"/>
          <w:lang w:val="en-AU"/>
        </w:rPr>
      </w:pPr>
      <w:r w:rsidRPr="007C3B9D">
        <w:rPr>
          <w:rFonts w:cs="Calibri"/>
          <w:lang w:val="en-AU"/>
        </w:rPr>
        <w:t xml:space="preserve">This flexible approach has proven particularly effective in APSP’s cybersecurity initiatives, where APSP has responded to ASEAN’s growing concerns about digital security and cyber resilience. In response to member states’ interest in enhancing cybersecurity capacity, APSP facilitated a workshop in Singapore, where top experts and ASEAN officials could exchange knowledge and best </w:t>
      </w:r>
      <w:r w:rsidRPr="007C3B9D">
        <w:rPr>
          <w:rFonts w:cs="Calibri"/>
          <w:lang w:val="en-AU"/>
        </w:rPr>
        <w:lastRenderedPageBreak/>
        <w:t>practices. An interviewee reflected on the success of the workshop, stating, ‘</w:t>
      </w:r>
      <w:r w:rsidRPr="007C3B9D">
        <w:rPr>
          <w:rFonts w:cs="Calibri"/>
          <w:i/>
          <w:iCs/>
          <w:lang w:val="en-AU"/>
        </w:rPr>
        <w:t>the Singapore cybercrime workshop was impactful, bringing together top experts and an engaged audience eager for self-improvement’</w:t>
      </w:r>
      <w:r w:rsidRPr="007C3B9D">
        <w:rPr>
          <w:rFonts w:cs="Calibri"/>
          <w:lang w:val="en-AU"/>
        </w:rPr>
        <w:t>. By providing a platform for ASEAN officials to learn from Australian expertise in cybersecurity, APSP has encouraged intra-ASEAN dialogue on cyber resilience and supported ASEAN’s efforts to implement international cyber norms. The demand-driven approach allows APSP to engage with ASEAN on emerging issues such as cybersecurity without imposing external agendas, reinforcing once again Australia’s role as a partner that respects ASEAN’s sovereignty and security concerns.</w:t>
      </w:r>
    </w:p>
    <w:p w14:paraId="0352EA7C" w14:textId="5FAC3237" w:rsidR="00CC3147" w:rsidRPr="007C3B9D" w:rsidRDefault="00CC3147" w:rsidP="0035461D">
      <w:pPr>
        <w:pStyle w:val="Heading3"/>
      </w:pPr>
      <w:r w:rsidRPr="007C3B9D">
        <w:t xml:space="preserve">Leveraging established partnerships </w:t>
      </w:r>
    </w:p>
    <w:p w14:paraId="1EFA3D30" w14:textId="77777777" w:rsidR="00CC3147" w:rsidRPr="007C3B9D" w:rsidRDefault="00CC3147" w:rsidP="00903D77">
      <w:pPr>
        <w:spacing w:after="120" w:line="276" w:lineRule="auto"/>
        <w:jc w:val="both"/>
        <w:rPr>
          <w:rFonts w:cs="Calibri"/>
          <w:lang w:val="en-AU"/>
        </w:rPr>
      </w:pPr>
      <w:r w:rsidRPr="007C3B9D">
        <w:rPr>
          <w:rFonts w:cs="Calibri"/>
          <w:lang w:val="en-AU"/>
        </w:rPr>
        <w:t>A crucial component of APSP’s strategy in fostering intra-ASEAN dialogue is its emphasis on leveraging established partnerships within ASEAN to support collaborative, multi-stakeholder initiatives. By working closely with entities such as the ASEAN Institute for Peace and Reconciliation and the ASEAN Women for Peace Registry, APSP has strengthened its role as a facilitator of cross-regional cooperation on peace and security. For instance, the Women for Peace Registry has served as a valuable platform for addressing WPS, allowing ASEAN member states to share experiences and strategies for integrating gender considerations into national security frameworks. APSP’s support for these initiatives has encouraged ASEAN to adopt a more holistic, inclusive approach to security, particularly in areas where member states may have limited capacity or expertise.</w:t>
      </w:r>
    </w:p>
    <w:p w14:paraId="010A1F61" w14:textId="77777777" w:rsidR="00CC3147" w:rsidRPr="007C3B9D" w:rsidRDefault="00CC3147" w:rsidP="00903D77">
      <w:pPr>
        <w:spacing w:after="120" w:line="276" w:lineRule="auto"/>
        <w:jc w:val="both"/>
        <w:rPr>
          <w:rFonts w:cs="Calibri"/>
          <w:lang w:val="en-AU"/>
        </w:rPr>
      </w:pPr>
      <w:r w:rsidRPr="007C3B9D">
        <w:rPr>
          <w:rFonts w:cs="Calibri"/>
          <w:lang w:val="en-AU"/>
        </w:rPr>
        <w:t>Additionally, APSP’s collaboration with influential AMS, such as the Philippines and Indonesia, has created critical entry points for intra-ASEAN cooperation on politically sensitive issues. By aligning APSP activities with the priorities of these key ASEAN members, APSP has fostered greater regional buy-in and facilitated joint action on transnational challenges. For example, APSP’s close cooperation with Indonesia’s counter-terrorism agency, which leads the SOMTC, has enabled smoother program approvals and strengthened APSP’s role within ASEAN’s counter-terrorism frameworks. One Australian official highlighted the significance of these established relationships, stating that ‘</w:t>
      </w:r>
      <w:r w:rsidRPr="007C3B9D">
        <w:rPr>
          <w:rFonts w:cs="Calibri"/>
          <w:i/>
          <w:iCs/>
          <w:lang w:val="en-AU"/>
        </w:rPr>
        <w:t>working with Indonesia’s counter-terrorism agency as the lead within ASEAN’s senior officials meeting on transnational crime (SOMTC) has facilitated smoother processes, as established relationships have made approvals easier’</w:t>
      </w:r>
      <w:r w:rsidRPr="007C3B9D">
        <w:rPr>
          <w:rFonts w:cs="Calibri"/>
          <w:lang w:val="en-AU"/>
        </w:rPr>
        <w:t>. This strategic alignment with key AMS has enhanced APSP’s ability to engage on sensitive topics while reinforcing ASEAN’s collective response to security threats.</w:t>
      </w:r>
    </w:p>
    <w:p w14:paraId="7C62748C" w14:textId="24A9D56E" w:rsidR="00CC3147" w:rsidRPr="007C3B9D" w:rsidRDefault="00CC3147" w:rsidP="0035461D">
      <w:pPr>
        <w:pStyle w:val="Heading3"/>
      </w:pPr>
      <w:r w:rsidRPr="007C3B9D">
        <w:t xml:space="preserve">Longer-term outcomes </w:t>
      </w:r>
    </w:p>
    <w:p w14:paraId="34AE56E2" w14:textId="050DBEF6" w:rsidR="00A17939" w:rsidRPr="007C3B9D" w:rsidRDefault="00CC3147" w:rsidP="00903D77">
      <w:pPr>
        <w:spacing w:after="120" w:line="276" w:lineRule="auto"/>
        <w:jc w:val="both"/>
        <w:rPr>
          <w:rFonts w:cs="Calibri"/>
          <w:lang w:val="en-AU"/>
        </w:rPr>
      </w:pPr>
      <w:r w:rsidRPr="007C3B9D">
        <w:rPr>
          <w:rFonts w:cs="Calibri"/>
          <w:lang w:val="en-AU"/>
        </w:rPr>
        <w:t>APSP’s focus on fostering intra-ASEAN dialogue has yielded long-term benefits by establishing sustained platforms for knowledge exchange and collaborative problem-solving on security issue</w:t>
      </w:r>
      <w:r w:rsidR="00A17939" w:rsidRPr="007C3B9D">
        <w:rPr>
          <w:rFonts w:cs="Calibri"/>
          <w:lang w:val="en-AU"/>
        </w:rPr>
        <w:t xml:space="preserve">, which have </w:t>
      </w:r>
      <w:r w:rsidR="00A17939" w:rsidRPr="007C3B9D">
        <w:rPr>
          <w:lang w:val="en-AU"/>
        </w:rPr>
        <w:t xml:space="preserve">begun to establish long-term foundations, though further work in follow-on programs will be essential to fully </w:t>
      </w:r>
      <w:r w:rsidR="00B01B8B" w:rsidRPr="007C3B9D">
        <w:rPr>
          <w:lang w:val="en-AU"/>
        </w:rPr>
        <w:t>realize</w:t>
      </w:r>
      <w:r w:rsidR="00A17939" w:rsidRPr="007C3B9D">
        <w:rPr>
          <w:lang w:val="en-AU"/>
        </w:rPr>
        <w:t xml:space="preserve"> sustained benefits</w:t>
      </w:r>
      <w:r w:rsidRPr="007C3B9D">
        <w:rPr>
          <w:rFonts w:cs="Calibri"/>
          <w:lang w:val="en-AU"/>
        </w:rPr>
        <w:t xml:space="preserve">. By building trust and encouraging transparency among AMS, APSP has contributed to a more cohesive regional response to transnational threats, reinforcing ASEAN’s collective resilience. Through APSP-supported workshops, AMS officials have gained insights into regional security challenges, such as cybercrime and </w:t>
      </w:r>
      <w:proofErr w:type="gramStart"/>
      <w:r w:rsidRPr="007C3B9D">
        <w:rPr>
          <w:rFonts w:cs="Calibri"/>
          <w:lang w:val="en-AU"/>
        </w:rPr>
        <w:t>counter-terrorism</w:t>
      </w:r>
      <w:proofErr w:type="gramEnd"/>
      <w:r w:rsidRPr="007C3B9D">
        <w:rPr>
          <w:rFonts w:cs="Calibri"/>
          <w:lang w:val="en-AU"/>
        </w:rPr>
        <w:t>, that go beyond bilateral concerns. This regionalised approach not only promotes consistency in ASEAN’s security responses but also strengthens intra-ASEAN networks that can be mobilised in times of crisis.</w:t>
      </w:r>
    </w:p>
    <w:p w14:paraId="7E4316B5" w14:textId="7B639C29" w:rsidR="00945AEE" w:rsidRPr="007C3B9D" w:rsidRDefault="00CC3147" w:rsidP="00903D77">
      <w:pPr>
        <w:spacing w:after="120" w:line="276" w:lineRule="auto"/>
        <w:jc w:val="both"/>
        <w:rPr>
          <w:rFonts w:cs="Calibri"/>
          <w:lang w:val="en-AU"/>
        </w:rPr>
      </w:pPr>
      <w:r w:rsidRPr="007C3B9D">
        <w:rPr>
          <w:rFonts w:cs="Calibri"/>
          <w:lang w:val="en-AU"/>
        </w:rPr>
        <w:t xml:space="preserve">For instance, APSP’s initiatives in cyber capacity-building have empowered ASEAN officials to address cyber threats collectively, with workshops providing AMS with practical tools and frameworks for implementing cybersecurity protocols. These efforts have encouraged ASEAN </w:t>
      </w:r>
      <w:r w:rsidRPr="007C3B9D">
        <w:rPr>
          <w:rFonts w:cs="Calibri"/>
          <w:lang w:val="en-AU"/>
        </w:rPr>
        <w:lastRenderedPageBreak/>
        <w:t>member states to collaborate on developing unified responses to digital threats, enhancing ASEAN’s overall cyber resilience. One interviewee emphasised the value of these collaborative efforts, stating that ‘</w:t>
      </w:r>
      <w:r w:rsidRPr="007C3B9D">
        <w:rPr>
          <w:rFonts w:cs="Calibri"/>
          <w:i/>
          <w:iCs/>
          <w:lang w:val="en-AU"/>
        </w:rPr>
        <w:t>Australia is organising a capacity-building workshop to support ASEAN member states in implementing UNGGE norms for responsible state behaviour in cyberspace’</w:t>
      </w:r>
      <w:r w:rsidR="006331AB" w:rsidRPr="007C3B9D">
        <w:rPr>
          <w:rFonts w:cs="Calibri"/>
          <w:lang w:val="en-AU"/>
        </w:rPr>
        <w:t xml:space="preserve">, endorsed by ASEAN in </w:t>
      </w:r>
      <w:r w:rsidR="00A17939" w:rsidRPr="007C3B9D">
        <w:rPr>
          <w:rFonts w:cs="Calibri"/>
          <w:lang w:val="en-AU"/>
        </w:rPr>
        <w:t>March 2024</w:t>
      </w:r>
      <w:r w:rsidR="006331AB" w:rsidRPr="007C3B9D">
        <w:rPr>
          <w:rFonts w:cs="Calibri"/>
          <w:lang w:val="en-AU"/>
        </w:rPr>
        <w:t>.</w:t>
      </w:r>
      <w:r w:rsidRPr="007C3B9D">
        <w:rPr>
          <w:rFonts w:cs="Calibri"/>
          <w:lang w:val="en-AU"/>
        </w:rPr>
        <w:t xml:space="preserve"> By promoting international cyber norms within ASEAN, APSP has facilitated a shared understanding of responsible cyber behaviour, reinforcing ASEAN’s security architecture in the digital domain.</w:t>
      </w:r>
    </w:p>
    <w:p w14:paraId="735F7C47" w14:textId="652A723B" w:rsidR="009A4E79" w:rsidRPr="007C3B9D" w:rsidRDefault="009A4E79" w:rsidP="0035461D">
      <w:pPr>
        <w:pStyle w:val="Heading3"/>
      </w:pPr>
      <w:r w:rsidRPr="007C3B9D">
        <w:t>Survey feedback</w:t>
      </w:r>
    </w:p>
    <w:p w14:paraId="5EBBA998" w14:textId="7CC48DF5" w:rsidR="009A4E79" w:rsidRDefault="009A4E79" w:rsidP="00903D77">
      <w:pPr>
        <w:spacing w:after="120" w:line="276" w:lineRule="auto"/>
        <w:jc w:val="both"/>
        <w:rPr>
          <w:rFonts w:cs="Calibri"/>
          <w:lang w:val="en-AU"/>
        </w:rPr>
      </w:pPr>
      <w:r w:rsidRPr="007C3B9D">
        <w:rPr>
          <w:rFonts w:cs="Calibri"/>
          <w:lang w:val="en-AU"/>
        </w:rPr>
        <w:t>Survey respondents strongly consider that the activities in which they participated provided considerable benefits by providing opportunities to share knowledge and establish professional connections, and the opportunity to gain insights from Australian expertise. Respondents responded very favourably concerning the issues encompassed by the activities, the types of activities provided and balance between theoretical and practical elements, and the quality of expertise and reference materials. These elements are confirmed in the table below:</w:t>
      </w:r>
    </w:p>
    <w:tbl>
      <w:tblPr>
        <w:tblStyle w:val="TableGrid"/>
        <w:tblW w:w="3123" w:type="pct"/>
        <w:jc w:val="center"/>
        <w:tblLook w:val="0420" w:firstRow="1" w:lastRow="0" w:firstColumn="0" w:lastColumn="0" w:noHBand="0" w:noVBand="1"/>
      </w:tblPr>
      <w:tblGrid>
        <w:gridCol w:w="2661"/>
        <w:gridCol w:w="2970"/>
      </w:tblGrid>
      <w:tr w:rsidR="00C525FA" w14:paraId="3F2AF89D" w14:textId="77777777" w:rsidTr="008059F0">
        <w:trPr>
          <w:tblHeader/>
          <w:jc w:val="center"/>
        </w:trPr>
        <w:tc>
          <w:tcPr>
            <w:tcW w:w="2363" w:type="pct"/>
            <w:shd w:val="clear" w:color="auto" w:fill="45B0E1" w:themeFill="accent1" w:themeFillTint="99"/>
          </w:tcPr>
          <w:p w14:paraId="2F86CCAD" w14:textId="03F3974A" w:rsidR="00C525FA" w:rsidRPr="003D1AE7" w:rsidRDefault="00C525FA" w:rsidP="008059F0">
            <w:pPr>
              <w:autoSpaceDE w:val="0"/>
              <w:autoSpaceDN w:val="0"/>
              <w:adjustRightInd w:val="0"/>
              <w:spacing w:after="120" w:line="276" w:lineRule="auto"/>
              <w:rPr>
                <w:rFonts w:cstheme="minorHAnsi"/>
                <w:b/>
                <w:bCs/>
                <w:color w:val="000000"/>
                <w:lang w:val="en-AU"/>
              </w:rPr>
            </w:pPr>
            <w:r w:rsidRPr="00C525FA">
              <w:rPr>
                <w:rFonts w:cstheme="minorHAnsi"/>
                <w:b/>
                <w:bCs/>
                <w:lang w:val="en-AU"/>
              </w:rPr>
              <w:t>The activity provided an opportunity to share knowledge</w:t>
            </w:r>
          </w:p>
        </w:tc>
        <w:tc>
          <w:tcPr>
            <w:tcW w:w="2637" w:type="pct"/>
            <w:shd w:val="clear" w:color="auto" w:fill="45B0E1" w:themeFill="accent1" w:themeFillTint="99"/>
          </w:tcPr>
          <w:p w14:paraId="6166C89C" w14:textId="77777777" w:rsidR="00C525FA" w:rsidRPr="003D1AE7" w:rsidRDefault="00C525FA" w:rsidP="008059F0">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C525FA" w14:paraId="35E36BFA" w14:textId="77777777" w:rsidTr="008059F0">
        <w:trPr>
          <w:jc w:val="center"/>
        </w:trPr>
        <w:tc>
          <w:tcPr>
            <w:tcW w:w="2363" w:type="pct"/>
          </w:tcPr>
          <w:p w14:paraId="6E90871C" w14:textId="2E8786FD" w:rsidR="00C525FA" w:rsidRDefault="00C525FA" w:rsidP="008059F0">
            <w:pPr>
              <w:autoSpaceDE w:val="0"/>
              <w:autoSpaceDN w:val="0"/>
              <w:adjustRightInd w:val="0"/>
              <w:spacing w:after="120" w:line="276" w:lineRule="auto"/>
              <w:jc w:val="both"/>
              <w:rPr>
                <w:rFonts w:cstheme="minorHAnsi"/>
                <w:color w:val="000000"/>
                <w:lang w:val="en-AU"/>
              </w:rPr>
            </w:pPr>
            <w:r w:rsidRPr="007C3B9D">
              <w:rPr>
                <w:rFonts w:cstheme="minorHAnsi"/>
                <w:lang w:val="en-AU"/>
              </w:rPr>
              <w:t>Very satisfied</w:t>
            </w:r>
          </w:p>
        </w:tc>
        <w:tc>
          <w:tcPr>
            <w:tcW w:w="2637" w:type="pct"/>
          </w:tcPr>
          <w:p w14:paraId="399C227A" w14:textId="04926997" w:rsidR="00C525FA" w:rsidRDefault="00791F9D" w:rsidP="008059F0">
            <w:pPr>
              <w:autoSpaceDE w:val="0"/>
              <w:autoSpaceDN w:val="0"/>
              <w:adjustRightInd w:val="0"/>
              <w:spacing w:after="120" w:line="276" w:lineRule="auto"/>
              <w:jc w:val="both"/>
              <w:rPr>
                <w:rFonts w:cstheme="minorHAnsi"/>
                <w:color w:val="000000"/>
                <w:lang w:val="en-AU"/>
              </w:rPr>
            </w:pPr>
            <w:r>
              <w:rPr>
                <w:rFonts w:cstheme="minorHAnsi"/>
              </w:rPr>
              <w:t>5</w:t>
            </w:r>
            <w:r w:rsidR="00C525FA" w:rsidRPr="009F7DE6">
              <w:rPr>
                <w:rFonts w:cstheme="minorHAnsi"/>
              </w:rPr>
              <w:t>6%</w:t>
            </w:r>
          </w:p>
        </w:tc>
      </w:tr>
      <w:tr w:rsidR="00C525FA" w14:paraId="160604AE" w14:textId="77777777" w:rsidTr="008059F0">
        <w:trPr>
          <w:jc w:val="center"/>
        </w:trPr>
        <w:tc>
          <w:tcPr>
            <w:tcW w:w="2363" w:type="pct"/>
          </w:tcPr>
          <w:p w14:paraId="70B21E80" w14:textId="7AE1D439" w:rsidR="00C525FA" w:rsidRDefault="00791F9D" w:rsidP="008059F0">
            <w:pPr>
              <w:autoSpaceDE w:val="0"/>
              <w:autoSpaceDN w:val="0"/>
              <w:adjustRightInd w:val="0"/>
              <w:spacing w:after="120" w:line="276" w:lineRule="auto"/>
              <w:jc w:val="both"/>
              <w:rPr>
                <w:rFonts w:cstheme="minorHAnsi"/>
                <w:color w:val="000000"/>
                <w:lang w:val="en-AU"/>
              </w:rPr>
            </w:pPr>
            <w:r>
              <w:rPr>
                <w:rFonts w:cstheme="minorHAnsi"/>
                <w:lang w:val="en-AU"/>
              </w:rPr>
              <w:t>S</w:t>
            </w:r>
            <w:r w:rsidR="00C525FA" w:rsidRPr="007C3B9D">
              <w:rPr>
                <w:rFonts w:cstheme="minorHAnsi"/>
                <w:lang w:val="en-AU"/>
              </w:rPr>
              <w:t>atisfied</w:t>
            </w:r>
          </w:p>
        </w:tc>
        <w:tc>
          <w:tcPr>
            <w:tcW w:w="2637" w:type="pct"/>
          </w:tcPr>
          <w:p w14:paraId="7C48F5AE" w14:textId="4807B2E3" w:rsidR="00C525FA" w:rsidRDefault="00791F9D" w:rsidP="008059F0">
            <w:pPr>
              <w:autoSpaceDE w:val="0"/>
              <w:autoSpaceDN w:val="0"/>
              <w:adjustRightInd w:val="0"/>
              <w:spacing w:after="120" w:line="276" w:lineRule="auto"/>
              <w:jc w:val="both"/>
              <w:rPr>
                <w:rFonts w:cstheme="minorHAnsi"/>
                <w:color w:val="000000"/>
                <w:lang w:val="en-AU"/>
              </w:rPr>
            </w:pPr>
            <w:r>
              <w:rPr>
                <w:rFonts w:cstheme="minorHAnsi"/>
              </w:rPr>
              <w:t>24</w:t>
            </w:r>
            <w:r w:rsidR="00C525FA" w:rsidRPr="009F7DE6">
              <w:rPr>
                <w:rFonts w:cstheme="minorHAnsi"/>
              </w:rPr>
              <w:t>%</w:t>
            </w:r>
          </w:p>
        </w:tc>
      </w:tr>
      <w:tr w:rsidR="00C525FA" w14:paraId="094910FC" w14:textId="77777777" w:rsidTr="008059F0">
        <w:trPr>
          <w:jc w:val="center"/>
        </w:trPr>
        <w:tc>
          <w:tcPr>
            <w:tcW w:w="2363" w:type="pct"/>
          </w:tcPr>
          <w:p w14:paraId="7FEE5369" w14:textId="77777777" w:rsidR="00C525FA" w:rsidRDefault="00C525FA" w:rsidP="008059F0">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637" w:type="pct"/>
          </w:tcPr>
          <w:p w14:paraId="7502D8EE" w14:textId="77777777" w:rsidR="00C525FA" w:rsidRDefault="00C525FA" w:rsidP="008059F0">
            <w:pPr>
              <w:autoSpaceDE w:val="0"/>
              <w:autoSpaceDN w:val="0"/>
              <w:adjustRightInd w:val="0"/>
              <w:spacing w:after="120" w:line="276" w:lineRule="auto"/>
              <w:jc w:val="both"/>
              <w:rPr>
                <w:rFonts w:cstheme="minorHAnsi"/>
                <w:color w:val="000000"/>
                <w:lang w:val="en-AU"/>
              </w:rPr>
            </w:pPr>
            <w:r w:rsidRPr="009F7DE6">
              <w:rPr>
                <w:rFonts w:cstheme="minorHAnsi"/>
              </w:rPr>
              <w:t>1</w:t>
            </w:r>
            <w:r>
              <w:rPr>
                <w:rFonts w:cstheme="minorHAnsi"/>
              </w:rPr>
              <w:t>2</w:t>
            </w:r>
            <w:r w:rsidRPr="009F7DE6">
              <w:rPr>
                <w:rFonts w:cstheme="minorHAnsi"/>
              </w:rPr>
              <w:t>%</w:t>
            </w:r>
          </w:p>
        </w:tc>
      </w:tr>
      <w:tr w:rsidR="00C525FA" w14:paraId="15BA32F6" w14:textId="77777777" w:rsidTr="008059F0">
        <w:trPr>
          <w:jc w:val="center"/>
        </w:trPr>
        <w:tc>
          <w:tcPr>
            <w:tcW w:w="2363" w:type="pct"/>
          </w:tcPr>
          <w:p w14:paraId="531D4406" w14:textId="17DB107D" w:rsidR="00C525FA" w:rsidRDefault="00C525FA" w:rsidP="008059F0">
            <w:pPr>
              <w:autoSpaceDE w:val="0"/>
              <w:autoSpaceDN w:val="0"/>
              <w:adjustRightInd w:val="0"/>
              <w:spacing w:after="120" w:line="276" w:lineRule="auto"/>
              <w:jc w:val="both"/>
              <w:rPr>
                <w:rFonts w:cstheme="minorHAnsi"/>
                <w:color w:val="000000"/>
                <w:lang w:val="en-AU"/>
              </w:rPr>
            </w:pPr>
            <w:r>
              <w:rPr>
                <w:rFonts w:cstheme="minorHAnsi"/>
              </w:rPr>
              <w:t>Not</w:t>
            </w:r>
            <w:r w:rsidR="00791F9D">
              <w:rPr>
                <w:rFonts w:cstheme="minorHAnsi"/>
              </w:rPr>
              <w:t xml:space="preserve"> satisfied </w:t>
            </w:r>
          </w:p>
        </w:tc>
        <w:tc>
          <w:tcPr>
            <w:tcW w:w="2637" w:type="pct"/>
          </w:tcPr>
          <w:p w14:paraId="24C78807" w14:textId="0E037E37" w:rsidR="00C525FA" w:rsidRPr="009F7DE6" w:rsidRDefault="00791F9D" w:rsidP="008059F0">
            <w:pPr>
              <w:autoSpaceDE w:val="0"/>
              <w:autoSpaceDN w:val="0"/>
              <w:adjustRightInd w:val="0"/>
              <w:spacing w:after="120" w:line="276" w:lineRule="auto"/>
              <w:jc w:val="both"/>
              <w:rPr>
                <w:rFonts w:cstheme="minorHAnsi"/>
              </w:rPr>
            </w:pPr>
            <w:r>
              <w:rPr>
                <w:rFonts w:cstheme="minorHAnsi"/>
              </w:rPr>
              <w:t>4</w:t>
            </w:r>
            <w:r w:rsidR="00C525FA" w:rsidRPr="009F7DE6">
              <w:rPr>
                <w:rFonts w:cstheme="minorHAnsi"/>
              </w:rPr>
              <w:t>%</w:t>
            </w:r>
          </w:p>
        </w:tc>
      </w:tr>
      <w:tr w:rsidR="00C525FA" w14:paraId="4BB8A94D" w14:textId="77777777" w:rsidTr="008059F0">
        <w:trPr>
          <w:jc w:val="center"/>
        </w:trPr>
        <w:tc>
          <w:tcPr>
            <w:tcW w:w="2363" w:type="pct"/>
          </w:tcPr>
          <w:p w14:paraId="2341C69C" w14:textId="77777777" w:rsidR="00C525FA" w:rsidRPr="009F7DE6" w:rsidRDefault="00C525FA" w:rsidP="008059F0">
            <w:pPr>
              <w:autoSpaceDE w:val="0"/>
              <w:autoSpaceDN w:val="0"/>
              <w:adjustRightInd w:val="0"/>
              <w:spacing w:after="120" w:line="276" w:lineRule="auto"/>
              <w:jc w:val="both"/>
              <w:rPr>
                <w:rFonts w:cstheme="minorHAnsi"/>
              </w:rPr>
            </w:pPr>
            <w:r>
              <w:rPr>
                <w:rFonts w:cstheme="minorHAnsi"/>
              </w:rPr>
              <w:t xml:space="preserve">N/A </w:t>
            </w:r>
          </w:p>
        </w:tc>
        <w:tc>
          <w:tcPr>
            <w:tcW w:w="2637" w:type="pct"/>
          </w:tcPr>
          <w:p w14:paraId="2D6D0DD6" w14:textId="77777777" w:rsidR="00C525FA" w:rsidRPr="009F7DE6" w:rsidRDefault="00C525FA" w:rsidP="008059F0">
            <w:pPr>
              <w:autoSpaceDE w:val="0"/>
              <w:autoSpaceDN w:val="0"/>
              <w:adjustRightInd w:val="0"/>
              <w:spacing w:after="120" w:line="276" w:lineRule="auto"/>
              <w:jc w:val="both"/>
              <w:rPr>
                <w:rFonts w:cstheme="minorHAnsi"/>
              </w:rPr>
            </w:pPr>
            <w:r>
              <w:rPr>
                <w:rFonts w:cstheme="minorHAnsi"/>
              </w:rPr>
              <w:t>4%</w:t>
            </w:r>
          </w:p>
        </w:tc>
      </w:tr>
    </w:tbl>
    <w:p w14:paraId="7B1E1EF4" w14:textId="77777777" w:rsidR="00791F9D" w:rsidRDefault="00791F9D" w:rsidP="00884011">
      <w:pPr>
        <w:spacing w:line="276" w:lineRule="auto"/>
        <w:jc w:val="both"/>
        <w:rPr>
          <w:rFonts w:cs="Calibri"/>
          <w:lang w:val="en-AU"/>
        </w:rPr>
      </w:pPr>
    </w:p>
    <w:tbl>
      <w:tblPr>
        <w:tblStyle w:val="TableGrid"/>
        <w:tblW w:w="3123" w:type="pct"/>
        <w:jc w:val="center"/>
        <w:tblLook w:val="0420" w:firstRow="1" w:lastRow="0" w:firstColumn="0" w:lastColumn="0" w:noHBand="0" w:noVBand="1"/>
      </w:tblPr>
      <w:tblGrid>
        <w:gridCol w:w="2661"/>
        <w:gridCol w:w="2970"/>
      </w:tblGrid>
      <w:tr w:rsidR="00791F9D" w14:paraId="2A17C591" w14:textId="77777777" w:rsidTr="008059F0">
        <w:trPr>
          <w:tblHeader/>
          <w:jc w:val="center"/>
        </w:trPr>
        <w:tc>
          <w:tcPr>
            <w:tcW w:w="2363" w:type="pct"/>
            <w:shd w:val="clear" w:color="auto" w:fill="45B0E1" w:themeFill="accent1" w:themeFillTint="99"/>
          </w:tcPr>
          <w:p w14:paraId="16E73DE4" w14:textId="3D241401" w:rsidR="00791F9D" w:rsidRPr="003D1AE7" w:rsidRDefault="00791F9D" w:rsidP="008059F0">
            <w:pPr>
              <w:autoSpaceDE w:val="0"/>
              <w:autoSpaceDN w:val="0"/>
              <w:adjustRightInd w:val="0"/>
              <w:spacing w:after="120" w:line="276" w:lineRule="auto"/>
              <w:rPr>
                <w:rFonts w:cstheme="minorHAnsi"/>
                <w:b/>
                <w:bCs/>
                <w:color w:val="000000"/>
                <w:lang w:val="en-AU"/>
              </w:rPr>
            </w:pPr>
            <w:r w:rsidRPr="00791F9D">
              <w:rPr>
                <w:rFonts w:cstheme="minorHAnsi"/>
                <w:b/>
                <w:bCs/>
                <w:lang w:val="en-AU"/>
              </w:rPr>
              <w:t>The activity provided an opportunity to establish professional connections</w:t>
            </w:r>
          </w:p>
        </w:tc>
        <w:tc>
          <w:tcPr>
            <w:tcW w:w="2637" w:type="pct"/>
            <w:shd w:val="clear" w:color="auto" w:fill="45B0E1" w:themeFill="accent1" w:themeFillTint="99"/>
          </w:tcPr>
          <w:p w14:paraId="403E1E28" w14:textId="77777777" w:rsidR="00791F9D" w:rsidRPr="003D1AE7" w:rsidRDefault="00791F9D" w:rsidP="008059F0">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791F9D" w14:paraId="4E493EFF" w14:textId="77777777" w:rsidTr="008059F0">
        <w:trPr>
          <w:jc w:val="center"/>
        </w:trPr>
        <w:tc>
          <w:tcPr>
            <w:tcW w:w="2363" w:type="pct"/>
          </w:tcPr>
          <w:p w14:paraId="6D0307C4" w14:textId="77777777" w:rsidR="00791F9D" w:rsidRDefault="00791F9D" w:rsidP="008059F0">
            <w:pPr>
              <w:autoSpaceDE w:val="0"/>
              <w:autoSpaceDN w:val="0"/>
              <w:adjustRightInd w:val="0"/>
              <w:spacing w:after="120" w:line="276" w:lineRule="auto"/>
              <w:jc w:val="both"/>
              <w:rPr>
                <w:rFonts w:cstheme="minorHAnsi"/>
                <w:color w:val="000000"/>
                <w:lang w:val="en-AU"/>
              </w:rPr>
            </w:pPr>
            <w:r w:rsidRPr="007C3B9D">
              <w:rPr>
                <w:rFonts w:cstheme="minorHAnsi"/>
                <w:lang w:val="en-AU"/>
              </w:rPr>
              <w:t>Very satisfied</w:t>
            </w:r>
          </w:p>
        </w:tc>
        <w:tc>
          <w:tcPr>
            <w:tcW w:w="2637" w:type="pct"/>
          </w:tcPr>
          <w:p w14:paraId="284DDDF8" w14:textId="37BA5C4F" w:rsidR="00791F9D" w:rsidRDefault="00791F9D" w:rsidP="008059F0">
            <w:pPr>
              <w:autoSpaceDE w:val="0"/>
              <w:autoSpaceDN w:val="0"/>
              <w:adjustRightInd w:val="0"/>
              <w:spacing w:after="120" w:line="276" w:lineRule="auto"/>
              <w:jc w:val="both"/>
              <w:rPr>
                <w:rFonts w:cstheme="minorHAnsi"/>
                <w:color w:val="000000"/>
                <w:lang w:val="en-AU"/>
              </w:rPr>
            </w:pPr>
            <w:r w:rsidRPr="009F7DE6">
              <w:rPr>
                <w:rFonts w:cstheme="minorHAnsi"/>
              </w:rPr>
              <w:t>6</w:t>
            </w:r>
            <w:r w:rsidR="00A5648F">
              <w:rPr>
                <w:rFonts w:cstheme="minorHAnsi"/>
              </w:rPr>
              <w:t>4</w:t>
            </w:r>
            <w:r w:rsidRPr="009F7DE6">
              <w:rPr>
                <w:rFonts w:cstheme="minorHAnsi"/>
              </w:rPr>
              <w:t>%</w:t>
            </w:r>
          </w:p>
        </w:tc>
      </w:tr>
      <w:tr w:rsidR="00791F9D" w14:paraId="59412EA1" w14:textId="77777777" w:rsidTr="008059F0">
        <w:trPr>
          <w:jc w:val="center"/>
        </w:trPr>
        <w:tc>
          <w:tcPr>
            <w:tcW w:w="2363" w:type="pct"/>
          </w:tcPr>
          <w:p w14:paraId="6B02968C" w14:textId="77777777" w:rsidR="00791F9D" w:rsidRDefault="00791F9D" w:rsidP="008059F0">
            <w:pPr>
              <w:autoSpaceDE w:val="0"/>
              <w:autoSpaceDN w:val="0"/>
              <w:adjustRightInd w:val="0"/>
              <w:spacing w:after="120" w:line="276" w:lineRule="auto"/>
              <w:jc w:val="both"/>
              <w:rPr>
                <w:rFonts w:cstheme="minorHAnsi"/>
                <w:color w:val="000000"/>
                <w:lang w:val="en-AU"/>
              </w:rPr>
            </w:pPr>
            <w:r>
              <w:rPr>
                <w:rFonts w:cstheme="minorHAnsi"/>
                <w:lang w:val="en-AU"/>
              </w:rPr>
              <w:t>S</w:t>
            </w:r>
            <w:r w:rsidRPr="007C3B9D">
              <w:rPr>
                <w:rFonts w:cstheme="minorHAnsi"/>
                <w:lang w:val="en-AU"/>
              </w:rPr>
              <w:t>atisfied</w:t>
            </w:r>
          </w:p>
        </w:tc>
        <w:tc>
          <w:tcPr>
            <w:tcW w:w="2637" w:type="pct"/>
          </w:tcPr>
          <w:p w14:paraId="5D5677DD" w14:textId="194F421C" w:rsidR="00791F9D" w:rsidRDefault="00791F9D" w:rsidP="008059F0">
            <w:pPr>
              <w:autoSpaceDE w:val="0"/>
              <w:autoSpaceDN w:val="0"/>
              <w:adjustRightInd w:val="0"/>
              <w:spacing w:after="120" w:line="276" w:lineRule="auto"/>
              <w:jc w:val="both"/>
              <w:rPr>
                <w:rFonts w:cstheme="minorHAnsi"/>
                <w:color w:val="000000"/>
                <w:lang w:val="en-AU"/>
              </w:rPr>
            </w:pPr>
            <w:r>
              <w:rPr>
                <w:rFonts w:cstheme="minorHAnsi"/>
              </w:rPr>
              <w:t>2</w:t>
            </w:r>
            <w:r w:rsidR="00A5648F">
              <w:rPr>
                <w:rFonts w:cstheme="minorHAnsi"/>
              </w:rPr>
              <w:t>8</w:t>
            </w:r>
            <w:r w:rsidRPr="009F7DE6">
              <w:rPr>
                <w:rFonts w:cstheme="minorHAnsi"/>
              </w:rPr>
              <w:t>%</w:t>
            </w:r>
          </w:p>
        </w:tc>
      </w:tr>
      <w:tr w:rsidR="00791F9D" w14:paraId="61E16F0F" w14:textId="77777777" w:rsidTr="008059F0">
        <w:trPr>
          <w:jc w:val="center"/>
        </w:trPr>
        <w:tc>
          <w:tcPr>
            <w:tcW w:w="2363" w:type="pct"/>
          </w:tcPr>
          <w:p w14:paraId="34A6AC0F" w14:textId="77777777" w:rsidR="00791F9D" w:rsidRDefault="00791F9D" w:rsidP="008059F0">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637" w:type="pct"/>
          </w:tcPr>
          <w:p w14:paraId="79237F8E" w14:textId="60FA3A09" w:rsidR="00791F9D" w:rsidRDefault="00A5648F" w:rsidP="008059F0">
            <w:pPr>
              <w:autoSpaceDE w:val="0"/>
              <w:autoSpaceDN w:val="0"/>
              <w:adjustRightInd w:val="0"/>
              <w:spacing w:after="120" w:line="276" w:lineRule="auto"/>
              <w:jc w:val="both"/>
              <w:rPr>
                <w:rFonts w:cstheme="minorHAnsi"/>
                <w:color w:val="000000"/>
                <w:lang w:val="en-AU"/>
              </w:rPr>
            </w:pPr>
            <w:r>
              <w:rPr>
                <w:rFonts w:cstheme="minorHAnsi"/>
              </w:rPr>
              <w:t>4</w:t>
            </w:r>
            <w:r w:rsidR="00791F9D" w:rsidRPr="009F7DE6">
              <w:rPr>
                <w:rFonts w:cstheme="minorHAnsi"/>
              </w:rPr>
              <w:t>%</w:t>
            </w:r>
          </w:p>
        </w:tc>
      </w:tr>
      <w:tr w:rsidR="00791F9D" w14:paraId="137DFD1B" w14:textId="77777777" w:rsidTr="008059F0">
        <w:trPr>
          <w:jc w:val="center"/>
        </w:trPr>
        <w:tc>
          <w:tcPr>
            <w:tcW w:w="2363" w:type="pct"/>
          </w:tcPr>
          <w:p w14:paraId="206E71AF" w14:textId="77777777" w:rsidR="00791F9D" w:rsidRDefault="00791F9D" w:rsidP="008059F0">
            <w:pPr>
              <w:autoSpaceDE w:val="0"/>
              <w:autoSpaceDN w:val="0"/>
              <w:adjustRightInd w:val="0"/>
              <w:spacing w:after="120" w:line="276" w:lineRule="auto"/>
              <w:jc w:val="both"/>
              <w:rPr>
                <w:rFonts w:cstheme="minorHAnsi"/>
                <w:color w:val="000000"/>
                <w:lang w:val="en-AU"/>
              </w:rPr>
            </w:pPr>
            <w:r>
              <w:rPr>
                <w:rFonts w:cstheme="minorHAnsi"/>
              </w:rPr>
              <w:t xml:space="preserve">Not satisfied </w:t>
            </w:r>
          </w:p>
        </w:tc>
        <w:tc>
          <w:tcPr>
            <w:tcW w:w="2637" w:type="pct"/>
          </w:tcPr>
          <w:p w14:paraId="480C1B3E" w14:textId="77777777" w:rsidR="00791F9D" w:rsidRPr="009F7DE6" w:rsidRDefault="00791F9D" w:rsidP="008059F0">
            <w:pPr>
              <w:autoSpaceDE w:val="0"/>
              <w:autoSpaceDN w:val="0"/>
              <w:adjustRightInd w:val="0"/>
              <w:spacing w:after="120" w:line="276" w:lineRule="auto"/>
              <w:jc w:val="both"/>
              <w:rPr>
                <w:rFonts w:cstheme="minorHAnsi"/>
              </w:rPr>
            </w:pPr>
            <w:r>
              <w:rPr>
                <w:rFonts w:cstheme="minorHAnsi"/>
              </w:rPr>
              <w:t>4</w:t>
            </w:r>
            <w:r w:rsidRPr="009F7DE6">
              <w:rPr>
                <w:rFonts w:cstheme="minorHAnsi"/>
              </w:rPr>
              <w:t>%</w:t>
            </w:r>
          </w:p>
        </w:tc>
      </w:tr>
      <w:tr w:rsidR="00791F9D" w14:paraId="3C2B5EC7" w14:textId="77777777" w:rsidTr="008059F0">
        <w:trPr>
          <w:jc w:val="center"/>
        </w:trPr>
        <w:tc>
          <w:tcPr>
            <w:tcW w:w="2363" w:type="pct"/>
          </w:tcPr>
          <w:p w14:paraId="6363B7A5" w14:textId="77777777" w:rsidR="00791F9D" w:rsidRPr="009F7DE6" w:rsidRDefault="00791F9D" w:rsidP="008059F0">
            <w:pPr>
              <w:autoSpaceDE w:val="0"/>
              <w:autoSpaceDN w:val="0"/>
              <w:adjustRightInd w:val="0"/>
              <w:spacing w:after="120" w:line="276" w:lineRule="auto"/>
              <w:jc w:val="both"/>
              <w:rPr>
                <w:rFonts w:cstheme="minorHAnsi"/>
              </w:rPr>
            </w:pPr>
            <w:r>
              <w:rPr>
                <w:rFonts w:cstheme="minorHAnsi"/>
              </w:rPr>
              <w:t xml:space="preserve">N/A </w:t>
            </w:r>
          </w:p>
        </w:tc>
        <w:tc>
          <w:tcPr>
            <w:tcW w:w="2637" w:type="pct"/>
          </w:tcPr>
          <w:p w14:paraId="03890FAF" w14:textId="53DCC3F5" w:rsidR="00791F9D" w:rsidRPr="009F7DE6" w:rsidRDefault="00A5648F" w:rsidP="008059F0">
            <w:pPr>
              <w:autoSpaceDE w:val="0"/>
              <w:autoSpaceDN w:val="0"/>
              <w:adjustRightInd w:val="0"/>
              <w:spacing w:after="120" w:line="276" w:lineRule="auto"/>
              <w:jc w:val="both"/>
              <w:rPr>
                <w:rFonts w:cstheme="minorHAnsi"/>
              </w:rPr>
            </w:pPr>
            <w:r>
              <w:rPr>
                <w:rFonts w:cstheme="minorHAnsi"/>
              </w:rPr>
              <w:t>-</w:t>
            </w:r>
          </w:p>
        </w:tc>
      </w:tr>
    </w:tbl>
    <w:p w14:paraId="3D5A5AB7" w14:textId="77777777" w:rsidR="00866FF3" w:rsidRDefault="00866FF3" w:rsidP="00884011">
      <w:pPr>
        <w:spacing w:line="276" w:lineRule="auto"/>
        <w:jc w:val="both"/>
        <w:rPr>
          <w:rFonts w:cs="Calibri"/>
          <w:lang w:val="en-AU"/>
        </w:rPr>
      </w:pPr>
    </w:p>
    <w:tbl>
      <w:tblPr>
        <w:tblStyle w:val="TableGrid"/>
        <w:tblW w:w="3042" w:type="pct"/>
        <w:jc w:val="center"/>
        <w:tblLook w:val="0420" w:firstRow="1" w:lastRow="0" w:firstColumn="0" w:lastColumn="0" w:noHBand="0" w:noVBand="1"/>
      </w:tblPr>
      <w:tblGrid>
        <w:gridCol w:w="2515"/>
        <w:gridCol w:w="2970"/>
      </w:tblGrid>
      <w:tr w:rsidR="00A5648F" w14:paraId="2967CA80" w14:textId="77777777" w:rsidTr="008059F0">
        <w:trPr>
          <w:tblHeader/>
          <w:jc w:val="center"/>
        </w:trPr>
        <w:tc>
          <w:tcPr>
            <w:tcW w:w="2293" w:type="pct"/>
            <w:shd w:val="clear" w:color="auto" w:fill="45B0E1" w:themeFill="accent1" w:themeFillTint="99"/>
          </w:tcPr>
          <w:p w14:paraId="4EFA5851" w14:textId="065F8844" w:rsidR="00A5648F" w:rsidRPr="003D1AE7" w:rsidRDefault="00A5648F" w:rsidP="008059F0">
            <w:pPr>
              <w:autoSpaceDE w:val="0"/>
              <w:autoSpaceDN w:val="0"/>
              <w:adjustRightInd w:val="0"/>
              <w:spacing w:after="120" w:line="276" w:lineRule="auto"/>
              <w:rPr>
                <w:rFonts w:cstheme="minorHAnsi"/>
                <w:b/>
                <w:bCs/>
                <w:color w:val="000000"/>
                <w:lang w:val="en-AU"/>
              </w:rPr>
            </w:pPr>
            <w:r w:rsidRPr="00A5648F">
              <w:rPr>
                <w:rFonts w:cstheme="minorHAnsi"/>
                <w:b/>
                <w:bCs/>
                <w:lang w:val="en-AU"/>
              </w:rPr>
              <w:t>The issues covered in the activity</w:t>
            </w:r>
          </w:p>
        </w:tc>
        <w:tc>
          <w:tcPr>
            <w:tcW w:w="2707" w:type="pct"/>
            <w:shd w:val="clear" w:color="auto" w:fill="45B0E1" w:themeFill="accent1" w:themeFillTint="99"/>
          </w:tcPr>
          <w:p w14:paraId="751B0A51" w14:textId="77777777" w:rsidR="00A5648F" w:rsidRPr="003D1AE7" w:rsidRDefault="00A5648F" w:rsidP="008059F0">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A5648F" w14:paraId="7DAD3CEC" w14:textId="77777777" w:rsidTr="008059F0">
        <w:trPr>
          <w:jc w:val="center"/>
        </w:trPr>
        <w:tc>
          <w:tcPr>
            <w:tcW w:w="2293" w:type="pct"/>
          </w:tcPr>
          <w:p w14:paraId="0DD05AC2" w14:textId="77777777" w:rsidR="00A5648F" w:rsidRDefault="00A5648F" w:rsidP="008059F0">
            <w:pPr>
              <w:autoSpaceDE w:val="0"/>
              <w:autoSpaceDN w:val="0"/>
              <w:adjustRightInd w:val="0"/>
              <w:spacing w:after="120" w:line="276" w:lineRule="auto"/>
              <w:jc w:val="both"/>
              <w:rPr>
                <w:rFonts w:cstheme="minorHAnsi"/>
                <w:color w:val="000000"/>
                <w:lang w:val="en-AU"/>
              </w:rPr>
            </w:pPr>
            <w:r w:rsidRPr="007C3B9D">
              <w:rPr>
                <w:rFonts w:cstheme="minorHAnsi"/>
                <w:lang w:val="en-AU"/>
              </w:rPr>
              <w:t>Very satisfied</w:t>
            </w:r>
          </w:p>
        </w:tc>
        <w:tc>
          <w:tcPr>
            <w:tcW w:w="2707" w:type="pct"/>
          </w:tcPr>
          <w:p w14:paraId="0D36782E" w14:textId="4863BB22" w:rsidR="00A5648F" w:rsidRDefault="00A5648F" w:rsidP="008059F0">
            <w:pPr>
              <w:autoSpaceDE w:val="0"/>
              <w:autoSpaceDN w:val="0"/>
              <w:adjustRightInd w:val="0"/>
              <w:spacing w:after="120" w:line="276" w:lineRule="auto"/>
              <w:jc w:val="both"/>
              <w:rPr>
                <w:rFonts w:cstheme="minorHAnsi"/>
                <w:color w:val="000000"/>
                <w:lang w:val="en-AU"/>
              </w:rPr>
            </w:pPr>
            <w:r>
              <w:rPr>
                <w:rFonts w:cstheme="minorHAnsi"/>
              </w:rPr>
              <w:t>56</w:t>
            </w:r>
            <w:r w:rsidRPr="009F7DE6">
              <w:rPr>
                <w:rFonts w:cstheme="minorHAnsi"/>
              </w:rPr>
              <w:t>%</w:t>
            </w:r>
          </w:p>
        </w:tc>
      </w:tr>
      <w:tr w:rsidR="00A5648F" w14:paraId="4071EF15" w14:textId="77777777" w:rsidTr="008059F0">
        <w:trPr>
          <w:jc w:val="center"/>
        </w:trPr>
        <w:tc>
          <w:tcPr>
            <w:tcW w:w="2293" w:type="pct"/>
          </w:tcPr>
          <w:p w14:paraId="7A071D1F" w14:textId="77777777" w:rsidR="00A5648F" w:rsidRDefault="00A5648F" w:rsidP="008059F0">
            <w:pPr>
              <w:autoSpaceDE w:val="0"/>
              <w:autoSpaceDN w:val="0"/>
              <w:adjustRightInd w:val="0"/>
              <w:spacing w:after="120" w:line="276" w:lineRule="auto"/>
              <w:jc w:val="both"/>
              <w:rPr>
                <w:rFonts w:cstheme="minorHAnsi"/>
                <w:color w:val="000000"/>
                <w:lang w:val="en-AU"/>
              </w:rPr>
            </w:pPr>
            <w:r>
              <w:rPr>
                <w:rFonts w:cstheme="minorHAnsi"/>
                <w:lang w:val="en-AU"/>
              </w:rPr>
              <w:t>S</w:t>
            </w:r>
            <w:r w:rsidRPr="007C3B9D">
              <w:rPr>
                <w:rFonts w:cstheme="minorHAnsi"/>
                <w:lang w:val="en-AU"/>
              </w:rPr>
              <w:t>atisfied</w:t>
            </w:r>
          </w:p>
        </w:tc>
        <w:tc>
          <w:tcPr>
            <w:tcW w:w="2707" w:type="pct"/>
          </w:tcPr>
          <w:p w14:paraId="7DF523F8" w14:textId="1968A961" w:rsidR="00A5648F" w:rsidRDefault="00A5648F" w:rsidP="008059F0">
            <w:pPr>
              <w:autoSpaceDE w:val="0"/>
              <w:autoSpaceDN w:val="0"/>
              <w:adjustRightInd w:val="0"/>
              <w:spacing w:after="120" w:line="276" w:lineRule="auto"/>
              <w:jc w:val="both"/>
              <w:rPr>
                <w:rFonts w:cstheme="minorHAnsi"/>
                <w:color w:val="000000"/>
                <w:lang w:val="en-AU"/>
              </w:rPr>
            </w:pPr>
            <w:r>
              <w:rPr>
                <w:rFonts w:cstheme="minorHAnsi"/>
              </w:rPr>
              <w:t>24</w:t>
            </w:r>
            <w:r w:rsidRPr="009F7DE6">
              <w:rPr>
                <w:rFonts w:cstheme="minorHAnsi"/>
              </w:rPr>
              <w:t>%</w:t>
            </w:r>
          </w:p>
        </w:tc>
      </w:tr>
      <w:tr w:rsidR="00A5648F" w14:paraId="1F2E1170" w14:textId="77777777" w:rsidTr="008059F0">
        <w:trPr>
          <w:jc w:val="center"/>
        </w:trPr>
        <w:tc>
          <w:tcPr>
            <w:tcW w:w="2293" w:type="pct"/>
          </w:tcPr>
          <w:p w14:paraId="6DEDDA8F" w14:textId="77777777" w:rsidR="00A5648F" w:rsidRDefault="00A5648F" w:rsidP="008059F0">
            <w:pPr>
              <w:autoSpaceDE w:val="0"/>
              <w:autoSpaceDN w:val="0"/>
              <w:adjustRightInd w:val="0"/>
              <w:spacing w:after="120" w:line="276" w:lineRule="auto"/>
              <w:jc w:val="both"/>
              <w:rPr>
                <w:rFonts w:cstheme="minorHAnsi"/>
                <w:color w:val="000000"/>
                <w:lang w:val="en-AU"/>
              </w:rPr>
            </w:pPr>
            <w:r>
              <w:rPr>
                <w:rFonts w:cstheme="minorHAnsi"/>
                <w:color w:val="000000"/>
                <w:lang w:val="en-AU"/>
              </w:rPr>
              <w:lastRenderedPageBreak/>
              <w:t xml:space="preserve">Somewhat </w:t>
            </w:r>
          </w:p>
        </w:tc>
        <w:tc>
          <w:tcPr>
            <w:tcW w:w="2707" w:type="pct"/>
          </w:tcPr>
          <w:p w14:paraId="58E6894C" w14:textId="234FABF8" w:rsidR="00A5648F" w:rsidRDefault="00241A75" w:rsidP="008059F0">
            <w:pPr>
              <w:autoSpaceDE w:val="0"/>
              <w:autoSpaceDN w:val="0"/>
              <w:adjustRightInd w:val="0"/>
              <w:spacing w:after="120" w:line="276" w:lineRule="auto"/>
              <w:jc w:val="both"/>
              <w:rPr>
                <w:rFonts w:cstheme="minorHAnsi"/>
                <w:color w:val="000000"/>
                <w:lang w:val="en-AU"/>
              </w:rPr>
            </w:pPr>
            <w:r>
              <w:rPr>
                <w:rFonts w:cstheme="minorHAnsi"/>
              </w:rPr>
              <w:t>12</w:t>
            </w:r>
            <w:r w:rsidR="00A5648F" w:rsidRPr="009F7DE6">
              <w:rPr>
                <w:rFonts w:cstheme="minorHAnsi"/>
              </w:rPr>
              <w:t>%</w:t>
            </w:r>
          </w:p>
        </w:tc>
      </w:tr>
      <w:tr w:rsidR="00A5648F" w14:paraId="6064C866" w14:textId="77777777" w:rsidTr="008059F0">
        <w:trPr>
          <w:jc w:val="center"/>
        </w:trPr>
        <w:tc>
          <w:tcPr>
            <w:tcW w:w="2293" w:type="pct"/>
          </w:tcPr>
          <w:p w14:paraId="455FAD96" w14:textId="77777777" w:rsidR="00A5648F" w:rsidRDefault="00A5648F" w:rsidP="008059F0">
            <w:pPr>
              <w:autoSpaceDE w:val="0"/>
              <w:autoSpaceDN w:val="0"/>
              <w:adjustRightInd w:val="0"/>
              <w:spacing w:after="120" w:line="276" w:lineRule="auto"/>
              <w:jc w:val="both"/>
              <w:rPr>
                <w:rFonts w:cstheme="minorHAnsi"/>
                <w:color w:val="000000"/>
                <w:lang w:val="en-AU"/>
              </w:rPr>
            </w:pPr>
            <w:r>
              <w:rPr>
                <w:rFonts w:cstheme="minorHAnsi"/>
              </w:rPr>
              <w:t xml:space="preserve">Not satisfied </w:t>
            </w:r>
          </w:p>
        </w:tc>
        <w:tc>
          <w:tcPr>
            <w:tcW w:w="2707" w:type="pct"/>
          </w:tcPr>
          <w:p w14:paraId="02931A4E" w14:textId="04E5672D" w:rsidR="00A5648F" w:rsidRPr="009F7DE6" w:rsidRDefault="00241A75" w:rsidP="008059F0">
            <w:pPr>
              <w:autoSpaceDE w:val="0"/>
              <w:autoSpaceDN w:val="0"/>
              <w:adjustRightInd w:val="0"/>
              <w:spacing w:after="120" w:line="276" w:lineRule="auto"/>
              <w:jc w:val="both"/>
              <w:rPr>
                <w:rFonts w:cstheme="minorHAnsi"/>
              </w:rPr>
            </w:pPr>
            <w:r>
              <w:rPr>
                <w:rFonts w:cstheme="minorHAnsi"/>
              </w:rPr>
              <w:t>8</w:t>
            </w:r>
            <w:r w:rsidR="00A5648F" w:rsidRPr="009F7DE6">
              <w:rPr>
                <w:rFonts w:cstheme="minorHAnsi"/>
              </w:rPr>
              <w:t>%</w:t>
            </w:r>
          </w:p>
        </w:tc>
      </w:tr>
      <w:tr w:rsidR="00A5648F" w14:paraId="2EB64CAA" w14:textId="77777777" w:rsidTr="008059F0">
        <w:trPr>
          <w:jc w:val="center"/>
        </w:trPr>
        <w:tc>
          <w:tcPr>
            <w:tcW w:w="2293" w:type="pct"/>
          </w:tcPr>
          <w:p w14:paraId="1568D564" w14:textId="77777777" w:rsidR="00A5648F" w:rsidRPr="009F7DE6" w:rsidRDefault="00A5648F" w:rsidP="008059F0">
            <w:pPr>
              <w:autoSpaceDE w:val="0"/>
              <w:autoSpaceDN w:val="0"/>
              <w:adjustRightInd w:val="0"/>
              <w:spacing w:after="120" w:line="276" w:lineRule="auto"/>
              <w:jc w:val="both"/>
              <w:rPr>
                <w:rFonts w:cstheme="minorHAnsi"/>
              </w:rPr>
            </w:pPr>
            <w:r>
              <w:rPr>
                <w:rFonts w:cstheme="minorHAnsi"/>
              </w:rPr>
              <w:t xml:space="preserve">N/A </w:t>
            </w:r>
          </w:p>
        </w:tc>
        <w:tc>
          <w:tcPr>
            <w:tcW w:w="2707" w:type="pct"/>
          </w:tcPr>
          <w:p w14:paraId="71CF09C2" w14:textId="77777777" w:rsidR="00A5648F" w:rsidRPr="009F7DE6" w:rsidRDefault="00A5648F" w:rsidP="008059F0">
            <w:pPr>
              <w:autoSpaceDE w:val="0"/>
              <w:autoSpaceDN w:val="0"/>
              <w:adjustRightInd w:val="0"/>
              <w:spacing w:after="120" w:line="276" w:lineRule="auto"/>
              <w:jc w:val="both"/>
              <w:rPr>
                <w:rFonts w:cstheme="minorHAnsi"/>
              </w:rPr>
            </w:pPr>
            <w:r>
              <w:rPr>
                <w:rFonts w:cstheme="minorHAnsi"/>
              </w:rPr>
              <w:t>-</w:t>
            </w:r>
          </w:p>
        </w:tc>
      </w:tr>
    </w:tbl>
    <w:p w14:paraId="10D1B41F" w14:textId="77777777" w:rsidR="00241A75" w:rsidRDefault="00241A75" w:rsidP="00137DF2">
      <w:pPr>
        <w:spacing w:line="276" w:lineRule="auto"/>
        <w:jc w:val="both"/>
        <w:rPr>
          <w:rFonts w:cs="Calibri"/>
          <w:lang w:val="en-AU"/>
        </w:rPr>
      </w:pPr>
    </w:p>
    <w:tbl>
      <w:tblPr>
        <w:tblStyle w:val="TableGrid"/>
        <w:tblW w:w="3042" w:type="pct"/>
        <w:jc w:val="center"/>
        <w:tblLook w:val="0420" w:firstRow="1" w:lastRow="0" w:firstColumn="0" w:lastColumn="0" w:noHBand="0" w:noVBand="1"/>
      </w:tblPr>
      <w:tblGrid>
        <w:gridCol w:w="2515"/>
        <w:gridCol w:w="2970"/>
      </w:tblGrid>
      <w:tr w:rsidR="00241A75" w14:paraId="079382FB" w14:textId="77777777" w:rsidTr="008059F0">
        <w:trPr>
          <w:tblHeader/>
          <w:jc w:val="center"/>
        </w:trPr>
        <w:tc>
          <w:tcPr>
            <w:tcW w:w="2293" w:type="pct"/>
            <w:shd w:val="clear" w:color="auto" w:fill="45B0E1" w:themeFill="accent1" w:themeFillTint="99"/>
          </w:tcPr>
          <w:p w14:paraId="579AAB8B" w14:textId="751DC088" w:rsidR="00241A75" w:rsidRPr="00241A75" w:rsidRDefault="00241A75" w:rsidP="008059F0">
            <w:pPr>
              <w:autoSpaceDE w:val="0"/>
              <w:autoSpaceDN w:val="0"/>
              <w:adjustRightInd w:val="0"/>
              <w:spacing w:after="120" w:line="276" w:lineRule="auto"/>
              <w:rPr>
                <w:rFonts w:cstheme="minorHAnsi"/>
                <w:b/>
                <w:bCs/>
                <w:lang w:val="en-AU"/>
              </w:rPr>
            </w:pPr>
            <w:r w:rsidRPr="00241A75">
              <w:rPr>
                <w:rFonts w:cstheme="minorHAnsi"/>
                <w:b/>
                <w:bCs/>
                <w:lang w:val="en-AU"/>
              </w:rPr>
              <w:t>The type of activity offered</w:t>
            </w:r>
          </w:p>
        </w:tc>
        <w:tc>
          <w:tcPr>
            <w:tcW w:w="2707" w:type="pct"/>
            <w:shd w:val="clear" w:color="auto" w:fill="45B0E1" w:themeFill="accent1" w:themeFillTint="99"/>
          </w:tcPr>
          <w:p w14:paraId="63B3E636" w14:textId="77777777" w:rsidR="00241A75" w:rsidRPr="003D1AE7" w:rsidRDefault="00241A75" w:rsidP="008059F0">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241A75" w14:paraId="5C13DA6A" w14:textId="77777777" w:rsidTr="008059F0">
        <w:trPr>
          <w:jc w:val="center"/>
        </w:trPr>
        <w:tc>
          <w:tcPr>
            <w:tcW w:w="2293" w:type="pct"/>
          </w:tcPr>
          <w:p w14:paraId="41149719" w14:textId="77777777" w:rsidR="00241A75" w:rsidRDefault="00241A75" w:rsidP="008059F0">
            <w:pPr>
              <w:autoSpaceDE w:val="0"/>
              <w:autoSpaceDN w:val="0"/>
              <w:adjustRightInd w:val="0"/>
              <w:spacing w:after="120" w:line="276" w:lineRule="auto"/>
              <w:jc w:val="both"/>
              <w:rPr>
                <w:rFonts w:cstheme="minorHAnsi"/>
                <w:color w:val="000000"/>
                <w:lang w:val="en-AU"/>
              </w:rPr>
            </w:pPr>
            <w:r w:rsidRPr="007C3B9D">
              <w:rPr>
                <w:rFonts w:cstheme="minorHAnsi"/>
                <w:lang w:val="en-AU"/>
              </w:rPr>
              <w:t>Very satisfied</w:t>
            </w:r>
          </w:p>
        </w:tc>
        <w:tc>
          <w:tcPr>
            <w:tcW w:w="2707" w:type="pct"/>
          </w:tcPr>
          <w:p w14:paraId="4DF57199" w14:textId="13FD2AB3" w:rsidR="00241A75" w:rsidRDefault="00241A75" w:rsidP="008059F0">
            <w:pPr>
              <w:autoSpaceDE w:val="0"/>
              <w:autoSpaceDN w:val="0"/>
              <w:adjustRightInd w:val="0"/>
              <w:spacing w:after="120" w:line="276" w:lineRule="auto"/>
              <w:jc w:val="both"/>
              <w:rPr>
                <w:rFonts w:cstheme="minorHAnsi"/>
                <w:color w:val="000000"/>
                <w:lang w:val="en-AU"/>
              </w:rPr>
            </w:pPr>
            <w:r>
              <w:rPr>
                <w:rFonts w:cstheme="minorHAnsi"/>
              </w:rPr>
              <w:t>52</w:t>
            </w:r>
            <w:r w:rsidRPr="009F7DE6">
              <w:rPr>
                <w:rFonts w:cstheme="minorHAnsi"/>
              </w:rPr>
              <w:t>%</w:t>
            </w:r>
          </w:p>
        </w:tc>
      </w:tr>
      <w:tr w:rsidR="00241A75" w14:paraId="4D61D1EE" w14:textId="77777777" w:rsidTr="008059F0">
        <w:trPr>
          <w:jc w:val="center"/>
        </w:trPr>
        <w:tc>
          <w:tcPr>
            <w:tcW w:w="2293" w:type="pct"/>
          </w:tcPr>
          <w:p w14:paraId="00AEFA90" w14:textId="77777777" w:rsidR="00241A75" w:rsidRDefault="00241A75" w:rsidP="008059F0">
            <w:pPr>
              <w:autoSpaceDE w:val="0"/>
              <w:autoSpaceDN w:val="0"/>
              <w:adjustRightInd w:val="0"/>
              <w:spacing w:after="120" w:line="276" w:lineRule="auto"/>
              <w:jc w:val="both"/>
              <w:rPr>
                <w:rFonts w:cstheme="minorHAnsi"/>
                <w:color w:val="000000"/>
                <w:lang w:val="en-AU"/>
              </w:rPr>
            </w:pPr>
            <w:r>
              <w:rPr>
                <w:rFonts w:cstheme="minorHAnsi"/>
                <w:lang w:val="en-AU"/>
              </w:rPr>
              <w:t>S</w:t>
            </w:r>
            <w:r w:rsidRPr="007C3B9D">
              <w:rPr>
                <w:rFonts w:cstheme="minorHAnsi"/>
                <w:lang w:val="en-AU"/>
              </w:rPr>
              <w:t>atisfied</w:t>
            </w:r>
          </w:p>
        </w:tc>
        <w:tc>
          <w:tcPr>
            <w:tcW w:w="2707" w:type="pct"/>
          </w:tcPr>
          <w:p w14:paraId="53CF28EC" w14:textId="44A69FDD" w:rsidR="00241A75" w:rsidRDefault="00241A75" w:rsidP="008059F0">
            <w:pPr>
              <w:autoSpaceDE w:val="0"/>
              <w:autoSpaceDN w:val="0"/>
              <w:adjustRightInd w:val="0"/>
              <w:spacing w:after="120" w:line="276" w:lineRule="auto"/>
              <w:jc w:val="both"/>
              <w:rPr>
                <w:rFonts w:cstheme="minorHAnsi"/>
                <w:color w:val="000000"/>
                <w:lang w:val="en-AU"/>
              </w:rPr>
            </w:pPr>
            <w:r>
              <w:rPr>
                <w:rFonts w:cstheme="minorHAnsi"/>
              </w:rPr>
              <w:t>28</w:t>
            </w:r>
            <w:r w:rsidRPr="009F7DE6">
              <w:rPr>
                <w:rFonts w:cstheme="minorHAnsi"/>
              </w:rPr>
              <w:t>%</w:t>
            </w:r>
          </w:p>
        </w:tc>
      </w:tr>
      <w:tr w:rsidR="00241A75" w14:paraId="1107DC6C" w14:textId="77777777" w:rsidTr="008059F0">
        <w:trPr>
          <w:jc w:val="center"/>
        </w:trPr>
        <w:tc>
          <w:tcPr>
            <w:tcW w:w="2293" w:type="pct"/>
          </w:tcPr>
          <w:p w14:paraId="3CBF87DB" w14:textId="77777777" w:rsidR="00241A75" w:rsidRDefault="00241A75" w:rsidP="008059F0">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707" w:type="pct"/>
          </w:tcPr>
          <w:p w14:paraId="1ACBA1B8" w14:textId="34B11B0A" w:rsidR="00241A75" w:rsidRDefault="00241A75" w:rsidP="008059F0">
            <w:pPr>
              <w:autoSpaceDE w:val="0"/>
              <w:autoSpaceDN w:val="0"/>
              <w:adjustRightInd w:val="0"/>
              <w:spacing w:after="120" w:line="276" w:lineRule="auto"/>
              <w:jc w:val="both"/>
              <w:rPr>
                <w:rFonts w:cstheme="minorHAnsi"/>
                <w:color w:val="000000"/>
                <w:lang w:val="en-AU"/>
              </w:rPr>
            </w:pPr>
            <w:r>
              <w:rPr>
                <w:rFonts w:cstheme="minorHAnsi"/>
              </w:rPr>
              <w:t>1</w:t>
            </w:r>
            <w:r w:rsidR="00485F02">
              <w:rPr>
                <w:rFonts w:cstheme="minorHAnsi"/>
              </w:rPr>
              <w:t>6</w:t>
            </w:r>
            <w:r w:rsidRPr="009F7DE6">
              <w:rPr>
                <w:rFonts w:cstheme="minorHAnsi"/>
              </w:rPr>
              <w:t>%</w:t>
            </w:r>
          </w:p>
        </w:tc>
      </w:tr>
      <w:tr w:rsidR="00241A75" w14:paraId="615F1020" w14:textId="77777777" w:rsidTr="008059F0">
        <w:trPr>
          <w:jc w:val="center"/>
        </w:trPr>
        <w:tc>
          <w:tcPr>
            <w:tcW w:w="2293" w:type="pct"/>
          </w:tcPr>
          <w:p w14:paraId="759FE722" w14:textId="77777777" w:rsidR="00241A75" w:rsidRDefault="00241A75" w:rsidP="008059F0">
            <w:pPr>
              <w:autoSpaceDE w:val="0"/>
              <w:autoSpaceDN w:val="0"/>
              <w:adjustRightInd w:val="0"/>
              <w:spacing w:after="120" w:line="276" w:lineRule="auto"/>
              <w:jc w:val="both"/>
              <w:rPr>
                <w:rFonts w:cstheme="minorHAnsi"/>
                <w:color w:val="000000"/>
                <w:lang w:val="en-AU"/>
              </w:rPr>
            </w:pPr>
            <w:r>
              <w:rPr>
                <w:rFonts w:cstheme="minorHAnsi"/>
              </w:rPr>
              <w:t xml:space="preserve">Not satisfied </w:t>
            </w:r>
          </w:p>
        </w:tc>
        <w:tc>
          <w:tcPr>
            <w:tcW w:w="2707" w:type="pct"/>
          </w:tcPr>
          <w:p w14:paraId="127303A2" w14:textId="55299FE5" w:rsidR="00241A75" w:rsidRPr="009F7DE6" w:rsidRDefault="00485F02" w:rsidP="008059F0">
            <w:pPr>
              <w:autoSpaceDE w:val="0"/>
              <w:autoSpaceDN w:val="0"/>
              <w:adjustRightInd w:val="0"/>
              <w:spacing w:after="120" w:line="276" w:lineRule="auto"/>
              <w:jc w:val="both"/>
              <w:rPr>
                <w:rFonts w:cstheme="minorHAnsi"/>
              </w:rPr>
            </w:pPr>
            <w:r>
              <w:rPr>
                <w:rFonts w:cstheme="minorHAnsi"/>
              </w:rPr>
              <w:t>4</w:t>
            </w:r>
            <w:r w:rsidR="00241A75" w:rsidRPr="009F7DE6">
              <w:rPr>
                <w:rFonts w:cstheme="minorHAnsi"/>
              </w:rPr>
              <w:t>%</w:t>
            </w:r>
          </w:p>
        </w:tc>
      </w:tr>
      <w:tr w:rsidR="00241A75" w14:paraId="06092F00" w14:textId="77777777" w:rsidTr="008059F0">
        <w:trPr>
          <w:jc w:val="center"/>
        </w:trPr>
        <w:tc>
          <w:tcPr>
            <w:tcW w:w="2293" w:type="pct"/>
          </w:tcPr>
          <w:p w14:paraId="16FA9742" w14:textId="77777777" w:rsidR="00241A75" w:rsidRPr="009F7DE6" w:rsidRDefault="00241A75" w:rsidP="008059F0">
            <w:pPr>
              <w:autoSpaceDE w:val="0"/>
              <w:autoSpaceDN w:val="0"/>
              <w:adjustRightInd w:val="0"/>
              <w:spacing w:after="120" w:line="276" w:lineRule="auto"/>
              <w:jc w:val="both"/>
              <w:rPr>
                <w:rFonts w:cstheme="minorHAnsi"/>
              </w:rPr>
            </w:pPr>
            <w:r>
              <w:rPr>
                <w:rFonts w:cstheme="minorHAnsi"/>
              </w:rPr>
              <w:t xml:space="preserve">N/A </w:t>
            </w:r>
          </w:p>
        </w:tc>
        <w:tc>
          <w:tcPr>
            <w:tcW w:w="2707" w:type="pct"/>
          </w:tcPr>
          <w:p w14:paraId="26898D94" w14:textId="77777777" w:rsidR="00241A75" w:rsidRPr="009F7DE6" w:rsidRDefault="00241A75" w:rsidP="008059F0">
            <w:pPr>
              <w:autoSpaceDE w:val="0"/>
              <w:autoSpaceDN w:val="0"/>
              <w:adjustRightInd w:val="0"/>
              <w:spacing w:after="120" w:line="276" w:lineRule="auto"/>
              <w:jc w:val="both"/>
              <w:rPr>
                <w:rFonts w:cstheme="minorHAnsi"/>
              </w:rPr>
            </w:pPr>
            <w:r>
              <w:rPr>
                <w:rFonts w:cstheme="minorHAnsi"/>
              </w:rPr>
              <w:t>-</w:t>
            </w:r>
          </w:p>
        </w:tc>
      </w:tr>
    </w:tbl>
    <w:p w14:paraId="1A206319" w14:textId="77777777" w:rsidR="00F92942" w:rsidRDefault="00F92942" w:rsidP="00903D77">
      <w:pPr>
        <w:spacing w:after="120" w:line="276" w:lineRule="auto"/>
        <w:jc w:val="both"/>
        <w:rPr>
          <w:rFonts w:cs="Calibri"/>
          <w:lang w:val="en-AU"/>
        </w:rPr>
      </w:pPr>
    </w:p>
    <w:tbl>
      <w:tblPr>
        <w:tblStyle w:val="TableGrid"/>
        <w:tblW w:w="3042" w:type="pct"/>
        <w:jc w:val="center"/>
        <w:tblLook w:val="0420" w:firstRow="1" w:lastRow="0" w:firstColumn="0" w:lastColumn="0" w:noHBand="0" w:noVBand="1"/>
      </w:tblPr>
      <w:tblGrid>
        <w:gridCol w:w="2515"/>
        <w:gridCol w:w="2970"/>
      </w:tblGrid>
      <w:tr w:rsidR="00201CD3" w14:paraId="7340DBE7" w14:textId="77777777" w:rsidTr="008059F0">
        <w:trPr>
          <w:tblHeader/>
          <w:jc w:val="center"/>
        </w:trPr>
        <w:tc>
          <w:tcPr>
            <w:tcW w:w="2293" w:type="pct"/>
            <w:shd w:val="clear" w:color="auto" w:fill="45B0E1" w:themeFill="accent1" w:themeFillTint="99"/>
          </w:tcPr>
          <w:p w14:paraId="554E773F" w14:textId="10ADAA47" w:rsidR="00201CD3" w:rsidRPr="00241A75" w:rsidRDefault="00607E9A" w:rsidP="008059F0">
            <w:pPr>
              <w:autoSpaceDE w:val="0"/>
              <w:autoSpaceDN w:val="0"/>
              <w:adjustRightInd w:val="0"/>
              <w:spacing w:after="120" w:line="276" w:lineRule="auto"/>
              <w:rPr>
                <w:rFonts w:cstheme="minorHAnsi"/>
                <w:b/>
                <w:bCs/>
                <w:lang w:val="en-AU"/>
              </w:rPr>
            </w:pPr>
            <w:r w:rsidRPr="00607E9A">
              <w:rPr>
                <w:rFonts w:cstheme="minorHAnsi"/>
                <w:b/>
                <w:bCs/>
                <w:lang w:val="en-AU"/>
              </w:rPr>
              <w:t>The balance between theoretical knowledge and practical know-how</w:t>
            </w:r>
          </w:p>
        </w:tc>
        <w:tc>
          <w:tcPr>
            <w:tcW w:w="2707" w:type="pct"/>
            <w:shd w:val="clear" w:color="auto" w:fill="45B0E1" w:themeFill="accent1" w:themeFillTint="99"/>
          </w:tcPr>
          <w:p w14:paraId="3E418966" w14:textId="77777777" w:rsidR="00201CD3" w:rsidRPr="003D1AE7" w:rsidRDefault="00201CD3" w:rsidP="008059F0">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201CD3" w14:paraId="19AF4A60" w14:textId="77777777" w:rsidTr="008059F0">
        <w:trPr>
          <w:jc w:val="center"/>
        </w:trPr>
        <w:tc>
          <w:tcPr>
            <w:tcW w:w="2293" w:type="pct"/>
          </w:tcPr>
          <w:p w14:paraId="1A41228F" w14:textId="77777777" w:rsidR="00201CD3" w:rsidRDefault="00201CD3" w:rsidP="008059F0">
            <w:pPr>
              <w:autoSpaceDE w:val="0"/>
              <w:autoSpaceDN w:val="0"/>
              <w:adjustRightInd w:val="0"/>
              <w:spacing w:after="120" w:line="276" w:lineRule="auto"/>
              <w:jc w:val="both"/>
              <w:rPr>
                <w:rFonts w:cstheme="minorHAnsi"/>
                <w:color w:val="000000"/>
                <w:lang w:val="en-AU"/>
              </w:rPr>
            </w:pPr>
            <w:r w:rsidRPr="007C3B9D">
              <w:rPr>
                <w:rFonts w:cstheme="minorHAnsi"/>
                <w:lang w:val="en-AU"/>
              </w:rPr>
              <w:t>Very satisfied</w:t>
            </w:r>
          </w:p>
        </w:tc>
        <w:tc>
          <w:tcPr>
            <w:tcW w:w="2707" w:type="pct"/>
          </w:tcPr>
          <w:p w14:paraId="4FD78251" w14:textId="01EB33CE" w:rsidR="00201CD3" w:rsidRDefault="003A12D2" w:rsidP="008059F0">
            <w:pPr>
              <w:autoSpaceDE w:val="0"/>
              <w:autoSpaceDN w:val="0"/>
              <w:adjustRightInd w:val="0"/>
              <w:spacing w:after="120" w:line="276" w:lineRule="auto"/>
              <w:jc w:val="both"/>
              <w:rPr>
                <w:rFonts w:cstheme="minorHAnsi"/>
                <w:color w:val="000000"/>
                <w:lang w:val="en-AU"/>
              </w:rPr>
            </w:pPr>
            <w:r>
              <w:rPr>
                <w:rFonts w:cstheme="minorHAnsi"/>
              </w:rPr>
              <w:t>48</w:t>
            </w:r>
            <w:r w:rsidR="00201CD3" w:rsidRPr="009F7DE6">
              <w:rPr>
                <w:rFonts w:cstheme="minorHAnsi"/>
              </w:rPr>
              <w:t>%</w:t>
            </w:r>
          </w:p>
        </w:tc>
      </w:tr>
      <w:tr w:rsidR="00201CD3" w14:paraId="3FD653A2" w14:textId="77777777" w:rsidTr="008059F0">
        <w:trPr>
          <w:jc w:val="center"/>
        </w:trPr>
        <w:tc>
          <w:tcPr>
            <w:tcW w:w="2293" w:type="pct"/>
          </w:tcPr>
          <w:p w14:paraId="74C4FC65" w14:textId="77777777" w:rsidR="00201CD3" w:rsidRDefault="00201CD3" w:rsidP="008059F0">
            <w:pPr>
              <w:autoSpaceDE w:val="0"/>
              <w:autoSpaceDN w:val="0"/>
              <w:adjustRightInd w:val="0"/>
              <w:spacing w:after="120" w:line="276" w:lineRule="auto"/>
              <w:jc w:val="both"/>
              <w:rPr>
                <w:rFonts w:cstheme="minorHAnsi"/>
                <w:color w:val="000000"/>
                <w:lang w:val="en-AU"/>
              </w:rPr>
            </w:pPr>
            <w:r>
              <w:rPr>
                <w:rFonts w:cstheme="minorHAnsi"/>
                <w:lang w:val="en-AU"/>
              </w:rPr>
              <w:t>S</w:t>
            </w:r>
            <w:r w:rsidRPr="007C3B9D">
              <w:rPr>
                <w:rFonts w:cstheme="minorHAnsi"/>
                <w:lang w:val="en-AU"/>
              </w:rPr>
              <w:t>atisfied</w:t>
            </w:r>
          </w:p>
        </w:tc>
        <w:tc>
          <w:tcPr>
            <w:tcW w:w="2707" w:type="pct"/>
          </w:tcPr>
          <w:p w14:paraId="44139F62" w14:textId="02BA7624" w:rsidR="00201CD3" w:rsidRDefault="00201CD3" w:rsidP="008059F0">
            <w:pPr>
              <w:autoSpaceDE w:val="0"/>
              <w:autoSpaceDN w:val="0"/>
              <w:adjustRightInd w:val="0"/>
              <w:spacing w:after="120" w:line="276" w:lineRule="auto"/>
              <w:jc w:val="both"/>
              <w:rPr>
                <w:rFonts w:cstheme="minorHAnsi"/>
                <w:color w:val="000000"/>
                <w:lang w:val="en-AU"/>
              </w:rPr>
            </w:pPr>
            <w:r>
              <w:rPr>
                <w:rFonts w:cstheme="minorHAnsi"/>
              </w:rPr>
              <w:t>2</w:t>
            </w:r>
            <w:r w:rsidR="00EB717A">
              <w:rPr>
                <w:rFonts w:cstheme="minorHAnsi"/>
              </w:rPr>
              <w:t>4</w:t>
            </w:r>
            <w:r w:rsidRPr="009F7DE6">
              <w:rPr>
                <w:rFonts w:cstheme="minorHAnsi"/>
              </w:rPr>
              <w:t>%</w:t>
            </w:r>
          </w:p>
        </w:tc>
      </w:tr>
      <w:tr w:rsidR="00201CD3" w14:paraId="0AD61547" w14:textId="77777777" w:rsidTr="008059F0">
        <w:trPr>
          <w:jc w:val="center"/>
        </w:trPr>
        <w:tc>
          <w:tcPr>
            <w:tcW w:w="2293" w:type="pct"/>
          </w:tcPr>
          <w:p w14:paraId="1C53504F" w14:textId="77777777" w:rsidR="00201CD3" w:rsidRDefault="00201CD3" w:rsidP="008059F0">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707" w:type="pct"/>
          </w:tcPr>
          <w:p w14:paraId="433CB41A" w14:textId="656FEBE1" w:rsidR="00201CD3" w:rsidRDefault="00EB717A" w:rsidP="008059F0">
            <w:pPr>
              <w:autoSpaceDE w:val="0"/>
              <w:autoSpaceDN w:val="0"/>
              <w:adjustRightInd w:val="0"/>
              <w:spacing w:after="120" w:line="276" w:lineRule="auto"/>
              <w:jc w:val="both"/>
              <w:rPr>
                <w:rFonts w:cstheme="minorHAnsi"/>
                <w:color w:val="000000"/>
                <w:lang w:val="en-AU"/>
              </w:rPr>
            </w:pPr>
            <w:r>
              <w:rPr>
                <w:rFonts w:cstheme="minorHAnsi"/>
              </w:rPr>
              <w:t>20</w:t>
            </w:r>
            <w:r w:rsidR="00201CD3" w:rsidRPr="009F7DE6">
              <w:rPr>
                <w:rFonts w:cstheme="minorHAnsi"/>
              </w:rPr>
              <w:t>%</w:t>
            </w:r>
          </w:p>
        </w:tc>
      </w:tr>
      <w:tr w:rsidR="00201CD3" w14:paraId="70595E1B" w14:textId="77777777" w:rsidTr="008059F0">
        <w:trPr>
          <w:jc w:val="center"/>
        </w:trPr>
        <w:tc>
          <w:tcPr>
            <w:tcW w:w="2293" w:type="pct"/>
          </w:tcPr>
          <w:p w14:paraId="51FAF160" w14:textId="77777777" w:rsidR="00201CD3" w:rsidRDefault="00201CD3" w:rsidP="008059F0">
            <w:pPr>
              <w:autoSpaceDE w:val="0"/>
              <w:autoSpaceDN w:val="0"/>
              <w:adjustRightInd w:val="0"/>
              <w:spacing w:after="120" w:line="276" w:lineRule="auto"/>
              <w:jc w:val="both"/>
              <w:rPr>
                <w:rFonts w:cstheme="minorHAnsi"/>
                <w:color w:val="000000"/>
                <w:lang w:val="en-AU"/>
              </w:rPr>
            </w:pPr>
            <w:r>
              <w:rPr>
                <w:rFonts w:cstheme="minorHAnsi"/>
              </w:rPr>
              <w:t xml:space="preserve">Not satisfied </w:t>
            </w:r>
          </w:p>
        </w:tc>
        <w:tc>
          <w:tcPr>
            <w:tcW w:w="2707" w:type="pct"/>
          </w:tcPr>
          <w:p w14:paraId="230ACCA3" w14:textId="7FA1878C" w:rsidR="00201CD3" w:rsidRPr="009F7DE6" w:rsidRDefault="00EB717A" w:rsidP="008059F0">
            <w:pPr>
              <w:autoSpaceDE w:val="0"/>
              <w:autoSpaceDN w:val="0"/>
              <w:adjustRightInd w:val="0"/>
              <w:spacing w:after="120" w:line="276" w:lineRule="auto"/>
              <w:jc w:val="both"/>
              <w:rPr>
                <w:rFonts w:cstheme="minorHAnsi"/>
              </w:rPr>
            </w:pPr>
            <w:r>
              <w:rPr>
                <w:rFonts w:cstheme="minorHAnsi"/>
              </w:rPr>
              <w:t>8</w:t>
            </w:r>
            <w:r w:rsidR="00201CD3" w:rsidRPr="009F7DE6">
              <w:rPr>
                <w:rFonts w:cstheme="minorHAnsi"/>
              </w:rPr>
              <w:t>%</w:t>
            </w:r>
          </w:p>
        </w:tc>
      </w:tr>
      <w:tr w:rsidR="00201CD3" w14:paraId="502C6D7E" w14:textId="77777777" w:rsidTr="008059F0">
        <w:trPr>
          <w:jc w:val="center"/>
        </w:trPr>
        <w:tc>
          <w:tcPr>
            <w:tcW w:w="2293" w:type="pct"/>
          </w:tcPr>
          <w:p w14:paraId="2F7C2A4B" w14:textId="77777777" w:rsidR="00201CD3" w:rsidRPr="009F7DE6" w:rsidRDefault="00201CD3" w:rsidP="008059F0">
            <w:pPr>
              <w:autoSpaceDE w:val="0"/>
              <w:autoSpaceDN w:val="0"/>
              <w:adjustRightInd w:val="0"/>
              <w:spacing w:after="120" w:line="276" w:lineRule="auto"/>
              <w:jc w:val="both"/>
              <w:rPr>
                <w:rFonts w:cstheme="minorHAnsi"/>
              </w:rPr>
            </w:pPr>
            <w:r>
              <w:rPr>
                <w:rFonts w:cstheme="minorHAnsi"/>
              </w:rPr>
              <w:t xml:space="preserve">N/A </w:t>
            </w:r>
          </w:p>
        </w:tc>
        <w:tc>
          <w:tcPr>
            <w:tcW w:w="2707" w:type="pct"/>
          </w:tcPr>
          <w:p w14:paraId="496F5C15" w14:textId="77777777" w:rsidR="00201CD3" w:rsidRPr="009F7DE6" w:rsidRDefault="00201CD3" w:rsidP="008059F0">
            <w:pPr>
              <w:autoSpaceDE w:val="0"/>
              <w:autoSpaceDN w:val="0"/>
              <w:adjustRightInd w:val="0"/>
              <w:spacing w:after="120" w:line="276" w:lineRule="auto"/>
              <w:jc w:val="both"/>
              <w:rPr>
                <w:rFonts w:cstheme="minorHAnsi"/>
              </w:rPr>
            </w:pPr>
            <w:r>
              <w:rPr>
                <w:rFonts w:cstheme="minorHAnsi"/>
              </w:rPr>
              <w:t>-</w:t>
            </w:r>
          </w:p>
        </w:tc>
      </w:tr>
    </w:tbl>
    <w:p w14:paraId="5205C381" w14:textId="77777777" w:rsidR="00F1352C" w:rsidRDefault="00F1352C" w:rsidP="00F92942">
      <w:pPr>
        <w:spacing w:after="0" w:line="276" w:lineRule="auto"/>
        <w:jc w:val="both"/>
        <w:rPr>
          <w:rFonts w:cs="Calibri"/>
          <w:lang w:val="en-AU"/>
        </w:rPr>
      </w:pPr>
    </w:p>
    <w:tbl>
      <w:tblPr>
        <w:tblStyle w:val="TableGrid"/>
        <w:tblW w:w="3042" w:type="pct"/>
        <w:jc w:val="center"/>
        <w:tblLook w:val="0420" w:firstRow="1" w:lastRow="0" w:firstColumn="0" w:lastColumn="0" w:noHBand="0" w:noVBand="1"/>
      </w:tblPr>
      <w:tblGrid>
        <w:gridCol w:w="2515"/>
        <w:gridCol w:w="2970"/>
      </w:tblGrid>
      <w:tr w:rsidR="00F1352C" w14:paraId="0F4DCDE5" w14:textId="77777777" w:rsidTr="008059F0">
        <w:trPr>
          <w:tblHeader/>
          <w:jc w:val="center"/>
        </w:trPr>
        <w:tc>
          <w:tcPr>
            <w:tcW w:w="2293" w:type="pct"/>
            <w:shd w:val="clear" w:color="auto" w:fill="45B0E1" w:themeFill="accent1" w:themeFillTint="99"/>
          </w:tcPr>
          <w:p w14:paraId="04A73426" w14:textId="77777777" w:rsidR="00F1352C" w:rsidRPr="00241A75" w:rsidRDefault="00F1352C" w:rsidP="008059F0">
            <w:pPr>
              <w:autoSpaceDE w:val="0"/>
              <w:autoSpaceDN w:val="0"/>
              <w:adjustRightInd w:val="0"/>
              <w:spacing w:after="120" w:line="276" w:lineRule="auto"/>
              <w:rPr>
                <w:rFonts w:cstheme="minorHAnsi"/>
                <w:b/>
                <w:bCs/>
                <w:lang w:val="en-AU"/>
              </w:rPr>
            </w:pPr>
            <w:r w:rsidRPr="004771BC">
              <w:rPr>
                <w:rFonts w:cstheme="minorHAnsi"/>
                <w:b/>
                <w:bCs/>
                <w:lang w:val="en-AU"/>
              </w:rPr>
              <w:t>The quality of contributing experts</w:t>
            </w:r>
          </w:p>
        </w:tc>
        <w:tc>
          <w:tcPr>
            <w:tcW w:w="2707" w:type="pct"/>
            <w:shd w:val="clear" w:color="auto" w:fill="45B0E1" w:themeFill="accent1" w:themeFillTint="99"/>
          </w:tcPr>
          <w:p w14:paraId="1D8841B7" w14:textId="77777777" w:rsidR="00F1352C" w:rsidRPr="003D1AE7" w:rsidRDefault="00F1352C" w:rsidP="008059F0">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F1352C" w14:paraId="019F2237" w14:textId="77777777" w:rsidTr="008059F0">
        <w:trPr>
          <w:jc w:val="center"/>
        </w:trPr>
        <w:tc>
          <w:tcPr>
            <w:tcW w:w="2293" w:type="pct"/>
          </w:tcPr>
          <w:p w14:paraId="36E07773" w14:textId="77777777" w:rsidR="00F1352C" w:rsidRDefault="00F1352C" w:rsidP="008059F0">
            <w:pPr>
              <w:autoSpaceDE w:val="0"/>
              <w:autoSpaceDN w:val="0"/>
              <w:adjustRightInd w:val="0"/>
              <w:spacing w:after="120" w:line="276" w:lineRule="auto"/>
              <w:jc w:val="both"/>
              <w:rPr>
                <w:rFonts w:cstheme="minorHAnsi"/>
                <w:color w:val="000000"/>
                <w:lang w:val="en-AU"/>
              </w:rPr>
            </w:pPr>
            <w:r w:rsidRPr="007C3B9D">
              <w:rPr>
                <w:rFonts w:cstheme="minorHAnsi"/>
                <w:lang w:val="en-AU"/>
              </w:rPr>
              <w:t>Very satisfied</w:t>
            </w:r>
          </w:p>
        </w:tc>
        <w:tc>
          <w:tcPr>
            <w:tcW w:w="2707" w:type="pct"/>
          </w:tcPr>
          <w:p w14:paraId="5C534587" w14:textId="77777777" w:rsidR="00F1352C" w:rsidRDefault="00F1352C" w:rsidP="008059F0">
            <w:pPr>
              <w:autoSpaceDE w:val="0"/>
              <w:autoSpaceDN w:val="0"/>
              <w:adjustRightInd w:val="0"/>
              <w:spacing w:after="120" w:line="276" w:lineRule="auto"/>
              <w:jc w:val="both"/>
              <w:rPr>
                <w:rFonts w:cstheme="minorHAnsi"/>
                <w:color w:val="000000"/>
                <w:lang w:val="en-AU"/>
              </w:rPr>
            </w:pPr>
            <w:r>
              <w:rPr>
                <w:rFonts w:cstheme="minorHAnsi"/>
              </w:rPr>
              <w:t>68</w:t>
            </w:r>
            <w:r w:rsidRPr="009F7DE6">
              <w:rPr>
                <w:rFonts w:cstheme="minorHAnsi"/>
              </w:rPr>
              <w:t>%</w:t>
            </w:r>
          </w:p>
        </w:tc>
      </w:tr>
      <w:tr w:rsidR="00F1352C" w14:paraId="638C3A8A" w14:textId="77777777" w:rsidTr="008059F0">
        <w:trPr>
          <w:jc w:val="center"/>
        </w:trPr>
        <w:tc>
          <w:tcPr>
            <w:tcW w:w="2293" w:type="pct"/>
          </w:tcPr>
          <w:p w14:paraId="50F0471C" w14:textId="77777777" w:rsidR="00F1352C" w:rsidRDefault="00F1352C" w:rsidP="008059F0">
            <w:pPr>
              <w:autoSpaceDE w:val="0"/>
              <w:autoSpaceDN w:val="0"/>
              <w:adjustRightInd w:val="0"/>
              <w:spacing w:after="120" w:line="276" w:lineRule="auto"/>
              <w:jc w:val="both"/>
              <w:rPr>
                <w:rFonts w:cstheme="minorHAnsi"/>
                <w:color w:val="000000"/>
                <w:lang w:val="en-AU"/>
              </w:rPr>
            </w:pPr>
            <w:r>
              <w:rPr>
                <w:rFonts w:cstheme="minorHAnsi"/>
                <w:lang w:val="en-AU"/>
              </w:rPr>
              <w:t>S</w:t>
            </w:r>
            <w:r w:rsidRPr="007C3B9D">
              <w:rPr>
                <w:rFonts w:cstheme="minorHAnsi"/>
                <w:lang w:val="en-AU"/>
              </w:rPr>
              <w:t>atisfied</w:t>
            </w:r>
          </w:p>
        </w:tc>
        <w:tc>
          <w:tcPr>
            <w:tcW w:w="2707" w:type="pct"/>
          </w:tcPr>
          <w:p w14:paraId="2CE4E0AE" w14:textId="77777777" w:rsidR="00F1352C" w:rsidRDefault="00F1352C" w:rsidP="008059F0">
            <w:pPr>
              <w:autoSpaceDE w:val="0"/>
              <w:autoSpaceDN w:val="0"/>
              <w:adjustRightInd w:val="0"/>
              <w:spacing w:after="120" w:line="276" w:lineRule="auto"/>
              <w:jc w:val="both"/>
              <w:rPr>
                <w:rFonts w:cstheme="minorHAnsi"/>
                <w:color w:val="000000"/>
                <w:lang w:val="en-AU"/>
              </w:rPr>
            </w:pPr>
            <w:r>
              <w:rPr>
                <w:rFonts w:cstheme="minorHAnsi"/>
              </w:rPr>
              <w:t>16</w:t>
            </w:r>
            <w:r w:rsidRPr="009F7DE6">
              <w:rPr>
                <w:rFonts w:cstheme="minorHAnsi"/>
              </w:rPr>
              <w:t>%</w:t>
            </w:r>
          </w:p>
        </w:tc>
      </w:tr>
      <w:tr w:rsidR="00F1352C" w14:paraId="533282C5" w14:textId="77777777" w:rsidTr="008059F0">
        <w:trPr>
          <w:jc w:val="center"/>
        </w:trPr>
        <w:tc>
          <w:tcPr>
            <w:tcW w:w="2293" w:type="pct"/>
          </w:tcPr>
          <w:p w14:paraId="15AEBD57" w14:textId="77777777" w:rsidR="00F1352C" w:rsidRDefault="00F1352C" w:rsidP="008059F0">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707" w:type="pct"/>
          </w:tcPr>
          <w:p w14:paraId="6BA27A16" w14:textId="77777777" w:rsidR="00F1352C" w:rsidRDefault="00F1352C" w:rsidP="008059F0">
            <w:pPr>
              <w:autoSpaceDE w:val="0"/>
              <w:autoSpaceDN w:val="0"/>
              <w:adjustRightInd w:val="0"/>
              <w:spacing w:after="120" w:line="276" w:lineRule="auto"/>
              <w:jc w:val="both"/>
              <w:rPr>
                <w:rFonts w:cstheme="minorHAnsi"/>
                <w:color w:val="000000"/>
                <w:lang w:val="en-AU"/>
              </w:rPr>
            </w:pPr>
            <w:r>
              <w:rPr>
                <w:rFonts w:cstheme="minorHAnsi"/>
              </w:rPr>
              <w:t>8</w:t>
            </w:r>
            <w:r w:rsidRPr="009F7DE6">
              <w:rPr>
                <w:rFonts w:cstheme="minorHAnsi"/>
              </w:rPr>
              <w:t>%</w:t>
            </w:r>
          </w:p>
        </w:tc>
      </w:tr>
      <w:tr w:rsidR="00F1352C" w14:paraId="74232241" w14:textId="77777777" w:rsidTr="008059F0">
        <w:trPr>
          <w:jc w:val="center"/>
        </w:trPr>
        <w:tc>
          <w:tcPr>
            <w:tcW w:w="2293" w:type="pct"/>
          </w:tcPr>
          <w:p w14:paraId="53CFA53E" w14:textId="77777777" w:rsidR="00F1352C" w:rsidRDefault="00F1352C" w:rsidP="008059F0">
            <w:pPr>
              <w:autoSpaceDE w:val="0"/>
              <w:autoSpaceDN w:val="0"/>
              <w:adjustRightInd w:val="0"/>
              <w:spacing w:after="120" w:line="276" w:lineRule="auto"/>
              <w:jc w:val="both"/>
              <w:rPr>
                <w:rFonts w:cstheme="minorHAnsi"/>
                <w:color w:val="000000"/>
                <w:lang w:val="en-AU"/>
              </w:rPr>
            </w:pPr>
            <w:r>
              <w:rPr>
                <w:rFonts w:cstheme="minorHAnsi"/>
              </w:rPr>
              <w:t xml:space="preserve">Not satisfied </w:t>
            </w:r>
          </w:p>
        </w:tc>
        <w:tc>
          <w:tcPr>
            <w:tcW w:w="2707" w:type="pct"/>
          </w:tcPr>
          <w:p w14:paraId="60032805" w14:textId="77777777" w:rsidR="00F1352C" w:rsidRPr="009F7DE6" w:rsidRDefault="00F1352C" w:rsidP="008059F0">
            <w:pPr>
              <w:autoSpaceDE w:val="0"/>
              <w:autoSpaceDN w:val="0"/>
              <w:adjustRightInd w:val="0"/>
              <w:spacing w:after="120" w:line="276" w:lineRule="auto"/>
              <w:jc w:val="both"/>
              <w:rPr>
                <w:rFonts w:cstheme="minorHAnsi"/>
              </w:rPr>
            </w:pPr>
            <w:r>
              <w:rPr>
                <w:rFonts w:cstheme="minorHAnsi"/>
              </w:rPr>
              <w:t>4</w:t>
            </w:r>
            <w:r w:rsidRPr="009F7DE6">
              <w:rPr>
                <w:rFonts w:cstheme="minorHAnsi"/>
              </w:rPr>
              <w:t>%</w:t>
            </w:r>
          </w:p>
        </w:tc>
      </w:tr>
      <w:tr w:rsidR="00F1352C" w14:paraId="4508653F" w14:textId="77777777" w:rsidTr="008059F0">
        <w:trPr>
          <w:jc w:val="center"/>
        </w:trPr>
        <w:tc>
          <w:tcPr>
            <w:tcW w:w="2293" w:type="pct"/>
          </w:tcPr>
          <w:p w14:paraId="02E5FAAC" w14:textId="77777777" w:rsidR="00F1352C" w:rsidRPr="009F7DE6" w:rsidRDefault="00F1352C" w:rsidP="008059F0">
            <w:pPr>
              <w:autoSpaceDE w:val="0"/>
              <w:autoSpaceDN w:val="0"/>
              <w:adjustRightInd w:val="0"/>
              <w:spacing w:after="120" w:line="276" w:lineRule="auto"/>
              <w:jc w:val="both"/>
              <w:rPr>
                <w:rFonts w:cstheme="minorHAnsi"/>
              </w:rPr>
            </w:pPr>
            <w:r>
              <w:rPr>
                <w:rFonts w:cstheme="minorHAnsi"/>
              </w:rPr>
              <w:t xml:space="preserve">N/A </w:t>
            </w:r>
          </w:p>
        </w:tc>
        <w:tc>
          <w:tcPr>
            <w:tcW w:w="2707" w:type="pct"/>
          </w:tcPr>
          <w:p w14:paraId="4BCE510E" w14:textId="77777777" w:rsidR="00F1352C" w:rsidRPr="009F7DE6" w:rsidRDefault="00F1352C" w:rsidP="008059F0">
            <w:pPr>
              <w:autoSpaceDE w:val="0"/>
              <w:autoSpaceDN w:val="0"/>
              <w:adjustRightInd w:val="0"/>
              <w:spacing w:after="120" w:line="276" w:lineRule="auto"/>
              <w:jc w:val="both"/>
              <w:rPr>
                <w:rFonts w:cstheme="minorHAnsi"/>
              </w:rPr>
            </w:pPr>
            <w:r>
              <w:rPr>
                <w:rFonts w:cstheme="minorHAnsi"/>
              </w:rPr>
              <w:t>4</w:t>
            </w:r>
            <w:r w:rsidRPr="009F7DE6">
              <w:rPr>
                <w:rFonts w:cstheme="minorHAnsi"/>
              </w:rPr>
              <w:t>%</w:t>
            </w:r>
          </w:p>
        </w:tc>
      </w:tr>
    </w:tbl>
    <w:p w14:paraId="2E1E7B7F" w14:textId="77777777" w:rsidR="00F92942" w:rsidRDefault="00F92942" w:rsidP="00884011">
      <w:pPr>
        <w:spacing w:line="276" w:lineRule="auto"/>
        <w:jc w:val="both"/>
        <w:rPr>
          <w:rFonts w:cs="Calibri"/>
          <w:lang w:val="en-AU"/>
        </w:rPr>
      </w:pPr>
    </w:p>
    <w:p w14:paraId="37CEAB22" w14:textId="77777777" w:rsidR="00F1352C" w:rsidRDefault="00F1352C" w:rsidP="00F1352C">
      <w:pPr>
        <w:spacing w:after="0" w:line="276" w:lineRule="auto"/>
        <w:jc w:val="both"/>
        <w:rPr>
          <w:rFonts w:cs="Calibri"/>
          <w:lang w:val="en-AU"/>
        </w:rPr>
      </w:pPr>
    </w:p>
    <w:tbl>
      <w:tblPr>
        <w:tblStyle w:val="TableGrid"/>
        <w:tblW w:w="3042" w:type="pct"/>
        <w:jc w:val="center"/>
        <w:tblLook w:val="0420" w:firstRow="1" w:lastRow="0" w:firstColumn="0" w:lastColumn="0" w:noHBand="0" w:noVBand="1"/>
      </w:tblPr>
      <w:tblGrid>
        <w:gridCol w:w="2515"/>
        <w:gridCol w:w="2970"/>
      </w:tblGrid>
      <w:tr w:rsidR="00F1352C" w14:paraId="00049BFD" w14:textId="77777777" w:rsidTr="008059F0">
        <w:trPr>
          <w:tblHeader/>
          <w:jc w:val="center"/>
        </w:trPr>
        <w:tc>
          <w:tcPr>
            <w:tcW w:w="2293" w:type="pct"/>
            <w:shd w:val="clear" w:color="auto" w:fill="45B0E1" w:themeFill="accent1" w:themeFillTint="99"/>
          </w:tcPr>
          <w:p w14:paraId="0A7D540B" w14:textId="59A86E3C" w:rsidR="00F1352C" w:rsidRPr="00241A75" w:rsidRDefault="00942F2B" w:rsidP="008059F0">
            <w:pPr>
              <w:autoSpaceDE w:val="0"/>
              <w:autoSpaceDN w:val="0"/>
              <w:adjustRightInd w:val="0"/>
              <w:spacing w:after="120" w:line="276" w:lineRule="auto"/>
              <w:rPr>
                <w:rFonts w:cstheme="minorHAnsi"/>
                <w:b/>
                <w:bCs/>
                <w:lang w:val="en-AU"/>
              </w:rPr>
            </w:pPr>
            <w:r w:rsidRPr="00942F2B">
              <w:rPr>
                <w:rFonts w:cstheme="minorHAnsi"/>
                <w:b/>
                <w:bCs/>
                <w:lang w:val="en-AU"/>
              </w:rPr>
              <w:lastRenderedPageBreak/>
              <w:t>The quality of reference materials received</w:t>
            </w:r>
          </w:p>
        </w:tc>
        <w:tc>
          <w:tcPr>
            <w:tcW w:w="2707" w:type="pct"/>
            <w:shd w:val="clear" w:color="auto" w:fill="45B0E1" w:themeFill="accent1" w:themeFillTint="99"/>
          </w:tcPr>
          <w:p w14:paraId="050DDDDA" w14:textId="77777777" w:rsidR="00F1352C" w:rsidRPr="003D1AE7" w:rsidRDefault="00F1352C" w:rsidP="008059F0">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F1352C" w14:paraId="39861031" w14:textId="77777777" w:rsidTr="008059F0">
        <w:trPr>
          <w:jc w:val="center"/>
        </w:trPr>
        <w:tc>
          <w:tcPr>
            <w:tcW w:w="2293" w:type="pct"/>
          </w:tcPr>
          <w:p w14:paraId="4BE0D755" w14:textId="77777777" w:rsidR="00F1352C" w:rsidRDefault="00F1352C" w:rsidP="008059F0">
            <w:pPr>
              <w:autoSpaceDE w:val="0"/>
              <w:autoSpaceDN w:val="0"/>
              <w:adjustRightInd w:val="0"/>
              <w:spacing w:after="120" w:line="276" w:lineRule="auto"/>
              <w:jc w:val="both"/>
              <w:rPr>
                <w:rFonts w:cstheme="minorHAnsi"/>
                <w:color w:val="000000"/>
                <w:lang w:val="en-AU"/>
              </w:rPr>
            </w:pPr>
            <w:r w:rsidRPr="007C3B9D">
              <w:rPr>
                <w:rFonts w:cstheme="minorHAnsi"/>
                <w:lang w:val="en-AU"/>
              </w:rPr>
              <w:t>Very satisfied</w:t>
            </w:r>
          </w:p>
        </w:tc>
        <w:tc>
          <w:tcPr>
            <w:tcW w:w="2707" w:type="pct"/>
          </w:tcPr>
          <w:p w14:paraId="0BB1A7FB" w14:textId="25B13635" w:rsidR="00F1352C" w:rsidRDefault="00B87617" w:rsidP="008059F0">
            <w:pPr>
              <w:autoSpaceDE w:val="0"/>
              <w:autoSpaceDN w:val="0"/>
              <w:adjustRightInd w:val="0"/>
              <w:spacing w:after="120" w:line="276" w:lineRule="auto"/>
              <w:jc w:val="both"/>
              <w:rPr>
                <w:rFonts w:cstheme="minorHAnsi"/>
                <w:color w:val="000000"/>
                <w:lang w:val="en-AU"/>
              </w:rPr>
            </w:pPr>
            <w:r>
              <w:rPr>
                <w:rFonts w:cstheme="minorHAnsi"/>
              </w:rPr>
              <w:t>4</w:t>
            </w:r>
            <w:r w:rsidR="00F1352C">
              <w:rPr>
                <w:rFonts w:cstheme="minorHAnsi"/>
              </w:rPr>
              <w:t>8</w:t>
            </w:r>
            <w:r w:rsidR="00F1352C" w:rsidRPr="009F7DE6">
              <w:rPr>
                <w:rFonts w:cstheme="minorHAnsi"/>
              </w:rPr>
              <w:t>%</w:t>
            </w:r>
          </w:p>
        </w:tc>
      </w:tr>
      <w:tr w:rsidR="00F1352C" w14:paraId="02600577" w14:textId="77777777" w:rsidTr="008059F0">
        <w:trPr>
          <w:jc w:val="center"/>
        </w:trPr>
        <w:tc>
          <w:tcPr>
            <w:tcW w:w="2293" w:type="pct"/>
          </w:tcPr>
          <w:p w14:paraId="6727F0A1" w14:textId="77777777" w:rsidR="00F1352C" w:rsidRDefault="00F1352C" w:rsidP="008059F0">
            <w:pPr>
              <w:autoSpaceDE w:val="0"/>
              <w:autoSpaceDN w:val="0"/>
              <w:adjustRightInd w:val="0"/>
              <w:spacing w:after="120" w:line="276" w:lineRule="auto"/>
              <w:jc w:val="both"/>
              <w:rPr>
                <w:rFonts w:cstheme="minorHAnsi"/>
                <w:color w:val="000000"/>
                <w:lang w:val="en-AU"/>
              </w:rPr>
            </w:pPr>
            <w:r>
              <w:rPr>
                <w:rFonts w:cstheme="minorHAnsi"/>
                <w:lang w:val="en-AU"/>
              </w:rPr>
              <w:t>S</w:t>
            </w:r>
            <w:r w:rsidRPr="007C3B9D">
              <w:rPr>
                <w:rFonts w:cstheme="minorHAnsi"/>
                <w:lang w:val="en-AU"/>
              </w:rPr>
              <w:t>atisfied</w:t>
            </w:r>
          </w:p>
        </w:tc>
        <w:tc>
          <w:tcPr>
            <w:tcW w:w="2707" w:type="pct"/>
          </w:tcPr>
          <w:p w14:paraId="02473F9C" w14:textId="1E4CDE8B" w:rsidR="00F1352C" w:rsidRDefault="00B87617" w:rsidP="008059F0">
            <w:pPr>
              <w:autoSpaceDE w:val="0"/>
              <w:autoSpaceDN w:val="0"/>
              <w:adjustRightInd w:val="0"/>
              <w:spacing w:after="120" w:line="276" w:lineRule="auto"/>
              <w:jc w:val="both"/>
              <w:rPr>
                <w:rFonts w:cstheme="minorHAnsi"/>
                <w:color w:val="000000"/>
                <w:lang w:val="en-AU"/>
              </w:rPr>
            </w:pPr>
            <w:r>
              <w:rPr>
                <w:rFonts w:cstheme="minorHAnsi"/>
              </w:rPr>
              <w:t>24</w:t>
            </w:r>
            <w:r w:rsidR="00F1352C" w:rsidRPr="009F7DE6">
              <w:rPr>
                <w:rFonts w:cstheme="minorHAnsi"/>
              </w:rPr>
              <w:t>%</w:t>
            </w:r>
          </w:p>
        </w:tc>
      </w:tr>
      <w:tr w:rsidR="00F1352C" w14:paraId="50D6E05C" w14:textId="77777777" w:rsidTr="008059F0">
        <w:trPr>
          <w:jc w:val="center"/>
        </w:trPr>
        <w:tc>
          <w:tcPr>
            <w:tcW w:w="2293" w:type="pct"/>
          </w:tcPr>
          <w:p w14:paraId="38BE45C7" w14:textId="77777777" w:rsidR="00F1352C" w:rsidRDefault="00F1352C" w:rsidP="008059F0">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707" w:type="pct"/>
          </w:tcPr>
          <w:p w14:paraId="7687BFD2" w14:textId="6666801F" w:rsidR="00F1352C" w:rsidRDefault="00B87617" w:rsidP="008059F0">
            <w:pPr>
              <w:autoSpaceDE w:val="0"/>
              <w:autoSpaceDN w:val="0"/>
              <w:adjustRightInd w:val="0"/>
              <w:spacing w:after="120" w:line="276" w:lineRule="auto"/>
              <w:jc w:val="both"/>
              <w:rPr>
                <w:rFonts w:cstheme="minorHAnsi"/>
                <w:color w:val="000000"/>
                <w:lang w:val="en-AU"/>
              </w:rPr>
            </w:pPr>
            <w:r>
              <w:rPr>
                <w:rFonts w:cstheme="minorHAnsi"/>
              </w:rPr>
              <w:t>16</w:t>
            </w:r>
            <w:r w:rsidR="00F1352C" w:rsidRPr="009F7DE6">
              <w:rPr>
                <w:rFonts w:cstheme="minorHAnsi"/>
              </w:rPr>
              <w:t>%</w:t>
            </w:r>
          </w:p>
        </w:tc>
      </w:tr>
      <w:tr w:rsidR="00F1352C" w14:paraId="6D14523D" w14:textId="77777777" w:rsidTr="008059F0">
        <w:trPr>
          <w:jc w:val="center"/>
        </w:trPr>
        <w:tc>
          <w:tcPr>
            <w:tcW w:w="2293" w:type="pct"/>
          </w:tcPr>
          <w:p w14:paraId="5E6A1A0A" w14:textId="77777777" w:rsidR="00F1352C" w:rsidRDefault="00F1352C" w:rsidP="008059F0">
            <w:pPr>
              <w:autoSpaceDE w:val="0"/>
              <w:autoSpaceDN w:val="0"/>
              <w:adjustRightInd w:val="0"/>
              <w:spacing w:after="120" w:line="276" w:lineRule="auto"/>
              <w:jc w:val="both"/>
              <w:rPr>
                <w:rFonts w:cstheme="minorHAnsi"/>
                <w:color w:val="000000"/>
                <w:lang w:val="en-AU"/>
              </w:rPr>
            </w:pPr>
            <w:r>
              <w:rPr>
                <w:rFonts w:cstheme="minorHAnsi"/>
              </w:rPr>
              <w:t xml:space="preserve">Not satisfied </w:t>
            </w:r>
          </w:p>
        </w:tc>
        <w:tc>
          <w:tcPr>
            <w:tcW w:w="2707" w:type="pct"/>
          </w:tcPr>
          <w:p w14:paraId="2775CBB3" w14:textId="1F9333D7" w:rsidR="00F1352C" w:rsidRPr="009F7DE6" w:rsidRDefault="00B87617" w:rsidP="008059F0">
            <w:pPr>
              <w:autoSpaceDE w:val="0"/>
              <w:autoSpaceDN w:val="0"/>
              <w:adjustRightInd w:val="0"/>
              <w:spacing w:after="120" w:line="276" w:lineRule="auto"/>
              <w:jc w:val="both"/>
              <w:rPr>
                <w:rFonts w:cstheme="minorHAnsi"/>
              </w:rPr>
            </w:pPr>
            <w:r>
              <w:rPr>
                <w:rFonts w:cstheme="minorHAnsi"/>
              </w:rPr>
              <w:t>8</w:t>
            </w:r>
            <w:r w:rsidR="00F1352C" w:rsidRPr="009F7DE6">
              <w:rPr>
                <w:rFonts w:cstheme="minorHAnsi"/>
              </w:rPr>
              <w:t>%</w:t>
            </w:r>
          </w:p>
        </w:tc>
      </w:tr>
      <w:tr w:rsidR="00F1352C" w14:paraId="53DFA197" w14:textId="77777777" w:rsidTr="008059F0">
        <w:trPr>
          <w:jc w:val="center"/>
        </w:trPr>
        <w:tc>
          <w:tcPr>
            <w:tcW w:w="2293" w:type="pct"/>
          </w:tcPr>
          <w:p w14:paraId="3FA3E18D" w14:textId="77777777" w:rsidR="00F1352C" w:rsidRPr="009F7DE6" w:rsidRDefault="00F1352C" w:rsidP="008059F0">
            <w:pPr>
              <w:autoSpaceDE w:val="0"/>
              <w:autoSpaceDN w:val="0"/>
              <w:adjustRightInd w:val="0"/>
              <w:spacing w:after="120" w:line="276" w:lineRule="auto"/>
              <w:jc w:val="both"/>
              <w:rPr>
                <w:rFonts w:cstheme="minorHAnsi"/>
              </w:rPr>
            </w:pPr>
            <w:r>
              <w:rPr>
                <w:rFonts w:cstheme="minorHAnsi"/>
              </w:rPr>
              <w:t xml:space="preserve">N/A </w:t>
            </w:r>
          </w:p>
        </w:tc>
        <w:tc>
          <w:tcPr>
            <w:tcW w:w="2707" w:type="pct"/>
          </w:tcPr>
          <w:p w14:paraId="0D10AD93" w14:textId="77777777" w:rsidR="00F1352C" w:rsidRPr="009F7DE6" w:rsidRDefault="00F1352C" w:rsidP="008059F0">
            <w:pPr>
              <w:autoSpaceDE w:val="0"/>
              <w:autoSpaceDN w:val="0"/>
              <w:adjustRightInd w:val="0"/>
              <w:spacing w:after="120" w:line="276" w:lineRule="auto"/>
              <w:jc w:val="both"/>
              <w:rPr>
                <w:rFonts w:cstheme="minorHAnsi"/>
              </w:rPr>
            </w:pPr>
            <w:r>
              <w:rPr>
                <w:rFonts w:cstheme="minorHAnsi"/>
              </w:rPr>
              <w:t>4</w:t>
            </w:r>
            <w:r w:rsidRPr="009F7DE6">
              <w:rPr>
                <w:rFonts w:cstheme="minorHAnsi"/>
              </w:rPr>
              <w:t>%</w:t>
            </w:r>
          </w:p>
        </w:tc>
      </w:tr>
    </w:tbl>
    <w:p w14:paraId="3B4DF11E" w14:textId="77777777" w:rsidR="00F25989" w:rsidRDefault="00F25989" w:rsidP="00F25989">
      <w:pPr>
        <w:spacing w:after="0" w:line="276" w:lineRule="auto"/>
        <w:jc w:val="both"/>
        <w:rPr>
          <w:rFonts w:cs="Calibri"/>
          <w:lang w:val="en-AU"/>
        </w:rPr>
      </w:pPr>
    </w:p>
    <w:tbl>
      <w:tblPr>
        <w:tblStyle w:val="TableGrid"/>
        <w:tblW w:w="3042" w:type="pct"/>
        <w:jc w:val="center"/>
        <w:tblLook w:val="0420" w:firstRow="1" w:lastRow="0" w:firstColumn="0" w:lastColumn="0" w:noHBand="0" w:noVBand="1"/>
      </w:tblPr>
      <w:tblGrid>
        <w:gridCol w:w="2515"/>
        <w:gridCol w:w="2970"/>
      </w:tblGrid>
      <w:tr w:rsidR="00F25989" w14:paraId="27330F08" w14:textId="77777777" w:rsidTr="008059F0">
        <w:trPr>
          <w:tblHeader/>
          <w:jc w:val="center"/>
        </w:trPr>
        <w:tc>
          <w:tcPr>
            <w:tcW w:w="2293" w:type="pct"/>
            <w:shd w:val="clear" w:color="auto" w:fill="45B0E1" w:themeFill="accent1" w:themeFillTint="99"/>
          </w:tcPr>
          <w:p w14:paraId="3A2A812D" w14:textId="40320D4D" w:rsidR="00F25989" w:rsidRPr="00241A75" w:rsidRDefault="00F25989" w:rsidP="008059F0">
            <w:pPr>
              <w:autoSpaceDE w:val="0"/>
              <w:autoSpaceDN w:val="0"/>
              <w:adjustRightInd w:val="0"/>
              <w:spacing w:after="120" w:line="276" w:lineRule="auto"/>
              <w:rPr>
                <w:rFonts w:cstheme="minorHAnsi"/>
                <w:b/>
                <w:bCs/>
                <w:lang w:val="en-AU"/>
              </w:rPr>
            </w:pPr>
            <w:r w:rsidRPr="00F25989">
              <w:rPr>
                <w:rFonts w:cstheme="minorHAnsi"/>
                <w:b/>
                <w:bCs/>
                <w:lang w:val="en-AU"/>
              </w:rPr>
              <w:t>The opportunity to gain insight from Australian expertise</w:t>
            </w:r>
          </w:p>
        </w:tc>
        <w:tc>
          <w:tcPr>
            <w:tcW w:w="2707" w:type="pct"/>
            <w:shd w:val="clear" w:color="auto" w:fill="45B0E1" w:themeFill="accent1" w:themeFillTint="99"/>
          </w:tcPr>
          <w:p w14:paraId="0BAA8167" w14:textId="77777777" w:rsidR="00F25989" w:rsidRPr="003D1AE7" w:rsidRDefault="00F25989" w:rsidP="008059F0">
            <w:pPr>
              <w:autoSpaceDE w:val="0"/>
              <w:autoSpaceDN w:val="0"/>
              <w:adjustRightInd w:val="0"/>
              <w:spacing w:after="120" w:line="276" w:lineRule="auto"/>
              <w:jc w:val="both"/>
              <w:rPr>
                <w:rFonts w:cstheme="minorHAnsi"/>
                <w:b/>
                <w:bCs/>
                <w:color w:val="000000"/>
                <w:lang w:val="en-AU"/>
              </w:rPr>
            </w:pPr>
            <w:r w:rsidRPr="003D1AE7">
              <w:rPr>
                <w:rFonts w:cstheme="minorHAnsi"/>
                <w:b/>
                <w:bCs/>
                <w:color w:val="000000"/>
                <w:lang w:val="en-AU"/>
              </w:rPr>
              <w:t xml:space="preserve">Percentage </w:t>
            </w:r>
          </w:p>
        </w:tc>
      </w:tr>
      <w:tr w:rsidR="00F25989" w14:paraId="320D6C1C" w14:textId="77777777" w:rsidTr="008059F0">
        <w:trPr>
          <w:jc w:val="center"/>
        </w:trPr>
        <w:tc>
          <w:tcPr>
            <w:tcW w:w="2293" w:type="pct"/>
          </w:tcPr>
          <w:p w14:paraId="6CD46BBD" w14:textId="77777777" w:rsidR="00F25989" w:rsidRDefault="00F25989" w:rsidP="008059F0">
            <w:pPr>
              <w:autoSpaceDE w:val="0"/>
              <w:autoSpaceDN w:val="0"/>
              <w:adjustRightInd w:val="0"/>
              <w:spacing w:after="120" w:line="276" w:lineRule="auto"/>
              <w:jc w:val="both"/>
              <w:rPr>
                <w:rFonts w:cstheme="minorHAnsi"/>
                <w:color w:val="000000"/>
                <w:lang w:val="en-AU"/>
              </w:rPr>
            </w:pPr>
            <w:r w:rsidRPr="007C3B9D">
              <w:rPr>
                <w:rFonts w:cstheme="minorHAnsi"/>
                <w:lang w:val="en-AU"/>
              </w:rPr>
              <w:t>Very satisfied</w:t>
            </w:r>
          </w:p>
        </w:tc>
        <w:tc>
          <w:tcPr>
            <w:tcW w:w="2707" w:type="pct"/>
          </w:tcPr>
          <w:p w14:paraId="2C361697" w14:textId="16D11B13" w:rsidR="00F25989" w:rsidRDefault="00F25989" w:rsidP="008059F0">
            <w:pPr>
              <w:autoSpaceDE w:val="0"/>
              <w:autoSpaceDN w:val="0"/>
              <w:adjustRightInd w:val="0"/>
              <w:spacing w:after="120" w:line="276" w:lineRule="auto"/>
              <w:jc w:val="both"/>
              <w:rPr>
                <w:rFonts w:cstheme="minorHAnsi"/>
                <w:color w:val="000000"/>
                <w:lang w:val="en-AU"/>
              </w:rPr>
            </w:pPr>
            <w:r>
              <w:rPr>
                <w:rFonts w:cstheme="minorHAnsi"/>
              </w:rPr>
              <w:t>60</w:t>
            </w:r>
            <w:r w:rsidRPr="009F7DE6">
              <w:rPr>
                <w:rFonts w:cstheme="minorHAnsi"/>
              </w:rPr>
              <w:t>%</w:t>
            </w:r>
          </w:p>
        </w:tc>
      </w:tr>
      <w:tr w:rsidR="00F25989" w14:paraId="7F5D0502" w14:textId="77777777" w:rsidTr="008059F0">
        <w:trPr>
          <w:jc w:val="center"/>
        </w:trPr>
        <w:tc>
          <w:tcPr>
            <w:tcW w:w="2293" w:type="pct"/>
          </w:tcPr>
          <w:p w14:paraId="47F92C10" w14:textId="77777777" w:rsidR="00F25989" w:rsidRDefault="00F25989" w:rsidP="008059F0">
            <w:pPr>
              <w:autoSpaceDE w:val="0"/>
              <w:autoSpaceDN w:val="0"/>
              <w:adjustRightInd w:val="0"/>
              <w:spacing w:after="120" w:line="276" w:lineRule="auto"/>
              <w:jc w:val="both"/>
              <w:rPr>
                <w:rFonts w:cstheme="minorHAnsi"/>
                <w:color w:val="000000"/>
                <w:lang w:val="en-AU"/>
              </w:rPr>
            </w:pPr>
            <w:r>
              <w:rPr>
                <w:rFonts w:cstheme="minorHAnsi"/>
                <w:lang w:val="en-AU"/>
              </w:rPr>
              <w:t>S</w:t>
            </w:r>
            <w:r w:rsidRPr="007C3B9D">
              <w:rPr>
                <w:rFonts w:cstheme="minorHAnsi"/>
                <w:lang w:val="en-AU"/>
              </w:rPr>
              <w:t>atisfied</w:t>
            </w:r>
          </w:p>
        </w:tc>
        <w:tc>
          <w:tcPr>
            <w:tcW w:w="2707" w:type="pct"/>
          </w:tcPr>
          <w:p w14:paraId="3D1C3D00" w14:textId="326C3E75" w:rsidR="00F25989" w:rsidRDefault="00F25989" w:rsidP="008059F0">
            <w:pPr>
              <w:autoSpaceDE w:val="0"/>
              <w:autoSpaceDN w:val="0"/>
              <w:adjustRightInd w:val="0"/>
              <w:spacing w:after="120" w:line="276" w:lineRule="auto"/>
              <w:jc w:val="both"/>
              <w:rPr>
                <w:rFonts w:cstheme="minorHAnsi"/>
                <w:color w:val="000000"/>
                <w:lang w:val="en-AU"/>
              </w:rPr>
            </w:pPr>
            <w:r>
              <w:rPr>
                <w:rFonts w:cstheme="minorHAnsi"/>
              </w:rPr>
              <w:t>20</w:t>
            </w:r>
            <w:r w:rsidRPr="009F7DE6">
              <w:rPr>
                <w:rFonts w:cstheme="minorHAnsi"/>
              </w:rPr>
              <w:t>%</w:t>
            </w:r>
          </w:p>
        </w:tc>
      </w:tr>
      <w:tr w:rsidR="00F25989" w14:paraId="4813378D" w14:textId="77777777" w:rsidTr="008059F0">
        <w:trPr>
          <w:jc w:val="center"/>
        </w:trPr>
        <w:tc>
          <w:tcPr>
            <w:tcW w:w="2293" w:type="pct"/>
          </w:tcPr>
          <w:p w14:paraId="2E962007" w14:textId="77777777" w:rsidR="00F25989" w:rsidRDefault="00F25989" w:rsidP="008059F0">
            <w:pPr>
              <w:autoSpaceDE w:val="0"/>
              <w:autoSpaceDN w:val="0"/>
              <w:adjustRightInd w:val="0"/>
              <w:spacing w:after="120" w:line="276" w:lineRule="auto"/>
              <w:jc w:val="both"/>
              <w:rPr>
                <w:rFonts w:cstheme="minorHAnsi"/>
                <w:color w:val="000000"/>
                <w:lang w:val="en-AU"/>
              </w:rPr>
            </w:pPr>
            <w:r>
              <w:rPr>
                <w:rFonts w:cstheme="minorHAnsi"/>
                <w:color w:val="000000"/>
                <w:lang w:val="en-AU"/>
              </w:rPr>
              <w:t xml:space="preserve">Somewhat </w:t>
            </w:r>
          </w:p>
        </w:tc>
        <w:tc>
          <w:tcPr>
            <w:tcW w:w="2707" w:type="pct"/>
          </w:tcPr>
          <w:p w14:paraId="50578196" w14:textId="67326FCD" w:rsidR="00F25989" w:rsidRDefault="00F25989" w:rsidP="008059F0">
            <w:pPr>
              <w:autoSpaceDE w:val="0"/>
              <w:autoSpaceDN w:val="0"/>
              <w:adjustRightInd w:val="0"/>
              <w:spacing w:after="120" w:line="276" w:lineRule="auto"/>
              <w:jc w:val="both"/>
              <w:rPr>
                <w:rFonts w:cstheme="minorHAnsi"/>
                <w:color w:val="000000"/>
                <w:lang w:val="en-AU"/>
              </w:rPr>
            </w:pPr>
            <w:r>
              <w:rPr>
                <w:rFonts w:cstheme="minorHAnsi"/>
              </w:rPr>
              <w:t>8</w:t>
            </w:r>
            <w:r w:rsidRPr="009F7DE6">
              <w:rPr>
                <w:rFonts w:cstheme="minorHAnsi"/>
              </w:rPr>
              <w:t>%</w:t>
            </w:r>
          </w:p>
        </w:tc>
      </w:tr>
      <w:tr w:rsidR="00F25989" w14:paraId="73E49B16" w14:textId="77777777" w:rsidTr="008059F0">
        <w:trPr>
          <w:jc w:val="center"/>
        </w:trPr>
        <w:tc>
          <w:tcPr>
            <w:tcW w:w="2293" w:type="pct"/>
          </w:tcPr>
          <w:p w14:paraId="2446F0D2" w14:textId="77777777" w:rsidR="00F25989" w:rsidRDefault="00F25989" w:rsidP="008059F0">
            <w:pPr>
              <w:autoSpaceDE w:val="0"/>
              <w:autoSpaceDN w:val="0"/>
              <w:adjustRightInd w:val="0"/>
              <w:spacing w:after="120" w:line="276" w:lineRule="auto"/>
              <w:jc w:val="both"/>
              <w:rPr>
                <w:rFonts w:cstheme="minorHAnsi"/>
                <w:color w:val="000000"/>
                <w:lang w:val="en-AU"/>
              </w:rPr>
            </w:pPr>
            <w:r>
              <w:rPr>
                <w:rFonts w:cstheme="minorHAnsi"/>
              </w:rPr>
              <w:t xml:space="preserve">Not satisfied </w:t>
            </w:r>
          </w:p>
        </w:tc>
        <w:tc>
          <w:tcPr>
            <w:tcW w:w="2707" w:type="pct"/>
          </w:tcPr>
          <w:p w14:paraId="50915E89" w14:textId="77777777" w:rsidR="00F25989" w:rsidRPr="009F7DE6" w:rsidRDefault="00F25989" w:rsidP="008059F0">
            <w:pPr>
              <w:autoSpaceDE w:val="0"/>
              <w:autoSpaceDN w:val="0"/>
              <w:adjustRightInd w:val="0"/>
              <w:spacing w:after="120" w:line="276" w:lineRule="auto"/>
              <w:jc w:val="both"/>
              <w:rPr>
                <w:rFonts w:cstheme="minorHAnsi"/>
              </w:rPr>
            </w:pPr>
            <w:r>
              <w:rPr>
                <w:rFonts w:cstheme="minorHAnsi"/>
              </w:rPr>
              <w:t>8</w:t>
            </w:r>
            <w:r w:rsidRPr="009F7DE6">
              <w:rPr>
                <w:rFonts w:cstheme="minorHAnsi"/>
              </w:rPr>
              <w:t>%</w:t>
            </w:r>
          </w:p>
        </w:tc>
      </w:tr>
      <w:tr w:rsidR="00F25989" w14:paraId="12B0F61C" w14:textId="77777777" w:rsidTr="008059F0">
        <w:trPr>
          <w:jc w:val="center"/>
        </w:trPr>
        <w:tc>
          <w:tcPr>
            <w:tcW w:w="2293" w:type="pct"/>
          </w:tcPr>
          <w:p w14:paraId="241E9BB9" w14:textId="77777777" w:rsidR="00F25989" w:rsidRPr="009F7DE6" w:rsidRDefault="00F25989" w:rsidP="008059F0">
            <w:pPr>
              <w:autoSpaceDE w:val="0"/>
              <w:autoSpaceDN w:val="0"/>
              <w:adjustRightInd w:val="0"/>
              <w:spacing w:after="120" w:line="276" w:lineRule="auto"/>
              <w:jc w:val="both"/>
              <w:rPr>
                <w:rFonts w:cstheme="minorHAnsi"/>
              </w:rPr>
            </w:pPr>
            <w:r>
              <w:rPr>
                <w:rFonts w:cstheme="minorHAnsi"/>
              </w:rPr>
              <w:t xml:space="preserve">N/A </w:t>
            </w:r>
          </w:p>
        </w:tc>
        <w:tc>
          <w:tcPr>
            <w:tcW w:w="2707" w:type="pct"/>
          </w:tcPr>
          <w:p w14:paraId="4548BE15" w14:textId="77777777" w:rsidR="00F25989" w:rsidRPr="009F7DE6" w:rsidRDefault="00F25989" w:rsidP="008059F0">
            <w:pPr>
              <w:autoSpaceDE w:val="0"/>
              <w:autoSpaceDN w:val="0"/>
              <w:adjustRightInd w:val="0"/>
              <w:spacing w:after="120" w:line="276" w:lineRule="auto"/>
              <w:jc w:val="both"/>
              <w:rPr>
                <w:rFonts w:cstheme="minorHAnsi"/>
              </w:rPr>
            </w:pPr>
            <w:r>
              <w:rPr>
                <w:rFonts w:cstheme="minorHAnsi"/>
              </w:rPr>
              <w:t>4</w:t>
            </w:r>
            <w:r w:rsidRPr="009F7DE6">
              <w:rPr>
                <w:rFonts w:cstheme="minorHAnsi"/>
              </w:rPr>
              <w:t>%</w:t>
            </w:r>
          </w:p>
        </w:tc>
      </w:tr>
    </w:tbl>
    <w:p w14:paraId="3ED83071" w14:textId="0CFF0B98" w:rsidR="009A4E79" w:rsidRPr="007C3B9D" w:rsidRDefault="009A4E79" w:rsidP="008059F0">
      <w:pPr>
        <w:spacing w:before="240" w:after="120" w:line="276" w:lineRule="auto"/>
        <w:jc w:val="both"/>
        <w:rPr>
          <w:rFonts w:cs="Calibri"/>
          <w:lang w:val="en-AU"/>
        </w:rPr>
      </w:pPr>
      <w:r w:rsidRPr="007C3B9D">
        <w:rPr>
          <w:rFonts w:cs="Calibri"/>
          <w:lang w:val="en-AU"/>
        </w:rPr>
        <w:t>These viewpoints were confirmed by the survey narrative feedback provided, which indicated that the activities provided valuable foundational knowledge on the crucial political security issues, and fostered cooperation among ASEAN officials on key regional issues, including maritime security. Many participants felt that the activity addressed common challenges faced by UNCLOS member states, helping them understand how to apply the Law of the Sea within their countries and strengthen collaboration across ASEAN. One participant commented that ‘</w:t>
      </w:r>
      <w:r w:rsidRPr="007C3B9D">
        <w:rPr>
          <w:rFonts w:cs="Calibri"/>
          <w:i/>
          <w:iCs/>
          <w:lang w:val="en-AU"/>
        </w:rPr>
        <w:t>there are no gaps from this activity’</w:t>
      </w:r>
      <w:r w:rsidRPr="007C3B9D">
        <w:rPr>
          <w:rFonts w:cs="Calibri"/>
          <w:lang w:val="en-AU"/>
        </w:rPr>
        <w:t>, suggesting that the program was comprehensive in covering essential topics.</w:t>
      </w:r>
    </w:p>
    <w:p w14:paraId="06C740D6" w14:textId="0A61B01A" w:rsidR="009A4E79" w:rsidRPr="007C3B9D" w:rsidRDefault="009A4E79" w:rsidP="00903D77">
      <w:pPr>
        <w:spacing w:after="120" w:line="276" w:lineRule="auto"/>
        <w:jc w:val="both"/>
        <w:rPr>
          <w:rFonts w:cs="Calibri"/>
          <w:lang w:val="en-AU"/>
        </w:rPr>
      </w:pPr>
      <w:r w:rsidRPr="007C3B9D">
        <w:rPr>
          <w:rFonts w:cs="Calibri"/>
          <w:lang w:val="en-AU"/>
        </w:rPr>
        <w:t>However, some respondents noted shortcomings. While activities facilitated discussion on regional security and transnational crime, several participants felt it lacked ‘</w:t>
      </w:r>
      <w:r w:rsidRPr="007C3B9D">
        <w:rPr>
          <w:rFonts w:cs="Calibri"/>
          <w:i/>
          <w:iCs/>
          <w:lang w:val="en-AU"/>
        </w:rPr>
        <w:t>concrete solutions and a clear roadmap for action</w:t>
      </w:r>
      <w:r w:rsidRPr="007C3B9D">
        <w:rPr>
          <w:rFonts w:cs="Calibri"/>
          <w:lang w:val="en-AU"/>
        </w:rPr>
        <w:t>,’ particularly in implementing strategies across ASEAN. Others pointed out that regional issues were not used as case studies, and only limited information on current developments was provided, which limited the program’s immediacy and relevance. There was also a call for inclusivity, emphas</w:t>
      </w:r>
      <w:r w:rsidR="008332B1" w:rsidRPr="007C3B9D">
        <w:rPr>
          <w:rFonts w:cs="Calibri"/>
          <w:lang w:val="en-AU"/>
        </w:rPr>
        <w:t>is</w:t>
      </w:r>
      <w:r w:rsidRPr="007C3B9D">
        <w:rPr>
          <w:rFonts w:cs="Calibri"/>
          <w:lang w:val="en-AU"/>
        </w:rPr>
        <w:t>ing the importance of involving all ASEAN members, civil society, and greater representation for women in regional security exercises to ensure holistic engagement.</w:t>
      </w:r>
    </w:p>
    <w:p w14:paraId="4C84644D" w14:textId="2C3E7D7C" w:rsidR="009A4E79" w:rsidRPr="007C3B9D" w:rsidRDefault="009A4E79" w:rsidP="00903D77">
      <w:pPr>
        <w:spacing w:after="120" w:line="276" w:lineRule="auto"/>
        <w:jc w:val="both"/>
        <w:rPr>
          <w:rFonts w:cs="Calibri"/>
          <w:lang w:val="en-AU"/>
        </w:rPr>
      </w:pPr>
      <w:r w:rsidRPr="007C3B9D">
        <w:rPr>
          <w:rFonts w:cs="Calibri"/>
          <w:lang w:val="en-AU"/>
        </w:rPr>
        <w:t>Participants valued the insights gained from expert engagement and discussions, which contributed to a ‘</w:t>
      </w:r>
      <w:r w:rsidRPr="007C3B9D">
        <w:rPr>
          <w:rFonts w:cs="Calibri"/>
          <w:i/>
          <w:iCs/>
          <w:lang w:val="en-AU"/>
        </w:rPr>
        <w:t>more nuanced understanding’</w:t>
      </w:r>
      <w:r w:rsidRPr="007C3B9D">
        <w:rPr>
          <w:rFonts w:cs="Calibri"/>
          <w:lang w:val="en-AU"/>
        </w:rPr>
        <w:t xml:space="preserve"> of ASEAN’s strategic environment and transnational crime challenges, including piracy and maritime security. Case studies on issues such as oil spill response highlighted the need for collaborative efforts in maritime security. One respondent stressed the importance of ongoing cooperation through ‘</w:t>
      </w:r>
      <w:r w:rsidRPr="007C3B9D">
        <w:rPr>
          <w:rFonts w:cs="Calibri"/>
          <w:i/>
          <w:iCs/>
          <w:lang w:val="en-AU"/>
        </w:rPr>
        <w:t>inclusive exercises for all men and women of all UNCLOS member states</w:t>
      </w:r>
      <w:r w:rsidRPr="007C3B9D">
        <w:rPr>
          <w:rFonts w:cs="Calibri"/>
          <w:lang w:val="en-AU"/>
        </w:rPr>
        <w:t>,’ advocating for gender equity in maintaining regional peace and prosperity.</w:t>
      </w:r>
    </w:p>
    <w:p w14:paraId="631F5018" w14:textId="605DCFD7" w:rsidR="009A4E79" w:rsidRPr="007C3B9D" w:rsidRDefault="009A4E79" w:rsidP="00903D77">
      <w:pPr>
        <w:spacing w:after="120" w:line="276" w:lineRule="auto"/>
        <w:jc w:val="both"/>
        <w:rPr>
          <w:rFonts w:cs="Calibri"/>
          <w:lang w:val="en-AU"/>
        </w:rPr>
      </w:pPr>
      <w:r w:rsidRPr="007C3B9D">
        <w:rPr>
          <w:rFonts w:cs="Calibri"/>
          <w:lang w:val="en-AU"/>
        </w:rPr>
        <w:t>While the activities effectively addressed foundational regional challenges and cooperation, participants called for clearer action plans, case studies, up-to-date information, and more inclusivity, particularly regarding gender and civil society representation. These additions to future activities could further enhance their relevance and impact on regional political security.</w:t>
      </w:r>
    </w:p>
    <w:p w14:paraId="76B0DAB0" w14:textId="2E11DFBD" w:rsidR="00450DA7" w:rsidRPr="007C3B9D" w:rsidRDefault="00450DA7" w:rsidP="00446279">
      <w:pPr>
        <w:pStyle w:val="Heading2"/>
      </w:pPr>
      <w:bookmarkStart w:id="17" w:name="_Toc206492267"/>
      <w:r w:rsidRPr="007C3B9D">
        <w:lastRenderedPageBreak/>
        <w:t>Sustainability</w:t>
      </w:r>
      <w:bookmarkEnd w:id="17"/>
    </w:p>
    <w:p w14:paraId="345148ED" w14:textId="376AC4F6" w:rsidR="00450DA7" w:rsidRPr="007C3B9D" w:rsidRDefault="00450DA7" w:rsidP="00903D77">
      <w:pPr>
        <w:spacing w:after="120" w:line="276" w:lineRule="auto"/>
        <w:jc w:val="both"/>
        <w:rPr>
          <w:lang w:val="en-AU"/>
        </w:rPr>
      </w:pPr>
      <w:r w:rsidRPr="007C3B9D">
        <w:rPr>
          <w:rFonts w:cstheme="minorHAnsi"/>
          <w:b/>
          <w:bCs/>
          <w:i/>
          <w:iCs/>
          <w:color w:val="0F4761" w:themeColor="accent1" w:themeShade="BF"/>
          <w:lang w:val="en-AU"/>
        </w:rPr>
        <w:t xml:space="preserve">EQ5 – To what extent has the </w:t>
      </w:r>
      <w:proofErr w:type="gramStart"/>
      <w:r w:rsidRPr="007C3B9D">
        <w:rPr>
          <w:rFonts w:cstheme="minorHAnsi"/>
          <w:b/>
          <w:bCs/>
          <w:i/>
          <w:iCs/>
          <w:color w:val="0F4761" w:themeColor="accent1" w:themeShade="BF"/>
          <w:lang w:val="en-AU"/>
        </w:rPr>
        <w:t>program</w:t>
      </w:r>
      <w:r w:rsidR="00A17939" w:rsidRPr="007C3B9D">
        <w:rPr>
          <w:rFonts w:cstheme="minorHAnsi"/>
          <w:b/>
          <w:bCs/>
          <w:i/>
          <w:iCs/>
          <w:color w:val="0F4761" w:themeColor="accent1" w:themeShade="BF"/>
          <w:lang w:val="en-AU"/>
        </w:rPr>
        <w:t xml:space="preserve"> </w:t>
      </w:r>
      <w:r w:rsidRPr="007C3B9D">
        <w:rPr>
          <w:rFonts w:cstheme="minorHAnsi"/>
          <w:b/>
          <w:bCs/>
          <w:i/>
          <w:iCs/>
          <w:color w:val="0F4761" w:themeColor="accent1" w:themeShade="BF"/>
          <w:lang w:val="en-AU"/>
        </w:rPr>
        <w:t>built</w:t>
      </w:r>
      <w:proofErr w:type="gramEnd"/>
      <w:r w:rsidRPr="007C3B9D">
        <w:rPr>
          <w:rFonts w:cstheme="minorHAnsi"/>
          <w:b/>
          <w:bCs/>
          <w:i/>
          <w:iCs/>
          <w:color w:val="0F4761" w:themeColor="accent1" w:themeShade="BF"/>
          <w:lang w:val="en-AU"/>
        </w:rPr>
        <w:t xml:space="preserve"> ASEAN institutional capacity, fostered enduring partnerships and collaborations between ASEAN and Australia?</w:t>
      </w:r>
    </w:p>
    <w:p w14:paraId="2D67724F" w14:textId="77777777" w:rsidR="00450DA7" w:rsidRPr="007C3B9D" w:rsidRDefault="00450DA7" w:rsidP="00903D77">
      <w:pPr>
        <w:spacing w:after="120" w:line="276" w:lineRule="auto"/>
        <w:jc w:val="both"/>
        <w:rPr>
          <w:i/>
          <w:iCs/>
          <w:color w:val="0F4761" w:themeColor="accent1" w:themeShade="BF"/>
          <w:lang w:val="en-AU"/>
        </w:rPr>
      </w:pPr>
      <w:r w:rsidRPr="007C3B9D">
        <w:rPr>
          <w:rFonts w:cstheme="minorHAnsi"/>
          <w:i/>
          <w:iCs/>
          <w:color w:val="0F4761" w:themeColor="accent1" w:themeShade="BF"/>
          <w:lang w:val="en-AU"/>
        </w:rPr>
        <w:t>JC5.1 ASEAN stakeholders are likely to maintain consultation processes initially implemented under the program.</w:t>
      </w:r>
    </w:p>
    <w:p w14:paraId="0F546EFA" w14:textId="1DC58077" w:rsidR="000E799F" w:rsidRPr="007C3B9D" w:rsidRDefault="000E799F" w:rsidP="00903D77">
      <w:pPr>
        <w:spacing w:after="120" w:line="276" w:lineRule="auto"/>
        <w:jc w:val="both"/>
        <w:rPr>
          <w:lang w:val="en-AU"/>
        </w:rPr>
      </w:pPr>
      <w:r w:rsidRPr="007C3B9D">
        <w:rPr>
          <w:lang w:val="en-AU"/>
        </w:rPr>
        <w:t xml:space="preserve">The program is likely to achieve a degree of sustainability, at ASEAN institutional and staff levels, and in terms of the partnership between Australia and ASEC. </w:t>
      </w:r>
      <w:r w:rsidR="005B641D" w:rsidRPr="007C3B9D">
        <w:rPr>
          <w:lang w:val="en-AU"/>
        </w:rPr>
        <w:t xml:space="preserve">Future iterations could </w:t>
      </w:r>
      <w:r w:rsidR="00B01B8B" w:rsidRPr="007C3B9D">
        <w:rPr>
          <w:lang w:val="en-AU"/>
        </w:rPr>
        <w:t>institutionalize</w:t>
      </w:r>
      <w:r w:rsidR="005B641D" w:rsidRPr="007C3B9D">
        <w:rPr>
          <w:lang w:val="en-AU"/>
        </w:rPr>
        <w:t xml:space="preserve"> these outcomes within ARF or other permanent ASEAN mechanisms, ensuring sustainability beyond the current APSP timeline. </w:t>
      </w:r>
      <w:r w:rsidRPr="007C3B9D">
        <w:rPr>
          <w:lang w:val="en-AU"/>
        </w:rPr>
        <w:t>Survey respondents and ASEC interviewees who took part in APSP activities such as professional development sessions</w:t>
      </w:r>
      <w:r w:rsidR="00DC1242" w:rsidRPr="007C3B9D">
        <w:rPr>
          <w:lang w:val="en-AU"/>
        </w:rPr>
        <w:t xml:space="preserve"> and</w:t>
      </w:r>
      <w:r w:rsidRPr="007C3B9D">
        <w:rPr>
          <w:lang w:val="en-AU"/>
        </w:rPr>
        <w:t xml:space="preserve"> workshops have also indicated that they have gained knowledge and skills as a result. The workshop </w:t>
      </w:r>
      <w:r w:rsidR="00DC1242" w:rsidRPr="007C3B9D">
        <w:rPr>
          <w:lang w:val="en-AU"/>
        </w:rPr>
        <w:t xml:space="preserve">observed by </w:t>
      </w:r>
      <w:r w:rsidRPr="007C3B9D">
        <w:rPr>
          <w:lang w:val="en-AU"/>
        </w:rPr>
        <w:t xml:space="preserve">the evaluators, organised by APSP in September 2024 in Bangkok and hosted by the Royal Thai Police, was a case in point. The </w:t>
      </w:r>
      <w:r w:rsidR="00DC1242" w:rsidRPr="007C3B9D">
        <w:rPr>
          <w:lang w:val="en-AU"/>
        </w:rPr>
        <w:t>event</w:t>
      </w:r>
      <w:r w:rsidRPr="007C3B9D">
        <w:rPr>
          <w:lang w:val="en-AU"/>
        </w:rPr>
        <w:t xml:space="preserve"> focused on the handling of </w:t>
      </w:r>
      <w:r w:rsidR="00170ADB" w:rsidRPr="007C3B9D">
        <w:rPr>
          <w:lang w:val="en-AU"/>
        </w:rPr>
        <w:t>seized</w:t>
      </w:r>
      <w:r w:rsidRPr="007C3B9D">
        <w:rPr>
          <w:lang w:val="en-AU"/>
        </w:rPr>
        <w:t xml:space="preserve"> drugs and drug </w:t>
      </w:r>
      <w:proofErr w:type="gramStart"/>
      <w:r w:rsidRPr="007C3B9D">
        <w:rPr>
          <w:lang w:val="en-AU"/>
        </w:rPr>
        <w:t>precursors</w:t>
      </w:r>
      <w:r w:rsidR="00DC1242" w:rsidRPr="007C3B9D">
        <w:rPr>
          <w:lang w:val="en-AU"/>
        </w:rPr>
        <w:t>,</w:t>
      </w:r>
      <w:r w:rsidRPr="007C3B9D">
        <w:rPr>
          <w:lang w:val="en-AU"/>
        </w:rPr>
        <w:t xml:space="preserve"> and</w:t>
      </w:r>
      <w:proofErr w:type="gramEnd"/>
      <w:r w:rsidRPr="007C3B9D">
        <w:rPr>
          <w:lang w:val="en-AU"/>
        </w:rPr>
        <w:t xml:space="preserve"> brought together law enforcement officials from all ASEAN Member States (as well as Timor Leste) and ASEC representatives. Participants were highly engaged, peppering speakers with questions and sharing experience. Talking to the evaluators, several participants praised the practical, down-to-earth approach taken by the workshop’s organisers, allowing participants to draw their own conclusions </w:t>
      </w:r>
      <w:proofErr w:type="gramStart"/>
      <w:r w:rsidRPr="007C3B9D">
        <w:rPr>
          <w:lang w:val="en-AU"/>
        </w:rPr>
        <w:t>and</w:t>
      </w:r>
      <w:r w:rsidR="00DC1242" w:rsidRPr="007C3B9D">
        <w:rPr>
          <w:lang w:val="en-AU"/>
        </w:rPr>
        <w:t>,</w:t>
      </w:r>
      <w:proofErr w:type="gramEnd"/>
      <w:r w:rsidRPr="007C3B9D">
        <w:rPr>
          <w:lang w:val="en-AU"/>
        </w:rPr>
        <w:t xml:space="preserve"> review their country’s practices. The fact that senior academics and law enforcement experts from Australia attended and spoke at the workshop helped strengthen its relevance to participants.</w:t>
      </w:r>
    </w:p>
    <w:p w14:paraId="5D110C2C" w14:textId="3ADB1A28" w:rsidR="000E799F" w:rsidRPr="007C3B9D" w:rsidRDefault="000E799F" w:rsidP="00903D77">
      <w:pPr>
        <w:spacing w:after="120" w:line="276" w:lineRule="auto"/>
        <w:jc w:val="both"/>
        <w:rPr>
          <w:lang w:val="en-AU"/>
        </w:rPr>
      </w:pPr>
      <w:r w:rsidRPr="007C3B9D">
        <w:rPr>
          <w:lang w:val="en-AU"/>
        </w:rPr>
        <w:t xml:space="preserve">It is of course impossible to know precisely to what extent recommendations from this workshop, and other similar APSP activities, result in practical changes in ASEAN Member States. However, anecdotal evidence provided by interviewees and survey respondents suggest that some of the skills and knowledge imparted through APSP activities have been used by participants, for example in relation to developing action plan for the implementation of the UN Convention on the Law of the </w:t>
      </w:r>
      <w:proofErr w:type="gramStart"/>
      <w:r w:rsidRPr="007C3B9D">
        <w:rPr>
          <w:lang w:val="en-AU"/>
        </w:rPr>
        <w:t>Sea</w:t>
      </w:r>
      <w:r w:rsidR="00DC1242" w:rsidRPr="007C3B9D">
        <w:rPr>
          <w:lang w:val="en-AU"/>
        </w:rPr>
        <w:t>,</w:t>
      </w:r>
      <w:r w:rsidRPr="007C3B9D">
        <w:rPr>
          <w:lang w:val="en-AU"/>
        </w:rPr>
        <w:t xml:space="preserve"> or</w:t>
      </w:r>
      <w:proofErr w:type="gramEnd"/>
      <w:r w:rsidRPr="007C3B9D">
        <w:rPr>
          <w:lang w:val="en-AU"/>
        </w:rPr>
        <w:t xml:space="preserve"> advancing the WPS agenda at </w:t>
      </w:r>
      <w:r w:rsidR="00DC1242" w:rsidRPr="007C3B9D">
        <w:rPr>
          <w:lang w:val="en-AU"/>
        </w:rPr>
        <w:t xml:space="preserve">the </w:t>
      </w:r>
      <w:r w:rsidRPr="007C3B9D">
        <w:rPr>
          <w:lang w:val="en-AU"/>
        </w:rPr>
        <w:t xml:space="preserve">national level. Responses to the survey suggest a mixed picture, </w:t>
      </w:r>
      <w:r w:rsidR="00DC1242" w:rsidRPr="007C3B9D">
        <w:rPr>
          <w:lang w:val="en-AU"/>
        </w:rPr>
        <w:t xml:space="preserve">with </w:t>
      </w:r>
      <w:r w:rsidRPr="007C3B9D">
        <w:rPr>
          <w:lang w:val="en-AU"/>
        </w:rPr>
        <w:t>respondents recogn</w:t>
      </w:r>
      <w:r w:rsidR="008332B1" w:rsidRPr="007C3B9D">
        <w:rPr>
          <w:lang w:val="en-AU"/>
        </w:rPr>
        <w:t>is</w:t>
      </w:r>
      <w:r w:rsidRPr="007C3B9D">
        <w:rPr>
          <w:lang w:val="en-AU"/>
        </w:rPr>
        <w:t xml:space="preserve">ing the importance of skills and knowledge acquired through APSP activities, but less positive about the extent to which their institution supported them in applying the acquired skills. </w:t>
      </w:r>
    </w:p>
    <w:p w14:paraId="7043C931" w14:textId="77777777" w:rsidR="000E799F" w:rsidRPr="007C3B9D" w:rsidRDefault="000E799F" w:rsidP="00953443">
      <w:pPr>
        <w:spacing w:after="120" w:line="276" w:lineRule="auto"/>
        <w:jc w:val="center"/>
        <w:rPr>
          <w:lang w:val="en-AU"/>
        </w:rPr>
      </w:pPr>
      <w:r w:rsidRPr="007C3B9D">
        <w:rPr>
          <w:noProof/>
          <w:lang w:val="en-AU"/>
        </w:rPr>
        <w:drawing>
          <wp:inline distT="0" distB="0" distL="0" distR="0" wp14:anchorId="4B3DE19A" wp14:editId="7517B455">
            <wp:extent cx="5756910" cy="2155825"/>
            <wp:effectExtent l="0" t="0" r="0" b="3175"/>
            <wp:docPr id="2069042825" name="Grafik 1" descr="Pie chart showing to what extent do you use the knowledge, skills and other benefits that you obtained from the programme activity: Daily 8%, occasionally 36%, regularly 48%, Not at all 4%, Not applic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42825" name="Grafik 1" descr="Pie chart showing to what extent do you use the knowledge, skills and other benefits that you obtained from the programme activity: Daily 8%, occasionally 36%, regularly 48%, Not at all 4%, Not applicable 4%"/>
                    <pic:cNvPicPr/>
                  </pic:nvPicPr>
                  <pic:blipFill>
                    <a:blip r:embed="rId16"/>
                    <a:stretch>
                      <a:fillRect/>
                    </a:stretch>
                  </pic:blipFill>
                  <pic:spPr>
                    <a:xfrm>
                      <a:off x="0" y="0"/>
                      <a:ext cx="5756910" cy="2155825"/>
                    </a:xfrm>
                    <a:prstGeom prst="rect">
                      <a:avLst/>
                    </a:prstGeom>
                  </pic:spPr>
                </pic:pic>
              </a:graphicData>
            </a:graphic>
          </wp:inline>
        </w:drawing>
      </w:r>
    </w:p>
    <w:p w14:paraId="738A5881" w14:textId="522A8805" w:rsidR="000E799F" w:rsidRDefault="00DC1242" w:rsidP="00B81514">
      <w:pPr>
        <w:spacing w:after="120" w:line="276" w:lineRule="auto"/>
        <w:jc w:val="center"/>
        <w:rPr>
          <w:i/>
          <w:iCs/>
          <w:color w:val="0F4761" w:themeColor="accent1" w:themeShade="BF"/>
          <w:sz w:val="18"/>
          <w:szCs w:val="18"/>
          <w:lang w:val="en-AU"/>
        </w:rPr>
      </w:pPr>
      <w:r w:rsidRPr="00B81514">
        <w:rPr>
          <w:i/>
          <w:iCs/>
          <w:color w:val="0F4761" w:themeColor="accent1" w:themeShade="BF"/>
          <w:sz w:val="18"/>
          <w:szCs w:val="18"/>
          <w:lang w:val="en-AU"/>
        </w:rPr>
        <w:t>Fig</w:t>
      </w:r>
      <w:r w:rsidR="00FB6FC4" w:rsidRPr="00B81514">
        <w:rPr>
          <w:i/>
          <w:iCs/>
          <w:color w:val="0F4761" w:themeColor="accent1" w:themeShade="BF"/>
          <w:sz w:val="18"/>
          <w:szCs w:val="18"/>
          <w:lang w:val="en-AU"/>
        </w:rPr>
        <w:t>. 7: Survey results Question 12</w:t>
      </w:r>
    </w:p>
    <w:p w14:paraId="0EA1E04E" w14:textId="77777777" w:rsidR="00B81514" w:rsidRPr="00B81514" w:rsidRDefault="00B81514" w:rsidP="00B81514">
      <w:pPr>
        <w:spacing w:after="120" w:line="276" w:lineRule="auto"/>
        <w:jc w:val="center"/>
        <w:rPr>
          <w:i/>
          <w:iCs/>
          <w:color w:val="0F4761" w:themeColor="accent1" w:themeShade="BF"/>
          <w:sz w:val="18"/>
          <w:szCs w:val="18"/>
          <w:lang w:val="en-AU"/>
        </w:rPr>
      </w:pPr>
    </w:p>
    <w:p w14:paraId="1D7248DF" w14:textId="77777777" w:rsidR="000E799F" w:rsidRPr="007C3B9D" w:rsidRDefault="000E799F" w:rsidP="00953443">
      <w:pPr>
        <w:spacing w:after="120" w:line="276" w:lineRule="auto"/>
        <w:jc w:val="center"/>
        <w:rPr>
          <w:lang w:val="en-AU"/>
        </w:rPr>
      </w:pPr>
      <w:r w:rsidRPr="007C3B9D">
        <w:rPr>
          <w:noProof/>
          <w:lang w:val="en-AU"/>
        </w:rPr>
        <w:lastRenderedPageBreak/>
        <w:drawing>
          <wp:inline distT="0" distB="0" distL="0" distR="0" wp14:anchorId="6EE4C982" wp14:editId="358ADFF4">
            <wp:extent cx="6149501" cy="1411550"/>
            <wp:effectExtent l="0" t="0" r="0" b="0"/>
            <wp:docPr id="594117562" name="Grafik 1" descr="Pie chart showing to what extent have you received support from your institution to apply your knowledge (leadership support, discussion and collaboration, time, facilities, funding, personnel, equipment: Not at all 12%, Partially 20%, Minimally 32%, Fully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17562" name="Grafik 1" descr="Pie chart showing to what extent have you received support from your institution to apply your knowledge (leadership support, discussion and collaboration, time, facilities, funding, personnel, equipment: Not at all 12%, Partially 20%, Minimally 32%, Fully 36%"/>
                    <pic:cNvPicPr/>
                  </pic:nvPicPr>
                  <pic:blipFill>
                    <a:blip r:embed="rId17"/>
                    <a:stretch>
                      <a:fillRect/>
                    </a:stretch>
                  </pic:blipFill>
                  <pic:spPr>
                    <a:xfrm>
                      <a:off x="0" y="0"/>
                      <a:ext cx="6174156" cy="1417209"/>
                    </a:xfrm>
                    <a:prstGeom prst="rect">
                      <a:avLst/>
                    </a:prstGeom>
                  </pic:spPr>
                </pic:pic>
              </a:graphicData>
            </a:graphic>
          </wp:inline>
        </w:drawing>
      </w:r>
    </w:p>
    <w:p w14:paraId="15778A08" w14:textId="66C51036" w:rsidR="00FB6FC4" w:rsidRPr="00B81514" w:rsidRDefault="00FB6FC4" w:rsidP="00B81514">
      <w:pPr>
        <w:spacing w:after="120" w:line="276" w:lineRule="auto"/>
        <w:jc w:val="center"/>
        <w:rPr>
          <w:i/>
          <w:iCs/>
          <w:color w:val="0F4761" w:themeColor="accent1" w:themeShade="BF"/>
          <w:sz w:val="18"/>
          <w:szCs w:val="18"/>
          <w:lang w:val="en-AU"/>
        </w:rPr>
      </w:pPr>
      <w:r w:rsidRPr="00B81514">
        <w:rPr>
          <w:i/>
          <w:iCs/>
          <w:color w:val="0F4761" w:themeColor="accent1" w:themeShade="BF"/>
          <w:sz w:val="18"/>
          <w:szCs w:val="18"/>
          <w:lang w:val="en-AU"/>
        </w:rPr>
        <w:t xml:space="preserve">Fig. </w:t>
      </w:r>
      <w:r w:rsidR="00463661" w:rsidRPr="00B81514">
        <w:rPr>
          <w:i/>
          <w:iCs/>
          <w:color w:val="0F4761" w:themeColor="accent1" w:themeShade="BF"/>
          <w:sz w:val="18"/>
          <w:szCs w:val="18"/>
          <w:lang w:val="en-AU"/>
        </w:rPr>
        <w:t>8</w:t>
      </w:r>
      <w:r w:rsidRPr="00B81514">
        <w:rPr>
          <w:i/>
          <w:iCs/>
          <w:color w:val="0F4761" w:themeColor="accent1" w:themeShade="BF"/>
          <w:sz w:val="18"/>
          <w:szCs w:val="18"/>
          <w:lang w:val="en-AU"/>
        </w:rPr>
        <w:t>: Survey results Question 15</w:t>
      </w:r>
    </w:p>
    <w:p w14:paraId="44625E2A" w14:textId="21A9462E" w:rsidR="000E799F" w:rsidRPr="007C3B9D" w:rsidRDefault="000E799F" w:rsidP="00903D77">
      <w:pPr>
        <w:spacing w:after="120" w:line="276" w:lineRule="auto"/>
        <w:jc w:val="both"/>
        <w:rPr>
          <w:rFonts w:cs="Calibri"/>
          <w:lang w:val="en-AU"/>
        </w:rPr>
      </w:pPr>
      <w:r w:rsidRPr="007C3B9D">
        <w:rPr>
          <w:rFonts w:cs="Calibri"/>
          <w:lang w:val="en-AU"/>
        </w:rPr>
        <w:t>Emblematic comments by survey respondents in this respect include the following:</w:t>
      </w:r>
    </w:p>
    <w:p w14:paraId="0CC35238" w14:textId="77D7C3B2" w:rsidR="000E799F" w:rsidRPr="007C3B9D" w:rsidRDefault="00CA3723" w:rsidP="00953443">
      <w:pPr>
        <w:pStyle w:val="ListParagraph"/>
        <w:numPr>
          <w:ilvl w:val="0"/>
          <w:numId w:val="39"/>
        </w:numPr>
        <w:spacing w:after="0" w:line="276" w:lineRule="auto"/>
        <w:ind w:left="709"/>
        <w:contextualSpacing w:val="0"/>
        <w:jc w:val="both"/>
        <w:rPr>
          <w:rFonts w:cs="Calibri"/>
          <w:i/>
          <w:iCs/>
          <w:lang w:val="en-AU"/>
        </w:rPr>
      </w:pPr>
      <w:r w:rsidRPr="007C3B9D">
        <w:rPr>
          <w:rFonts w:cs="Calibri"/>
          <w:lang w:val="en-AU"/>
        </w:rPr>
        <w:t>‘</w:t>
      </w:r>
      <w:r w:rsidR="000E799F" w:rsidRPr="007C3B9D">
        <w:rPr>
          <w:rFonts w:cs="Calibri"/>
          <w:i/>
          <w:iCs/>
          <w:lang w:val="en-AU"/>
        </w:rPr>
        <w:t>I am currently taking the role of ADB policy officer in providing technical assistance for the Government of Timor-Leste to prepare its readiness to join all the ASEAN Economic Community pillars agreements defined under Timor-Leste Roadmap. In doing this, the knowledge and skills gained have benefited me in evaluating Timor-Leste post accession instruments related to maritime transport cooperation with ASEAN and I have also advised the maritime authority to understand about Timor Leste national Ocean policy document and the UNCLOS itself.</w:t>
      </w:r>
      <w:r w:rsidRPr="007C3B9D">
        <w:rPr>
          <w:rFonts w:cs="Calibri"/>
          <w:i/>
          <w:iCs/>
          <w:lang w:val="en-AU"/>
        </w:rPr>
        <w:t>’</w:t>
      </w:r>
      <w:r w:rsidR="000E799F" w:rsidRPr="007C3B9D">
        <w:rPr>
          <w:rFonts w:cs="Calibri"/>
          <w:i/>
          <w:iCs/>
          <w:lang w:val="en-AU"/>
        </w:rPr>
        <w:t> </w:t>
      </w:r>
    </w:p>
    <w:p w14:paraId="3C35E378" w14:textId="54975B0A" w:rsidR="000E799F" w:rsidRPr="007C3B9D" w:rsidRDefault="00CA3723" w:rsidP="00953443">
      <w:pPr>
        <w:pStyle w:val="ListParagraph"/>
        <w:numPr>
          <w:ilvl w:val="0"/>
          <w:numId w:val="39"/>
        </w:numPr>
        <w:spacing w:after="0" w:line="276" w:lineRule="auto"/>
        <w:ind w:left="709"/>
        <w:contextualSpacing w:val="0"/>
        <w:jc w:val="both"/>
        <w:rPr>
          <w:rFonts w:cs="Calibri"/>
          <w:lang w:val="en-AU"/>
        </w:rPr>
      </w:pPr>
      <w:r w:rsidRPr="007C3B9D">
        <w:rPr>
          <w:rFonts w:cs="Calibri"/>
          <w:lang w:val="en-AU"/>
        </w:rPr>
        <w:t>‘</w:t>
      </w:r>
      <w:r w:rsidR="000E799F" w:rsidRPr="007C3B9D">
        <w:rPr>
          <w:rFonts w:cs="Calibri"/>
          <w:i/>
          <w:iCs/>
          <w:lang w:val="en-AU"/>
        </w:rPr>
        <w:t>I will leverage the networking opportunities to strengthen collaborations with regional counterparts on countering disinformation and cybersecurity threats, crucial areas for regional stability. Finally, I will advocate for increased Philippine involvement in regional security mechanisms, ensuring our nation plays an active role in shaping collaborative solutions.</w:t>
      </w:r>
      <w:r w:rsidRPr="007C3B9D">
        <w:rPr>
          <w:rFonts w:cs="Calibri"/>
          <w:lang w:val="en-AU"/>
        </w:rPr>
        <w:t>’</w:t>
      </w:r>
    </w:p>
    <w:p w14:paraId="7395FE59" w14:textId="682FAE45" w:rsidR="000E799F" w:rsidRPr="007C3B9D" w:rsidRDefault="00CA3723" w:rsidP="00953443">
      <w:pPr>
        <w:pStyle w:val="ListParagraph"/>
        <w:numPr>
          <w:ilvl w:val="0"/>
          <w:numId w:val="39"/>
        </w:numPr>
        <w:spacing w:after="0" w:line="276" w:lineRule="auto"/>
        <w:ind w:left="709"/>
        <w:contextualSpacing w:val="0"/>
        <w:jc w:val="both"/>
        <w:rPr>
          <w:rFonts w:eastAsia="Times New Roman" w:cs="Calibri"/>
          <w:lang w:val="en-AU" w:bidi="he-IL"/>
        </w:rPr>
      </w:pPr>
      <w:r w:rsidRPr="007C3B9D">
        <w:rPr>
          <w:rFonts w:cs="Calibri"/>
          <w:lang w:val="en-AU"/>
        </w:rPr>
        <w:t>‘</w:t>
      </w:r>
      <w:r w:rsidR="000E799F" w:rsidRPr="007C3B9D">
        <w:rPr>
          <w:rFonts w:cs="Calibri"/>
          <w:i/>
          <w:iCs/>
          <w:lang w:val="en-AU"/>
        </w:rPr>
        <w:t>Internal barriers like bureaucratic processes and resource constraints, along with external challenges like the evolving regional security landscape, partially hinder the full util</w:t>
      </w:r>
      <w:r w:rsidR="008332B1" w:rsidRPr="007C3B9D">
        <w:rPr>
          <w:rFonts w:cs="Calibri"/>
          <w:i/>
          <w:iCs/>
          <w:lang w:val="en-AU"/>
        </w:rPr>
        <w:t>is</w:t>
      </w:r>
      <w:r w:rsidR="000E799F" w:rsidRPr="007C3B9D">
        <w:rPr>
          <w:rFonts w:cs="Calibri"/>
          <w:i/>
          <w:iCs/>
          <w:lang w:val="en-AU"/>
        </w:rPr>
        <w:t>ation of acquired knowledge and skills within my institution</w:t>
      </w:r>
      <w:r w:rsidR="000E799F" w:rsidRPr="007C3B9D">
        <w:rPr>
          <w:rFonts w:cs="Calibri"/>
          <w:lang w:val="en-AU"/>
        </w:rPr>
        <w:t>.</w:t>
      </w:r>
      <w:r w:rsidRPr="007C3B9D">
        <w:rPr>
          <w:rFonts w:cs="Calibri"/>
          <w:lang w:val="en-AU"/>
        </w:rPr>
        <w:t>’</w:t>
      </w:r>
    </w:p>
    <w:p w14:paraId="5C4B993C" w14:textId="4B2468BC" w:rsidR="000E799F" w:rsidRPr="007C3B9D" w:rsidRDefault="00FB6FC4" w:rsidP="00953443">
      <w:pPr>
        <w:pStyle w:val="ListParagraph"/>
        <w:numPr>
          <w:ilvl w:val="0"/>
          <w:numId w:val="39"/>
        </w:numPr>
        <w:spacing w:after="120" w:line="276" w:lineRule="auto"/>
        <w:ind w:left="709"/>
        <w:contextualSpacing w:val="0"/>
        <w:jc w:val="both"/>
        <w:rPr>
          <w:rFonts w:eastAsia="Times New Roman" w:cs="Calibri"/>
          <w:i/>
          <w:iCs/>
          <w:lang w:val="en-AU" w:bidi="he-IL"/>
        </w:rPr>
      </w:pPr>
      <w:r w:rsidRPr="007C3B9D">
        <w:rPr>
          <w:rFonts w:eastAsia="Times New Roman" w:cs="Calibri"/>
          <w:i/>
          <w:iCs/>
          <w:lang w:val="en-AU" w:bidi="he-IL"/>
        </w:rPr>
        <w:t>‘</w:t>
      </w:r>
      <w:r w:rsidR="000E799F" w:rsidRPr="007C3B9D">
        <w:rPr>
          <w:rFonts w:eastAsia="Times New Roman" w:cs="Calibri"/>
          <w:i/>
          <w:iCs/>
          <w:lang w:val="en-AU" w:bidi="he-IL"/>
        </w:rPr>
        <w:t>Our office has provided partial support in applying the knowledge gained. My boss encouraged my participation in the meeting and acknowledged its relevance to our work. I was granted time to attend and share my insights with colleagues. However, further support in terms of dedicated resources for implementing recommendations, such as funding for collaborative projects or personnel for special</w:t>
      </w:r>
      <w:r w:rsidR="008332B1" w:rsidRPr="007C3B9D">
        <w:rPr>
          <w:rFonts w:eastAsia="Times New Roman" w:cs="Calibri"/>
          <w:i/>
          <w:iCs/>
          <w:lang w:val="en-AU" w:bidi="he-IL"/>
        </w:rPr>
        <w:t>is</w:t>
      </w:r>
      <w:r w:rsidR="000E799F" w:rsidRPr="007C3B9D">
        <w:rPr>
          <w:rFonts w:eastAsia="Times New Roman" w:cs="Calibri"/>
          <w:i/>
          <w:iCs/>
          <w:lang w:val="en-AU" w:bidi="he-IL"/>
        </w:rPr>
        <w:t>ed tasks, would be beneficial for maxim</w:t>
      </w:r>
      <w:r w:rsidR="008332B1" w:rsidRPr="007C3B9D">
        <w:rPr>
          <w:rFonts w:eastAsia="Times New Roman" w:cs="Calibri"/>
          <w:i/>
          <w:iCs/>
          <w:lang w:val="en-AU" w:bidi="he-IL"/>
        </w:rPr>
        <w:t>is</w:t>
      </w:r>
      <w:r w:rsidR="000E799F" w:rsidRPr="007C3B9D">
        <w:rPr>
          <w:rFonts w:eastAsia="Times New Roman" w:cs="Calibri"/>
          <w:i/>
          <w:iCs/>
          <w:lang w:val="en-AU" w:bidi="he-IL"/>
        </w:rPr>
        <w:t>ing the impact of the knowledge gained.</w:t>
      </w:r>
      <w:r w:rsidRPr="007C3B9D">
        <w:rPr>
          <w:rFonts w:eastAsia="Times New Roman" w:cs="Calibri"/>
          <w:i/>
          <w:iCs/>
          <w:lang w:val="en-AU" w:bidi="he-IL"/>
        </w:rPr>
        <w:t>’</w:t>
      </w:r>
    </w:p>
    <w:p w14:paraId="22E34620" w14:textId="77777777" w:rsidR="000E799F" w:rsidRPr="007C3B9D" w:rsidRDefault="000E799F" w:rsidP="00903D77">
      <w:pPr>
        <w:spacing w:after="120" w:line="276" w:lineRule="auto"/>
        <w:jc w:val="both"/>
        <w:rPr>
          <w:rFonts w:cs="Calibri"/>
          <w:lang w:val="en-AU"/>
        </w:rPr>
      </w:pPr>
      <w:r w:rsidRPr="007C3B9D">
        <w:rPr>
          <w:rFonts w:cs="Calibri"/>
          <w:lang w:val="en-AU"/>
        </w:rPr>
        <w:t>As a more institutional level, the key factors that interviewees and reports have highlighted as driving APSP sustainability are the following:</w:t>
      </w:r>
    </w:p>
    <w:p w14:paraId="1FDF6D9E" w14:textId="77777777" w:rsidR="00FB6FC4" w:rsidRPr="007C3B9D" w:rsidRDefault="000E799F" w:rsidP="00953443">
      <w:pPr>
        <w:pStyle w:val="ListParagraph"/>
        <w:numPr>
          <w:ilvl w:val="0"/>
          <w:numId w:val="40"/>
        </w:numPr>
        <w:spacing w:after="0" w:line="276" w:lineRule="auto"/>
        <w:contextualSpacing w:val="0"/>
        <w:jc w:val="both"/>
        <w:rPr>
          <w:rFonts w:cs="Calibri"/>
          <w:lang w:val="en-AU"/>
        </w:rPr>
      </w:pPr>
      <w:r w:rsidRPr="007C3B9D">
        <w:rPr>
          <w:rFonts w:cs="Calibri"/>
          <w:lang w:val="en-AU"/>
        </w:rPr>
        <w:t>APSP is demand-driven. This means that activities implemented under APSP must receive the prior endorsement of ASEC, which itself requires consultations with Member States (as well as sectoral committees, lead shepherds and other relevant entities). The demand-driven nature of the program helps ensures the smooth implementation of activities and helps participants disseminate lessons learned in their respective country and institution.</w:t>
      </w:r>
    </w:p>
    <w:p w14:paraId="197BD353" w14:textId="4B097F40" w:rsidR="000E799F" w:rsidRPr="007C3B9D" w:rsidRDefault="000E799F" w:rsidP="00953443">
      <w:pPr>
        <w:pStyle w:val="ListParagraph"/>
        <w:spacing w:after="0" w:line="276" w:lineRule="auto"/>
        <w:contextualSpacing w:val="0"/>
        <w:jc w:val="both"/>
        <w:rPr>
          <w:rFonts w:cs="Calibri"/>
          <w:lang w:val="en-AU"/>
        </w:rPr>
      </w:pPr>
      <w:r w:rsidRPr="007C3B9D">
        <w:rPr>
          <w:rFonts w:cs="Calibri"/>
          <w:lang w:val="en-AU"/>
        </w:rPr>
        <w:t xml:space="preserve">It is important not to underestimate the complexities that hide behind the </w:t>
      </w:r>
      <w:r w:rsidR="00CA3723" w:rsidRPr="007C3B9D">
        <w:rPr>
          <w:rFonts w:cs="Calibri"/>
          <w:lang w:val="en-AU"/>
        </w:rPr>
        <w:t>‘</w:t>
      </w:r>
      <w:r w:rsidRPr="007C3B9D">
        <w:rPr>
          <w:rFonts w:cs="Calibri"/>
          <w:lang w:val="en-AU"/>
        </w:rPr>
        <w:t>demand-driven</w:t>
      </w:r>
      <w:r w:rsidR="00CA3723" w:rsidRPr="007C3B9D">
        <w:rPr>
          <w:rFonts w:cs="Calibri"/>
          <w:lang w:val="en-AU"/>
        </w:rPr>
        <w:t>’</w:t>
      </w:r>
      <w:r w:rsidRPr="007C3B9D">
        <w:rPr>
          <w:rFonts w:cs="Calibri"/>
          <w:lang w:val="en-AU"/>
        </w:rPr>
        <w:t xml:space="preserve"> adjective. One requirement is that each proposed activity be supported at the outset by a relevant ASEAN constituency such as a sectoral committee chair, a relevant Member State or ASEC Division, etc. (see process outline </w:t>
      </w:r>
      <w:r w:rsidR="00FB6FC4" w:rsidRPr="007C3B9D">
        <w:rPr>
          <w:rFonts w:cs="Calibri"/>
          <w:lang w:val="en-AU"/>
        </w:rPr>
        <w:t>at</w:t>
      </w:r>
      <w:r w:rsidRPr="007C3B9D">
        <w:rPr>
          <w:rFonts w:cs="Calibri"/>
          <w:lang w:val="en-AU"/>
        </w:rPr>
        <w:t xml:space="preserve"> </w:t>
      </w:r>
      <w:r w:rsidRPr="007C3B9D">
        <w:rPr>
          <w:rFonts w:cs="Calibri"/>
          <w:i/>
          <w:iCs/>
          <w:lang w:val="en-AU"/>
        </w:rPr>
        <w:t>Efficiency</w:t>
      </w:r>
      <w:r w:rsidRPr="007C3B9D">
        <w:rPr>
          <w:rFonts w:cs="Calibri"/>
          <w:lang w:val="en-AU"/>
        </w:rPr>
        <w:t xml:space="preserve"> above). A diplomatic engagement by the Australian Mission may also be required to facilitate the process. Once agreed in principle, the specific contents of an activity </w:t>
      </w:r>
      <w:r w:rsidR="00FB6FC4" w:rsidRPr="007C3B9D">
        <w:rPr>
          <w:rFonts w:cs="Calibri"/>
          <w:lang w:val="en-AU"/>
        </w:rPr>
        <w:t>are</w:t>
      </w:r>
      <w:r w:rsidRPr="007C3B9D">
        <w:rPr>
          <w:rFonts w:cs="Calibri"/>
          <w:lang w:val="en-AU"/>
        </w:rPr>
        <w:t xml:space="preserve"> discussed between APSP and the ASEAN co-proponent – TAF’s organ</w:t>
      </w:r>
      <w:r w:rsidR="008332B1" w:rsidRPr="007C3B9D">
        <w:rPr>
          <w:rFonts w:cs="Calibri"/>
          <w:lang w:val="en-AU"/>
        </w:rPr>
        <w:t>is</w:t>
      </w:r>
      <w:r w:rsidRPr="007C3B9D">
        <w:rPr>
          <w:rFonts w:cs="Calibri"/>
          <w:lang w:val="en-AU"/>
        </w:rPr>
        <w:t xml:space="preserve">ational skills and its knowledge of ASEAN processes are important factors for </w:t>
      </w:r>
      <w:r w:rsidRPr="007C3B9D">
        <w:rPr>
          <w:rFonts w:cs="Calibri"/>
          <w:lang w:val="en-AU"/>
        </w:rPr>
        <w:lastRenderedPageBreak/>
        <w:t>the success of this design stage. The design stage is also the time when gender and other inclusion issues are considered, relevant experts contacted, and studies carried out if required to support the activity. Consultations between ASEC and Member States also occur during that period, leading up to the formal endorsement of the activity by ASEAN.</w:t>
      </w:r>
    </w:p>
    <w:p w14:paraId="0B58330E" w14:textId="77777777" w:rsidR="000E799F" w:rsidRPr="007C3B9D" w:rsidRDefault="000E799F" w:rsidP="00903D77">
      <w:pPr>
        <w:pStyle w:val="ListParagraph"/>
        <w:numPr>
          <w:ilvl w:val="0"/>
          <w:numId w:val="40"/>
        </w:numPr>
        <w:spacing w:after="120" w:line="276" w:lineRule="auto"/>
        <w:contextualSpacing w:val="0"/>
        <w:jc w:val="both"/>
        <w:rPr>
          <w:rFonts w:cs="Calibri"/>
          <w:lang w:val="en-AU"/>
        </w:rPr>
      </w:pPr>
      <w:r w:rsidRPr="007C3B9D">
        <w:rPr>
          <w:rFonts w:cs="Calibri"/>
          <w:lang w:val="en-AU"/>
        </w:rPr>
        <w:t>APSP addresses specific areas of common ASEAN and Australian interest, and its approach is consistent with ASEAN strategies and action plans. A proposed activity must fall within the four APSP pillars, which bound the ASEAN-Australia political security partnership. Within those bounds, however, it is the role of the political/diplomatic dialogue between ASEAN and Australia to identify specific activities. This is typically done by matching a proposed activity with an existing policy agenda, action plan or political priority at ASEAN level. An additional consideration – key for sustainability – is that the activity brings clear added value to ASEAN, for example by enhancing knowledge, strengthening intra-ASEAN linkages, etc.</w:t>
      </w:r>
    </w:p>
    <w:p w14:paraId="749912BE" w14:textId="6A302C63" w:rsidR="00450DA7" w:rsidRPr="007C3B9D" w:rsidRDefault="00450DA7" w:rsidP="00903D77">
      <w:pPr>
        <w:spacing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 xml:space="preserve">JC5.2 DFAT and other Australian government departments </w:t>
      </w:r>
      <w:proofErr w:type="gramStart"/>
      <w:r w:rsidRPr="007C3B9D">
        <w:rPr>
          <w:rFonts w:cstheme="minorHAnsi"/>
          <w:i/>
          <w:iCs/>
          <w:color w:val="0F4761" w:themeColor="accent1" w:themeShade="BF"/>
          <w:lang w:val="en-AU"/>
        </w:rPr>
        <w:t>are able to</w:t>
      </w:r>
      <w:proofErr w:type="gramEnd"/>
      <w:r w:rsidRPr="007C3B9D">
        <w:rPr>
          <w:rFonts w:cstheme="minorHAnsi"/>
          <w:i/>
          <w:iCs/>
          <w:color w:val="0F4761" w:themeColor="accent1" w:themeShade="BF"/>
          <w:lang w:val="en-AU"/>
        </w:rPr>
        <w:t xml:space="preserve"> build on partnerships and collaborations initiated under the program.</w:t>
      </w:r>
    </w:p>
    <w:p w14:paraId="2E6F26B4" w14:textId="3F5DC0BA" w:rsidR="000E799F" w:rsidRPr="007C3B9D" w:rsidRDefault="000E799F" w:rsidP="00903D77">
      <w:pPr>
        <w:spacing w:after="120" w:line="276" w:lineRule="auto"/>
        <w:jc w:val="both"/>
        <w:rPr>
          <w:lang w:val="en-AU"/>
        </w:rPr>
      </w:pPr>
      <w:r w:rsidRPr="007C3B9D">
        <w:rPr>
          <w:lang w:val="en-AU"/>
        </w:rPr>
        <w:t xml:space="preserve">There is clear evidence from interviews with ASEC officials that trust has been built with Australia: several officials have noted that Australia </w:t>
      </w:r>
      <w:r w:rsidR="00CA3723" w:rsidRPr="007C3B9D">
        <w:rPr>
          <w:lang w:val="en-AU"/>
        </w:rPr>
        <w:t>‘</w:t>
      </w:r>
      <w:r w:rsidRPr="007C3B9D">
        <w:rPr>
          <w:lang w:val="en-AU"/>
        </w:rPr>
        <w:t>listens</w:t>
      </w:r>
      <w:r w:rsidR="00CA3723" w:rsidRPr="007C3B9D">
        <w:rPr>
          <w:lang w:val="en-AU"/>
        </w:rPr>
        <w:t>’</w:t>
      </w:r>
      <w:r w:rsidRPr="007C3B9D">
        <w:rPr>
          <w:lang w:val="en-AU"/>
        </w:rPr>
        <w:t xml:space="preserve"> to ASEAN, does not seek to </w:t>
      </w:r>
      <w:r w:rsidR="00CA3723" w:rsidRPr="007C3B9D">
        <w:rPr>
          <w:lang w:val="en-AU"/>
        </w:rPr>
        <w:t>‘</w:t>
      </w:r>
      <w:r w:rsidRPr="007C3B9D">
        <w:rPr>
          <w:lang w:val="en-AU"/>
        </w:rPr>
        <w:t>impose</w:t>
      </w:r>
      <w:r w:rsidR="00CA3723" w:rsidRPr="007C3B9D">
        <w:rPr>
          <w:lang w:val="en-AU"/>
        </w:rPr>
        <w:t>’</w:t>
      </w:r>
      <w:r w:rsidRPr="007C3B9D">
        <w:rPr>
          <w:lang w:val="en-AU"/>
        </w:rPr>
        <w:t xml:space="preserve"> its agenda, and </w:t>
      </w:r>
      <w:r w:rsidR="00CA3723" w:rsidRPr="007C3B9D">
        <w:rPr>
          <w:lang w:val="en-AU"/>
        </w:rPr>
        <w:t>‘</w:t>
      </w:r>
      <w:r w:rsidRPr="007C3B9D">
        <w:rPr>
          <w:lang w:val="en-AU"/>
        </w:rPr>
        <w:t>understands</w:t>
      </w:r>
      <w:r w:rsidR="00CA3723" w:rsidRPr="007C3B9D">
        <w:rPr>
          <w:lang w:val="en-AU"/>
        </w:rPr>
        <w:t>’</w:t>
      </w:r>
      <w:r w:rsidRPr="007C3B9D">
        <w:rPr>
          <w:lang w:val="en-AU"/>
        </w:rPr>
        <w:t xml:space="preserve"> how ASEAN works. The role played by TAF behind the scenes as an organ</w:t>
      </w:r>
      <w:r w:rsidR="008332B1" w:rsidRPr="007C3B9D">
        <w:rPr>
          <w:lang w:val="en-AU"/>
        </w:rPr>
        <w:t>is</w:t>
      </w:r>
      <w:r w:rsidRPr="007C3B9D">
        <w:rPr>
          <w:lang w:val="en-AU"/>
        </w:rPr>
        <w:t>er is also recogn</w:t>
      </w:r>
      <w:r w:rsidR="008332B1" w:rsidRPr="007C3B9D">
        <w:rPr>
          <w:lang w:val="en-AU"/>
        </w:rPr>
        <w:t>is</w:t>
      </w:r>
      <w:r w:rsidRPr="007C3B9D">
        <w:rPr>
          <w:lang w:val="en-AU"/>
        </w:rPr>
        <w:t>ed, if implicit.</w:t>
      </w:r>
    </w:p>
    <w:p w14:paraId="2E21045A" w14:textId="03440E14" w:rsidR="005B641D" w:rsidRPr="007C3B9D" w:rsidRDefault="000E799F" w:rsidP="00903D77">
      <w:pPr>
        <w:spacing w:after="120" w:line="276" w:lineRule="auto"/>
        <w:jc w:val="both"/>
        <w:rPr>
          <w:lang w:val="en-AU"/>
        </w:rPr>
      </w:pPr>
      <w:r w:rsidRPr="007C3B9D">
        <w:rPr>
          <w:lang w:val="en-AU"/>
        </w:rPr>
        <w:t>The relationship built between Australia and ASEC through APSP appears to contribute to Australia’s positive image among officials interviewed. The hope that APSP continues has been expressed virtually unanimously by interviewees, who each appear to see its added value in their own domain. It therefore appears that APSP has laid the groundwork for the development and maintenance of a trusting relationship between ASEC and Australia.</w:t>
      </w:r>
    </w:p>
    <w:p w14:paraId="6777B6E8" w14:textId="70D7047F" w:rsidR="00450DA7" w:rsidRPr="007C3B9D" w:rsidRDefault="000E799F" w:rsidP="00903D77">
      <w:pPr>
        <w:spacing w:after="120" w:line="276" w:lineRule="auto"/>
        <w:jc w:val="both"/>
        <w:rPr>
          <w:lang w:val="en-AU"/>
        </w:rPr>
      </w:pPr>
      <w:r w:rsidRPr="007C3B9D">
        <w:rPr>
          <w:lang w:val="en-AU"/>
        </w:rPr>
        <w:t xml:space="preserve">It is important to note that institutional capacity building is a long-term </w:t>
      </w:r>
      <w:r w:rsidR="001E1ABB" w:rsidRPr="007C3B9D">
        <w:rPr>
          <w:lang w:val="en-AU"/>
        </w:rPr>
        <w:t>endeavour</w:t>
      </w:r>
      <w:r w:rsidRPr="007C3B9D">
        <w:rPr>
          <w:lang w:val="en-AU"/>
        </w:rPr>
        <w:t xml:space="preserve"> and that APSP, though technically a five-year program, only operated at scale since 2021</w:t>
      </w:r>
      <w:r w:rsidR="001E1ABB" w:rsidRPr="007C3B9D">
        <w:rPr>
          <w:lang w:val="en-AU"/>
        </w:rPr>
        <w:t xml:space="preserve">, </w:t>
      </w:r>
      <w:r w:rsidRPr="007C3B9D">
        <w:rPr>
          <w:lang w:val="en-AU"/>
        </w:rPr>
        <w:t xml:space="preserve">due to the pandemic: four years is a relatively short time in institutional capacity building terms. Nevertheless, the consultation processes initiated under APSP are now trusted within ASEC, and there is evidence from interviews that ASEC officials see benefits in perpetuating this partnership. The Australian Mission too has gained experience on which it can build to strengthen the partnership between ASEAN and Australia. It should also be noted that, while many other countries and groupings (such as the EU) have relationships with ASEAN in fields related to political security, APSP is the only long-term program embracing the four pillars. This unique character may not be </w:t>
      </w:r>
      <w:r w:rsidRPr="007C3B9D">
        <w:rPr>
          <w:i/>
          <w:iCs/>
          <w:lang w:val="en-AU"/>
        </w:rPr>
        <w:t>per se</w:t>
      </w:r>
      <w:r w:rsidRPr="007C3B9D">
        <w:rPr>
          <w:lang w:val="en-AU"/>
        </w:rPr>
        <w:t xml:space="preserve"> an element of sustainability, but its loss – should APSP not go through a new phase – would most likely be felt; there is no obvious alternative partner able to fulfil the Australia’s role.</w:t>
      </w:r>
    </w:p>
    <w:p w14:paraId="7DC5F301" w14:textId="568920F4" w:rsidR="00450DA7" w:rsidRPr="007C3B9D" w:rsidRDefault="00450DA7" w:rsidP="00446279">
      <w:pPr>
        <w:pStyle w:val="Heading2"/>
      </w:pPr>
      <w:bookmarkStart w:id="18" w:name="_Toc206492268"/>
      <w:r w:rsidRPr="007C3B9D">
        <w:t>Impact</w:t>
      </w:r>
      <w:bookmarkEnd w:id="18"/>
    </w:p>
    <w:p w14:paraId="2C216EB4" w14:textId="77777777" w:rsidR="00450DA7" w:rsidRPr="007C3B9D" w:rsidRDefault="00450DA7" w:rsidP="00903D77">
      <w:pPr>
        <w:spacing w:after="120" w:line="276" w:lineRule="auto"/>
        <w:jc w:val="both"/>
        <w:rPr>
          <w:lang w:val="en-AU"/>
        </w:rPr>
      </w:pPr>
      <w:r w:rsidRPr="007C3B9D">
        <w:rPr>
          <w:rFonts w:cstheme="minorHAnsi"/>
          <w:b/>
          <w:bCs/>
          <w:i/>
          <w:iCs/>
          <w:color w:val="0F4761" w:themeColor="accent1" w:themeShade="BF"/>
          <w:lang w:val="en-AU"/>
        </w:rPr>
        <w:t>EQ6 – What is the overall contribution of the program on regional political stability and security, as well as in promoting trust and collaboration in ASEAN?</w:t>
      </w:r>
    </w:p>
    <w:p w14:paraId="19A0ACD6" w14:textId="77777777" w:rsidR="00450DA7" w:rsidRPr="007C3B9D" w:rsidRDefault="00450DA7" w:rsidP="00903D77">
      <w:pPr>
        <w:spacing w:after="120" w:line="276" w:lineRule="auto"/>
        <w:jc w:val="both"/>
        <w:rPr>
          <w:i/>
          <w:iCs/>
          <w:color w:val="0F4761" w:themeColor="accent1" w:themeShade="BF"/>
          <w:lang w:val="en-AU"/>
        </w:rPr>
      </w:pPr>
      <w:r w:rsidRPr="007C3B9D">
        <w:rPr>
          <w:rFonts w:cstheme="minorHAnsi"/>
          <w:i/>
          <w:iCs/>
          <w:color w:val="0F4761" w:themeColor="accent1" w:themeShade="BF"/>
          <w:lang w:val="en-AU"/>
        </w:rPr>
        <w:t>JC6.1 Stakeholders within Australia, ASEAN and their regional partners identify actual or changes that the program is contributing to or otherwise encouraging.</w:t>
      </w:r>
    </w:p>
    <w:p w14:paraId="1B37A867" w14:textId="77777777" w:rsidR="000E799F" w:rsidRPr="007C3B9D" w:rsidRDefault="000E799F" w:rsidP="00903D77">
      <w:pPr>
        <w:spacing w:after="120" w:line="276" w:lineRule="auto"/>
        <w:jc w:val="both"/>
        <w:rPr>
          <w:lang w:val="en-AU"/>
        </w:rPr>
      </w:pPr>
      <w:r w:rsidRPr="007C3B9D">
        <w:rPr>
          <w:lang w:val="en-AU"/>
        </w:rPr>
        <w:t xml:space="preserve">Impact may be understood in broad terms as effects (changes) to which the program contributes through the achievement of its outcomes. When it comes to the regional political security environment, it is impossible to expect a partnership program to directly influence powerful </w:t>
      </w:r>
      <w:r w:rsidRPr="007C3B9D">
        <w:rPr>
          <w:lang w:val="en-AU"/>
        </w:rPr>
        <w:lastRenderedPageBreak/>
        <w:t xml:space="preserve">geopolitical trends. However, some </w:t>
      </w:r>
      <w:r w:rsidRPr="007C3B9D">
        <w:rPr>
          <w:i/>
          <w:iCs/>
          <w:lang w:val="en-AU"/>
        </w:rPr>
        <w:t>elements of impact</w:t>
      </w:r>
      <w:r w:rsidRPr="007C3B9D">
        <w:rPr>
          <w:lang w:val="en-AU"/>
        </w:rPr>
        <w:t xml:space="preserve"> may be identified, which stakeholders themselves attribute in part to the program. These include the following:</w:t>
      </w:r>
    </w:p>
    <w:p w14:paraId="41443250" w14:textId="77777777" w:rsidR="000E799F" w:rsidRPr="007C3B9D" w:rsidRDefault="000E799F" w:rsidP="00953443">
      <w:pPr>
        <w:pStyle w:val="ListParagraph"/>
        <w:numPr>
          <w:ilvl w:val="0"/>
          <w:numId w:val="41"/>
        </w:numPr>
        <w:spacing w:after="0" w:line="276" w:lineRule="auto"/>
        <w:contextualSpacing w:val="0"/>
        <w:jc w:val="both"/>
        <w:rPr>
          <w:i/>
          <w:iCs/>
          <w:lang w:val="en-AU"/>
        </w:rPr>
      </w:pPr>
      <w:r w:rsidRPr="007C3B9D">
        <w:rPr>
          <w:lang w:val="en-AU"/>
        </w:rPr>
        <w:t>Strengthening ownership and effectiveness of existing policy instruments. Several interviewees and survey respondents noted that activities such as training sessions on UNCLOS, cybercrime, or integration of the WPS agenda into policy, have contributed to national policy reviews and helped networking among ASEAN officials.</w:t>
      </w:r>
    </w:p>
    <w:p w14:paraId="704AF80F" w14:textId="5A2CA10C" w:rsidR="000E799F" w:rsidRPr="007C3B9D" w:rsidRDefault="000E799F" w:rsidP="00953443">
      <w:pPr>
        <w:pStyle w:val="ListParagraph"/>
        <w:numPr>
          <w:ilvl w:val="0"/>
          <w:numId w:val="41"/>
        </w:numPr>
        <w:spacing w:after="0" w:line="276" w:lineRule="auto"/>
        <w:contextualSpacing w:val="0"/>
        <w:jc w:val="both"/>
        <w:rPr>
          <w:i/>
          <w:iCs/>
          <w:lang w:val="en-AU"/>
        </w:rPr>
      </w:pPr>
      <w:r w:rsidRPr="007C3B9D">
        <w:rPr>
          <w:lang w:val="en-AU"/>
        </w:rPr>
        <w:t>APSP activities on cybersecurity and transnational organ</w:t>
      </w:r>
      <w:r w:rsidR="008332B1" w:rsidRPr="007C3B9D">
        <w:rPr>
          <w:lang w:val="en-AU"/>
        </w:rPr>
        <w:t>is</w:t>
      </w:r>
      <w:r w:rsidRPr="007C3B9D">
        <w:rPr>
          <w:lang w:val="en-AU"/>
        </w:rPr>
        <w:t>ed crime are also said by some interviewees to contribute to developing coordination and cooperation among law enforcement officials across the ASEAN region. CSO representatives have also noted that APSP helps them open avenue of cooperation with law enforcement agencies on issues such as child protection and human trafficking.</w:t>
      </w:r>
    </w:p>
    <w:p w14:paraId="071B3EDB" w14:textId="7EB521DF" w:rsidR="000E799F" w:rsidRPr="007C3B9D" w:rsidRDefault="000E799F" w:rsidP="00903D77">
      <w:pPr>
        <w:pStyle w:val="ListParagraph"/>
        <w:numPr>
          <w:ilvl w:val="0"/>
          <w:numId w:val="41"/>
        </w:numPr>
        <w:spacing w:after="120" w:line="276" w:lineRule="auto"/>
        <w:contextualSpacing w:val="0"/>
        <w:jc w:val="both"/>
        <w:rPr>
          <w:i/>
          <w:iCs/>
          <w:lang w:val="en-AU"/>
        </w:rPr>
      </w:pPr>
      <w:r w:rsidRPr="007C3B9D">
        <w:rPr>
          <w:lang w:val="en-AU"/>
        </w:rPr>
        <w:t>The program also appears to be changing participants’ perceptions about the WPS agenda by highlighting the potential for linkages with strategies on maritime security and transnational organ</w:t>
      </w:r>
      <w:r w:rsidR="008332B1" w:rsidRPr="007C3B9D">
        <w:rPr>
          <w:lang w:val="en-AU"/>
        </w:rPr>
        <w:t>is</w:t>
      </w:r>
      <w:r w:rsidRPr="007C3B9D">
        <w:rPr>
          <w:lang w:val="en-AU"/>
        </w:rPr>
        <w:t xml:space="preserve">ed crime. </w:t>
      </w:r>
    </w:p>
    <w:p w14:paraId="2D90C030" w14:textId="77777777" w:rsidR="000E799F" w:rsidRPr="007C3B9D" w:rsidRDefault="000E799F" w:rsidP="008059F0">
      <w:pPr>
        <w:spacing w:after="360" w:line="276" w:lineRule="auto"/>
        <w:jc w:val="center"/>
        <w:rPr>
          <w:lang w:val="en-AU"/>
        </w:rPr>
      </w:pPr>
      <w:r w:rsidRPr="007C3B9D">
        <w:rPr>
          <w:noProof/>
          <w:lang w:val="en-AU"/>
        </w:rPr>
        <w:drawing>
          <wp:inline distT="0" distB="0" distL="0" distR="0" wp14:anchorId="0665EA93" wp14:editId="18BEF2FA">
            <wp:extent cx="5756910" cy="2136775"/>
            <wp:effectExtent l="0" t="0" r="0" b="0"/>
            <wp:docPr id="667381749" name="Grafik 1" descr="Pie chart showing to what extent the programme activity contributed to changing your own or your institution's policies and practices: Contributed satisfactorily 12%, Contributed significantly 16%, Not at all 28%, Contributed somewhat 40%, Not applic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81749" name="Grafik 1" descr="Pie chart showing to what extent the programme activity contributed to changing your own or your institution's policies and practices: Contributed satisfactorily 12%, Contributed significantly 16%, Not at all 28%, Contributed somewhat 40%, Not applicable 4%"/>
                    <pic:cNvPicPr/>
                  </pic:nvPicPr>
                  <pic:blipFill>
                    <a:blip r:embed="rId18"/>
                    <a:stretch>
                      <a:fillRect/>
                    </a:stretch>
                  </pic:blipFill>
                  <pic:spPr>
                    <a:xfrm>
                      <a:off x="0" y="0"/>
                      <a:ext cx="5756910" cy="2136775"/>
                    </a:xfrm>
                    <a:prstGeom prst="rect">
                      <a:avLst/>
                    </a:prstGeom>
                  </pic:spPr>
                </pic:pic>
              </a:graphicData>
            </a:graphic>
          </wp:inline>
        </w:drawing>
      </w:r>
    </w:p>
    <w:p w14:paraId="1C749554" w14:textId="27DA4842" w:rsidR="00463661" w:rsidRPr="00953443" w:rsidRDefault="00463661" w:rsidP="00953443">
      <w:pPr>
        <w:spacing w:after="120" w:line="276" w:lineRule="auto"/>
        <w:jc w:val="center"/>
        <w:rPr>
          <w:i/>
          <w:iCs/>
          <w:color w:val="0F4761" w:themeColor="accent1" w:themeShade="BF"/>
          <w:sz w:val="18"/>
          <w:szCs w:val="18"/>
          <w:lang w:val="en-AU"/>
        </w:rPr>
      </w:pPr>
      <w:r w:rsidRPr="00953443">
        <w:rPr>
          <w:i/>
          <w:iCs/>
          <w:color w:val="0F4761" w:themeColor="accent1" w:themeShade="BF"/>
          <w:sz w:val="18"/>
          <w:szCs w:val="18"/>
          <w:lang w:val="en-AU"/>
        </w:rPr>
        <w:t>Fig. 9: Survey results Question 16</w:t>
      </w:r>
    </w:p>
    <w:p w14:paraId="4C5497E6" w14:textId="28D91239" w:rsidR="000E799F" w:rsidRPr="007C3B9D" w:rsidRDefault="000E799F" w:rsidP="00953443">
      <w:pPr>
        <w:spacing w:after="120" w:line="276" w:lineRule="auto"/>
        <w:jc w:val="center"/>
        <w:rPr>
          <w:lang w:val="en-AU"/>
        </w:rPr>
      </w:pPr>
      <w:r w:rsidRPr="007C3B9D">
        <w:rPr>
          <w:noProof/>
          <w:lang w:val="en-AU"/>
        </w:rPr>
        <w:drawing>
          <wp:inline distT="0" distB="0" distL="0" distR="0" wp14:anchorId="79F7E0D8" wp14:editId="379B34A0">
            <wp:extent cx="5756910" cy="1442720"/>
            <wp:effectExtent l="0" t="0" r="0" b="5080"/>
            <wp:docPr id="148919718" name="Grafik 1" descr="Pie chart showing in your opinion, to what extent has the programme activity contributed to strengthening political security in the ASEAN region, and increasing mutual understanding and trust: Contributed significantly 16%, Contributed somewhat 28%, Contributed satisfactorily 52%, Not at all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9718" name="Grafik 1" descr="Pie chart showing in your opinion, to what extent has the programme activity contributed to strengthening political security in the ASEAN region, and increasing mutual understanding and trust: Contributed significantly 16%, Contributed somewhat 28%, Contributed satisfactorily 52%, Not at all 4%. "/>
                    <pic:cNvPicPr/>
                  </pic:nvPicPr>
                  <pic:blipFill>
                    <a:blip r:embed="rId19"/>
                    <a:stretch>
                      <a:fillRect/>
                    </a:stretch>
                  </pic:blipFill>
                  <pic:spPr>
                    <a:xfrm>
                      <a:off x="0" y="0"/>
                      <a:ext cx="5756910" cy="1442720"/>
                    </a:xfrm>
                    <a:prstGeom prst="rect">
                      <a:avLst/>
                    </a:prstGeom>
                  </pic:spPr>
                </pic:pic>
              </a:graphicData>
            </a:graphic>
          </wp:inline>
        </w:drawing>
      </w:r>
    </w:p>
    <w:p w14:paraId="7C12DE9E" w14:textId="20605184" w:rsidR="00463661" w:rsidRPr="00953443" w:rsidRDefault="00463661" w:rsidP="00953443">
      <w:pPr>
        <w:spacing w:after="120" w:line="276" w:lineRule="auto"/>
        <w:jc w:val="center"/>
        <w:rPr>
          <w:i/>
          <w:iCs/>
          <w:color w:val="0F4761" w:themeColor="accent1" w:themeShade="BF"/>
          <w:sz w:val="18"/>
          <w:szCs w:val="18"/>
          <w:lang w:val="en-AU"/>
        </w:rPr>
      </w:pPr>
      <w:r w:rsidRPr="00953443">
        <w:rPr>
          <w:i/>
          <w:iCs/>
          <w:color w:val="0F4761" w:themeColor="accent1" w:themeShade="BF"/>
          <w:sz w:val="18"/>
          <w:szCs w:val="18"/>
          <w:lang w:val="en-AU"/>
        </w:rPr>
        <w:t>Fig. 10: Survey results Question 17</w:t>
      </w:r>
    </w:p>
    <w:p w14:paraId="6476518E" w14:textId="4872CC64" w:rsidR="000E799F" w:rsidRPr="007C3B9D" w:rsidRDefault="000E799F" w:rsidP="00903D77">
      <w:pPr>
        <w:spacing w:after="120" w:line="276" w:lineRule="auto"/>
        <w:jc w:val="both"/>
        <w:rPr>
          <w:rFonts w:cstheme="minorHAnsi"/>
          <w:lang w:val="en-AU"/>
        </w:rPr>
      </w:pPr>
      <w:r w:rsidRPr="007C3B9D">
        <w:rPr>
          <w:rFonts w:cstheme="minorHAnsi"/>
          <w:lang w:val="en-AU"/>
        </w:rPr>
        <w:t>Similarly, in line with the above charts, survey respondents also identified elements of impact, including perceptions and policy approaches, and highlighted the value of cross-sectoral linkages encouraged by APSP:</w:t>
      </w:r>
    </w:p>
    <w:p w14:paraId="2A23AD5F" w14:textId="46EA3422" w:rsidR="000E799F" w:rsidRPr="007C3B9D" w:rsidRDefault="00CA3723" w:rsidP="00953443">
      <w:pPr>
        <w:pStyle w:val="ListParagraph"/>
        <w:numPr>
          <w:ilvl w:val="0"/>
          <w:numId w:val="42"/>
        </w:numPr>
        <w:spacing w:after="0" w:line="276" w:lineRule="auto"/>
        <w:contextualSpacing w:val="0"/>
        <w:jc w:val="both"/>
        <w:rPr>
          <w:rFonts w:cstheme="minorHAnsi"/>
          <w:lang w:val="en-AU"/>
        </w:rPr>
      </w:pPr>
      <w:r w:rsidRPr="007C3B9D">
        <w:rPr>
          <w:rFonts w:cstheme="minorHAnsi"/>
          <w:lang w:val="en-AU"/>
        </w:rPr>
        <w:t>‘</w:t>
      </w:r>
      <w:r w:rsidR="000E799F" w:rsidRPr="007C3B9D">
        <w:rPr>
          <w:rFonts w:cstheme="minorHAnsi"/>
          <w:i/>
          <w:iCs/>
          <w:lang w:val="en-AU"/>
        </w:rPr>
        <w:t>The activity contributed to changing our government’s own policy on the importance of ratifying the Timor-Leste national Ocean Policy which have adapted the UNCLOS as its national document for line ministries to implements</w:t>
      </w:r>
      <w:r w:rsidR="000E799F" w:rsidRPr="007C3B9D">
        <w:rPr>
          <w:rFonts w:cstheme="minorHAnsi"/>
          <w:lang w:val="en-AU"/>
        </w:rPr>
        <w:t>.</w:t>
      </w:r>
      <w:r w:rsidRPr="007C3B9D">
        <w:rPr>
          <w:rFonts w:cstheme="minorHAnsi"/>
          <w:lang w:val="en-AU"/>
        </w:rPr>
        <w:t>’</w:t>
      </w:r>
      <w:r w:rsidR="000E799F" w:rsidRPr="007C3B9D">
        <w:rPr>
          <w:rFonts w:cstheme="minorHAnsi"/>
          <w:lang w:val="en-AU"/>
        </w:rPr>
        <w:t> </w:t>
      </w:r>
    </w:p>
    <w:p w14:paraId="35BEE7DC" w14:textId="31E30EFC" w:rsidR="000E799F" w:rsidRPr="007C3B9D" w:rsidRDefault="00CA3723" w:rsidP="00953443">
      <w:pPr>
        <w:pStyle w:val="ListParagraph"/>
        <w:numPr>
          <w:ilvl w:val="0"/>
          <w:numId w:val="42"/>
        </w:numPr>
        <w:spacing w:after="0" w:line="276" w:lineRule="auto"/>
        <w:contextualSpacing w:val="0"/>
        <w:jc w:val="both"/>
        <w:rPr>
          <w:rFonts w:cstheme="minorHAnsi"/>
          <w:lang w:val="en-AU"/>
        </w:rPr>
      </w:pPr>
      <w:r w:rsidRPr="007C3B9D">
        <w:rPr>
          <w:rFonts w:cstheme="minorHAnsi"/>
          <w:lang w:val="en-AU"/>
        </w:rPr>
        <w:t>‘</w:t>
      </w:r>
      <w:r w:rsidR="000E799F" w:rsidRPr="007C3B9D">
        <w:rPr>
          <w:rFonts w:cstheme="minorHAnsi"/>
          <w:i/>
          <w:iCs/>
          <w:lang w:val="en-AU"/>
        </w:rPr>
        <w:t>Since I participated in the activity any discussion on GBV and women peace and security always include the dimension of transnational crime</w:t>
      </w:r>
      <w:r w:rsidR="000E799F" w:rsidRPr="007C3B9D">
        <w:rPr>
          <w:rFonts w:cstheme="minorHAnsi"/>
          <w:lang w:val="en-AU"/>
        </w:rPr>
        <w:t>.</w:t>
      </w:r>
      <w:r w:rsidRPr="007C3B9D">
        <w:rPr>
          <w:rFonts w:cstheme="minorHAnsi"/>
          <w:lang w:val="en-AU"/>
        </w:rPr>
        <w:t>’</w:t>
      </w:r>
      <w:r w:rsidR="000E799F" w:rsidRPr="007C3B9D">
        <w:rPr>
          <w:rFonts w:cstheme="minorHAnsi"/>
          <w:lang w:val="en-AU"/>
        </w:rPr>
        <w:t> </w:t>
      </w:r>
    </w:p>
    <w:p w14:paraId="77D1AE4C" w14:textId="19A3DD62" w:rsidR="000E799F" w:rsidRPr="007C3B9D" w:rsidRDefault="00CA3723" w:rsidP="00903D77">
      <w:pPr>
        <w:pStyle w:val="ListParagraph"/>
        <w:numPr>
          <w:ilvl w:val="0"/>
          <w:numId w:val="42"/>
        </w:numPr>
        <w:spacing w:after="120" w:line="276" w:lineRule="auto"/>
        <w:contextualSpacing w:val="0"/>
        <w:jc w:val="both"/>
        <w:rPr>
          <w:rFonts w:cstheme="minorHAnsi"/>
          <w:lang w:val="en-AU"/>
        </w:rPr>
      </w:pPr>
      <w:r w:rsidRPr="007C3B9D">
        <w:rPr>
          <w:rFonts w:cstheme="minorHAnsi"/>
          <w:lang w:val="en-AU"/>
        </w:rPr>
        <w:lastRenderedPageBreak/>
        <w:t>‘</w:t>
      </w:r>
      <w:r w:rsidR="000E799F" w:rsidRPr="007C3B9D">
        <w:rPr>
          <w:rFonts w:cstheme="minorHAnsi"/>
          <w:i/>
          <w:iCs/>
          <w:lang w:val="en-AU"/>
        </w:rPr>
        <w:t>ASEAN member States including Timor-Leste officials attending the activity were coming from cross-sectoral such as from different line Ministries stakeholders namely from the Ministry of Defence maritime authority officials, Ministry of Foreign Affairs and Cooperation, maritime boundary officials, Ministry of Agriculture, Ocean and Fisheries. Women in Maritime Association of Timor-Leste and WIMA Asia, whom I also represent as its communication officer with many experts from Australia</w:t>
      </w:r>
      <w:r w:rsidR="000E799F" w:rsidRPr="007C3B9D">
        <w:rPr>
          <w:rFonts w:cstheme="minorHAnsi"/>
          <w:lang w:val="en-AU"/>
        </w:rPr>
        <w:t>.</w:t>
      </w:r>
      <w:r w:rsidRPr="007C3B9D">
        <w:rPr>
          <w:rFonts w:cstheme="minorHAnsi"/>
          <w:lang w:val="en-AU"/>
        </w:rPr>
        <w:t>’</w:t>
      </w:r>
      <w:r w:rsidR="000E799F" w:rsidRPr="007C3B9D">
        <w:rPr>
          <w:rFonts w:cstheme="minorHAnsi"/>
          <w:lang w:val="en-AU"/>
        </w:rPr>
        <w:t xml:space="preserve">  </w:t>
      </w:r>
    </w:p>
    <w:p w14:paraId="5199E5A6" w14:textId="104C2EFE" w:rsidR="000E799F" w:rsidRPr="007C3B9D" w:rsidRDefault="000E799F" w:rsidP="00903D77">
      <w:pPr>
        <w:spacing w:after="120" w:line="276" w:lineRule="auto"/>
        <w:jc w:val="both"/>
        <w:rPr>
          <w:lang w:val="en-AU"/>
        </w:rPr>
      </w:pPr>
      <w:r w:rsidRPr="007C3B9D">
        <w:rPr>
          <w:rFonts w:cstheme="minorHAnsi"/>
          <w:lang w:val="en-AU"/>
        </w:rPr>
        <w:t xml:space="preserve">At </w:t>
      </w:r>
      <w:r w:rsidR="00463661" w:rsidRPr="007C3B9D">
        <w:rPr>
          <w:rFonts w:cstheme="minorHAnsi"/>
          <w:lang w:val="en-AU"/>
        </w:rPr>
        <w:t xml:space="preserve">the </w:t>
      </w:r>
      <w:r w:rsidRPr="007C3B9D">
        <w:rPr>
          <w:rFonts w:cstheme="minorHAnsi"/>
          <w:lang w:val="en-AU"/>
        </w:rPr>
        <w:t>ASEC institutional level too, the program appears to be encouraging more cross-sector interactions, meetings and mutual invitations to workshops and other APSP events. The range of institutional and civil society actors involved in activities (often in relation to the GEDSI agenda) has also been noted positively</w:t>
      </w:r>
      <w:r w:rsidRPr="007C3B9D">
        <w:rPr>
          <w:lang w:val="en-AU"/>
        </w:rPr>
        <w:t xml:space="preserve"> by ASEC and ASEAN Member State officials. Many participants in APSP activities appear to recogn</w:t>
      </w:r>
      <w:r w:rsidR="008332B1" w:rsidRPr="007C3B9D">
        <w:rPr>
          <w:lang w:val="en-AU"/>
        </w:rPr>
        <w:t>is</w:t>
      </w:r>
      <w:r w:rsidRPr="007C3B9D">
        <w:rPr>
          <w:lang w:val="en-AU"/>
        </w:rPr>
        <w:t>e the value of cross-sectoral approaches in relation to political security. It remains, however, that the program has not yet reached a critical mass of stakeholders.</w:t>
      </w:r>
    </w:p>
    <w:p w14:paraId="04362476" w14:textId="57DE48D7" w:rsidR="00450DA7" w:rsidRPr="007C3B9D" w:rsidRDefault="00450DA7" w:rsidP="00903D77">
      <w:pPr>
        <w:spacing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JC6.2 Australian and ASEAN stakeholders perceive an increase in mutual understanding and trust in relation to one or more of the target political security areas.</w:t>
      </w:r>
    </w:p>
    <w:p w14:paraId="6ED6132F" w14:textId="79B7FF08" w:rsidR="000E799F" w:rsidRPr="007C3B9D" w:rsidRDefault="000E799F" w:rsidP="00903D77">
      <w:pPr>
        <w:spacing w:after="120" w:line="276" w:lineRule="auto"/>
        <w:jc w:val="both"/>
        <w:rPr>
          <w:lang w:val="en-AU"/>
        </w:rPr>
      </w:pPr>
      <w:r w:rsidRPr="007C3B9D">
        <w:rPr>
          <w:lang w:val="en-AU"/>
        </w:rPr>
        <w:t xml:space="preserve">The program is clearly designed to enhance Australian-ASEAN engagement. This was described by an Australian official as follows: </w:t>
      </w:r>
      <w:r w:rsidR="00CA3723" w:rsidRPr="007C3B9D">
        <w:rPr>
          <w:lang w:val="en-AU"/>
        </w:rPr>
        <w:t>‘</w:t>
      </w:r>
      <w:r w:rsidRPr="007C3B9D">
        <w:rPr>
          <w:i/>
          <w:iCs/>
          <w:lang w:val="en-AU"/>
        </w:rPr>
        <w:t>It is a program that has political engagement as a focus, but in its end of investment outcomes, it is quite clear that it is still a development program</w:t>
      </w:r>
      <w:r w:rsidR="00A26FA0" w:rsidRPr="007C3B9D">
        <w:rPr>
          <w:i/>
          <w:iCs/>
          <w:lang w:val="en-AU"/>
        </w:rPr>
        <w:t>,</w:t>
      </w:r>
      <w:r w:rsidRPr="007C3B9D">
        <w:rPr>
          <w:i/>
          <w:iCs/>
          <w:lang w:val="en-AU"/>
        </w:rPr>
        <w:t xml:space="preserve"> in that it is to support ASEAN and ASEAN</w:t>
      </w:r>
      <w:r w:rsidR="00A26FA0" w:rsidRPr="007C3B9D">
        <w:rPr>
          <w:i/>
          <w:iCs/>
          <w:lang w:val="en-AU"/>
        </w:rPr>
        <w:t>’s</w:t>
      </w:r>
      <w:r w:rsidRPr="007C3B9D">
        <w:rPr>
          <w:i/>
          <w:iCs/>
          <w:lang w:val="en-AU"/>
        </w:rPr>
        <w:t xml:space="preserve"> ability to lead on political security issues […] particularly its ability to look at them from a cross-pillar or cross-sectoral perspective. But that said, yes, it very much has the </w:t>
      </w:r>
      <w:r w:rsidR="00A26FA0" w:rsidRPr="007C3B9D">
        <w:rPr>
          <w:i/>
          <w:iCs/>
          <w:lang w:val="en-AU"/>
        </w:rPr>
        <w:t>flavour</w:t>
      </w:r>
      <w:r w:rsidRPr="007C3B9D">
        <w:rPr>
          <w:i/>
          <w:iCs/>
          <w:lang w:val="en-AU"/>
        </w:rPr>
        <w:t xml:space="preserve"> of an engagement program, very much around increasing Australia/ASEAN engagement on political security issues</w:t>
      </w:r>
      <w:r w:rsidRPr="007C3B9D">
        <w:rPr>
          <w:lang w:val="en-AU"/>
        </w:rPr>
        <w:t>.</w:t>
      </w:r>
      <w:r w:rsidR="00CA3723" w:rsidRPr="007C3B9D">
        <w:rPr>
          <w:lang w:val="en-AU"/>
        </w:rPr>
        <w:t>’</w:t>
      </w:r>
    </w:p>
    <w:p w14:paraId="67D6B222" w14:textId="22BFBFA2" w:rsidR="000E799F" w:rsidRPr="007C3B9D" w:rsidRDefault="000E799F" w:rsidP="00903D77">
      <w:pPr>
        <w:spacing w:after="120" w:line="276" w:lineRule="auto"/>
        <w:jc w:val="both"/>
        <w:rPr>
          <w:lang w:val="en-AU"/>
        </w:rPr>
      </w:pPr>
      <w:r w:rsidRPr="007C3B9D">
        <w:rPr>
          <w:lang w:val="en-AU"/>
        </w:rPr>
        <w:t xml:space="preserve">Indeed, the program team and the Australian Mission have repeatedly made clear to ASEC and other ASEAN stakeholders that Australia is </w:t>
      </w:r>
      <w:r w:rsidR="00CA3723" w:rsidRPr="007C3B9D">
        <w:rPr>
          <w:lang w:val="en-AU"/>
        </w:rPr>
        <w:t>‘</w:t>
      </w:r>
      <w:r w:rsidRPr="007C3B9D">
        <w:rPr>
          <w:i/>
          <w:iCs/>
          <w:lang w:val="en-AU"/>
        </w:rPr>
        <w:t>a committed partner that is supporting the region on its own terms, on the region's terms</w:t>
      </w:r>
      <w:r w:rsidR="00CA3723" w:rsidRPr="007C3B9D">
        <w:rPr>
          <w:i/>
          <w:iCs/>
          <w:lang w:val="en-AU"/>
        </w:rPr>
        <w:t>’</w:t>
      </w:r>
      <w:r w:rsidRPr="007C3B9D">
        <w:rPr>
          <w:lang w:val="en-AU"/>
        </w:rPr>
        <w:t xml:space="preserve">. In that sense, APSP is </w:t>
      </w:r>
      <w:r w:rsidR="00CA3723" w:rsidRPr="007C3B9D">
        <w:rPr>
          <w:lang w:val="en-AU"/>
        </w:rPr>
        <w:t>‘</w:t>
      </w:r>
      <w:r w:rsidRPr="007C3B9D">
        <w:rPr>
          <w:i/>
          <w:iCs/>
          <w:lang w:val="en-AU"/>
        </w:rPr>
        <w:t>designed to be very much about supporting ASEAN centrality and ASEAN leadership</w:t>
      </w:r>
      <w:r w:rsidR="00CA3723" w:rsidRPr="007C3B9D">
        <w:rPr>
          <w:lang w:val="en-AU"/>
        </w:rPr>
        <w:t>’</w:t>
      </w:r>
      <w:r w:rsidRPr="007C3B9D">
        <w:rPr>
          <w:lang w:val="en-AU"/>
        </w:rPr>
        <w:t xml:space="preserve"> on political security issues. This Australian engagement has been assessed positively by many interviewees, including ASEAN diplomats who noted that APSP activity </w:t>
      </w:r>
      <w:r w:rsidR="00CA3723" w:rsidRPr="007C3B9D">
        <w:rPr>
          <w:lang w:val="en-AU"/>
        </w:rPr>
        <w:t>‘</w:t>
      </w:r>
      <w:r w:rsidRPr="007C3B9D">
        <w:rPr>
          <w:i/>
          <w:iCs/>
          <w:lang w:val="en-AU"/>
        </w:rPr>
        <w:t xml:space="preserve">show that it's possible to work on challenging issues in a way that supports ASEAN leadership without trying to intervene with outside </w:t>
      </w:r>
      <w:proofErr w:type="gramStart"/>
      <w:r w:rsidRPr="007C3B9D">
        <w:rPr>
          <w:i/>
          <w:iCs/>
          <w:lang w:val="en-AU"/>
        </w:rPr>
        <w:t>agendas</w:t>
      </w:r>
      <w:r w:rsidR="00CA3723" w:rsidRPr="007C3B9D">
        <w:rPr>
          <w:lang w:val="en-AU"/>
        </w:rPr>
        <w:t>’</w:t>
      </w:r>
      <w:proofErr w:type="gramEnd"/>
      <w:r w:rsidRPr="007C3B9D">
        <w:rPr>
          <w:lang w:val="en-AU"/>
        </w:rPr>
        <w:t>. This view underpins the program’s sustainability, in the sense that the relationship developed through APSP with Australia helps ASEAN Member States maintain the momentum of policy issues as sensitive, for example, as the WPS agenda. According to an Indonesian official, Australia’s support for the ASEAN WPS summit provided an opportunity to Indonesia and the Philippines to showcase their WPS National Action Plans and encourage fellow Member States to develop similar plans.</w:t>
      </w:r>
    </w:p>
    <w:p w14:paraId="57EBDE5D" w14:textId="0F51D422" w:rsidR="00450DA7" w:rsidRPr="007C3B9D" w:rsidRDefault="00450DA7" w:rsidP="00446279">
      <w:pPr>
        <w:pStyle w:val="Heading2"/>
      </w:pPr>
      <w:bookmarkStart w:id="19" w:name="_Toc206492269"/>
      <w:r w:rsidRPr="007C3B9D">
        <w:t>GEDSI</w:t>
      </w:r>
      <w:bookmarkEnd w:id="19"/>
    </w:p>
    <w:p w14:paraId="3E160B98" w14:textId="6EC78EAC" w:rsidR="00450DA7" w:rsidRPr="007C3B9D" w:rsidRDefault="00450DA7" w:rsidP="00903D77">
      <w:pPr>
        <w:spacing w:after="120" w:line="276" w:lineRule="auto"/>
        <w:jc w:val="both"/>
        <w:rPr>
          <w:rFonts w:cstheme="minorHAnsi"/>
          <w:b/>
          <w:bCs/>
          <w:i/>
          <w:iCs/>
          <w:color w:val="0F4761" w:themeColor="accent1" w:themeShade="BF"/>
          <w:lang w:val="en-AU"/>
        </w:rPr>
      </w:pPr>
      <w:r w:rsidRPr="007C3B9D">
        <w:rPr>
          <w:rFonts w:cstheme="minorHAnsi"/>
          <w:b/>
          <w:bCs/>
          <w:i/>
          <w:iCs/>
          <w:color w:val="0F4761" w:themeColor="accent1" w:themeShade="BF"/>
          <w:lang w:val="en-AU"/>
        </w:rPr>
        <w:t>EQ7 – To what extent has the program mainstreamed gender equality, disability and social inclusion in its activities, outcomes and impacts?</w:t>
      </w:r>
    </w:p>
    <w:p w14:paraId="650C6684" w14:textId="109AA1CF" w:rsidR="000E799F" w:rsidRPr="007C3B9D" w:rsidRDefault="000E799F" w:rsidP="00903D77">
      <w:pPr>
        <w:spacing w:after="120" w:line="276" w:lineRule="auto"/>
        <w:jc w:val="both"/>
        <w:rPr>
          <w:lang w:val="en-AU"/>
        </w:rPr>
      </w:pPr>
      <w:r w:rsidRPr="007C3B9D">
        <w:rPr>
          <w:lang w:val="en-AU"/>
        </w:rPr>
        <w:t xml:space="preserve">The program has made very substantial headway in implementing DFAT’s GEDSI agenda, </w:t>
      </w:r>
      <w:r w:rsidR="00A26FA0" w:rsidRPr="007C3B9D">
        <w:rPr>
          <w:lang w:val="en-AU"/>
        </w:rPr>
        <w:t>which</w:t>
      </w:r>
      <w:r w:rsidRPr="007C3B9D">
        <w:rPr>
          <w:lang w:val="en-AU"/>
        </w:rPr>
        <w:t xml:space="preserve"> was recogn</w:t>
      </w:r>
      <w:r w:rsidR="008332B1" w:rsidRPr="007C3B9D">
        <w:rPr>
          <w:lang w:val="en-AU"/>
        </w:rPr>
        <w:t>is</w:t>
      </w:r>
      <w:r w:rsidRPr="007C3B9D">
        <w:rPr>
          <w:lang w:val="en-AU"/>
        </w:rPr>
        <w:t>ed by participants and survey respondents alike. The program has a detailed GEDSI strategy (first issued in 2021, last updated in October 2023), summar</w:t>
      </w:r>
      <w:r w:rsidR="008332B1" w:rsidRPr="007C3B9D">
        <w:rPr>
          <w:lang w:val="en-AU"/>
        </w:rPr>
        <w:t>is</w:t>
      </w:r>
      <w:r w:rsidRPr="007C3B9D">
        <w:rPr>
          <w:lang w:val="en-AU"/>
        </w:rPr>
        <w:t xml:space="preserve">ed as follows: </w:t>
      </w:r>
    </w:p>
    <w:p w14:paraId="27C5BD6E" w14:textId="7327F972" w:rsidR="000E799F" w:rsidRPr="007C3B9D" w:rsidRDefault="00CA3723" w:rsidP="00903D77">
      <w:pPr>
        <w:spacing w:after="120" w:line="276" w:lineRule="auto"/>
        <w:ind w:left="708"/>
        <w:jc w:val="both"/>
        <w:rPr>
          <w:i/>
          <w:iCs/>
          <w:lang w:val="en-AU"/>
        </w:rPr>
      </w:pPr>
      <w:r w:rsidRPr="007C3B9D">
        <w:rPr>
          <w:i/>
          <w:iCs/>
          <w:lang w:val="en-AU"/>
        </w:rPr>
        <w:t>‘</w:t>
      </w:r>
      <w:r w:rsidR="000E799F" w:rsidRPr="007C3B9D">
        <w:rPr>
          <w:i/>
          <w:iCs/>
          <w:lang w:val="en-AU"/>
        </w:rPr>
        <w:t xml:space="preserve">The Strategy adopts a combination of a twin-track approach and an adaptive approach in pursuing GEDSI. While the twin-track approach ensures the due GEDSI consideration in APSP, the adaptive approach </w:t>
      </w:r>
      <w:proofErr w:type="gramStart"/>
      <w:r w:rsidR="000E799F" w:rsidRPr="007C3B9D">
        <w:rPr>
          <w:i/>
          <w:iCs/>
          <w:lang w:val="en-AU"/>
        </w:rPr>
        <w:t>takes into account</w:t>
      </w:r>
      <w:proofErr w:type="gramEnd"/>
      <w:r w:rsidR="000E799F" w:rsidRPr="007C3B9D">
        <w:rPr>
          <w:i/>
          <w:iCs/>
          <w:lang w:val="en-AU"/>
        </w:rPr>
        <w:t xml:space="preserve"> the underlining character of APSP as a demand-</w:t>
      </w:r>
      <w:r w:rsidR="000E799F" w:rsidRPr="007C3B9D">
        <w:rPr>
          <w:i/>
          <w:iCs/>
          <w:lang w:val="en-AU"/>
        </w:rPr>
        <w:lastRenderedPageBreak/>
        <w:t>driven program that is responsive to ASEAN leadership and ASEAN-led regional cooperation.</w:t>
      </w:r>
      <w:r w:rsidRPr="007C3B9D">
        <w:rPr>
          <w:i/>
          <w:iCs/>
          <w:lang w:val="en-AU"/>
        </w:rPr>
        <w:t>’</w:t>
      </w:r>
      <w:r w:rsidR="00A26FA0" w:rsidRPr="007C3B9D">
        <w:rPr>
          <w:rStyle w:val="FootnoteReference"/>
          <w:i/>
          <w:iCs/>
          <w:lang w:val="en-AU"/>
        </w:rPr>
        <w:footnoteReference w:id="28"/>
      </w:r>
    </w:p>
    <w:p w14:paraId="4EF24778" w14:textId="1474333E" w:rsidR="000E799F" w:rsidRPr="007C3B9D" w:rsidRDefault="000E799F" w:rsidP="00903D77">
      <w:pPr>
        <w:spacing w:after="120" w:line="276" w:lineRule="auto"/>
        <w:jc w:val="both"/>
        <w:rPr>
          <w:lang w:val="en-AU"/>
        </w:rPr>
      </w:pPr>
      <w:r w:rsidRPr="007C3B9D">
        <w:rPr>
          <w:lang w:val="en-AU"/>
        </w:rPr>
        <w:t xml:space="preserve">The implementation of the strategy leverages the numerous ASEAN commitments in relation to gender equality, implementation of the WPS agenda, prevention of gender-based violence, etc. </w:t>
      </w:r>
      <w:r w:rsidR="00A26FA0" w:rsidRPr="007C3B9D">
        <w:rPr>
          <w:lang w:val="en-AU"/>
        </w:rPr>
        <w:t>Similarly,</w:t>
      </w:r>
      <w:r w:rsidRPr="007C3B9D">
        <w:rPr>
          <w:lang w:val="en-AU"/>
        </w:rPr>
        <w:t xml:space="preserve"> ASEAN has committed to disability inclusion, including in its Community Vision 2025. </w:t>
      </w:r>
    </w:p>
    <w:p w14:paraId="5C2658E9" w14:textId="5347E2CA" w:rsidR="000E799F" w:rsidRPr="007C3B9D" w:rsidRDefault="000E799F" w:rsidP="00903D77">
      <w:pPr>
        <w:spacing w:after="120" w:line="276" w:lineRule="auto"/>
        <w:jc w:val="both"/>
        <w:rPr>
          <w:lang w:val="en-AU"/>
        </w:rPr>
      </w:pPr>
      <w:r w:rsidRPr="007C3B9D">
        <w:rPr>
          <w:lang w:val="en-AU"/>
        </w:rPr>
        <w:t xml:space="preserve">In essence, APSP’s GEDSI approach has focused on moving the GEDSI agenda outside the socio-cultural sphere, towards the security (maritime and cyber) and law enforcement spheres. As </w:t>
      </w:r>
      <w:r w:rsidR="00A26FA0" w:rsidRPr="007C3B9D">
        <w:rPr>
          <w:lang w:val="en-AU"/>
        </w:rPr>
        <w:t>one</w:t>
      </w:r>
      <w:r w:rsidRPr="007C3B9D">
        <w:rPr>
          <w:lang w:val="en-AU"/>
        </w:rPr>
        <w:t xml:space="preserve"> APSP </w:t>
      </w:r>
      <w:r w:rsidR="00A26FA0" w:rsidRPr="007C3B9D">
        <w:rPr>
          <w:lang w:val="en-AU"/>
        </w:rPr>
        <w:t>remarked</w:t>
      </w:r>
      <w:r w:rsidRPr="007C3B9D">
        <w:rPr>
          <w:lang w:val="en-AU"/>
        </w:rPr>
        <w:t xml:space="preserve">, it was important to connect the WPS agenda to the political security sphere because </w:t>
      </w:r>
      <w:r w:rsidR="00CA3723" w:rsidRPr="007C3B9D">
        <w:rPr>
          <w:lang w:val="en-AU"/>
        </w:rPr>
        <w:t>‘</w:t>
      </w:r>
      <w:r w:rsidRPr="007C3B9D">
        <w:rPr>
          <w:i/>
          <w:iCs/>
          <w:lang w:val="en-AU"/>
        </w:rPr>
        <w:t>if the political security actors don't buy into it, it will never really become institutional</w:t>
      </w:r>
      <w:r w:rsidR="008332B1" w:rsidRPr="007C3B9D">
        <w:rPr>
          <w:i/>
          <w:iCs/>
          <w:lang w:val="en-AU"/>
        </w:rPr>
        <w:t>is</w:t>
      </w:r>
      <w:r w:rsidRPr="007C3B9D">
        <w:rPr>
          <w:i/>
          <w:iCs/>
          <w:lang w:val="en-AU"/>
        </w:rPr>
        <w:t>ed</w:t>
      </w:r>
      <w:r w:rsidR="00CA3723" w:rsidRPr="007C3B9D">
        <w:rPr>
          <w:i/>
          <w:iCs/>
          <w:lang w:val="en-AU"/>
        </w:rPr>
        <w:t>’</w:t>
      </w:r>
      <w:r w:rsidRPr="007C3B9D">
        <w:rPr>
          <w:lang w:val="en-AU"/>
        </w:rPr>
        <w:t xml:space="preserve">. Part of the GEDSI agenda was therefore </w:t>
      </w:r>
      <w:r w:rsidR="00A26FA0" w:rsidRPr="007C3B9D">
        <w:rPr>
          <w:lang w:val="en-AU"/>
        </w:rPr>
        <w:t>centred</w:t>
      </w:r>
      <w:r w:rsidRPr="007C3B9D">
        <w:rPr>
          <w:lang w:val="en-AU"/>
        </w:rPr>
        <w:t xml:space="preserve"> on the provision of technical and strategic advice to ASEC, encouraging ASEAN to </w:t>
      </w:r>
      <w:r w:rsidR="00CA3723" w:rsidRPr="007C3B9D">
        <w:rPr>
          <w:lang w:val="en-AU"/>
        </w:rPr>
        <w:t>‘</w:t>
      </w:r>
      <w:r w:rsidRPr="007C3B9D">
        <w:rPr>
          <w:i/>
          <w:iCs/>
          <w:lang w:val="en-AU"/>
        </w:rPr>
        <w:t>bring in more and more political security actors</w:t>
      </w:r>
      <w:r w:rsidR="00CA3723" w:rsidRPr="007C3B9D">
        <w:rPr>
          <w:i/>
          <w:iCs/>
          <w:lang w:val="en-AU"/>
        </w:rPr>
        <w:t>’</w:t>
      </w:r>
      <w:r w:rsidRPr="007C3B9D">
        <w:rPr>
          <w:lang w:val="en-AU"/>
        </w:rPr>
        <w:t xml:space="preserve"> in the WPS agenda. </w:t>
      </w:r>
    </w:p>
    <w:p w14:paraId="462DBF2E" w14:textId="2C0CFE8F" w:rsidR="000E799F" w:rsidRPr="007C3B9D" w:rsidRDefault="000E799F" w:rsidP="0035461D">
      <w:pPr>
        <w:pStyle w:val="Heading3"/>
      </w:pPr>
      <w:r w:rsidRPr="007C3B9D">
        <w:t>GEDSI-focused activities</w:t>
      </w:r>
    </w:p>
    <w:p w14:paraId="424FFA4C" w14:textId="1748107A" w:rsidR="000E799F" w:rsidRPr="007C3B9D" w:rsidRDefault="000E799F" w:rsidP="00903D77">
      <w:pPr>
        <w:spacing w:after="120" w:line="276" w:lineRule="auto"/>
        <w:jc w:val="both"/>
        <w:rPr>
          <w:lang w:val="en-AU"/>
        </w:rPr>
      </w:pPr>
      <w:r w:rsidRPr="007C3B9D">
        <w:rPr>
          <w:lang w:val="en-AU"/>
        </w:rPr>
        <w:t xml:space="preserve">In addition to ensuring and documenting a degree of gender balance in activities (participants, invited speakers) the program has clearly ensured that gender and women’s rights issues are addressed under each APSP pillar. APSP’s GEDSI Coordinator noted that </w:t>
      </w:r>
      <w:r w:rsidR="00CA3723" w:rsidRPr="007C3B9D">
        <w:rPr>
          <w:lang w:val="en-AU"/>
        </w:rPr>
        <w:t>‘</w:t>
      </w:r>
      <w:r w:rsidRPr="007C3B9D">
        <w:rPr>
          <w:i/>
          <w:iCs/>
          <w:lang w:val="en-AU"/>
        </w:rPr>
        <w:t>there was a real willingness from the leaders of the women's sector bodies at that point to engage</w:t>
      </w:r>
      <w:r w:rsidR="00CA3723" w:rsidRPr="007C3B9D">
        <w:rPr>
          <w:i/>
          <w:iCs/>
          <w:lang w:val="en-AU"/>
        </w:rPr>
        <w:t>’</w:t>
      </w:r>
      <w:r w:rsidRPr="007C3B9D">
        <w:rPr>
          <w:lang w:val="en-AU"/>
        </w:rPr>
        <w:t xml:space="preserve"> on political security issues. In accordance with the GEDSI strategy indicators, which require at least one GEDSI-focused activity in each APSP policy area. This was done in relation to maritime security (link with WPS); transnational crime (workplace gender-based exploitation); cybersecurity (gender-specific sessions in SOMTC and ASEC cybersecurity activities, and of course in relation to the WPS agenda itself. Activities aimed at youth and </w:t>
      </w:r>
      <w:r w:rsidR="00A26FA0" w:rsidRPr="007C3B9D">
        <w:rPr>
          <w:lang w:val="en-AU"/>
        </w:rPr>
        <w:t>persons</w:t>
      </w:r>
      <w:r w:rsidRPr="007C3B9D">
        <w:rPr>
          <w:lang w:val="en-AU"/>
        </w:rPr>
        <w:t xml:space="preserve"> with disabilities have also been implemented with a cross-sectoral approach. The GEDSI Coordinator </w:t>
      </w:r>
      <w:r w:rsidR="00A26FA0" w:rsidRPr="007C3B9D">
        <w:rPr>
          <w:lang w:val="en-AU"/>
        </w:rPr>
        <w:t>stated that</w:t>
      </w:r>
      <w:r w:rsidRPr="007C3B9D">
        <w:rPr>
          <w:lang w:val="en-AU"/>
        </w:rPr>
        <w:t xml:space="preserve"> </w:t>
      </w:r>
      <w:r w:rsidR="00CA3723" w:rsidRPr="007C3B9D">
        <w:rPr>
          <w:lang w:val="en-AU"/>
        </w:rPr>
        <w:t>‘</w:t>
      </w:r>
      <w:r w:rsidR="00A26FA0" w:rsidRPr="007C3B9D">
        <w:rPr>
          <w:i/>
          <w:iCs/>
          <w:lang w:val="en-AU"/>
        </w:rPr>
        <w:t>w</w:t>
      </w:r>
      <w:r w:rsidRPr="007C3B9D">
        <w:rPr>
          <w:i/>
          <w:iCs/>
          <w:lang w:val="en-AU"/>
        </w:rPr>
        <w:t>e did a whole training on cyber security. We brought in an expert who is also a member of the ASEAN Women for Peace registry. So again, it was a very good way of linking our support for ASEAN WPS</w:t>
      </w:r>
      <w:r w:rsidR="00CA3723" w:rsidRPr="007C3B9D">
        <w:rPr>
          <w:i/>
          <w:iCs/>
          <w:lang w:val="en-AU"/>
        </w:rPr>
        <w:t>’</w:t>
      </w:r>
      <w:r w:rsidRPr="007C3B9D">
        <w:rPr>
          <w:lang w:val="en-AU"/>
        </w:rPr>
        <w:t xml:space="preserve"> to the cybersecurity agenda.</w:t>
      </w:r>
    </w:p>
    <w:p w14:paraId="11421153" w14:textId="77777777" w:rsidR="000E799F" w:rsidRPr="007C3B9D" w:rsidRDefault="000E799F" w:rsidP="00903D77">
      <w:pPr>
        <w:spacing w:after="120" w:line="276" w:lineRule="auto"/>
        <w:jc w:val="both"/>
        <w:rPr>
          <w:lang w:val="en-AU"/>
        </w:rPr>
      </w:pPr>
      <w:r w:rsidRPr="007C3B9D">
        <w:rPr>
          <w:lang w:val="en-AU"/>
        </w:rPr>
        <w:t>In addition, the GEDSI strategy has been one of the driving forces behind the cross-pillar, cross-sector approach encouraged by APSP – linking for example WPS and climate security.</w:t>
      </w:r>
    </w:p>
    <w:p w14:paraId="32C7EC6F" w14:textId="38112789" w:rsidR="000E799F" w:rsidRPr="007C3B9D" w:rsidRDefault="000E799F" w:rsidP="0035461D">
      <w:pPr>
        <w:pStyle w:val="Heading3"/>
      </w:pPr>
      <w:r w:rsidRPr="007C3B9D">
        <w:t>Survey responses</w:t>
      </w:r>
    </w:p>
    <w:p w14:paraId="610F38CF" w14:textId="226D1172" w:rsidR="000E799F" w:rsidRPr="007C3B9D" w:rsidRDefault="000E799F" w:rsidP="00903D77">
      <w:pPr>
        <w:spacing w:after="120" w:line="276" w:lineRule="auto"/>
        <w:jc w:val="both"/>
        <w:rPr>
          <w:rFonts w:cstheme="minorHAnsi"/>
          <w:lang w:val="en-AU"/>
        </w:rPr>
      </w:pPr>
      <w:r w:rsidRPr="007C3B9D">
        <w:rPr>
          <w:rFonts w:cstheme="minorHAnsi"/>
          <w:lang w:val="en-AU"/>
        </w:rPr>
        <w:t xml:space="preserve">Survey respondents have generally been appreciative of the GEDSI </w:t>
      </w:r>
      <w:proofErr w:type="gramStart"/>
      <w:r w:rsidRPr="007C3B9D">
        <w:rPr>
          <w:rFonts w:cstheme="minorHAnsi"/>
          <w:lang w:val="en-AU"/>
        </w:rPr>
        <w:t>agenda</w:t>
      </w:r>
      <w:r w:rsidR="00A26FA0" w:rsidRPr="007C3B9D">
        <w:rPr>
          <w:rFonts w:cstheme="minorHAnsi"/>
          <w:lang w:val="en-AU"/>
        </w:rPr>
        <w:t>,</w:t>
      </w:r>
      <w:r w:rsidRPr="007C3B9D">
        <w:rPr>
          <w:rFonts w:cstheme="minorHAnsi"/>
          <w:lang w:val="en-AU"/>
        </w:rPr>
        <w:t xml:space="preserve"> and</w:t>
      </w:r>
      <w:proofErr w:type="gramEnd"/>
      <w:r w:rsidRPr="007C3B9D">
        <w:rPr>
          <w:rFonts w:cstheme="minorHAnsi"/>
          <w:lang w:val="en-AU"/>
        </w:rPr>
        <w:t xml:space="preserve"> noted the effectiveness of its implementation. However, they also noted that gender equality remained insufficiently mainstreamed in ASEAN: APSP activities </w:t>
      </w:r>
      <w:r w:rsidR="00CA3723" w:rsidRPr="007C3B9D">
        <w:rPr>
          <w:rFonts w:cstheme="minorHAnsi"/>
          <w:lang w:val="en-AU"/>
        </w:rPr>
        <w:t>‘</w:t>
      </w:r>
      <w:r w:rsidRPr="007C3B9D">
        <w:rPr>
          <w:rFonts w:cstheme="minorHAnsi"/>
          <w:i/>
          <w:iCs/>
          <w:lang w:val="en-AU"/>
        </w:rPr>
        <w:t>should introduce elements on Gender into the training programs, to ensure that leaders in ASEAN and its partner countries may promote an inclusive program to achieve the continuous ASEAN region's stability in order to reach prosperity for the entire ASEAN community</w:t>
      </w:r>
      <w:r w:rsidRPr="007C3B9D">
        <w:rPr>
          <w:rFonts w:cstheme="minorHAnsi"/>
          <w:lang w:val="en-AU"/>
        </w:rPr>
        <w:t>.</w:t>
      </w:r>
      <w:r w:rsidR="00CA3723" w:rsidRPr="007C3B9D">
        <w:rPr>
          <w:rFonts w:cstheme="minorHAnsi"/>
          <w:lang w:val="en-AU"/>
        </w:rPr>
        <w:t>’</w:t>
      </w:r>
      <w:r w:rsidRPr="007C3B9D">
        <w:rPr>
          <w:rFonts w:cstheme="minorHAnsi"/>
          <w:lang w:val="en-AU"/>
        </w:rPr>
        <w:t xml:space="preserve">  </w:t>
      </w:r>
    </w:p>
    <w:p w14:paraId="20033F22" w14:textId="77777777" w:rsidR="000E799F" w:rsidRPr="007C3B9D" w:rsidRDefault="000E799F" w:rsidP="00953443">
      <w:pPr>
        <w:spacing w:after="120" w:line="276" w:lineRule="auto"/>
        <w:jc w:val="center"/>
        <w:rPr>
          <w:lang w:val="en-AU"/>
        </w:rPr>
      </w:pPr>
      <w:r w:rsidRPr="007C3B9D">
        <w:rPr>
          <w:noProof/>
          <w:lang w:val="en-AU"/>
        </w:rPr>
        <w:lastRenderedPageBreak/>
        <w:drawing>
          <wp:inline distT="0" distB="0" distL="0" distR="0" wp14:anchorId="380667E7" wp14:editId="1BB9A6D6">
            <wp:extent cx="5756910" cy="2609850"/>
            <wp:effectExtent l="0" t="0" r="0" b="6350"/>
            <wp:docPr id="1227194904" name="Grafik 1" descr="Pie chart showing  in your opinion, to what extent did the programme activity integrate or discuss issues related to gender, disability and social inclusion: Integrated fully 14.3%, Integrated satisfactorily 47.6%, Integrated somewhat 23.8%, Not at all 14.3%.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94904" name="Grafik 1" descr="Pie chart showing  in your opinion, to what extent did the programme activity integrate or discuss issues related to gender, disability and social inclusion: Integrated fully 14.3%, Integrated satisfactorily 47.6%, Integrated somewhat 23.8%, Not at all 14.3%.  Number of responses: 21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10" cy="2609850"/>
                    </a:xfrm>
                    <a:prstGeom prst="rect">
                      <a:avLst/>
                    </a:prstGeom>
                    <a:noFill/>
                    <a:ln>
                      <a:noFill/>
                    </a:ln>
                  </pic:spPr>
                </pic:pic>
              </a:graphicData>
            </a:graphic>
          </wp:inline>
        </w:drawing>
      </w:r>
    </w:p>
    <w:p w14:paraId="3799BE57" w14:textId="531ACF22" w:rsidR="000E799F" w:rsidRPr="00953443" w:rsidRDefault="00A26FA0" w:rsidP="00953443">
      <w:pPr>
        <w:spacing w:after="120" w:line="276" w:lineRule="auto"/>
        <w:jc w:val="center"/>
        <w:rPr>
          <w:i/>
          <w:iCs/>
          <w:color w:val="0F4761" w:themeColor="accent1" w:themeShade="BF"/>
          <w:sz w:val="18"/>
          <w:szCs w:val="18"/>
          <w:lang w:val="en-AU"/>
        </w:rPr>
      </w:pPr>
      <w:r w:rsidRPr="00953443">
        <w:rPr>
          <w:i/>
          <w:iCs/>
          <w:color w:val="0F4761" w:themeColor="accent1" w:themeShade="BF"/>
          <w:sz w:val="18"/>
          <w:szCs w:val="18"/>
          <w:lang w:val="en-AU"/>
        </w:rPr>
        <w:t>Fig. 11: Survey results Question 19</w:t>
      </w:r>
    </w:p>
    <w:p w14:paraId="2027D1EB" w14:textId="19F2C983" w:rsidR="000E799F" w:rsidRPr="007C3B9D" w:rsidRDefault="000E799F" w:rsidP="00903D77">
      <w:pPr>
        <w:spacing w:after="120" w:line="276" w:lineRule="auto"/>
        <w:jc w:val="both"/>
        <w:rPr>
          <w:lang w:val="en-AU"/>
        </w:rPr>
      </w:pPr>
      <w:r w:rsidRPr="007C3B9D">
        <w:rPr>
          <w:lang w:val="en-AU"/>
        </w:rPr>
        <w:t>It is also to be noted that the program has reached out to a substantial number of women. The most recent APSP semi-annual report, covering the first half of 2024, included the two charts illustrating this point:</w:t>
      </w:r>
    </w:p>
    <w:p w14:paraId="30341FB7" w14:textId="77777777" w:rsidR="000E799F" w:rsidRPr="007C3B9D" w:rsidRDefault="000E799F" w:rsidP="00903D77">
      <w:pPr>
        <w:spacing w:after="120" w:line="276" w:lineRule="auto"/>
        <w:jc w:val="both"/>
        <w:rPr>
          <w:lang w:val="en-AU"/>
        </w:rPr>
      </w:pPr>
      <w:r w:rsidRPr="007C3B9D">
        <w:rPr>
          <w:noProof/>
          <w:lang w:val="en-AU"/>
        </w:rPr>
        <w:drawing>
          <wp:inline distT="0" distB="0" distL="0" distR="0" wp14:anchorId="18043410" wp14:editId="4F627040">
            <wp:extent cx="5756910" cy="3205480"/>
            <wp:effectExtent l="0" t="0" r="0" b="0"/>
            <wp:docPr id="843288721" name="Grafik 1" descr="GEDSI KPI 3 : At least 25% of participants in APSP activities are women. To date, 662 registered participants were women. Percentage of women participants in key APSP activities: ASEAN-Australia Cyber Capacity Building Workshop 31.53%, 1st Professional Development Workshop for ASEAN Secretariat 60%, ASEAN-Australia Workshop to Exchange Practices on Community Resilience Programs to Counter Radicalisation and Violent Extremism 43.48%, ASEAN Gender Mainstreaming Conference 74.32%, ASEAN WPS Summit: High Level Dialogue 71.76%, APSP-AWPR Knowledge Exchange 83.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88721" name="Grafik 1" descr="GEDSI KPI 3 : At least 25% of participants in APSP activities are women. To date, 662 registered participants were women. Percentage of women participants in key APSP activities: ASEAN-Australia Cyber Capacity Building Workshop 31.53%, 1st Professional Development Workshop for ASEAN Secretariat 60%, ASEAN-Australia Workshop to Exchange Practices on Community Resilience Programs to Counter Radicalisation and Violent Extremism 43.48%, ASEAN Gender Mainstreaming Conference 74.32%, ASEAN WPS Summit: High Level Dialogue 71.76%, APSP-AWPR Knowledge Exchange 83.33%&#10;"/>
                    <pic:cNvPicPr/>
                  </pic:nvPicPr>
                  <pic:blipFill>
                    <a:blip r:embed="rId21"/>
                    <a:stretch>
                      <a:fillRect/>
                    </a:stretch>
                  </pic:blipFill>
                  <pic:spPr>
                    <a:xfrm>
                      <a:off x="0" y="0"/>
                      <a:ext cx="5756910" cy="3205480"/>
                    </a:xfrm>
                    <a:prstGeom prst="rect">
                      <a:avLst/>
                    </a:prstGeom>
                  </pic:spPr>
                </pic:pic>
              </a:graphicData>
            </a:graphic>
          </wp:inline>
        </w:drawing>
      </w:r>
    </w:p>
    <w:p w14:paraId="65CE98E7" w14:textId="77777777" w:rsidR="000E799F" w:rsidRPr="007C3B9D" w:rsidRDefault="000E799F" w:rsidP="00903D77">
      <w:pPr>
        <w:spacing w:after="120" w:line="276" w:lineRule="auto"/>
        <w:jc w:val="both"/>
        <w:rPr>
          <w:lang w:val="en-AU"/>
        </w:rPr>
      </w:pPr>
      <w:r w:rsidRPr="007C3B9D">
        <w:rPr>
          <w:noProof/>
          <w:lang w:val="en-AU"/>
        </w:rPr>
        <w:lastRenderedPageBreak/>
        <w:drawing>
          <wp:inline distT="0" distB="0" distL="0" distR="0" wp14:anchorId="727BA934" wp14:editId="05245C41">
            <wp:extent cx="5756910" cy="3157855"/>
            <wp:effectExtent l="0" t="0" r="0" b="4445"/>
            <wp:docPr id="2135152230" name="Grafik 1" descr="GEDSI KPI 3 : At least 25% of participants in APSP activities are women. To date, 662 registered participants were women. Percentage of women participants in key APSP activities: 2nd Professional Development Workshop for ASEAN Secretariat 61.7%, Law of the Sea Training 50%, ASEAN-Australia Counter Terrorism Workshop on Good Practice Approaches to Countering Violent Extremism, Hate Speech, and Disinformation Online 44.25%, Track 2 Workshop on Conflict Prevention and the ASEAN-led Regional Architecture 56%, Seminar for Timor-Leste Officials on Current Political Security Issues under ASEAN Political Security Community 32.86%, The 4th ACWC Partnership Conference no sex disaggregated data (Not APSP-led activity), Validation Workshop on Draft of the ASEAN Declaration on Strengthening Care Economy and Resilience towards ASEAN Community Post-2025 78.24%, The 3rd ASEAN Women Leaders’ Summit: Strengthening Care Economy and Resilience Towards ASEAN Community Post-2025 and the Pre-Summit Events 8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52230" name="Grafik 1" descr="GEDSI KPI 3 : At least 25% of participants in APSP activities are women. To date, 662 registered participants were women. Percentage of women participants in key APSP activities: 2nd Professional Development Workshop for ASEAN Secretariat 61.7%, Law of the Sea Training 50%, ASEAN-Australia Counter Terrorism Workshop on Good Practice Approaches to Countering Violent Extremism, Hate Speech, and Disinformation Online 44.25%, Track 2 Workshop on Conflict Prevention and the ASEAN-led Regional Architecture 56%, Seminar for Timor-Leste Officials on Current Political Security Issues under ASEAN Political Security Community 32.86%, The 4th ACWC Partnership Conference no sex disaggregated data (Not APSP-led activity), Validation Workshop on Draft of the ASEAN Declaration on Strengthening Care Economy and Resilience towards ASEAN Community Post-2025 78.24%, The 3rd ASEAN Women Leaders’ Summit: Strengthening Care Economy and Resilience Towards ASEAN Community Post-2025 and the Pre-Summit Events 85.16% "/>
                    <pic:cNvPicPr/>
                  </pic:nvPicPr>
                  <pic:blipFill>
                    <a:blip r:embed="rId22"/>
                    <a:stretch>
                      <a:fillRect/>
                    </a:stretch>
                  </pic:blipFill>
                  <pic:spPr>
                    <a:xfrm>
                      <a:off x="0" y="0"/>
                      <a:ext cx="5756910" cy="3157855"/>
                    </a:xfrm>
                    <a:prstGeom prst="rect">
                      <a:avLst/>
                    </a:prstGeom>
                  </pic:spPr>
                </pic:pic>
              </a:graphicData>
            </a:graphic>
          </wp:inline>
        </w:drawing>
      </w:r>
    </w:p>
    <w:p w14:paraId="21BCDA38" w14:textId="06DA46DA" w:rsidR="000E799F" w:rsidRPr="007C3B9D" w:rsidRDefault="000E799F" w:rsidP="00903D77">
      <w:pPr>
        <w:spacing w:after="120" w:line="276" w:lineRule="auto"/>
        <w:jc w:val="both"/>
        <w:rPr>
          <w:rFonts w:cstheme="minorHAnsi"/>
          <w:lang w:val="en-AU"/>
        </w:rPr>
      </w:pPr>
      <w:r w:rsidRPr="007C3B9D">
        <w:rPr>
          <w:rFonts w:cstheme="minorHAnsi"/>
          <w:lang w:val="en-AU"/>
        </w:rPr>
        <w:t>In relation to the inclusion component of GEDSI, targeting people living with disabilities and/or disabled people’s organ</w:t>
      </w:r>
      <w:r w:rsidR="008332B1" w:rsidRPr="007C3B9D">
        <w:rPr>
          <w:rFonts w:cstheme="minorHAnsi"/>
          <w:lang w:val="en-AU"/>
        </w:rPr>
        <w:t>is</w:t>
      </w:r>
      <w:r w:rsidRPr="007C3B9D">
        <w:rPr>
          <w:rFonts w:cstheme="minorHAnsi"/>
          <w:lang w:val="en-AU"/>
        </w:rPr>
        <w:t>ations, substantial headway has been made, though to a lesser degree than in relation to gender equality. There is most likely scope for strengthening the disability inclusion aspect of the program by involving more civil society organ</w:t>
      </w:r>
      <w:r w:rsidR="008332B1" w:rsidRPr="007C3B9D">
        <w:rPr>
          <w:rFonts w:cstheme="minorHAnsi"/>
          <w:lang w:val="en-AU"/>
        </w:rPr>
        <w:t>is</w:t>
      </w:r>
      <w:r w:rsidRPr="007C3B9D">
        <w:rPr>
          <w:rFonts w:cstheme="minorHAnsi"/>
          <w:lang w:val="en-AU"/>
        </w:rPr>
        <w:t xml:space="preserve">ations across ASEAN, and their Australian counterparts. </w:t>
      </w:r>
    </w:p>
    <w:p w14:paraId="6EB2F316" w14:textId="441FFE97" w:rsidR="00B03686" w:rsidRPr="007C3B9D" w:rsidRDefault="00B03686" w:rsidP="00446279">
      <w:pPr>
        <w:pStyle w:val="Heading2"/>
      </w:pPr>
      <w:bookmarkStart w:id="20" w:name="_Toc206492270"/>
      <w:r w:rsidRPr="007C3B9D">
        <w:t>Future Programming</w:t>
      </w:r>
      <w:bookmarkEnd w:id="20"/>
    </w:p>
    <w:p w14:paraId="3950253B"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The following section examines the options available for a future iteration of the </w:t>
      </w:r>
      <w:proofErr w:type="gramStart"/>
      <w:r w:rsidRPr="007C3B9D">
        <w:rPr>
          <w:rFonts w:cs="Calibri"/>
          <w:lang w:val="en-AU"/>
        </w:rPr>
        <w:t>APSP, and</w:t>
      </w:r>
      <w:proofErr w:type="gramEnd"/>
      <w:r w:rsidRPr="007C3B9D">
        <w:rPr>
          <w:rFonts w:cs="Calibri"/>
          <w:lang w:val="en-AU"/>
        </w:rPr>
        <w:t xml:space="preserve"> indeed looking further beyond any second phase. It explores the added value of TAF, possible themes and content for a future program, potential approaches, options for restructuring the program, and potential partners for future collaboration.</w:t>
      </w:r>
    </w:p>
    <w:p w14:paraId="52B1117D" w14:textId="3357698F" w:rsidR="000C0BFA" w:rsidRPr="007C3B9D" w:rsidRDefault="000C0BFA" w:rsidP="0035461D">
      <w:pPr>
        <w:pStyle w:val="Heading3"/>
      </w:pPr>
      <w:r w:rsidRPr="007C3B9D">
        <w:t>Added value of TAF</w:t>
      </w:r>
    </w:p>
    <w:p w14:paraId="6DF8C611" w14:textId="77777777" w:rsidR="000C0BFA" w:rsidRPr="007C3B9D" w:rsidRDefault="000C0BFA" w:rsidP="00903D77">
      <w:pPr>
        <w:spacing w:after="120" w:line="276" w:lineRule="auto"/>
        <w:jc w:val="both"/>
        <w:rPr>
          <w:rFonts w:cs="Calibri"/>
          <w:lang w:val="en-AU"/>
        </w:rPr>
      </w:pPr>
      <w:r w:rsidRPr="007C3B9D">
        <w:rPr>
          <w:rFonts w:cs="Calibri"/>
          <w:lang w:val="en-AU"/>
        </w:rPr>
        <w:t>TAF's longstanding engagement with ASEAN has endowed it with a nuanced understanding of the ASEAN Secretariat's (ASEC) internal processes, protocols, and expectations. This expertise is crucial for navigating the complex bureaucratic landscape of ASEAN, which often involves lengthy lead times for activity endorsement and participant selection by member states. TAF's familiarity with ASEAN procedures has allowed for the efficient execution of APSP activities, minimising delays and ensuring well-coordinated events. Their ability to align APSP initiatives with ASEAN expectations has bolstered the program's reputation within the region, establishing its reputation as being Asian-centric rather than an external imposition.</w:t>
      </w:r>
    </w:p>
    <w:p w14:paraId="7BD37C53"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The organisation's embedded presence in Southeast Asia provides APSP with unparalleled access to regional experts, institutions, and stakeholders. TAF's networks enable rapid identification and engagement of relevant parties, essential for addressing niche issues within ASEAN. The staff, including former ASEAN officials, facilitate smooth communication and foster trust with ASEAN stakeholders. This trust is crucial for the acceptance and success of APSP initiatives, as noted by a </w:t>
      </w:r>
      <w:r w:rsidRPr="007C3B9D">
        <w:rPr>
          <w:rFonts w:cs="Calibri"/>
          <w:lang w:val="en-AU"/>
        </w:rPr>
        <w:lastRenderedPageBreak/>
        <w:t>DFAT official who observed that TAF's responsiveness and understanding of ASEAN processes have lessened DFAT's workload significantly.</w:t>
      </w:r>
    </w:p>
    <w:p w14:paraId="7B55699F" w14:textId="77777777" w:rsidR="000C0BFA" w:rsidRPr="007C3B9D" w:rsidRDefault="000C0BFA" w:rsidP="00903D77">
      <w:pPr>
        <w:spacing w:after="120" w:line="276" w:lineRule="auto"/>
        <w:jc w:val="both"/>
        <w:rPr>
          <w:rFonts w:cs="Calibri"/>
          <w:lang w:val="en-AU"/>
        </w:rPr>
      </w:pPr>
      <w:r w:rsidRPr="007C3B9D">
        <w:rPr>
          <w:rFonts w:cs="Calibri"/>
          <w:lang w:val="en-AU"/>
        </w:rPr>
        <w:t>TAF and DFAT have developed a mutually beneficial division of labour that leverages each organisation's strengths. TAF handles the logistical and operational aspects, allowing DFAT to focus on strategic oversight and diplomatic relations. Despite the absence of formal role definitions, both parties have established a working relationship that enhances the program's effectiveness. TAF's operational focus and regional engagement capabilities enable DFAT to concentrate on overarching strategy, creating a streamlined approach that reinforces the APSP's image as a sophisticated partnership.</w:t>
      </w:r>
    </w:p>
    <w:p w14:paraId="16C1E124" w14:textId="1E3ACC00" w:rsidR="000C0BFA" w:rsidRPr="007C3B9D" w:rsidRDefault="000C0BFA" w:rsidP="00903D77">
      <w:pPr>
        <w:spacing w:after="120" w:line="276" w:lineRule="auto"/>
        <w:jc w:val="both"/>
        <w:rPr>
          <w:rFonts w:cs="Calibri"/>
          <w:lang w:val="en-AU"/>
        </w:rPr>
      </w:pPr>
      <w:r w:rsidRPr="007C3B9D">
        <w:rPr>
          <w:rFonts w:cs="Calibri"/>
          <w:lang w:val="en-AU"/>
        </w:rPr>
        <w:t xml:space="preserve">One of TAF's most significant contributions is its capacity to present the program as an ASEAN-aligned initiative. With a team predominantly composed of ASEAN nationals, TAF has mitigated potential biases against Western-led </w:t>
      </w:r>
      <w:r w:rsidR="009163EE" w:rsidRPr="007C3B9D">
        <w:rPr>
          <w:rFonts w:cs="Calibri"/>
          <w:lang w:val="en-AU"/>
        </w:rPr>
        <w:t>programs and</w:t>
      </w:r>
      <w:r w:rsidRPr="007C3B9D">
        <w:rPr>
          <w:rFonts w:cs="Calibri"/>
          <w:lang w:val="en-AU"/>
        </w:rPr>
        <w:t xml:space="preserve"> fostered deeper trust and engagement from ASEAN stakeholders. This approach has been instrumental in building rapport with ASEAN officials, many of whom value programs that reflect ASEAN's cultural and political norms. TAF's representation of APSP as an ‘Asian’ initiative has solidified its reputation as a partner that respects ASEAN's values.</w:t>
      </w:r>
    </w:p>
    <w:p w14:paraId="26E6D69B" w14:textId="77777777" w:rsidR="000C0BFA" w:rsidRPr="007C3B9D" w:rsidRDefault="000C0BFA" w:rsidP="00903D77">
      <w:pPr>
        <w:spacing w:after="120" w:line="276" w:lineRule="auto"/>
        <w:jc w:val="both"/>
        <w:rPr>
          <w:rFonts w:cs="Calibri"/>
          <w:lang w:val="en-AU"/>
        </w:rPr>
      </w:pPr>
      <w:r w:rsidRPr="007C3B9D">
        <w:rPr>
          <w:rFonts w:cs="Calibri"/>
          <w:lang w:val="en-AU"/>
        </w:rPr>
        <w:t>Furthermore, TAF's administrative capabilities are a cornerstone of APSP's operational success. Their proficiency in managing complex logistics ensures that events meet the high standards expected by ASEAN officials. TAF's responsiveness to unexpected changes, such as accommodating late registrations, underscores their commitment to seamless implementation. As one DFAT official noted, TAF provides practical support such as logistics and outreach to expert networks, which DFAT's smaller team couldn't manage alone.</w:t>
      </w:r>
    </w:p>
    <w:p w14:paraId="00C3B874" w14:textId="161E5CF8" w:rsidR="000C0BFA" w:rsidRPr="007C3B9D" w:rsidRDefault="000C0BFA" w:rsidP="0035461D">
      <w:pPr>
        <w:pStyle w:val="Heading3"/>
      </w:pPr>
      <w:r w:rsidRPr="007C3B9D">
        <w:t>Possible themes and content for the future program</w:t>
      </w:r>
    </w:p>
    <w:p w14:paraId="6F87D9D5" w14:textId="77777777" w:rsidR="000C0BFA" w:rsidRPr="007C3B9D" w:rsidRDefault="000C0BFA" w:rsidP="00903D77">
      <w:pPr>
        <w:spacing w:after="120" w:line="276" w:lineRule="auto"/>
        <w:jc w:val="both"/>
        <w:rPr>
          <w:rFonts w:cs="Calibri"/>
          <w:lang w:val="en-AU"/>
        </w:rPr>
      </w:pPr>
      <w:r w:rsidRPr="007C3B9D">
        <w:rPr>
          <w:rFonts w:cs="Calibri"/>
          <w:lang w:val="en-AU"/>
        </w:rPr>
        <w:t>The current thematic pillars—transnational crime, maritime security, cybersecurity, and women, peace, and security (WPS)—remain highly relevant to both ASEAN and Australia's strategic interests. Feedback from stakeholders indicates strong support for continuing these areas, as they align with ongoing regional challenges and priorities. Retaining these themes leverages existing relationships and builds on the progress made in previous iterations.</w:t>
      </w:r>
    </w:p>
    <w:p w14:paraId="49BCBA37" w14:textId="38EC0992" w:rsidR="000C0BFA" w:rsidRPr="007C3B9D" w:rsidRDefault="000C0BFA" w:rsidP="00903D77">
      <w:pPr>
        <w:spacing w:after="120" w:line="276" w:lineRule="auto"/>
        <w:jc w:val="both"/>
        <w:rPr>
          <w:rFonts w:cs="Calibri"/>
          <w:lang w:val="en-AU"/>
        </w:rPr>
      </w:pPr>
      <w:r w:rsidRPr="007C3B9D">
        <w:rPr>
          <w:rFonts w:cs="Calibri"/>
          <w:lang w:val="en-AU"/>
        </w:rPr>
        <w:t xml:space="preserve">Adjustments within the existing themes could however enhance the program's impact. In transnational crime, for example, there is a growing emphasis on emerging issues such as cyber-enabled financial crimes, human trafficking linked to cyber activities, and disinformation campaigns. </w:t>
      </w:r>
      <w:r w:rsidR="007D064A" w:rsidRPr="007C3B9D">
        <w:rPr>
          <w:rFonts w:cs="Calibri"/>
          <w:lang w:val="en-AU"/>
        </w:rPr>
        <w:t>Entities such as</w:t>
      </w:r>
      <w:r w:rsidRPr="007C3B9D">
        <w:rPr>
          <w:rFonts w:cs="Calibri"/>
          <w:lang w:val="en-AU"/>
        </w:rPr>
        <w:t xml:space="preserve"> the Australian Federal Police (AFP) highlight the need for cooperation on cybercrime and financial investigations, suggesting that these areas should receive increased focus.</w:t>
      </w:r>
    </w:p>
    <w:p w14:paraId="68409C55" w14:textId="72BA5D97" w:rsidR="000C0BFA" w:rsidRPr="007C3B9D" w:rsidRDefault="000C0BFA" w:rsidP="00903D77">
      <w:pPr>
        <w:spacing w:after="120" w:line="276" w:lineRule="auto"/>
        <w:jc w:val="both"/>
        <w:rPr>
          <w:rFonts w:cs="Calibri"/>
          <w:lang w:val="en-AU"/>
        </w:rPr>
      </w:pPr>
      <w:r w:rsidRPr="007C3B9D">
        <w:rPr>
          <w:rFonts w:cs="Calibri"/>
          <w:lang w:val="en-AU"/>
        </w:rPr>
        <w:t xml:space="preserve">In maritime security, the focus could shift towards unconventional security threats, including illegal fishing, marine environmental protection, and maritime domain awareness. Encouraging joint efforts among ASEAN member states on these issues could address potential </w:t>
      </w:r>
      <w:r w:rsidR="009E4A14" w:rsidRPr="007C3B9D">
        <w:rPr>
          <w:rFonts w:cs="Calibri"/>
          <w:lang w:val="en-AU"/>
        </w:rPr>
        <w:t>flashpoints and</w:t>
      </w:r>
      <w:r w:rsidRPr="007C3B9D">
        <w:rPr>
          <w:rFonts w:cs="Calibri"/>
          <w:lang w:val="en-AU"/>
        </w:rPr>
        <w:t xml:space="preserve"> enhance regional stability. Stakeholders suggested that providing parallel support to strengthening the ASEAN Regional Forum's (ARF) preventive diplomacy mandate could transform it into a proactive force in conflict prevention within the region.</w:t>
      </w:r>
    </w:p>
    <w:p w14:paraId="11BA463E" w14:textId="77777777" w:rsidR="000C0BFA" w:rsidRPr="007C3B9D" w:rsidRDefault="000C0BFA" w:rsidP="00903D77">
      <w:pPr>
        <w:spacing w:after="120" w:line="276" w:lineRule="auto"/>
        <w:jc w:val="both"/>
        <w:rPr>
          <w:rFonts w:cs="Calibri"/>
          <w:lang w:val="en-AU"/>
        </w:rPr>
      </w:pPr>
      <w:r w:rsidRPr="007C3B9D">
        <w:rPr>
          <w:rFonts w:cs="Calibri"/>
          <w:lang w:val="en-AU"/>
        </w:rPr>
        <w:t>Cybersecurity continues to be a critical area due to the rise of artificial intelligence (AI), deepfakes, and the integrity of online content. Addressing these emerging threats requires enhancing national frameworks and cooperation on cybersecurity norms, especially for member states needing additional support. The emphasis on combating disinformation aligns with ASEAN Cybersecurity Cooperation Centre's (</w:t>
      </w:r>
      <w:proofErr w:type="spellStart"/>
      <w:r w:rsidRPr="007C3B9D">
        <w:rPr>
          <w:rFonts w:cs="Calibri"/>
          <w:lang w:val="en-AU"/>
        </w:rPr>
        <w:t>CyberCC</w:t>
      </w:r>
      <w:proofErr w:type="spellEnd"/>
      <w:r w:rsidRPr="007C3B9D">
        <w:rPr>
          <w:rFonts w:cs="Calibri"/>
          <w:lang w:val="en-AU"/>
        </w:rPr>
        <w:t>) ongoing priorities.</w:t>
      </w:r>
    </w:p>
    <w:p w14:paraId="32257870" w14:textId="77777777" w:rsidR="000C0BFA" w:rsidRPr="007C3B9D" w:rsidRDefault="000C0BFA" w:rsidP="00903D77">
      <w:pPr>
        <w:spacing w:after="120" w:line="276" w:lineRule="auto"/>
        <w:jc w:val="both"/>
        <w:rPr>
          <w:rFonts w:cs="Calibri"/>
          <w:lang w:val="en-AU"/>
        </w:rPr>
      </w:pPr>
      <w:r w:rsidRPr="007C3B9D">
        <w:rPr>
          <w:rFonts w:cs="Calibri"/>
          <w:lang w:val="en-AU"/>
        </w:rPr>
        <w:lastRenderedPageBreak/>
        <w:t xml:space="preserve">Integrating the WPS agenda into ASEAN's digital economy goals was suggested as an area that could offer an opportunity for empowering women in security-related digital initiatives. Supporting women's involvement in digital security and leadership would strengthen ASEAN's overall resilience. </w:t>
      </w:r>
    </w:p>
    <w:p w14:paraId="628A3834"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While the </w:t>
      </w:r>
      <w:proofErr w:type="gramStart"/>
      <w:r w:rsidRPr="007C3B9D">
        <w:rPr>
          <w:rFonts w:cs="Calibri"/>
          <w:lang w:val="en-AU"/>
        </w:rPr>
        <w:t>general consensus</w:t>
      </w:r>
      <w:proofErr w:type="gramEnd"/>
      <w:r w:rsidRPr="007C3B9D">
        <w:rPr>
          <w:rFonts w:cs="Calibri"/>
          <w:lang w:val="en-AU"/>
        </w:rPr>
        <w:t xml:space="preserve"> is that the existing program themes encompass the key regional priorities, some stakeholders suggested that introducing additional themes could further enhance its impact. One example provided was climate change and environmental security, which pose significant risks in Southeast Asia since environmental degradation and climate-related disasters can exacerbate conflicts and undermine regional stability. A stronger cross-cutting approach related to the environment could help support the APSP’s commitment to an ASEAN cross-pillar approach.</w:t>
      </w:r>
    </w:p>
    <w:p w14:paraId="6B9B02B9"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Enhancing ASEAN's institutional capacity can improve the implementation of security initiatives. Strong governance structures are essential for addressing both traditional and non-traditional security threats. More extensive capacity-building programs for ASEAN institutions and support for policy development would be valuable additions. </w:t>
      </w:r>
    </w:p>
    <w:p w14:paraId="34C45943" w14:textId="77777777" w:rsidR="000C0BFA" w:rsidRPr="007C3B9D" w:rsidRDefault="000C0BFA" w:rsidP="00903D77">
      <w:pPr>
        <w:spacing w:after="120" w:line="276" w:lineRule="auto"/>
        <w:jc w:val="both"/>
        <w:rPr>
          <w:rFonts w:cs="Calibri"/>
          <w:lang w:val="en-AU"/>
        </w:rPr>
      </w:pPr>
      <w:r w:rsidRPr="007C3B9D">
        <w:rPr>
          <w:rFonts w:cs="Calibri"/>
          <w:lang w:val="en-AU"/>
        </w:rPr>
        <w:t>Ensuring the program remains responsive to ASEAN's expressed needs is crucial. The demand-driven approach has allowed for adjustments based on shifting regional dynamics, ensuring continued relevance. Early consultation with ASEAN member states and other stakeholders, including OGD, can identify priorities and secure buy-in for activities.</w:t>
      </w:r>
    </w:p>
    <w:p w14:paraId="6BA121F3" w14:textId="77777777" w:rsidR="000C0BFA" w:rsidRPr="007C3B9D" w:rsidRDefault="000C0BFA" w:rsidP="00903D77">
      <w:pPr>
        <w:spacing w:after="120" w:line="276" w:lineRule="auto"/>
        <w:jc w:val="both"/>
        <w:rPr>
          <w:rFonts w:cs="Calibri"/>
          <w:lang w:val="en-AU"/>
        </w:rPr>
      </w:pPr>
      <w:r w:rsidRPr="007C3B9D">
        <w:rPr>
          <w:rFonts w:cs="Calibri"/>
          <w:lang w:val="en-AU"/>
        </w:rPr>
        <w:t>Promoting broader participation from ASEAN member states and civil society enhances inclusivity and regional ownership. Ensuring a stronger implication of non-governmental actors would provide diverse perspectives and enrich policy development, whereas integrating marginalised communities ensures that security initiatives are equitable and effective, and responsive to needs of AMS populations.</w:t>
      </w:r>
    </w:p>
    <w:p w14:paraId="1FA0537A" w14:textId="4EC1D85B" w:rsidR="000C0BFA" w:rsidRPr="007C3B9D" w:rsidRDefault="000C0BFA" w:rsidP="0035461D">
      <w:pPr>
        <w:pStyle w:val="Heading3"/>
      </w:pPr>
      <w:r w:rsidRPr="007C3B9D">
        <w:t>Options for restructuring the program</w:t>
      </w:r>
    </w:p>
    <w:p w14:paraId="64AF2DE2" w14:textId="77777777" w:rsidR="000C0BFA" w:rsidRPr="007C3B9D" w:rsidRDefault="000C0BFA" w:rsidP="00903D77">
      <w:pPr>
        <w:spacing w:after="120" w:line="276" w:lineRule="auto"/>
        <w:jc w:val="both"/>
        <w:rPr>
          <w:rFonts w:cs="Calibri"/>
          <w:lang w:val="en-AU"/>
        </w:rPr>
      </w:pPr>
      <w:r w:rsidRPr="007C3B9D">
        <w:rPr>
          <w:rFonts w:cs="Calibri"/>
          <w:lang w:val="en-AU"/>
        </w:rPr>
        <w:t>Maintaining the current structure by retaining TAF as the sole implementing partner, while making minor adjustments, is clearly a most attractive option. This approach leverages TAF's strengths in regional engagement and logistical expertise, maintains continuity, and builds on established relationships. However, it may not fully address the desire for broader partnerships and could leave potential political risks due to TAF's U.S. affiliation unmitigated.</w:t>
      </w:r>
    </w:p>
    <w:p w14:paraId="2F802AA4"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Formalising partnerships with TAF's regional offices in Bangkok or Jakarta could be a further option. Contracting directly with these offices would reduce perceptions of U.S. </w:t>
      </w:r>
      <w:proofErr w:type="gramStart"/>
      <w:r w:rsidRPr="007C3B9D">
        <w:rPr>
          <w:rFonts w:cs="Calibri"/>
          <w:lang w:val="en-AU"/>
        </w:rPr>
        <w:t>influence, and</w:t>
      </w:r>
      <w:proofErr w:type="gramEnd"/>
      <w:r w:rsidRPr="007C3B9D">
        <w:rPr>
          <w:rFonts w:cs="Calibri"/>
          <w:lang w:val="en-AU"/>
        </w:rPr>
        <w:t xml:space="preserve"> emphasise the program's regional embedding. While this would require legal and administrative adjustments, it would serve to maintain TAF's operational efficiency, while alleviating political concerns.</w:t>
      </w:r>
    </w:p>
    <w:p w14:paraId="62F0B2DD" w14:textId="77777777" w:rsidR="000C0BFA" w:rsidRPr="007C3B9D" w:rsidRDefault="000C0BFA" w:rsidP="00903D77">
      <w:pPr>
        <w:spacing w:after="120" w:line="276" w:lineRule="auto"/>
        <w:jc w:val="both"/>
        <w:rPr>
          <w:rFonts w:cs="Calibri"/>
          <w:lang w:val="en-AU"/>
        </w:rPr>
      </w:pPr>
      <w:r w:rsidRPr="007C3B9D">
        <w:rPr>
          <w:rFonts w:cs="Calibri"/>
          <w:lang w:val="en-AU"/>
        </w:rPr>
        <w:t>Incorporating Australian institutions in a strategic advisory role offers another restructuring option. Partnering with Australian think tanks or universities would enhance the program's parallel ‘Australian’ identity and bring in specialised expertise, thus strengthening ties with Australian government departments. However, these institutions may lack the regional presence and networks that TAF offers, and there is a risk of diluting TAF's operational efficiency.</w:t>
      </w:r>
    </w:p>
    <w:p w14:paraId="470AA798"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Adopting a consortium model by creating a group of multiple implementing partners, including regional organisations, could diversify expertise and resources. This approach could increase regional ownership and </w:t>
      </w:r>
      <w:proofErr w:type="gramStart"/>
      <w:r w:rsidRPr="007C3B9D">
        <w:rPr>
          <w:rFonts w:cs="Calibri"/>
          <w:lang w:val="en-AU"/>
        </w:rPr>
        <w:t>acceptance, but</w:t>
      </w:r>
      <w:proofErr w:type="gramEnd"/>
      <w:r w:rsidRPr="007C3B9D">
        <w:rPr>
          <w:rFonts w:cs="Calibri"/>
          <w:lang w:val="en-AU"/>
        </w:rPr>
        <w:t xml:space="preserve"> may introduce operational bottlenecks and complexity in coordination. Clear role definitions and management structures would be essential to avoid misaligned objectives.</w:t>
      </w:r>
    </w:p>
    <w:p w14:paraId="7ECC4DDA" w14:textId="77777777" w:rsidR="000C0BFA" w:rsidRPr="007C3B9D" w:rsidRDefault="000C0BFA" w:rsidP="00903D77">
      <w:pPr>
        <w:spacing w:after="120" w:line="276" w:lineRule="auto"/>
        <w:jc w:val="both"/>
        <w:rPr>
          <w:rFonts w:cs="Calibri"/>
          <w:lang w:val="en-AU"/>
        </w:rPr>
      </w:pPr>
      <w:r w:rsidRPr="007C3B9D">
        <w:rPr>
          <w:rFonts w:cs="Calibri"/>
          <w:lang w:val="en-AU"/>
        </w:rPr>
        <w:lastRenderedPageBreak/>
        <w:t xml:space="preserve">Establishing a permanent facility or mechanism to supersede APSP presents a significantly more ambitious restructuring option. This long-term investment would provide structural longevity and stability, positioning Australia as a trusted, neutral partner in ASEAN. Creating a lasting facility embedded in ASEAN's structures would reinforce Australia's commitment to the region's stability and political security. However, this option would require significant investment and long-term </w:t>
      </w:r>
      <w:proofErr w:type="gramStart"/>
      <w:r w:rsidRPr="007C3B9D">
        <w:rPr>
          <w:rFonts w:cs="Calibri"/>
          <w:lang w:val="en-AU"/>
        </w:rPr>
        <w:t>commitment, and</w:t>
      </w:r>
      <w:proofErr w:type="gramEnd"/>
      <w:r w:rsidRPr="007C3B9D">
        <w:rPr>
          <w:rFonts w:cs="Calibri"/>
          <w:lang w:val="en-AU"/>
        </w:rPr>
        <w:t xml:space="preserve"> may face challenges in securing any required multilateral funding and support.</w:t>
      </w:r>
    </w:p>
    <w:p w14:paraId="7ED3AA04" w14:textId="77777777" w:rsidR="000C0BFA" w:rsidRPr="007C3B9D" w:rsidRDefault="000C0BFA" w:rsidP="00903D77">
      <w:pPr>
        <w:spacing w:after="120" w:line="276" w:lineRule="auto"/>
        <w:jc w:val="both"/>
        <w:rPr>
          <w:rFonts w:cs="Calibri"/>
          <w:lang w:val="en-AU"/>
        </w:rPr>
      </w:pPr>
      <w:r w:rsidRPr="007C3B9D">
        <w:rPr>
          <w:rFonts w:cs="Calibri"/>
          <w:lang w:val="en-AU"/>
        </w:rPr>
        <w:t>Regardless of the chosen structure, certain strategies can mitigate political risks and enhance effectiveness. Establishing partnerships or affiliations with other regional organisations, such as the Jakarta Centre for Law Enforcement Cooperation (JCLEC) (</w:t>
      </w:r>
      <w:r w:rsidRPr="007C3B9D">
        <w:rPr>
          <w:rFonts w:cs="Calibri"/>
          <w:i/>
          <w:iCs/>
          <w:lang w:val="en-AU"/>
        </w:rPr>
        <w:t>see below</w:t>
      </w:r>
      <w:r w:rsidRPr="007C3B9D">
        <w:rPr>
          <w:rFonts w:cs="Calibri"/>
          <w:lang w:val="en-AU"/>
        </w:rPr>
        <w:t>) could enhance local credibility and reduce reliance on TAF for outreach and engagement. Collaborating with such entities would also underscore DFAT's commitment to ASEAN's security and development agenda.</w:t>
      </w:r>
    </w:p>
    <w:p w14:paraId="192E4508"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Implementing structured management frameworks, such as establishing steering committees, advisory boards, and local engagement officers, would increase transparency and accountability. These structures would ensure alignment with ASEAN priorities and facilitate stakeholder engagement at various levels. For instance, a joint steering committee comprising representatives from DFAT, TAF, ASEAN, and potential partners would provide balanced governance, </w:t>
      </w:r>
      <w:proofErr w:type="gramStart"/>
      <w:r w:rsidRPr="007C3B9D">
        <w:rPr>
          <w:rFonts w:cs="Calibri"/>
          <w:lang w:val="en-AU"/>
        </w:rPr>
        <w:t>enabling</w:t>
      </w:r>
      <w:proofErr w:type="gramEnd"/>
      <w:r w:rsidRPr="007C3B9D">
        <w:rPr>
          <w:rFonts w:cs="Calibri"/>
          <w:lang w:val="en-AU"/>
        </w:rPr>
        <w:t xml:space="preserve"> strategic oversight and reinforcing the program's commitment to regional autonomy.</w:t>
      </w:r>
    </w:p>
    <w:p w14:paraId="1F1AF4D6"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Assigning specific roles to each partner based on expertise would be crucial however, </w:t>
      </w:r>
      <w:proofErr w:type="gramStart"/>
      <w:r w:rsidRPr="007C3B9D">
        <w:rPr>
          <w:rFonts w:cs="Calibri"/>
          <w:lang w:val="en-AU"/>
        </w:rPr>
        <w:t>in particular in</w:t>
      </w:r>
      <w:proofErr w:type="gramEnd"/>
      <w:r w:rsidRPr="007C3B9D">
        <w:rPr>
          <w:rFonts w:cs="Calibri"/>
          <w:lang w:val="en-AU"/>
        </w:rPr>
        <w:t xml:space="preserve"> a consortium model. Clear role definitions would avoid overlap and ambiguity, ensuring that activities align with program goals rather than reflecting individual organisational interests. This approach would allow APSP to benefit from a consortium's advantages and avoid risks of misalignment, without compromising operational coherence or political neutrality.</w:t>
      </w:r>
    </w:p>
    <w:p w14:paraId="4D119349" w14:textId="08C9AF1B" w:rsidR="000E799F" w:rsidRPr="007C3B9D" w:rsidRDefault="000E799F" w:rsidP="00903D77">
      <w:pPr>
        <w:spacing w:after="120" w:line="276" w:lineRule="auto"/>
        <w:jc w:val="both"/>
        <w:rPr>
          <w:lang w:val="en-AU"/>
        </w:rPr>
      </w:pPr>
      <w:r w:rsidRPr="007C3B9D">
        <w:rPr>
          <w:lang w:val="en-AU"/>
        </w:rPr>
        <w:t xml:space="preserve">Two related elements </w:t>
      </w:r>
      <w:r w:rsidR="006D04E4" w:rsidRPr="007C3B9D">
        <w:rPr>
          <w:lang w:val="en-AU"/>
        </w:rPr>
        <w:t xml:space="preserve">also </w:t>
      </w:r>
      <w:r w:rsidRPr="007C3B9D">
        <w:rPr>
          <w:lang w:val="en-AU"/>
        </w:rPr>
        <w:t>emerged from interviews, which could further improve the management of a future APSP phase</w:t>
      </w:r>
      <w:r w:rsidR="006D04E4" w:rsidRPr="007C3B9D">
        <w:rPr>
          <w:lang w:val="en-AU"/>
        </w:rPr>
        <w:t xml:space="preserve">, </w:t>
      </w:r>
      <w:r w:rsidRPr="007C3B9D">
        <w:rPr>
          <w:lang w:val="en-AU"/>
        </w:rPr>
        <w:t xml:space="preserve">both related to the visibility of the </w:t>
      </w:r>
      <w:r w:rsidR="008332B1" w:rsidRPr="007C3B9D">
        <w:rPr>
          <w:lang w:val="en-AU"/>
        </w:rPr>
        <w:t>program</w:t>
      </w:r>
      <w:r w:rsidRPr="007C3B9D">
        <w:rPr>
          <w:lang w:val="en-AU"/>
        </w:rPr>
        <w:t xml:space="preserve"> among Australian stakeholders, including OGDs, and their ASEAN counterparts. They concern forward planning and consultations on emerging issues:</w:t>
      </w:r>
    </w:p>
    <w:p w14:paraId="364C4285" w14:textId="1A6AF2A1" w:rsidR="000E799F" w:rsidRPr="007C3B9D" w:rsidRDefault="000E799F" w:rsidP="00953443">
      <w:pPr>
        <w:pStyle w:val="ListParagraph"/>
        <w:numPr>
          <w:ilvl w:val="0"/>
          <w:numId w:val="43"/>
        </w:numPr>
        <w:spacing w:after="0" w:line="276" w:lineRule="auto"/>
        <w:contextualSpacing w:val="0"/>
        <w:jc w:val="both"/>
        <w:rPr>
          <w:lang w:val="en-AU"/>
        </w:rPr>
      </w:pPr>
      <w:r w:rsidRPr="007C3B9D">
        <w:rPr>
          <w:color w:val="0F4761" w:themeColor="accent1" w:themeShade="BF"/>
          <w:lang w:val="en-AU"/>
        </w:rPr>
        <w:t>Forward planning</w:t>
      </w:r>
      <w:r w:rsidR="00170ADB" w:rsidRPr="007C3B9D">
        <w:rPr>
          <w:color w:val="0F4761" w:themeColor="accent1" w:themeShade="BF"/>
          <w:lang w:val="en-AU"/>
        </w:rPr>
        <w:t xml:space="preserve">: </w:t>
      </w:r>
      <w:r w:rsidRPr="007C3B9D">
        <w:rPr>
          <w:lang w:val="en-AU"/>
        </w:rPr>
        <w:t>Some representatives of OGDs and civil society organisations noted that their institutions, which generally deal with ASEAN counterpart on a bilateral basis, do not necessarily understand the value to them of engaging with ASEAN, and in any case would benefit from advance notice of planned activities for budget planning purposes.</w:t>
      </w:r>
    </w:p>
    <w:p w14:paraId="78BF04FB" w14:textId="394517AD" w:rsidR="000E799F" w:rsidRPr="007C3B9D" w:rsidRDefault="000E799F" w:rsidP="00903D77">
      <w:pPr>
        <w:pStyle w:val="ListParagraph"/>
        <w:numPr>
          <w:ilvl w:val="0"/>
          <w:numId w:val="43"/>
        </w:numPr>
        <w:spacing w:after="120" w:line="276" w:lineRule="auto"/>
        <w:contextualSpacing w:val="0"/>
        <w:jc w:val="both"/>
        <w:rPr>
          <w:lang w:val="en-AU"/>
        </w:rPr>
      </w:pPr>
      <w:r w:rsidRPr="007C3B9D">
        <w:rPr>
          <w:color w:val="0F4761" w:themeColor="accent1" w:themeShade="BF"/>
          <w:lang w:val="en-AU"/>
        </w:rPr>
        <w:t>Emerging issues</w:t>
      </w:r>
      <w:r w:rsidR="00170ADB" w:rsidRPr="007C3B9D">
        <w:rPr>
          <w:color w:val="0F4761" w:themeColor="accent1" w:themeShade="BF"/>
          <w:lang w:val="en-AU"/>
        </w:rPr>
        <w:t xml:space="preserve">: </w:t>
      </w:r>
      <w:r w:rsidRPr="007C3B9D">
        <w:rPr>
          <w:lang w:val="en-AU"/>
        </w:rPr>
        <w:t>The management of a new phase of APSP could benefit from a process of consultation among Australian and ASEAN stakeholders, including Australian OGDs and academics, to identify emerging political security issues for APSP to address.</w:t>
      </w:r>
    </w:p>
    <w:p w14:paraId="682F80AB" w14:textId="7FE62A6F" w:rsidR="000C0BFA" w:rsidRPr="007C3B9D" w:rsidRDefault="000C0BFA" w:rsidP="0035461D">
      <w:pPr>
        <w:pStyle w:val="Heading3"/>
      </w:pPr>
      <w:r w:rsidRPr="007C3B9D">
        <w:t>Potential partners for future collaboration</w:t>
      </w:r>
    </w:p>
    <w:p w14:paraId="0168128A"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Engaging both Australian and regional institutions offers valuable expertise and perspectives that enhance APSP's alignment with ASEAN's strategic goals, and consideration should be given to expanding and formalising these relationships. In Australia, for example, the Australian Strategic Policy Institute (ASPI) is a prominent think tank with extensive expertise in security, defence, and cybersecurity. Its involvement could bolster APSP's strategic offerings while addressing pressing ASEAN security concerns. As another example, The Lowy Institute, known for its research on Asia-Pacific policy and international relations, could offer research insights, organise high-level forums, and enhance diplomatic support. In addition, several Australian universities, including Monash University and the Australian National University (ANU), have departments that specialise in research </w:t>
      </w:r>
      <w:r w:rsidRPr="007C3B9D">
        <w:rPr>
          <w:rFonts w:cs="Calibri"/>
          <w:lang w:val="en-AU"/>
        </w:rPr>
        <w:lastRenderedPageBreak/>
        <w:t>and education focused on Southeast Asia. Collaborating even more strongly with academia could involve capacity-building programs, policy workshops, and academic exchanges, strengthening ASEAN and AMS institutional capacities.</w:t>
      </w:r>
    </w:p>
    <w:p w14:paraId="109BF9A0" w14:textId="77777777" w:rsidR="000C0BFA" w:rsidRPr="007C3B9D" w:rsidRDefault="000C0BFA" w:rsidP="00903D77">
      <w:pPr>
        <w:spacing w:after="120" w:line="276" w:lineRule="auto"/>
        <w:jc w:val="both"/>
        <w:rPr>
          <w:rFonts w:cs="Calibri"/>
          <w:lang w:val="en-AU"/>
        </w:rPr>
      </w:pPr>
      <w:r w:rsidRPr="007C3B9D">
        <w:rPr>
          <w:rFonts w:cs="Calibri"/>
          <w:lang w:val="en-AU"/>
        </w:rPr>
        <w:t>Regional institutions, such as the ASEAN Institutes of Strategic and International Studies (ASEAN-ISIS) could provide unique insights into ASEAN's internal priorities and sensitivities. Collaborating more strongly with ASEAN-ISIS would allow APSP to access regionally relevant expertise, strengthen its credibility, and align more closely with ASEAN's diplomatic and strategic goals.</w:t>
      </w:r>
    </w:p>
    <w:p w14:paraId="4AC41929" w14:textId="77777777" w:rsidR="000C0BFA" w:rsidRPr="007C3B9D" w:rsidRDefault="000C0BFA" w:rsidP="00903D77">
      <w:pPr>
        <w:spacing w:after="120" w:line="276" w:lineRule="auto"/>
        <w:jc w:val="both"/>
        <w:rPr>
          <w:rFonts w:cs="Calibri"/>
          <w:lang w:val="en-AU"/>
        </w:rPr>
      </w:pPr>
      <w:r w:rsidRPr="007C3B9D">
        <w:rPr>
          <w:rFonts w:cs="Calibri"/>
          <w:lang w:val="en-AU"/>
        </w:rPr>
        <w:t xml:space="preserve">Several Australian stakeholders suggested increased ties with the Jakarta Centre for Law Enforcement Cooperation (JCLEC), a leading law enforcement institution founded through a partnership between the Australian Federal Police and the Indonesian National </w:t>
      </w:r>
      <w:proofErr w:type="gramStart"/>
      <w:r w:rsidRPr="007C3B9D">
        <w:rPr>
          <w:rFonts w:cs="Calibri"/>
          <w:lang w:val="en-AU"/>
        </w:rPr>
        <w:t>Police, and</w:t>
      </w:r>
      <w:proofErr w:type="gramEnd"/>
      <w:r w:rsidRPr="007C3B9D">
        <w:rPr>
          <w:rFonts w:cs="Calibri"/>
          <w:lang w:val="en-AU"/>
        </w:rPr>
        <w:t xml:space="preserve"> highly regarded in Southeast Asia. JCLEC's involvement in APSP could strengthen Australia's role as a crucial security partner, enhancing the program's regional acceptance and operational credibility.</w:t>
      </w:r>
    </w:p>
    <w:p w14:paraId="71893F59" w14:textId="43940759" w:rsidR="000C0BFA" w:rsidRPr="007C3B9D" w:rsidRDefault="000C0BFA" w:rsidP="00903D77">
      <w:pPr>
        <w:spacing w:after="120" w:line="276" w:lineRule="auto"/>
        <w:jc w:val="both"/>
        <w:rPr>
          <w:rFonts w:cs="Calibri"/>
          <w:lang w:val="en-AU"/>
        </w:rPr>
      </w:pPr>
      <w:r w:rsidRPr="007C3B9D">
        <w:rPr>
          <w:rFonts w:cs="Calibri"/>
          <w:lang w:val="en-AU"/>
        </w:rPr>
        <w:t xml:space="preserve">Institutes such the Singapore-based Institute of Southeast Asian Studies (ISEAS - Yusof Ishak Institute) and the </w:t>
      </w:r>
      <w:proofErr w:type="spellStart"/>
      <w:r w:rsidRPr="007C3B9D">
        <w:rPr>
          <w:rFonts w:cs="Calibri"/>
          <w:lang w:val="en-AU"/>
        </w:rPr>
        <w:t>Center</w:t>
      </w:r>
      <w:proofErr w:type="spellEnd"/>
      <w:r w:rsidRPr="007C3B9D">
        <w:rPr>
          <w:rFonts w:cs="Calibri"/>
          <w:lang w:val="en-AU"/>
        </w:rPr>
        <w:t xml:space="preserve"> for Strategic and International Studies (CSIS) Jakarta also offer respected platforms for research and policy analysis. Collaborating with these or similar AMS institutions would deepen APSP's engagement with regionally respected scholars and policy analysts.</w:t>
      </w:r>
    </w:p>
    <w:p w14:paraId="42B22025" w14:textId="1656DE0F" w:rsidR="00953443" w:rsidRDefault="00953443">
      <w:pPr>
        <w:rPr>
          <w:b/>
          <w:bCs/>
          <w:color w:val="156082" w:themeColor="accent1"/>
          <w:lang w:val="en-AU"/>
        </w:rPr>
      </w:pPr>
      <w:r>
        <w:rPr>
          <w:b/>
          <w:bCs/>
          <w:color w:val="156082" w:themeColor="accent1"/>
          <w:lang w:val="en-AU"/>
        </w:rPr>
        <w:br w:type="page"/>
      </w:r>
    </w:p>
    <w:p w14:paraId="241AF792" w14:textId="2D94C6BF" w:rsidR="001957EC" w:rsidRPr="007C3B9D" w:rsidRDefault="001957EC" w:rsidP="00903D77">
      <w:pPr>
        <w:pStyle w:val="Heading1"/>
        <w:pBdr>
          <w:bottom w:val="single" w:sz="4" w:space="0" w:color="595959" w:themeColor="text1" w:themeTint="A6"/>
        </w:pBdr>
        <w:spacing w:before="0" w:after="120" w:line="276" w:lineRule="auto"/>
        <w:rPr>
          <w:lang w:val="en-AU"/>
        </w:rPr>
      </w:pPr>
      <w:bookmarkStart w:id="21" w:name="_Toc206492271"/>
      <w:r w:rsidRPr="007C3B9D">
        <w:rPr>
          <w:lang w:val="en-AU"/>
        </w:rPr>
        <w:lastRenderedPageBreak/>
        <w:t>Conclusions</w:t>
      </w:r>
      <w:bookmarkEnd w:id="21"/>
    </w:p>
    <w:p w14:paraId="1282B703" w14:textId="77777777" w:rsidR="00074999" w:rsidRPr="007C3B9D" w:rsidRDefault="00074999" w:rsidP="008059F0">
      <w:pPr>
        <w:pStyle w:val="Heading2"/>
      </w:pPr>
      <w:r w:rsidRPr="007C3B9D">
        <w:t>Overall Conclusion</w:t>
      </w:r>
    </w:p>
    <w:p w14:paraId="3BB3A90F" w14:textId="58B372F3" w:rsidR="00074999" w:rsidRPr="007C3B9D" w:rsidRDefault="00074999" w:rsidP="00903D77">
      <w:pPr>
        <w:spacing w:after="120" w:line="276" w:lineRule="auto"/>
        <w:jc w:val="both"/>
        <w:rPr>
          <w:rFonts w:cstheme="minorHAnsi"/>
          <w:lang w:val="en-AU"/>
        </w:rPr>
      </w:pPr>
      <w:r w:rsidRPr="007C3B9D">
        <w:rPr>
          <w:lang w:val="en-AU"/>
        </w:rPr>
        <w:t>The program has been successful in</w:t>
      </w:r>
      <w:r w:rsidRPr="007C3B9D">
        <w:rPr>
          <w:rFonts w:cstheme="minorHAnsi"/>
          <w:lang w:val="en-AU"/>
        </w:rPr>
        <w:t xml:space="preserve"> aligning with ASEAN's needs and priorities, enhancing mutual engagement, and contributing to regional political security. Its activities have been efficient and effective, fostering dialogue, building institutional capacity, and promoting trust. The program's integration of GEDSI considerations further strengthens its impact. Future programming should build on these strengths, addressing identified challenges to maximi</w:t>
      </w:r>
      <w:r w:rsidR="00170ADB" w:rsidRPr="007C3B9D">
        <w:rPr>
          <w:rFonts w:cstheme="minorHAnsi"/>
          <w:lang w:val="en-AU"/>
        </w:rPr>
        <w:t>s</w:t>
      </w:r>
      <w:r w:rsidRPr="007C3B9D">
        <w:rPr>
          <w:rFonts w:cstheme="minorHAnsi"/>
          <w:lang w:val="en-AU"/>
        </w:rPr>
        <w:t>e its contribution to regional stability and collaboration.</w:t>
      </w:r>
    </w:p>
    <w:p w14:paraId="55BDF833" w14:textId="77777777" w:rsidR="00074999" w:rsidRPr="007C3B9D" w:rsidRDefault="00074999" w:rsidP="0035461D">
      <w:pPr>
        <w:pStyle w:val="Heading3"/>
      </w:pPr>
      <w:r w:rsidRPr="007C3B9D">
        <w:t>Relevance</w:t>
      </w:r>
    </w:p>
    <w:p w14:paraId="1740FD29" w14:textId="77777777" w:rsidR="00074999" w:rsidRPr="007C3B9D" w:rsidRDefault="00074999" w:rsidP="00903D77">
      <w:pPr>
        <w:spacing w:after="120" w:line="276" w:lineRule="auto"/>
        <w:jc w:val="both"/>
        <w:rPr>
          <w:rFonts w:cstheme="minorHAnsi"/>
          <w:lang w:val="en-AU"/>
        </w:rPr>
      </w:pPr>
      <w:r w:rsidRPr="007C3B9D">
        <w:rPr>
          <w:rFonts w:cstheme="minorHAnsi"/>
          <w:lang w:val="en-AU"/>
        </w:rPr>
        <w:t>The program effectively addresses ASEAN's regional, political, and security challenges by aligning its objectives and activities with ASEAN's pressing needs in cybersecurity, maritime security, transnational crime, and the Women, Peace, and Security (WPS) agenda.</w:t>
      </w:r>
    </w:p>
    <w:p w14:paraId="333CB96E" w14:textId="1A819A60" w:rsidR="00074999" w:rsidRPr="007C3B9D" w:rsidRDefault="00074999" w:rsidP="00953443">
      <w:pPr>
        <w:numPr>
          <w:ilvl w:val="0"/>
          <w:numId w:val="51"/>
        </w:numPr>
        <w:spacing w:after="0" w:line="276" w:lineRule="auto"/>
        <w:jc w:val="both"/>
        <w:rPr>
          <w:rFonts w:cstheme="minorHAnsi"/>
          <w:lang w:val="en-AU"/>
        </w:rPr>
      </w:pPr>
      <w:r w:rsidRPr="007C3B9D">
        <w:rPr>
          <w:rFonts w:cstheme="minorHAnsi"/>
          <w:lang w:val="en-AU"/>
        </w:rPr>
        <w:t>The program is grounded in a sound understanding of ASEAN's needs and capacities. It tackles the complex political security challenges faced by ASEAN and its member states through coordinated strategies, robust legal frameworks, enhanced cooperation, and engagement with external partners. This approach strengthens regional mechanisms and fosters a culture of collaboration.</w:t>
      </w:r>
    </w:p>
    <w:p w14:paraId="3BA278E5" w14:textId="790C2439" w:rsidR="00074999" w:rsidRPr="007C3B9D" w:rsidRDefault="00074999" w:rsidP="00953443">
      <w:pPr>
        <w:numPr>
          <w:ilvl w:val="0"/>
          <w:numId w:val="51"/>
        </w:numPr>
        <w:spacing w:after="0" w:line="276" w:lineRule="auto"/>
        <w:jc w:val="both"/>
        <w:rPr>
          <w:rFonts w:cstheme="minorHAnsi"/>
          <w:lang w:val="en-AU"/>
        </w:rPr>
      </w:pPr>
      <w:r w:rsidRPr="007C3B9D">
        <w:rPr>
          <w:rFonts w:cstheme="minorHAnsi"/>
          <w:lang w:val="en-AU"/>
        </w:rPr>
        <w:t>Aligning with the ASEAN Cybersecurity Cooperation Strategy (2017–2020), the program enhances regional cooperation and ICT security, addressing the evolving cyber threat landscape and the need for continuous updates to legal frameworks and special</w:t>
      </w:r>
      <w:r w:rsidR="00170ADB" w:rsidRPr="007C3B9D">
        <w:rPr>
          <w:rFonts w:cstheme="minorHAnsi"/>
          <w:lang w:val="en-AU"/>
        </w:rPr>
        <w:t>is</w:t>
      </w:r>
      <w:r w:rsidRPr="007C3B9D">
        <w:rPr>
          <w:rFonts w:cstheme="minorHAnsi"/>
          <w:lang w:val="en-AU"/>
        </w:rPr>
        <w:t>ed expertise.</w:t>
      </w:r>
    </w:p>
    <w:p w14:paraId="6304AB0D" w14:textId="61D68642" w:rsidR="00074999" w:rsidRPr="007C3B9D" w:rsidRDefault="00074999" w:rsidP="00953443">
      <w:pPr>
        <w:numPr>
          <w:ilvl w:val="0"/>
          <w:numId w:val="51"/>
        </w:numPr>
        <w:spacing w:after="0" w:line="276" w:lineRule="auto"/>
        <w:jc w:val="both"/>
        <w:rPr>
          <w:rFonts w:cstheme="minorHAnsi"/>
          <w:lang w:val="en-AU"/>
        </w:rPr>
      </w:pPr>
      <w:r w:rsidRPr="007C3B9D">
        <w:rPr>
          <w:rFonts w:cstheme="minorHAnsi"/>
          <w:lang w:val="en-AU"/>
        </w:rPr>
        <w:t>By focusing on the ASEAN Regional Forum (ARF) Work Plan on Maritime Security, the program addresses critical concerns related to maritime security, including shared awareness, confidence-building measures, and capacity building in accordance with international laws like UNCLOS.</w:t>
      </w:r>
    </w:p>
    <w:p w14:paraId="452304F6" w14:textId="7DE96CDC" w:rsidR="00074999" w:rsidRPr="007C3B9D" w:rsidRDefault="00074999" w:rsidP="00953443">
      <w:pPr>
        <w:numPr>
          <w:ilvl w:val="0"/>
          <w:numId w:val="51"/>
        </w:numPr>
        <w:spacing w:after="0" w:line="276" w:lineRule="auto"/>
        <w:jc w:val="both"/>
        <w:rPr>
          <w:rFonts w:cstheme="minorHAnsi"/>
          <w:lang w:val="en-AU"/>
        </w:rPr>
      </w:pPr>
      <w:r w:rsidRPr="007C3B9D">
        <w:rPr>
          <w:rFonts w:cstheme="minorHAnsi"/>
          <w:lang w:val="en-AU"/>
        </w:rPr>
        <w:t>The program aligns with the ASEAN Plan of Action in Combating Transnational Crime (2016–2025) and the SOMTC Work Program (2022–2024), enhancing cooperation among member states in addressing terrorism, human trafficking, and drug smuggling through information-sharing, legal cooperation, and capacity building.</w:t>
      </w:r>
    </w:p>
    <w:p w14:paraId="6B823924" w14:textId="7F0240C9" w:rsidR="00074999" w:rsidRPr="007C3B9D" w:rsidRDefault="00074999" w:rsidP="00953443">
      <w:pPr>
        <w:numPr>
          <w:ilvl w:val="0"/>
          <w:numId w:val="51"/>
        </w:numPr>
        <w:spacing w:after="0" w:line="276" w:lineRule="auto"/>
        <w:jc w:val="both"/>
        <w:rPr>
          <w:rFonts w:cstheme="minorHAnsi"/>
          <w:lang w:val="en-AU"/>
        </w:rPr>
      </w:pPr>
      <w:r w:rsidRPr="007C3B9D">
        <w:rPr>
          <w:rFonts w:cstheme="minorHAnsi"/>
          <w:lang w:val="en-AU"/>
        </w:rPr>
        <w:t>Supporting the integration of the WPS agenda into ASEAN's political security framework, the program promotes inclusive and sustainable peace, recogn</w:t>
      </w:r>
      <w:r w:rsidR="00170ADB" w:rsidRPr="007C3B9D">
        <w:rPr>
          <w:rFonts w:cstheme="minorHAnsi"/>
          <w:lang w:val="en-AU"/>
        </w:rPr>
        <w:t>is</w:t>
      </w:r>
      <w:r w:rsidRPr="007C3B9D">
        <w:rPr>
          <w:rFonts w:cstheme="minorHAnsi"/>
          <w:lang w:val="en-AU"/>
        </w:rPr>
        <w:t>ing the vital role of women in conflict prevention, resolution, and post-conflict reconstruction.</w:t>
      </w:r>
    </w:p>
    <w:p w14:paraId="7DD709DE" w14:textId="147C4B72" w:rsidR="00074999" w:rsidRPr="007C3B9D" w:rsidRDefault="00074999" w:rsidP="00953443">
      <w:pPr>
        <w:numPr>
          <w:ilvl w:val="0"/>
          <w:numId w:val="51"/>
        </w:numPr>
        <w:spacing w:after="0" w:line="276" w:lineRule="auto"/>
        <w:jc w:val="both"/>
        <w:rPr>
          <w:rFonts w:cstheme="minorHAnsi"/>
          <w:lang w:val="en-AU"/>
        </w:rPr>
      </w:pPr>
      <w:r w:rsidRPr="007C3B9D">
        <w:rPr>
          <w:rFonts w:cstheme="minorHAnsi"/>
          <w:lang w:val="en-AU"/>
        </w:rPr>
        <w:t>The program's four target areas are well-aligned with both Australia’s and ASEAN’s policies and priorities. It operates within ASEAN's strategic frameworks, reinforcing ASEAN's capacity without imposing external priorities. This alignment strengthens the ASEAN-Australia Comprehensive Strategic Partnership.</w:t>
      </w:r>
    </w:p>
    <w:p w14:paraId="3DA28A27" w14:textId="7F670198" w:rsidR="00074999" w:rsidRPr="007C3B9D" w:rsidRDefault="00074999" w:rsidP="00903D77">
      <w:pPr>
        <w:numPr>
          <w:ilvl w:val="0"/>
          <w:numId w:val="51"/>
        </w:numPr>
        <w:spacing w:after="120" w:line="276" w:lineRule="auto"/>
        <w:jc w:val="both"/>
        <w:rPr>
          <w:rFonts w:cstheme="minorHAnsi"/>
          <w:lang w:val="en-AU"/>
        </w:rPr>
      </w:pPr>
      <w:r w:rsidRPr="007C3B9D">
        <w:rPr>
          <w:rFonts w:cstheme="minorHAnsi"/>
          <w:lang w:val="en-AU"/>
        </w:rPr>
        <w:t>The program forms a sound basis for continued and future engagement by fostering strategic alignment, integrating with ASEAN's structures and priorities, and being responsive to emerging threats. Its non-intrusive support model in sensitive areas builds trust and positions the program as a respected partner.</w:t>
      </w:r>
    </w:p>
    <w:p w14:paraId="0EFB4279" w14:textId="3957D0D8" w:rsidR="00074999" w:rsidRPr="007C3B9D" w:rsidRDefault="00151BB6" w:rsidP="00903D77">
      <w:pPr>
        <w:spacing w:after="120" w:line="276" w:lineRule="auto"/>
        <w:jc w:val="both"/>
        <w:rPr>
          <w:rFonts w:cstheme="minorHAnsi"/>
          <w:lang w:val="en-AU"/>
        </w:rPr>
      </w:pPr>
      <w:r w:rsidRPr="007C3B9D">
        <w:rPr>
          <w:rFonts w:cstheme="minorHAnsi"/>
          <w:lang w:val="en-AU"/>
        </w:rPr>
        <w:lastRenderedPageBreak/>
        <w:t>The</w:t>
      </w:r>
      <w:r w:rsidR="00074999" w:rsidRPr="007C3B9D">
        <w:rPr>
          <w:rFonts w:cstheme="minorHAnsi"/>
          <w:lang w:val="en-AU"/>
        </w:rPr>
        <w:t xml:space="preserve"> program has significantly enhanced engagement and knowledge exchange, although challenges remain in fully engaging a diverse range of Australian government departments (OGDs).</w:t>
      </w:r>
    </w:p>
    <w:p w14:paraId="5831E78F" w14:textId="49CD677F" w:rsidR="00074999" w:rsidRPr="007C3B9D" w:rsidRDefault="00074999" w:rsidP="00953443">
      <w:pPr>
        <w:numPr>
          <w:ilvl w:val="0"/>
          <w:numId w:val="50"/>
        </w:numPr>
        <w:spacing w:after="0" w:line="276" w:lineRule="auto"/>
        <w:jc w:val="both"/>
        <w:rPr>
          <w:rFonts w:cstheme="minorHAnsi"/>
          <w:lang w:val="en-AU"/>
        </w:rPr>
      </w:pPr>
      <w:r w:rsidRPr="007C3B9D">
        <w:rPr>
          <w:rFonts w:cstheme="minorHAnsi"/>
          <w:lang w:val="en-AU"/>
        </w:rPr>
        <w:t>The program engages a growing range of agencies and organ</w:t>
      </w:r>
      <w:r w:rsidR="00170ADB" w:rsidRPr="007C3B9D">
        <w:rPr>
          <w:rFonts w:cstheme="minorHAnsi"/>
          <w:lang w:val="en-AU"/>
        </w:rPr>
        <w:t>is</w:t>
      </w:r>
      <w:r w:rsidRPr="007C3B9D">
        <w:rPr>
          <w:rFonts w:cstheme="minorHAnsi"/>
          <w:lang w:val="en-AU"/>
        </w:rPr>
        <w:t xml:space="preserve">ations in both Australia and ASEAN, including sectoral bodies, the ASEAN Secretariat, institutes, and member states serving as chairs or lead shepherds. It has facilitated collaboration with </w:t>
      </w:r>
      <w:r w:rsidR="00C24DC2" w:rsidRPr="007C3B9D">
        <w:rPr>
          <w:rFonts w:cstheme="minorHAnsi"/>
          <w:lang w:val="en-AU"/>
        </w:rPr>
        <w:t>OGD</w:t>
      </w:r>
      <w:r w:rsidR="007D064A" w:rsidRPr="007C3B9D">
        <w:rPr>
          <w:rFonts w:cstheme="minorHAnsi"/>
          <w:lang w:val="en-AU"/>
        </w:rPr>
        <w:t xml:space="preserve"> such as</w:t>
      </w:r>
      <w:r w:rsidRPr="007C3B9D">
        <w:rPr>
          <w:rFonts w:cstheme="minorHAnsi"/>
          <w:lang w:val="en-AU"/>
        </w:rPr>
        <w:t xml:space="preserve"> the Australian Federal Police (AFP) and academic institutions, enhancing mutual understanding.</w:t>
      </w:r>
    </w:p>
    <w:p w14:paraId="0D8D3D5B" w14:textId="39F3E068" w:rsidR="00074999" w:rsidRPr="007C3B9D" w:rsidRDefault="00074999" w:rsidP="00903D77">
      <w:pPr>
        <w:numPr>
          <w:ilvl w:val="0"/>
          <w:numId w:val="50"/>
        </w:numPr>
        <w:spacing w:after="120" w:line="276" w:lineRule="auto"/>
        <w:jc w:val="both"/>
        <w:rPr>
          <w:rFonts w:cstheme="minorHAnsi"/>
          <w:lang w:val="en-AU"/>
        </w:rPr>
      </w:pPr>
      <w:r w:rsidRPr="007C3B9D">
        <w:rPr>
          <w:rFonts w:cstheme="minorHAnsi"/>
          <w:lang w:val="en-AU"/>
        </w:rPr>
        <w:t>Participants recogn</w:t>
      </w:r>
      <w:r w:rsidR="00170ADB" w:rsidRPr="007C3B9D">
        <w:rPr>
          <w:rFonts w:cstheme="minorHAnsi"/>
          <w:lang w:val="en-AU"/>
        </w:rPr>
        <w:t>is</w:t>
      </w:r>
      <w:r w:rsidRPr="007C3B9D">
        <w:rPr>
          <w:rFonts w:cstheme="minorHAnsi"/>
          <w:lang w:val="en-AU"/>
        </w:rPr>
        <w:t>e the reciprocal nature of learning and knowledge exchange. The program has established platforms for mutual engagement, fostering operational and strategic benefits. It leverages sectoral expertise and encourages mutual recognition of strategic priorities. However, limited OGD engagement has somewhat restricted the diversity of perspectives and expertise.</w:t>
      </w:r>
    </w:p>
    <w:p w14:paraId="4BAEE20F" w14:textId="51047AED" w:rsidR="00074999" w:rsidRPr="007C3B9D" w:rsidRDefault="00074999" w:rsidP="0035461D">
      <w:pPr>
        <w:pStyle w:val="Heading3"/>
      </w:pPr>
      <w:r w:rsidRPr="007C3B9D">
        <w:t>Efficiency</w:t>
      </w:r>
    </w:p>
    <w:p w14:paraId="54E0AAA4" w14:textId="77777777" w:rsidR="00074999" w:rsidRPr="007C3B9D" w:rsidRDefault="00074999" w:rsidP="00903D77">
      <w:pPr>
        <w:spacing w:after="120" w:line="276" w:lineRule="auto"/>
        <w:jc w:val="both"/>
        <w:rPr>
          <w:rFonts w:cstheme="minorHAnsi"/>
          <w:lang w:val="en-AU"/>
        </w:rPr>
      </w:pPr>
      <w:r w:rsidRPr="007C3B9D">
        <w:rPr>
          <w:rFonts w:cstheme="minorHAnsi"/>
          <w:lang w:val="en-AU"/>
        </w:rPr>
        <w:t>The program has been largely efficient in resource allocation and management.</w:t>
      </w:r>
    </w:p>
    <w:p w14:paraId="49FF2BD2" w14:textId="5BF4DB75" w:rsidR="00074999" w:rsidRPr="007C3B9D" w:rsidRDefault="00074999" w:rsidP="00953443">
      <w:pPr>
        <w:numPr>
          <w:ilvl w:val="0"/>
          <w:numId w:val="49"/>
        </w:numPr>
        <w:spacing w:after="0" w:line="276" w:lineRule="auto"/>
        <w:jc w:val="both"/>
        <w:rPr>
          <w:rFonts w:cstheme="minorHAnsi"/>
          <w:lang w:val="en-AU"/>
        </w:rPr>
      </w:pPr>
      <w:r w:rsidRPr="007C3B9D">
        <w:rPr>
          <w:rFonts w:cstheme="minorHAnsi"/>
          <w:lang w:val="en-AU"/>
        </w:rPr>
        <w:t>Human and financial resources were appropriately util</w:t>
      </w:r>
      <w:r w:rsidR="00170ADB" w:rsidRPr="007C3B9D">
        <w:rPr>
          <w:rFonts w:cstheme="minorHAnsi"/>
          <w:lang w:val="en-AU"/>
        </w:rPr>
        <w:t>is</w:t>
      </w:r>
      <w:r w:rsidRPr="007C3B9D">
        <w:rPr>
          <w:rFonts w:cstheme="minorHAnsi"/>
          <w:lang w:val="en-AU"/>
        </w:rPr>
        <w:t>ed, with activities representing 62% of the total budget. Staff costs are reasonable, reflecting the professional skills required for effective implementation.</w:t>
      </w:r>
    </w:p>
    <w:p w14:paraId="5D40F3C0" w14:textId="5B940400" w:rsidR="00074999" w:rsidRPr="007C3B9D" w:rsidRDefault="00074999" w:rsidP="00903D77">
      <w:pPr>
        <w:numPr>
          <w:ilvl w:val="0"/>
          <w:numId w:val="49"/>
        </w:numPr>
        <w:spacing w:after="120" w:line="276" w:lineRule="auto"/>
        <w:jc w:val="both"/>
        <w:rPr>
          <w:rFonts w:cstheme="minorHAnsi"/>
          <w:lang w:val="en-AU"/>
        </w:rPr>
      </w:pPr>
      <w:r w:rsidRPr="007C3B9D">
        <w:rPr>
          <w:rFonts w:cstheme="minorHAnsi"/>
          <w:lang w:val="en-AU"/>
        </w:rPr>
        <w:t>Program management is effective, with proactive and timely actions taken to address changing circumstances, including the pandemic. The partnership between DFAT and The Asia Foundation (TAF) has been instrumental, leveraging TAF's regional expertise and networks. However, procedural complexities in obtaining ASEAN endorsement have constrained efficiency, suggesting a need to streamline processes.</w:t>
      </w:r>
    </w:p>
    <w:p w14:paraId="2016B6F6" w14:textId="77777777" w:rsidR="00074999" w:rsidRPr="007C3B9D" w:rsidRDefault="00074999" w:rsidP="0035461D">
      <w:pPr>
        <w:pStyle w:val="Heading3"/>
      </w:pPr>
      <w:r w:rsidRPr="007C3B9D">
        <w:t>Effectiveness</w:t>
      </w:r>
    </w:p>
    <w:p w14:paraId="17FAE38F" w14:textId="77777777" w:rsidR="00074999" w:rsidRPr="007C3B9D" w:rsidRDefault="00074999" w:rsidP="00903D77">
      <w:pPr>
        <w:spacing w:after="120" w:line="276" w:lineRule="auto"/>
        <w:jc w:val="both"/>
        <w:rPr>
          <w:rFonts w:cstheme="minorHAnsi"/>
          <w:lang w:val="en-AU"/>
        </w:rPr>
      </w:pPr>
      <w:r w:rsidRPr="007C3B9D">
        <w:rPr>
          <w:rFonts w:cstheme="minorHAnsi"/>
          <w:lang w:val="en-AU"/>
        </w:rPr>
        <w:t>The program has been effective in enhancing dialogue and information-sharing.</w:t>
      </w:r>
    </w:p>
    <w:p w14:paraId="0EF89249" w14:textId="586A4E70" w:rsidR="00074999" w:rsidRPr="007C3B9D" w:rsidRDefault="00074999" w:rsidP="00953443">
      <w:pPr>
        <w:numPr>
          <w:ilvl w:val="0"/>
          <w:numId w:val="48"/>
        </w:numPr>
        <w:spacing w:after="0" w:line="276" w:lineRule="auto"/>
        <w:jc w:val="both"/>
        <w:rPr>
          <w:rFonts w:cstheme="minorHAnsi"/>
          <w:lang w:val="en-AU"/>
        </w:rPr>
      </w:pPr>
      <w:r w:rsidRPr="007C3B9D">
        <w:rPr>
          <w:rFonts w:cstheme="minorHAnsi"/>
          <w:lang w:val="en-AU"/>
        </w:rPr>
        <w:t>The program emphas</w:t>
      </w:r>
      <w:r w:rsidR="00170ADB" w:rsidRPr="007C3B9D">
        <w:rPr>
          <w:rFonts w:cstheme="minorHAnsi"/>
          <w:lang w:val="en-AU"/>
        </w:rPr>
        <w:t>is</w:t>
      </w:r>
      <w:r w:rsidRPr="007C3B9D">
        <w:rPr>
          <w:rFonts w:cstheme="minorHAnsi"/>
          <w:lang w:val="en-AU"/>
        </w:rPr>
        <w:t>es mutual interaction among stakeholders, elevating Australia's visibility and strategic role within ASEAN. It has strengthened diplomatic ties, operational networks, and provided platforms for knowledge exchange. Challenges in engaging OGDs have limited a fully integrated approach.</w:t>
      </w:r>
    </w:p>
    <w:p w14:paraId="7110A9DF" w14:textId="1AA9A763" w:rsidR="00074999" w:rsidRPr="007C3B9D" w:rsidRDefault="00074999" w:rsidP="00903D77">
      <w:pPr>
        <w:numPr>
          <w:ilvl w:val="0"/>
          <w:numId w:val="48"/>
        </w:numPr>
        <w:spacing w:after="120" w:line="276" w:lineRule="auto"/>
        <w:jc w:val="both"/>
        <w:rPr>
          <w:rFonts w:cstheme="minorHAnsi"/>
          <w:lang w:val="en-AU"/>
        </w:rPr>
      </w:pPr>
      <w:r w:rsidRPr="007C3B9D">
        <w:rPr>
          <w:rFonts w:cstheme="minorHAnsi"/>
          <w:lang w:val="en-AU"/>
        </w:rPr>
        <w:t xml:space="preserve">The program encourages ASEAN Member States and the ASEAN Secretariat to enhance consultation and dialogue. By integrating with ASEAN processes and sectoral bodies, it fosters cross-sectoral cohesion on sensitive issues </w:t>
      </w:r>
      <w:r w:rsidR="00151BB6" w:rsidRPr="007C3B9D">
        <w:rPr>
          <w:rFonts w:cstheme="minorHAnsi"/>
          <w:lang w:val="en-AU"/>
        </w:rPr>
        <w:t>such as</w:t>
      </w:r>
      <w:r w:rsidRPr="007C3B9D">
        <w:rPr>
          <w:rFonts w:cstheme="minorHAnsi"/>
          <w:lang w:val="en-AU"/>
        </w:rPr>
        <w:t xml:space="preserve"> </w:t>
      </w:r>
      <w:proofErr w:type="gramStart"/>
      <w:r w:rsidRPr="007C3B9D">
        <w:rPr>
          <w:rFonts w:cstheme="minorHAnsi"/>
          <w:lang w:val="en-AU"/>
        </w:rPr>
        <w:t>WPS</w:t>
      </w:r>
      <w:proofErr w:type="gramEnd"/>
      <w:r w:rsidRPr="007C3B9D">
        <w:rPr>
          <w:rFonts w:cstheme="minorHAnsi"/>
          <w:lang w:val="en-AU"/>
        </w:rPr>
        <w:t xml:space="preserve"> and leverages established partnerships to support collaborative initiatives.</w:t>
      </w:r>
    </w:p>
    <w:p w14:paraId="0782AD2E" w14:textId="77777777" w:rsidR="00074999" w:rsidRPr="007C3B9D" w:rsidRDefault="00074999" w:rsidP="0035461D">
      <w:pPr>
        <w:pStyle w:val="Heading3"/>
      </w:pPr>
      <w:r w:rsidRPr="007C3B9D">
        <w:t>Sustainability</w:t>
      </w:r>
    </w:p>
    <w:p w14:paraId="4E0C197A" w14:textId="77777777" w:rsidR="00074999" w:rsidRPr="007C3B9D" w:rsidRDefault="00074999" w:rsidP="00903D77">
      <w:pPr>
        <w:spacing w:after="120" w:line="276" w:lineRule="auto"/>
        <w:jc w:val="both"/>
        <w:rPr>
          <w:rFonts w:cstheme="minorHAnsi"/>
          <w:lang w:val="en-AU"/>
        </w:rPr>
      </w:pPr>
      <w:r w:rsidRPr="007C3B9D">
        <w:rPr>
          <w:rFonts w:cstheme="minorHAnsi"/>
          <w:lang w:val="en-AU"/>
        </w:rPr>
        <w:t>The program has contributed to building institutional capacity and fostering enduring partnerships.</w:t>
      </w:r>
    </w:p>
    <w:p w14:paraId="413A3E6D" w14:textId="755FB4CE" w:rsidR="00074999" w:rsidRPr="007C3B9D" w:rsidRDefault="00074999" w:rsidP="00953443">
      <w:pPr>
        <w:numPr>
          <w:ilvl w:val="0"/>
          <w:numId w:val="47"/>
        </w:numPr>
        <w:spacing w:after="0" w:line="276" w:lineRule="auto"/>
        <w:jc w:val="both"/>
        <w:rPr>
          <w:rFonts w:cstheme="minorHAnsi"/>
          <w:lang w:val="en-AU"/>
        </w:rPr>
      </w:pPr>
      <w:r w:rsidRPr="007C3B9D">
        <w:rPr>
          <w:rFonts w:cstheme="minorHAnsi"/>
          <w:lang w:val="en-AU"/>
        </w:rPr>
        <w:t>ASEAN stakeholders are likely to maintain consultation processes initiated under the program. The demand-driven approach and alignment with ASEAN strategies ensure continued relevance and acceptance among member states.</w:t>
      </w:r>
    </w:p>
    <w:p w14:paraId="7279C505" w14:textId="73A83A6B" w:rsidR="00074999" w:rsidRPr="007C3B9D" w:rsidRDefault="00074999" w:rsidP="00903D77">
      <w:pPr>
        <w:numPr>
          <w:ilvl w:val="0"/>
          <w:numId w:val="47"/>
        </w:numPr>
        <w:spacing w:after="120" w:line="276" w:lineRule="auto"/>
        <w:jc w:val="both"/>
        <w:rPr>
          <w:rFonts w:cstheme="minorHAnsi"/>
          <w:lang w:val="en-AU"/>
        </w:rPr>
      </w:pPr>
      <w:r w:rsidRPr="007C3B9D">
        <w:rPr>
          <w:rFonts w:cstheme="minorHAnsi"/>
          <w:lang w:val="en-AU"/>
        </w:rPr>
        <w:t>DFAT and other Australian government departments have opportunities to build on partnerships initiated under the program. Trust developed through the program lays the groundwork for future collaboration, though enhanced engagement with OGDs is needed to maxim</w:t>
      </w:r>
      <w:r w:rsidR="00170ADB" w:rsidRPr="007C3B9D">
        <w:rPr>
          <w:rFonts w:cstheme="minorHAnsi"/>
          <w:lang w:val="en-AU"/>
        </w:rPr>
        <w:t>is</w:t>
      </w:r>
      <w:r w:rsidRPr="007C3B9D">
        <w:rPr>
          <w:rFonts w:cstheme="minorHAnsi"/>
          <w:lang w:val="en-AU"/>
        </w:rPr>
        <w:t>e potential.</w:t>
      </w:r>
    </w:p>
    <w:p w14:paraId="3A1DBB12" w14:textId="77777777" w:rsidR="00074999" w:rsidRPr="007C3B9D" w:rsidRDefault="00074999" w:rsidP="0035461D">
      <w:pPr>
        <w:pStyle w:val="Heading3"/>
      </w:pPr>
      <w:r w:rsidRPr="007C3B9D">
        <w:lastRenderedPageBreak/>
        <w:t>Impact</w:t>
      </w:r>
    </w:p>
    <w:p w14:paraId="56607BE3" w14:textId="77777777" w:rsidR="00074999" w:rsidRPr="007C3B9D" w:rsidRDefault="00074999" w:rsidP="00903D77">
      <w:pPr>
        <w:spacing w:after="120" w:line="276" w:lineRule="auto"/>
        <w:jc w:val="both"/>
        <w:rPr>
          <w:rFonts w:cstheme="minorHAnsi"/>
          <w:lang w:val="en-AU"/>
        </w:rPr>
      </w:pPr>
      <w:r w:rsidRPr="007C3B9D">
        <w:rPr>
          <w:rFonts w:cstheme="minorHAnsi"/>
          <w:lang w:val="en-AU"/>
        </w:rPr>
        <w:t>The program has positively contributed to regional stability and trust.</w:t>
      </w:r>
    </w:p>
    <w:p w14:paraId="4E7D8A3B" w14:textId="17D622B8" w:rsidR="00074999" w:rsidRPr="007C3B9D" w:rsidRDefault="00074999" w:rsidP="00953443">
      <w:pPr>
        <w:numPr>
          <w:ilvl w:val="0"/>
          <w:numId w:val="46"/>
        </w:numPr>
        <w:spacing w:after="0" w:line="276" w:lineRule="auto"/>
        <w:jc w:val="both"/>
        <w:rPr>
          <w:rFonts w:cstheme="minorHAnsi"/>
          <w:lang w:val="en-AU"/>
        </w:rPr>
      </w:pPr>
      <w:r w:rsidRPr="007C3B9D">
        <w:rPr>
          <w:rFonts w:cstheme="minorHAnsi"/>
          <w:lang w:val="en-AU"/>
        </w:rPr>
        <w:t>Stakeholders identify that the program strengthens ownership and effectiveness of policy instruments, enhances coordination among law enforcement officials, and promotes cross-sectoral linkages, contributing to regional security.</w:t>
      </w:r>
    </w:p>
    <w:p w14:paraId="412CE04F" w14:textId="58AEE946" w:rsidR="00074999" w:rsidRPr="007C3B9D" w:rsidRDefault="00074999" w:rsidP="00903D77">
      <w:pPr>
        <w:numPr>
          <w:ilvl w:val="0"/>
          <w:numId w:val="46"/>
        </w:numPr>
        <w:spacing w:after="120" w:line="276" w:lineRule="auto"/>
        <w:jc w:val="both"/>
        <w:rPr>
          <w:rFonts w:cstheme="minorHAnsi"/>
          <w:lang w:val="en-AU"/>
        </w:rPr>
      </w:pPr>
      <w:r w:rsidRPr="007C3B9D">
        <w:rPr>
          <w:rFonts w:cstheme="minorHAnsi"/>
          <w:lang w:val="en-AU"/>
        </w:rPr>
        <w:t>There is a perceived increase in mutual understanding and trust between Australian and ASEAN stakeholders in the target areas. The program supports ASEAN centrality and leadership on political security issues, enhancing the partnership's depth.</w:t>
      </w:r>
    </w:p>
    <w:p w14:paraId="0D1715D0" w14:textId="77777777" w:rsidR="00074999" w:rsidRPr="007C3B9D" w:rsidRDefault="00074999" w:rsidP="0035461D">
      <w:pPr>
        <w:pStyle w:val="Heading3"/>
      </w:pPr>
      <w:r w:rsidRPr="007C3B9D">
        <w:t>Gender Equality, Disability, and Social Inclusion (GEDSI)</w:t>
      </w:r>
    </w:p>
    <w:p w14:paraId="7C0336EB" w14:textId="77777777" w:rsidR="00074999" w:rsidRPr="007C3B9D" w:rsidRDefault="00074999" w:rsidP="00903D77">
      <w:pPr>
        <w:spacing w:after="120" w:line="276" w:lineRule="auto"/>
        <w:jc w:val="both"/>
        <w:rPr>
          <w:rFonts w:cstheme="minorHAnsi"/>
          <w:lang w:val="en-AU"/>
        </w:rPr>
      </w:pPr>
      <w:r w:rsidRPr="007C3B9D">
        <w:rPr>
          <w:rFonts w:cstheme="minorHAnsi"/>
          <w:lang w:val="en-AU"/>
        </w:rPr>
        <w:t>The program has substantially mainstreamed GEDSI considerations.</w:t>
      </w:r>
    </w:p>
    <w:p w14:paraId="225ED86C" w14:textId="77777777" w:rsidR="00074999" w:rsidRPr="007C3B9D" w:rsidRDefault="00074999" w:rsidP="00953443">
      <w:pPr>
        <w:numPr>
          <w:ilvl w:val="0"/>
          <w:numId w:val="45"/>
        </w:numPr>
        <w:spacing w:after="0" w:line="276" w:lineRule="auto"/>
        <w:jc w:val="both"/>
        <w:rPr>
          <w:rFonts w:cstheme="minorHAnsi"/>
          <w:lang w:val="en-AU"/>
        </w:rPr>
      </w:pPr>
      <w:r w:rsidRPr="007C3B9D">
        <w:rPr>
          <w:rFonts w:cstheme="minorHAnsi"/>
          <w:lang w:val="en-AU"/>
        </w:rPr>
        <w:t>A detailed GEDSI strategy has been effectively implemented, focusing on integrating the WPS agenda into the political security sphere. Gender and women's rights issues are addressed under each program pillar.</w:t>
      </w:r>
    </w:p>
    <w:p w14:paraId="2BA1753C" w14:textId="51DA3704" w:rsidR="00074999" w:rsidRPr="007C3B9D" w:rsidRDefault="00074999" w:rsidP="00903D77">
      <w:pPr>
        <w:numPr>
          <w:ilvl w:val="0"/>
          <w:numId w:val="45"/>
        </w:numPr>
        <w:spacing w:after="120" w:line="276" w:lineRule="auto"/>
        <w:jc w:val="both"/>
        <w:rPr>
          <w:rFonts w:cstheme="minorHAnsi"/>
          <w:lang w:val="en-AU"/>
        </w:rPr>
      </w:pPr>
      <w:r w:rsidRPr="007C3B9D">
        <w:rPr>
          <w:rFonts w:cstheme="minorHAnsi"/>
          <w:lang w:val="en-AU"/>
        </w:rPr>
        <w:t>The program has reached a substantial number of women participants and encouraged cross-sectoral approaches to inclusion. There is scope for further strengthening disability inclusion by involving more civil society organ</w:t>
      </w:r>
      <w:r w:rsidR="00170ADB" w:rsidRPr="007C3B9D">
        <w:rPr>
          <w:rFonts w:cstheme="minorHAnsi"/>
          <w:lang w:val="en-AU"/>
        </w:rPr>
        <w:t>is</w:t>
      </w:r>
      <w:r w:rsidRPr="007C3B9D">
        <w:rPr>
          <w:rFonts w:cstheme="minorHAnsi"/>
          <w:lang w:val="en-AU"/>
        </w:rPr>
        <w:t>ations across ASEAN.</w:t>
      </w:r>
    </w:p>
    <w:p w14:paraId="70A59110" w14:textId="77777777" w:rsidR="00074999" w:rsidRPr="007C3B9D" w:rsidRDefault="00074999" w:rsidP="0035461D">
      <w:pPr>
        <w:pStyle w:val="Heading3"/>
      </w:pPr>
      <w:r w:rsidRPr="007C3B9D">
        <w:t>Future Programming</w:t>
      </w:r>
    </w:p>
    <w:p w14:paraId="1ABB1903" w14:textId="77777777" w:rsidR="00074999" w:rsidRPr="007C3B9D" w:rsidRDefault="00074999" w:rsidP="00953443">
      <w:pPr>
        <w:numPr>
          <w:ilvl w:val="0"/>
          <w:numId w:val="44"/>
        </w:numPr>
        <w:spacing w:after="0" w:line="276" w:lineRule="auto"/>
        <w:jc w:val="both"/>
        <w:rPr>
          <w:rFonts w:cstheme="minorHAnsi"/>
          <w:lang w:val="en-AU"/>
        </w:rPr>
      </w:pPr>
      <w:r w:rsidRPr="007C3B9D">
        <w:rPr>
          <w:rFonts w:cstheme="minorHAnsi"/>
          <w:color w:val="0F4761" w:themeColor="accent1" w:themeShade="BF"/>
          <w:lang w:val="en-AU"/>
        </w:rPr>
        <w:t>Flexibility and Adaptability</w:t>
      </w:r>
      <w:r w:rsidRPr="007C3B9D">
        <w:rPr>
          <w:rFonts w:cstheme="minorHAnsi"/>
          <w:lang w:val="en-AU"/>
        </w:rPr>
        <w:t>: The program's flexibility has been a key strength. Future iterations should maintain this adaptability to respond to ASEAN's evolving needs, including emerging threats like misinformation and cyber-enabled crimes.</w:t>
      </w:r>
    </w:p>
    <w:p w14:paraId="16BB47DB" w14:textId="77777777" w:rsidR="00074999" w:rsidRPr="007C3B9D" w:rsidRDefault="00074999" w:rsidP="00953443">
      <w:pPr>
        <w:numPr>
          <w:ilvl w:val="0"/>
          <w:numId w:val="44"/>
        </w:numPr>
        <w:spacing w:after="0" w:line="276" w:lineRule="auto"/>
        <w:jc w:val="both"/>
        <w:rPr>
          <w:rFonts w:cstheme="minorHAnsi"/>
          <w:lang w:val="en-AU"/>
        </w:rPr>
      </w:pPr>
      <w:r w:rsidRPr="007C3B9D">
        <w:rPr>
          <w:rFonts w:cstheme="minorHAnsi"/>
          <w:color w:val="0F4761" w:themeColor="accent1" w:themeShade="BF"/>
          <w:lang w:val="en-AU"/>
        </w:rPr>
        <w:t xml:space="preserve">Enhanced OGD Engagement: </w:t>
      </w:r>
      <w:r w:rsidRPr="007C3B9D">
        <w:rPr>
          <w:rFonts w:cstheme="minorHAnsi"/>
          <w:lang w:val="en-AU"/>
        </w:rPr>
        <w:t>Efforts should be made to increase engagement with Australian government departments to leverage a wider range of expertise and foster a more integrated approach.</w:t>
      </w:r>
    </w:p>
    <w:p w14:paraId="29C06624" w14:textId="77777777" w:rsidR="00074999" w:rsidRPr="007C3B9D" w:rsidRDefault="00074999" w:rsidP="00953443">
      <w:pPr>
        <w:numPr>
          <w:ilvl w:val="0"/>
          <w:numId w:val="44"/>
        </w:numPr>
        <w:spacing w:after="0" w:line="276" w:lineRule="auto"/>
        <w:jc w:val="both"/>
        <w:rPr>
          <w:rFonts w:cstheme="minorHAnsi"/>
          <w:lang w:val="en-AU"/>
        </w:rPr>
      </w:pPr>
      <w:r w:rsidRPr="007C3B9D">
        <w:rPr>
          <w:rFonts w:cstheme="minorHAnsi"/>
          <w:color w:val="0F4761" w:themeColor="accent1" w:themeShade="BF"/>
          <w:lang w:val="en-AU"/>
        </w:rPr>
        <w:t xml:space="preserve">Thematic Focus: </w:t>
      </w:r>
      <w:r w:rsidRPr="007C3B9D">
        <w:rPr>
          <w:rFonts w:cstheme="minorHAnsi"/>
          <w:lang w:val="en-AU"/>
        </w:rPr>
        <w:t>While current thematic pillars remain relevant, integrating additional themes such as environmental security could enhance cross-pillar approaches and address emerging regional challenges.</w:t>
      </w:r>
    </w:p>
    <w:p w14:paraId="551B34CA" w14:textId="77777777" w:rsidR="00074999" w:rsidRPr="007C3B9D" w:rsidRDefault="00074999" w:rsidP="00953443">
      <w:pPr>
        <w:numPr>
          <w:ilvl w:val="0"/>
          <w:numId w:val="44"/>
        </w:numPr>
        <w:spacing w:after="0" w:line="276" w:lineRule="auto"/>
        <w:jc w:val="both"/>
        <w:rPr>
          <w:rFonts w:cstheme="minorHAnsi"/>
          <w:lang w:val="en-AU"/>
        </w:rPr>
      </w:pPr>
      <w:r w:rsidRPr="007C3B9D">
        <w:rPr>
          <w:rFonts w:cstheme="minorHAnsi"/>
          <w:color w:val="0F4761" w:themeColor="accent1" w:themeShade="BF"/>
          <w:lang w:val="en-AU"/>
        </w:rPr>
        <w:t>Structural Adjustments:</w:t>
      </w:r>
      <w:r w:rsidRPr="007C3B9D">
        <w:rPr>
          <w:rFonts w:cstheme="minorHAnsi"/>
          <w:lang w:val="en-AU"/>
        </w:rPr>
        <w:t xml:space="preserve"> Streamlining activity endorsement processes and establishing consultative mechanisms to identify emerging issues can improve efficiency and effectiveness.</w:t>
      </w:r>
    </w:p>
    <w:p w14:paraId="0FC50EB0" w14:textId="548195FD" w:rsidR="00074999" w:rsidRPr="007C3B9D" w:rsidRDefault="00074999" w:rsidP="00903D77">
      <w:pPr>
        <w:numPr>
          <w:ilvl w:val="0"/>
          <w:numId w:val="44"/>
        </w:numPr>
        <w:spacing w:after="120" w:line="276" w:lineRule="auto"/>
        <w:jc w:val="both"/>
        <w:rPr>
          <w:rFonts w:cstheme="minorHAnsi"/>
          <w:lang w:val="en-AU"/>
        </w:rPr>
      </w:pPr>
      <w:r w:rsidRPr="007C3B9D">
        <w:rPr>
          <w:rFonts w:cstheme="minorHAnsi"/>
          <w:color w:val="0F4761" w:themeColor="accent1" w:themeShade="BF"/>
          <w:lang w:val="en-AU"/>
        </w:rPr>
        <w:t xml:space="preserve">Partnership Expansion: </w:t>
      </w:r>
      <w:r w:rsidRPr="007C3B9D">
        <w:rPr>
          <w:rFonts w:cstheme="minorHAnsi"/>
          <w:lang w:val="en-AU"/>
        </w:rPr>
        <w:t>Expanding partnerships with regional organ</w:t>
      </w:r>
      <w:r w:rsidR="00170ADB" w:rsidRPr="007C3B9D">
        <w:rPr>
          <w:rFonts w:cstheme="minorHAnsi"/>
          <w:lang w:val="en-AU"/>
        </w:rPr>
        <w:t>is</w:t>
      </w:r>
      <w:r w:rsidRPr="007C3B9D">
        <w:rPr>
          <w:rFonts w:cstheme="minorHAnsi"/>
          <w:lang w:val="en-AU"/>
        </w:rPr>
        <w:t>ations and institutions can enhance the program's impact and sustainability, fostering deeper regional ownership and collaboration.</w:t>
      </w:r>
    </w:p>
    <w:p w14:paraId="7ACF311A" w14:textId="71DD89DD" w:rsidR="00953443" w:rsidRDefault="00953443">
      <w:pPr>
        <w:rPr>
          <w:rFonts w:cstheme="minorHAnsi"/>
          <w:lang w:val="en-AU"/>
        </w:rPr>
      </w:pPr>
      <w:r>
        <w:rPr>
          <w:rFonts w:cstheme="minorHAnsi"/>
          <w:lang w:val="en-AU"/>
        </w:rPr>
        <w:br w:type="page"/>
      </w:r>
    </w:p>
    <w:p w14:paraId="0E18BA98" w14:textId="20E364A1" w:rsidR="001957EC" w:rsidRPr="007C3B9D" w:rsidRDefault="001957EC" w:rsidP="00903D77">
      <w:pPr>
        <w:pStyle w:val="Heading1"/>
        <w:pBdr>
          <w:bottom w:val="single" w:sz="4" w:space="0" w:color="595959" w:themeColor="text1" w:themeTint="A6"/>
        </w:pBdr>
        <w:spacing w:before="0" w:after="120" w:line="276" w:lineRule="auto"/>
        <w:rPr>
          <w:lang w:val="en-AU"/>
        </w:rPr>
      </w:pPr>
      <w:bookmarkStart w:id="22" w:name="_Toc206492272"/>
      <w:r w:rsidRPr="007C3B9D">
        <w:rPr>
          <w:lang w:val="en-AU"/>
        </w:rPr>
        <w:lastRenderedPageBreak/>
        <w:t>Recommendations</w:t>
      </w:r>
      <w:bookmarkEnd w:id="22"/>
    </w:p>
    <w:p w14:paraId="423921E5" w14:textId="77777777" w:rsidR="00CF2F24" w:rsidRPr="00841044" w:rsidRDefault="00CF2F24" w:rsidP="008059F0">
      <w:pPr>
        <w:pStyle w:val="Heading2"/>
      </w:pPr>
      <w:r w:rsidRPr="00841044">
        <w:t>Recommendation 1: Streamline activity endorsement process</w:t>
      </w:r>
    </w:p>
    <w:p w14:paraId="24D62A81" w14:textId="77777777" w:rsidR="00CF2F24" w:rsidRPr="007C3B9D" w:rsidRDefault="00CF2F24" w:rsidP="00953443">
      <w:pPr>
        <w:spacing w:line="276" w:lineRule="auto"/>
        <w:rPr>
          <w:rFonts w:cs="Calibri"/>
          <w:lang w:val="en-AU"/>
        </w:rPr>
      </w:pPr>
      <w:r w:rsidRPr="007C3B9D">
        <w:rPr>
          <w:rFonts w:cs="Calibri"/>
          <w:color w:val="0F4761" w:themeColor="accent1" w:themeShade="BF"/>
          <w:lang w:val="en-AU"/>
        </w:rPr>
        <w:t xml:space="preserve">Rationale: </w:t>
      </w:r>
      <w:r w:rsidRPr="007C3B9D">
        <w:rPr>
          <w:rFonts w:cs="Calibri"/>
          <w:lang w:val="en-AU"/>
        </w:rPr>
        <w:t>Procedural complexities have constrained efficiency and limited the program's timeliness.</w:t>
      </w:r>
    </w:p>
    <w:p w14:paraId="4729684F" w14:textId="559005DE" w:rsidR="00CF2F24" w:rsidRPr="007C3B9D" w:rsidRDefault="00CF2F24" w:rsidP="00953443">
      <w:pPr>
        <w:spacing w:line="276" w:lineRule="auto"/>
        <w:rPr>
          <w:rFonts w:cs="Calibri"/>
          <w:lang w:val="en-AU"/>
        </w:rPr>
      </w:pPr>
      <w:r w:rsidRPr="007C3B9D">
        <w:rPr>
          <w:rFonts w:cs="Calibri"/>
          <w:i/>
          <w:iCs/>
          <w:lang w:val="en-AU"/>
        </w:rPr>
        <w:t>Source: JC3.2 (Efficiency); JC1.3 (Relevance</w:t>
      </w:r>
      <w:r w:rsidR="00841044">
        <w:rPr>
          <w:rFonts w:cs="Calibri"/>
          <w:i/>
          <w:iCs/>
          <w:lang w:val="en-AU"/>
        </w:rPr>
        <w:t>)</w:t>
      </w:r>
    </w:p>
    <w:p w14:paraId="1A93898D" w14:textId="77777777" w:rsidR="00CF2F24" w:rsidRPr="00446C37" w:rsidRDefault="00CF2F24" w:rsidP="00446C37">
      <w:pPr>
        <w:rPr>
          <w:rFonts w:cs="Calibri"/>
          <w:color w:val="0F4761" w:themeColor="accent1" w:themeShade="BF"/>
          <w:lang w:val="en-AU"/>
        </w:rPr>
      </w:pPr>
      <w:r w:rsidRPr="00446C37">
        <w:rPr>
          <w:rFonts w:cs="Calibri"/>
          <w:color w:val="0F4761" w:themeColor="accent1" w:themeShade="BF"/>
          <w:lang w:val="en-AU"/>
        </w:rPr>
        <w:t>Steps to be taken:</w:t>
      </w:r>
    </w:p>
    <w:p w14:paraId="29109A73" w14:textId="77777777" w:rsidR="00CF2F24" w:rsidRPr="007C3B9D" w:rsidRDefault="00CF2F24" w:rsidP="00953443">
      <w:pPr>
        <w:pStyle w:val="ListParagraph"/>
        <w:numPr>
          <w:ilvl w:val="0"/>
          <w:numId w:val="30"/>
        </w:numPr>
        <w:spacing w:line="276" w:lineRule="auto"/>
        <w:contextualSpacing w:val="0"/>
        <w:rPr>
          <w:rFonts w:cs="Calibri"/>
          <w:lang w:val="en-AU"/>
        </w:rPr>
      </w:pPr>
      <w:r w:rsidRPr="007C3B9D">
        <w:rPr>
          <w:rFonts w:cs="Calibri"/>
          <w:lang w:val="en-AU"/>
        </w:rPr>
        <w:t>Initiate discussions with ASEAN Secretariat to review and streamline endorsement procedures.</w:t>
      </w:r>
    </w:p>
    <w:p w14:paraId="7D01F867" w14:textId="77777777" w:rsidR="00CF2F24" w:rsidRPr="007C3B9D" w:rsidRDefault="00CF2F24" w:rsidP="00953443">
      <w:pPr>
        <w:pStyle w:val="ListParagraph"/>
        <w:numPr>
          <w:ilvl w:val="0"/>
          <w:numId w:val="30"/>
        </w:numPr>
        <w:spacing w:line="276" w:lineRule="auto"/>
        <w:contextualSpacing w:val="0"/>
        <w:rPr>
          <w:rFonts w:cs="Calibri"/>
          <w:lang w:val="en-AU"/>
        </w:rPr>
      </w:pPr>
      <w:r w:rsidRPr="007C3B9D">
        <w:rPr>
          <w:rFonts w:cs="Calibri"/>
          <w:lang w:val="en-AU"/>
        </w:rPr>
        <w:t>Propose clear timeframes for each approval step.</w:t>
      </w:r>
    </w:p>
    <w:p w14:paraId="4FA38453" w14:textId="77777777" w:rsidR="00CF2F24" w:rsidRPr="007C3B9D" w:rsidRDefault="00CF2F24" w:rsidP="00953443">
      <w:pPr>
        <w:pStyle w:val="ListParagraph"/>
        <w:numPr>
          <w:ilvl w:val="0"/>
          <w:numId w:val="30"/>
        </w:numPr>
        <w:spacing w:line="276" w:lineRule="auto"/>
        <w:contextualSpacing w:val="0"/>
        <w:rPr>
          <w:rFonts w:cs="Calibri"/>
          <w:lang w:val="en-AU"/>
        </w:rPr>
      </w:pPr>
      <w:r w:rsidRPr="007C3B9D">
        <w:rPr>
          <w:rFonts w:cs="Calibri"/>
          <w:lang w:val="en-AU"/>
        </w:rPr>
        <w:t>Develop a joint agreement outlining the streamlined process.</w:t>
      </w:r>
    </w:p>
    <w:p w14:paraId="4F183633" w14:textId="77777777" w:rsidR="00CF2F24" w:rsidRPr="007C3B9D" w:rsidRDefault="00CF2F24" w:rsidP="00953443">
      <w:pPr>
        <w:spacing w:line="276" w:lineRule="auto"/>
        <w:rPr>
          <w:rFonts w:cs="Calibri"/>
          <w:lang w:val="en-AU"/>
        </w:rPr>
      </w:pPr>
      <w:r w:rsidRPr="007C3B9D">
        <w:rPr>
          <w:rFonts w:cs="Calibri"/>
          <w:color w:val="0F4761" w:themeColor="accent1" w:themeShade="BF"/>
          <w:lang w:val="en-AU"/>
        </w:rPr>
        <w:t>Responsible parties:</w:t>
      </w:r>
      <w:r w:rsidRPr="007C3B9D">
        <w:rPr>
          <w:rFonts w:cs="Calibri"/>
          <w:color w:val="E97132" w:themeColor="accent2"/>
          <w:lang w:val="en-AU"/>
        </w:rPr>
        <w:t xml:space="preserve"> </w:t>
      </w:r>
      <w:r w:rsidRPr="007C3B9D">
        <w:rPr>
          <w:rFonts w:cs="Calibri"/>
          <w:lang w:val="en-AU"/>
        </w:rPr>
        <w:t>DFAT, The Asia Foundation (TAF), ASEAN Secretariat</w:t>
      </w:r>
    </w:p>
    <w:p w14:paraId="6EE41865" w14:textId="77777777" w:rsidR="00CF2F24" w:rsidRPr="007C3B9D" w:rsidRDefault="00CF2F24" w:rsidP="00953443">
      <w:pPr>
        <w:spacing w:line="276" w:lineRule="auto"/>
        <w:rPr>
          <w:rFonts w:cs="Calibri"/>
          <w:lang w:val="en-AU"/>
        </w:rPr>
      </w:pPr>
      <w:r w:rsidRPr="007C3B9D">
        <w:rPr>
          <w:rFonts w:cs="Calibri"/>
          <w:color w:val="0F4761" w:themeColor="accent1" w:themeShade="BF"/>
          <w:lang w:val="en-AU"/>
        </w:rPr>
        <w:t>Timeline</w:t>
      </w:r>
      <w:r w:rsidRPr="00446C37">
        <w:rPr>
          <w:rFonts w:cs="Calibri"/>
          <w:color w:val="0F4761" w:themeColor="accent1" w:themeShade="BF"/>
          <w:lang w:val="en-AU"/>
        </w:rPr>
        <w:t>:</w:t>
      </w:r>
      <w:r w:rsidRPr="007C3B9D">
        <w:rPr>
          <w:rFonts w:cs="Calibri"/>
          <w:color w:val="BF4E14" w:themeColor="accent2" w:themeShade="BF"/>
          <w:lang w:val="en-AU"/>
        </w:rPr>
        <w:t xml:space="preserve"> </w:t>
      </w:r>
      <w:r w:rsidRPr="007C3B9D">
        <w:rPr>
          <w:rFonts w:cs="Calibri"/>
          <w:lang w:val="en-AU"/>
        </w:rPr>
        <w:t>Within the next 2 months</w:t>
      </w:r>
    </w:p>
    <w:p w14:paraId="03C86B54" w14:textId="77777777" w:rsidR="000A3EC8" w:rsidRPr="000A3EC8" w:rsidRDefault="000A3EC8" w:rsidP="008059F0">
      <w:pPr>
        <w:pStyle w:val="Heading2"/>
      </w:pPr>
      <w:r w:rsidRPr="000A3EC8">
        <w:t>Recommendation 2: Enhance engagement with Australian Government Departments (OGDs)</w:t>
      </w:r>
    </w:p>
    <w:p w14:paraId="3ACA3701" w14:textId="77777777" w:rsidR="000A3EC8" w:rsidRPr="007C3B9D" w:rsidRDefault="000A3EC8" w:rsidP="00953443">
      <w:pPr>
        <w:spacing w:line="276" w:lineRule="auto"/>
        <w:rPr>
          <w:rFonts w:cs="Calibri"/>
          <w:lang w:val="en-AU"/>
        </w:rPr>
      </w:pPr>
      <w:r w:rsidRPr="007C3B9D">
        <w:rPr>
          <w:rFonts w:cs="Calibri"/>
          <w:color w:val="0F4761" w:themeColor="accent1" w:themeShade="BF"/>
          <w:lang w:val="en-AU"/>
        </w:rPr>
        <w:t xml:space="preserve">Rationale: </w:t>
      </w:r>
      <w:r w:rsidRPr="007C3B9D">
        <w:rPr>
          <w:rFonts w:cs="Calibri"/>
          <w:lang w:val="en-AU"/>
        </w:rPr>
        <w:t>Limited OGD engagement has restricted the diversity of expertise and perspectives, affecting program effectiveness.</w:t>
      </w:r>
    </w:p>
    <w:p w14:paraId="7AACF1C2" w14:textId="77777777" w:rsidR="000A3EC8" w:rsidRPr="007C3B9D" w:rsidRDefault="000A3EC8" w:rsidP="00953443">
      <w:pPr>
        <w:spacing w:line="276" w:lineRule="auto"/>
        <w:rPr>
          <w:rFonts w:cs="Calibri"/>
          <w:lang w:val="en-AU"/>
        </w:rPr>
      </w:pPr>
      <w:r w:rsidRPr="007C3B9D">
        <w:rPr>
          <w:rFonts w:cs="Calibri"/>
          <w:i/>
          <w:iCs/>
          <w:lang w:val="en-AU"/>
        </w:rPr>
        <w:t>Source: JC2.1 and JC4.1 (Effectiveness)</w:t>
      </w:r>
    </w:p>
    <w:p w14:paraId="57C39BDB" w14:textId="77777777" w:rsidR="000A3EC8" w:rsidRPr="00446C37" w:rsidRDefault="000A3EC8" w:rsidP="00446C37">
      <w:pPr>
        <w:rPr>
          <w:rFonts w:cs="Calibri"/>
          <w:color w:val="0F4761" w:themeColor="accent1" w:themeShade="BF"/>
          <w:lang w:val="en-AU"/>
        </w:rPr>
      </w:pPr>
      <w:r w:rsidRPr="00446C37">
        <w:rPr>
          <w:rFonts w:cs="Calibri"/>
          <w:color w:val="0F4761" w:themeColor="accent1" w:themeShade="BF"/>
          <w:lang w:val="en-AU"/>
        </w:rPr>
        <w:t>Steps to be taken:</w:t>
      </w:r>
    </w:p>
    <w:p w14:paraId="063F0E7B" w14:textId="77777777" w:rsidR="000A3EC8" w:rsidRPr="007C3B9D" w:rsidRDefault="000A3EC8" w:rsidP="00953443">
      <w:pPr>
        <w:pStyle w:val="ListParagraph"/>
        <w:numPr>
          <w:ilvl w:val="0"/>
          <w:numId w:val="31"/>
        </w:numPr>
        <w:spacing w:line="276" w:lineRule="auto"/>
        <w:contextualSpacing w:val="0"/>
        <w:rPr>
          <w:rFonts w:cs="Calibri"/>
          <w:lang w:val="en-AU"/>
        </w:rPr>
      </w:pPr>
      <w:r w:rsidRPr="007C3B9D">
        <w:rPr>
          <w:rFonts w:cs="Calibri"/>
          <w:lang w:val="en-AU"/>
        </w:rPr>
        <w:t>Organise inter-departmental briefings on program objectives and benefits.</w:t>
      </w:r>
    </w:p>
    <w:p w14:paraId="3C1B4A11" w14:textId="77777777" w:rsidR="000A3EC8" w:rsidRPr="007C3B9D" w:rsidRDefault="000A3EC8" w:rsidP="00953443">
      <w:pPr>
        <w:pStyle w:val="ListParagraph"/>
        <w:numPr>
          <w:ilvl w:val="0"/>
          <w:numId w:val="31"/>
        </w:numPr>
        <w:spacing w:line="276" w:lineRule="auto"/>
        <w:contextualSpacing w:val="0"/>
        <w:rPr>
          <w:rFonts w:cs="Calibri"/>
          <w:lang w:val="en-AU"/>
        </w:rPr>
      </w:pPr>
      <w:r w:rsidRPr="007C3B9D">
        <w:rPr>
          <w:rFonts w:cs="Calibri"/>
          <w:lang w:val="en-AU"/>
        </w:rPr>
        <w:t>Share preliminary work plans with OGDs several months ahead to facilitate budgeting and</w:t>
      </w:r>
    </w:p>
    <w:p w14:paraId="7DF54FA7" w14:textId="77777777" w:rsidR="000A3EC8" w:rsidRPr="007C3B9D" w:rsidRDefault="000A3EC8" w:rsidP="00953443">
      <w:pPr>
        <w:pStyle w:val="ListParagraph"/>
        <w:numPr>
          <w:ilvl w:val="0"/>
          <w:numId w:val="31"/>
        </w:numPr>
        <w:spacing w:line="276" w:lineRule="auto"/>
        <w:contextualSpacing w:val="0"/>
        <w:rPr>
          <w:rFonts w:cs="Calibri"/>
          <w:lang w:val="en-AU"/>
        </w:rPr>
      </w:pPr>
      <w:r w:rsidRPr="007C3B9D">
        <w:rPr>
          <w:rFonts w:cs="Calibri"/>
          <w:lang w:val="en-AU"/>
        </w:rPr>
        <w:t>participation.</w:t>
      </w:r>
    </w:p>
    <w:p w14:paraId="46FDC5EF" w14:textId="77777777" w:rsidR="000A3EC8" w:rsidRPr="007C3B9D" w:rsidRDefault="000A3EC8" w:rsidP="00953443">
      <w:pPr>
        <w:pStyle w:val="ListParagraph"/>
        <w:numPr>
          <w:ilvl w:val="0"/>
          <w:numId w:val="31"/>
        </w:numPr>
        <w:spacing w:line="276" w:lineRule="auto"/>
        <w:contextualSpacing w:val="0"/>
        <w:rPr>
          <w:rFonts w:cs="Calibri"/>
          <w:lang w:val="en-AU"/>
        </w:rPr>
      </w:pPr>
      <w:r w:rsidRPr="007C3B9D">
        <w:rPr>
          <w:rFonts w:cs="Calibri"/>
          <w:lang w:val="en-AU"/>
        </w:rPr>
        <w:t>Include OGDs in immediate planning stages to align activities with their priorities.</w:t>
      </w:r>
    </w:p>
    <w:p w14:paraId="109F3CDE" w14:textId="77777777" w:rsidR="000A3EC8" w:rsidRPr="007C3B9D" w:rsidRDefault="000A3EC8" w:rsidP="00953443">
      <w:pPr>
        <w:pStyle w:val="ListParagraph"/>
        <w:numPr>
          <w:ilvl w:val="0"/>
          <w:numId w:val="31"/>
        </w:numPr>
        <w:spacing w:line="276" w:lineRule="auto"/>
        <w:contextualSpacing w:val="0"/>
        <w:rPr>
          <w:rFonts w:cs="Calibri"/>
          <w:lang w:val="en-AU"/>
        </w:rPr>
      </w:pPr>
      <w:r w:rsidRPr="007C3B9D">
        <w:rPr>
          <w:rFonts w:cs="Calibri"/>
          <w:lang w:val="en-AU"/>
        </w:rPr>
        <w:t>Provide advance notice of upcoming activities.</w:t>
      </w:r>
    </w:p>
    <w:p w14:paraId="47EEB85C" w14:textId="77777777" w:rsidR="000A3EC8" w:rsidRPr="007C3B9D" w:rsidRDefault="000A3EC8" w:rsidP="00953443">
      <w:pPr>
        <w:spacing w:line="276" w:lineRule="auto"/>
        <w:rPr>
          <w:rFonts w:cs="Calibri"/>
          <w:lang w:val="en-AU"/>
        </w:rPr>
      </w:pPr>
      <w:r w:rsidRPr="007C3B9D">
        <w:rPr>
          <w:rFonts w:cs="Calibri"/>
          <w:color w:val="0F4761" w:themeColor="accent1" w:themeShade="BF"/>
          <w:lang w:val="en-AU"/>
        </w:rPr>
        <w:t>Responsible parties:</w:t>
      </w:r>
      <w:r w:rsidRPr="007C3B9D">
        <w:rPr>
          <w:rFonts w:cs="Calibri"/>
          <w:color w:val="E97132" w:themeColor="accent2"/>
          <w:lang w:val="en-AU"/>
        </w:rPr>
        <w:t xml:space="preserve"> </w:t>
      </w:r>
      <w:r w:rsidRPr="007C3B9D">
        <w:rPr>
          <w:rFonts w:cs="Calibri"/>
          <w:lang w:val="en-AU"/>
        </w:rPr>
        <w:t>DFAT, TAF, OGDs</w:t>
      </w:r>
    </w:p>
    <w:p w14:paraId="2C23859A" w14:textId="77777777" w:rsidR="000A3EC8" w:rsidRPr="007C3B9D" w:rsidRDefault="000A3EC8" w:rsidP="00953443">
      <w:pPr>
        <w:spacing w:line="276" w:lineRule="auto"/>
        <w:rPr>
          <w:rFonts w:cs="Calibri"/>
          <w:lang w:val="en-AU"/>
        </w:rPr>
      </w:pPr>
      <w:r w:rsidRPr="007C3B9D">
        <w:rPr>
          <w:rFonts w:cs="Calibri"/>
          <w:color w:val="0F4761" w:themeColor="accent1" w:themeShade="BF"/>
          <w:lang w:val="en-AU"/>
        </w:rPr>
        <w:t>Timeline</w:t>
      </w:r>
      <w:r w:rsidRPr="007C3B9D">
        <w:rPr>
          <w:rFonts w:cs="Calibri"/>
          <w:color w:val="BF4E14" w:themeColor="accent2" w:themeShade="BF"/>
          <w:lang w:val="en-AU"/>
        </w:rPr>
        <w:t xml:space="preserve">: </w:t>
      </w:r>
      <w:r w:rsidRPr="007C3B9D">
        <w:rPr>
          <w:rFonts w:cs="Calibri"/>
          <w:lang w:val="en-AU"/>
        </w:rPr>
        <w:t>Initial meetings within 1 month; ongoing engagement and planning</w:t>
      </w:r>
    </w:p>
    <w:p w14:paraId="10072ECE" w14:textId="77777777" w:rsidR="00C64BDD" w:rsidRPr="00C64BDD" w:rsidRDefault="00C64BDD" w:rsidP="008059F0">
      <w:pPr>
        <w:pStyle w:val="Heading2"/>
      </w:pPr>
      <w:r w:rsidRPr="00C64BDD">
        <w:lastRenderedPageBreak/>
        <w:t>Recommendation 3: Maintain and enhance program flexibility and adaptability</w:t>
      </w:r>
    </w:p>
    <w:p w14:paraId="7E9B42C3"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Rationale</w:t>
      </w:r>
      <w:r w:rsidRPr="007C3B9D">
        <w:rPr>
          <w:rFonts w:cs="Calibri"/>
          <w:color w:val="BF4E14" w:themeColor="accent2" w:themeShade="BF"/>
          <w:lang w:val="en-AU"/>
        </w:rPr>
        <w:t>:</w:t>
      </w:r>
      <w:r w:rsidRPr="007C3B9D">
        <w:rPr>
          <w:rFonts w:cs="Calibri"/>
          <w:lang w:val="en-AU"/>
        </w:rPr>
        <w:t xml:space="preserve"> Flexibility has been key to responding to ASEAN's evolving needs and emerging threats.</w:t>
      </w:r>
    </w:p>
    <w:p w14:paraId="255D404E" w14:textId="77777777" w:rsidR="00C64BDD" w:rsidRPr="007C3B9D" w:rsidRDefault="00C64BDD" w:rsidP="00953443">
      <w:pPr>
        <w:spacing w:line="276" w:lineRule="auto"/>
        <w:rPr>
          <w:rFonts w:cs="Calibri"/>
          <w:lang w:val="en-AU"/>
        </w:rPr>
      </w:pPr>
      <w:r w:rsidRPr="007C3B9D">
        <w:rPr>
          <w:rFonts w:cs="Calibri"/>
          <w:i/>
          <w:iCs/>
          <w:lang w:val="en-AU"/>
        </w:rPr>
        <w:t>Source: JC4.1 (Effectiveness)</w:t>
      </w:r>
    </w:p>
    <w:p w14:paraId="0578C7C8" w14:textId="77777777" w:rsidR="00C64BDD" w:rsidRPr="00446C37" w:rsidRDefault="00C64BDD" w:rsidP="00446C37">
      <w:pPr>
        <w:rPr>
          <w:rFonts w:cs="Calibri"/>
          <w:color w:val="0F4761" w:themeColor="accent1" w:themeShade="BF"/>
          <w:lang w:val="en-AU"/>
        </w:rPr>
      </w:pPr>
      <w:r w:rsidRPr="00446C37">
        <w:rPr>
          <w:rFonts w:cs="Calibri"/>
          <w:color w:val="0F4761" w:themeColor="accent1" w:themeShade="BF"/>
          <w:lang w:val="en-AU"/>
        </w:rPr>
        <w:t>Steps to be taken:</w:t>
      </w:r>
    </w:p>
    <w:p w14:paraId="0594F629" w14:textId="77777777" w:rsidR="00C64BDD" w:rsidRPr="007C3B9D" w:rsidRDefault="00C64BDD" w:rsidP="00953443">
      <w:pPr>
        <w:pStyle w:val="ListParagraph"/>
        <w:numPr>
          <w:ilvl w:val="0"/>
          <w:numId w:val="32"/>
        </w:numPr>
        <w:spacing w:line="276" w:lineRule="auto"/>
        <w:contextualSpacing w:val="0"/>
        <w:rPr>
          <w:rFonts w:cs="Calibri"/>
          <w:lang w:val="en-AU"/>
        </w:rPr>
      </w:pPr>
      <w:r w:rsidRPr="007C3B9D">
        <w:rPr>
          <w:rFonts w:cs="Calibri"/>
          <w:lang w:val="en-AU"/>
        </w:rPr>
        <w:t>Continue the demand-driven approach.</w:t>
      </w:r>
    </w:p>
    <w:p w14:paraId="3EB446B4" w14:textId="77777777" w:rsidR="00C64BDD" w:rsidRPr="007C3B9D" w:rsidRDefault="00C64BDD" w:rsidP="00953443">
      <w:pPr>
        <w:pStyle w:val="ListParagraph"/>
        <w:numPr>
          <w:ilvl w:val="0"/>
          <w:numId w:val="32"/>
        </w:numPr>
        <w:spacing w:line="276" w:lineRule="auto"/>
        <w:contextualSpacing w:val="0"/>
        <w:rPr>
          <w:rFonts w:cs="Calibri"/>
          <w:lang w:val="en-AU"/>
        </w:rPr>
      </w:pPr>
      <w:r w:rsidRPr="007C3B9D">
        <w:rPr>
          <w:rFonts w:cs="Calibri"/>
          <w:lang w:val="en-AU"/>
        </w:rPr>
        <w:t>Regularly review and adjust activities to align with emerging challenges.</w:t>
      </w:r>
    </w:p>
    <w:p w14:paraId="25094FFE" w14:textId="77777777" w:rsidR="00C64BDD" w:rsidRPr="007C3B9D" w:rsidRDefault="00C64BDD" w:rsidP="00953443">
      <w:pPr>
        <w:pStyle w:val="ListParagraph"/>
        <w:numPr>
          <w:ilvl w:val="0"/>
          <w:numId w:val="32"/>
        </w:numPr>
        <w:spacing w:line="276" w:lineRule="auto"/>
        <w:contextualSpacing w:val="0"/>
        <w:rPr>
          <w:rFonts w:cs="Calibri"/>
          <w:lang w:val="en-AU"/>
        </w:rPr>
      </w:pPr>
      <w:r w:rsidRPr="007C3B9D">
        <w:rPr>
          <w:rFonts w:cs="Calibri"/>
          <w:lang w:val="en-AU"/>
        </w:rPr>
        <w:t>Establish mechanisms to identify and incorporate new themes.</w:t>
      </w:r>
    </w:p>
    <w:p w14:paraId="714E8CA0" w14:textId="77777777" w:rsidR="00C64BDD" w:rsidRPr="007C3B9D" w:rsidRDefault="00C64BDD" w:rsidP="00953443">
      <w:pPr>
        <w:pStyle w:val="ListParagraph"/>
        <w:numPr>
          <w:ilvl w:val="0"/>
          <w:numId w:val="32"/>
        </w:numPr>
        <w:spacing w:line="276" w:lineRule="auto"/>
        <w:contextualSpacing w:val="0"/>
        <w:rPr>
          <w:rFonts w:cs="Calibri"/>
          <w:lang w:val="en-AU"/>
        </w:rPr>
      </w:pPr>
      <w:r w:rsidRPr="007C3B9D">
        <w:rPr>
          <w:rFonts w:cs="Calibri"/>
          <w:lang w:val="en-AU"/>
        </w:rPr>
        <w:t>Develop tailored strategies to address varying capacities among ASEAN Member States.</w:t>
      </w:r>
    </w:p>
    <w:p w14:paraId="6D75CFA8"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Responsible parties:</w:t>
      </w:r>
      <w:r w:rsidRPr="007C3B9D">
        <w:rPr>
          <w:rFonts w:cs="Calibri"/>
          <w:color w:val="E97132" w:themeColor="accent2"/>
          <w:lang w:val="en-AU"/>
        </w:rPr>
        <w:t xml:space="preserve"> </w:t>
      </w:r>
      <w:r w:rsidRPr="007C3B9D">
        <w:rPr>
          <w:rFonts w:cs="Calibri"/>
          <w:lang w:val="en-AU"/>
        </w:rPr>
        <w:t>TAF, DFAT, ASEAN Secretariat</w:t>
      </w:r>
    </w:p>
    <w:p w14:paraId="5BAC51D9"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Timeline</w:t>
      </w:r>
      <w:r w:rsidRPr="007C3B9D">
        <w:rPr>
          <w:rFonts w:cs="Calibri"/>
          <w:color w:val="BF4E14" w:themeColor="accent2" w:themeShade="BF"/>
          <w:lang w:val="en-AU"/>
        </w:rPr>
        <w:t xml:space="preserve">: </w:t>
      </w:r>
      <w:r w:rsidRPr="007C3B9D">
        <w:rPr>
          <w:rFonts w:cs="Calibri"/>
          <w:lang w:val="en-AU"/>
        </w:rPr>
        <w:t>Ongoing throughout the remainder of the current program and into future programming</w:t>
      </w:r>
    </w:p>
    <w:p w14:paraId="7EEC867E" w14:textId="77777777" w:rsidR="00C64BDD" w:rsidRPr="00C64BDD" w:rsidRDefault="00C64BDD" w:rsidP="008059F0">
      <w:pPr>
        <w:pStyle w:val="Heading2"/>
      </w:pPr>
      <w:r w:rsidRPr="00C64BDD">
        <w:t>Recommendation 4: Consider the integration of additional thematic areas (e.g., environmental security)</w:t>
      </w:r>
    </w:p>
    <w:p w14:paraId="52F091FF"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Rationale</w:t>
      </w:r>
      <w:r w:rsidRPr="007C3B9D">
        <w:rPr>
          <w:rFonts w:cs="Calibri"/>
          <w:color w:val="BF4E14" w:themeColor="accent2" w:themeShade="BF"/>
          <w:lang w:val="en-AU"/>
        </w:rPr>
        <w:t xml:space="preserve">: </w:t>
      </w:r>
      <w:r w:rsidRPr="007C3B9D">
        <w:rPr>
          <w:rFonts w:cs="Calibri"/>
          <w:lang w:val="en-AU"/>
        </w:rPr>
        <w:t>Incorporating new themes could enhance impact and address emerging regional challenges.</w:t>
      </w:r>
    </w:p>
    <w:p w14:paraId="721DD826" w14:textId="77777777" w:rsidR="00C64BDD" w:rsidRPr="007C3B9D" w:rsidRDefault="00C64BDD" w:rsidP="00953443">
      <w:pPr>
        <w:spacing w:line="276" w:lineRule="auto"/>
        <w:rPr>
          <w:rFonts w:cs="Calibri"/>
          <w:lang w:val="en-AU"/>
        </w:rPr>
      </w:pPr>
      <w:r w:rsidRPr="007C3B9D">
        <w:rPr>
          <w:rFonts w:cs="Calibri"/>
          <w:i/>
          <w:iCs/>
          <w:lang w:val="en-AU"/>
        </w:rPr>
        <w:t>Source: Future Programming: Thematic Focus</w:t>
      </w:r>
    </w:p>
    <w:p w14:paraId="7DFA14F3" w14:textId="77777777" w:rsidR="00C64BDD" w:rsidRPr="00446C37" w:rsidRDefault="00C64BDD" w:rsidP="00446C37">
      <w:pPr>
        <w:rPr>
          <w:rFonts w:cs="Calibri"/>
          <w:color w:val="0F4761" w:themeColor="accent1" w:themeShade="BF"/>
          <w:lang w:val="en-AU"/>
        </w:rPr>
      </w:pPr>
      <w:r w:rsidRPr="00446C37">
        <w:rPr>
          <w:rFonts w:cs="Calibri"/>
          <w:color w:val="0F4761" w:themeColor="accent1" w:themeShade="BF"/>
          <w:lang w:val="en-AU"/>
        </w:rPr>
        <w:t>Steps to be taken:</w:t>
      </w:r>
    </w:p>
    <w:p w14:paraId="7E02A4E3" w14:textId="77777777" w:rsidR="00C64BDD" w:rsidRPr="007C3B9D" w:rsidRDefault="00C64BDD" w:rsidP="00953443">
      <w:pPr>
        <w:pStyle w:val="ListParagraph"/>
        <w:numPr>
          <w:ilvl w:val="0"/>
          <w:numId w:val="33"/>
        </w:numPr>
        <w:spacing w:line="276" w:lineRule="auto"/>
        <w:contextualSpacing w:val="0"/>
        <w:rPr>
          <w:rFonts w:cs="Calibri"/>
          <w:lang w:val="en-AU"/>
        </w:rPr>
      </w:pPr>
      <w:r w:rsidRPr="007C3B9D">
        <w:rPr>
          <w:rFonts w:cs="Calibri"/>
          <w:lang w:val="en-AU"/>
        </w:rPr>
        <w:t>Consult ASEAN stakeholders to identify priority areas.</w:t>
      </w:r>
    </w:p>
    <w:p w14:paraId="467C86FC" w14:textId="77777777" w:rsidR="00C64BDD" w:rsidRPr="007C3B9D" w:rsidRDefault="00C64BDD" w:rsidP="00953443">
      <w:pPr>
        <w:pStyle w:val="ListParagraph"/>
        <w:numPr>
          <w:ilvl w:val="0"/>
          <w:numId w:val="33"/>
        </w:numPr>
        <w:spacing w:line="276" w:lineRule="auto"/>
        <w:contextualSpacing w:val="0"/>
        <w:rPr>
          <w:rFonts w:cs="Calibri"/>
          <w:lang w:val="en-AU"/>
        </w:rPr>
      </w:pPr>
      <w:r w:rsidRPr="007C3B9D">
        <w:rPr>
          <w:rFonts w:cs="Calibri"/>
          <w:lang w:val="en-AU"/>
        </w:rPr>
        <w:t>Develop plans to incorporate any new themes.</w:t>
      </w:r>
    </w:p>
    <w:p w14:paraId="32534864" w14:textId="77777777" w:rsidR="00C64BDD" w:rsidRPr="007C3B9D" w:rsidRDefault="00C64BDD" w:rsidP="00953443">
      <w:pPr>
        <w:pStyle w:val="ListParagraph"/>
        <w:numPr>
          <w:ilvl w:val="0"/>
          <w:numId w:val="33"/>
        </w:numPr>
        <w:spacing w:line="276" w:lineRule="auto"/>
        <w:contextualSpacing w:val="0"/>
        <w:rPr>
          <w:rFonts w:cs="Calibri"/>
          <w:lang w:val="en-AU"/>
        </w:rPr>
      </w:pPr>
      <w:r w:rsidRPr="007C3B9D">
        <w:rPr>
          <w:rFonts w:cs="Calibri"/>
          <w:lang w:val="en-AU"/>
        </w:rPr>
        <w:t>Allocate resources and expertise accordingly.</w:t>
      </w:r>
    </w:p>
    <w:p w14:paraId="400CEBCF"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Responsible parties:</w:t>
      </w:r>
      <w:r w:rsidRPr="007C3B9D">
        <w:rPr>
          <w:rFonts w:cs="Calibri"/>
          <w:color w:val="E97132" w:themeColor="accent2"/>
          <w:lang w:val="en-AU"/>
        </w:rPr>
        <w:t xml:space="preserve"> </w:t>
      </w:r>
      <w:r w:rsidRPr="007C3B9D">
        <w:rPr>
          <w:rFonts w:cs="Calibri"/>
          <w:lang w:val="en-AU"/>
        </w:rPr>
        <w:t>TAF, DFAT, ASEAN Secretariat</w:t>
      </w:r>
    </w:p>
    <w:p w14:paraId="4ABF48FA"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Timeline</w:t>
      </w:r>
      <w:r w:rsidRPr="007C3B9D">
        <w:rPr>
          <w:rFonts w:cs="Calibri"/>
          <w:color w:val="BF4E14" w:themeColor="accent2" w:themeShade="BF"/>
          <w:lang w:val="en-AU"/>
        </w:rPr>
        <w:t xml:space="preserve">: </w:t>
      </w:r>
      <w:r w:rsidRPr="007C3B9D">
        <w:rPr>
          <w:rFonts w:cs="Calibri"/>
          <w:lang w:val="en-AU"/>
        </w:rPr>
        <w:t>Consultations within next 2 months; integration in future program phase</w:t>
      </w:r>
    </w:p>
    <w:p w14:paraId="111CAE89" w14:textId="77777777" w:rsidR="00C64BDD" w:rsidRPr="00C64BDD" w:rsidRDefault="00C64BDD" w:rsidP="008059F0">
      <w:pPr>
        <w:pStyle w:val="Heading2"/>
      </w:pPr>
      <w:r w:rsidRPr="00C64BDD">
        <w:t>Recommendation 5: Strengthen and formalise partnerships with regional organisations</w:t>
      </w:r>
    </w:p>
    <w:p w14:paraId="14608541"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Rationale</w:t>
      </w:r>
      <w:r w:rsidRPr="007C3B9D">
        <w:rPr>
          <w:rFonts w:cs="Calibri"/>
          <w:color w:val="BF4E14" w:themeColor="accent2" w:themeShade="BF"/>
          <w:lang w:val="en-AU"/>
        </w:rPr>
        <w:t xml:space="preserve">: </w:t>
      </w:r>
      <w:r w:rsidRPr="007C3B9D">
        <w:rPr>
          <w:rFonts w:cs="Calibri"/>
          <w:lang w:val="en-AU"/>
        </w:rPr>
        <w:t>Expanding partnerships would enhance impact, sustainability, and regional ownership.</w:t>
      </w:r>
      <w:r w:rsidRPr="007C3B9D">
        <w:rPr>
          <w:rFonts w:cs="Calibri"/>
          <w:lang w:val="en-AU"/>
        </w:rPr>
        <w:br/>
      </w:r>
      <w:r w:rsidRPr="007C3B9D">
        <w:rPr>
          <w:rFonts w:cs="Calibri"/>
          <w:i/>
          <w:iCs/>
          <w:lang w:val="en-AU"/>
        </w:rPr>
        <w:t>Source: Future Programming: Partnership Expansion</w:t>
      </w:r>
    </w:p>
    <w:p w14:paraId="55E4CD07" w14:textId="77777777" w:rsidR="00C64BDD" w:rsidRPr="007C3B9D" w:rsidRDefault="00C64BDD" w:rsidP="00953443">
      <w:pPr>
        <w:spacing w:line="276" w:lineRule="auto"/>
        <w:rPr>
          <w:rFonts w:cs="Calibri"/>
          <w:color w:val="0F4761" w:themeColor="accent1" w:themeShade="BF"/>
          <w:lang w:val="en-AU"/>
        </w:rPr>
      </w:pPr>
      <w:r w:rsidRPr="007C3B9D">
        <w:rPr>
          <w:rFonts w:cs="Calibri"/>
          <w:color w:val="0F4761" w:themeColor="accent1" w:themeShade="BF"/>
          <w:lang w:val="en-AU"/>
        </w:rPr>
        <w:t>Steps to be taken:</w:t>
      </w:r>
    </w:p>
    <w:p w14:paraId="459A6B25" w14:textId="77777777" w:rsidR="00C64BDD" w:rsidRPr="007C3B9D" w:rsidRDefault="00C64BDD" w:rsidP="00953443">
      <w:pPr>
        <w:pStyle w:val="ListParagraph"/>
        <w:numPr>
          <w:ilvl w:val="0"/>
          <w:numId w:val="33"/>
        </w:numPr>
        <w:spacing w:line="276" w:lineRule="auto"/>
        <w:contextualSpacing w:val="0"/>
        <w:rPr>
          <w:rFonts w:cs="Calibri"/>
          <w:lang w:val="en-AU"/>
        </w:rPr>
      </w:pPr>
      <w:r w:rsidRPr="007C3B9D">
        <w:rPr>
          <w:rFonts w:cs="Calibri"/>
          <w:lang w:val="en-AU"/>
        </w:rPr>
        <w:t>Identify potential regional partners (e.g., ASEAN-ISIS, JCLEC, regional universities).</w:t>
      </w:r>
    </w:p>
    <w:p w14:paraId="500D4FF8" w14:textId="77777777" w:rsidR="00C64BDD" w:rsidRPr="007C3B9D" w:rsidRDefault="00C64BDD" w:rsidP="00953443">
      <w:pPr>
        <w:pStyle w:val="ListParagraph"/>
        <w:numPr>
          <w:ilvl w:val="0"/>
          <w:numId w:val="33"/>
        </w:numPr>
        <w:spacing w:line="276" w:lineRule="auto"/>
        <w:contextualSpacing w:val="0"/>
        <w:rPr>
          <w:rFonts w:cs="Calibri"/>
          <w:lang w:val="en-AU"/>
        </w:rPr>
      </w:pPr>
      <w:r w:rsidRPr="007C3B9D">
        <w:rPr>
          <w:rFonts w:cs="Calibri"/>
          <w:lang w:val="en-AU"/>
        </w:rPr>
        <w:lastRenderedPageBreak/>
        <w:t>Initiate discussions.</w:t>
      </w:r>
    </w:p>
    <w:p w14:paraId="29C1BBA8" w14:textId="77777777" w:rsidR="00C64BDD" w:rsidRPr="007C3B9D" w:rsidRDefault="00C64BDD" w:rsidP="00953443">
      <w:pPr>
        <w:pStyle w:val="ListParagraph"/>
        <w:numPr>
          <w:ilvl w:val="0"/>
          <w:numId w:val="33"/>
        </w:numPr>
        <w:spacing w:line="276" w:lineRule="auto"/>
        <w:contextualSpacing w:val="0"/>
        <w:rPr>
          <w:rFonts w:cs="Calibri"/>
          <w:lang w:val="en-AU"/>
        </w:rPr>
      </w:pPr>
      <w:r w:rsidRPr="007C3B9D">
        <w:rPr>
          <w:rFonts w:cs="Calibri"/>
          <w:lang w:val="en-AU"/>
        </w:rPr>
        <w:t>Plan for formal agreements and collaboration in the next program phase.</w:t>
      </w:r>
    </w:p>
    <w:p w14:paraId="0848D85A"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 xml:space="preserve">Responsible parties: </w:t>
      </w:r>
      <w:r w:rsidRPr="007C3B9D">
        <w:rPr>
          <w:rFonts w:cs="Calibri"/>
          <w:lang w:val="en-AU"/>
        </w:rPr>
        <w:t>DFAT, TAF, ASEAN Secretariat, potential partners</w:t>
      </w:r>
    </w:p>
    <w:p w14:paraId="6DA0B0A3"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Timeline</w:t>
      </w:r>
      <w:r w:rsidRPr="007C3B9D">
        <w:rPr>
          <w:rFonts w:cs="Calibri"/>
          <w:color w:val="BF4E14" w:themeColor="accent2" w:themeShade="BF"/>
          <w:lang w:val="en-AU"/>
        </w:rPr>
        <w:t xml:space="preserve">: </w:t>
      </w:r>
      <w:r w:rsidRPr="007C3B9D">
        <w:rPr>
          <w:rFonts w:cs="Calibri"/>
          <w:lang w:val="en-AU"/>
        </w:rPr>
        <w:t>Initiate partner identification and discussions within next 2 months; formalise partnerships in next program phase</w:t>
      </w:r>
    </w:p>
    <w:p w14:paraId="1A04509D" w14:textId="77777777" w:rsidR="00C64BDD" w:rsidRPr="00C64BDD" w:rsidRDefault="00C64BDD" w:rsidP="008059F0">
      <w:pPr>
        <w:pStyle w:val="Heading2"/>
      </w:pPr>
      <w:r w:rsidRPr="00C64BDD">
        <w:t>Recommendation 6: Further integrate disability inclusion</w:t>
      </w:r>
    </w:p>
    <w:p w14:paraId="3295512E"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Rationale</w:t>
      </w:r>
      <w:r w:rsidRPr="00446C37">
        <w:rPr>
          <w:rFonts w:cs="Calibri"/>
          <w:color w:val="0F4761" w:themeColor="accent1" w:themeShade="BF"/>
          <w:lang w:val="en-AU"/>
        </w:rPr>
        <w:t>:</w:t>
      </w:r>
      <w:r w:rsidRPr="007C3B9D">
        <w:rPr>
          <w:rFonts w:cs="Calibri"/>
          <w:color w:val="BF4E14" w:themeColor="accent2" w:themeShade="BF"/>
          <w:lang w:val="en-AU"/>
        </w:rPr>
        <w:t xml:space="preserve"> </w:t>
      </w:r>
      <w:r w:rsidRPr="007C3B9D">
        <w:rPr>
          <w:rFonts w:cs="Calibri"/>
          <w:lang w:val="en-AU"/>
        </w:rPr>
        <w:t>Scope exists to strengthen disability inclusion by involving more civil society organisations.</w:t>
      </w:r>
      <w:r w:rsidRPr="007C3B9D">
        <w:rPr>
          <w:rFonts w:cs="Calibri"/>
          <w:lang w:val="en-AU"/>
        </w:rPr>
        <w:br/>
      </w:r>
      <w:r w:rsidRPr="007C3B9D">
        <w:rPr>
          <w:rFonts w:cs="Calibri"/>
          <w:i/>
          <w:iCs/>
          <w:lang w:val="en-AU"/>
        </w:rPr>
        <w:t>Source: GEDSI Conclusion</w:t>
      </w:r>
    </w:p>
    <w:p w14:paraId="255829C1" w14:textId="77777777" w:rsidR="00C64BDD" w:rsidRPr="00446C37" w:rsidRDefault="00C64BDD" w:rsidP="00446C37">
      <w:pPr>
        <w:spacing w:line="276" w:lineRule="auto"/>
        <w:rPr>
          <w:rFonts w:cs="Calibri"/>
          <w:color w:val="0F4761" w:themeColor="accent1" w:themeShade="BF"/>
          <w:lang w:val="en-AU"/>
        </w:rPr>
      </w:pPr>
      <w:r w:rsidRPr="00446C37">
        <w:rPr>
          <w:rFonts w:cs="Calibri"/>
          <w:color w:val="0F4761" w:themeColor="accent1" w:themeShade="BF"/>
          <w:lang w:val="en-AU"/>
        </w:rPr>
        <w:t>Steps to be taken:</w:t>
      </w:r>
    </w:p>
    <w:p w14:paraId="42469500" w14:textId="77777777" w:rsidR="00C64BDD" w:rsidRPr="007C3B9D" w:rsidRDefault="00C64BDD" w:rsidP="00953443">
      <w:pPr>
        <w:pStyle w:val="ListParagraph"/>
        <w:numPr>
          <w:ilvl w:val="0"/>
          <w:numId w:val="34"/>
        </w:numPr>
        <w:spacing w:line="276" w:lineRule="auto"/>
        <w:contextualSpacing w:val="0"/>
        <w:rPr>
          <w:rFonts w:cs="Calibri"/>
          <w:lang w:val="en-AU"/>
        </w:rPr>
      </w:pPr>
      <w:r w:rsidRPr="007C3B9D">
        <w:rPr>
          <w:rFonts w:cs="Calibri"/>
          <w:lang w:val="en-AU"/>
        </w:rPr>
        <w:t>Engage with disability-focused CSOs in ASEAN.</w:t>
      </w:r>
    </w:p>
    <w:p w14:paraId="28CEEA35" w14:textId="77777777" w:rsidR="00C64BDD" w:rsidRPr="007C3B9D" w:rsidRDefault="00C64BDD" w:rsidP="00953443">
      <w:pPr>
        <w:pStyle w:val="ListParagraph"/>
        <w:numPr>
          <w:ilvl w:val="0"/>
          <w:numId w:val="34"/>
        </w:numPr>
        <w:spacing w:line="276" w:lineRule="auto"/>
        <w:contextualSpacing w:val="0"/>
        <w:rPr>
          <w:rFonts w:cs="Calibri"/>
          <w:lang w:val="en-AU"/>
        </w:rPr>
      </w:pPr>
      <w:r w:rsidRPr="007C3B9D">
        <w:rPr>
          <w:rFonts w:cs="Calibri"/>
          <w:lang w:val="en-AU"/>
        </w:rPr>
        <w:t>Include disability topics and representatives in activities.</w:t>
      </w:r>
    </w:p>
    <w:p w14:paraId="24FBB87D" w14:textId="77777777" w:rsidR="00C64BDD" w:rsidRPr="007C3B9D" w:rsidRDefault="00C64BDD" w:rsidP="00953443">
      <w:pPr>
        <w:pStyle w:val="ListParagraph"/>
        <w:numPr>
          <w:ilvl w:val="0"/>
          <w:numId w:val="34"/>
        </w:numPr>
        <w:spacing w:line="276" w:lineRule="auto"/>
        <w:contextualSpacing w:val="0"/>
        <w:rPr>
          <w:rFonts w:cs="Calibri"/>
          <w:lang w:val="en-AU"/>
        </w:rPr>
      </w:pPr>
      <w:r w:rsidRPr="007C3B9D">
        <w:rPr>
          <w:rFonts w:cs="Calibri"/>
          <w:lang w:val="en-AU"/>
        </w:rPr>
        <w:t>Develop initiatives targeting disability inclusion.</w:t>
      </w:r>
    </w:p>
    <w:p w14:paraId="67E166F4"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Responsible parties:</w:t>
      </w:r>
      <w:r w:rsidRPr="007C3B9D">
        <w:rPr>
          <w:rFonts w:cs="Calibri"/>
          <w:color w:val="E97132" w:themeColor="accent2"/>
          <w:lang w:val="en-AU"/>
        </w:rPr>
        <w:t xml:space="preserve"> </w:t>
      </w:r>
      <w:r w:rsidRPr="007C3B9D">
        <w:rPr>
          <w:rFonts w:cs="Calibri"/>
          <w:lang w:val="en-AU"/>
        </w:rPr>
        <w:t>TAF, DFAT, ASEAN Secretariat, CSOs</w:t>
      </w:r>
    </w:p>
    <w:p w14:paraId="4D378CC9" w14:textId="77777777" w:rsidR="00C64BDD" w:rsidRPr="007C3B9D" w:rsidRDefault="00C64BDD" w:rsidP="00953443">
      <w:pPr>
        <w:spacing w:line="276" w:lineRule="auto"/>
        <w:rPr>
          <w:rFonts w:cs="Calibri"/>
          <w:lang w:val="en-AU"/>
        </w:rPr>
      </w:pPr>
      <w:r w:rsidRPr="007C3B9D">
        <w:rPr>
          <w:rFonts w:cs="Calibri"/>
          <w:color w:val="0F4761" w:themeColor="accent1" w:themeShade="BF"/>
          <w:lang w:val="en-AU"/>
        </w:rPr>
        <w:t>Timeline</w:t>
      </w:r>
      <w:r w:rsidRPr="007C3B9D">
        <w:rPr>
          <w:rFonts w:cs="Calibri"/>
          <w:color w:val="BF4E14" w:themeColor="accent2" w:themeShade="BF"/>
          <w:lang w:val="en-AU"/>
        </w:rPr>
        <w:t xml:space="preserve">: </w:t>
      </w:r>
      <w:r w:rsidRPr="007C3B9D">
        <w:rPr>
          <w:rFonts w:cs="Calibri"/>
          <w:lang w:val="en-AU"/>
        </w:rPr>
        <w:t>Initiate within next 2 months; integrate into current and future activities</w:t>
      </w:r>
    </w:p>
    <w:p w14:paraId="2B7EC814" w14:textId="77777777" w:rsidR="00EE54A9" w:rsidRPr="00EE54A9" w:rsidRDefault="00EE54A9" w:rsidP="00446C37">
      <w:pPr>
        <w:pStyle w:val="Heading2"/>
      </w:pPr>
      <w:r w:rsidRPr="00EE54A9">
        <w:t>Recommendation 7: Establish a consultative mechanism for emerging issues</w:t>
      </w:r>
    </w:p>
    <w:p w14:paraId="39CE7411" w14:textId="77777777" w:rsidR="00EE54A9" w:rsidRPr="007C3B9D" w:rsidRDefault="00EE54A9" w:rsidP="00953443">
      <w:pPr>
        <w:spacing w:line="276" w:lineRule="auto"/>
        <w:rPr>
          <w:lang w:val="en-AU"/>
        </w:rPr>
      </w:pPr>
      <w:r w:rsidRPr="007C3B9D">
        <w:rPr>
          <w:rFonts w:cs="Calibri"/>
          <w:color w:val="0F4761" w:themeColor="accent1" w:themeShade="BF"/>
          <w:lang w:val="en-AU"/>
        </w:rPr>
        <w:t>Rationale</w:t>
      </w:r>
      <w:r w:rsidRPr="007C3B9D">
        <w:rPr>
          <w:rFonts w:cs="Calibri"/>
          <w:color w:val="BF4E14" w:themeColor="accent2" w:themeShade="BF"/>
          <w:lang w:val="en-AU"/>
        </w:rPr>
        <w:t xml:space="preserve">: </w:t>
      </w:r>
      <w:r w:rsidRPr="007C3B9D">
        <w:rPr>
          <w:rFonts w:cs="Calibri"/>
          <w:lang w:val="en-AU"/>
        </w:rPr>
        <w:t xml:space="preserve">A consultative body could enhance strategic planning and OGD engagement, to </w:t>
      </w:r>
      <w:r w:rsidRPr="007C3B9D">
        <w:rPr>
          <w:lang w:val="en-AU"/>
        </w:rPr>
        <w:t>advise on emerging issues relevant to future programming</w:t>
      </w:r>
    </w:p>
    <w:p w14:paraId="404790FC" w14:textId="77777777" w:rsidR="00EE54A9" w:rsidRPr="007C3B9D" w:rsidRDefault="00EE54A9" w:rsidP="00953443">
      <w:pPr>
        <w:spacing w:line="276" w:lineRule="auto"/>
        <w:rPr>
          <w:rFonts w:cs="Calibri"/>
          <w:i/>
          <w:iCs/>
          <w:lang w:val="en-AU"/>
        </w:rPr>
      </w:pPr>
      <w:r w:rsidRPr="007C3B9D">
        <w:rPr>
          <w:rFonts w:cs="Calibri"/>
          <w:i/>
          <w:iCs/>
          <w:lang w:val="en-AU"/>
        </w:rPr>
        <w:t xml:space="preserve">Source: JC3.2 (Efficiency); Future Programming </w:t>
      </w:r>
    </w:p>
    <w:p w14:paraId="1491E11A" w14:textId="77777777" w:rsidR="00EE54A9" w:rsidRPr="007C3B9D" w:rsidRDefault="00EE54A9" w:rsidP="00953443">
      <w:pPr>
        <w:spacing w:line="276" w:lineRule="auto"/>
        <w:rPr>
          <w:rFonts w:cs="Calibri"/>
          <w:color w:val="0F4761" w:themeColor="accent1" w:themeShade="BF"/>
          <w:lang w:val="en-AU"/>
        </w:rPr>
      </w:pPr>
      <w:r w:rsidRPr="007C3B9D">
        <w:rPr>
          <w:rFonts w:cs="Calibri"/>
          <w:color w:val="0F4761" w:themeColor="accent1" w:themeShade="BF"/>
          <w:lang w:val="en-AU"/>
        </w:rPr>
        <w:t>Steps to be taken:</w:t>
      </w:r>
    </w:p>
    <w:p w14:paraId="3B7555D9" w14:textId="77777777" w:rsidR="00EE54A9" w:rsidRPr="007C3B9D" w:rsidRDefault="00EE54A9" w:rsidP="00953443">
      <w:pPr>
        <w:pStyle w:val="ListParagraph"/>
        <w:numPr>
          <w:ilvl w:val="0"/>
          <w:numId w:val="35"/>
        </w:numPr>
        <w:spacing w:line="276" w:lineRule="auto"/>
        <w:contextualSpacing w:val="0"/>
        <w:rPr>
          <w:rFonts w:cs="Calibri"/>
          <w:lang w:val="en-AU"/>
        </w:rPr>
      </w:pPr>
      <w:r w:rsidRPr="007C3B9D">
        <w:rPr>
          <w:rFonts w:cs="Calibri"/>
          <w:lang w:val="en-AU"/>
        </w:rPr>
        <w:t>Propose forming a consultative committee with ASEAN and OGDs.</w:t>
      </w:r>
    </w:p>
    <w:p w14:paraId="1F6B308A" w14:textId="77777777" w:rsidR="00EE54A9" w:rsidRPr="007C3B9D" w:rsidRDefault="00EE54A9" w:rsidP="00953443">
      <w:pPr>
        <w:pStyle w:val="ListParagraph"/>
        <w:numPr>
          <w:ilvl w:val="0"/>
          <w:numId w:val="35"/>
        </w:numPr>
        <w:spacing w:line="276" w:lineRule="auto"/>
        <w:contextualSpacing w:val="0"/>
        <w:rPr>
          <w:rFonts w:cs="Calibri"/>
          <w:lang w:val="en-AU"/>
        </w:rPr>
      </w:pPr>
      <w:r w:rsidRPr="007C3B9D">
        <w:rPr>
          <w:rFonts w:cs="Calibri"/>
          <w:lang w:val="en-AU"/>
        </w:rPr>
        <w:t>Define mandate, membership, and schedule.</w:t>
      </w:r>
    </w:p>
    <w:p w14:paraId="6E31D547" w14:textId="77777777" w:rsidR="00EE54A9" w:rsidRPr="007C3B9D" w:rsidRDefault="00EE54A9" w:rsidP="00953443">
      <w:pPr>
        <w:pStyle w:val="ListParagraph"/>
        <w:numPr>
          <w:ilvl w:val="0"/>
          <w:numId w:val="35"/>
        </w:numPr>
        <w:spacing w:line="276" w:lineRule="auto"/>
        <w:contextualSpacing w:val="0"/>
        <w:rPr>
          <w:rFonts w:cs="Calibri"/>
          <w:lang w:val="en-AU"/>
        </w:rPr>
      </w:pPr>
      <w:r w:rsidRPr="007C3B9D">
        <w:rPr>
          <w:rFonts w:cs="Calibri"/>
          <w:lang w:val="en-AU"/>
        </w:rPr>
        <w:t>Use the committee for planning the future program and identifying emerging issues.</w:t>
      </w:r>
    </w:p>
    <w:p w14:paraId="08CFF903" w14:textId="77777777" w:rsidR="00EE54A9" w:rsidRPr="007C3B9D" w:rsidRDefault="00EE54A9" w:rsidP="00953443">
      <w:pPr>
        <w:spacing w:line="276" w:lineRule="auto"/>
        <w:rPr>
          <w:rFonts w:cs="Calibri"/>
          <w:lang w:val="en-AU"/>
        </w:rPr>
      </w:pPr>
      <w:r w:rsidRPr="007C3B9D">
        <w:rPr>
          <w:rFonts w:cs="Calibri"/>
          <w:color w:val="0F4761" w:themeColor="accent1" w:themeShade="BF"/>
          <w:lang w:val="en-AU"/>
        </w:rPr>
        <w:t xml:space="preserve">Responsible parties: </w:t>
      </w:r>
      <w:r w:rsidRPr="007C3B9D">
        <w:rPr>
          <w:rFonts w:cs="Calibri"/>
          <w:lang w:val="en-AU"/>
        </w:rPr>
        <w:t>DFAT, TAF, ASEAN Secretariat, OGDs</w:t>
      </w:r>
    </w:p>
    <w:p w14:paraId="2D909114" w14:textId="77777777" w:rsidR="00EE54A9" w:rsidRPr="007C3B9D" w:rsidRDefault="00EE54A9" w:rsidP="00953443">
      <w:pPr>
        <w:spacing w:line="276" w:lineRule="auto"/>
        <w:rPr>
          <w:rFonts w:cs="Calibri"/>
          <w:lang w:val="en-AU"/>
        </w:rPr>
      </w:pPr>
      <w:r w:rsidRPr="007C3B9D">
        <w:rPr>
          <w:rFonts w:cs="Calibri"/>
          <w:color w:val="0F4761" w:themeColor="accent1" w:themeShade="BF"/>
          <w:lang w:val="en-AU"/>
        </w:rPr>
        <w:t>Timeline</w:t>
      </w:r>
      <w:r w:rsidRPr="007C3B9D">
        <w:rPr>
          <w:rFonts w:cs="Calibri"/>
          <w:color w:val="BF4E14" w:themeColor="accent2" w:themeShade="BF"/>
          <w:lang w:val="en-AU"/>
        </w:rPr>
        <w:t xml:space="preserve">: </w:t>
      </w:r>
      <w:r w:rsidRPr="007C3B9D">
        <w:rPr>
          <w:rFonts w:cs="Calibri"/>
          <w:lang w:val="en-AU"/>
        </w:rPr>
        <w:t>Establish within next 2 months; utilise for planning future program phase</w:t>
      </w:r>
    </w:p>
    <w:p w14:paraId="301D5EB1" w14:textId="77777777" w:rsidR="00EE54A9" w:rsidRPr="00EE54A9" w:rsidRDefault="00EE54A9" w:rsidP="00446C37">
      <w:pPr>
        <w:pStyle w:val="Heading2"/>
      </w:pPr>
      <w:r w:rsidRPr="00EE54A9">
        <w:lastRenderedPageBreak/>
        <w:t>Recommendation 8: Continue capacity building for ASEAN institutions</w:t>
      </w:r>
    </w:p>
    <w:p w14:paraId="71C67E45" w14:textId="77777777" w:rsidR="00EE54A9" w:rsidRPr="007C3B9D" w:rsidRDefault="00EE54A9" w:rsidP="00953443">
      <w:pPr>
        <w:spacing w:line="276" w:lineRule="auto"/>
        <w:rPr>
          <w:rFonts w:cs="Calibri"/>
          <w:i/>
          <w:iCs/>
          <w:lang w:val="en-AU"/>
        </w:rPr>
      </w:pPr>
      <w:r w:rsidRPr="007C3B9D">
        <w:rPr>
          <w:rFonts w:cs="Calibri"/>
          <w:color w:val="0F4761" w:themeColor="accent1" w:themeShade="BF"/>
          <w:lang w:val="en-AU"/>
        </w:rPr>
        <w:t>Rationale</w:t>
      </w:r>
      <w:r w:rsidRPr="007C3B9D">
        <w:rPr>
          <w:rFonts w:cs="Calibri"/>
          <w:color w:val="BF4E14" w:themeColor="accent2" w:themeShade="BF"/>
          <w:lang w:val="en-AU"/>
        </w:rPr>
        <w:t xml:space="preserve">: </w:t>
      </w:r>
      <w:r w:rsidRPr="007C3B9D">
        <w:rPr>
          <w:rFonts w:cs="Calibri"/>
          <w:lang w:val="en-AU"/>
        </w:rPr>
        <w:t>Ongoing capacity building would ensure sustainability and long-term impact.</w:t>
      </w:r>
      <w:r w:rsidRPr="007C3B9D">
        <w:rPr>
          <w:rFonts w:cs="Calibri"/>
          <w:lang w:val="en-AU"/>
        </w:rPr>
        <w:br/>
      </w:r>
      <w:r w:rsidRPr="007C3B9D">
        <w:rPr>
          <w:rFonts w:cs="Calibri"/>
          <w:i/>
          <w:iCs/>
          <w:lang w:val="en-AU"/>
        </w:rPr>
        <w:t>Source: JC5.1 and JC5.2 (Sustainability)</w:t>
      </w:r>
    </w:p>
    <w:p w14:paraId="66E71254" w14:textId="77777777" w:rsidR="00EE54A9" w:rsidRPr="007C3B9D" w:rsidRDefault="00EE54A9" w:rsidP="00953443">
      <w:pPr>
        <w:spacing w:line="276" w:lineRule="auto"/>
        <w:rPr>
          <w:rFonts w:cs="Calibri"/>
          <w:color w:val="0F4761" w:themeColor="accent1" w:themeShade="BF"/>
          <w:lang w:val="en-AU"/>
        </w:rPr>
      </w:pPr>
      <w:r w:rsidRPr="007C3B9D">
        <w:rPr>
          <w:rFonts w:cs="Calibri"/>
          <w:color w:val="0F4761" w:themeColor="accent1" w:themeShade="BF"/>
          <w:lang w:val="en-AU"/>
        </w:rPr>
        <w:t>Steps to be taken:</w:t>
      </w:r>
    </w:p>
    <w:p w14:paraId="49B704B2" w14:textId="77777777" w:rsidR="00EE54A9" w:rsidRPr="007C3B9D" w:rsidRDefault="00EE54A9" w:rsidP="00953443">
      <w:pPr>
        <w:pStyle w:val="ListParagraph"/>
        <w:numPr>
          <w:ilvl w:val="0"/>
          <w:numId w:val="35"/>
        </w:numPr>
        <w:spacing w:line="276" w:lineRule="auto"/>
        <w:contextualSpacing w:val="0"/>
        <w:rPr>
          <w:rFonts w:cs="Calibri"/>
          <w:lang w:val="en-AU"/>
        </w:rPr>
      </w:pPr>
      <w:r w:rsidRPr="007C3B9D">
        <w:rPr>
          <w:rFonts w:cs="Calibri"/>
          <w:lang w:val="en-AU"/>
        </w:rPr>
        <w:t>Identify capacity gaps within ASEAN institutions.</w:t>
      </w:r>
    </w:p>
    <w:p w14:paraId="0D3BF4E3" w14:textId="77777777" w:rsidR="00EE54A9" w:rsidRPr="007C3B9D" w:rsidRDefault="00EE54A9" w:rsidP="00953443">
      <w:pPr>
        <w:pStyle w:val="ListParagraph"/>
        <w:numPr>
          <w:ilvl w:val="0"/>
          <w:numId w:val="35"/>
        </w:numPr>
        <w:spacing w:line="276" w:lineRule="auto"/>
        <w:contextualSpacing w:val="0"/>
        <w:rPr>
          <w:rFonts w:cs="Calibri"/>
          <w:lang w:val="en-AU"/>
        </w:rPr>
      </w:pPr>
      <w:r w:rsidRPr="007C3B9D">
        <w:rPr>
          <w:rFonts w:cs="Calibri"/>
          <w:lang w:val="en-AU"/>
        </w:rPr>
        <w:t>Develop targeted capacity-building programs.</w:t>
      </w:r>
    </w:p>
    <w:p w14:paraId="502E623C" w14:textId="77777777" w:rsidR="00EE54A9" w:rsidRPr="007C3B9D" w:rsidRDefault="00EE54A9" w:rsidP="00953443">
      <w:pPr>
        <w:pStyle w:val="ListParagraph"/>
        <w:numPr>
          <w:ilvl w:val="0"/>
          <w:numId w:val="35"/>
        </w:numPr>
        <w:spacing w:line="276" w:lineRule="auto"/>
        <w:contextualSpacing w:val="0"/>
        <w:rPr>
          <w:rFonts w:cs="Calibri"/>
          <w:lang w:val="en-AU"/>
        </w:rPr>
      </w:pPr>
      <w:r w:rsidRPr="007C3B9D">
        <w:rPr>
          <w:rFonts w:cs="Calibri"/>
          <w:lang w:val="en-AU"/>
        </w:rPr>
        <w:t>Monitor and evaluate impact.</w:t>
      </w:r>
    </w:p>
    <w:p w14:paraId="1E7B735D" w14:textId="77777777" w:rsidR="00EE54A9" w:rsidRPr="007C3B9D" w:rsidRDefault="00EE54A9" w:rsidP="00953443">
      <w:pPr>
        <w:spacing w:line="276" w:lineRule="auto"/>
        <w:rPr>
          <w:rFonts w:cs="Calibri"/>
          <w:lang w:val="en-AU"/>
        </w:rPr>
      </w:pPr>
      <w:r w:rsidRPr="007C3B9D">
        <w:rPr>
          <w:rFonts w:cs="Calibri"/>
          <w:color w:val="0F4761" w:themeColor="accent1" w:themeShade="BF"/>
          <w:lang w:val="en-AU"/>
        </w:rPr>
        <w:t xml:space="preserve">Responsible parties: </w:t>
      </w:r>
      <w:r w:rsidRPr="007C3B9D">
        <w:rPr>
          <w:rFonts w:cs="Calibri"/>
          <w:lang w:val="en-AU"/>
        </w:rPr>
        <w:t>TAF, DFAT, ASEAN Secretariat</w:t>
      </w:r>
    </w:p>
    <w:p w14:paraId="010568EB" w14:textId="77777777" w:rsidR="00EE54A9" w:rsidRPr="007C3B9D" w:rsidRDefault="00EE54A9" w:rsidP="00953443">
      <w:pPr>
        <w:spacing w:line="276" w:lineRule="auto"/>
        <w:rPr>
          <w:rFonts w:cs="Calibri"/>
          <w:lang w:val="en-AU"/>
        </w:rPr>
      </w:pPr>
      <w:r w:rsidRPr="007C3B9D">
        <w:rPr>
          <w:rFonts w:cs="Calibri"/>
          <w:color w:val="0F4761" w:themeColor="accent1" w:themeShade="BF"/>
          <w:lang w:val="en-AU"/>
        </w:rPr>
        <w:t>Timeline</w:t>
      </w:r>
      <w:r w:rsidRPr="007C3B9D">
        <w:rPr>
          <w:rFonts w:cs="Calibri"/>
          <w:color w:val="BF4E14" w:themeColor="accent2" w:themeShade="BF"/>
          <w:lang w:val="en-AU"/>
        </w:rPr>
        <w:t xml:space="preserve">: </w:t>
      </w:r>
      <w:r w:rsidRPr="007C3B9D">
        <w:rPr>
          <w:rFonts w:cs="Calibri"/>
          <w:lang w:val="en-AU"/>
        </w:rPr>
        <w:t>Ongoing throughout the remainder of the current program and into future programming</w:t>
      </w:r>
    </w:p>
    <w:p w14:paraId="75ABB51D" w14:textId="77777777" w:rsidR="00131B48" w:rsidRPr="00131B48" w:rsidRDefault="00131B48" w:rsidP="00446C37">
      <w:pPr>
        <w:pStyle w:val="Heading2"/>
      </w:pPr>
      <w:r w:rsidRPr="00131B48">
        <w:t>Recommendation 9: Strengthen cross-pillar and cross-sectoral approaches</w:t>
      </w:r>
    </w:p>
    <w:p w14:paraId="57501F6E" w14:textId="77777777" w:rsidR="00131B48" w:rsidRPr="007C3B9D" w:rsidRDefault="00131B48" w:rsidP="00953443">
      <w:pPr>
        <w:spacing w:line="276" w:lineRule="auto"/>
        <w:rPr>
          <w:rFonts w:cs="Calibri"/>
          <w:i/>
          <w:iCs/>
          <w:lang w:val="en-AU"/>
        </w:rPr>
      </w:pPr>
      <w:r w:rsidRPr="007C3B9D">
        <w:rPr>
          <w:rFonts w:cs="Calibri"/>
          <w:color w:val="0F4761" w:themeColor="accent1" w:themeShade="BF"/>
          <w:lang w:val="en-AU"/>
        </w:rPr>
        <w:t>Rationale</w:t>
      </w:r>
      <w:r w:rsidRPr="007C3B9D">
        <w:rPr>
          <w:rFonts w:cs="Calibri"/>
          <w:lang w:val="en-AU"/>
        </w:rPr>
        <w:t>: Enhancing cross-sectoral collaboration addresses complex security issues effectively.</w:t>
      </w:r>
      <w:r w:rsidRPr="007C3B9D">
        <w:rPr>
          <w:rFonts w:cs="Calibri"/>
          <w:lang w:val="en-AU"/>
        </w:rPr>
        <w:br/>
      </w:r>
      <w:r w:rsidRPr="007C3B9D">
        <w:rPr>
          <w:rFonts w:cs="Calibri"/>
          <w:i/>
          <w:iCs/>
          <w:lang w:val="en-AU"/>
        </w:rPr>
        <w:t>Source: JC4.2 (Effectiveness); JC6.1 (Impact)</w:t>
      </w:r>
    </w:p>
    <w:p w14:paraId="37D2AF94" w14:textId="77777777" w:rsidR="00131B48" w:rsidRPr="007C3B9D" w:rsidRDefault="00131B48" w:rsidP="00953443">
      <w:pPr>
        <w:spacing w:line="276" w:lineRule="auto"/>
        <w:rPr>
          <w:rFonts w:cs="Calibri"/>
          <w:color w:val="0F4761" w:themeColor="accent1" w:themeShade="BF"/>
          <w:lang w:val="en-AU"/>
        </w:rPr>
      </w:pPr>
      <w:r w:rsidRPr="007C3B9D">
        <w:rPr>
          <w:rFonts w:cs="Calibri"/>
          <w:color w:val="0F4761" w:themeColor="accent1" w:themeShade="BF"/>
          <w:lang w:val="en-AU"/>
        </w:rPr>
        <w:t>Steps to be taken:</w:t>
      </w:r>
    </w:p>
    <w:p w14:paraId="28A69AD5" w14:textId="77777777" w:rsidR="00131B48" w:rsidRPr="007C3B9D" w:rsidRDefault="00131B48" w:rsidP="00953443">
      <w:pPr>
        <w:pStyle w:val="ListParagraph"/>
        <w:numPr>
          <w:ilvl w:val="0"/>
          <w:numId w:val="36"/>
        </w:numPr>
        <w:spacing w:line="276" w:lineRule="auto"/>
        <w:contextualSpacing w:val="0"/>
        <w:rPr>
          <w:rFonts w:cs="Calibri"/>
          <w:lang w:val="en-AU"/>
        </w:rPr>
      </w:pPr>
      <w:r w:rsidRPr="007C3B9D">
        <w:rPr>
          <w:rFonts w:cs="Calibri"/>
          <w:lang w:val="en-AU"/>
        </w:rPr>
        <w:t>Design activities involving multiple sectors and pillars.</w:t>
      </w:r>
    </w:p>
    <w:p w14:paraId="1A8E9D98" w14:textId="77777777" w:rsidR="00131B48" w:rsidRPr="007C3B9D" w:rsidRDefault="00131B48" w:rsidP="00953443">
      <w:pPr>
        <w:pStyle w:val="ListParagraph"/>
        <w:numPr>
          <w:ilvl w:val="0"/>
          <w:numId w:val="36"/>
        </w:numPr>
        <w:spacing w:line="276" w:lineRule="auto"/>
        <w:contextualSpacing w:val="0"/>
        <w:rPr>
          <w:rFonts w:cs="Calibri"/>
          <w:lang w:val="en-AU"/>
        </w:rPr>
      </w:pPr>
      <w:r w:rsidRPr="007C3B9D">
        <w:rPr>
          <w:rFonts w:cs="Calibri"/>
          <w:lang w:val="en-AU"/>
        </w:rPr>
        <w:t>Encourage diverse stakeholder participation, including civil society and marginalised groups.</w:t>
      </w:r>
    </w:p>
    <w:p w14:paraId="6C409D3E" w14:textId="77777777" w:rsidR="00131B48" w:rsidRPr="007C3B9D" w:rsidRDefault="00131B48" w:rsidP="00953443">
      <w:pPr>
        <w:pStyle w:val="ListParagraph"/>
        <w:numPr>
          <w:ilvl w:val="0"/>
          <w:numId w:val="36"/>
        </w:numPr>
        <w:spacing w:line="276" w:lineRule="auto"/>
        <w:contextualSpacing w:val="0"/>
        <w:rPr>
          <w:rFonts w:cs="Calibri"/>
          <w:lang w:val="en-AU"/>
        </w:rPr>
      </w:pPr>
      <w:r w:rsidRPr="007C3B9D">
        <w:rPr>
          <w:rFonts w:cs="Calibri"/>
          <w:lang w:val="en-AU"/>
        </w:rPr>
        <w:t>Facilitate cross-sector knowledge exchange.</w:t>
      </w:r>
    </w:p>
    <w:p w14:paraId="05DD493D" w14:textId="77777777" w:rsidR="00131B48" w:rsidRPr="007C3B9D" w:rsidRDefault="00131B48" w:rsidP="00953443">
      <w:pPr>
        <w:spacing w:line="276" w:lineRule="auto"/>
        <w:rPr>
          <w:rFonts w:cs="Calibri"/>
          <w:lang w:val="en-AU"/>
        </w:rPr>
      </w:pPr>
      <w:r w:rsidRPr="007C3B9D">
        <w:rPr>
          <w:rFonts w:cs="Calibri"/>
          <w:color w:val="0F4761" w:themeColor="accent1" w:themeShade="BF"/>
          <w:lang w:val="en-AU"/>
        </w:rPr>
        <w:t>Responsible parties:</w:t>
      </w:r>
      <w:r w:rsidRPr="007C3B9D">
        <w:rPr>
          <w:rFonts w:cs="Calibri"/>
          <w:color w:val="E97132" w:themeColor="accent2"/>
          <w:lang w:val="en-AU"/>
        </w:rPr>
        <w:t xml:space="preserve"> </w:t>
      </w:r>
      <w:r w:rsidRPr="007C3B9D">
        <w:rPr>
          <w:rFonts w:cs="Calibri"/>
          <w:lang w:val="en-AU"/>
        </w:rPr>
        <w:t>TAF, DFAT, ASEAN Secretariat</w:t>
      </w:r>
    </w:p>
    <w:p w14:paraId="154F6A6D" w14:textId="77777777" w:rsidR="00131B48" w:rsidRPr="007C3B9D" w:rsidRDefault="00131B48" w:rsidP="00953443">
      <w:pPr>
        <w:spacing w:line="276" w:lineRule="auto"/>
        <w:rPr>
          <w:rFonts w:cs="Calibri"/>
          <w:lang w:val="en-AU"/>
        </w:rPr>
      </w:pPr>
      <w:r w:rsidRPr="007C3B9D">
        <w:rPr>
          <w:rFonts w:cs="Calibri"/>
          <w:color w:val="0F4761" w:themeColor="accent1" w:themeShade="BF"/>
          <w:lang w:val="en-AU"/>
        </w:rPr>
        <w:t>Timeline</w:t>
      </w:r>
      <w:r w:rsidRPr="007C3B9D">
        <w:rPr>
          <w:rFonts w:cs="Calibri"/>
          <w:lang w:val="en-AU"/>
        </w:rPr>
        <w:t>: Ongoing throughout the remainder of the current program and into future programming</w:t>
      </w:r>
    </w:p>
    <w:p w14:paraId="02642FE0" w14:textId="77777777" w:rsidR="0008709B" w:rsidRPr="0008709B" w:rsidRDefault="0008709B" w:rsidP="00446C37">
      <w:pPr>
        <w:pStyle w:val="Heading2"/>
      </w:pPr>
      <w:r w:rsidRPr="0008709B">
        <w:t>Recommendation 10: Improve Monitoring and Evaluation (M&amp;E) frameworks</w:t>
      </w:r>
    </w:p>
    <w:p w14:paraId="588D4DE2" w14:textId="77777777" w:rsidR="0008709B" w:rsidRPr="007C3B9D" w:rsidRDefault="0008709B" w:rsidP="00953443">
      <w:pPr>
        <w:spacing w:line="276" w:lineRule="auto"/>
        <w:rPr>
          <w:rFonts w:cs="Calibri"/>
          <w:i/>
          <w:iCs/>
          <w:lang w:val="en-AU"/>
        </w:rPr>
      </w:pPr>
      <w:r w:rsidRPr="007C3B9D">
        <w:rPr>
          <w:rFonts w:cs="Calibri"/>
          <w:color w:val="0F4761" w:themeColor="accent1" w:themeShade="BF"/>
          <w:lang w:val="en-AU"/>
        </w:rPr>
        <w:t>Rationale</w:t>
      </w:r>
      <w:r w:rsidRPr="007C3B9D">
        <w:rPr>
          <w:rFonts w:cs="Calibri"/>
          <w:lang w:val="en-AU"/>
        </w:rPr>
        <w:t>: Enhanced M&amp;E would capture qualitative outcomes and longer-term impacts.</w:t>
      </w:r>
      <w:r w:rsidRPr="007C3B9D">
        <w:rPr>
          <w:rFonts w:cs="Calibri"/>
          <w:lang w:val="en-AU"/>
        </w:rPr>
        <w:br/>
      </w:r>
      <w:r w:rsidRPr="007C3B9D">
        <w:rPr>
          <w:rFonts w:cs="Calibri"/>
          <w:i/>
          <w:iCs/>
          <w:lang w:val="en-AU"/>
        </w:rPr>
        <w:t>Source: Overall outcomes (Effectiveness)</w:t>
      </w:r>
    </w:p>
    <w:p w14:paraId="3FF1C912" w14:textId="77777777" w:rsidR="0008709B" w:rsidRPr="007C3B9D" w:rsidRDefault="0008709B" w:rsidP="00953443">
      <w:pPr>
        <w:spacing w:line="276" w:lineRule="auto"/>
        <w:rPr>
          <w:rFonts w:cs="Calibri"/>
          <w:color w:val="0F4761" w:themeColor="accent1" w:themeShade="BF"/>
          <w:lang w:val="en-AU"/>
        </w:rPr>
      </w:pPr>
      <w:r w:rsidRPr="007C3B9D">
        <w:rPr>
          <w:rFonts w:cs="Calibri"/>
          <w:color w:val="0F4761" w:themeColor="accent1" w:themeShade="BF"/>
          <w:lang w:val="en-AU"/>
        </w:rPr>
        <w:t>Steps to be taken:</w:t>
      </w:r>
    </w:p>
    <w:p w14:paraId="39BB8C95" w14:textId="77777777" w:rsidR="0008709B" w:rsidRPr="007C3B9D" w:rsidRDefault="0008709B" w:rsidP="00953443">
      <w:pPr>
        <w:pStyle w:val="ListParagraph"/>
        <w:numPr>
          <w:ilvl w:val="0"/>
          <w:numId w:val="37"/>
        </w:numPr>
        <w:spacing w:line="276" w:lineRule="auto"/>
        <w:contextualSpacing w:val="0"/>
        <w:rPr>
          <w:rFonts w:cs="Calibri"/>
          <w:lang w:val="en-AU"/>
        </w:rPr>
      </w:pPr>
      <w:r w:rsidRPr="007C3B9D">
        <w:rPr>
          <w:rFonts w:cs="Calibri"/>
          <w:lang w:val="en-AU"/>
        </w:rPr>
        <w:t>Enhance M&amp;E frameworks to include qualitative indicators and participant feedback.</w:t>
      </w:r>
    </w:p>
    <w:p w14:paraId="6B0D102F" w14:textId="77777777" w:rsidR="0008709B" w:rsidRPr="007C3B9D" w:rsidRDefault="0008709B" w:rsidP="00953443">
      <w:pPr>
        <w:pStyle w:val="ListParagraph"/>
        <w:numPr>
          <w:ilvl w:val="0"/>
          <w:numId w:val="37"/>
        </w:numPr>
        <w:spacing w:line="276" w:lineRule="auto"/>
        <w:contextualSpacing w:val="0"/>
        <w:rPr>
          <w:rFonts w:cs="Calibri"/>
          <w:lang w:val="en-AU"/>
        </w:rPr>
      </w:pPr>
      <w:r w:rsidRPr="007C3B9D">
        <w:rPr>
          <w:rFonts w:cs="Calibri"/>
          <w:lang w:val="en-AU"/>
        </w:rPr>
        <w:t>Collect and analyse data on long-term outcomes.</w:t>
      </w:r>
    </w:p>
    <w:p w14:paraId="6F32D607" w14:textId="77777777" w:rsidR="0008709B" w:rsidRPr="007C3B9D" w:rsidRDefault="0008709B" w:rsidP="00953443">
      <w:pPr>
        <w:pStyle w:val="ListParagraph"/>
        <w:numPr>
          <w:ilvl w:val="0"/>
          <w:numId w:val="37"/>
        </w:numPr>
        <w:spacing w:line="276" w:lineRule="auto"/>
        <w:contextualSpacing w:val="0"/>
        <w:rPr>
          <w:rFonts w:cs="Calibri"/>
          <w:lang w:val="en-AU"/>
        </w:rPr>
      </w:pPr>
      <w:r w:rsidRPr="007C3B9D">
        <w:rPr>
          <w:rFonts w:cs="Calibri"/>
          <w:lang w:val="en-AU"/>
        </w:rPr>
        <w:t>Use findings to inform adjustments.</w:t>
      </w:r>
    </w:p>
    <w:p w14:paraId="0C49CD99" w14:textId="77777777" w:rsidR="0008709B" w:rsidRPr="007C3B9D" w:rsidRDefault="0008709B" w:rsidP="00953443">
      <w:pPr>
        <w:pStyle w:val="ListParagraph"/>
        <w:numPr>
          <w:ilvl w:val="0"/>
          <w:numId w:val="37"/>
        </w:numPr>
        <w:spacing w:line="276" w:lineRule="auto"/>
        <w:contextualSpacing w:val="0"/>
        <w:rPr>
          <w:rFonts w:cs="Calibri"/>
          <w:lang w:val="en-AU"/>
        </w:rPr>
      </w:pPr>
      <w:r w:rsidRPr="007C3B9D">
        <w:rPr>
          <w:rFonts w:cs="Calibri"/>
          <w:lang w:val="en-AU"/>
        </w:rPr>
        <w:t>Incorporate participant suggestions for practical applications and inclusivity.</w:t>
      </w:r>
    </w:p>
    <w:p w14:paraId="06610E39" w14:textId="77777777" w:rsidR="0008709B" w:rsidRPr="007C3B9D" w:rsidRDefault="0008709B" w:rsidP="00953443">
      <w:pPr>
        <w:spacing w:line="276" w:lineRule="auto"/>
        <w:rPr>
          <w:rFonts w:cs="Calibri"/>
          <w:lang w:val="en-AU"/>
        </w:rPr>
      </w:pPr>
      <w:r w:rsidRPr="007C3B9D">
        <w:rPr>
          <w:rFonts w:cs="Calibri"/>
          <w:color w:val="0F4761" w:themeColor="accent1" w:themeShade="BF"/>
          <w:lang w:val="en-AU"/>
        </w:rPr>
        <w:t>Responsible parties:</w:t>
      </w:r>
      <w:r w:rsidRPr="007C3B9D">
        <w:rPr>
          <w:rFonts w:cs="Calibri"/>
          <w:color w:val="E97132" w:themeColor="accent2"/>
          <w:lang w:val="en-AU"/>
        </w:rPr>
        <w:t xml:space="preserve"> </w:t>
      </w:r>
      <w:r w:rsidRPr="007C3B9D">
        <w:rPr>
          <w:rFonts w:cs="Calibri"/>
          <w:lang w:val="en-AU"/>
        </w:rPr>
        <w:t>TAF, DFAT</w:t>
      </w:r>
    </w:p>
    <w:p w14:paraId="546B578E" w14:textId="77777777" w:rsidR="0008709B" w:rsidRPr="007C3B9D" w:rsidRDefault="0008709B" w:rsidP="00953443">
      <w:pPr>
        <w:spacing w:line="276" w:lineRule="auto"/>
        <w:rPr>
          <w:rFonts w:cs="Calibri"/>
          <w:lang w:val="en-AU"/>
        </w:rPr>
      </w:pPr>
      <w:r w:rsidRPr="007C3B9D">
        <w:rPr>
          <w:rFonts w:cs="Calibri"/>
          <w:color w:val="0F4761" w:themeColor="accent1" w:themeShade="BF"/>
          <w:lang w:val="en-AU"/>
        </w:rPr>
        <w:lastRenderedPageBreak/>
        <w:t>Timeline</w:t>
      </w:r>
      <w:r w:rsidRPr="007C3B9D">
        <w:rPr>
          <w:rFonts w:cs="Calibri"/>
          <w:lang w:val="en-AU"/>
        </w:rPr>
        <w:t>: Framework enhanced within next 1 month; ongoing analysis throughout remainder of program and into future programming</w:t>
      </w:r>
    </w:p>
    <w:p w14:paraId="60078A14" w14:textId="77777777" w:rsidR="0008709B" w:rsidRPr="0008709B" w:rsidRDefault="0008709B" w:rsidP="00446C37">
      <w:pPr>
        <w:pStyle w:val="Heading2"/>
      </w:pPr>
      <w:r w:rsidRPr="0008709B">
        <w:t>Recommendation 11: Explore options for program restructuring to enhance sustainability and effectiveness</w:t>
      </w:r>
    </w:p>
    <w:p w14:paraId="1C48FC3B" w14:textId="77777777" w:rsidR="0008709B" w:rsidRPr="007C3B9D" w:rsidRDefault="0008709B" w:rsidP="00953443">
      <w:pPr>
        <w:spacing w:line="276" w:lineRule="auto"/>
        <w:rPr>
          <w:rFonts w:cs="Calibri"/>
          <w:i/>
          <w:iCs/>
          <w:lang w:val="en-AU"/>
        </w:rPr>
      </w:pPr>
      <w:r w:rsidRPr="007C3B9D">
        <w:rPr>
          <w:rFonts w:cs="Calibri"/>
          <w:color w:val="0F4761" w:themeColor="accent1" w:themeShade="BF"/>
          <w:lang w:val="en-AU"/>
        </w:rPr>
        <w:t>Rationale</w:t>
      </w:r>
      <w:r w:rsidRPr="007C3B9D">
        <w:rPr>
          <w:rFonts w:cs="Calibri"/>
          <w:lang w:val="en-AU"/>
        </w:rPr>
        <w:t>: Considering different structural models could enhance the program's effectiveness and sustainability.</w:t>
      </w:r>
      <w:r w:rsidRPr="007C3B9D">
        <w:rPr>
          <w:rFonts w:cs="Calibri"/>
          <w:i/>
          <w:iCs/>
          <w:lang w:val="en-AU"/>
        </w:rPr>
        <w:t xml:space="preserve"> </w:t>
      </w:r>
      <w:r w:rsidRPr="007C3B9D">
        <w:rPr>
          <w:rFonts w:cs="Calibri"/>
          <w:lang w:val="en-AU"/>
        </w:rPr>
        <w:br/>
      </w:r>
      <w:r w:rsidRPr="007C3B9D">
        <w:rPr>
          <w:rFonts w:cs="Calibri"/>
          <w:i/>
          <w:iCs/>
          <w:lang w:val="en-AU"/>
        </w:rPr>
        <w:t>Source: Future Programming; Added Value of TAF</w:t>
      </w:r>
    </w:p>
    <w:p w14:paraId="37012A8B" w14:textId="77777777" w:rsidR="0008709B" w:rsidRPr="007C3B9D" w:rsidRDefault="0008709B" w:rsidP="00953443">
      <w:pPr>
        <w:spacing w:line="276" w:lineRule="auto"/>
        <w:rPr>
          <w:rFonts w:cs="Calibri"/>
          <w:color w:val="0F4761" w:themeColor="accent1" w:themeShade="BF"/>
          <w:lang w:val="en-AU"/>
        </w:rPr>
      </w:pPr>
      <w:r w:rsidRPr="007C3B9D">
        <w:rPr>
          <w:rFonts w:cs="Calibri"/>
          <w:color w:val="0F4761" w:themeColor="accent1" w:themeShade="BF"/>
          <w:lang w:val="en-AU"/>
        </w:rPr>
        <w:t>Steps to be taken:</w:t>
      </w:r>
    </w:p>
    <w:p w14:paraId="42C9D86F" w14:textId="77777777" w:rsidR="0008709B" w:rsidRPr="007C3B9D" w:rsidRDefault="0008709B" w:rsidP="00953443">
      <w:pPr>
        <w:pStyle w:val="ListParagraph"/>
        <w:numPr>
          <w:ilvl w:val="0"/>
          <w:numId w:val="38"/>
        </w:numPr>
        <w:spacing w:line="276" w:lineRule="auto"/>
        <w:contextualSpacing w:val="0"/>
        <w:rPr>
          <w:rFonts w:cs="Calibri"/>
          <w:lang w:val="en-AU"/>
        </w:rPr>
      </w:pPr>
      <w:r w:rsidRPr="007C3B9D">
        <w:rPr>
          <w:rFonts w:cs="Calibri"/>
          <w:lang w:val="en-AU"/>
        </w:rPr>
        <w:t>Assess potential benefits and challenges of different program structures (e.g., consortium model, strategic advisory roles for Australian institutions).</w:t>
      </w:r>
    </w:p>
    <w:p w14:paraId="5480EE2B" w14:textId="77777777" w:rsidR="0008709B" w:rsidRPr="007C3B9D" w:rsidRDefault="0008709B" w:rsidP="00953443">
      <w:pPr>
        <w:pStyle w:val="ListParagraph"/>
        <w:numPr>
          <w:ilvl w:val="0"/>
          <w:numId w:val="38"/>
        </w:numPr>
        <w:spacing w:line="276" w:lineRule="auto"/>
        <w:contextualSpacing w:val="0"/>
        <w:rPr>
          <w:rFonts w:cs="Calibri"/>
          <w:lang w:val="en-AU"/>
        </w:rPr>
      </w:pPr>
      <w:r w:rsidRPr="007C3B9D">
        <w:rPr>
          <w:rFonts w:cs="Calibri"/>
          <w:lang w:val="en-AU"/>
        </w:rPr>
        <w:t>Consult with key stakeholders, including ASEAN, TAF, Australian institutions, and potential regional partners.</w:t>
      </w:r>
    </w:p>
    <w:p w14:paraId="713DCB46" w14:textId="77777777" w:rsidR="0008709B" w:rsidRPr="007C3B9D" w:rsidRDefault="0008709B" w:rsidP="00953443">
      <w:pPr>
        <w:pStyle w:val="ListParagraph"/>
        <w:numPr>
          <w:ilvl w:val="0"/>
          <w:numId w:val="38"/>
        </w:numPr>
        <w:spacing w:line="276" w:lineRule="auto"/>
        <w:contextualSpacing w:val="0"/>
        <w:rPr>
          <w:rFonts w:cs="Calibri"/>
          <w:lang w:val="en-AU"/>
        </w:rPr>
      </w:pPr>
      <w:r w:rsidRPr="007C3B9D">
        <w:rPr>
          <w:rFonts w:cs="Calibri"/>
          <w:lang w:val="en-AU"/>
        </w:rPr>
        <w:t>Develop a strategic plan outlining the preferred structure for future program phases.</w:t>
      </w:r>
    </w:p>
    <w:p w14:paraId="6AAC2C98" w14:textId="77777777" w:rsidR="0008709B" w:rsidRPr="007C3B9D" w:rsidRDefault="0008709B" w:rsidP="00953443">
      <w:pPr>
        <w:spacing w:line="276" w:lineRule="auto"/>
        <w:rPr>
          <w:rFonts w:cs="Calibri"/>
          <w:lang w:val="en-AU"/>
        </w:rPr>
      </w:pPr>
      <w:r w:rsidRPr="007C3B9D">
        <w:rPr>
          <w:rFonts w:cs="Calibri"/>
          <w:color w:val="0F4761" w:themeColor="accent1" w:themeShade="BF"/>
          <w:lang w:val="en-AU"/>
        </w:rPr>
        <w:t>Responsible parties:</w:t>
      </w:r>
      <w:r w:rsidRPr="007C3B9D">
        <w:rPr>
          <w:rFonts w:cs="Calibri"/>
          <w:color w:val="E97132" w:themeColor="accent2"/>
          <w:lang w:val="en-AU"/>
        </w:rPr>
        <w:t xml:space="preserve"> </w:t>
      </w:r>
      <w:r w:rsidRPr="007C3B9D">
        <w:rPr>
          <w:rFonts w:cs="Calibri"/>
          <w:lang w:val="en-AU"/>
        </w:rPr>
        <w:t>DFAT, TAF, ASEAN Secretariat, potential partners</w:t>
      </w:r>
    </w:p>
    <w:p w14:paraId="6A37C046" w14:textId="77777777" w:rsidR="0008709B" w:rsidRPr="007C3B9D" w:rsidRDefault="0008709B" w:rsidP="00953443">
      <w:pPr>
        <w:spacing w:line="276" w:lineRule="auto"/>
        <w:rPr>
          <w:rFonts w:cs="Calibri"/>
          <w:lang w:val="en-AU"/>
        </w:rPr>
      </w:pPr>
      <w:r w:rsidRPr="007C3B9D">
        <w:rPr>
          <w:rFonts w:cs="Calibri"/>
          <w:color w:val="0F4761" w:themeColor="accent1" w:themeShade="BF"/>
          <w:lang w:val="en-AU"/>
        </w:rPr>
        <w:t>Timeline</w:t>
      </w:r>
      <w:r w:rsidRPr="007C3B9D">
        <w:rPr>
          <w:rFonts w:cs="Calibri"/>
          <w:lang w:val="en-AU"/>
        </w:rPr>
        <w:t>: Initiate assessment within next 2 months; plan for implementation in next program phase</w:t>
      </w:r>
    </w:p>
    <w:p w14:paraId="368F70C1" w14:textId="02E6ADF9" w:rsidR="007E001E" w:rsidRPr="007C3B9D" w:rsidRDefault="007E001E" w:rsidP="00446C37">
      <w:pPr>
        <w:pStyle w:val="Heading2"/>
      </w:pPr>
      <w:r w:rsidRPr="007C3B9D">
        <w:t>Next Steps:</w:t>
      </w:r>
    </w:p>
    <w:p w14:paraId="37E5653E" w14:textId="77777777" w:rsidR="007E001E" w:rsidRPr="007C3B9D" w:rsidRDefault="007E001E" w:rsidP="00953443">
      <w:pPr>
        <w:numPr>
          <w:ilvl w:val="0"/>
          <w:numId w:val="29"/>
        </w:numPr>
        <w:spacing w:after="0" w:line="276" w:lineRule="auto"/>
        <w:jc w:val="both"/>
        <w:rPr>
          <w:rFonts w:cs="Calibri"/>
          <w:lang w:val="en-AU"/>
        </w:rPr>
      </w:pPr>
      <w:r w:rsidRPr="007C3B9D">
        <w:rPr>
          <w:rFonts w:cs="Calibri"/>
          <w:color w:val="0F4761" w:themeColor="accent1" w:themeShade="BF"/>
          <w:lang w:val="en-AU"/>
        </w:rPr>
        <w:t>Immediate Actions (within next 1-2 months): </w:t>
      </w:r>
      <w:r w:rsidRPr="007C3B9D">
        <w:rPr>
          <w:rFonts w:cs="Calibri"/>
          <w:lang w:val="en-AU"/>
        </w:rPr>
        <w:t>Focus on initiating discussions, enhancing frameworks, collecting participant feedback, and organising meetings to address pressing recommendations that can impact the remaining program period.</w:t>
      </w:r>
    </w:p>
    <w:p w14:paraId="27CAF49D" w14:textId="77777777" w:rsidR="00BD0562" w:rsidRPr="007C3B9D" w:rsidRDefault="007E001E" w:rsidP="00953443">
      <w:pPr>
        <w:numPr>
          <w:ilvl w:val="0"/>
          <w:numId w:val="29"/>
        </w:numPr>
        <w:spacing w:after="0" w:line="276" w:lineRule="auto"/>
        <w:jc w:val="both"/>
        <w:rPr>
          <w:rFonts w:cs="Calibri"/>
          <w:lang w:val="en-AU"/>
        </w:rPr>
      </w:pPr>
      <w:r w:rsidRPr="007C3B9D">
        <w:rPr>
          <w:rFonts w:cs="Calibri"/>
          <w:color w:val="0F4761" w:themeColor="accent1" w:themeShade="BF"/>
          <w:lang w:val="en-AU"/>
        </w:rPr>
        <w:t>Planning for Future Programming</w:t>
      </w:r>
      <w:r w:rsidRPr="007C3B9D">
        <w:rPr>
          <w:rFonts w:cs="Calibri"/>
          <w:lang w:val="en-AU"/>
        </w:rPr>
        <w:t>: For recommendations that require longer-term implementation, efforts should concentrate on consultations, assessments, and preparing groundwork to ensure a smooth transition into the next program phase after April 2025.</w:t>
      </w:r>
    </w:p>
    <w:p w14:paraId="25907B11" w14:textId="56A234A8" w:rsidR="00DB610A" w:rsidRPr="007C3B9D" w:rsidRDefault="007E001E" w:rsidP="00903D77">
      <w:pPr>
        <w:numPr>
          <w:ilvl w:val="0"/>
          <w:numId w:val="29"/>
        </w:numPr>
        <w:spacing w:after="120" w:line="276" w:lineRule="auto"/>
        <w:jc w:val="both"/>
        <w:rPr>
          <w:rFonts w:cs="Calibri"/>
          <w:lang w:val="en-AU"/>
        </w:rPr>
      </w:pPr>
      <w:r w:rsidRPr="007C3B9D">
        <w:rPr>
          <w:rFonts w:cs="Calibri"/>
          <w:color w:val="0F4761" w:themeColor="accent1" w:themeShade="BF"/>
          <w:lang w:val="en-AU"/>
        </w:rPr>
        <w:t>Ongoing Initiatives: </w:t>
      </w:r>
      <w:r w:rsidRPr="007C3B9D">
        <w:rPr>
          <w:rFonts w:cs="Calibri"/>
          <w:lang w:val="en-AU"/>
        </w:rPr>
        <w:t>Maintain momentum on activities that are continuous in nature, ensuring they are embedded into both the remainder of the current program and any future iterations.</w:t>
      </w:r>
      <w:r w:rsidR="00A61F18" w:rsidRPr="007C3B9D">
        <w:rPr>
          <w:rFonts w:cstheme="minorHAnsi"/>
          <w:lang w:val="en-AU"/>
        </w:rPr>
        <w:br w:type="page"/>
      </w:r>
    </w:p>
    <w:p w14:paraId="3530C026" w14:textId="4297E16F" w:rsidR="009D74E6" w:rsidRPr="007C3B9D" w:rsidRDefault="00C21EDD" w:rsidP="00903D77">
      <w:pPr>
        <w:pStyle w:val="Heading1"/>
        <w:pBdr>
          <w:bottom w:val="single" w:sz="4" w:space="0" w:color="595959" w:themeColor="text1" w:themeTint="A6"/>
        </w:pBdr>
        <w:spacing w:before="0" w:after="120" w:line="276" w:lineRule="auto"/>
        <w:ind w:left="432" w:hanging="432"/>
        <w:rPr>
          <w:lang w:val="en-AU"/>
        </w:rPr>
      </w:pPr>
      <w:bookmarkStart w:id="23" w:name="_Toc206492273"/>
      <w:r w:rsidRPr="007C3B9D">
        <w:rPr>
          <w:lang w:val="en-AU"/>
        </w:rPr>
        <w:lastRenderedPageBreak/>
        <w:t xml:space="preserve">Annex 1: </w:t>
      </w:r>
      <w:r w:rsidR="00433DBD" w:rsidRPr="007C3B9D">
        <w:rPr>
          <w:lang w:val="en-AU"/>
        </w:rPr>
        <w:t>Terms of Reference</w:t>
      </w:r>
      <w:bookmarkEnd w:id="23"/>
    </w:p>
    <w:p w14:paraId="18E9E4F5" w14:textId="4231858F" w:rsidR="00E15175" w:rsidRPr="007C3B9D" w:rsidRDefault="00E15175" w:rsidP="00953443">
      <w:pPr>
        <w:spacing w:after="120" w:line="276" w:lineRule="auto"/>
        <w:jc w:val="center"/>
        <w:rPr>
          <w:lang w:val="en-AU"/>
        </w:rPr>
      </w:pPr>
      <w:r w:rsidRPr="007C3B9D">
        <w:rPr>
          <w:b/>
          <w:bCs/>
          <w:lang w:val="en-AU"/>
        </w:rPr>
        <w:t>Terms of Reference</w:t>
      </w:r>
    </w:p>
    <w:p w14:paraId="60015A20" w14:textId="5E862941" w:rsidR="00E15175" w:rsidRPr="007C3B9D" w:rsidRDefault="00E15175" w:rsidP="00903D77">
      <w:pPr>
        <w:spacing w:after="120" w:line="276" w:lineRule="auto"/>
        <w:jc w:val="center"/>
        <w:rPr>
          <w:lang w:val="en-AU"/>
        </w:rPr>
      </w:pPr>
      <w:r w:rsidRPr="007C3B9D">
        <w:rPr>
          <w:b/>
          <w:bCs/>
          <w:lang w:val="en-AU"/>
        </w:rPr>
        <w:t>Evaluation of the ASEAN-Australia Political Security Partnership (APSP)</w:t>
      </w:r>
    </w:p>
    <w:p w14:paraId="24323D47" w14:textId="77777777" w:rsidR="00E15175" w:rsidRPr="007C3B9D" w:rsidRDefault="00E15175" w:rsidP="00446C37">
      <w:pPr>
        <w:numPr>
          <w:ilvl w:val="0"/>
          <w:numId w:val="74"/>
        </w:numPr>
        <w:tabs>
          <w:tab w:val="clear" w:pos="720"/>
        </w:tabs>
        <w:spacing w:before="360" w:after="120" w:line="276" w:lineRule="auto"/>
        <w:ind w:left="426" w:hanging="284"/>
        <w:rPr>
          <w:lang w:val="en-AU"/>
        </w:rPr>
      </w:pPr>
      <w:r w:rsidRPr="007C3B9D">
        <w:rPr>
          <w:b/>
          <w:bCs/>
          <w:u w:val="single"/>
          <w:lang w:val="en-AU"/>
        </w:rPr>
        <w:t>Background and Context:</w:t>
      </w:r>
      <w:r w:rsidRPr="007C3B9D">
        <w:rPr>
          <w:lang w:val="en-AU"/>
        </w:rPr>
        <w:t> </w:t>
      </w:r>
    </w:p>
    <w:p w14:paraId="71860B40" w14:textId="17E49E09" w:rsidR="00E15175" w:rsidRPr="007C3B9D" w:rsidRDefault="00E15175" w:rsidP="00903D77">
      <w:pPr>
        <w:spacing w:after="120" w:line="276" w:lineRule="auto"/>
        <w:rPr>
          <w:lang w:val="en-AU"/>
        </w:rPr>
      </w:pPr>
      <w:r w:rsidRPr="007C3B9D">
        <w:rPr>
          <w:lang w:val="en-AU"/>
        </w:rPr>
        <w:t>Since 1974, Australia has cooperated with Association of Southeast Asian Nations (ASEAN) to promote a peaceful, stable, integrated and prosperous region. The ASEAN-Australia Political Security Partnership (APSP) is an AUD 10.5 million, six-year (2019-2025) investment of the Australian Government aimed at enhancing political and security cooperation between ASEAN and Australia. The program encompasses the outcomes and activities that contribute to strengthening regional stability, addressing shared challenges, and promoting cooperation among ASEAN Member States and between ASEAN and Australia in the political security landscape.  </w:t>
      </w:r>
    </w:p>
    <w:p w14:paraId="17351342" w14:textId="01ACDF12" w:rsidR="00E15175" w:rsidRPr="007C3B9D" w:rsidRDefault="00E15175" w:rsidP="00903D77">
      <w:pPr>
        <w:spacing w:after="120" w:line="276" w:lineRule="auto"/>
        <w:jc w:val="both"/>
        <w:rPr>
          <w:lang w:val="en-AU"/>
        </w:rPr>
      </w:pPr>
      <w:r w:rsidRPr="007C3B9D">
        <w:rPr>
          <w:lang w:val="en-AU"/>
        </w:rPr>
        <w:t> APSP began on 1 May 2019 and is currently ongoing until 30 April 2025. It is designed to provide flexible and demand-driven support to ASEAN and to promote ASEAN leadership and centrality in addressing regional political security challenges. Towards a broader goal of an improved security environment in the Indo-Pacific region, APSP intends to support stronger relationship between ASEAN and Australia and to enhance ASEAN’s ability to lead more coordinated, cohesive and inclusive responses to transnational political security issues. The program has the following end-of-investment outcomes (EOIO): </w:t>
      </w:r>
    </w:p>
    <w:p w14:paraId="60C66171" w14:textId="12617864" w:rsidR="00E15175" w:rsidRPr="007C3B9D" w:rsidRDefault="00E15175" w:rsidP="00903D77">
      <w:pPr>
        <w:spacing w:after="120" w:line="276" w:lineRule="auto"/>
        <w:jc w:val="both"/>
        <w:rPr>
          <w:lang w:val="en-AU"/>
        </w:rPr>
      </w:pPr>
      <w:r w:rsidRPr="007C3B9D">
        <w:rPr>
          <w:lang w:val="en-AU"/>
        </w:rPr>
        <w:t xml:space="preserve">EOIO 1: </w:t>
      </w:r>
      <w:r w:rsidRPr="007C3B9D">
        <w:rPr>
          <w:lang w:val="en-AU"/>
        </w:rPr>
        <w:tab/>
        <w:t>Stronger ASEAN-Australia relationships and engagement  </w:t>
      </w:r>
    </w:p>
    <w:p w14:paraId="32EFD7E7" w14:textId="669A8A70" w:rsidR="00E15175" w:rsidRPr="007C3B9D" w:rsidRDefault="00E15175" w:rsidP="006E0ED4">
      <w:pPr>
        <w:spacing w:after="120" w:line="276" w:lineRule="auto"/>
        <w:ind w:left="1418" w:hanging="1418"/>
        <w:jc w:val="both"/>
        <w:rPr>
          <w:lang w:val="en-AU"/>
        </w:rPr>
      </w:pPr>
      <w:r w:rsidRPr="007C3B9D">
        <w:rPr>
          <w:lang w:val="en-AU"/>
        </w:rPr>
        <w:t xml:space="preserve">EOIO 2: </w:t>
      </w:r>
      <w:r w:rsidRPr="007C3B9D">
        <w:rPr>
          <w:lang w:val="en-AU"/>
        </w:rPr>
        <w:tab/>
        <w:t>ASEAN is addressing targeted political security issues using increasingly effective cross-sectoral and/or multi-stakeholder approaches  </w:t>
      </w:r>
    </w:p>
    <w:p w14:paraId="0064CAEB" w14:textId="4054537E" w:rsidR="00E15175" w:rsidRPr="007C3B9D" w:rsidRDefault="00E15175" w:rsidP="00903D77">
      <w:pPr>
        <w:spacing w:after="120" w:line="276" w:lineRule="auto"/>
        <w:jc w:val="both"/>
        <w:rPr>
          <w:lang w:val="en-AU"/>
        </w:rPr>
      </w:pPr>
      <w:r w:rsidRPr="007C3B9D">
        <w:rPr>
          <w:lang w:val="en-AU"/>
        </w:rPr>
        <w:t xml:space="preserve"> APSP focuses primarily on four broad policy areas of 1) maritime security; 2) cybersecurity; 3) women, peace and security (WPS); and 4) transnational crime. In addition, APSP is open to support ASEAN in other political security issues as opportunity or demand from ASEAN arises. Activities of APSP include workshops, seminars, trainings, and knowledge sharing sessions, among others that engage relevant ASEAN sectoral bodies, ASEAN Secretariat and other entities associated with ASEAN. In addition, APSP also administers policy papers and </w:t>
      </w:r>
      <w:proofErr w:type="gramStart"/>
      <w:r w:rsidRPr="007C3B9D">
        <w:rPr>
          <w:lang w:val="en-AU"/>
        </w:rPr>
        <w:t>researches</w:t>
      </w:r>
      <w:proofErr w:type="gramEnd"/>
      <w:r w:rsidRPr="007C3B9D">
        <w:rPr>
          <w:lang w:val="en-AU"/>
        </w:rPr>
        <w:t xml:space="preserve"> as well as support institutional strengthening of ASEAN.  </w:t>
      </w:r>
    </w:p>
    <w:p w14:paraId="08537E77" w14:textId="7E13E754" w:rsidR="00E15175" w:rsidRPr="007C3B9D" w:rsidRDefault="00E15175" w:rsidP="00903D77">
      <w:pPr>
        <w:spacing w:after="120" w:line="276" w:lineRule="auto"/>
        <w:jc w:val="both"/>
        <w:rPr>
          <w:lang w:val="en-AU"/>
        </w:rPr>
      </w:pPr>
      <w:r w:rsidRPr="007C3B9D">
        <w:rPr>
          <w:lang w:val="en-AU"/>
        </w:rPr>
        <w:t> APSP recognizes that gender equality, disability and social inclusion (GEDSI) is critical for ASEAN to realize a coordinated, cohesive and inclusive responses to transnational political security issues. As such, APSP integrates GEDSI throughout the program cycle, from activity design to implementation, and monitoring and evaluation and learning.  </w:t>
      </w:r>
    </w:p>
    <w:p w14:paraId="2B5CBA70" w14:textId="5C9E8A8F" w:rsidR="00E15175" w:rsidRPr="007C3B9D" w:rsidRDefault="00E15175" w:rsidP="00903D77">
      <w:pPr>
        <w:spacing w:after="120" w:line="276" w:lineRule="auto"/>
        <w:jc w:val="both"/>
        <w:rPr>
          <w:lang w:val="en-AU"/>
        </w:rPr>
      </w:pPr>
      <w:r w:rsidRPr="007C3B9D">
        <w:rPr>
          <w:lang w:val="en-AU"/>
        </w:rPr>
        <w:t> Under overall management by Australia’s Department of Foreign Affairs and Trade (DFAT), APSP is implemented by The Asia Foundation (TAF). DFAT also allocates fund for other Australian government departments (OGD) to implement the activity with ASEAN.  </w:t>
      </w:r>
    </w:p>
    <w:p w14:paraId="51DAB839" w14:textId="68A67372" w:rsidR="00E15175" w:rsidRPr="007C3B9D" w:rsidRDefault="00E15175" w:rsidP="00903D77">
      <w:pPr>
        <w:spacing w:after="120" w:line="276" w:lineRule="auto"/>
        <w:jc w:val="both"/>
        <w:rPr>
          <w:lang w:val="en-AU"/>
        </w:rPr>
      </w:pPr>
      <w:r w:rsidRPr="007C3B9D">
        <w:rPr>
          <w:lang w:val="en-AU"/>
        </w:rPr>
        <w:t> APSP’s key partners and target beneficiaries are ASEAN sectoral bodies, particularly those under ASEAN Political Security Community (APSC), ASEAN Secretariat, relevant ASEAN centres and entities, and ASEAN Member States governments. Other stakeholders of APSP include civil society organizations, think tanks, academia, and private sector entities that contribute to the program's objectives and activities.  </w:t>
      </w:r>
    </w:p>
    <w:p w14:paraId="4EDA5353" w14:textId="77777777" w:rsidR="00E15175" w:rsidRPr="006E0ED4" w:rsidRDefault="00E15175" w:rsidP="006E0ED4">
      <w:pPr>
        <w:numPr>
          <w:ilvl w:val="0"/>
          <w:numId w:val="74"/>
        </w:numPr>
        <w:tabs>
          <w:tab w:val="clear" w:pos="720"/>
        </w:tabs>
        <w:spacing w:after="120" w:line="276" w:lineRule="auto"/>
        <w:ind w:left="426" w:hanging="284"/>
        <w:rPr>
          <w:b/>
          <w:bCs/>
          <w:u w:val="single"/>
          <w:lang w:val="en-AU"/>
        </w:rPr>
      </w:pPr>
      <w:r w:rsidRPr="007C3B9D">
        <w:rPr>
          <w:b/>
          <w:bCs/>
          <w:u w:val="single"/>
          <w:lang w:val="en-AU"/>
        </w:rPr>
        <w:lastRenderedPageBreak/>
        <w:t>Purpose of the Evaluation </w:t>
      </w:r>
      <w:r w:rsidRPr="006E0ED4">
        <w:rPr>
          <w:b/>
          <w:bCs/>
          <w:u w:val="single"/>
          <w:lang w:val="en-AU"/>
        </w:rPr>
        <w:t> </w:t>
      </w:r>
    </w:p>
    <w:p w14:paraId="39F3318F" w14:textId="2E6E52B5" w:rsidR="00E15175" w:rsidRPr="007C3B9D" w:rsidRDefault="00E15175" w:rsidP="00903D77">
      <w:pPr>
        <w:spacing w:after="120" w:line="276" w:lineRule="auto"/>
        <w:jc w:val="both"/>
        <w:rPr>
          <w:lang w:val="en-AU"/>
        </w:rPr>
      </w:pPr>
      <w:r w:rsidRPr="007C3B9D">
        <w:rPr>
          <w:lang w:val="en-AU"/>
        </w:rPr>
        <w:t xml:space="preserve">The evaluation is an integral part of the APSP Program's Monitoring, Evaluation, and Learning (MEL) Plan as well as DFAT’s investment. The evaluation will cover the period from </w:t>
      </w:r>
      <w:r w:rsidRPr="007C3B9D">
        <w:rPr>
          <w:b/>
          <w:bCs/>
          <w:lang w:val="en-AU"/>
        </w:rPr>
        <w:t>1 May 2019 to 30 June 2024</w:t>
      </w:r>
      <w:r w:rsidRPr="007C3B9D">
        <w:rPr>
          <w:lang w:val="en-AU"/>
        </w:rPr>
        <w:t xml:space="preserve"> or the first five years of APSP. </w:t>
      </w:r>
    </w:p>
    <w:p w14:paraId="255BD12C" w14:textId="77777777" w:rsidR="00E15175" w:rsidRPr="007C3B9D" w:rsidRDefault="00E15175" w:rsidP="00903D77">
      <w:pPr>
        <w:spacing w:after="120" w:line="276" w:lineRule="auto"/>
        <w:jc w:val="both"/>
        <w:rPr>
          <w:lang w:val="en-AU"/>
        </w:rPr>
      </w:pPr>
      <w:r w:rsidRPr="007C3B9D">
        <w:rPr>
          <w:lang w:val="en-AU"/>
        </w:rPr>
        <w:t xml:space="preserve">Overall, the evaluation will contribute to evidence-based policy development, program improvement, and strategic planning in the field of political and security cooperation between ASEAN and Australia. </w:t>
      </w:r>
      <w:proofErr w:type="gramStart"/>
      <w:r w:rsidRPr="007C3B9D">
        <w:rPr>
          <w:lang w:val="en-AU"/>
        </w:rPr>
        <w:t>In particular, it</w:t>
      </w:r>
      <w:proofErr w:type="gramEnd"/>
      <w:r w:rsidRPr="007C3B9D">
        <w:rPr>
          <w:lang w:val="en-AU"/>
        </w:rPr>
        <w:t xml:space="preserve"> will provide an in-depth analysis and assessment of the APSP achievements and challenges against related DFAT’s quality criteria. It will provide management responses to relevant program managers and policymakers in making informed decisions, adapting strategies, and allocating resources effectively for the remaining period of APSP and beyond.  </w:t>
      </w:r>
    </w:p>
    <w:p w14:paraId="7F23B183" w14:textId="259D75D4" w:rsidR="00E15175" w:rsidRPr="007C3B9D" w:rsidRDefault="00E15175" w:rsidP="00903D77">
      <w:pPr>
        <w:spacing w:after="120" w:line="276" w:lineRule="auto"/>
        <w:jc w:val="both"/>
        <w:rPr>
          <w:lang w:val="en-AU"/>
        </w:rPr>
      </w:pPr>
      <w:r w:rsidRPr="007C3B9D">
        <w:rPr>
          <w:lang w:val="en-AU"/>
        </w:rPr>
        <w:t>In keeping with the APSP MEL approach, the evaluation will be conducted for the</w:t>
      </w:r>
      <w:r w:rsidRPr="007C3B9D">
        <w:rPr>
          <w:b/>
          <w:bCs/>
          <w:lang w:val="en-AU"/>
        </w:rPr>
        <w:t xml:space="preserve"> following purposes:</w:t>
      </w:r>
      <w:r w:rsidRPr="007C3B9D">
        <w:rPr>
          <w:lang w:val="en-AU"/>
        </w:rPr>
        <w:t>  </w:t>
      </w:r>
    </w:p>
    <w:p w14:paraId="06A7D5A4" w14:textId="0FFEAB66" w:rsidR="00E15175" w:rsidRPr="007C3B9D" w:rsidRDefault="00E15175" w:rsidP="00903D77">
      <w:pPr>
        <w:numPr>
          <w:ilvl w:val="0"/>
          <w:numId w:val="76"/>
        </w:numPr>
        <w:spacing w:after="120" w:line="276" w:lineRule="auto"/>
        <w:jc w:val="both"/>
        <w:rPr>
          <w:lang w:val="en-AU"/>
        </w:rPr>
      </w:pPr>
      <w:r w:rsidRPr="007C3B9D">
        <w:rPr>
          <w:b/>
          <w:bCs/>
          <w:lang w:val="en-AU"/>
        </w:rPr>
        <w:t>Accountability and Learning:</w:t>
      </w:r>
      <w:r w:rsidRPr="007C3B9D">
        <w:rPr>
          <w:lang w:val="en-AU"/>
        </w:rPr>
        <w:t xml:space="preserve"> The evaluation serves as a mechanism for accountability, ensuring that APSP is being implemented as intended and in line with its stated objectives. It provides an opportunity to assess the program's performance, identify strengths and weaknesses, and learn from past experiences. The evaluation will contribute to evidence-based decision-making and enable program managers to make informed adjustments and improvements for the remaining period of APSP and possibly a successor program</w:t>
      </w:r>
      <w:proofErr w:type="gramStart"/>
      <w:r w:rsidRPr="007C3B9D">
        <w:rPr>
          <w:lang w:val="en-AU"/>
        </w:rPr>
        <w:t>. .</w:t>
      </w:r>
      <w:proofErr w:type="gramEnd"/>
      <w:r w:rsidRPr="007C3B9D">
        <w:rPr>
          <w:lang w:val="en-AU"/>
        </w:rPr>
        <w:t>  </w:t>
      </w:r>
    </w:p>
    <w:p w14:paraId="0A7631EE" w14:textId="08737B37" w:rsidR="00E15175" w:rsidRPr="007C3B9D" w:rsidRDefault="00E15175" w:rsidP="00903D77">
      <w:pPr>
        <w:numPr>
          <w:ilvl w:val="0"/>
          <w:numId w:val="77"/>
        </w:numPr>
        <w:spacing w:after="120" w:line="276" w:lineRule="auto"/>
        <w:jc w:val="both"/>
        <w:rPr>
          <w:lang w:val="en-AU"/>
        </w:rPr>
      </w:pPr>
      <w:r w:rsidRPr="007C3B9D">
        <w:rPr>
          <w:b/>
          <w:bCs/>
          <w:lang w:val="en-AU"/>
        </w:rPr>
        <w:t>Evidence-Based Program Development</w:t>
      </w:r>
      <w:r w:rsidRPr="007C3B9D">
        <w:rPr>
          <w:lang w:val="en-AU"/>
        </w:rPr>
        <w:t xml:space="preserve">: The evaluation will assess the program's objectives and activities in addressing transnational political security challenges, while also identifying opportunities for refinement or expansion. It will identify areas for improvement and provide recommendations for enhancing its impact, taking into consideration the decisions for a possible successor program. The findings of the evaluation will guide future planning, resource allocation, and strategic decision-making within the program.  Additionally, these evaluation results will inform decision-makers and stakeholders about the outcomes and impacts of APSP, supporting evidence-based policy development, strategic planning, and decision-making in the field of political and security cooperation between ASEAN and Australia. The </w:t>
      </w:r>
      <w:proofErr w:type="gramStart"/>
      <w:r w:rsidRPr="007C3B9D">
        <w:rPr>
          <w:lang w:val="en-AU"/>
        </w:rPr>
        <w:t>ultimate goal</w:t>
      </w:r>
      <w:proofErr w:type="gramEnd"/>
      <w:r w:rsidRPr="007C3B9D">
        <w:rPr>
          <w:lang w:val="en-AU"/>
        </w:rPr>
        <w:t xml:space="preserve"> is to contribute to the formulation of evidence-based policies and interventions that effectively address regional security challenges and promote peace and stability. </w:t>
      </w:r>
    </w:p>
    <w:p w14:paraId="7366264A" w14:textId="77777777" w:rsidR="00E15175" w:rsidRPr="007C3B9D" w:rsidRDefault="00E15175" w:rsidP="00903D77">
      <w:pPr>
        <w:numPr>
          <w:ilvl w:val="0"/>
          <w:numId w:val="78"/>
        </w:numPr>
        <w:spacing w:after="120" w:line="276" w:lineRule="auto"/>
        <w:jc w:val="both"/>
        <w:rPr>
          <w:lang w:val="en-AU"/>
        </w:rPr>
      </w:pPr>
      <w:r w:rsidRPr="007C3B9D">
        <w:rPr>
          <w:b/>
          <w:bCs/>
          <w:lang w:val="en-AU"/>
        </w:rPr>
        <w:t>Stakeholder Engagement and Communication:</w:t>
      </w:r>
      <w:r w:rsidRPr="007C3B9D">
        <w:rPr>
          <w:lang w:val="en-AU"/>
        </w:rPr>
        <w:t xml:space="preserve"> The evaluation process itself provides a platform for engaging stakeholders and fostering dialogue among key actors involved in APSP. It allows for the exchange of perspectives, experiences, and lessons learned, facilitating a shared understanding of the program's achievements, challenges, and potential areas for collaboration. The evaluation results will be communicated to stakeholders through reports, presentations, and dissemination activities, ensuring transparency and promoting dialogue on program effectiveness and impact. The evaluation report will also be made available on DFAT’s website for public access.  </w:t>
      </w:r>
    </w:p>
    <w:p w14:paraId="62C1CE17" w14:textId="11AB9002" w:rsidR="00E15175" w:rsidRPr="007C3B9D" w:rsidRDefault="00E15175" w:rsidP="00903D77">
      <w:pPr>
        <w:spacing w:after="120" w:line="276" w:lineRule="auto"/>
        <w:jc w:val="both"/>
        <w:rPr>
          <w:lang w:val="en-AU"/>
        </w:rPr>
      </w:pPr>
      <w:r w:rsidRPr="007C3B9D">
        <w:rPr>
          <w:lang w:val="en-AU"/>
        </w:rPr>
        <w:t xml:space="preserve">The </w:t>
      </w:r>
      <w:r w:rsidRPr="007C3B9D">
        <w:rPr>
          <w:b/>
          <w:bCs/>
          <w:lang w:val="en-AU"/>
        </w:rPr>
        <w:t>primary users</w:t>
      </w:r>
      <w:r w:rsidRPr="007C3B9D">
        <w:rPr>
          <w:lang w:val="en-AU"/>
        </w:rPr>
        <w:t xml:space="preserve"> of the evaluation results are program managers, senior managers and senior executives of DFAT, particularly at Australian Mission to </w:t>
      </w:r>
      <w:proofErr w:type="gramStart"/>
      <w:r w:rsidRPr="007C3B9D">
        <w:rPr>
          <w:lang w:val="en-AU"/>
        </w:rPr>
        <w:t>ASEAN;</w:t>
      </w:r>
      <w:proofErr w:type="gramEnd"/>
      <w:r w:rsidRPr="007C3B9D">
        <w:rPr>
          <w:lang w:val="en-AU"/>
        </w:rPr>
        <w:t xml:space="preserve"> and program manager, program team and senior executives of TAF. The evaluation report will be made available on the website of DFAT for public access.  </w:t>
      </w:r>
    </w:p>
    <w:p w14:paraId="50D5C0FE" w14:textId="4B7EA9DA" w:rsidR="00E15175" w:rsidRPr="006E0ED4" w:rsidRDefault="00E15175" w:rsidP="00446C37">
      <w:pPr>
        <w:pStyle w:val="ListParagraph"/>
        <w:numPr>
          <w:ilvl w:val="0"/>
          <w:numId w:val="74"/>
        </w:numPr>
        <w:spacing w:before="480" w:after="120" w:line="276" w:lineRule="auto"/>
        <w:ind w:left="721" w:hanging="437"/>
        <w:jc w:val="both"/>
        <w:rPr>
          <w:lang w:val="en-AU"/>
        </w:rPr>
      </w:pPr>
      <w:r w:rsidRPr="006E0ED4">
        <w:rPr>
          <w:b/>
          <w:bCs/>
          <w:u w:val="single"/>
          <w:lang w:val="en-AU"/>
        </w:rPr>
        <w:lastRenderedPageBreak/>
        <w:t>Evaluation Scope and Questions</w:t>
      </w:r>
      <w:r w:rsidRPr="006E0ED4">
        <w:rPr>
          <w:lang w:val="en-AU"/>
        </w:rPr>
        <w:t> </w:t>
      </w:r>
    </w:p>
    <w:p w14:paraId="4C769DE5" w14:textId="1514E2DC" w:rsidR="00E15175" w:rsidRPr="007C3B9D" w:rsidRDefault="00E15175" w:rsidP="00903D77">
      <w:pPr>
        <w:spacing w:after="120" w:line="276" w:lineRule="auto"/>
        <w:jc w:val="both"/>
        <w:rPr>
          <w:lang w:val="en-AU"/>
        </w:rPr>
      </w:pPr>
      <w:r w:rsidRPr="007C3B9D">
        <w:rPr>
          <w:lang w:val="en-AU"/>
        </w:rPr>
        <w:t>The evaluation of APSP will address the following DFAT’s quality criteria:   </w:t>
      </w:r>
    </w:p>
    <w:p w14:paraId="3C5D28E5" w14:textId="6FA77052" w:rsidR="00E15175" w:rsidRPr="007C3B9D" w:rsidRDefault="00E15175" w:rsidP="00903D77">
      <w:pPr>
        <w:numPr>
          <w:ilvl w:val="0"/>
          <w:numId w:val="80"/>
        </w:numPr>
        <w:spacing w:after="120" w:line="276" w:lineRule="auto"/>
        <w:jc w:val="both"/>
        <w:rPr>
          <w:lang w:val="en-AU"/>
        </w:rPr>
      </w:pPr>
      <w:r w:rsidRPr="007C3B9D">
        <w:rPr>
          <w:b/>
          <w:bCs/>
          <w:lang w:val="en-AU"/>
        </w:rPr>
        <w:t>Relevance:</w:t>
      </w:r>
      <w:r w:rsidRPr="007C3B9D">
        <w:rPr>
          <w:lang w:val="en-AU"/>
        </w:rPr>
        <w:t xml:space="preserve"> Assess the relevance of APSP in addressing regional transnational political security challenges within the ASEAN context. Determine the extent to which the program's objectives, activities, and approaches align with the needs and priorities of ASEAN and Australia. </w:t>
      </w:r>
    </w:p>
    <w:p w14:paraId="7D5C214D" w14:textId="6E2CEEB2" w:rsidR="00E15175" w:rsidRPr="007C3B9D" w:rsidRDefault="00E15175" w:rsidP="00903D77">
      <w:pPr>
        <w:numPr>
          <w:ilvl w:val="0"/>
          <w:numId w:val="81"/>
        </w:numPr>
        <w:spacing w:after="120" w:line="276" w:lineRule="auto"/>
        <w:jc w:val="both"/>
        <w:rPr>
          <w:lang w:val="en-AU"/>
        </w:rPr>
      </w:pPr>
      <w:r w:rsidRPr="007C3B9D">
        <w:rPr>
          <w:b/>
          <w:bCs/>
          <w:lang w:val="en-AU"/>
        </w:rPr>
        <w:t>Efficiency:</w:t>
      </w:r>
      <w:r w:rsidRPr="007C3B9D">
        <w:rPr>
          <w:lang w:val="en-AU"/>
        </w:rPr>
        <w:t xml:space="preserve"> Evaluate the efficiency of the program's implementation, including the utilization of resources, management practices, and coordination mechanisms. Assess the cost-effectiveness of the program in achieving its intended outcomes and outputs. </w:t>
      </w:r>
    </w:p>
    <w:p w14:paraId="286058C5" w14:textId="2FCC61C8" w:rsidR="00E15175" w:rsidRPr="007C3B9D" w:rsidRDefault="00E15175" w:rsidP="00903D77">
      <w:pPr>
        <w:numPr>
          <w:ilvl w:val="0"/>
          <w:numId w:val="82"/>
        </w:numPr>
        <w:spacing w:after="120" w:line="276" w:lineRule="auto"/>
        <w:jc w:val="both"/>
        <w:rPr>
          <w:lang w:val="en-AU"/>
        </w:rPr>
      </w:pPr>
      <w:r w:rsidRPr="007C3B9D">
        <w:rPr>
          <w:b/>
          <w:bCs/>
          <w:lang w:val="en-AU"/>
        </w:rPr>
        <w:t>Effectiveness:</w:t>
      </w:r>
      <w:r w:rsidRPr="007C3B9D">
        <w:rPr>
          <w:lang w:val="en-AU"/>
        </w:rPr>
        <w:t xml:space="preserve"> Assess the effectiveness of APSP in achieving its objectives and intended outcomes. Evaluate the extent to which the program has contributed to strengthening ASEAN-Australia relationship and engagement; and ASEAN’s ability to lead more coordinated, cohesive and inclusive to transnational political security challenges.  </w:t>
      </w:r>
    </w:p>
    <w:p w14:paraId="3BD41505" w14:textId="437F0FB2" w:rsidR="00E15175" w:rsidRPr="007C3B9D" w:rsidRDefault="00E15175" w:rsidP="00903D77">
      <w:pPr>
        <w:numPr>
          <w:ilvl w:val="0"/>
          <w:numId w:val="83"/>
        </w:numPr>
        <w:spacing w:after="120" w:line="276" w:lineRule="auto"/>
        <w:jc w:val="both"/>
        <w:rPr>
          <w:lang w:val="en-AU"/>
        </w:rPr>
      </w:pPr>
      <w:r w:rsidRPr="007C3B9D">
        <w:rPr>
          <w:b/>
          <w:bCs/>
          <w:lang w:val="en-AU"/>
        </w:rPr>
        <w:t>Sustainability:</w:t>
      </w:r>
      <w:r w:rsidRPr="007C3B9D">
        <w:rPr>
          <w:lang w:val="en-AU"/>
        </w:rPr>
        <w:t xml:space="preserve"> Examine the sustainability of the program's impacts and outcomes. Consider the extent to which the program has fostered long-term partnerships within ASEAN and between ASEAN and Australia, built institutional capacity, and established mechanisms for ongoing cooperation and dialogue. </w:t>
      </w:r>
    </w:p>
    <w:p w14:paraId="2BC3B15A" w14:textId="7A301F43" w:rsidR="00E15175" w:rsidRPr="007C3B9D" w:rsidRDefault="00E15175" w:rsidP="00903D77">
      <w:pPr>
        <w:numPr>
          <w:ilvl w:val="0"/>
          <w:numId w:val="84"/>
        </w:numPr>
        <w:spacing w:after="120" w:line="276" w:lineRule="auto"/>
        <w:jc w:val="both"/>
        <w:rPr>
          <w:lang w:val="en-AU"/>
        </w:rPr>
      </w:pPr>
      <w:r w:rsidRPr="007C3B9D">
        <w:rPr>
          <w:b/>
          <w:bCs/>
          <w:lang w:val="en-AU"/>
        </w:rPr>
        <w:t>Impact:</w:t>
      </w:r>
      <w:r w:rsidRPr="007C3B9D">
        <w:rPr>
          <w:lang w:val="en-AU"/>
        </w:rPr>
        <w:t xml:space="preserve"> Assess the overall impact of APSP on regional political security environment and cooperation. Examine the program's contribution to addressing transnational political security challenges, promoting trust and understanding, and strengthening regional institutions. </w:t>
      </w:r>
    </w:p>
    <w:p w14:paraId="0D779155" w14:textId="77777777" w:rsidR="00E15175" w:rsidRPr="007C3B9D" w:rsidRDefault="00E15175" w:rsidP="00903D77">
      <w:pPr>
        <w:numPr>
          <w:ilvl w:val="0"/>
          <w:numId w:val="85"/>
        </w:numPr>
        <w:spacing w:after="120" w:line="276" w:lineRule="auto"/>
        <w:jc w:val="both"/>
        <w:rPr>
          <w:lang w:val="en-AU"/>
        </w:rPr>
      </w:pPr>
      <w:r w:rsidRPr="007C3B9D">
        <w:rPr>
          <w:b/>
          <w:bCs/>
          <w:lang w:val="en-AU"/>
        </w:rPr>
        <w:t>Mainstreaming Gender Equality, Disability and Social Inclusion (GEDSI):</w:t>
      </w:r>
      <w:r w:rsidRPr="007C3B9D">
        <w:rPr>
          <w:lang w:val="en-AU"/>
        </w:rPr>
        <w:t xml:space="preserve"> Evaluate how APSP has sought to strengthen GEDSI in its development efforts. Assess the program's integration of GEDSI considerations in its activities, outcomes, and impacts. </w:t>
      </w:r>
    </w:p>
    <w:p w14:paraId="25C15401" w14:textId="5D4FCC4A" w:rsidR="00E15175" w:rsidRDefault="00E15175" w:rsidP="00903D77">
      <w:pPr>
        <w:spacing w:after="120" w:line="276" w:lineRule="auto"/>
        <w:jc w:val="both"/>
        <w:rPr>
          <w:lang w:val="en-AU"/>
        </w:rPr>
      </w:pPr>
      <w:r w:rsidRPr="007C3B9D">
        <w:rPr>
          <w:lang w:val="en-AU"/>
        </w:rPr>
        <w:t xml:space="preserve"> The evaluation will seek to answer the following </w:t>
      </w:r>
      <w:r w:rsidRPr="007C3B9D">
        <w:rPr>
          <w:b/>
          <w:bCs/>
          <w:lang w:val="en-AU"/>
        </w:rPr>
        <w:t>evaluation questions</w:t>
      </w:r>
      <w:r w:rsidRPr="007C3B9D">
        <w:rPr>
          <w:lang w:val="en-AU"/>
        </w:rPr>
        <w:t xml:space="preserve"> to generate relevant information and insights. These questions are indicative and may be refined or further elaborated during the evaluation planning process.  </w:t>
      </w:r>
    </w:p>
    <w:p w14:paraId="13276977" w14:textId="77777777" w:rsidR="002C7297" w:rsidRDefault="002C7297" w:rsidP="00903D77">
      <w:pPr>
        <w:spacing w:after="120" w:line="276" w:lineRule="auto"/>
        <w:jc w:val="both"/>
        <w:rPr>
          <w:lang w:val="en-AU"/>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2"/>
        <w:gridCol w:w="7058"/>
      </w:tblGrid>
      <w:tr w:rsidR="002C7297" w:rsidRPr="007C3B9D" w14:paraId="2486AD6E" w14:textId="77777777" w:rsidTr="004811C8">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BDD6EE"/>
            <w:hideMark/>
          </w:tcPr>
          <w:p w14:paraId="31E678C9" w14:textId="77777777" w:rsidR="002C7297" w:rsidRPr="007C3B9D" w:rsidRDefault="002C7297" w:rsidP="004811C8">
            <w:pPr>
              <w:spacing w:after="120" w:line="276" w:lineRule="auto"/>
              <w:jc w:val="both"/>
              <w:rPr>
                <w:lang w:val="en-AU"/>
              </w:rPr>
            </w:pPr>
            <w:r w:rsidRPr="007C3B9D">
              <w:rPr>
                <w:lang w:val="en-AU"/>
              </w:rPr>
              <w:t> </w:t>
            </w:r>
            <w:r w:rsidRPr="007C3B9D">
              <w:rPr>
                <w:b/>
                <w:bCs/>
                <w:lang w:val="en-AU"/>
              </w:rPr>
              <w:t>Relevance:</w:t>
            </w:r>
            <w:r w:rsidRPr="007C3B9D">
              <w:rPr>
                <w:lang w:val="en-AU"/>
              </w:rPr>
              <w:t> </w:t>
            </w:r>
          </w:p>
          <w:p w14:paraId="71B4841E" w14:textId="77777777" w:rsidR="002C7297" w:rsidRPr="007C3B9D" w:rsidRDefault="002C7297" w:rsidP="004811C8">
            <w:pPr>
              <w:spacing w:after="120" w:line="276" w:lineRule="auto"/>
              <w:jc w:val="both"/>
              <w:rPr>
                <w:lang w:val="en-AU"/>
              </w:rPr>
            </w:pPr>
            <w:r w:rsidRPr="007C3B9D">
              <w:rPr>
                <w:lang w:val="en-AU"/>
              </w:rPr>
              <w:t> </w:t>
            </w:r>
          </w:p>
        </w:tc>
        <w:tc>
          <w:tcPr>
            <w:tcW w:w="7058" w:type="dxa"/>
            <w:tcBorders>
              <w:top w:val="single" w:sz="6" w:space="0" w:color="auto"/>
              <w:left w:val="single" w:sz="6" w:space="0" w:color="auto"/>
              <w:bottom w:val="single" w:sz="6" w:space="0" w:color="auto"/>
              <w:right w:val="single" w:sz="6" w:space="0" w:color="auto"/>
            </w:tcBorders>
            <w:shd w:val="clear" w:color="auto" w:fill="auto"/>
            <w:hideMark/>
          </w:tcPr>
          <w:p w14:paraId="353D6F95" w14:textId="77777777" w:rsidR="002C7297" w:rsidRPr="007C3B9D" w:rsidRDefault="002C7297" w:rsidP="004811C8">
            <w:pPr>
              <w:spacing w:after="120" w:line="276" w:lineRule="auto"/>
              <w:jc w:val="both"/>
              <w:rPr>
                <w:lang w:val="en-AU"/>
              </w:rPr>
            </w:pPr>
            <w:r w:rsidRPr="007C3B9D">
              <w:rPr>
                <w:lang w:val="en-AU"/>
              </w:rPr>
              <w:t>How well do the program's objectives, activities, and approaches address the regional political and security challenges and priorities within the ASEAN context? </w:t>
            </w:r>
          </w:p>
          <w:p w14:paraId="10EE6433" w14:textId="77777777" w:rsidR="002C7297" w:rsidRPr="007C3B9D" w:rsidRDefault="002C7297" w:rsidP="004811C8">
            <w:pPr>
              <w:spacing w:after="120" w:line="276" w:lineRule="auto"/>
              <w:jc w:val="both"/>
              <w:rPr>
                <w:lang w:val="en-AU"/>
              </w:rPr>
            </w:pPr>
            <w:r w:rsidRPr="007C3B9D">
              <w:rPr>
                <w:lang w:val="en-AU"/>
              </w:rPr>
              <w:t> Has the program provided opportunities for engagement and knowledge exchange between ASEAN and Australian agencies and organisations working on political-security issues?   </w:t>
            </w:r>
          </w:p>
        </w:tc>
      </w:tr>
      <w:tr w:rsidR="002C7297" w:rsidRPr="007C3B9D" w14:paraId="52AC5379" w14:textId="77777777" w:rsidTr="004811C8">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BDD6EE"/>
            <w:hideMark/>
          </w:tcPr>
          <w:p w14:paraId="5DB81194" w14:textId="77777777" w:rsidR="002C7297" w:rsidRPr="007C3B9D" w:rsidRDefault="002C7297" w:rsidP="004811C8">
            <w:pPr>
              <w:spacing w:after="120" w:line="276" w:lineRule="auto"/>
              <w:jc w:val="both"/>
              <w:rPr>
                <w:lang w:val="en-AU"/>
              </w:rPr>
            </w:pPr>
            <w:r w:rsidRPr="007C3B9D">
              <w:rPr>
                <w:b/>
                <w:bCs/>
                <w:lang w:val="en-AU"/>
              </w:rPr>
              <w:t>Efficiency:</w:t>
            </w:r>
            <w:r w:rsidRPr="007C3B9D">
              <w:rPr>
                <w:lang w:val="en-AU"/>
              </w:rPr>
              <w:t> </w:t>
            </w:r>
          </w:p>
        </w:tc>
        <w:tc>
          <w:tcPr>
            <w:tcW w:w="7058" w:type="dxa"/>
            <w:tcBorders>
              <w:top w:val="single" w:sz="6" w:space="0" w:color="auto"/>
              <w:left w:val="single" w:sz="6" w:space="0" w:color="auto"/>
              <w:bottom w:val="single" w:sz="6" w:space="0" w:color="auto"/>
              <w:right w:val="single" w:sz="6" w:space="0" w:color="auto"/>
            </w:tcBorders>
            <w:shd w:val="clear" w:color="auto" w:fill="auto"/>
            <w:hideMark/>
          </w:tcPr>
          <w:p w14:paraId="79873294" w14:textId="77777777" w:rsidR="002C7297" w:rsidRPr="007C3B9D" w:rsidRDefault="002C7297" w:rsidP="004811C8">
            <w:pPr>
              <w:spacing w:after="120" w:line="276" w:lineRule="auto"/>
              <w:jc w:val="both"/>
              <w:rPr>
                <w:lang w:val="en-AU"/>
              </w:rPr>
            </w:pPr>
            <w:r w:rsidRPr="007C3B9D">
              <w:rPr>
                <w:lang w:val="en-AU"/>
              </w:rPr>
              <w:t>How well and efficient were the resources allocated to support ASEAN and Australia priorities and cross-sectoral and multi-sectoral approaches in program implementation? </w:t>
            </w:r>
          </w:p>
        </w:tc>
      </w:tr>
      <w:tr w:rsidR="002C7297" w:rsidRPr="007C3B9D" w14:paraId="2706BE3B" w14:textId="77777777" w:rsidTr="004811C8">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BDD6EE"/>
            <w:hideMark/>
          </w:tcPr>
          <w:p w14:paraId="380B1E9A" w14:textId="77777777" w:rsidR="002C7297" w:rsidRPr="007C3B9D" w:rsidRDefault="002C7297" w:rsidP="004811C8">
            <w:pPr>
              <w:spacing w:after="120" w:line="276" w:lineRule="auto"/>
              <w:jc w:val="both"/>
              <w:rPr>
                <w:lang w:val="en-AU"/>
              </w:rPr>
            </w:pPr>
            <w:r w:rsidRPr="007C3B9D">
              <w:rPr>
                <w:b/>
                <w:bCs/>
                <w:lang w:val="en-AU"/>
              </w:rPr>
              <w:t>Effectiveness:</w:t>
            </w:r>
            <w:r w:rsidRPr="007C3B9D">
              <w:rPr>
                <w:lang w:val="en-AU"/>
              </w:rPr>
              <w:t> </w:t>
            </w:r>
          </w:p>
          <w:p w14:paraId="1DA1C507" w14:textId="77777777" w:rsidR="002C7297" w:rsidRPr="007C3B9D" w:rsidRDefault="002C7297" w:rsidP="004811C8">
            <w:pPr>
              <w:spacing w:after="120" w:line="276" w:lineRule="auto"/>
              <w:jc w:val="both"/>
              <w:rPr>
                <w:lang w:val="en-AU"/>
              </w:rPr>
            </w:pPr>
            <w:r w:rsidRPr="007C3B9D">
              <w:rPr>
                <w:lang w:val="en-AU"/>
              </w:rPr>
              <w:t> </w:t>
            </w:r>
          </w:p>
        </w:tc>
        <w:tc>
          <w:tcPr>
            <w:tcW w:w="7058" w:type="dxa"/>
            <w:tcBorders>
              <w:top w:val="single" w:sz="6" w:space="0" w:color="auto"/>
              <w:left w:val="single" w:sz="6" w:space="0" w:color="auto"/>
              <w:bottom w:val="single" w:sz="6" w:space="0" w:color="auto"/>
              <w:right w:val="single" w:sz="6" w:space="0" w:color="auto"/>
            </w:tcBorders>
            <w:shd w:val="clear" w:color="auto" w:fill="auto"/>
            <w:hideMark/>
          </w:tcPr>
          <w:p w14:paraId="6210512B" w14:textId="77777777" w:rsidR="002C7297" w:rsidRPr="007C3B9D" w:rsidRDefault="002C7297" w:rsidP="004811C8">
            <w:pPr>
              <w:spacing w:after="120" w:line="276" w:lineRule="auto"/>
              <w:jc w:val="both"/>
              <w:rPr>
                <w:lang w:val="en-AU"/>
              </w:rPr>
            </w:pPr>
            <w:r w:rsidRPr="007C3B9D">
              <w:rPr>
                <w:lang w:val="en-AU"/>
              </w:rPr>
              <w:t>To what extent were the program's activities and initiatives effective in enhancing dialogue mechanisms and information-sharing among stakeholders? </w:t>
            </w:r>
          </w:p>
        </w:tc>
      </w:tr>
      <w:tr w:rsidR="002C7297" w:rsidRPr="007C3B9D" w14:paraId="68A12584" w14:textId="77777777" w:rsidTr="004811C8">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BDD6EE"/>
            <w:hideMark/>
          </w:tcPr>
          <w:p w14:paraId="48BCAE95" w14:textId="77777777" w:rsidR="002C7297" w:rsidRPr="007C3B9D" w:rsidRDefault="002C7297" w:rsidP="004811C8">
            <w:pPr>
              <w:spacing w:after="120" w:line="276" w:lineRule="auto"/>
              <w:jc w:val="both"/>
              <w:rPr>
                <w:lang w:val="en-AU"/>
              </w:rPr>
            </w:pPr>
            <w:r w:rsidRPr="007C3B9D">
              <w:rPr>
                <w:b/>
                <w:bCs/>
                <w:lang w:val="en-AU"/>
              </w:rPr>
              <w:lastRenderedPageBreak/>
              <w:t>Sustainability:</w:t>
            </w:r>
            <w:r w:rsidRPr="007C3B9D">
              <w:rPr>
                <w:lang w:val="en-AU"/>
              </w:rPr>
              <w:t> </w:t>
            </w:r>
          </w:p>
        </w:tc>
        <w:tc>
          <w:tcPr>
            <w:tcW w:w="7058" w:type="dxa"/>
            <w:tcBorders>
              <w:top w:val="single" w:sz="6" w:space="0" w:color="auto"/>
              <w:left w:val="single" w:sz="6" w:space="0" w:color="auto"/>
              <w:bottom w:val="single" w:sz="6" w:space="0" w:color="auto"/>
              <w:right w:val="single" w:sz="6" w:space="0" w:color="auto"/>
            </w:tcBorders>
            <w:shd w:val="clear" w:color="auto" w:fill="auto"/>
            <w:hideMark/>
          </w:tcPr>
          <w:p w14:paraId="0982591B" w14:textId="77777777" w:rsidR="002C7297" w:rsidRPr="007C3B9D" w:rsidRDefault="002C7297" w:rsidP="004811C8">
            <w:pPr>
              <w:spacing w:after="120" w:line="276" w:lineRule="auto"/>
              <w:jc w:val="both"/>
              <w:rPr>
                <w:lang w:val="en-AU"/>
              </w:rPr>
            </w:pPr>
            <w:r w:rsidRPr="007C3B9D">
              <w:rPr>
                <w:lang w:val="en-AU"/>
              </w:rPr>
              <w:t xml:space="preserve">To what extent has the </w:t>
            </w:r>
            <w:proofErr w:type="gramStart"/>
            <w:r w:rsidRPr="007C3B9D">
              <w:rPr>
                <w:lang w:val="en-AU"/>
              </w:rPr>
              <w:t>program built</w:t>
            </w:r>
            <w:proofErr w:type="gramEnd"/>
            <w:r w:rsidRPr="007C3B9D">
              <w:rPr>
                <w:lang w:val="en-AU"/>
              </w:rPr>
              <w:t xml:space="preserve"> ASEAN institutional capacity, fostered enduring partnerships and collaborations between ASEAN and Australia? </w:t>
            </w:r>
          </w:p>
        </w:tc>
      </w:tr>
      <w:tr w:rsidR="002C7297" w:rsidRPr="007C3B9D" w14:paraId="5520BC2A" w14:textId="77777777" w:rsidTr="004811C8">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BDD6EE"/>
            <w:hideMark/>
          </w:tcPr>
          <w:p w14:paraId="09292873" w14:textId="77777777" w:rsidR="002C7297" w:rsidRPr="007C3B9D" w:rsidRDefault="002C7297" w:rsidP="004811C8">
            <w:pPr>
              <w:spacing w:after="120" w:line="276" w:lineRule="auto"/>
              <w:jc w:val="both"/>
              <w:rPr>
                <w:lang w:val="en-AU"/>
              </w:rPr>
            </w:pPr>
            <w:r w:rsidRPr="007C3B9D">
              <w:rPr>
                <w:b/>
                <w:bCs/>
                <w:lang w:val="en-AU"/>
              </w:rPr>
              <w:t>Impact:</w:t>
            </w:r>
            <w:r w:rsidRPr="007C3B9D">
              <w:rPr>
                <w:lang w:val="en-AU"/>
              </w:rPr>
              <w:t> </w:t>
            </w:r>
          </w:p>
          <w:p w14:paraId="0B01820C" w14:textId="77777777" w:rsidR="002C7297" w:rsidRPr="007C3B9D" w:rsidRDefault="002C7297" w:rsidP="004811C8">
            <w:pPr>
              <w:spacing w:after="120" w:line="276" w:lineRule="auto"/>
              <w:jc w:val="both"/>
              <w:rPr>
                <w:lang w:val="en-AU"/>
              </w:rPr>
            </w:pPr>
            <w:r w:rsidRPr="007C3B9D">
              <w:rPr>
                <w:lang w:val="en-AU"/>
              </w:rPr>
              <w:t> </w:t>
            </w:r>
          </w:p>
        </w:tc>
        <w:tc>
          <w:tcPr>
            <w:tcW w:w="7058" w:type="dxa"/>
            <w:tcBorders>
              <w:top w:val="single" w:sz="6" w:space="0" w:color="auto"/>
              <w:left w:val="single" w:sz="6" w:space="0" w:color="auto"/>
              <w:bottom w:val="single" w:sz="6" w:space="0" w:color="auto"/>
              <w:right w:val="single" w:sz="6" w:space="0" w:color="auto"/>
            </w:tcBorders>
            <w:shd w:val="clear" w:color="auto" w:fill="auto"/>
            <w:hideMark/>
          </w:tcPr>
          <w:p w14:paraId="53E6B7A9" w14:textId="77777777" w:rsidR="002C7297" w:rsidRPr="007C3B9D" w:rsidRDefault="002C7297" w:rsidP="004811C8">
            <w:pPr>
              <w:spacing w:after="120" w:line="276" w:lineRule="auto"/>
              <w:jc w:val="both"/>
              <w:rPr>
                <w:lang w:val="en-AU"/>
              </w:rPr>
            </w:pPr>
            <w:r w:rsidRPr="007C3B9D">
              <w:rPr>
                <w:lang w:val="en-AU"/>
              </w:rPr>
              <w:t>What is the overall contribution of the APSP Program on regional political stability and security as well as in promoting trust and collaboration in ASEAN? </w:t>
            </w:r>
          </w:p>
        </w:tc>
      </w:tr>
      <w:tr w:rsidR="002C7297" w:rsidRPr="007C3B9D" w14:paraId="69FEBAB5" w14:textId="77777777" w:rsidTr="004811C8">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BDD6EE"/>
            <w:hideMark/>
          </w:tcPr>
          <w:p w14:paraId="63DF7511" w14:textId="77777777" w:rsidR="002C7297" w:rsidRPr="007C3B9D" w:rsidRDefault="002C7297" w:rsidP="004811C8">
            <w:pPr>
              <w:spacing w:after="120" w:line="276" w:lineRule="auto"/>
              <w:jc w:val="both"/>
              <w:rPr>
                <w:lang w:val="en-AU"/>
              </w:rPr>
            </w:pPr>
            <w:r w:rsidRPr="007C3B9D">
              <w:rPr>
                <w:b/>
                <w:bCs/>
                <w:lang w:val="en-AU"/>
              </w:rPr>
              <w:t>Mainstreaming GEDSI:</w:t>
            </w:r>
            <w:r w:rsidRPr="007C3B9D">
              <w:rPr>
                <w:lang w:val="en-AU"/>
              </w:rPr>
              <w:t> </w:t>
            </w:r>
          </w:p>
        </w:tc>
        <w:tc>
          <w:tcPr>
            <w:tcW w:w="7058" w:type="dxa"/>
            <w:tcBorders>
              <w:top w:val="single" w:sz="6" w:space="0" w:color="auto"/>
              <w:left w:val="single" w:sz="6" w:space="0" w:color="auto"/>
              <w:bottom w:val="single" w:sz="6" w:space="0" w:color="auto"/>
              <w:right w:val="single" w:sz="6" w:space="0" w:color="auto"/>
            </w:tcBorders>
            <w:shd w:val="clear" w:color="auto" w:fill="auto"/>
            <w:hideMark/>
          </w:tcPr>
          <w:p w14:paraId="0E9AF6E7" w14:textId="77777777" w:rsidR="002C7297" w:rsidRPr="007C3B9D" w:rsidRDefault="002C7297" w:rsidP="004811C8">
            <w:pPr>
              <w:spacing w:after="120" w:line="276" w:lineRule="auto"/>
              <w:jc w:val="both"/>
              <w:rPr>
                <w:lang w:val="en-AU"/>
              </w:rPr>
            </w:pPr>
            <w:r w:rsidRPr="007C3B9D">
              <w:rPr>
                <w:lang w:val="en-AU"/>
              </w:rPr>
              <w:t>To what extent has the program mainstreamed gender equality, disability and social inclusion in its activities, outcomes, and impacts? </w:t>
            </w:r>
          </w:p>
        </w:tc>
      </w:tr>
    </w:tbl>
    <w:p w14:paraId="1735FC0A" w14:textId="67CE3EA0" w:rsidR="00E15175" w:rsidRPr="007C3B9D" w:rsidRDefault="00E15175" w:rsidP="00903D77">
      <w:pPr>
        <w:spacing w:after="120" w:line="276" w:lineRule="auto"/>
        <w:jc w:val="both"/>
        <w:rPr>
          <w:lang w:val="en-AU"/>
        </w:rPr>
      </w:pPr>
    </w:p>
    <w:p w14:paraId="0D12CDF3" w14:textId="77777777" w:rsidR="00E15175" w:rsidRPr="007C3B9D" w:rsidRDefault="00E15175" w:rsidP="006E0ED4">
      <w:pPr>
        <w:numPr>
          <w:ilvl w:val="0"/>
          <w:numId w:val="86"/>
        </w:numPr>
        <w:spacing w:after="120" w:line="276" w:lineRule="auto"/>
        <w:ind w:hanging="436"/>
        <w:jc w:val="both"/>
        <w:rPr>
          <w:lang w:val="en-AU"/>
        </w:rPr>
      </w:pPr>
      <w:r w:rsidRPr="007C3B9D">
        <w:rPr>
          <w:b/>
          <w:bCs/>
          <w:u w:val="single"/>
          <w:lang w:val="en-AU"/>
        </w:rPr>
        <w:t>Evaluation Methodology and Approach</w:t>
      </w:r>
      <w:r w:rsidRPr="007C3B9D">
        <w:rPr>
          <w:lang w:val="en-AU"/>
        </w:rPr>
        <w:t> </w:t>
      </w:r>
    </w:p>
    <w:p w14:paraId="5CFE2C35" w14:textId="1B27F9E9" w:rsidR="00E15175" w:rsidRPr="007C3B9D" w:rsidRDefault="00E15175" w:rsidP="00903D77">
      <w:pPr>
        <w:spacing w:after="120" w:line="276" w:lineRule="auto"/>
        <w:jc w:val="both"/>
        <w:rPr>
          <w:lang w:val="en-AU"/>
        </w:rPr>
      </w:pPr>
      <w:r w:rsidRPr="007C3B9D">
        <w:rPr>
          <w:lang w:val="en-AU"/>
        </w:rPr>
        <w:t>The evaluation will be conducted by an evaluation team under guidance and management of DFAT and TAF.  </w:t>
      </w:r>
    </w:p>
    <w:p w14:paraId="096D2B9F" w14:textId="292E0D14" w:rsidR="00E15175" w:rsidRPr="007C3B9D" w:rsidRDefault="00E15175" w:rsidP="00903D77">
      <w:pPr>
        <w:spacing w:after="120" w:line="276" w:lineRule="auto"/>
        <w:jc w:val="both"/>
        <w:rPr>
          <w:lang w:val="en-AU"/>
        </w:rPr>
      </w:pPr>
      <w:r w:rsidRPr="007C3B9D">
        <w:rPr>
          <w:lang w:val="en-AU"/>
        </w:rPr>
        <w:t xml:space="preserve">The evaluation will employ a mixed-methods approach, combining qualitative and quantitative data collection methods. It will build upon existing monitoring and evaluation data of APSP </w:t>
      </w:r>
      <w:proofErr w:type="gramStart"/>
      <w:r w:rsidRPr="007C3B9D">
        <w:rPr>
          <w:lang w:val="en-AU"/>
        </w:rPr>
        <w:t>in order to</w:t>
      </w:r>
      <w:proofErr w:type="gramEnd"/>
      <w:r w:rsidRPr="007C3B9D">
        <w:rPr>
          <w:lang w:val="en-AU"/>
        </w:rPr>
        <w:t xml:space="preserve"> provide a comprehensive understanding of the program.  </w:t>
      </w:r>
    </w:p>
    <w:p w14:paraId="7987108F" w14:textId="54C51E73" w:rsidR="00E15175" w:rsidRPr="007C3B9D" w:rsidRDefault="00E15175" w:rsidP="00903D77">
      <w:pPr>
        <w:spacing w:after="120" w:line="276" w:lineRule="auto"/>
        <w:jc w:val="both"/>
        <w:rPr>
          <w:lang w:val="en-AU"/>
        </w:rPr>
      </w:pPr>
      <w:r w:rsidRPr="007C3B9D">
        <w:rPr>
          <w:lang w:val="en-AU"/>
        </w:rPr>
        <w:t>The specific and final methodology will be determined through consultations among the evaluation team, DFAT and TAF, and tailored to meet the evaluation's purpose, scope and available resources.  </w:t>
      </w:r>
    </w:p>
    <w:p w14:paraId="24AA5128" w14:textId="4CAB2274" w:rsidR="00E15175" w:rsidRPr="007C3B9D" w:rsidRDefault="00E15175" w:rsidP="00903D77">
      <w:pPr>
        <w:spacing w:after="120" w:line="276" w:lineRule="auto"/>
        <w:jc w:val="both"/>
        <w:rPr>
          <w:lang w:val="en-AU"/>
        </w:rPr>
      </w:pPr>
      <w:r w:rsidRPr="007C3B9D">
        <w:rPr>
          <w:lang w:val="en-AU"/>
        </w:rPr>
        <w:t xml:space="preserve">In addition, the conduct of the evaluation and all deliverables should adhere to relevant DFAT’s evaluation standards (see: </w:t>
      </w:r>
      <w:hyperlink r:id="rId23" w:tgtFrame="_blank" w:history="1">
        <w:r w:rsidRPr="007C3B9D">
          <w:rPr>
            <w:rStyle w:val="Hyperlink"/>
            <w:color w:val="0B769F" w:themeColor="accent4" w:themeShade="BF"/>
            <w:lang w:val="en-AU"/>
          </w:rPr>
          <w:t>https://www.dfat.gov.au/about-us/publications/dfat-design-monitoring-evaluation-learning-standards</w:t>
        </w:r>
      </w:hyperlink>
      <w:r w:rsidRPr="007C3B9D">
        <w:rPr>
          <w:lang w:val="en-AU"/>
        </w:rPr>
        <w:t>)  </w:t>
      </w:r>
    </w:p>
    <w:p w14:paraId="7EDCCB9E" w14:textId="622FE51A" w:rsidR="00E15175" w:rsidRPr="007C3B9D" w:rsidRDefault="00E15175" w:rsidP="00903D77">
      <w:pPr>
        <w:spacing w:after="120" w:line="276" w:lineRule="auto"/>
        <w:jc w:val="both"/>
        <w:rPr>
          <w:lang w:val="en-AU"/>
        </w:rPr>
      </w:pPr>
      <w:r w:rsidRPr="007C3B9D">
        <w:rPr>
          <w:lang w:val="en-AU"/>
        </w:rPr>
        <w:t>The following provides a general outline of the potential methodology and approach: </w:t>
      </w:r>
    </w:p>
    <w:p w14:paraId="7D088E8C" w14:textId="66ABC9FD" w:rsidR="00E15175" w:rsidRPr="007C3B9D" w:rsidRDefault="00E15175" w:rsidP="00903D77">
      <w:pPr>
        <w:numPr>
          <w:ilvl w:val="0"/>
          <w:numId w:val="87"/>
        </w:numPr>
        <w:spacing w:after="120" w:line="276" w:lineRule="auto"/>
        <w:jc w:val="both"/>
        <w:rPr>
          <w:lang w:val="en-AU"/>
        </w:rPr>
      </w:pPr>
      <w:r w:rsidRPr="007C3B9D">
        <w:rPr>
          <w:b/>
          <w:bCs/>
          <w:lang w:val="en-AU"/>
        </w:rPr>
        <w:t>Desk Review:</w:t>
      </w:r>
      <w:r w:rsidRPr="007C3B9D">
        <w:rPr>
          <w:lang w:val="en-AU"/>
        </w:rPr>
        <w:t xml:space="preserve"> A comprehensive desk review will be conducted to gather and analyse relevant program documents, reports, policy papers, and other available literature. This review will provide a solid understanding of the program's design, implementation, and outcomes, serving as a foundation for the evaluation. </w:t>
      </w:r>
    </w:p>
    <w:p w14:paraId="4C519B8D" w14:textId="77777777" w:rsidR="00E15175" w:rsidRPr="007C3B9D" w:rsidRDefault="00E15175" w:rsidP="00903D77">
      <w:pPr>
        <w:numPr>
          <w:ilvl w:val="0"/>
          <w:numId w:val="88"/>
        </w:numPr>
        <w:spacing w:after="120" w:line="276" w:lineRule="auto"/>
        <w:jc w:val="both"/>
        <w:rPr>
          <w:lang w:val="en-AU"/>
        </w:rPr>
      </w:pPr>
      <w:r w:rsidRPr="007C3B9D">
        <w:rPr>
          <w:b/>
          <w:bCs/>
          <w:lang w:val="en-AU"/>
        </w:rPr>
        <w:t>Data Collection and Analysis:</w:t>
      </w:r>
      <w:r w:rsidRPr="007C3B9D">
        <w:rPr>
          <w:lang w:val="en-AU"/>
        </w:rPr>
        <w:t xml:space="preserve"> The evaluation will employ a mixed-methods approach to gather data from various sources. Quantitative data will be collected through surveys, questionnaires, and statistical analysis to measure program outcomes and assess indicators. Qualitative data will be collected through stakeholder consultations and case studies to explore stakeholders' experiences, perceptions, and narratives related to the program.  </w:t>
      </w:r>
    </w:p>
    <w:p w14:paraId="194BD758" w14:textId="1E261371" w:rsidR="00E15175" w:rsidRPr="007C3B9D" w:rsidRDefault="00E15175" w:rsidP="00903D77">
      <w:pPr>
        <w:spacing w:after="120" w:line="276" w:lineRule="auto"/>
        <w:jc w:val="both"/>
        <w:rPr>
          <w:lang w:val="en-AU"/>
        </w:rPr>
      </w:pPr>
      <w:r w:rsidRPr="007C3B9D">
        <w:rPr>
          <w:lang w:val="en-AU"/>
        </w:rPr>
        <w:t>The stakeholder consultations will involve DFAT, TAF and relevant OGDs; key ASEAN partners and beneficiaries; and other relevant stakeholders of APSP. Consultation methods could be in forms of interview (virtual or in-person), focus group discussion (virtual or in-person), and structured survey to gather diverse perspectives and insights on APSP. The identification of key partners and beneficiaries and other relevant stakeholders will be done in consultation with DFAT and TAF.  </w:t>
      </w:r>
    </w:p>
    <w:p w14:paraId="0F6142DF" w14:textId="32E1E27B" w:rsidR="00E15175" w:rsidRPr="007C3B9D" w:rsidRDefault="00E15175" w:rsidP="00903D77">
      <w:pPr>
        <w:numPr>
          <w:ilvl w:val="0"/>
          <w:numId w:val="89"/>
        </w:numPr>
        <w:spacing w:after="120" w:line="276" w:lineRule="auto"/>
        <w:jc w:val="both"/>
        <w:rPr>
          <w:lang w:val="en-AU"/>
        </w:rPr>
      </w:pPr>
      <w:r w:rsidRPr="007C3B9D">
        <w:rPr>
          <w:b/>
          <w:bCs/>
          <w:lang w:val="en-AU"/>
        </w:rPr>
        <w:t>Data Validation:</w:t>
      </w:r>
      <w:r w:rsidRPr="007C3B9D">
        <w:rPr>
          <w:lang w:val="en-AU"/>
        </w:rPr>
        <w:t xml:space="preserve"> The evaluation will employ data validation techniques to ensure the reliability and validity of the collected data. This may include triangulation of data from multiple sources. </w:t>
      </w:r>
    </w:p>
    <w:p w14:paraId="4CF65DEB" w14:textId="6AB6357E" w:rsidR="00E15175" w:rsidRPr="006E0ED4" w:rsidRDefault="00E15175" w:rsidP="00903D77">
      <w:pPr>
        <w:numPr>
          <w:ilvl w:val="0"/>
          <w:numId w:val="90"/>
        </w:numPr>
        <w:spacing w:after="120" w:line="276" w:lineRule="auto"/>
        <w:jc w:val="both"/>
        <w:rPr>
          <w:lang w:val="en-AU"/>
        </w:rPr>
      </w:pPr>
      <w:r w:rsidRPr="007C3B9D">
        <w:rPr>
          <w:b/>
          <w:bCs/>
          <w:lang w:val="en-AU"/>
        </w:rPr>
        <w:t>Reporting and Dissemination:</w:t>
      </w:r>
      <w:r w:rsidRPr="007C3B9D">
        <w:rPr>
          <w:lang w:val="en-AU"/>
        </w:rPr>
        <w:t>   The report will present key findings and highlight actionable recommendations for program improvement, policy development, and strategic decision-making in line with DFAT’s standards. The report will be submitted to DFAT and TAF who may request the presentation of findings. The final report will also be published on DFAT’s website.   </w:t>
      </w:r>
    </w:p>
    <w:p w14:paraId="525F8D52" w14:textId="3D1BCEA7" w:rsidR="00E15175" w:rsidRPr="007C3B9D" w:rsidRDefault="00E15175" w:rsidP="006E0ED4">
      <w:pPr>
        <w:numPr>
          <w:ilvl w:val="0"/>
          <w:numId w:val="91"/>
        </w:numPr>
        <w:spacing w:after="120" w:line="276" w:lineRule="auto"/>
        <w:ind w:hanging="578"/>
        <w:jc w:val="both"/>
        <w:rPr>
          <w:lang w:val="en-AU"/>
        </w:rPr>
      </w:pPr>
      <w:r w:rsidRPr="007C3B9D">
        <w:rPr>
          <w:b/>
          <w:bCs/>
          <w:u w:val="single"/>
          <w:lang w:val="en-AU"/>
        </w:rPr>
        <w:lastRenderedPageBreak/>
        <w:t>Evaluation Timeline and Outputs </w:t>
      </w:r>
      <w:r w:rsidRPr="007C3B9D">
        <w:rPr>
          <w:lang w:val="en-AU"/>
        </w:rPr>
        <w:t> </w:t>
      </w:r>
    </w:p>
    <w:p w14:paraId="36BD6B77" w14:textId="77777777" w:rsidR="00E15175" w:rsidRPr="007C3B9D" w:rsidRDefault="00E15175" w:rsidP="00903D77">
      <w:pPr>
        <w:spacing w:after="120" w:line="276" w:lineRule="auto"/>
        <w:jc w:val="both"/>
        <w:rPr>
          <w:lang w:val="en-AU"/>
        </w:rPr>
      </w:pPr>
      <w:r w:rsidRPr="007C3B9D">
        <w:rPr>
          <w:lang w:val="en-AU"/>
        </w:rPr>
        <w:t>The evaluation team will be accountable for producing the following deliverables: </w:t>
      </w:r>
    </w:p>
    <w:tbl>
      <w:tblPr>
        <w:tblW w:w="8305"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0"/>
        <w:gridCol w:w="5865"/>
      </w:tblGrid>
      <w:tr w:rsidR="00E15175" w:rsidRPr="007C3B9D" w14:paraId="1E384834" w14:textId="77777777" w:rsidTr="006E0ED4">
        <w:trPr>
          <w:trHeight w:val="300"/>
        </w:trPr>
        <w:tc>
          <w:tcPr>
            <w:tcW w:w="2440" w:type="dxa"/>
            <w:tcBorders>
              <w:top w:val="single" w:sz="6" w:space="0" w:color="auto"/>
              <w:left w:val="single" w:sz="6" w:space="0" w:color="auto"/>
              <w:bottom w:val="single" w:sz="6" w:space="0" w:color="auto"/>
              <w:right w:val="single" w:sz="6" w:space="0" w:color="auto"/>
            </w:tcBorders>
            <w:shd w:val="clear" w:color="auto" w:fill="auto"/>
            <w:hideMark/>
          </w:tcPr>
          <w:p w14:paraId="297A0AA3" w14:textId="596A37D9" w:rsidR="00E15175" w:rsidRPr="007C3B9D" w:rsidRDefault="00E15175" w:rsidP="00903D77">
            <w:pPr>
              <w:spacing w:after="120" w:line="276" w:lineRule="auto"/>
              <w:jc w:val="both"/>
              <w:rPr>
                <w:lang w:val="en-AU"/>
              </w:rPr>
            </w:pPr>
            <w:r w:rsidRPr="007C3B9D">
              <w:rPr>
                <w:lang w:val="en-AU"/>
              </w:rPr>
              <w:t> </w:t>
            </w:r>
            <w:r w:rsidRPr="007C3B9D">
              <w:rPr>
                <w:b/>
                <w:bCs/>
                <w:lang w:val="en-AU"/>
              </w:rPr>
              <w:t>Indicative timeline </w:t>
            </w:r>
            <w:r w:rsidRPr="007C3B9D">
              <w:rPr>
                <w:lang w:val="en-AU"/>
              </w:rPr>
              <w:t>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49F6DAE4" w14:textId="77777777" w:rsidR="00E15175" w:rsidRPr="007C3B9D" w:rsidRDefault="00E15175" w:rsidP="00903D77">
            <w:pPr>
              <w:spacing w:after="120" w:line="276" w:lineRule="auto"/>
              <w:jc w:val="both"/>
              <w:rPr>
                <w:lang w:val="en-AU"/>
              </w:rPr>
            </w:pPr>
            <w:r w:rsidRPr="007C3B9D">
              <w:rPr>
                <w:b/>
                <w:bCs/>
                <w:lang w:val="en-AU"/>
              </w:rPr>
              <w:t>Outputs by the evaluation team</w:t>
            </w:r>
            <w:r w:rsidRPr="007C3B9D">
              <w:rPr>
                <w:lang w:val="en-AU"/>
              </w:rPr>
              <w:t> </w:t>
            </w:r>
          </w:p>
        </w:tc>
      </w:tr>
      <w:tr w:rsidR="00E15175" w:rsidRPr="007C3B9D" w14:paraId="6EAE3476" w14:textId="77777777" w:rsidTr="006E0ED4">
        <w:trPr>
          <w:trHeight w:val="300"/>
        </w:trPr>
        <w:tc>
          <w:tcPr>
            <w:tcW w:w="2440" w:type="dxa"/>
            <w:tcBorders>
              <w:top w:val="single" w:sz="6" w:space="0" w:color="auto"/>
              <w:left w:val="single" w:sz="6" w:space="0" w:color="auto"/>
              <w:bottom w:val="single" w:sz="6" w:space="0" w:color="auto"/>
              <w:right w:val="single" w:sz="6" w:space="0" w:color="auto"/>
            </w:tcBorders>
            <w:shd w:val="clear" w:color="auto" w:fill="auto"/>
            <w:hideMark/>
          </w:tcPr>
          <w:p w14:paraId="7036B187" w14:textId="77777777" w:rsidR="00E15175" w:rsidRPr="007C3B9D" w:rsidRDefault="00E15175" w:rsidP="00903D77">
            <w:pPr>
              <w:spacing w:after="120" w:line="276" w:lineRule="auto"/>
              <w:jc w:val="both"/>
              <w:rPr>
                <w:lang w:val="en-AU"/>
              </w:rPr>
            </w:pPr>
            <w:r w:rsidRPr="007C3B9D">
              <w:rPr>
                <w:lang w:val="en-AU"/>
              </w:rPr>
              <w:t>By 24 June 2024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7D45828C" w14:textId="77777777" w:rsidR="00E15175" w:rsidRPr="007C3B9D" w:rsidRDefault="00E15175" w:rsidP="00903D77">
            <w:pPr>
              <w:spacing w:after="120" w:line="276" w:lineRule="auto"/>
              <w:jc w:val="both"/>
              <w:rPr>
                <w:lang w:val="en-AU"/>
              </w:rPr>
            </w:pPr>
            <w:r w:rsidRPr="007C3B9D">
              <w:rPr>
                <w:lang w:val="en-AU"/>
              </w:rPr>
              <w:t>Draft evaluation plan  </w:t>
            </w:r>
          </w:p>
        </w:tc>
      </w:tr>
      <w:tr w:rsidR="00E15175" w:rsidRPr="007C3B9D" w14:paraId="691F8D0D" w14:textId="77777777" w:rsidTr="006E0ED4">
        <w:trPr>
          <w:trHeight w:val="300"/>
        </w:trPr>
        <w:tc>
          <w:tcPr>
            <w:tcW w:w="2440" w:type="dxa"/>
            <w:tcBorders>
              <w:top w:val="single" w:sz="6" w:space="0" w:color="auto"/>
              <w:left w:val="single" w:sz="6" w:space="0" w:color="auto"/>
              <w:bottom w:val="single" w:sz="6" w:space="0" w:color="auto"/>
              <w:right w:val="single" w:sz="6" w:space="0" w:color="auto"/>
            </w:tcBorders>
            <w:shd w:val="clear" w:color="auto" w:fill="auto"/>
            <w:hideMark/>
          </w:tcPr>
          <w:p w14:paraId="2C1F7998" w14:textId="77777777" w:rsidR="00E15175" w:rsidRPr="007C3B9D" w:rsidRDefault="00E15175" w:rsidP="00903D77">
            <w:pPr>
              <w:spacing w:after="120" w:line="276" w:lineRule="auto"/>
              <w:jc w:val="both"/>
              <w:rPr>
                <w:lang w:val="en-AU"/>
              </w:rPr>
            </w:pPr>
            <w:r w:rsidRPr="007C3B9D">
              <w:rPr>
                <w:lang w:val="en-AU"/>
              </w:rPr>
              <w:t>By 1 July 2024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4E889742" w14:textId="77777777" w:rsidR="00E15175" w:rsidRPr="007C3B9D" w:rsidRDefault="00E15175" w:rsidP="00903D77">
            <w:pPr>
              <w:spacing w:after="120" w:line="276" w:lineRule="auto"/>
              <w:jc w:val="both"/>
              <w:rPr>
                <w:lang w:val="en-AU"/>
              </w:rPr>
            </w:pPr>
            <w:r w:rsidRPr="007C3B9D">
              <w:rPr>
                <w:lang w:val="en-AU"/>
              </w:rPr>
              <w:t>Final evaluation plan  </w:t>
            </w:r>
          </w:p>
        </w:tc>
      </w:tr>
      <w:tr w:rsidR="00E15175" w:rsidRPr="007C3B9D" w14:paraId="33981365" w14:textId="77777777" w:rsidTr="006E0ED4">
        <w:trPr>
          <w:trHeight w:val="300"/>
        </w:trPr>
        <w:tc>
          <w:tcPr>
            <w:tcW w:w="2440" w:type="dxa"/>
            <w:tcBorders>
              <w:top w:val="single" w:sz="6" w:space="0" w:color="auto"/>
              <w:left w:val="single" w:sz="6" w:space="0" w:color="auto"/>
              <w:bottom w:val="single" w:sz="6" w:space="0" w:color="auto"/>
              <w:right w:val="single" w:sz="6" w:space="0" w:color="auto"/>
            </w:tcBorders>
            <w:shd w:val="clear" w:color="auto" w:fill="auto"/>
            <w:hideMark/>
          </w:tcPr>
          <w:p w14:paraId="7A730FE6" w14:textId="77777777" w:rsidR="00E15175" w:rsidRPr="007C3B9D" w:rsidRDefault="00E15175" w:rsidP="00903D77">
            <w:pPr>
              <w:spacing w:after="120" w:line="276" w:lineRule="auto"/>
              <w:jc w:val="both"/>
              <w:rPr>
                <w:lang w:val="en-AU"/>
              </w:rPr>
            </w:pPr>
            <w:r w:rsidRPr="007C3B9D">
              <w:rPr>
                <w:lang w:val="en-AU"/>
              </w:rPr>
              <w:t>July 2024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2B35E524" w14:textId="77777777" w:rsidR="00E15175" w:rsidRPr="007C3B9D" w:rsidRDefault="00E15175" w:rsidP="00903D77">
            <w:pPr>
              <w:spacing w:after="120" w:line="276" w:lineRule="auto"/>
              <w:jc w:val="both"/>
              <w:rPr>
                <w:lang w:val="en-AU"/>
              </w:rPr>
            </w:pPr>
            <w:r w:rsidRPr="007C3B9D">
              <w:rPr>
                <w:lang w:val="en-AU"/>
              </w:rPr>
              <w:t>Data collection, analysis and validation  </w:t>
            </w:r>
          </w:p>
          <w:p w14:paraId="4DA44FD9" w14:textId="77777777" w:rsidR="00E15175" w:rsidRPr="007C3B9D" w:rsidRDefault="00E15175" w:rsidP="00903D77">
            <w:pPr>
              <w:spacing w:after="120" w:line="276" w:lineRule="auto"/>
              <w:jc w:val="both"/>
              <w:rPr>
                <w:lang w:val="en-AU"/>
              </w:rPr>
            </w:pPr>
            <w:r w:rsidRPr="007C3B9D">
              <w:rPr>
                <w:lang w:val="en-AU"/>
              </w:rPr>
              <w:t>Presentation of initial findings (Aide Memoire) </w:t>
            </w:r>
          </w:p>
        </w:tc>
      </w:tr>
      <w:tr w:rsidR="00E15175" w:rsidRPr="007C3B9D" w14:paraId="129328A0" w14:textId="77777777" w:rsidTr="006E0ED4">
        <w:trPr>
          <w:trHeight w:val="300"/>
        </w:trPr>
        <w:tc>
          <w:tcPr>
            <w:tcW w:w="2440" w:type="dxa"/>
            <w:tcBorders>
              <w:top w:val="single" w:sz="6" w:space="0" w:color="auto"/>
              <w:left w:val="single" w:sz="6" w:space="0" w:color="auto"/>
              <w:bottom w:val="single" w:sz="6" w:space="0" w:color="auto"/>
              <w:right w:val="single" w:sz="6" w:space="0" w:color="auto"/>
            </w:tcBorders>
            <w:shd w:val="clear" w:color="auto" w:fill="auto"/>
            <w:hideMark/>
          </w:tcPr>
          <w:p w14:paraId="6C2CE22E" w14:textId="77777777" w:rsidR="00E15175" w:rsidRPr="007C3B9D" w:rsidRDefault="00E15175" w:rsidP="00903D77">
            <w:pPr>
              <w:spacing w:after="120" w:line="276" w:lineRule="auto"/>
              <w:jc w:val="both"/>
              <w:rPr>
                <w:lang w:val="en-AU"/>
              </w:rPr>
            </w:pPr>
            <w:r w:rsidRPr="007C3B9D">
              <w:rPr>
                <w:lang w:val="en-AU"/>
              </w:rPr>
              <w:t>By 9 August 2024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10EDEC69" w14:textId="77777777" w:rsidR="00E15175" w:rsidRPr="007C3B9D" w:rsidRDefault="00E15175" w:rsidP="00903D77">
            <w:pPr>
              <w:spacing w:after="120" w:line="276" w:lineRule="auto"/>
              <w:jc w:val="both"/>
              <w:rPr>
                <w:lang w:val="en-AU"/>
              </w:rPr>
            </w:pPr>
            <w:r w:rsidRPr="007C3B9D">
              <w:rPr>
                <w:lang w:val="en-AU"/>
              </w:rPr>
              <w:t>Draft evaluation report  </w:t>
            </w:r>
          </w:p>
        </w:tc>
      </w:tr>
      <w:tr w:rsidR="00E15175" w:rsidRPr="007C3B9D" w14:paraId="1141C599" w14:textId="77777777" w:rsidTr="006E0ED4">
        <w:trPr>
          <w:trHeight w:val="300"/>
        </w:trPr>
        <w:tc>
          <w:tcPr>
            <w:tcW w:w="2440" w:type="dxa"/>
            <w:tcBorders>
              <w:top w:val="single" w:sz="6" w:space="0" w:color="auto"/>
              <w:left w:val="single" w:sz="6" w:space="0" w:color="auto"/>
              <w:bottom w:val="single" w:sz="6" w:space="0" w:color="auto"/>
              <w:right w:val="single" w:sz="6" w:space="0" w:color="auto"/>
            </w:tcBorders>
            <w:shd w:val="clear" w:color="auto" w:fill="auto"/>
            <w:hideMark/>
          </w:tcPr>
          <w:p w14:paraId="328A499C" w14:textId="77777777" w:rsidR="00E15175" w:rsidRPr="007C3B9D" w:rsidRDefault="00E15175" w:rsidP="00903D77">
            <w:pPr>
              <w:spacing w:after="120" w:line="276" w:lineRule="auto"/>
              <w:jc w:val="both"/>
              <w:rPr>
                <w:lang w:val="en-AU"/>
              </w:rPr>
            </w:pPr>
            <w:r w:rsidRPr="007C3B9D">
              <w:rPr>
                <w:lang w:val="en-AU"/>
              </w:rPr>
              <w:t>By 31 August 2024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7E36A415" w14:textId="77777777" w:rsidR="00E15175" w:rsidRPr="007C3B9D" w:rsidRDefault="00E15175" w:rsidP="00903D77">
            <w:pPr>
              <w:spacing w:after="120" w:line="276" w:lineRule="auto"/>
              <w:jc w:val="both"/>
              <w:rPr>
                <w:lang w:val="en-AU"/>
              </w:rPr>
            </w:pPr>
            <w:r w:rsidRPr="007C3B9D">
              <w:rPr>
                <w:lang w:val="en-AU"/>
              </w:rPr>
              <w:t>Final evaluation report  </w:t>
            </w:r>
          </w:p>
        </w:tc>
      </w:tr>
      <w:tr w:rsidR="00E15175" w:rsidRPr="007C3B9D" w14:paraId="32007499" w14:textId="77777777" w:rsidTr="006E0ED4">
        <w:trPr>
          <w:trHeight w:val="300"/>
        </w:trPr>
        <w:tc>
          <w:tcPr>
            <w:tcW w:w="2440" w:type="dxa"/>
            <w:tcBorders>
              <w:top w:val="single" w:sz="6" w:space="0" w:color="auto"/>
              <w:left w:val="single" w:sz="6" w:space="0" w:color="auto"/>
              <w:bottom w:val="single" w:sz="6" w:space="0" w:color="auto"/>
              <w:right w:val="single" w:sz="6" w:space="0" w:color="auto"/>
            </w:tcBorders>
            <w:shd w:val="clear" w:color="auto" w:fill="auto"/>
            <w:hideMark/>
          </w:tcPr>
          <w:p w14:paraId="23463DC0" w14:textId="77777777" w:rsidR="00E15175" w:rsidRPr="007C3B9D" w:rsidRDefault="00E15175" w:rsidP="00903D77">
            <w:pPr>
              <w:spacing w:after="120" w:line="276" w:lineRule="auto"/>
              <w:jc w:val="both"/>
              <w:rPr>
                <w:lang w:val="en-AU"/>
              </w:rPr>
            </w:pPr>
            <w:r w:rsidRPr="007C3B9D">
              <w:rPr>
                <w:lang w:val="en-AU"/>
              </w:rPr>
              <w:t>TBC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58BBA6F2" w14:textId="77777777" w:rsidR="00E15175" w:rsidRPr="007C3B9D" w:rsidRDefault="00E15175" w:rsidP="00903D77">
            <w:pPr>
              <w:spacing w:after="120" w:line="276" w:lineRule="auto"/>
              <w:jc w:val="both"/>
              <w:rPr>
                <w:lang w:val="en-AU"/>
              </w:rPr>
            </w:pPr>
            <w:r w:rsidRPr="007C3B9D">
              <w:rPr>
                <w:lang w:val="en-AU"/>
              </w:rPr>
              <w:t>Presentation of the evaluation findings to DFAT and TAF </w:t>
            </w:r>
          </w:p>
        </w:tc>
      </w:tr>
    </w:tbl>
    <w:p w14:paraId="059E164D" w14:textId="0F486527" w:rsidR="00E15175" w:rsidRPr="007C3B9D" w:rsidRDefault="00E15175" w:rsidP="00446C37">
      <w:pPr>
        <w:numPr>
          <w:ilvl w:val="0"/>
          <w:numId w:val="92"/>
        </w:numPr>
        <w:spacing w:before="240" w:after="120" w:line="276" w:lineRule="auto"/>
        <w:ind w:left="714" w:hanging="357"/>
        <w:jc w:val="both"/>
        <w:rPr>
          <w:lang w:val="en-AU"/>
        </w:rPr>
      </w:pPr>
      <w:r w:rsidRPr="007C3B9D">
        <w:rPr>
          <w:b/>
          <w:bCs/>
          <w:lang w:val="en-AU"/>
        </w:rPr>
        <w:t>Evaluation Plan (no more than 15 pages, 5 days):</w:t>
      </w:r>
      <w:r w:rsidRPr="007C3B9D">
        <w:rPr>
          <w:lang w:val="en-AU"/>
        </w:rPr>
        <w:t xml:space="preserve"> Based upon desk review and initial discussion with DFAT and TAF, the evaluation team will develop the evaluation plan. The evaluation plan, at minimum, will include evaluation questions, proposed methodology, sources of data, and data collection procedures for addressing each evaluation question. The evaluation plan will also cover a schedule of tasks, activities, and deliverables (including report outline). The evaluation plan serves as a basis for confirming a shared understanding of the evaluation between the evaluation team, DFAT and TAF and allows for clarifications and adjustments as necessary. </w:t>
      </w:r>
    </w:p>
    <w:p w14:paraId="143249A5" w14:textId="2B14033B" w:rsidR="00E15175" w:rsidRPr="007C3B9D" w:rsidRDefault="00E15175" w:rsidP="00903D77">
      <w:pPr>
        <w:numPr>
          <w:ilvl w:val="0"/>
          <w:numId w:val="93"/>
        </w:numPr>
        <w:spacing w:after="120" w:line="276" w:lineRule="auto"/>
        <w:jc w:val="both"/>
        <w:rPr>
          <w:lang w:val="en-AU"/>
        </w:rPr>
      </w:pPr>
      <w:r w:rsidRPr="007C3B9D">
        <w:rPr>
          <w:b/>
          <w:bCs/>
          <w:lang w:val="en-AU"/>
        </w:rPr>
        <w:t xml:space="preserve">Data collection, analysis, and validation and presentation of preliminary findings (20 days): </w:t>
      </w:r>
      <w:r w:rsidRPr="007C3B9D">
        <w:rPr>
          <w:lang w:val="en-AU"/>
        </w:rPr>
        <w:t>Following the approval of the evaluation plan by DFAT and TAF (unless otherwise agreed), the evaluation team will commence comprehensive data collection (including stakeholder consultations), analysis and validation. Subject to the advice from DFAT and TAF, the stakeholder consultants may be conducted virtually or in-person. At the end of stakeholder consultations, the evaluation team will prepare an Aide Memoire and present preliminary findings against each evaluation criteria to DFAT and TAF.  </w:t>
      </w:r>
    </w:p>
    <w:p w14:paraId="77F34829" w14:textId="04E7511D" w:rsidR="00E15175" w:rsidRPr="007C3B9D" w:rsidRDefault="00E15175" w:rsidP="00903D77">
      <w:pPr>
        <w:numPr>
          <w:ilvl w:val="0"/>
          <w:numId w:val="94"/>
        </w:numPr>
        <w:spacing w:after="120" w:line="276" w:lineRule="auto"/>
        <w:jc w:val="both"/>
        <w:rPr>
          <w:lang w:val="en-AU"/>
        </w:rPr>
      </w:pPr>
      <w:r w:rsidRPr="007C3B9D">
        <w:rPr>
          <w:b/>
          <w:bCs/>
          <w:lang w:val="en-AU"/>
        </w:rPr>
        <w:t>Draft Evaluation Report (no more than 30 pages, excluding annexes) (8 days):</w:t>
      </w:r>
      <w:r w:rsidRPr="007C3B9D">
        <w:rPr>
          <w:lang w:val="en-AU"/>
        </w:rPr>
        <w:t xml:space="preserve"> The evaluation team will develop a draft evaluation report based on a mutually agreed outline, that presents the findings, analysis, and conclusions of the evaluation. This report will address the evaluation questions and provide an assessment of APSP against the criteria. The draft report will also include actionable recommendations for program improvement, policy development, and decision-making. The draft evaluation report will be submitted to DFAT and TAF who will have an opportunity to review and provide feedback to ensure that it meets the intended purpose and standards.  </w:t>
      </w:r>
    </w:p>
    <w:p w14:paraId="4AA8CA16" w14:textId="7280FEBB" w:rsidR="00E15175" w:rsidRPr="007C3B9D" w:rsidRDefault="00E15175" w:rsidP="00903D77">
      <w:pPr>
        <w:numPr>
          <w:ilvl w:val="0"/>
          <w:numId w:val="95"/>
        </w:numPr>
        <w:spacing w:after="120" w:line="276" w:lineRule="auto"/>
        <w:jc w:val="both"/>
        <w:rPr>
          <w:lang w:val="en-AU"/>
        </w:rPr>
      </w:pPr>
      <w:r w:rsidRPr="007C3B9D">
        <w:rPr>
          <w:b/>
          <w:bCs/>
          <w:lang w:val="en-AU"/>
        </w:rPr>
        <w:t>Final Evaluation Report (5 days):</w:t>
      </w:r>
      <w:r w:rsidRPr="007C3B9D">
        <w:rPr>
          <w:lang w:val="en-AU"/>
        </w:rPr>
        <w:t xml:space="preserve"> Based on the feedback received during the review of the draft report, the evaluation team will finalize the evaluation report. The final report will incorporate any necessary revisions, improvements, and additional analysis. It will provide a comprehensive and evidence-based account of the evaluation findings, conclusions, and recommendations. The report will be structured in a clear and accessible manner, ensuring that it effectively communicates the evaluation results to the intended users.  </w:t>
      </w:r>
    </w:p>
    <w:p w14:paraId="485D9698" w14:textId="77777777" w:rsidR="00E15175" w:rsidRPr="007C3B9D" w:rsidRDefault="00E15175" w:rsidP="00903D77">
      <w:pPr>
        <w:numPr>
          <w:ilvl w:val="0"/>
          <w:numId w:val="96"/>
        </w:numPr>
        <w:spacing w:after="120" w:line="276" w:lineRule="auto"/>
        <w:jc w:val="both"/>
        <w:rPr>
          <w:lang w:val="en-AU"/>
        </w:rPr>
      </w:pPr>
      <w:r w:rsidRPr="007C3B9D">
        <w:rPr>
          <w:b/>
          <w:bCs/>
          <w:lang w:val="en-AU"/>
        </w:rPr>
        <w:lastRenderedPageBreak/>
        <w:t>Presentation of the final evaluation findings (upon request):</w:t>
      </w:r>
      <w:r w:rsidRPr="007C3B9D">
        <w:rPr>
          <w:lang w:val="en-AU"/>
        </w:rPr>
        <w:t xml:space="preserve"> The evaluation team may be requested to provide presentation or verbal briefing of the findings to DFAT and TAF. In addition, the evaluation team may be requested to prepare evaluation brief that summarizes the key findings, conclusions, and recommendations of the evaluation in a concise and accessible format. The evaluation team may also be asked to participate in a knowledge sharing activity to present the findings.    </w:t>
      </w:r>
    </w:p>
    <w:p w14:paraId="11A6F093" w14:textId="6247A29B" w:rsidR="00E15175" w:rsidRPr="007C3B9D" w:rsidRDefault="00E15175" w:rsidP="00903D77">
      <w:pPr>
        <w:spacing w:after="120" w:line="276" w:lineRule="auto"/>
        <w:jc w:val="both"/>
        <w:rPr>
          <w:lang w:val="en-AU"/>
        </w:rPr>
      </w:pPr>
      <w:r w:rsidRPr="007C3B9D">
        <w:rPr>
          <w:lang w:val="en-AU"/>
        </w:rPr>
        <w:t>All deliverables will be in English and be written in evidence-based manner.  </w:t>
      </w:r>
    </w:p>
    <w:p w14:paraId="3FF33A7A" w14:textId="1E65CC08" w:rsidR="00E15175" w:rsidRPr="007C3B9D" w:rsidRDefault="00E15175" w:rsidP="00446C37">
      <w:pPr>
        <w:numPr>
          <w:ilvl w:val="0"/>
          <w:numId w:val="97"/>
        </w:numPr>
        <w:spacing w:before="240" w:after="120" w:line="276" w:lineRule="auto"/>
        <w:ind w:left="721" w:hanging="437"/>
        <w:jc w:val="both"/>
        <w:rPr>
          <w:lang w:val="en-AU"/>
        </w:rPr>
      </w:pPr>
      <w:r w:rsidRPr="007C3B9D">
        <w:rPr>
          <w:b/>
          <w:bCs/>
          <w:u w:val="single"/>
          <w:lang w:val="en-AU"/>
        </w:rPr>
        <w:t>Qualifications of the Evaluation Team</w:t>
      </w:r>
      <w:r w:rsidRPr="007C3B9D">
        <w:rPr>
          <w:lang w:val="en-AU"/>
        </w:rPr>
        <w:t> </w:t>
      </w:r>
    </w:p>
    <w:p w14:paraId="71171EBA" w14:textId="77777777" w:rsidR="00E15175" w:rsidRPr="007C3B9D" w:rsidRDefault="00E15175" w:rsidP="00903D77">
      <w:pPr>
        <w:spacing w:after="120" w:line="276" w:lineRule="auto"/>
        <w:jc w:val="both"/>
        <w:rPr>
          <w:lang w:val="en-AU"/>
        </w:rPr>
      </w:pPr>
      <w:r w:rsidRPr="007C3B9D">
        <w:rPr>
          <w:lang w:val="en-AU"/>
        </w:rPr>
        <w:t>Given the scope of the evaluation, a team of up to 2 members, including one Team Leader, will be recruited and selected by DFAT and TAF based on the following qualifications.  </w:t>
      </w:r>
    </w:p>
    <w:p w14:paraId="66EAAE68" w14:textId="584FE8E7" w:rsidR="00E15175" w:rsidRPr="007C3B9D" w:rsidRDefault="00E15175" w:rsidP="00903D77">
      <w:pPr>
        <w:spacing w:after="120" w:line="276" w:lineRule="auto"/>
        <w:jc w:val="both"/>
        <w:rPr>
          <w:lang w:val="en-AU"/>
        </w:rPr>
      </w:pPr>
      <w:r w:rsidRPr="007C3B9D">
        <w:rPr>
          <w:lang w:val="en-AU"/>
        </w:rPr>
        <w:t> The Team Leader should have:  </w:t>
      </w:r>
    </w:p>
    <w:p w14:paraId="5431C7A3" w14:textId="0BC05A9F" w:rsidR="00E15175" w:rsidRPr="007C3B9D" w:rsidRDefault="00E15175" w:rsidP="00903D77">
      <w:pPr>
        <w:numPr>
          <w:ilvl w:val="0"/>
          <w:numId w:val="98"/>
        </w:numPr>
        <w:spacing w:after="120" w:line="276" w:lineRule="auto"/>
        <w:jc w:val="both"/>
        <w:rPr>
          <w:lang w:val="en-AU"/>
        </w:rPr>
      </w:pPr>
      <w:r w:rsidRPr="007C3B9D">
        <w:rPr>
          <w:lang w:val="en-AU"/>
        </w:rPr>
        <w:t xml:space="preserve">Post graduate degree with a minimum of 10 years of relevant professional experience including </w:t>
      </w:r>
      <w:r w:rsidR="00BD0562" w:rsidRPr="007C3B9D">
        <w:rPr>
          <w:lang w:val="en-AU"/>
        </w:rPr>
        <w:t>conducting</w:t>
      </w:r>
      <w:r w:rsidRPr="007C3B9D">
        <w:rPr>
          <w:lang w:val="en-AU"/>
        </w:rPr>
        <w:t xml:space="preserve"> independent evaluations of regional development projects or programs. Experience in completing the evaluation of a project or program involving ASEAN is an advantage.  </w:t>
      </w:r>
    </w:p>
    <w:p w14:paraId="14C49BB9" w14:textId="77777777" w:rsidR="00E15175" w:rsidRPr="007C3B9D" w:rsidRDefault="00E15175" w:rsidP="00903D77">
      <w:pPr>
        <w:numPr>
          <w:ilvl w:val="0"/>
          <w:numId w:val="99"/>
        </w:numPr>
        <w:spacing w:after="120" w:line="276" w:lineRule="auto"/>
        <w:jc w:val="both"/>
        <w:rPr>
          <w:lang w:val="en-AU"/>
        </w:rPr>
      </w:pPr>
      <w:r w:rsidRPr="007C3B9D">
        <w:rPr>
          <w:lang w:val="en-AU"/>
        </w:rPr>
        <w:t>Sound knowledge of ASEAN policies, architecture and systems. Knowledge of DFAT aid development and systems is also an advantage.  </w:t>
      </w:r>
    </w:p>
    <w:p w14:paraId="5596C413" w14:textId="77777777" w:rsidR="00E15175" w:rsidRPr="007C3B9D" w:rsidRDefault="00E15175" w:rsidP="00903D77">
      <w:pPr>
        <w:numPr>
          <w:ilvl w:val="0"/>
          <w:numId w:val="100"/>
        </w:numPr>
        <w:spacing w:after="120" w:line="276" w:lineRule="auto"/>
        <w:jc w:val="both"/>
        <w:rPr>
          <w:lang w:val="en-AU"/>
        </w:rPr>
      </w:pPr>
      <w:r w:rsidRPr="007C3B9D">
        <w:rPr>
          <w:lang w:val="en-AU"/>
        </w:rPr>
        <w:t>Extensive knowledge of evaluation methodologies, including qualitative and quantitative data collection, desk review, stakeholder consultations and ability to apply suitable methodologies to answer the evaluation questions.  </w:t>
      </w:r>
    </w:p>
    <w:p w14:paraId="13ECEBC4" w14:textId="77777777" w:rsidR="00E15175" w:rsidRPr="007C3B9D" w:rsidRDefault="00E15175" w:rsidP="00903D77">
      <w:pPr>
        <w:numPr>
          <w:ilvl w:val="0"/>
          <w:numId w:val="101"/>
        </w:numPr>
        <w:spacing w:after="120" w:line="276" w:lineRule="auto"/>
        <w:jc w:val="both"/>
        <w:rPr>
          <w:lang w:val="en-AU"/>
        </w:rPr>
      </w:pPr>
      <w:r w:rsidRPr="007C3B9D">
        <w:rPr>
          <w:lang w:val="en-AU"/>
        </w:rPr>
        <w:t>Sound technical knowledge in evaluating regional or multi-country programs focusing on political security issues.   </w:t>
      </w:r>
    </w:p>
    <w:p w14:paraId="031D7009" w14:textId="77777777" w:rsidR="00E15175" w:rsidRPr="007C3B9D" w:rsidRDefault="00E15175" w:rsidP="00903D77">
      <w:pPr>
        <w:numPr>
          <w:ilvl w:val="0"/>
          <w:numId w:val="102"/>
        </w:numPr>
        <w:spacing w:after="120" w:line="276" w:lineRule="auto"/>
        <w:jc w:val="both"/>
        <w:rPr>
          <w:lang w:val="en-AU"/>
        </w:rPr>
      </w:pPr>
      <w:r w:rsidRPr="007C3B9D">
        <w:rPr>
          <w:lang w:val="en-AU"/>
        </w:rPr>
        <w:t>Excellent interview and analytical skills. Proven experience in conducting data collection with government officials, including through interview or focus group discussion.  </w:t>
      </w:r>
    </w:p>
    <w:p w14:paraId="1B5FB4BB" w14:textId="77777777" w:rsidR="00E15175" w:rsidRPr="007C3B9D" w:rsidRDefault="00E15175" w:rsidP="00903D77">
      <w:pPr>
        <w:numPr>
          <w:ilvl w:val="0"/>
          <w:numId w:val="103"/>
        </w:numPr>
        <w:spacing w:after="120" w:line="276" w:lineRule="auto"/>
        <w:jc w:val="both"/>
        <w:rPr>
          <w:lang w:val="en-AU"/>
        </w:rPr>
      </w:pPr>
      <w:r w:rsidRPr="007C3B9D">
        <w:rPr>
          <w:lang w:val="en-AU"/>
        </w:rPr>
        <w:t>Excellent verbal and written communication skills in English. Ability to write constructive reports and convey complex issues and ideas in easy-to-understand manner.  </w:t>
      </w:r>
    </w:p>
    <w:p w14:paraId="41A52AE6" w14:textId="77777777" w:rsidR="00E15175" w:rsidRPr="007C3B9D" w:rsidRDefault="00E15175" w:rsidP="00903D77">
      <w:pPr>
        <w:numPr>
          <w:ilvl w:val="0"/>
          <w:numId w:val="104"/>
        </w:numPr>
        <w:spacing w:after="120" w:line="276" w:lineRule="auto"/>
        <w:jc w:val="both"/>
        <w:rPr>
          <w:lang w:val="en-AU"/>
        </w:rPr>
      </w:pPr>
      <w:r w:rsidRPr="007C3B9D">
        <w:rPr>
          <w:lang w:val="en-AU"/>
        </w:rPr>
        <w:t>Ability to lead the team toward high quality deliverables and within the agreed timeline.  </w:t>
      </w:r>
    </w:p>
    <w:p w14:paraId="57053795" w14:textId="071EB31D" w:rsidR="00E15175" w:rsidRPr="007C3B9D" w:rsidRDefault="00E15175" w:rsidP="00446C37">
      <w:pPr>
        <w:spacing w:before="240" w:after="120" w:line="276" w:lineRule="auto"/>
        <w:jc w:val="both"/>
        <w:rPr>
          <w:lang w:val="en-AU"/>
        </w:rPr>
      </w:pPr>
      <w:r w:rsidRPr="007C3B9D">
        <w:rPr>
          <w:lang w:val="en-AU"/>
        </w:rPr>
        <w:t>Overall, the team should meet the following criteria:  </w:t>
      </w:r>
    </w:p>
    <w:p w14:paraId="7E322D16" w14:textId="77777777" w:rsidR="00E15175" w:rsidRPr="007C3B9D" w:rsidRDefault="00E15175" w:rsidP="00903D77">
      <w:pPr>
        <w:numPr>
          <w:ilvl w:val="0"/>
          <w:numId w:val="105"/>
        </w:numPr>
        <w:spacing w:after="120" w:line="276" w:lineRule="auto"/>
        <w:jc w:val="both"/>
        <w:rPr>
          <w:lang w:val="en-AU"/>
        </w:rPr>
      </w:pPr>
      <w:r w:rsidRPr="007C3B9D">
        <w:rPr>
          <w:lang w:val="en-AU"/>
        </w:rPr>
        <w:t>Demonstrate M&amp;E skills including practical experience in monitoring and evaluation of regional or multi-country development programs.  </w:t>
      </w:r>
    </w:p>
    <w:p w14:paraId="65F89CA7" w14:textId="77777777" w:rsidR="00E15175" w:rsidRPr="007C3B9D" w:rsidRDefault="00E15175" w:rsidP="00903D77">
      <w:pPr>
        <w:numPr>
          <w:ilvl w:val="0"/>
          <w:numId w:val="106"/>
        </w:numPr>
        <w:spacing w:after="120" w:line="276" w:lineRule="auto"/>
        <w:jc w:val="both"/>
        <w:rPr>
          <w:lang w:val="en-AU"/>
        </w:rPr>
      </w:pPr>
      <w:r w:rsidRPr="007C3B9D">
        <w:rPr>
          <w:lang w:val="en-AU"/>
        </w:rPr>
        <w:t>At least one member should have expertise in evaluating GEDSI aspect of the program. It is expected that the composition of the review team will reflect DFAT’s GEDSI values. </w:t>
      </w:r>
    </w:p>
    <w:p w14:paraId="0D9E8FA8" w14:textId="77777777" w:rsidR="00E15175" w:rsidRPr="007C3B9D" w:rsidRDefault="00E15175" w:rsidP="00903D77">
      <w:pPr>
        <w:numPr>
          <w:ilvl w:val="0"/>
          <w:numId w:val="107"/>
        </w:numPr>
        <w:spacing w:after="120" w:line="276" w:lineRule="auto"/>
        <w:jc w:val="both"/>
        <w:rPr>
          <w:lang w:val="en-AU"/>
        </w:rPr>
      </w:pPr>
      <w:r w:rsidRPr="007C3B9D">
        <w:rPr>
          <w:lang w:val="en-AU"/>
        </w:rPr>
        <w:t>Have a practical and realistic approach to program recommendations. </w:t>
      </w:r>
    </w:p>
    <w:p w14:paraId="16F9E378" w14:textId="77777777" w:rsidR="00E15175" w:rsidRPr="007C3B9D" w:rsidRDefault="00E15175" w:rsidP="00903D77">
      <w:pPr>
        <w:numPr>
          <w:ilvl w:val="0"/>
          <w:numId w:val="108"/>
        </w:numPr>
        <w:spacing w:after="120" w:line="276" w:lineRule="auto"/>
        <w:jc w:val="both"/>
        <w:rPr>
          <w:lang w:val="en-AU"/>
        </w:rPr>
      </w:pPr>
      <w:r w:rsidRPr="007C3B9D">
        <w:rPr>
          <w:lang w:val="en-AU"/>
        </w:rPr>
        <w:t>Previous experience in the evaluation of the development programs of DFAT.  </w:t>
      </w:r>
    </w:p>
    <w:p w14:paraId="0B98385B" w14:textId="77777777" w:rsidR="00E15175" w:rsidRPr="007C3B9D" w:rsidRDefault="00E15175" w:rsidP="00903D77">
      <w:pPr>
        <w:numPr>
          <w:ilvl w:val="0"/>
          <w:numId w:val="109"/>
        </w:numPr>
        <w:spacing w:after="120" w:line="276" w:lineRule="auto"/>
        <w:jc w:val="both"/>
        <w:rPr>
          <w:lang w:val="en-AU"/>
        </w:rPr>
      </w:pPr>
      <w:r w:rsidRPr="007C3B9D">
        <w:rPr>
          <w:lang w:val="en-AU"/>
        </w:rPr>
        <w:t>No prior involvement in the implementation of APSP. Any potential conflict of interest must be disclosed at the time of application.  </w:t>
      </w:r>
    </w:p>
    <w:p w14:paraId="20F0A855" w14:textId="33ABA168" w:rsidR="00E15175" w:rsidRPr="007C3B9D" w:rsidRDefault="00E15175" w:rsidP="00903D77">
      <w:pPr>
        <w:numPr>
          <w:ilvl w:val="0"/>
          <w:numId w:val="110"/>
        </w:numPr>
        <w:spacing w:after="120" w:line="276" w:lineRule="auto"/>
        <w:jc w:val="both"/>
        <w:rPr>
          <w:lang w:val="en-AU"/>
        </w:rPr>
      </w:pPr>
      <w:r w:rsidRPr="007C3B9D">
        <w:rPr>
          <w:lang w:val="en-AU"/>
        </w:rPr>
        <w:t>Ability to ensure the team’s independence throughout the evaluation process to uphold the credibility and impartiality of the evaluation findings. </w:t>
      </w:r>
    </w:p>
    <w:p w14:paraId="1B69E76E" w14:textId="77777777" w:rsidR="00E15175" w:rsidRPr="007C3B9D" w:rsidRDefault="00E15175" w:rsidP="006E0ED4">
      <w:pPr>
        <w:numPr>
          <w:ilvl w:val="0"/>
          <w:numId w:val="111"/>
        </w:numPr>
        <w:spacing w:after="120" w:line="276" w:lineRule="auto"/>
        <w:ind w:hanging="436"/>
        <w:jc w:val="both"/>
        <w:rPr>
          <w:lang w:val="en-AU"/>
        </w:rPr>
      </w:pPr>
      <w:r w:rsidRPr="007C3B9D">
        <w:rPr>
          <w:b/>
          <w:bCs/>
          <w:u w:val="single"/>
          <w:lang w:val="en-AU"/>
        </w:rPr>
        <w:lastRenderedPageBreak/>
        <w:t>Implementation Arrangements and Budget </w:t>
      </w:r>
      <w:r w:rsidRPr="007C3B9D">
        <w:rPr>
          <w:lang w:val="en-AU"/>
        </w:rPr>
        <w:t> </w:t>
      </w:r>
    </w:p>
    <w:p w14:paraId="5BBE85B1" w14:textId="7E5E1F60" w:rsidR="00E15175" w:rsidRPr="007C3B9D" w:rsidRDefault="00E15175" w:rsidP="00903D77">
      <w:pPr>
        <w:spacing w:after="120" w:line="276" w:lineRule="auto"/>
        <w:jc w:val="both"/>
        <w:rPr>
          <w:lang w:val="en-AU"/>
        </w:rPr>
      </w:pPr>
      <w:r w:rsidRPr="007C3B9D">
        <w:rPr>
          <w:lang w:val="en-AU"/>
        </w:rPr>
        <w:t>The implementation of the evaluation of APSP will be jointly managed by DFAT (led by Australian Mission to ASEAN) and TAF (led by TAF Thailand). DFAT and TAF will jointly select the evaluation team and provide guidance to the evaluation team in the conduct of the evaluation. DFAT and TAF will jointly oversee and provide feedback to the outputs of the evaluation team.   </w:t>
      </w:r>
    </w:p>
    <w:p w14:paraId="3BA6EC6A" w14:textId="77777777" w:rsidR="00E15175" w:rsidRPr="007C3B9D" w:rsidRDefault="00E15175" w:rsidP="00903D77">
      <w:pPr>
        <w:spacing w:after="120" w:line="276" w:lineRule="auto"/>
        <w:jc w:val="both"/>
        <w:rPr>
          <w:lang w:val="en-AU"/>
        </w:rPr>
      </w:pPr>
      <w:r w:rsidRPr="007C3B9D">
        <w:rPr>
          <w:lang w:val="en-AU"/>
        </w:rPr>
        <w:t>The external evaluation team will be responsible for delivering the evaluation outputs.  </w:t>
      </w:r>
    </w:p>
    <w:p w14:paraId="5FCED3B7" w14:textId="77777777" w:rsidR="00E15175" w:rsidRPr="007C3B9D" w:rsidRDefault="00E15175" w:rsidP="00903D77">
      <w:pPr>
        <w:spacing w:after="120" w:line="276" w:lineRule="auto"/>
        <w:jc w:val="both"/>
        <w:rPr>
          <w:lang w:val="en-AU"/>
        </w:rPr>
      </w:pPr>
      <w:r w:rsidRPr="007C3B9D">
        <w:rPr>
          <w:lang w:val="en-AU"/>
        </w:rPr>
        <w:t>The evaluation will be funded by APSP.  </w:t>
      </w:r>
    </w:p>
    <w:p w14:paraId="1BC58F83" w14:textId="3A99EEEE" w:rsidR="00E15175" w:rsidRPr="007C3B9D" w:rsidRDefault="00E15175" w:rsidP="00903D77">
      <w:pPr>
        <w:spacing w:after="120" w:line="276" w:lineRule="auto"/>
        <w:jc w:val="center"/>
        <w:rPr>
          <w:lang w:val="en-AU"/>
        </w:rPr>
      </w:pPr>
      <w:r w:rsidRPr="007C3B9D">
        <w:rPr>
          <w:lang w:val="en-AU"/>
        </w:rPr>
        <w:t>……………………………</w:t>
      </w:r>
    </w:p>
    <w:p w14:paraId="47D789C5" w14:textId="086513B3" w:rsidR="00433DBD" w:rsidRPr="007C3B9D" w:rsidRDefault="00E15175" w:rsidP="00903D77">
      <w:pPr>
        <w:pStyle w:val="Heading1"/>
        <w:pBdr>
          <w:bottom w:val="single" w:sz="4" w:space="0" w:color="595959" w:themeColor="text1" w:themeTint="A6"/>
        </w:pBdr>
        <w:spacing w:before="0" w:after="120" w:line="276" w:lineRule="auto"/>
        <w:rPr>
          <w:lang w:val="en-AU"/>
        </w:rPr>
      </w:pPr>
      <w:r w:rsidRPr="007C3B9D">
        <w:rPr>
          <w:lang w:val="en-AU"/>
        </w:rPr>
        <w:br w:type="page"/>
      </w:r>
      <w:bookmarkStart w:id="24" w:name="_Toc206492274"/>
      <w:r w:rsidR="00433DBD" w:rsidRPr="007C3B9D">
        <w:rPr>
          <w:lang w:val="en-AU"/>
        </w:rPr>
        <w:lastRenderedPageBreak/>
        <w:t>Annex 2: Evaluation Matrix</w:t>
      </w:r>
      <w:bookmarkEnd w:id="24"/>
    </w:p>
    <w:p w14:paraId="6457897B" w14:textId="79D1EEEE" w:rsidR="00140690" w:rsidRPr="007C3B9D" w:rsidRDefault="00140690" w:rsidP="00903D77">
      <w:pPr>
        <w:spacing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Notes on judgement criteria (JCs)</w:t>
      </w:r>
    </w:p>
    <w:p w14:paraId="0D421C83" w14:textId="6B8736A8" w:rsidR="00140690" w:rsidRPr="007C3B9D" w:rsidRDefault="00140690" w:rsidP="006E0ED4">
      <w:pPr>
        <w:pStyle w:val="ListParagraph"/>
        <w:numPr>
          <w:ilvl w:val="0"/>
          <w:numId w:val="7"/>
        </w:numPr>
        <w:tabs>
          <w:tab w:val="left" w:pos="1557"/>
        </w:tabs>
        <w:spacing w:after="0" w:line="276" w:lineRule="auto"/>
        <w:contextualSpacing w:val="0"/>
        <w:jc w:val="both"/>
        <w:rPr>
          <w:rFonts w:cstheme="minorHAnsi"/>
          <w:lang w:val="en-AU"/>
        </w:rPr>
      </w:pPr>
      <w:r w:rsidRPr="007C3B9D">
        <w:rPr>
          <w:rFonts w:cstheme="minorHAnsi"/>
          <w:lang w:val="en-AU"/>
        </w:rPr>
        <w:t>The judgement or assessment criteria are not questions</w:t>
      </w:r>
      <w:r w:rsidR="00495029" w:rsidRPr="007C3B9D">
        <w:rPr>
          <w:rFonts w:cstheme="minorHAnsi"/>
          <w:lang w:val="en-AU"/>
        </w:rPr>
        <w:t xml:space="preserve">, </w:t>
      </w:r>
      <w:r w:rsidRPr="007C3B9D">
        <w:rPr>
          <w:rFonts w:cstheme="minorHAnsi"/>
          <w:lang w:val="en-AU"/>
        </w:rPr>
        <w:t xml:space="preserve">they are statements which, if they can be verified </w:t>
      </w:r>
      <w:proofErr w:type="gramStart"/>
      <w:r w:rsidRPr="007C3B9D">
        <w:rPr>
          <w:rFonts w:cstheme="minorHAnsi"/>
          <w:lang w:val="en-AU"/>
        </w:rPr>
        <w:t>on the basis of</w:t>
      </w:r>
      <w:proofErr w:type="gramEnd"/>
      <w:r w:rsidRPr="007C3B9D">
        <w:rPr>
          <w:rFonts w:cstheme="minorHAnsi"/>
          <w:lang w:val="en-AU"/>
        </w:rPr>
        <w:t xml:space="preserve"> evidence, allow for the EQs to be answered positively or negatively.</w:t>
      </w:r>
    </w:p>
    <w:p w14:paraId="3C4C857D" w14:textId="77777777" w:rsidR="00140690" w:rsidRPr="007C3B9D" w:rsidRDefault="00140690" w:rsidP="006E0ED4">
      <w:pPr>
        <w:pStyle w:val="ListParagraph"/>
        <w:numPr>
          <w:ilvl w:val="0"/>
          <w:numId w:val="7"/>
        </w:numPr>
        <w:tabs>
          <w:tab w:val="left" w:pos="1557"/>
        </w:tabs>
        <w:spacing w:after="0" w:line="276" w:lineRule="auto"/>
        <w:contextualSpacing w:val="0"/>
        <w:jc w:val="both"/>
        <w:rPr>
          <w:rFonts w:cstheme="minorHAnsi"/>
          <w:lang w:val="en-AU"/>
        </w:rPr>
      </w:pPr>
      <w:r w:rsidRPr="007C3B9D">
        <w:rPr>
          <w:rFonts w:cstheme="minorHAnsi"/>
          <w:lang w:val="en-AU"/>
        </w:rPr>
        <w:t xml:space="preserve">The JCs should be understood to address GEDSI issues. Although cross-cutting issues are thereby mainstreamed within each evaluation criterion (relevance, effectiveness, etc.); they do not have to be reflected in every JC. </w:t>
      </w:r>
    </w:p>
    <w:p w14:paraId="5EA9D337" w14:textId="77777777" w:rsidR="00140690" w:rsidRPr="007C3B9D" w:rsidRDefault="00140690" w:rsidP="00903D77">
      <w:pPr>
        <w:pStyle w:val="ListParagraph"/>
        <w:numPr>
          <w:ilvl w:val="0"/>
          <w:numId w:val="7"/>
        </w:numPr>
        <w:tabs>
          <w:tab w:val="left" w:pos="1557"/>
        </w:tabs>
        <w:spacing w:after="120" w:line="276" w:lineRule="auto"/>
        <w:contextualSpacing w:val="0"/>
        <w:jc w:val="both"/>
        <w:rPr>
          <w:rFonts w:cstheme="minorHAnsi"/>
          <w:lang w:val="en-AU"/>
        </w:rPr>
      </w:pPr>
      <w:r w:rsidRPr="007C3B9D">
        <w:rPr>
          <w:rFonts w:cstheme="minorHAnsi"/>
          <w:lang w:val="en-AU"/>
        </w:rPr>
        <w:t xml:space="preserve">An EQ may be answered even if not all corresponding ACs may be verified. Conversely, new JCs may emerge </w:t>
      </w:r>
      <w:proofErr w:type="gramStart"/>
      <w:r w:rsidRPr="007C3B9D">
        <w:rPr>
          <w:rFonts w:cstheme="minorHAnsi"/>
          <w:lang w:val="en-AU"/>
        </w:rPr>
        <w:t>in the course of</w:t>
      </w:r>
      <w:proofErr w:type="gramEnd"/>
      <w:r w:rsidRPr="007C3B9D">
        <w:rPr>
          <w:rFonts w:cstheme="minorHAnsi"/>
          <w:lang w:val="en-AU"/>
        </w:rPr>
        <w:t xml:space="preserve"> the evaluation, which help address individual EQs more effectively than those suggested here. These elements will be addressed in the evaluation report.</w:t>
      </w:r>
    </w:p>
    <w:p w14:paraId="381A84E5" w14:textId="77777777" w:rsidR="00140690" w:rsidRPr="007C3B9D" w:rsidRDefault="00140690" w:rsidP="00903D77">
      <w:pPr>
        <w:spacing w:after="120" w:line="276" w:lineRule="auto"/>
        <w:jc w:val="both"/>
        <w:rPr>
          <w:rFonts w:cstheme="minorHAnsi"/>
          <w:i/>
          <w:iCs/>
          <w:color w:val="0F4761" w:themeColor="accent1" w:themeShade="BF"/>
          <w:lang w:val="en-AU"/>
        </w:rPr>
      </w:pPr>
      <w:r w:rsidRPr="007C3B9D">
        <w:rPr>
          <w:rFonts w:cstheme="minorHAnsi"/>
          <w:i/>
          <w:iCs/>
          <w:color w:val="0F4761" w:themeColor="accent1" w:themeShade="BF"/>
          <w:lang w:val="en-AU"/>
        </w:rPr>
        <w:t>Notes on indicators</w:t>
      </w:r>
    </w:p>
    <w:p w14:paraId="6C692758" w14:textId="2EA17492" w:rsidR="00140690" w:rsidRPr="007C3B9D" w:rsidRDefault="00140690" w:rsidP="006E0ED4">
      <w:pPr>
        <w:pStyle w:val="ListParagraph"/>
        <w:numPr>
          <w:ilvl w:val="0"/>
          <w:numId w:val="7"/>
        </w:numPr>
        <w:tabs>
          <w:tab w:val="left" w:pos="1557"/>
        </w:tabs>
        <w:spacing w:after="0" w:line="276" w:lineRule="auto"/>
        <w:contextualSpacing w:val="0"/>
        <w:jc w:val="both"/>
        <w:rPr>
          <w:rFonts w:cstheme="minorHAnsi"/>
          <w:lang w:val="en-AU"/>
        </w:rPr>
      </w:pPr>
      <w:r w:rsidRPr="007C3B9D">
        <w:rPr>
          <w:rFonts w:cstheme="minorHAnsi"/>
          <w:lang w:val="en-AU"/>
        </w:rPr>
        <w:t xml:space="preserve">Whenever possible, the evaluators rely on indicators that are included in the APSP MEL process, to the extent </w:t>
      </w:r>
      <w:r w:rsidR="00495029" w:rsidRPr="007C3B9D">
        <w:rPr>
          <w:rFonts w:cstheme="minorHAnsi"/>
          <w:lang w:val="en-AU"/>
        </w:rPr>
        <w:t xml:space="preserve">that </w:t>
      </w:r>
      <w:r w:rsidRPr="007C3B9D">
        <w:rPr>
          <w:rFonts w:cstheme="minorHAnsi"/>
          <w:lang w:val="en-AU"/>
        </w:rPr>
        <w:t xml:space="preserve">these may help address each EQ and JC. </w:t>
      </w:r>
    </w:p>
    <w:p w14:paraId="1917593A" w14:textId="77777777" w:rsidR="00140690" w:rsidRPr="007C3B9D" w:rsidRDefault="00140690" w:rsidP="006E0ED4">
      <w:pPr>
        <w:pStyle w:val="ListParagraph"/>
        <w:numPr>
          <w:ilvl w:val="0"/>
          <w:numId w:val="7"/>
        </w:numPr>
        <w:tabs>
          <w:tab w:val="left" w:pos="1557"/>
        </w:tabs>
        <w:spacing w:after="0" w:line="276" w:lineRule="auto"/>
        <w:contextualSpacing w:val="0"/>
        <w:jc w:val="both"/>
        <w:rPr>
          <w:rFonts w:cstheme="minorHAnsi"/>
          <w:lang w:val="en-AU"/>
        </w:rPr>
      </w:pPr>
      <w:r w:rsidRPr="007C3B9D">
        <w:rPr>
          <w:rFonts w:cstheme="minorHAnsi"/>
          <w:lang w:val="en-AU"/>
        </w:rPr>
        <w:t>The indicators we propose in this matrix are to be used to complement relevant indicators which appear in APSP’s own MEL reports.</w:t>
      </w:r>
    </w:p>
    <w:p w14:paraId="1ADE7C69" w14:textId="6E7A2F52" w:rsidR="00140690" w:rsidRPr="007C3B9D" w:rsidRDefault="00140690" w:rsidP="00903D77">
      <w:pPr>
        <w:pStyle w:val="ListParagraph"/>
        <w:numPr>
          <w:ilvl w:val="0"/>
          <w:numId w:val="7"/>
        </w:numPr>
        <w:tabs>
          <w:tab w:val="left" w:pos="1557"/>
        </w:tabs>
        <w:spacing w:after="120" w:line="276" w:lineRule="auto"/>
        <w:contextualSpacing w:val="0"/>
        <w:jc w:val="both"/>
        <w:rPr>
          <w:rFonts w:cstheme="minorHAnsi"/>
          <w:lang w:val="en-AU"/>
        </w:rPr>
      </w:pPr>
      <w:r w:rsidRPr="007C3B9D">
        <w:rPr>
          <w:rFonts w:cstheme="minorHAnsi"/>
          <w:lang w:val="en-AU"/>
        </w:rPr>
        <w:t>Indicators are quantitative where possible, and qualitative where this is more illustrative of change fostered by APSP.</w:t>
      </w:r>
    </w:p>
    <w:p w14:paraId="395A7685" w14:textId="77777777" w:rsidR="00140690" w:rsidRPr="006E0ED4" w:rsidRDefault="00140690" w:rsidP="006E0ED4">
      <w:pPr>
        <w:spacing w:after="0" w:line="276" w:lineRule="auto"/>
        <w:rPr>
          <w:rFonts w:cstheme="minorHAnsi"/>
          <w:lang w:val="en-AU"/>
        </w:rPr>
      </w:pPr>
    </w:p>
    <w:p w14:paraId="552B1F10" w14:textId="77777777" w:rsidR="00B12C6B" w:rsidRPr="00B12C6B" w:rsidRDefault="00B12C6B" w:rsidP="00B12C6B">
      <w:pPr>
        <w:pStyle w:val="Tablecontent"/>
        <w:spacing w:after="0" w:line="276" w:lineRule="auto"/>
        <w:rPr>
          <w:rFonts w:asciiTheme="minorHAnsi" w:hAnsiTheme="minorHAnsi" w:cstheme="minorHAnsi"/>
          <w:b/>
          <w:bCs/>
          <w:i/>
          <w:iCs/>
          <w:color w:val="156082" w:themeColor="accent1"/>
          <w:sz w:val="21"/>
          <w:szCs w:val="21"/>
          <w:lang w:val="en-AU"/>
        </w:rPr>
      </w:pPr>
      <w:r w:rsidRPr="00B12C6B">
        <w:rPr>
          <w:rFonts w:asciiTheme="minorHAnsi" w:hAnsiTheme="minorHAnsi" w:cstheme="minorHAnsi"/>
          <w:b/>
          <w:bCs/>
          <w:i/>
          <w:iCs/>
          <w:color w:val="156082" w:themeColor="accent1"/>
          <w:sz w:val="21"/>
          <w:szCs w:val="21"/>
          <w:lang w:val="en-AU"/>
        </w:rPr>
        <w:t>Relevance*</w:t>
      </w:r>
    </w:p>
    <w:p w14:paraId="72539AC7" w14:textId="77777777" w:rsidR="00B12C6B" w:rsidRPr="00B12C6B" w:rsidRDefault="00B12C6B" w:rsidP="00B12C6B">
      <w:pPr>
        <w:pStyle w:val="Tablecontent"/>
        <w:spacing w:after="0" w:line="276" w:lineRule="auto"/>
        <w:rPr>
          <w:rFonts w:asciiTheme="minorHAnsi" w:hAnsiTheme="minorHAnsi" w:cstheme="minorHAnsi"/>
          <w:color w:val="156082" w:themeColor="accent1"/>
          <w:sz w:val="21"/>
          <w:szCs w:val="21"/>
          <w:lang w:val="en-AU"/>
        </w:rPr>
      </w:pPr>
      <w:r w:rsidRPr="00B12C6B">
        <w:rPr>
          <w:rFonts w:asciiTheme="minorHAnsi" w:hAnsiTheme="minorHAnsi" w:cstheme="minorHAnsi"/>
          <w:color w:val="156082" w:themeColor="accent1"/>
          <w:sz w:val="21"/>
          <w:szCs w:val="21"/>
          <w:lang w:val="en-AU"/>
        </w:rPr>
        <w:t>* Taking into consideration APSP outcome EOIO and intermediate outcomes indicators:</w:t>
      </w:r>
    </w:p>
    <w:p w14:paraId="2660E29F" w14:textId="77777777" w:rsidR="00F10080" w:rsidRDefault="00B12C6B" w:rsidP="00B12C6B">
      <w:pPr>
        <w:pStyle w:val="Tablecontent"/>
        <w:numPr>
          <w:ilvl w:val="0"/>
          <w:numId w:val="8"/>
        </w:numPr>
        <w:spacing w:after="0" w:line="276" w:lineRule="auto"/>
        <w:rPr>
          <w:rFonts w:asciiTheme="minorHAnsi" w:hAnsiTheme="minorHAnsi" w:cstheme="minorHAnsi"/>
          <w:color w:val="156082" w:themeColor="accent1"/>
          <w:sz w:val="21"/>
          <w:szCs w:val="21"/>
          <w:lang w:val="en-AU"/>
        </w:rPr>
      </w:pPr>
      <w:r w:rsidRPr="00B12C6B">
        <w:rPr>
          <w:rFonts w:asciiTheme="minorHAnsi" w:hAnsiTheme="minorHAnsi" w:cstheme="minorHAnsi"/>
          <w:color w:val="156082" w:themeColor="accent1"/>
          <w:sz w:val="21"/>
          <w:szCs w:val="21"/>
          <w:lang w:val="en-AU"/>
        </w:rPr>
        <w:t>Indicator for EOIO 1: progress in regular and ad hoc interface between ASEAN and Australian counterparts to exchange ideas to improve program implementation</w:t>
      </w:r>
    </w:p>
    <w:p w14:paraId="2DCE1ADD" w14:textId="18C05A9C" w:rsidR="00140690" w:rsidRPr="00F10080" w:rsidRDefault="00B12C6B" w:rsidP="00B12C6B">
      <w:pPr>
        <w:pStyle w:val="Tablecontent"/>
        <w:numPr>
          <w:ilvl w:val="0"/>
          <w:numId w:val="8"/>
        </w:numPr>
        <w:spacing w:after="0" w:line="276" w:lineRule="auto"/>
        <w:rPr>
          <w:rFonts w:asciiTheme="minorHAnsi" w:hAnsiTheme="minorHAnsi" w:cstheme="minorHAnsi"/>
          <w:color w:val="156082" w:themeColor="accent1"/>
          <w:sz w:val="21"/>
          <w:szCs w:val="21"/>
          <w:lang w:val="en-AU"/>
        </w:rPr>
      </w:pPr>
      <w:r w:rsidRPr="00F10080">
        <w:rPr>
          <w:rFonts w:cstheme="minorHAnsi"/>
          <w:color w:val="156082" w:themeColor="accent1"/>
          <w:lang w:val="en-AU"/>
        </w:rPr>
        <w:t>Indicator for EOIO 2: improved understanding and awareness of ASEAN and stakeholders on GEDSI, cross-sectoral and multi-stakeholder approaches to political security</w:t>
      </w:r>
    </w:p>
    <w:p w14:paraId="55895D4D" w14:textId="00736720" w:rsidR="001879AC" w:rsidRDefault="001879AC" w:rsidP="00903D77">
      <w:pPr>
        <w:spacing w:after="120" w:line="276" w:lineRule="auto"/>
        <w:rPr>
          <w:rFonts w:cstheme="minorHAnsi"/>
          <w:lang w:val="en-AU"/>
        </w:rPr>
      </w:pPr>
    </w:p>
    <w:p w14:paraId="2939B0DD" w14:textId="7D5AF817" w:rsidR="002F75F4" w:rsidRDefault="002F75F4" w:rsidP="00903D77">
      <w:pPr>
        <w:spacing w:after="120" w:line="276" w:lineRule="auto"/>
        <w:rPr>
          <w:rFonts w:cstheme="minorHAnsi"/>
          <w:lang w:val="en-AU"/>
        </w:rPr>
      </w:pPr>
      <w:r w:rsidRPr="006E0ED4">
        <w:rPr>
          <w:rFonts w:cstheme="minorHAnsi"/>
          <w:b/>
          <w:bCs/>
          <w:i/>
          <w:iCs/>
          <w:color w:val="0A2F41" w:themeColor="accent1" w:themeShade="80"/>
          <w:lang w:val="en-AU"/>
        </w:rPr>
        <w:t>EQ1 – How well do the program objectives, activities and approaches address the regional, political and security challenges and priorities within the ASEAN context?</w:t>
      </w:r>
    </w:p>
    <w:tbl>
      <w:tblPr>
        <w:tblStyle w:val="TableGrid"/>
        <w:tblW w:w="0" w:type="auto"/>
        <w:tblLook w:val="0420" w:firstRow="1" w:lastRow="0" w:firstColumn="0" w:lastColumn="0" w:noHBand="0" w:noVBand="1"/>
      </w:tblPr>
      <w:tblGrid>
        <w:gridCol w:w="3005"/>
        <w:gridCol w:w="3005"/>
        <w:gridCol w:w="3006"/>
      </w:tblGrid>
      <w:tr w:rsidR="00F35968" w14:paraId="2C0151CB" w14:textId="77777777" w:rsidTr="004B5A78">
        <w:trPr>
          <w:tblHeader/>
        </w:trPr>
        <w:tc>
          <w:tcPr>
            <w:tcW w:w="3005" w:type="dxa"/>
            <w:shd w:val="clear" w:color="auto" w:fill="45B0E1" w:themeFill="accent1" w:themeFillTint="99"/>
          </w:tcPr>
          <w:p w14:paraId="25DD6D03" w14:textId="763B2938" w:rsidR="00F35968" w:rsidRDefault="00546521" w:rsidP="00903D77">
            <w:pPr>
              <w:spacing w:after="120" w:line="276" w:lineRule="auto"/>
              <w:rPr>
                <w:rFonts w:cstheme="minorHAnsi"/>
                <w:lang w:val="en-AU"/>
              </w:rPr>
            </w:pPr>
            <w:r w:rsidRPr="006E0ED4">
              <w:rPr>
                <w:rFonts w:cstheme="minorHAnsi"/>
                <w:b/>
                <w:bCs/>
                <w:color w:val="0A2F41" w:themeColor="accent1" w:themeShade="80"/>
                <w:lang w:val="en-AU"/>
              </w:rPr>
              <w:t>Judgement Criteria (JCs)</w:t>
            </w:r>
          </w:p>
        </w:tc>
        <w:tc>
          <w:tcPr>
            <w:tcW w:w="3005" w:type="dxa"/>
            <w:shd w:val="clear" w:color="auto" w:fill="45B0E1" w:themeFill="accent1" w:themeFillTint="99"/>
          </w:tcPr>
          <w:p w14:paraId="3AABD0A6" w14:textId="721173EC" w:rsidR="00F35968" w:rsidRDefault="008C3F20" w:rsidP="00903D77">
            <w:pPr>
              <w:spacing w:after="120" w:line="276" w:lineRule="auto"/>
              <w:rPr>
                <w:rFonts w:cstheme="minorHAnsi"/>
                <w:lang w:val="en-AU"/>
              </w:rPr>
            </w:pPr>
            <w:r w:rsidRPr="006E0ED4">
              <w:rPr>
                <w:rFonts w:cstheme="minorHAnsi"/>
                <w:b/>
                <w:bCs/>
                <w:color w:val="0A2F41" w:themeColor="accent1" w:themeShade="80"/>
                <w:lang w:val="en-AU"/>
              </w:rPr>
              <w:t>Indicators / Evidence</w:t>
            </w:r>
          </w:p>
        </w:tc>
        <w:tc>
          <w:tcPr>
            <w:tcW w:w="3006" w:type="dxa"/>
            <w:shd w:val="clear" w:color="auto" w:fill="45B0E1" w:themeFill="accent1" w:themeFillTint="99"/>
          </w:tcPr>
          <w:p w14:paraId="6C7051DC" w14:textId="0163EA30" w:rsidR="00F35968" w:rsidRDefault="008564EC" w:rsidP="00903D77">
            <w:pPr>
              <w:spacing w:after="120" w:line="276" w:lineRule="auto"/>
              <w:rPr>
                <w:rFonts w:cstheme="minorHAnsi"/>
                <w:lang w:val="en-AU"/>
              </w:rPr>
            </w:pPr>
            <w:r w:rsidRPr="006E0ED4">
              <w:rPr>
                <w:rFonts w:cstheme="minorHAnsi"/>
                <w:b/>
                <w:bCs/>
                <w:color w:val="0A2F41" w:themeColor="accent1" w:themeShade="80"/>
                <w:lang w:val="en-AU"/>
              </w:rPr>
              <w:t>Sources of evidence</w:t>
            </w:r>
          </w:p>
        </w:tc>
      </w:tr>
      <w:tr w:rsidR="007E0574" w14:paraId="265B00D4" w14:textId="77777777" w:rsidTr="004B5A78">
        <w:tc>
          <w:tcPr>
            <w:tcW w:w="3005" w:type="dxa"/>
          </w:tcPr>
          <w:p w14:paraId="49ABAFBD" w14:textId="01722C6F" w:rsidR="007E0574" w:rsidRDefault="007E0574" w:rsidP="007E0574">
            <w:pPr>
              <w:spacing w:after="120" w:line="276" w:lineRule="auto"/>
              <w:rPr>
                <w:rFonts w:cstheme="minorHAnsi"/>
                <w:lang w:val="en-AU"/>
              </w:rPr>
            </w:pPr>
            <w:r w:rsidRPr="006E0ED4">
              <w:rPr>
                <w:rFonts w:cstheme="minorHAnsi"/>
                <w:lang w:val="en-AU"/>
              </w:rPr>
              <w:t>JC1.1 The program is based on a sound understanding of ASEAN’s needs and capacities in relation to political security.</w:t>
            </w:r>
          </w:p>
        </w:tc>
        <w:tc>
          <w:tcPr>
            <w:tcW w:w="3005" w:type="dxa"/>
          </w:tcPr>
          <w:p w14:paraId="1704C418" w14:textId="77777777" w:rsidR="007E0574" w:rsidRPr="006E0ED4" w:rsidRDefault="007E0574" w:rsidP="00FC3F16">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Degree to which references are made in APSP documents to Government of Australia and ASEAN policies and political security goals </w:t>
            </w:r>
          </w:p>
          <w:p w14:paraId="615B5CB8" w14:textId="77777777" w:rsidR="007E0574" w:rsidRDefault="007E0574" w:rsidP="006B694A">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Existence of relevant ASEAN-Australia documents such as joint statements, plans of action, etc.</w:t>
            </w:r>
          </w:p>
          <w:p w14:paraId="0F1CCCF9" w14:textId="77777777" w:rsidR="00FF2B58" w:rsidRPr="00FF2B58" w:rsidRDefault="00FF2B58" w:rsidP="00FF2B58">
            <w:pPr>
              <w:pStyle w:val="Tablecontent"/>
              <w:numPr>
                <w:ilvl w:val="0"/>
                <w:numId w:val="9"/>
              </w:numPr>
              <w:spacing w:after="0" w:line="276" w:lineRule="auto"/>
              <w:rPr>
                <w:rFonts w:asciiTheme="minorHAnsi" w:hAnsiTheme="minorHAnsi" w:cstheme="minorHAnsi"/>
                <w:sz w:val="21"/>
                <w:szCs w:val="21"/>
                <w:lang w:val="en-AU"/>
              </w:rPr>
            </w:pPr>
            <w:r w:rsidRPr="00FF2B58">
              <w:rPr>
                <w:rFonts w:asciiTheme="minorHAnsi" w:hAnsiTheme="minorHAnsi" w:cstheme="minorHAnsi"/>
                <w:sz w:val="21"/>
                <w:szCs w:val="21"/>
                <w:lang w:val="en-AU"/>
              </w:rPr>
              <w:lastRenderedPageBreak/>
              <w:t>Evidence of references to broader rule of law, GEDSI, human rights safeguards</w:t>
            </w:r>
          </w:p>
          <w:p w14:paraId="5A81BB14" w14:textId="76E28197" w:rsidR="00FF2B58" w:rsidRPr="006B694A" w:rsidRDefault="00FF2B58" w:rsidP="00FF2B58">
            <w:pPr>
              <w:pStyle w:val="Tablecontent"/>
              <w:numPr>
                <w:ilvl w:val="0"/>
                <w:numId w:val="9"/>
              </w:numPr>
              <w:spacing w:after="0" w:line="276" w:lineRule="auto"/>
              <w:rPr>
                <w:rFonts w:asciiTheme="minorHAnsi" w:hAnsiTheme="minorHAnsi" w:cstheme="minorHAnsi"/>
                <w:sz w:val="21"/>
                <w:szCs w:val="21"/>
                <w:lang w:val="en-AU"/>
              </w:rPr>
            </w:pPr>
            <w:r w:rsidRPr="00FF2B58">
              <w:rPr>
                <w:rFonts w:asciiTheme="minorHAnsi" w:hAnsiTheme="minorHAnsi" w:cstheme="minorHAnsi"/>
                <w:sz w:val="21"/>
                <w:szCs w:val="21"/>
                <w:lang w:val="en-AU"/>
              </w:rPr>
              <w:t>Evidence of ASEAN/partners interest in pursuing cooperation with Australia in relevant areas</w:t>
            </w:r>
            <w:r>
              <w:rPr>
                <w:rFonts w:asciiTheme="minorHAnsi" w:hAnsiTheme="minorHAnsi" w:cstheme="minorHAnsi"/>
                <w:sz w:val="21"/>
                <w:szCs w:val="21"/>
                <w:lang w:val="en-AU"/>
              </w:rPr>
              <w:t xml:space="preserve">. </w:t>
            </w:r>
          </w:p>
        </w:tc>
        <w:tc>
          <w:tcPr>
            <w:tcW w:w="3006" w:type="dxa"/>
          </w:tcPr>
          <w:p w14:paraId="35CCE72F" w14:textId="77777777" w:rsidR="00915C10" w:rsidRPr="006E0ED4" w:rsidRDefault="00915C10"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lastRenderedPageBreak/>
              <w:t xml:space="preserve">APSP original proposal and subsequent revisions; independent reviews </w:t>
            </w:r>
          </w:p>
          <w:p w14:paraId="10CDD623" w14:textId="77777777" w:rsidR="00915C10" w:rsidRPr="006E0ED4" w:rsidRDefault="00915C10"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Baseline studies, when available</w:t>
            </w:r>
          </w:p>
          <w:p w14:paraId="439CAAF2" w14:textId="77777777" w:rsidR="00915C10" w:rsidRPr="006E0ED4" w:rsidRDefault="00915C10"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Communications between DFAT and TAF</w:t>
            </w:r>
          </w:p>
          <w:p w14:paraId="6C56E286" w14:textId="77777777" w:rsidR="00915C10" w:rsidRPr="006E0ED4" w:rsidRDefault="00915C10"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Annual, semi-annual progress reports </w:t>
            </w:r>
          </w:p>
          <w:p w14:paraId="5C3D1C00" w14:textId="77777777" w:rsidR="00915C10" w:rsidRDefault="00915C10"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After Action Reports and assessments</w:t>
            </w:r>
          </w:p>
          <w:p w14:paraId="081C537A" w14:textId="77777777" w:rsidR="00BD7355" w:rsidRPr="006E0ED4" w:rsidRDefault="00BD7355"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lastRenderedPageBreak/>
              <w:t>Activity reports by other ASEAN, Australian partners</w:t>
            </w:r>
          </w:p>
          <w:p w14:paraId="41BB251E" w14:textId="77777777" w:rsidR="00BD7355" w:rsidRPr="006E0ED4" w:rsidRDefault="00BD7355"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Strategy documents issued by other relevant development partners, UN agencies, development banks, etc. </w:t>
            </w:r>
          </w:p>
          <w:p w14:paraId="438BD9C6" w14:textId="77777777" w:rsidR="00BD7355" w:rsidRPr="006E0ED4" w:rsidRDefault="00BD7355"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Other APSP documentation (reports of visits, notes of management meetings, etc.)</w:t>
            </w:r>
          </w:p>
          <w:p w14:paraId="672E4DA7" w14:textId="77777777" w:rsidR="00BD7355" w:rsidRPr="006E0ED4" w:rsidRDefault="00BD7355"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Documentation about activities (e.g. training curricula, public statements, news releases, etc.)</w:t>
            </w:r>
          </w:p>
          <w:p w14:paraId="7665FFDE" w14:textId="77777777" w:rsidR="00BD7355" w:rsidRPr="006E0ED4" w:rsidRDefault="00BD7355"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Research on political security topics by relevant national and international think-tanks </w:t>
            </w:r>
          </w:p>
          <w:p w14:paraId="4215DFAF" w14:textId="77777777" w:rsidR="00BD7355" w:rsidRPr="006E0ED4" w:rsidRDefault="00BD7355"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Reports by human rights organisations</w:t>
            </w:r>
          </w:p>
          <w:p w14:paraId="5C33161D" w14:textId="77777777" w:rsidR="00BD7355" w:rsidRPr="006E0ED4" w:rsidRDefault="00BD7355"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Interviews with stakeholders </w:t>
            </w:r>
          </w:p>
          <w:p w14:paraId="1F94ED61" w14:textId="2EE432B3" w:rsidR="00BD7355" w:rsidRDefault="00BD7355" w:rsidP="00BD7355">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Focus group discussions with relevant program stakeholders</w:t>
            </w:r>
          </w:p>
          <w:p w14:paraId="3DF2CACD" w14:textId="77777777" w:rsidR="007E0574" w:rsidRDefault="007E0574" w:rsidP="00D553FF">
            <w:pPr>
              <w:pStyle w:val="Tablecontent"/>
              <w:spacing w:after="0" w:line="276" w:lineRule="auto"/>
              <w:rPr>
                <w:rFonts w:cstheme="minorHAnsi"/>
                <w:lang w:val="en-AU"/>
              </w:rPr>
            </w:pPr>
          </w:p>
        </w:tc>
      </w:tr>
      <w:tr w:rsidR="007E0574" w14:paraId="4FCBD2F9" w14:textId="77777777" w:rsidTr="004B5A78">
        <w:tc>
          <w:tcPr>
            <w:tcW w:w="3005" w:type="dxa"/>
          </w:tcPr>
          <w:p w14:paraId="44108871" w14:textId="78A0240D" w:rsidR="007E0574" w:rsidRDefault="00C950EE" w:rsidP="007E0574">
            <w:pPr>
              <w:spacing w:after="120" w:line="276" w:lineRule="auto"/>
              <w:rPr>
                <w:rFonts w:cstheme="minorHAnsi"/>
                <w:lang w:val="en-AU"/>
              </w:rPr>
            </w:pPr>
            <w:r w:rsidRPr="006E0ED4">
              <w:rPr>
                <w:rFonts w:cstheme="minorHAnsi"/>
                <w:lang w:val="en-AU"/>
              </w:rPr>
              <w:lastRenderedPageBreak/>
              <w:t>JC1.2 The program, including its four target areas, is aligned with Australia’s and ASEAN’s policies and priorities.</w:t>
            </w:r>
          </w:p>
        </w:tc>
        <w:tc>
          <w:tcPr>
            <w:tcW w:w="3005" w:type="dxa"/>
          </w:tcPr>
          <w:p w14:paraId="494F3DDA" w14:textId="65688DAF" w:rsidR="007E0574" w:rsidRPr="004D49D6" w:rsidRDefault="004D49D6" w:rsidP="007E0574">
            <w:pPr>
              <w:spacing w:after="120" w:line="276" w:lineRule="auto"/>
              <w:rPr>
                <w:rFonts w:cstheme="minorHAnsi"/>
                <w:i/>
                <w:iCs/>
                <w:lang w:val="en-AU"/>
              </w:rPr>
            </w:pPr>
            <w:r w:rsidRPr="004D49D6">
              <w:rPr>
                <w:rFonts w:cstheme="minorHAnsi"/>
                <w:i/>
                <w:iCs/>
                <w:lang w:val="en-AU"/>
              </w:rPr>
              <w:t xml:space="preserve">Same as above </w:t>
            </w:r>
          </w:p>
        </w:tc>
        <w:tc>
          <w:tcPr>
            <w:tcW w:w="3006" w:type="dxa"/>
          </w:tcPr>
          <w:p w14:paraId="0004B621" w14:textId="7CBCB9F0" w:rsidR="007E0574" w:rsidRPr="00915C10" w:rsidRDefault="00915C10" w:rsidP="007E0574">
            <w:pPr>
              <w:spacing w:after="120" w:line="276" w:lineRule="auto"/>
              <w:rPr>
                <w:rFonts w:cstheme="minorHAnsi"/>
                <w:i/>
                <w:iCs/>
                <w:lang w:val="en-AU"/>
              </w:rPr>
            </w:pPr>
            <w:r w:rsidRPr="00915C10">
              <w:rPr>
                <w:rFonts w:cstheme="minorHAnsi"/>
                <w:i/>
                <w:iCs/>
                <w:lang w:val="en-AU"/>
              </w:rPr>
              <w:t xml:space="preserve">Same as above </w:t>
            </w:r>
          </w:p>
        </w:tc>
      </w:tr>
      <w:tr w:rsidR="007E0574" w14:paraId="20A46F02" w14:textId="77777777" w:rsidTr="004B5A78">
        <w:tc>
          <w:tcPr>
            <w:tcW w:w="3005" w:type="dxa"/>
          </w:tcPr>
          <w:p w14:paraId="59698322" w14:textId="22D69153" w:rsidR="007E0574" w:rsidRDefault="00A3538E" w:rsidP="007E0574">
            <w:pPr>
              <w:spacing w:after="120" w:line="276" w:lineRule="auto"/>
              <w:rPr>
                <w:rFonts w:cstheme="minorHAnsi"/>
                <w:lang w:val="en-AU"/>
              </w:rPr>
            </w:pPr>
            <w:r w:rsidRPr="006E0ED4">
              <w:rPr>
                <w:rFonts w:cstheme="minorHAnsi"/>
                <w:lang w:val="en-AU"/>
              </w:rPr>
              <w:t>JC1.3 The program forms a sound basis for continued/future engagement with ASEAN and its partners.</w:t>
            </w:r>
          </w:p>
        </w:tc>
        <w:tc>
          <w:tcPr>
            <w:tcW w:w="3005" w:type="dxa"/>
          </w:tcPr>
          <w:p w14:paraId="3FD88D89" w14:textId="1097ABF6" w:rsidR="007E0574" w:rsidRPr="004D49D6" w:rsidRDefault="004D49D6" w:rsidP="007E0574">
            <w:pPr>
              <w:spacing w:after="120" w:line="276" w:lineRule="auto"/>
              <w:rPr>
                <w:rFonts w:cstheme="minorHAnsi"/>
                <w:i/>
                <w:iCs/>
                <w:lang w:val="en-AU"/>
              </w:rPr>
            </w:pPr>
            <w:r w:rsidRPr="004D49D6">
              <w:rPr>
                <w:rFonts w:cstheme="minorHAnsi"/>
                <w:i/>
                <w:iCs/>
                <w:lang w:val="en-AU"/>
              </w:rPr>
              <w:t xml:space="preserve">Same as above </w:t>
            </w:r>
          </w:p>
        </w:tc>
        <w:tc>
          <w:tcPr>
            <w:tcW w:w="3006" w:type="dxa"/>
          </w:tcPr>
          <w:p w14:paraId="71BAA6F8" w14:textId="38F4BF83" w:rsidR="007E0574" w:rsidRPr="00915C10" w:rsidRDefault="00915C10" w:rsidP="007E0574">
            <w:pPr>
              <w:spacing w:after="120" w:line="276" w:lineRule="auto"/>
              <w:rPr>
                <w:rFonts w:cstheme="minorHAnsi"/>
                <w:i/>
                <w:iCs/>
                <w:lang w:val="en-AU"/>
              </w:rPr>
            </w:pPr>
            <w:r w:rsidRPr="00915C10">
              <w:rPr>
                <w:rFonts w:cstheme="minorHAnsi"/>
                <w:i/>
                <w:iCs/>
                <w:lang w:val="en-AU"/>
              </w:rPr>
              <w:t xml:space="preserve">Same as above </w:t>
            </w:r>
          </w:p>
        </w:tc>
      </w:tr>
    </w:tbl>
    <w:p w14:paraId="1106D9DD" w14:textId="77777777" w:rsidR="002F75F4" w:rsidRDefault="002F75F4" w:rsidP="00903D77">
      <w:pPr>
        <w:spacing w:after="120" w:line="276" w:lineRule="auto"/>
        <w:rPr>
          <w:rFonts w:cstheme="minorHAnsi"/>
          <w:lang w:val="en-AU"/>
        </w:rPr>
      </w:pPr>
    </w:p>
    <w:p w14:paraId="3F9067EC" w14:textId="21EF9610" w:rsidR="0013242F" w:rsidRDefault="0013242F" w:rsidP="00903D77">
      <w:pPr>
        <w:spacing w:after="120" w:line="276" w:lineRule="auto"/>
        <w:rPr>
          <w:rFonts w:cstheme="minorHAnsi"/>
          <w:b/>
          <w:bCs/>
          <w:i/>
          <w:iCs/>
          <w:color w:val="0A2F41" w:themeColor="accent1" w:themeShade="80"/>
          <w:lang w:val="en-AU"/>
        </w:rPr>
      </w:pPr>
      <w:r w:rsidRPr="006E0ED4">
        <w:rPr>
          <w:rFonts w:cstheme="minorHAnsi"/>
          <w:b/>
          <w:bCs/>
          <w:i/>
          <w:iCs/>
          <w:color w:val="0A2F41" w:themeColor="accent1" w:themeShade="80"/>
          <w:lang w:val="en-AU"/>
        </w:rPr>
        <w:t>EQ2 – Has the program provided opportunities for engagement and knowledge exchange between ASEAN and Australian agencies and organisations working on political-security issues?</w:t>
      </w:r>
    </w:p>
    <w:tbl>
      <w:tblPr>
        <w:tblStyle w:val="TableGrid"/>
        <w:tblW w:w="0" w:type="auto"/>
        <w:tblLook w:val="0420" w:firstRow="1" w:lastRow="0" w:firstColumn="0" w:lastColumn="0" w:noHBand="0" w:noVBand="1"/>
      </w:tblPr>
      <w:tblGrid>
        <w:gridCol w:w="3005"/>
        <w:gridCol w:w="3005"/>
        <w:gridCol w:w="3006"/>
      </w:tblGrid>
      <w:tr w:rsidR="004B5A78" w14:paraId="29A4AC11" w14:textId="77777777" w:rsidTr="004811C8">
        <w:trPr>
          <w:tblHeader/>
        </w:trPr>
        <w:tc>
          <w:tcPr>
            <w:tcW w:w="3005" w:type="dxa"/>
            <w:shd w:val="clear" w:color="auto" w:fill="45B0E1" w:themeFill="accent1" w:themeFillTint="99"/>
          </w:tcPr>
          <w:p w14:paraId="109DCFB8" w14:textId="77777777" w:rsidR="004B5A78" w:rsidRDefault="004B5A78" w:rsidP="004811C8">
            <w:pPr>
              <w:spacing w:after="120" w:line="276" w:lineRule="auto"/>
              <w:rPr>
                <w:rFonts w:cstheme="minorHAnsi"/>
                <w:lang w:val="en-AU"/>
              </w:rPr>
            </w:pPr>
            <w:r w:rsidRPr="006E0ED4">
              <w:rPr>
                <w:rFonts w:cstheme="minorHAnsi"/>
                <w:b/>
                <w:bCs/>
                <w:color w:val="0A2F41" w:themeColor="accent1" w:themeShade="80"/>
                <w:lang w:val="en-AU"/>
              </w:rPr>
              <w:lastRenderedPageBreak/>
              <w:t>Judgement Criteria (JCs)</w:t>
            </w:r>
          </w:p>
        </w:tc>
        <w:tc>
          <w:tcPr>
            <w:tcW w:w="3005" w:type="dxa"/>
            <w:shd w:val="clear" w:color="auto" w:fill="45B0E1" w:themeFill="accent1" w:themeFillTint="99"/>
          </w:tcPr>
          <w:p w14:paraId="1136713B" w14:textId="77777777" w:rsidR="004B5A78" w:rsidRDefault="004B5A78" w:rsidP="004811C8">
            <w:pPr>
              <w:spacing w:after="120" w:line="276" w:lineRule="auto"/>
              <w:rPr>
                <w:rFonts w:cstheme="minorHAnsi"/>
                <w:lang w:val="en-AU"/>
              </w:rPr>
            </w:pPr>
            <w:r w:rsidRPr="006E0ED4">
              <w:rPr>
                <w:rFonts w:cstheme="minorHAnsi"/>
                <w:b/>
                <w:bCs/>
                <w:color w:val="0A2F41" w:themeColor="accent1" w:themeShade="80"/>
                <w:lang w:val="en-AU"/>
              </w:rPr>
              <w:t>Indicators / Evidence</w:t>
            </w:r>
          </w:p>
        </w:tc>
        <w:tc>
          <w:tcPr>
            <w:tcW w:w="3006" w:type="dxa"/>
            <w:shd w:val="clear" w:color="auto" w:fill="45B0E1" w:themeFill="accent1" w:themeFillTint="99"/>
          </w:tcPr>
          <w:p w14:paraId="70A29E6D" w14:textId="77777777" w:rsidR="004B5A78" w:rsidRDefault="004B5A78" w:rsidP="004811C8">
            <w:pPr>
              <w:spacing w:after="120" w:line="276" w:lineRule="auto"/>
              <w:rPr>
                <w:rFonts w:cstheme="minorHAnsi"/>
                <w:lang w:val="en-AU"/>
              </w:rPr>
            </w:pPr>
            <w:r w:rsidRPr="006E0ED4">
              <w:rPr>
                <w:rFonts w:cstheme="minorHAnsi"/>
                <w:b/>
                <w:bCs/>
                <w:color w:val="0A2F41" w:themeColor="accent1" w:themeShade="80"/>
                <w:lang w:val="en-AU"/>
              </w:rPr>
              <w:t>Sources of evidence</w:t>
            </w:r>
          </w:p>
        </w:tc>
      </w:tr>
      <w:tr w:rsidR="004B5A78" w14:paraId="1DEC4CDA" w14:textId="77777777" w:rsidTr="004811C8">
        <w:tc>
          <w:tcPr>
            <w:tcW w:w="3005" w:type="dxa"/>
          </w:tcPr>
          <w:p w14:paraId="2D69D461" w14:textId="3EF8E5C2" w:rsidR="004B5A78" w:rsidRDefault="00586441" w:rsidP="004811C8">
            <w:pPr>
              <w:spacing w:after="120" w:line="276" w:lineRule="auto"/>
              <w:rPr>
                <w:rFonts w:cstheme="minorHAnsi"/>
                <w:lang w:val="en-AU"/>
              </w:rPr>
            </w:pPr>
            <w:r w:rsidRPr="006E0ED4">
              <w:rPr>
                <w:rFonts w:cstheme="minorHAnsi"/>
                <w:lang w:val="en-AU"/>
              </w:rPr>
              <w:t>JC2.1 The program engages a growing range of agencies and organisations in Australia and ASEAN, including ASEAN sectoral bodies/mechanisms; ASEAN Secretariat; ASEAN institute; ASEAN Member States that serve as chair or leader/lead shepherd in areas relevant to APSP.</w:t>
            </w:r>
          </w:p>
        </w:tc>
        <w:tc>
          <w:tcPr>
            <w:tcW w:w="3005" w:type="dxa"/>
          </w:tcPr>
          <w:p w14:paraId="62D049CB" w14:textId="77777777" w:rsidR="00902A63" w:rsidRPr="006E0ED4" w:rsidRDefault="004B5A78" w:rsidP="00902A63">
            <w:pPr>
              <w:pStyle w:val="Tablecontent"/>
              <w:numPr>
                <w:ilvl w:val="0"/>
                <w:numId w:val="11"/>
              </w:numPr>
              <w:spacing w:after="0" w:line="276" w:lineRule="auto"/>
              <w:ind w:left="350"/>
              <w:rPr>
                <w:rFonts w:asciiTheme="minorHAnsi" w:hAnsiTheme="minorHAnsi" w:cstheme="minorHAnsi"/>
                <w:sz w:val="21"/>
                <w:szCs w:val="21"/>
                <w:lang w:val="en-AU"/>
              </w:rPr>
            </w:pPr>
            <w:r>
              <w:rPr>
                <w:rFonts w:asciiTheme="minorHAnsi" w:hAnsiTheme="minorHAnsi" w:cstheme="minorHAnsi"/>
                <w:sz w:val="21"/>
                <w:szCs w:val="21"/>
                <w:lang w:val="en-AU"/>
              </w:rPr>
              <w:t xml:space="preserve"> </w:t>
            </w:r>
            <w:r w:rsidR="00902A63" w:rsidRPr="006E0ED4">
              <w:rPr>
                <w:rFonts w:asciiTheme="minorHAnsi" w:hAnsiTheme="minorHAnsi" w:cstheme="minorHAnsi"/>
                <w:sz w:val="21"/>
                <w:szCs w:val="21"/>
                <w:lang w:val="en-AU"/>
              </w:rPr>
              <w:t>Extent to which APSP documents refer to good practices in security cooperation</w:t>
            </w:r>
          </w:p>
          <w:p w14:paraId="6BABD632" w14:textId="77777777" w:rsidR="00902A63" w:rsidRPr="006E0ED4" w:rsidRDefault="00902A63" w:rsidP="00902A63">
            <w:pPr>
              <w:pStyle w:val="Tablecontent"/>
              <w:numPr>
                <w:ilvl w:val="0"/>
                <w:numId w:val="11"/>
              </w:numPr>
              <w:spacing w:after="0" w:line="276" w:lineRule="auto"/>
              <w:ind w:left="350"/>
              <w:rPr>
                <w:rFonts w:asciiTheme="minorHAnsi" w:hAnsiTheme="minorHAnsi" w:cstheme="minorHAnsi"/>
                <w:sz w:val="21"/>
                <w:szCs w:val="21"/>
                <w:lang w:val="en-AU"/>
              </w:rPr>
            </w:pPr>
            <w:r w:rsidRPr="006E0ED4">
              <w:rPr>
                <w:rFonts w:asciiTheme="minorHAnsi" w:hAnsiTheme="minorHAnsi" w:cstheme="minorHAnsi"/>
                <w:sz w:val="21"/>
                <w:szCs w:val="21"/>
                <w:lang w:val="en-AU"/>
              </w:rPr>
              <w:t>Extent of references to appropriate body of research in APSP publications, training curricula, etc.</w:t>
            </w:r>
          </w:p>
          <w:p w14:paraId="3A453A1F" w14:textId="77777777" w:rsidR="00902A63" w:rsidRPr="006E0ED4" w:rsidRDefault="00902A63" w:rsidP="00902A63">
            <w:pPr>
              <w:pStyle w:val="Tablecontent"/>
              <w:numPr>
                <w:ilvl w:val="0"/>
                <w:numId w:val="11"/>
              </w:numPr>
              <w:spacing w:after="0" w:line="276" w:lineRule="auto"/>
              <w:ind w:left="350"/>
              <w:rPr>
                <w:rFonts w:asciiTheme="minorHAnsi" w:hAnsiTheme="minorHAnsi" w:cstheme="minorHAnsi"/>
                <w:sz w:val="21"/>
                <w:szCs w:val="21"/>
                <w:lang w:val="en-AU"/>
              </w:rPr>
            </w:pPr>
            <w:r w:rsidRPr="006E0ED4">
              <w:rPr>
                <w:rFonts w:asciiTheme="minorHAnsi" w:hAnsiTheme="minorHAnsi" w:cstheme="minorHAnsi"/>
                <w:sz w:val="21"/>
                <w:szCs w:val="21"/>
                <w:lang w:val="en-AU"/>
              </w:rPr>
              <w:t>Extent to which APSP’s theory of change reflects problem description</w:t>
            </w:r>
          </w:p>
          <w:p w14:paraId="0CD377C7" w14:textId="77777777" w:rsidR="00902A63" w:rsidRPr="006E0ED4" w:rsidRDefault="00902A63" w:rsidP="00902A63">
            <w:pPr>
              <w:pStyle w:val="Tablecontent"/>
              <w:numPr>
                <w:ilvl w:val="0"/>
                <w:numId w:val="11"/>
              </w:numPr>
              <w:spacing w:after="0" w:line="276" w:lineRule="auto"/>
              <w:ind w:left="350"/>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local partner selection based on this approach</w:t>
            </w:r>
          </w:p>
          <w:p w14:paraId="39DC52F5" w14:textId="27A6CFD5" w:rsidR="004B5A78" w:rsidRPr="006B694A" w:rsidRDefault="00902A63" w:rsidP="00902A63">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stakeholders’ buy-in for APSP’s aims and objectives.</w:t>
            </w:r>
          </w:p>
        </w:tc>
        <w:tc>
          <w:tcPr>
            <w:tcW w:w="3006" w:type="dxa"/>
          </w:tcPr>
          <w:p w14:paraId="5467517A"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APSP original proposal and subsequent revisions; independent reviews </w:t>
            </w:r>
          </w:p>
          <w:p w14:paraId="1AAD924F"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Baseline studies, when available</w:t>
            </w:r>
          </w:p>
          <w:p w14:paraId="0FD2A423"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Communications between DFAT and TAF</w:t>
            </w:r>
          </w:p>
          <w:p w14:paraId="1EEF987A"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Annual, semi-annual progress reports </w:t>
            </w:r>
          </w:p>
          <w:p w14:paraId="68B937EA" w14:textId="77777777" w:rsidR="004B5A78"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After Action Reports and assessments</w:t>
            </w:r>
          </w:p>
          <w:p w14:paraId="24A303AC"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Activity reports by other ASEAN, Australian partners</w:t>
            </w:r>
          </w:p>
          <w:p w14:paraId="1CD09409"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Strategy documents issued by other relevant development partners, UN agencies, development banks, etc. </w:t>
            </w:r>
          </w:p>
          <w:p w14:paraId="08CBD9BE"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Other APSP documentation (reports of visits, notes of management meetings, etc.)</w:t>
            </w:r>
          </w:p>
          <w:p w14:paraId="0F6CF18B"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Documentation about activities (e.g. training curricula, public statements, news releases, etc.)</w:t>
            </w:r>
          </w:p>
          <w:p w14:paraId="617B18B7"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Research on political security topics by relevant national and international think-tanks </w:t>
            </w:r>
          </w:p>
          <w:p w14:paraId="4A701FAA"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Reports by human rights organisations</w:t>
            </w:r>
          </w:p>
          <w:p w14:paraId="4A7B87E9" w14:textId="77777777" w:rsidR="004B5A78" w:rsidRPr="006E0ED4"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Interviews with stakeholders </w:t>
            </w:r>
          </w:p>
          <w:p w14:paraId="0019D69B" w14:textId="77777777" w:rsidR="004B5A78" w:rsidRDefault="004B5A78" w:rsidP="004811C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Focus group discussions with relevant program stakeholders</w:t>
            </w:r>
          </w:p>
          <w:p w14:paraId="7A4AAD6E" w14:textId="77777777" w:rsidR="004B5A78" w:rsidRDefault="004B5A78" w:rsidP="004811C8">
            <w:pPr>
              <w:pStyle w:val="Tablecontent"/>
              <w:spacing w:after="0" w:line="276" w:lineRule="auto"/>
              <w:rPr>
                <w:rFonts w:cstheme="minorHAnsi"/>
                <w:lang w:val="en-AU"/>
              </w:rPr>
            </w:pPr>
          </w:p>
        </w:tc>
      </w:tr>
      <w:tr w:rsidR="004B5A78" w14:paraId="4DE5FF56" w14:textId="77777777" w:rsidTr="004811C8">
        <w:tc>
          <w:tcPr>
            <w:tcW w:w="3005" w:type="dxa"/>
          </w:tcPr>
          <w:p w14:paraId="0D4CFA13" w14:textId="1107FB23" w:rsidR="004B5A78" w:rsidRDefault="00641199" w:rsidP="004811C8">
            <w:pPr>
              <w:spacing w:after="120" w:line="276" w:lineRule="auto"/>
              <w:rPr>
                <w:rFonts w:cstheme="minorHAnsi"/>
                <w:lang w:val="en-AU"/>
              </w:rPr>
            </w:pPr>
            <w:r w:rsidRPr="006E0ED4">
              <w:rPr>
                <w:rFonts w:cstheme="minorHAnsi"/>
                <w:lang w:val="en-AU"/>
              </w:rPr>
              <w:t xml:space="preserve">JC2.2 Australian and ASEAN participants recognise the reciprocal dimension of </w:t>
            </w:r>
            <w:r w:rsidRPr="006E0ED4">
              <w:rPr>
                <w:rFonts w:cstheme="minorHAnsi"/>
                <w:lang w:val="en-AU"/>
              </w:rPr>
              <w:lastRenderedPageBreak/>
              <w:t>learning and knowledge exchange.</w:t>
            </w:r>
          </w:p>
        </w:tc>
        <w:tc>
          <w:tcPr>
            <w:tcW w:w="3005" w:type="dxa"/>
          </w:tcPr>
          <w:p w14:paraId="5D226B30" w14:textId="77777777" w:rsidR="004B5A78" w:rsidRPr="004D49D6" w:rsidRDefault="004B5A78" w:rsidP="004811C8">
            <w:pPr>
              <w:spacing w:after="120" w:line="276" w:lineRule="auto"/>
              <w:rPr>
                <w:rFonts w:cstheme="minorHAnsi"/>
                <w:i/>
                <w:iCs/>
                <w:lang w:val="en-AU"/>
              </w:rPr>
            </w:pPr>
            <w:r w:rsidRPr="004D49D6">
              <w:rPr>
                <w:rFonts w:cstheme="minorHAnsi"/>
                <w:i/>
                <w:iCs/>
                <w:lang w:val="en-AU"/>
              </w:rPr>
              <w:lastRenderedPageBreak/>
              <w:t xml:space="preserve">Same as above </w:t>
            </w:r>
          </w:p>
        </w:tc>
        <w:tc>
          <w:tcPr>
            <w:tcW w:w="3006" w:type="dxa"/>
          </w:tcPr>
          <w:p w14:paraId="0C770ACD" w14:textId="77777777" w:rsidR="004B5A78" w:rsidRPr="00915C10" w:rsidRDefault="004B5A78" w:rsidP="004811C8">
            <w:pPr>
              <w:spacing w:after="120" w:line="276" w:lineRule="auto"/>
              <w:rPr>
                <w:rFonts w:cstheme="minorHAnsi"/>
                <w:i/>
                <w:iCs/>
                <w:lang w:val="en-AU"/>
              </w:rPr>
            </w:pPr>
            <w:r w:rsidRPr="00915C10">
              <w:rPr>
                <w:rFonts w:cstheme="minorHAnsi"/>
                <w:i/>
                <w:iCs/>
                <w:lang w:val="en-AU"/>
              </w:rPr>
              <w:t xml:space="preserve">Same as above </w:t>
            </w:r>
          </w:p>
        </w:tc>
      </w:tr>
    </w:tbl>
    <w:p w14:paraId="450627FE" w14:textId="421EC107" w:rsidR="0013242F" w:rsidRDefault="002B50F3" w:rsidP="00903D77">
      <w:pPr>
        <w:spacing w:after="120" w:line="276" w:lineRule="auto"/>
        <w:rPr>
          <w:rFonts w:cstheme="minorHAnsi"/>
          <w:b/>
          <w:bCs/>
          <w:i/>
          <w:iCs/>
          <w:color w:val="156082" w:themeColor="accent1"/>
          <w:lang w:val="en-AU"/>
        </w:rPr>
      </w:pPr>
      <w:r w:rsidRPr="002B50F3">
        <w:rPr>
          <w:rFonts w:cstheme="minorHAnsi"/>
          <w:b/>
          <w:bCs/>
          <w:i/>
          <w:iCs/>
          <w:color w:val="156082" w:themeColor="accent1"/>
          <w:lang w:val="en-AU"/>
        </w:rPr>
        <w:t>Efficiency</w:t>
      </w:r>
    </w:p>
    <w:p w14:paraId="49F7B54A" w14:textId="07C10EFF" w:rsidR="00DF78A3" w:rsidRDefault="00DF78A3" w:rsidP="00903D77">
      <w:pPr>
        <w:spacing w:after="120" w:line="276" w:lineRule="auto"/>
        <w:rPr>
          <w:rFonts w:cstheme="minorHAnsi"/>
          <w:b/>
          <w:bCs/>
          <w:i/>
          <w:iCs/>
          <w:color w:val="156082" w:themeColor="accent1"/>
          <w:lang w:val="en-AU"/>
        </w:rPr>
      </w:pPr>
      <w:r w:rsidRPr="006E0ED4">
        <w:rPr>
          <w:rFonts w:cstheme="minorHAnsi"/>
          <w:b/>
          <w:bCs/>
          <w:i/>
          <w:iCs/>
          <w:color w:val="0A2F41" w:themeColor="accent1" w:themeShade="80"/>
          <w:lang w:val="en-AU"/>
        </w:rPr>
        <w:t>EQ3 – How well and efficient were the resources allocated to support ASEAN and Australia priorities and cross-sectoral and multi-sectoral approaches in program implementation?</w:t>
      </w:r>
    </w:p>
    <w:tbl>
      <w:tblPr>
        <w:tblStyle w:val="TableGrid"/>
        <w:tblW w:w="0" w:type="auto"/>
        <w:tblLook w:val="0420" w:firstRow="1" w:lastRow="0" w:firstColumn="0" w:lastColumn="0" w:noHBand="0" w:noVBand="1"/>
      </w:tblPr>
      <w:tblGrid>
        <w:gridCol w:w="3005"/>
        <w:gridCol w:w="3005"/>
        <w:gridCol w:w="3006"/>
      </w:tblGrid>
      <w:tr w:rsidR="00DF78A3" w14:paraId="416DC442" w14:textId="77777777" w:rsidTr="004811C8">
        <w:trPr>
          <w:tblHeader/>
        </w:trPr>
        <w:tc>
          <w:tcPr>
            <w:tcW w:w="3005" w:type="dxa"/>
            <w:shd w:val="clear" w:color="auto" w:fill="45B0E1" w:themeFill="accent1" w:themeFillTint="99"/>
          </w:tcPr>
          <w:p w14:paraId="00F29AAA" w14:textId="77777777" w:rsidR="00DF78A3" w:rsidRDefault="00DF78A3" w:rsidP="004811C8">
            <w:pPr>
              <w:spacing w:after="120" w:line="276" w:lineRule="auto"/>
              <w:rPr>
                <w:rFonts w:cstheme="minorHAnsi"/>
                <w:lang w:val="en-AU"/>
              </w:rPr>
            </w:pPr>
            <w:r w:rsidRPr="006E0ED4">
              <w:rPr>
                <w:rFonts w:cstheme="minorHAnsi"/>
                <w:b/>
                <w:bCs/>
                <w:color w:val="0A2F41" w:themeColor="accent1" w:themeShade="80"/>
                <w:lang w:val="en-AU"/>
              </w:rPr>
              <w:t>Judgement Criteria (JCs)</w:t>
            </w:r>
          </w:p>
        </w:tc>
        <w:tc>
          <w:tcPr>
            <w:tcW w:w="3005" w:type="dxa"/>
            <w:shd w:val="clear" w:color="auto" w:fill="45B0E1" w:themeFill="accent1" w:themeFillTint="99"/>
          </w:tcPr>
          <w:p w14:paraId="76240C46" w14:textId="77777777" w:rsidR="00DF78A3" w:rsidRDefault="00DF78A3" w:rsidP="004811C8">
            <w:pPr>
              <w:spacing w:after="120" w:line="276" w:lineRule="auto"/>
              <w:rPr>
                <w:rFonts w:cstheme="minorHAnsi"/>
                <w:lang w:val="en-AU"/>
              </w:rPr>
            </w:pPr>
            <w:r w:rsidRPr="006E0ED4">
              <w:rPr>
                <w:rFonts w:cstheme="minorHAnsi"/>
                <w:b/>
                <w:bCs/>
                <w:color w:val="0A2F41" w:themeColor="accent1" w:themeShade="80"/>
                <w:lang w:val="en-AU"/>
              </w:rPr>
              <w:t>Indicators / Evidence</w:t>
            </w:r>
          </w:p>
        </w:tc>
        <w:tc>
          <w:tcPr>
            <w:tcW w:w="3006" w:type="dxa"/>
            <w:shd w:val="clear" w:color="auto" w:fill="45B0E1" w:themeFill="accent1" w:themeFillTint="99"/>
          </w:tcPr>
          <w:p w14:paraId="5FF7D330" w14:textId="77777777" w:rsidR="00DF78A3" w:rsidRDefault="00DF78A3" w:rsidP="004811C8">
            <w:pPr>
              <w:spacing w:after="120" w:line="276" w:lineRule="auto"/>
              <w:rPr>
                <w:rFonts w:cstheme="minorHAnsi"/>
                <w:lang w:val="en-AU"/>
              </w:rPr>
            </w:pPr>
            <w:r w:rsidRPr="006E0ED4">
              <w:rPr>
                <w:rFonts w:cstheme="minorHAnsi"/>
                <w:b/>
                <w:bCs/>
                <w:color w:val="0A2F41" w:themeColor="accent1" w:themeShade="80"/>
                <w:lang w:val="en-AU"/>
              </w:rPr>
              <w:t>Sources of evidence</w:t>
            </w:r>
          </w:p>
        </w:tc>
      </w:tr>
      <w:tr w:rsidR="004915E4" w14:paraId="78434451" w14:textId="77777777" w:rsidTr="004811C8">
        <w:tc>
          <w:tcPr>
            <w:tcW w:w="3005" w:type="dxa"/>
          </w:tcPr>
          <w:p w14:paraId="2B0F006E" w14:textId="3FD0F105" w:rsidR="004915E4" w:rsidRDefault="004915E4" w:rsidP="004915E4">
            <w:pPr>
              <w:spacing w:after="120" w:line="276" w:lineRule="auto"/>
              <w:rPr>
                <w:rFonts w:cstheme="minorHAnsi"/>
                <w:lang w:val="en-AU"/>
              </w:rPr>
            </w:pPr>
            <w:r w:rsidRPr="006E0ED4">
              <w:rPr>
                <w:rFonts w:cstheme="minorHAnsi"/>
                <w:lang w:val="en-AU"/>
              </w:rPr>
              <w:t>JC3.1 The program makes appropriate use of human and financial resources in relation to both EOIOs in the program.</w:t>
            </w:r>
          </w:p>
        </w:tc>
        <w:tc>
          <w:tcPr>
            <w:tcW w:w="3005" w:type="dxa"/>
          </w:tcPr>
          <w:p w14:paraId="055D452B" w14:textId="77777777" w:rsidR="004915E4" w:rsidRPr="006E0ED4" w:rsidRDefault="004915E4" w:rsidP="004915E4">
            <w:pPr>
              <w:pStyle w:val="Tablecontent"/>
              <w:numPr>
                <w:ilvl w:val="0"/>
                <w:numId w:val="12"/>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Consistency between program priorities and budget allocation</w:t>
            </w:r>
          </w:p>
          <w:p w14:paraId="66333C2B" w14:textId="77777777" w:rsidR="004915E4" w:rsidRPr="006E0ED4" w:rsidRDefault="004915E4" w:rsidP="004915E4">
            <w:pPr>
              <w:pStyle w:val="Tablecontent"/>
              <w:numPr>
                <w:ilvl w:val="0"/>
                <w:numId w:val="12"/>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 of budget spent</w:t>
            </w:r>
          </w:p>
          <w:p w14:paraId="56981B45" w14:textId="77777777" w:rsidR="004915E4" w:rsidRPr="006E0ED4" w:rsidRDefault="004915E4" w:rsidP="004915E4">
            <w:pPr>
              <w:pStyle w:val="Tablecontent"/>
              <w:numPr>
                <w:ilvl w:val="0"/>
                <w:numId w:val="12"/>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Evidence that any over- or under-spending was justified</w:t>
            </w:r>
          </w:p>
          <w:p w14:paraId="245B18EF" w14:textId="77777777" w:rsidR="004915E4" w:rsidRPr="006E0ED4" w:rsidRDefault="004915E4" w:rsidP="004915E4">
            <w:pPr>
              <w:pStyle w:val="Tablecontent"/>
              <w:numPr>
                <w:ilvl w:val="0"/>
                <w:numId w:val="12"/>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Evidence that costs are in line with general practices in the sector</w:t>
            </w:r>
          </w:p>
          <w:p w14:paraId="55D84DC2" w14:textId="77777777" w:rsidR="004915E4" w:rsidRPr="006E0ED4" w:rsidRDefault="004915E4" w:rsidP="004915E4">
            <w:pPr>
              <w:pStyle w:val="Tablecontent"/>
              <w:numPr>
                <w:ilvl w:val="0"/>
                <w:numId w:val="12"/>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effective hiring, procurement and administrative procedures</w:t>
            </w:r>
          </w:p>
          <w:p w14:paraId="662BE982" w14:textId="77777777" w:rsidR="004915E4" w:rsidRPr="006E0ED4" w:rsidRDefault="004915E4" w:rsidP="004915E4">
            <w:pPr>
              <w:pStyle w:val="Tablecontent"/>
              <w:numPr>
                <w:ilvl w:val="0"/>
                <w:numId w:val="12"/>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Evidence that staffing levels and use of outside consultants were commensurate with needs and results</w:t>
            </w:r>
          </w:p>
          <w:p w14:paraId="46BA4666" w14:textId="3DAA1EDB" w:rsidR="004915E4" w:rsidRPr="006B694A" w:rsidRDefault="004915E4" w:rsidP="004915E4">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Evidence that APSP team members and managers are adequately accountable to TAF senior management</w:t>
            </w:r>
          </w:p>
        </w:tc>
        <w:tc>
          <w:tcPr>
            <w:tcW w:w="3006" w:type="dxa"/>
          </w:tcPr>
          <w:p w14:paraId="3A423453" w14:textId="77777777" w:rsidR="00047263" w:rsidRPr="006E0ED4" w:rsidRDefault="00047263" w:rsidP="00047263">
            <w:pPr>
              <w:pStyle w:val="Tablecontent"/>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As above, and:</w:t>
            </w:r>
          </w:p>
          <w:p w14:paraId="18DE1EB5" w14:textId="77777777" w:rsidR="00047263" w:rsidRPr="006E0ED4" w:rsidRDefault="00047263" w:rsidP="00047263">
            <w:pPr>
              <w:pStyle w:val="Tablecontent"/>
              <w:numPr>
                <w:ilvl w:val="0"/>
                <w:numId w:val="13"/>
              </w:numPr>
              <w:spacing w:after="0" w:line="276" w:lineRule="auto"/>
              <w:ind w:left="325"/>
              <w:rPr>
                <w:rFonts w:asciiTheme="minorHAnsi" w:hAnsiTheme="minorHAnsi" w:cstheme="minorHAnsi"/>
                <w:sz w:val="21"/>
                <w:szCs w:val="21"/>
                <w:lang w:val="en-AU"/>
              </w:rPr>
            </w:pPr>
            <w:r w:rsidRPr="006E0ED4">
              <w:rPr>
                <w:rFonts w:asciiTheme="minorHAnsi" w:hAnsiTheme="minorHAnsi" w:cstheme="minorHAnsi"/>
                <w:sz w:val="21"/>
                <w:szCs w:val="21"/>
                <w:lang w:val="en-AU"/>
              </w:rPr>
              <w:t>Financial reports</w:t>
            </w:r>
          </w:p>
          <w:p w14:paraId="4941175B" w14:textId="77777777" w:rsidR="00047263" w:rsidRDefault="00047263" w:rsidP="00047263">
            <w:pPr>
              <w:pStyle w:val="Tablecontent"/>
              <w:numPr>
                <w:ilvl w:val="0"/>
                <w:numId w:val="13"/>
              </w:numPr>
              <w:spacing w:after="0" w:line="276" w:lineRule="auto"/>
              <w:ind w:left="325"/>
              <w:rPr>
                <w:rFonts w:asciiTheme="minorHAnsi" w:hAnsiTheme="minorHAnsi" w:cstheme="minorHAnsi"/>
                <w:sz w:val="21"/>
                <w:szCs w:val="21"/>
                <w:lang w:val="en-AU"/>
              </w:rPr>
            </w:pPr>
            <w:r w:rsidRPr="006E0ED4">
              <w:rPr>
                <w:rFonts w:asciiTheme="minorHAnsi" w:hAnsiTheme="minorHAnsi" w:cstheme="minorHAnsi"/>
                <w:sz w:val="21"/>
                <w:szCs w:val="21"/>
                <w:lang w:val="en-AU"/>
              </w:rPr>
              <w:t>Interview(s) with relevant TAF administrative manager(s)</w:t>
            </w:r>
          </w:p>
          <w:p w14:paraId="5FDE8FE6" w14:textId="00EAC2D5" w:rsidR="004915E4" w:rsidRPr="00047263" w:rsidRDefault="00047263" w:rsidP="00047263">
            <w:pPr>
              <w:pStyle w:val="Tablecontent"/>
              <w:numPr>
                <w:ilvl w:val="0"/>
                <w:numId w:val="13"/>
              </w:numPr>
              <w:spacing w:after="0" w:line="276" w:lineRule="auto"/>
              <w:ind w:left="325"/>
              <w:rPr>
                <w:rFonts w:asciiTheme="minorHAnsi" w:hAnsiTheme="minorHAnsi" w:cstheme="minorHAnsi"/>
                <w:sz w:val="21"/>
                <w:szCs w:val="21"/>
                <w:lang w:val="en-AU"/>
              </w:rPr>
            </w:pPr>
            <w:r w:rsidRPr="00047263">
              <w:rPr>
                <w:rFonts w:asciiTheme="minorHAnsi" w:hAnsiTheme="minorHAnsi" w:cstheme="minorHAnsi"/>
                <w:sz w:val="21"/>
                <w:szCs w:val="21"/>
                <w:lang w:val="en-AU"/>
              </w:rPr>
              <w:t>Interview with relevant TAF senior manager</w:t>
            </w:r>
            <w:r w:rsidRPr="00047263">
              <w:rPr>
                <w:rFonts w:cstheme="minorHAnsi"/>
                <w:lang w:val="en-AU"/>
              </w:rPr>
              <w:t xml:space="preserve"> </w:t>
            </w:r>
          </w:p>
        </w:tc>
      </w:tr>
      <w:tr w:rsidR="004915E4" w14:paraId="7E895AAC" w14:textId="77777777" w:rsidTr="004811C8">
        <w:tc>
          <w:tcPr>
            <w:tcW w:w="3005" w:type="dxa"/>
          </w:tcPr>
          <w:p w14:paraId="332963CC" w14:textId="77777777" w:rsidR="00FD0F96" w:rsidRPr="006E0ED4" w:rsidRDefault="00FD0F96" w:rsidP="00FD0F96">
            <w:pPr>
              <w:spacing w:line="276" w:lineRule="auto"/>
              <w:rPr>
                <w:rFonts w:cstheme="minorHAnsi"/>
                <w:lang w:val="en-AU"/>
              </w:rPr>
            </w:pPr>
            <w:r w:rsidRPr="006E0ED4">
              <w:rPr>
                <w:rFonts w:cstheme="minorHAnsi"/>
                <w:lang w:val="en-AU"/>
              </w:rPr>
              <w:t xml:space="preserve">JC3.2 Program management is effective, in that pro-active and timely action was taken to address changing circumstances (including the pandemic), and M&amp;E and management accountability processes are in use. </w:t>
            </w:r>
          </w:p>
          <w:p w14:paraId="47A0C87E" w14:textId="1B29F1AE" w:rsidR="004915E4" w:rsidRDefault="004915E4" w:rsidP="004915E4">
            <w:pPr>
              <w:spacing w:after="120" w:line="276" w:lineRule="auto"/>
              <w:rPr>
                <w:rFonts w:cstheme="minorHAnsi"/>
                <w:lang w:val="en-AU"/>
              </w:rPr>
            </w:pPr>
          </w:p>
        </w:tc>
        <w:tc>
          <w:tcPr>
            <w:tcW w:w="3005" w:type="dxa"/>
          </w:tcPr>
          <w:p w14:paraId="7E38675B" w14:textId="77777777" w:rsidR="004915E4" w:rsidRPr="004D49D6" w:rsidRDefault="004915E4" w:rsidP="004915E4">
            <w:pPr>
              <w:spacing w:after="120" w:line="276" w:lineRule="auto"/>
              <w:rPr>
                <w:rFonts w:cstheme="minorHAnsi"/>
                <w:i/>
                <w:iCs/>
                <w:lang w:val="en-AU"/>
              </w:rPr>
            </w:pPr>
            <w:r w:rsidRPr="004D49D6">
              <w:rPr>
                <w:rFonts w:cstheme="minorHAnsi"/>
                <w:i/>
                <w:iCs/>
                <w:lang w:val="en-AU"/>
              </w:rPr>
              <w:t xml:space="preserve">Same as above </w:t>
            </w:r>
          </w:p>
        </w:tc>
        <w:tc>
          <w:tcPr>
            <w:tcW w:w="3006" w:type="dxa"/>
          </w:tcPr>
          <w:p w14:paraId="54E2093D" w14:textId="77777777" w:rsidR="004915E4" w:rsidRPr="00915C10" w:rsidRDefault="004915E4" w:rsidP="004915E4">
            <w:pPr>
              <w:spacing w:after="120" w:line="276" w:lineRule="auto"/>
              <w:rPr>
                <w:rFonts w:cstheme="minorHAnsi"/>
                <w:i/>
                <w:iCs/>
                <w:lang w:val="en-AU"/>
              </w:rPr>
            </w:pPr>
            <w:r w:rsidRPr="00915C10">
              <w:rPr>
                <w:rFonts w:cstheme="minorHAnsi"/>
                <w:i/>
                <w:iCs/>
                <w:lang w:val="en-AU"/>
              </w:rPr>
              <w:t xml:space="preserve">Same as above </w:t>
            </w:r>
          </w:p>
        </w:tc>
      </w:tr>
    </w:tbl>
    <w:p w14:paraId="4B5AEAC7" w14:textId="77777777" w:rsidR="005D0241" w:rsidRPr="005D0241" w:rsidRDefault="005D0241" w:rsidP="00446C37">
      <w:pPr>
        <w:pStyle w:val="Tablecontent"/>
        <w:spacing w:before="360" w:after="0" w:line="276" w:lineRule="auto"/>
        <w:rPr>
          <w:rFonts w:asciiTheme="minorHAnsi" w:hAnsiTheme="minorHAnsi" w:cstheme="minorHAnsi"/>
          <w:b/>
          <w:bCs/>
          <w:i/>
          <w:iCs/>
          <w:color w:val="156082" w:themeColor="accent1"/>
          <w:sz w:val="21"/>
          <w:szCs w:val="21"/>
          <w:lang w:val="en-AU"/>
        </w:rPr>
      </w:pPr>
      <w:r w:rsidRPr="005D0241">
        <w:rPr>
          <w:rFonts w:asciiTheme="minorHAnsi" w:hAnsiTheme="minorHAnsi" w:cstheme="minorHAnsi"/>
          <w:b/>
          <w:bCs/>
          <w:i/>
          <w:iCs/>
          <w:color w:val="156082" w:themeColor="accent1"/>
          <w:sz w:val="21"/>
          <w:szCs w:val="21"/>
          <w:lang w:val="en-AU"/>
        </w:rPr>
        <w:t>Effectiveness**</w:t>
      </w:r>
    </w:p>
    <w:p w14:paraId="6341B04E" w14:textId="79EDAA15" w:rsidR="0013242F" w:rsidRDefault="005D0241" w:rsidP="005D0241">
      <w:pPr>
        <w:spacing w:after="120" w:line="276" w:lineRule="auto"/>
        <w:rPr>
          <w:rFonts w:cstheme="minorHAnsi"/>
          <w:color w:val="156082" w:themeColor="accent1"/>
          <w:lang w:val="en-AU"/>
        </w:rPr>
      </w:pPr>
      <w:r w:rsidRPr="005D0241">
        <w:rPr>
          <w:rFonts w:cstheme="minorHAnsi"/>
          <w:color w:val="156082" w:themeColor="accent1"/>
          <w:lang w:val="en-AU"/>
        </w:rPr>
        <w:t>** See also: KPIs listed in APSP MEL Plan reproduced below this table</w:t>
      </w:r>
    </w:p>
    <w:p w14:paraId="4E81CCD5" w14:textId="649BEA95" w:rsidR="000A5F9D" w:rsidRPr="005D0241" w:rsidRDefault="000A5F9D" w:rsidP="005D0241">
      <w:pPr>
        <w:spacing w:after="120" w:line="276" w:lineRule="auto"/>
        <w:rPr>
          <w:rFonts w:cstheme="minorHAnsi"/>
          <w:color w:val="156082" w:themeColor="accent1"/>
          <w:lang w:val="en-AU"/>
        </w:rPr>
      </w:pPr>
      <w:r w:rsidRPr="006E0ED4">
        <w:rPr>
          <w:rFonts w:cstheme="minorHAnsi"/>
          <w:b/>
          <w:bCs/>
          <w:i/>
          <w:iCs/>
          <w:color w:val="0A2F41" w:themeColor="accent1" w:themeShade="80"/>
          <w:lang w:val="en-AU"/>
        </w:rPr>
        <w:t>EQ4 – To what extent were the program’s activities and initiatives effective in enhancing dialogue mechanisms and information-sharing among stakeholders?</w:t>
      </w:r>
    </w:p>
    <w:tbl>
      <w:tblPr>
        <w:tblStyle w:val="TableGrid"/>
        <w:tblW w:w="0" w:type="auto"/>
        <w:tblLook w:val="0420" w:firstRow="1" w:lastRow="0" w:firstColumn="0" w:lastColumn="0" w:noHBand="0" w:noVBand="1"/>
      </w:tblPr>
      <w:tblGrid>
        <w:gridCol w:w="3005"/>
        <w:gridCol w:w="3005"/>
        <w:gridCol w:w="3006"/>
      </w:tblGrid>
      <w:tr w:rsidR="000A5F9D" w14:paraId="2EAA6E2D" w14:textId="77777777" w:rsidTr="004811C8">
        <w:trPr>
          <w:tblHeader/>
        </w:trPr>
        <w:tc>
          <w:tcPr>
            <w:tcW w:w="3005" w:type="dxa"/>
            <w:shd w:val="clear" w:color="auto" w:fill="45B0E1" w:themeFill="accent1" w:themeFillTint="99"/>
          </w:tcPr>
          <w:p w14:paraId="683883ED" w14:textId="77777777" w:rsidR="000A5F9D" w:rsidRDefault="000A5F9D" w:rsidP="004811C8">
            <w:pPr>
              <w:spacing w:after="120" w:line="276" w:lineRule="auto"/>
              <w:rPr>
                <w:rFonts w:cstheme="minorHAnsi"/>
                <w:lang w:val="en-AU"/>
              </w:rPr>
            </w:pPr>
            <w:r w:rsidRPr="006E0ED4">
              <w:rPr>
                <w:rFonts w:cstheme="minorHAnsi"/>
                <w:b/>
                <w:bCs/>
                <w:color w:val="0A2F41" w:themeColor="accent1" w:themeShade="80"/>
                <w:lang w:val="en-AU"/>
              </w:rPr>
              <w:lastRenderedPageBreak/>
              <w:t>Judgement Criteria (JCs)</w:t>
            </w:r>
          </w:p>
        </w:tc>
        <w:tc>
          <w:tcPr>
            <w:tcW w:w="3005" w:type="dxa"/>
            <w:shd w:val="clear" w:color="auto" w:fill="45B0E1" w:themeFill="accent1" w:themeFillTint="99"/>
          </w:tcPr>
          <w:p w14:paraId="5B2A0B00" w14:textId="77777777" w:rsidR="000A5F9D" w:rsidRDefault="000A5F9D" w:rsidP="004811C8">
            <w:pPr>
              <w:spacing w:after="120" w:line="276" w:lineRule="auto"/>
              <w:rPr>
                <w:rFonts w:cstheme="minorHAnsi"/>
                <w:lang w:val="en-AU"/>
              </w:rPr>
            </w:pPr>
            <w:r w:rsidRPr="006E0ED4">
              <w:rPr>
                <w:rFonts w:cstheme="minorHAnsi"/>
                <w:b/>
                <w:bCs/>
                <w:color w:val="0A2F41" w:themeColor="accent1" w:themeShade="80"/>
                <w:lang w:val="en-AU"/>
              </w:rPr>
              <w:t>Indicators / Evidence</w:t>
            </w:r>
          </w:p>
        </w:tc>
        <w:tc>
          <w:tcPr>
            <w:tcW w:w="3006" w:type="dxa"/>
            <w:shd w:val="clear" w:color="auto" w:fill="45B0E1" w:themeFill="accent1" w:themeFillTint="99"/>
          </w:tcPr>
          <w:p w14:paraId="76F4F6BB" w14:textId="77777777" w:rsidR="000A5F9D" w:rsidRDefault="000A5F9D" w:rsidP="004811C8">
            <w:pPr>
              <w:spacing w:after="120" w:line="276" w:lineRule="auto"/>
              <w:rPr>
                <w:rFonts w:cstheme="minorHAnsi"/>
                <w:lang w:val="en-AU"/>
              </w:rPr>
            </w:pPr>
            <w:r w:rsidRPr="006E0ED4">
              <w:rPr>
                <w:rFonts w:cstheme="minorHAnsi"/>
                <w:b/>
                <w:bCs/>
                <w:color w:val="0A2F41" w:themeColor="accent1" w:themeShade="80"/>
                <w:lang w:val="en-AU"/>
              </w:rPr>
              <w:t>Sources of evidence</w:t>
            </w:r>
          </w:p>
        </w:tc>
      </w:tr>
      <w:tr w:rsidR="00293876" w14:paraId="477B02F2" w14:textId="77777777" w:rsidTr="004811C8">
        <w:tc>
          <w:tcPr>
            <w:tcW w:w="3005" w:type="dxa"/>
          </w:tcPr>
          <w:p w14:paraId="41D6294F" w14:textId="77777777" w:rsidR="00293876" w:rsidRPr="006E0ED4" w:rsidRDefault="00293876" w:rsidP="00293876">
            <w:pPr>
              <w:spacing w:line="276" w:lineRule="auto"/>
              <w:rPr>
                <w:rFonts w:cstheme="minorHAnsi"/>
                <w:lang w:val="en-AU"/>
              </w:rPr>
            </w:pPr>
            <w:r w:rsidRPr="006E0ED4">
              <w:rPr>
                <w:rFonts w:cstheme="minorHAnsi"/>
                <w:lang w:val="en-AU"/>
              </w:rPr>
              <w:t>JC4.1 The program emphasises mutual interaction among Australian and ASEAN stakeholders.</w:t>
            </w:r>
          </w:p>
          <w:p w14:paraId="5B519321" w14:textId="2052855D" w:rsidR="00293876" w:rsidRDefault="00293876" w:rsidP="00293876">
            <w:pPr>
              <w:spacing w:after="120" w:line="276" w:lineRule="auto"/>
              <w:rPr>
                <w:rFonts w:cstheme="minorHAnsi"/>
                <w:lang w:val="en-AU"/>
              </w:rPr>
            </w:pPr>
          </w:p>
        </w:tc>
        <w:tc>
          <w:tcPr>
            <w:tcW w:w="3005" w:type="dxa"/>
          </w:tcPr>
          <w:p w14:paraId="1B6DA4E0"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 of planned results achieved</w:t>
            </w:r>
          </w:p>
          <w:p w14:paraId="585AED01"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 of MEL indicators fulfilled</w:t>
            </w:r>
          </w:p>
          <w:p w14:paraId="33433214"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Quality of M&amp;E systems as reflected from documents, interviews</w:t>
            </w:r>
          </w:p>
          <w:p w14:paraId="33E506A1"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Evidence that MEL outcomes were addressed as appropriate by program management</w:t>
            </w:r>
          </w:p>
          <w:p w14:paraId="743C0E66"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 xml:space="preserve">Evidence of lessons learned feeding back into program implementation </w:t>
            </w:r>
          </w:p>
          <w:p w14:paraId="3F015CEF"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appropriate targeting of vulnerable group members, male and female, in line with GEDSI requirement</w:t>
            </w:r>
          </w:p>
          <w:p w14:paraId="32571CA9"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references to gender equality in program documents</w:t>
            </w:r>
          </w:p>
          <w:p w14:paraId="52F33F15"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gender disaggregated data in program documents, reports</w:t>
            </w:r>
          </w:p>
          <w:p w14:paraId="58C7F19A"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Extent to which there are references to socio-political context and legal changes in program reports, interviews</w:t>
            </w:r>
          </w:p>
          <w:p w14:paraId="098C8D25" w14:textId="77777777" w:rsidR="00293876" w:rsidRPr="006E0ED4" w:rsidRDefault="00293876" w:rsidP="00293876">
            <w:pPr>
              <w:pStyle w:val="Tablecontent"/>
              <w:numPr>
                <w:ilvl w:val="0"/>
                <w:numId w:val="14"/>
              </w:numPr>
              <w:spacing w:after="0" w:line="276" w:lineRule="auto"/>
              <w:ind w:left="387"/>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gender and cultural awareness within APSP team</w:t>
            </w:r>
          </w:p>
          <w:p w14:paraId="248C3C45" w14:textId="700F8301" w:rsidR="00293876" w:rsidRPr="006B694A" w:rsidRDefault="00293876" w:rsidP="00293876">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references to on-going risk assessments (where relevant) in APSP documents</w:t>
            </w:r>
          </w:p>
        </w:tc>
        <w:tc>
          <w:tcPr>
            <w:tcW w:w="3006" w:type="dxa"/>
          </w:tcPr>
          <w:p w14:paraId="0F3BB9FE" w14:textId="77777777" w:rsidR="000B0B34" w:rsidRPr="006E0ED4" w:rsidRDefault="000B0B34" w:rsidP="000B0B34">
            <w:pPr>
              <w:pStyle w:val="Tablecontent"/>
              <w:spacing w:after="0" w:line="276" w:lineRule="auto"/>
              <w:rPr>
                <w:rFonts w:asciiTheme="minorHAnsi" w:hAnsiTheme="minorHAnsi" w:cstheme="minorHAnsi"/>
                <w:sz w:val="21"/>
                <w:szCs w:val="21"/>
                <w:lang w:val="en-AU"/>
              </w:rPr>
            </w:pPr>
            <w:r w:rsidRPr="006E0ED4">
              <w:rPr>
                <w:rFonts w:asciiTheme="minorHAnsi" w:hAnsiTheme="minorHAnsi" w:cstheme="minorHAnsi"/>
                <w:i/>
                <w:iCs/>
                <w:sz w:val="21"/>
                <w:szCs w:val="21"/>
                <w:lang w:val="en-AU"/>
              </w:rPr>
              <w:t>Sources as above, and:</w:t>
            </w:r>
          </w:p>
          <w:p w14:paraId="156E673B" w14:textId="015B0378" w:rsidR="00293876" w:rsidRPr="00047263" w:rsidRDefault="000B0B34" w:rsidP="000B0B34">
            <w:pPr>
              <w:pStyle w:val="Tablecontent"/>
              <w:numPr>
                <w:ilvl w:val="0"/>
                <w:numId w:val="13"/>
              </w:numPr>
              <w:spacing w:after="0" w:line="276" w:lineRule="auto"/>
              <w:ind w:left="325"/>
              <w:rPr>
                <w:rFonts w:asciiTheme="minorHAnsi" w:hAnsiTheme="minorHAnsi" w:cstheme="minorHAnsi"/>
                <w:sz w:val="21"/>
                <w:szCs w:val="21"/>
                <w:lang w:val="en-AU"/>
              </w:rPr>
            </w:pPr>
            <w:r w:rsidRPr="006E0ED4">
              <w:rPr>
                <w:rFonts w:asciiTheme="minorHAnsi" w:hAnsiTheme="minorHAnsi" w:cstheme="minorHAnsi"/>
                <w:sz w:val="21"/>
                <w:szCs w:val="21"/>
                <w:lang w:val="en-AU"/>
              </w:rPr>
              <w:t>If possible, interviews with independent experts on ASEAN political security (academics, NGO experts, etc.)</w:t>
            </w:r>
          </w:p>
        </w:tc>
      </w:tr>
      <w:tr w:rsidR="00293876" w14:paraId="59A8336E" w14:textId="77777777" w:rsidTr="004811C8">
        <w:tc>
          <w:tcPr>
            <w:tcW w:w="3005" w:type="dxa"/>
          </w:tcPr>
          <w:p w14:paraId="369F9ECB" w14:textId="1951F67D" w:rsidR="00293876" w:rsidRDefault="00293876" w:rsidP="00293876">
            <w:pPr>
              <w:spacing w:after="120" w:line="276" w:lineRule="auto"/>
              <w:rPr>
                <w:rFonts w:cstheme="minorHAnsi"/>
                <w:lang w:val="en-AU"/>
              </w:rPr>
            </w:pPr>
            <w:r w:rsidRPr="006E0ED4">
              <w:rPr>
                <w:rFonts w:cstheme="minorHAnsi"/>
                <w:lang w:val="en-AU"/>
              </w:rPr>
              <w:t xml:space="preserve">JC4.2 The program encourages ASEAN Member State and/or the ASEAN Secretariat to undertake/ enhance consultation and dialogue with Member States and other </w:t>
            </w:r>
            <w:r w:rsidRPr="006E0ED4">
              <w:rPr>
                <w:rFonts w:cstheme="minorHAnsi"/>
                <w:lang w:val="en-AU"/>
              </w:rPr>
              <w:lastRenderedPageBreak/>
              <w:t>stakeholders active in the target political security areas.</w:t>
            </w:r>
          </w:p>
        </w:tc>
        <w:tc>
          <w:tcPr>
            <w:tcW w:w="3005" w:type="dxa"/>
          </w:tcPr>
          <w:p w14:paraId="249B946F" w14:textId="4BB52E70" w:rsidR="00293876" w:rsidRPr="004D49D6" w:rsidRDefault="00293876" w:rsidP="00293876">
            <w:pPr>
              <w:spacing w:after="120" w:line="276" w:lineRule="auto"/>
              <w:rPr>
                <w:rFonts w:cstheme="minorHAnsi"/>
                <w:i/>
                <w:iCs/>
                <w:lang w:val="en-AU"/>
              </w:rPr>
            </w:pPr>
            <w:r>
              <w:rPr>
                <w:rFonts w:cstheme="minorHAnsi"/>
                <w:i/>
                <w:iCs/>
                <w:lang w:val="en-AU"/>
              </w:rPr>
              <w:lastRenderedPageBreak/>
              <w:t xml:space="preserve">Same as above </w:t>
            </w:r>
          </w:p>
        </w:tc>
        <w:tc>
          <w:tcPr>
            <w:tcW w:w="3006" w:type="dxa"/>
          </w:tcPr>
          <w:p w14:paraId="7F9A331F" w14:textId="4382D20F" w:rsidR="00293876" w:rsidRPr="00915C10" w:rsidRDefault="000B0B34" w:rsidP="00293876">
            <w:pPr>
              <w:spacing w:after="120" w:line="276" w:lineRule="auto"/>
              <w:rPr>
                <w:rFonts w:cstheme="minorHAnsi"/>
                <w:i/>
                <w:iCs/>
                <w:lang w:val="en-AU"/>
              </w:rPr>
            </w:pPr>
            <w:r>
              <w:rPr>
                <w:rFonts w:cstheme="minorHAnsi"/>
                <w:i/>
                <w:iCs/>
                <w:lang w:val="en-AU"/>
              </w:rPr>
              <w:t>Same as above</w:t>
            </w:r>
          </w:p>
        </w:tc>
      </w:tr>
    </w:tbl>
    <w:p w14:paraId="09FE414B" w14:textId="77777777" w:rsidR="00223402" w:rsidRDefault="00223402" w:rsidP="00903D77">
      <w:pPr>
        <w:spacing w:after="120" w:line="276" w:lineRule="auto"/>
        <w:rPr>
          <w:rFonts w:cstheme="minorHAnsi"/>
          <w:b/>
          <w:bCs/>
          <w:i/>
          <w:iCs/>
          <w:color w:val="DAE9F7" w:themeColor="text2" w:themeTint="1A"/>
          <w:lang w:val="en-AU"/>
        </w:rPr>
      </w:pPr>
    </w:p>
    <w:p w14:paraId="42F53757" w14:textId="7A1B90A4" w:rsidR="00F35968" w:rsidRPr="00223402" w:rsidRDefault="00223402" w:rsidP="00903D77">
      <w:pPr>
        <w:spacing w:after="120" w:line="276" w:lineRule="auto"/>
        <w:rPr>
          <w:rFonts w:cstheme="minorHAnsi"/>
          <w:color w:val="156082" w:themeColor="accent1"/>
          <w:lang w:val="en-AU"/>
        </w:rPr>
      </w:pPr>
      <w:r w:rsidRPr="00223402">
        <w:rPr>
          <w:rFonts w:cstheme="minorHAnsi"/>
          <w:b/>
          <w:bCs/>
          <w:i/>
          <w:iCs/>
          <w:color w:val="156082" w:themeColor="accent1"/>
          <w:lang w:val="en-AU"/>
        </w:rPr>
        <w:t>Sustainability</w:t>
      </w:r>
    </w:p>
    <w:p w14:paraId="3B575880" w14:textId="7FB95BC6" w:rsidR="00223402" w:rsidRDefault="00826835" w:rsidP="00903D77">
      <w:pPr>
        <w:spacing w:after="120" w:line="276" w:lineRule="auto"/>
        <w:rPr>
          <w:rFonts w:cstheme="minorHAnsi"/>
          <w:lang w:val="en-AU"/>
        </w:rPr>
      </w:pPr>
      <w:r w:rsidRPr="006E0ED4">
        <w:rPr>
          <w:rFonts w:cstheme="minorHAnsi"/>
          <w:b/>
          <w:bCs/>
          <w:i/>
          <w:iCs/>
          <w:color w:val="0A2F41" w:themeColor="accent1" w:themeShade="80"/>
          <w:lang w:val="en-AU"/>
        </w:rPr>
        <w:t xml:space="preserve">EQ5 – To what extent has the </w:t>
      </w:r>
      <w:proofErr w:type="gramStart"/>
      <w:r w:rsidRPr="006E0ED4">
        <w:rPr>
          <w:rFonts w:cstheme="minorHAnsi"/>
          <w:b/>
          <w:bCs/>
          <w:i/>
          <w:iCs/>
          <w:color w:val="0A2F41" w:themeColor="accent1" w:themeShade="80"/>
          <w:lang w:val="en-AU"/>
        </w:rPr>
        <w:t>program built</w:t>
      </w:r>
      <w:proofErr w:type="gramEnd"/>
      <w:r w:rsidRPr="006E0ED4">
        <w:rPr>
          <w:rFonts w:cstheme="minorHAnsi"/>
          <w:b/>
          <w:bCs/>
          <w:i/>
          <w:iCs/>
          <w:color w:val="0A2F41" w:themeColor="accent1" w:themeShade="80"/>
          <w:lang w:val="en-AU"/>
        </w:rPr>
        <w:t xml:space="preserve"> ASEAN institutional capacity, fostered enduring partnerships and collaborations between ASEAN and Australia?</w:t>
      </w:r>
    </w:p>
    <w:tbl>
      <w:tblPr>
        <w:tblStyle w:val="TableGrid"/>
        <w:tblW w:w="0" w:type="auto"/>
        <w:tblLook w:val="0420" w:firstRow="1" w:lastRow="0" w:firstColumn="0" w:lastColumn="0" w:noHBand="0" w:noVBand="1"/>
      </w:tblPr>
      <w:tblGrid>
        <w:gridCol w:w="3005"/>
        <w:gridCol w:w="3005"/>
        <w:gridCol w:w="3006"/>
      </w:tblGrid>
      <w:tr w:rsidR="00826835" w14:paraId="5E85BC4A" w14:textId="77777777" w:rsidTr="004811C8">
        <w:trPr>
          <w:tblHeader/>
        </w:trPr>
        <w:tc>
          <w:tcPr>
            <w:tcW w:w="3005" w:type="dxa"/>
            <w:shd w:val="clear" w:color="auto" w:fill="45B0E1" w:themeFill="accent1" w:themeFillTint="99"/>
          </w:tcPr>
          <w:p w14:paraId="3BFBBF95" w14:textId="77777777" w:rsidR="00826835" w:rsidRDefault="00826835" w:rsidP="004811C8">
            <w:pPr>
              <w:spacing w:after="120" w:line="276" w:lineRule="auto"/>
              <w:rPr>
                <w:rFonts w:cstheme="minorHAnsi"/>
                <w:lang w:val="en-AU"/>
              </w:rPr>
            </w:pPr>
            <w:r w:rsidRPr="006E0ED4">
              <w:rPr>
                <w:rFonts w:cstheme="minorHAnsi"/>
                <w:b/>
                <w:bCs/>
                <w:color w:val="0A2F41" w:themeColor="accent1" w:themeShade="80"/>
                <w:lang w:val="en-AU"/>
              </w:rPr>
              <w:t>Judgement Criteria (JCs)</w:t>
            </w:r>
          </w:p>
        </w:tc>
        <w:tc>
          <w:tcPr>
            <w:tcW w:w="3005" w:type="dxa"/>
            <w:shd w:val="clear" w:color="auto" w:fill="45B0E1" w:themeFill="accent1" w:themeFillTint="99"/>
          </w:tcPr>
          <w:p w14:paraId="43F18428" w14:textId="77777777" w:rsidR="00826835" w:rsidRDefault="00826835" w:rsidP="004811C8">
            <w:pPr>
              <w:spacing w:after="120" w:line="276" w:lineRule="auto"/>
              <w:rPr>
                <w:rFonts w:cstheme="minorHAnsi"/>
                <w:lang w:val="en-AU"/>
              </w:rPr>
            </w:pPr>
            <w:r w:rsidRPr="006E0ED4">
              <w:rPr>
                <w:rFonts w:cstheme="minorHAnsi"/>
                <w:b/>
                <w:bCs/>
                <w:color w:val="0A2F41" w:themeColor="accent1" w:themeShade="80"/>
                <w:lang w:val="en-AU"/>
              </w:rPr>
              <w:t>Indicators / Evidence</w:t>
            </w:r>
          </w:p>
        </w:tc>
        <w:tc>
          <w:tcPr>
            <w:tcW w:w="3006" w:type="dxa"/>
            <w:shd w:val="clear" w:color="auto" w:fill="45B0E1" w:themeFill="accent1" w:themeFillTint="99"/>
          </w:tcPr>
          <w:p w14:paraId="2367C1E2" w14:textId="77777777" w:rsidR="00826835" w:rsidRDefault="00826835" w:rsidP="004811C8">
            <w:pPr>
              <w:spacing w:after="120" w:line="276" w:lineRule="auto"/>
              <w:rPr>
                <w:rFonts w:cstheme="minorHAnsi"/>
                <w:lang w:val="en-AU"/>
              </w:rPr>
            </w:pPr>
            <w:r w:rsidRPr="006E0ED4">
              <w:rPr>
                <w:rFonts w:cstheme="minorHAnsi"/>
                <w:b/>
                <w:bCs/>
                <w:color w:val="0A2F41" w:themeColor="accent1" w:themeShade="80"/>
                <w:lang w:val="en-AU"/>
              </w:rPr>
              <w:t>Sources of evidence</w:t>
            </w:r>
          </w:p>
        </w:tc>
      </w:tr>
      <w:tr w:rsidR="005B0BE8" w14:paraId="3F3AECE3" w14:textId="77777777" w:rsidTr="004811C8">
        <w:tc>
          <w:tcPr>
            <w:tcW w:w="3005" w:type="dxa"/>
          </w:tcPr>
          <w:p w14:paraId="376F9512" w14:textId="22925FB5" w:rsidR="005B0BE8" w:rsidRDefault="005B0BE8" w:rsidP="005B0BE8">
            <w:pPr>
              <w:spacing w:after="120" w:line="276" w:lineRule="auto"/>
              <w:rPr>
                <w:rFonts w:cstheme="minorHAnsi"/>
                <w:lang w:val="en-AU"/>
              </w:rPr>
            </w:pPr>
            <w:r w:rsidRPr="006E0ED4">
              <w:rPr>
                <w:rFonts w:cstheme="minorHAnsi"/>
                <w:lang w:val="en-AU"/>
              </w:rPr>
              <w:t>JC5.1 ASEAN stakeholders are likely to maintain consultation processes initially implemented under the program.</w:t>
            </w:r>
          </w:p>
        </w:tc>
        <w:tc>
          <w:tcPr>
            <w:tcW w:w="3005" w:type="dxa"/>
          </w:tcPr>
          <w:p w14:paraId="77240071" w14:textId="77777777" w:rsidR="005B0BE8" w:rsidRPr="006E0ED4" w:rsidRDefault="005B0BE8" w:rsidP="005B0BE8">
            <w:pPr>
              <w:pStyle w:val="Tablecontent"/>
              <w:numPr>
                <w:ilvl w:val="0"/>
                <w:numId w:val="15"/>
              </w:numPr>
              <w:spacing w:after="0" w:line="276" w:lineRule="auto"/>
              <w:ind w:left="372"/>
              <w:rPr>
                <w:rFonts w:asciiTheme="minorHAnsi" w:hAnsiTheme="minorHAnsi" w:cstheme="minorHAnsi"/>
                <w:sz w:val="21"/>
                <w:szCs w:val="21"/>
                <w:lang w:val="en-AU"/>
              </w:rPr>
            </w:pPr>
            <w:r w:rsidRPr="006E0ED4">
              <w:rPr>
                <w:rFonts w:asciiTheme="minorHAnsi" w:hAnsiTheme="minorHAnsi" w:cstheme="minorHAnsi"/>
                <w:sz w:val="21"/>
                <w:szCs w:val="21"/>
                <w:lang w:val="en-AU"/>
              </w:rPr>
              <w:t>Evidence that skills acquired by staff at ASEAN Secretariat and other partner institutions are in continued use</w:t>
            </w:r>
          </w:p>
          <w:p w14:paraId="3B31F1F3" w14:textId="77777777" w:rsidR="005B0BE8" w:rsidRPr="006E0ED4" w:rsidRDefault="005B0BE8" w:rsidP="005B0BE8">
            <w:pPr>
              <w:pStyle w:val="Tablecontent"/>
              <w:numPr>
                <w:ilvl w:val="0"/>
                <w:numId w:val="15"/>
              </w:numPr>
              <w:spacing w:after="0" w:line="276" w:lineRule="auto"/>
              <w:ind w:left="409"/>
              <w:rPr>
                <w:rFonts w:asciiTheme="minorHAnsi" w:hAnsiTheme="minorHAnsi" w:cstheme="minorHAnsi"/>
                <w:sz w:val="21"/>
                <w:szCs w:val="21"/>
                <w:lang w:val="en-AU"/>
              </w:rPr>
            </w:pPr>
            <w:r w:rsidRPr="006E0ED4">
              <w:rPr>
                <w:rFonts w:asciiTheme="minorHAnsi" w:hAnsiTheme="minorHAnsi" w:cstheme="minorHAnsi"/>
                <w:sz w:val="21"/>
                <w:szCs w:val="21"/>
                <w:lang w:val="en-AU"/>
              </w:rPr>
              <w:t>Expression of interest by ASEAN Secretariat and other partners to maintain consultation practices implemented under APSP</w:t>
            </w:r>
          </w:p>
          <w:p w14:paraId="061BDDB5" w14:textId="77777777" w:rsidR="005B0BE8" w:rsidRPr="006E0ED4" w:rsidRDefault="005B0BE8" w:rsidP="005B0BE8">
            <w:pPr>
              <w:pStyle w:val="Tablecontent"/>
              <w:numPr>
                <w:ilvl w:val="0"/>
                <w:numId w:val="15"/>
              </w:numPr>
              <w:spacing w:after="0" w:line="276" w:lineRule="auto"/>
              <w:ind w:left="409"/>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integration of specific APSP results into other actors’ strategies and plans</w:t>
            </w:r>
          </w:p>
          <w:p w14:paraId="761527D7" w14:textId="77777777" w:rsidR="005B0BE8" w:rsidRPr="006E0ED4" w:rsidRDefault="005B0BE8" w:rsidP="005B0BE8">
            <w:pPr>
              <w:pStyle w:val="Tablecontent"/>
              <w:numPr>
                <w:ilvl w:val="0"/>
                <w:numId w:val="15"/>
              </w:numPr>
              <w:spacing w:after="0" w:line="276" w:lineRule="auto"/>
              <w:ind w:left="409"/>
              <w:rPr>
                <w:rFonts w:asciiTheme="minorHAnsi" w:hAnsiTheme="minorHAnsi" w:cstheme="minorHAnsi"/>
                <w:sz w:val="21"/>
                <w:szCs w:val="21"/>
                <w:lang w:val="en-AU"/>
              </w:rPr>
            </w:pPr>
            <w:r w:rsidRPr="006E0ED4">
              <w:rPr>
                <w:rFonts w:asciiTheme="minorHAnsi" w:hAnsiTheme="minorHAnsi" w:cstheme="minorHAnsi"/>
                <w:sz w:val="21"/>
                <w:szCs w:val="21"/>
                <w:lang w:val="en-AU"/>
              </w:rPr>
              <w:t>Evidence that APSP is influencing ASEAN and partners’ organisational development</w:t>
            </w:r>
          </w:p>
          <w:p w14:paraId="5C519F11" w14:textId="24A66110" w:rsidR="005B0BE8" w:rsidRPr="006B694A" w:rsidRDefault="005B0BE8" w:rsidP="005B0BE8">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Recognition by relevant stakeholders of Australia’s added value as ASEAN partner</w:t>
            </w:r>
          </w:p>
        </w:tc>
        <w:tc>
          <w:tcPr>
            <w:tcW w:w="3006" w:type="dxa"/>
          </w:tcPr>
          <w:p w14:paraId="13ACC683" w14:textId="77777777" w:rsidR="00394EF3" w:rsidRPr="006E0ED4" w:rsidRDefault="00394EF3" w:rsidP="00394EF3">
            <w:pPr>
              <w:pStyle w:val="Tablecontent"/>
              <w:spacing w:after="0" w:line="276" w:lineRule="auto"/>
              <w:rPr>
                <w:rFonts w:asciiTheme="minorHAnsi" w:hAnsiTheme="minorHAnsi" w:cstheme="minorHAnsi"/>
                <w:i/>
                <w:sz w:val="21"/>
                <w:szCs w:val="21"/>
                <w:lang w:val="en-AU"/>
              </w:rPr>
            </w:pPr>
            <w:r w:rsidRPr="006E0ED4">
              <w:rPr>
                <w:rFonts w:asciiTheme="minorHAnsi" w:hAnsiTheme="minorHAnsi" w:cstheme="minorHAnsi"/>
                <w:i/>
                <w:sz w:val="21"/>
                <w:szCs w:val="21"/>
                <w:lang w:val="en-AU"/>
              </w:rPr>
              <w:t>As above, and:</w:t>
            </w:r>
          </w:p>
          <w:p w14:paraId="17735970" w14:textId="664844A3" w:rsidR="005B0BE8" w:rsidRPr="00047263" w:rsidRDefault="00394EF3" w:rsidP="00394EF3">
            <w:pPr>
              <w:pStyle w:val="Tablecontent"/>
              <w:numPr>
                <w:ilvl w:val="0"/>
                <w:numId w:val="115"/>
              </w:numPr>
              <w:spacing w:after="0" w:line="276" w:lineRule="auto"/>
              <w:rPr>
                <w:rFonts w:asciiTheme="minorHAnsi" w:hAnsiTheme="minorHAnsi" w:cstheme="minorHAnsi"/>
                <w:sz w:val="21"/>
                <w:szCs w:val="21"/>
                <w:lang w:val="en-AU"/>
              </w:rPr>
            </w:pPr>
            <w:r w:rsidRPr="006E0ED4">
              <w:rPr>
                <w:rFonts w:asciiTheme="minorHAnsi" w:hAnsiTheme="minorHAnsi" w:cstheme="minorHAnsi"/>
                <w:iCs/>
                <w:sz w:val="21"/>
                <w:szCs w:val="21"/>
                <w:lang w:val="en-AU"/>
              </w:rPr>
              <w:t>If possible, interviews with relevant ASEAN NGO representatives concerning attitudes toward GEDSI.</w:t>
            </w:r>
          </w:p>
        </w:tc>
      </w:tr>
      <w:tr w:rsidR="005B0BE8" w14:paraId="28383E84" w14:textId="77777777" w:rsidTr="004811C8">
        <w:tc>
          <w:tcPr>
            <w:tcW w:w="3005" w:type="dxa"/>
          </w:tcPr>
          <w:p w14:paraId="2BA7DBA9" w14:textId="77777777" w:rsidR="005B0BE8" w:rsidRPr="006E0ED4" w:rsidRDefault="005B0BE8" w:rsidP="005B0BE8">
            <w:pPr>
              <w:spacing w:line="276" w:lineRule="auto"/>
              <w:rPr>
                <w:rFonts w:cstheme="minorHAnsi"/>
                <w:lang w:val="en-AU"/>
              </w:rPr>
            </w:pPr>
            <w:r w:rsidRPr="006E0ED4">
              <w:rPr>
                <w:rFonts w:cstheme="minorHAnsi"/>
                <w:lang w:val="en-AU"/>
              </w:rPr>
              <w:t xml:space="preserve">JC5.2 DFAT and other Australian government departments </w:t>
            </w:r>
            <w:proofErr w:type="gramStart"/>
            <w:r w:rsidRPr="006E0ED4">
              <w:rPr>
                <w:rFonts w:cstheme="minorHAnsi"/>
                <w:lang w:val="en-AU"/>
              </w:rPr>
              <w:t>are able to</w:t>
            </w:r>
            <w:proofErr w:type="gramEnd"/>
            <w:r w:rsidRPr="006E0ED4">
              <w:rPr>
                <w:rFonts w:cstheme="minorHAnsi"/>
                <w:lang w:val="en-AU"/>
              </w:rPr>
              <w:t xml:space="preserve"> build on partnerships and collaborations initiated under the program.</w:t>
            </w:r>
          </w:p>
          <w:p w14:paraId="529E9A14" w14:textId="70D68B33" w:rsidR="005B0BE8" w:rsidRDefault="005B0BE8" w:rsidP="005B0BE8">
            <w:pPr>
              <w:spacing w:after="120" w:line="276" w:lineRule="auto"/>
              <w:rPr>
                <w:rFonts w:cstheme="minorHAnsi"/>
                <w:lang w:val="en-AU"/>
              </w:rPr>
            </w:pPr>
          </w:p>
        </w:tc>
        <w:tc>
          <w:tcPr>
            <w:tcW w:w="3005" w:type="dxa"/>
          </w:tcPr>
          <w:p w14:paraId="2989D466" w14:textId="340B5FD8" w:rsidR="005B0BE8" w:rsidRPr="004D49D6" w:rsidRDefault="005B0BE8" w:rsidP="005B0BE8">
            <w:pPr>
              <w:spacing w:after="120" w:line="276" w:lineRule="auto"/>
              <w:rPr>
                <w:rFonts w:cstheme="minorHAnsi"/>
                <w:i/>
                <w:iCs/>
                <w:lang w:val="en-AU"/>
              </w:rPr>
            </w:pPr>
            <w:r>
              <w:rPr>
                <w:rFonts w:cstheme="minorHAnsi"/>
                <w:i/>
                <w:iCs/>
                <w:lang w:val="en-AU"/>
              </w:rPr>
              <w:t xml:space="preserve">Same as above </w:t>
            </w:r>
          </w:p>
        </w:tc>
        <w:tc>
          <w:tcPr>
            <w:tcW w:w="3006" w:type="dxa"/>
          </w:tcPr>
          <w:p w14:paraId="27A60C72" w14:textId="33B62E1F" w:rsidR="005B0BE8" w:rsidRPr="00915C10" w:rsidRDefault="005B0BE8" w:rsidP="005B0BE8">
            <w:pPr>
              <w:spacing w:after="120" w:line="276" w:lineRule="auto"/>
              <w:rPr>
                <w:rFonts w:cstheme="minorHAnsi"/>
                <w:i/>
                <w:iCs/>
                <w:lang w:val="en-AU"/>
              </w:rPr>
            </w:pPr>
          </w:p>
        </w:tc>
      </w:tr>
    </w:tbl>
    <w:p w14:paraId="723A977C" w14:textId="77777777" w:rsidR="00F35968" w:rsidRDefault="00F35968" w:rsidP="00903D77">
      <w:pPr>
        <w:spacing w:after="120" w:line="276" w:lineRule="auto"/>
        <w:rPr>
          <w:rFonts w:cstheme="minorHAnsi"/>
          <w:lang w:val="en-AU"/>
        </w:rPr>
      </w:pPr>
    </w:p>
    <w:p w14:paraId="1F559135" w14:textId="56613315" w:rsidR="002F75F4" w:rsidRDefault="00B11F1C" w:rsidP="00903D77">
      <w:pPr>
        <w:spacing w:after="120" w:line="276" w:lineRule="auto"/>
        <w:rPr>
          <w:rFonts w:cstheme="minorHAnsi"/>
          <w:b/>
          <w:bCs/>
          <w:i/>
          <w:iCs/>
          <w:color w:val="156082" w:themeColor="accent1"/>
          <w:lang w:val="en-AU"/>
        </w:rPr>
      </w:pPr>
      <w:r w:rsidRPr="00B11F1C">
        <w:rPr>
          <w:rFonts w:cstheme="minorHAnsi"/>
          <w:b/>
          <w:bCs/>
          <w:i/>
          <w:iCs/>
          <w:color w:val="156082" w:themeColor="accent1"/>
          <w:lang w:val="en-AU"/>
        </w:rPr>
        <w:t>Impact</w:t>
      </w:r>
    </w:p>
    <w:p w14:paraId="156E41CF" w14:textId="41DF712D" w:rsidR="00465F9B" w:rsidRDefault="00465F9B" w:rsidP="00903D77">
      <w:pPr>
        <w:spacing w:after="120" w:line="276" w:lineRule="auto"/>
        <w:rPr>
          <w:rFonts w:cstheme="minorHAnsi"/>
          <w:b/>
          <w:bCs/>
          <w:i/>
          <w:iCs/>
          <w:color w:val="0A2F41" w:themeColor="accent1" w:themeShade="80"/>
          <w:lang w:val="en-AU"/>
        </w:rPr>
      </w:pPr>
      <w:r w:rsidRPr="006E0ED4">
        <w:rPr>
          <w:rFonts w:cstheme="minorHAnsi"/>
          <w:b/>
          <w:bCs/>
          <w:i/>
          <w:iCs/>
          <w:color w:val="0A2F41" w:themeColor="accent1" w:themeShade="80"/>
          <w:lang w:val="en-AU"/>
        </w:rPr>
        <w:t>EQ6 – What is the overall contribution of the program on regional political stability and security, as well as in promoting trust and collaboration in ASEAN?</w:t>
      </w:r>
    </w:p>
    <w:tbl>
      <w:tblPr>
        <w:tblStyle w:val="TableGrid"/>
        <w:tblW w:w="0" w:type="auto"/>
        <w:tblLook w:val="0420" w:firstRow="1" w:lastRow="0" w:firstColumn="0" w:lastColumn="0" w:noHBand="0" w:noVBand="1"/>
      </w:tblPr>
      <w:tblGrid>
        <w:gridCol w:w="3005"/>
        <w:gridCol w:w="3005"/>
        <w:gridCol w:w="3006"/>
      </w:tblGrid>
      <w:tr w:rsidR="00465F9B" w14:paraId="743E3D4C" w14:textId="77777777" w:rsidTr="004811C8">
        <w:trPr>
          <w:tblHeader/>
        </w:trPr>
        <w:tc>
          <w:tcPr>
            <w:tcW w:w="3005" w:type="dxa"/>
            <w:shd w:val="clear" w:color="auto" w:fill="45B0E1" w:themeFill="accent1" w:themeFillTint="99"/>
          </w:tcPr>
          <w:p w14:paraId="340AD925" w14:textId="77777777" w:rsidR="00465F9B" w:rsidRDefault="00465F9B" w:rsidP="004811C8">
            <w:pPr>
              <w:spacing w:after="120" w:line="276" w:lineRule="auto"/>
              <w:rPr>
                <w:rFonts w:cstheme="minorHAnsi"/>
                <w:lang w:val="en-AU"/>
              </w:rPr>
            </w:pPr>
            <w:r w:rsidRPr="006E0ED4">
              <w:rPr>
                <w:rFonts w:cstheme="minorHAnsi"/>
                <w:b/>
                <w:bCs/>
                <w:color w:val="0A2F41" w:themeColor="accent1" w:themeShade="80"/>
                <w:lang w:val="en-AU"/>
              </w:rPr>
              <w:lastRenderedPageBreak/>
              <w:t>Judgement Criteria (JCs)</w:t>
            </w:r>
          </w:p>
        </w:tc>
        <w:tc>
          <w:tcPr>
            <w:tcW w:w="3005" w:type="dxa"/>
            <w:shd w:val="clear" w:color="auto" w:fill="45B0E1" w:themeFill="accent1" w:themeFillTint="99"/>
          </w:tcPr>
          <w:p w14:paraId="1F39230E" w14:textId="77777777" w:rsidR="00465F9B" w:rsidRDefault="00465F9B" w:rsidP="004811C8">
            <w:pPr>
              <w:spacing w:after="120" w:line="276" w:lineRule="auto"/>
              <w:rPr>
                <w:rFonts w:cstheme="minorHAnsi"/>
                <w:lang w:val="en-AU"/>
              </w:rPr>
            </w:pPr>
            <w:r w:rsidRPr="006E0ED4">
              <w:rPr>
                <w:rFonts w:cstheme="minorHAnsi"/>
                <w:b/>
                <w:bCs/>
                <w:color w:val="0A2F41" w:themeColor="accent1" w:themeShade="80"/>
                <w:lang w:val="en-AU"/>
              </w:rPr>
              <w:t>Indicators / Evidence</w:t>
            </w:r>
          </w:p>
        </w:tc>
        <w:tc>
          <w:tcPr>
            <w:tcW w:w="3006" w:type="dxa"/>
            <w:shd w:val="clear" w:color="auto" w:fill="45B0E1" w:themeFill="accent1" w:themeFillTint="99"/>
          </w:tcPr>
          <w:p w14:paraId="6E0295EB" w14:textId="77777777" w:rsidR="00465F9B" w:rsidRDefault="00465F9B" w:rsidP="004811C8">
            <w:pPr>
              <w:spacing w:after="120" w:line="276" w:lineRule="auto"/>
              <w:rPr>
                <w:rFonts w:cstheme="minorHAnsi"/>
                <w:lang w:val="en-AU"/>
              </w:rPr>
            </w:pPr>
            <w:r w:rsidRPr="006E0ED4">
              <w:rPr>
                <w:rFonts w:cstheme="minorHAnsi"/>
                <w:b/>
                <w:bCs/>
                <w:color w:val="0A2F41" w:themeColor="accent1" w:themeShade="80"/>
                <w:lang w:val="en-AU"/>
              </w:rPr>
              <w:t>Sources of evidence</w:t>
            </w:r>
          </w:p>
        </w:tc>
      </w:tr>
      <w:tr w:rsidR="00465F9B" w14:paraId="5A3E89A4" w14:textId="77777777" w:rsidTr="004811C8">
        <w:tc>
          <w:tcPr>
            <w:tcW w:w="3005" w:type="dxa"/>
          </w:tcPr>
          <w:p w14:paraId="12C2803A" w14:textId="60445174" w:rsidR="00465F9B" w:rsidRDefault="00B85614" w:rsidP="004811C8">
            <w:pPr>
              <w:spacing w:after="120" w:line="276" w:lineRule="auto"/>
              <w:rPr>
                <w:rFonts w:cstheme="minorHAnsi"/>
                <w:lang w:val="en-AU"/>
              </w:rPr>
            </w:pPr>
            <w:r w:rsidRPr="006E0ED4">
              <w:rPr>
                <w:rFonts w:cstheme="minorHAnsi"/>
                <w:lang w:val="en-AU"/>
              </w:rPr>
              <w:t>JC6.1 Stakeholders within Australia, ASEAN and their regional partners identify actual or changes that the program is contributing to or otherwise encouraging.</w:t>
            </w:r>
          </w:p>
        </w:tc>
        <w:tc>
          <w:tcPr>
            <w:tcW w:w="3005" w:type="dxa"/>
          </w:tcPr>
          <w:p w14:paraId="508AF6FA" w14:textId="77777777" w:rsidR="00935A3E" w:rsidRPr="006E0ED4" w:rsidRDefault="00935A3E" w:rsidP="00935A3E">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Availability of reference to changes in policies, practices, attitudes, in APSP reports, interviews</w:t>
            </w:r>
          </w:p>
          <w:p w14:paraId="7E31B660" w14:textId="77777777" w:rsidR="00935A3E" w:rsidRPr="006E0ED4" w:rsidRDefault="00935A3E" w:rsidP="00935A3E">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an increase in consultations with non-government actors in relation to political security, Track 2 approaches to potential/emerging conflicts, etc.</w:t>
            </w:r>
          </w:p>
          <w:p w14:paraId="23C8E087" w14:textId="542E6DBF" w:rsidR="00465F9B" w:rsidRPr="006B694A" w:rsidRDefault="00935A3E" w:rsidP="00935A3E">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Evidence of references to program impact by other actors</w:t>
            </w:r>
          </w:p>
        </w:tc>
        <w:tc>
          <w:tcPr>
            <w:tcW w:w="3006" w:type="dxa"/>
          </w:tcPr>
          <w:p w14:paraId="61717FBE" w14:textId="73BDDC88" w:rsidR="00465F9B" w:rsidRPr="00047263" w:rsidRDefault="00827A11" w:rsidP="00827A11">
            <w:pPr>
              <w:pStyle w:val="Tablecontent"/>
              <w:spacing w:after="0" w:line="276" w:lineRule="auto"/>
              <w:rPr>
                <w:rFonts w:asciiTheme="minorHAnsi" w:hAnsiTheme="minorHAnsi" w:cstheme="minorHAnsi"/>
                <w:sz w:val="21"/>
                <w:szCs w:val="21"/>
                <w:lang w:val="en-AU"/>
              </w:rPr>
            </w:pPr>
            <w:r w:rsidRPr="006E0ED4">
              <w:rPr>
                <w:rFonts w:asciiTheme="minorHAnsi" w:hAnsiTheme="minorHAnsi" w:cstheme="minorHAnsi"/>
                <w:i/>
                <w:iCs/>
                <w:color w:val="auto"/>
                <w:sz w:val="21"/>
                <w:szCs w:val="21"/>
                <w:lang w:val="en-AU"/>
              </w:rPr>
              <w:t>Sources as above</w:t>
            </w:r>
          </w:p>
        </w:tc>
      </w:tr>
      <w:tr w:rsidR="00465F9B" w14:paraId="2A685DE7" w14:textId="77777777" w:rsidTr="004811C8">
        <w:tc>
          <w:tcPr>
            <w:tcW w:w="3005" w:type="dxa"/>
          </w:tcPr>
          <w:p w14:paraId="70056330" w14:textId="77777777" w:rsidR="005374EA" w:rsidRPr="006E0ED4" w:rsidRDefault="005374EA" w:rsidP="005374EA">
            <w:pPr>
              <w:spacing w:line="276" w:lineRule="auto"/>
              <w:rPr>
                <w:rFonts w:cstheme="minorHAnsi"/>
                <w:lang w:val="en-AU"/>
              </w:rPr>
            </w:pPr>
            <w:r w:rsidRPr="006E0ED4">
              <w:rPr>
                <w:rFonts w:cstheme="minorHAnsi"/>
                <w:lang w:val="en-AU"/>
              </w:rPr>
              <w:t>JC6.2 Australian and ASEAN stakeholders perceive an increase in mutual understanding and trust in relation to one or more of the target political security areas.</w:t>
            </w:r>
          </w:p>
          <w:p w14:paraId="47637387" w14:textId="77777777" w:rsidR="00465F9B" w:rsidRDefault="00465F9B" w:rsidP="004811C8">
            <w:pPr>
              <w:spacing w:after="120" w:line="276" w:lineRule="auto"/>
              <w:rPr>
                <w:rFonts w:cstheme="minorHAnsi"/>
                <w:lang w:val="en-AU"/>
              </w:rPr>
            </w:pPr>
          </w:p>
        </w:tc>
        <w:tc>
          <w:tcPr>
            <w:tcW w:w="3005" w:type="dxa"/>
          </w:tcPr>
          <w:p w14:paraId="4D53E672" w14:textId="2408FF51" w:rsidR="00465F9B" w:rsidRPr="004D49D6" w:rsidRDefault="00935A3E" w:rsidP="004811C8">
            <w:pPr>
              <w:spacing w:after="120" w:line="276" w:lineRule="auto"/>
              <w:rPr>
                <w:rFonts w:cstheme="minorHAnsi"/>
                <w:i/>
                <w:iCs/>
                <w:lang w:val="en-AU"/>
              </w:rPr>
            </w:pPr>
            <w:r>
              <w:rPr>
                <w:rFonts w:cstheme="minorHAnsi"/>
                <w:i/>
                <w:iCs/>
                <w:lang w:val="en-AU"/>
              </w:rPr>
              <w:t xml:space="preserve">Same as above </w:t>
            </w:r>
          </w:p>
        </w:tc>
        <w:tc>
          <w:tcPr>
            <w:tcW w:w="3006" w:type="dxa"/>
          </w:tcPr>
          <w:p w14:paraId="26BC8C8A" w14:textId="4FBF8659" w:rsidR="00465F9B" w:rsidRPr="00915C10" w:rsidRDefault="00827A11" w:rsidP="004811C8">
            <w:pPr>
              <w:spacing w:after="120" w:line="276" w:lineRule="auto"/>
              <w:rPr>
                <w:rFonts w:cstheme="minorHAnsi"/>
                <w:i/>
                <w:iCs/>
                <w:lang w:val="en-AU"/>
              </w:rPr>
            </w:pPr>
            <w:r>
              <w:rPr>
                <w:rFonts w:cstheme="minorHAnsi"/>
                <w:i/>
                <w:iCs/>
                <w:lang w:val="en-AU"/>
              </w:rPr>
              <w:t xml:space="preserve">Same as above </w:t>
            </w:r>
          </w:p>
        </w:tc>
      </w:tr>
    </w:tbl>
    <w:p w14:paraId="09423968" w14:textId="65875A4C" w:rsidR="00724799" w:rsidRPr="00724799" w:rsidRDefault="00724799" w:rsidP="00446C37">
      <w:pPr>
        <w:spacing w:before="240" w:after="120" w:line="276" w:lineRule="auto"/>
        <w:rPr>
          <w:rFonts w:cstheme="minorHAnsi"/>
          <w:color w:val="156082" w:themeColor="accent1"/>
          <w:lang w:val="en-AU"/>
        </w:rPr>
      </w:pPr>
      <w:r w:rsidRPr="00724799">
        <w:rPr>
          <w:rFonts w:cstheme="minorHAnsi"/>
          <w:b/>
          <w:bCs/>
          <w:i/>
          <w:iCs/>
          <w:color w:val="156082" w:themeColor="accent1"/>
          <w:lang w:val="en-AU" w:eastAsia="it-IT"/>
        </w:rPr>
        <w:t>GEDSI</w:t>
      </w:r>
    </w:p>
    <w:p w14:paraId="54CBB83A" w14:textId="58B4BEE1" w:rsidR="00724799" w:rsidRDefault="00DC66DA" w:rsidP="00903D77">
      <w:pPr>
        <w:spacing w:after="120" w:line="276" w:lineRule="auto"/>
        <w:rPr>
          <w:rFonts w:cstheme="minorHAnsi"/>
          <w:b/>
          <w:bCs/>
          <w:i/>
          <w:iCs/>
          <w:color w:val="0A2F41" w:themeColor="accent1" w:themeShade="80"/>
          <w:lang w:val="en-AU"/>
        </w:rPr>
      </w:pPr>
      <w:r w:rsidRPr="006E0ED4">
        <w:rPr>
          <w:rFonts w:cstheme="minorHAnsi"/>
          <w:b/>
          <w:bCs/>
          <w:i/>
          <w:iCs/>
          <w:color w:val="0A2F41" w:themeColor="accent1" w:themeShade="80"/>
          <w:lang w:val="en-AU"/>
        </w:rPr>
        <w:t>EQ7 – To what extent has the program mainstreamed gender equality, disability and social inclusion in its activities, outcomes and impacts?</w:t>
      </w:r>
    </w:p>
    <w:tbl>
      <w:tblPr>
        <w:tblStyle w:val="TableGrid"/>
        <w:tblW w:w="0" w:type="auto"/>
        <w:tblLook w:val="0420" w:firstRow="1" w:lastRow="0" w:firstColumn="0" w:lastColumn="0" w:noHBand="0" w:noVBand="1"/>
      </w:tblPr>
      <w:tblGrid>
        <w:gridCol w:w="3005"/>
        <w:gridCol w:w="3005"/>
        <w:gridCol w:w="3006"/>
      </w:tblGrid>
      <w:tr w:rsidR="00DC66DA" w14:paraId="78EF3EBF" w14:textId="77777777" w:rsidTr="004811C8">
        <w:trPr>
          <w:tblHeader/>
        </w:trPr>
        <w:tc>
          <w:tcPr>
            <w:tcW w:w="3005" w:type="dxa"/>
            <w:shd w:val="clear" w:color="auto" w:fill="45B0E1" w:themeFill="accent1" w:themeFillTint="99"/>
          </w:tcPr>
          <w:p w14:paraId="0116165A" w14:textId="77777777" w:rsidR="00DC66DA" w:rsidRDefault="00DC66DA" w:rsidP="004811C8">
            <w:pPr>
              <w:spacing w:after="120" w:line="276" w:lineRule="auto"/>
              <w:rPr>
                <w:rFonts w:cstheme="minorHAnsi"/>
                <w:lang w:val="en-AU"/>
              </w:rPr>
            </w:pPr>
            <w:r w:rsidRPr="006E0ED4">
              <w:rPr>
                <w:rFonts w:cstheme="minorHAnsi"/>
                <w:b/>
                <w:bCs/>
                <w:color w:val="0A2F41" w:themeColor="accent1" w:themeShade="80"/>
                <w:lang w:val="en-AU"/>
              </w:rPr>
              <w:t>Judgement Criteria (JCs)</w:t>
            </w:r>
          </w:p>
        </w:tc>
        <w:tc>
          <w:tcPr>
            <w:tcW w:w="3005" w:type="dxa"/>
            <w:shd w:val="clear" w:color="auto" w:fill="45B0E1" w:themeFill="accent1" w:themeFillTint="99"/>
          </w:tcPr>
          <w:p w14:paraId="4764367D" w14:textId="77777777" w:rsidR="00DC66DA" w:rsidRDefault="00DC66DA" w:rsidP="004811C8">
            <w:pPr>
              <w:spacing w:after="120" w:line="276" w:lineRule="auto"/>
              <w:rPr>
                <w:rFonts w:cstheme="minorHAnsi"/>
                <w:lang w:val="en-AU"/>
              </w:rPr>
            </w:pPr>
            <w:r w:rsidRPr="006E0ED4">
              <w:rPr>
                <w:rFonts w:cstheme="minorHAnsi"/>
                <w:b/>
                <w:bCs/>
                <w:color w:val="0A2F41" w:themeColor="accent1" w:themeShade="80"/>
                <w:lang w:val="en-AU"/>
              </w:rPr>
              <w:t>Indicators / Evidence</w:t>
            </w:r>
          </w:p>
        </w:tc>
        <w:tc>
          <w:tcPr>
            <w:tcW w:w="3006" w:type="dxa"/>
            <w:shd w:val="clear" w:color="auto" w:fill="45B0E1" w:themeFill="accent1" w:themeFillTint="99"/>
          </w:tcPr>
          <w:p w14:paraId="6A8B314D" w14:textId="77777777" w:rsidR="00DC66DA" w:rsidRDefault="00DC66DA" w:rsidP="004811C8">
            <w:pPr>
              <w:spacing w:after="120" w:line="276" w:lineRule="auto"/>
              <w:rPr>
                <w:rFonts w:cstheme="minorHAnsi"/>
                <w:lang w:val="en-AU"/>
              </w:rPr>
            </w:pPr>
            <w:r w:rsidRPr="006E0ED4">
              <w:rPr>
                <w:rFonts w:cstheme="minorHAnsi"/>
                <w:b/>
                <w:bCs/>
                <w:color w:val="0A2F41" w:themeColor="accent1" w:themeShade="80"/>
                <w:lang w:val="en-AU"/>
              </w:rPr>
              <w:t>Sources of evidence</w:t>
            </w:r>
          </w:p>
        </w:tc>
      </w:tr>
      <w:tr w:rsidR="006107C3" w14:paraId="388B1D04" w14:textId="77777777" w:rsidTr="004811C8">
        <w:tc>
          <w:tcPr>
            <w:tcW w:w="3005" w:type="dxa"/>
          </w:tcPr>
          <w:p w14:paraId="3D9C593A" w14:textId="77777777" w:rsidR="006107C3" w:rsidRPr="006E0ED4" w:rsidRDefault="006107C3" w:rsidP="006107C3">
            <w:pPr>
              <w:pStyle w:val="Tablecontent"/>
              <w:spacing w:after="0" w:line="276" w:lineRule="auto"/>
              <w:rPr>
                <w:rFonts w:asciiTheme="minorHAnsi" w:hAnsiTheme="minorHAnsi" w:cstheme="minorHAnsi"/>
                <w:sz w:val="21"/>
                <w:szCs w:val="21"/>
                <w:lang w:val="en-AU"/>
              </w:rPr>
            </w:pPr>
            <w:r w:rsidRPr="006E0ED4">
              <w:rPr>
                <w:rFonts w:asciiTheme="minorHAnsi" w:hAnsiTheme="minorHAnsi" w:cstheme="minorHAnsi"/>
                <w:sz w:val="21"/>
                <w:szCs w:val="21"/>
                <w:lang w:val="en-AU"/>
              </w:rPr>
              <w:t>Note: GEDSI is to be addressed as part of the discussion of each evaluation criteria. Nevertheless, it is important to also address GEDSI implementation as a standalone element of the evaluation, particularly by drawing lessons from GEDSI-related findings under each of the above EQ. The indicators listed here are the GEDSI-specific KPIs listed in the APSP MEL Plan, section 3.2</w:t>
            </w:r>
          </w:p>
          <w:p w14:paraId="0D47152F" w14:textId="567ABC73" w:rsidR="006107C3" w:rsidRDefault="006107C3" w:rsidP="006107C3">
            <w:pPr>
              <w:spacing w:after="120" w:line="276" w:lineRule="auto"/>
              <w:rPr>
                <w:rFonts w:cstheme="minorHAnsi"/>
                <w:lang w:val="en-AU"/>
              </w:rPr>
            </w:pPr>
          </w:p>
        </w:tc>
        <w:tc>
          <w:tcPr>
            <w:tcW w:w="3005" w:type="dxa"/>
          </w:tcPr>
          <w:p w14:paraId="6DB48BBD" w14:textId="77777777" w:rsidR="006107C3" w:rsidRPr="006E0ED4" w:rsidRDefault="006107C3" w:rsidP="006107C3">
            <w:pPr>
              <w:pStyle w:val="Tablecontent"/>
              <w:numPr>
                <w:ilvl w:val="0"/>
                <w:numId w:val="17"/>
              </w:numPr>
              <w:spacing w:after="0" w:line="276" w:lineRule="auto"/>
              <w:ind w:left="379"/>
              <w:rPr>
                <w:rFonts w:asciiTheme="minorHAnsi" w:hAnsiTheme="minorHAnsi" w:cstheme="minorHAnsi"/>
                <w:sz w:val="21"/>
                <w:szCs w:val="21"/>
                <w:lang w:val="en-AU"/>
              </w:rPr>
            </w:pPr>
            <w:r w:rsidRPr="006E0ED4">
              <w:rPr>
                <w:rFonts w:asciiTheme="minorHAnsi" w:hAnsiTheme="minorHAnsi" w:cstheme="minorHAnsi"/>
                <w:bCs/>
                <w:color w:val="000000" w:themeColor="text1"/>
                <w:sz w:val="21"/>
                <w:szCs w:val="21"/>
                <w:lang w:val="en-AU"/>
              </w:rPr>
              <w:t>At least one GEDSI-focused activity in each policy area of APSP</w:t>
            </w:r>
          </w:p>
          <w:p w14:paraId="4261D276" w14:textId="77777777" w:rsidR="006107C3" w:rsidRPr="006E0ED4" w:rsidRDefault="006107C3" w:rsidP="006107C3">
            <w:pPr>
              <w:pStyle w:val="Tablecontent"/>
              <w:numPr>
                <w:ilvl w:val="0"/>
                <w:numId w:val="17"/>
              </w:numPr>
              <w:spacing w:after="0" w:line="276" w:lineRule="auto"/>
              <w:ind w:left="379"/>
              <w:rPr>
                <w:rFonts w:asciiTheme="minorHAnsi" w:hAnsiTheme="minorHAnsi" w:cstheme="minorHAnsi"/>
                <w:sz w:val="21"/>
                <w:szCs w:val="21"/>
                <w:lang w:val="en-AU"/>
              </w:rPr>
            </w:pPr>
            <w:r w:rsidRPr="006E0ED4">
              <w:rPr>
                <w:rFonts w:asciiTheme="minorHAnsi" w:hAnsiTheme="minorHAnsi" w:cstheme="minorHAnsi"/>
                <w:bCs/>
                <w:color w:val="000000" w:themeColor="text1"/>
                <w:sz w:val="21"/>
                <w:szCs w:val="21"/>
                <w:lang w:val="en-AU"/>
              </w:rPr>
              <w:t>GEDSI is fully taken into consideration in the conceptualisation and formulation of all activities of APSP</w:t>
            </w:r>
          </w:p>
          <w:p w14:paraId="3DD3DBFF" w14:textId="77777777" w:rsidR="006107C3" w:rsidRPr="006E0ED4" w:rsidRDefault="006107C3" w:rsidP="006107C3">
            <w:pPr>
              <w:pStyle w:val="Tablecontent"/>
              <w:numPr>
                <w:ilvl w:val="0"/>
                <w:numId w:val="17"/>
              </w:numPr>
              <w:spacing w:after="0" w:line="276" w:lineRule="auto"/>
              <w:ind w:left="379"/>
              <w:rPr>
                <w:rFonts w:asciiTheme="minorHAnsi" w:hAnsiTheme="minorHAnsi" w:cstheme="minorHAnsi"/>
                <w:sz w:val="21"/>
                <w:szCs w:val="21"/>
                <w:lang w:val="en-AU"/>
              </w:rPr>
            </w:pPr>
            <w:r w:rsidRPr="006E0ED4">
              <w:rPr>
                <w:rFonts w:asciiTheme="minorHAnsi" w:hAnsiTheme="minorHAnsi" w:cstheme="minorHAnsi"/>
                <w:bCs/>
                <w:color w:val="000000" w:themeColor="text1"/>
                <w:sz w:val="21"/>
                <w:szCs w:val="21"/>
                <w:lang w:val="en-AU"/>
              </w:rPr>
              <w:t>At least 25% of participants in APSP activities (workshops, training, dialogue, etc) are women</w:t>
            </w:r>
          </w:p>
          <w:p w14:paraId="03ABAB65" w14:textId="77777777" w:rsidR="006107C3" w:rsidRPr="006E0ED4" w:rsidRDefault="006107C3" w:rsidP="006107C3">
            <w:pPr>
              <w:pStyle w:val="Tablecontent"/>
              <w:numPr>
                <w:ilvl w:val="0"/>
                <w:numId w:val="17"/>
              </w:numPr>
              <w:spacing w:after="0" w:line="276" w:lineRule="auto"/>
              <w:ind w:left="379"/>
              <w:rPr>
                <w:rFonts w:asciiTheme="minorHAnsi" w:hAnsiTheme="minorHAnsi" w:cstheme="minorHAnsi"/>
                <w:sz w:val="21"/>
                <w:szCs w:val="21"/>
                <w:lang w:val="en-AU"/>
              </w:rPr>
            </w:pPr>
            <w:r w:rsidRPr="006E0ED4">
              <w:rPr>
                <w:rFonts w:asciiTheme="minorHAnsi" w:hAnsiTheme="minorHAnsi" w:cstheme="minorHAnsi"/>
                <w:bCs/>
                <w:color w:val="000000" w:themeColor="text1"/>
                <w:sz w:val="21"/>
                <w:szCs w:val="21"/>
                <w:lang w:val="en-AU"/>
              </w:rPr>
              <w:t>General positive feedback from women participants or other GEDSI-specific groups of APSP activities</w:t>
            </w:r>
          </w:p>
          <w:p w14:paraId="6BDAE86D" w14:textId="77777777" w:rsidR="006107C3" w:rsidRPr="006E0ED4" w:rsidRDefault="006107C3" w:rsidP="006107C3">
            <w:pPr>
              <w:pStyle w:val="Tablecontent"/>
              <w:numPr>
                <w:ilvl w:val="0"/>
                <w:numId w:val="17"/>
              </w:numPr>
              <w:spacing w:after="0" w:line="276" w:lineRule="auto"/>
              <w:ind w:left="379"/>
              <w:rPr>
                <w:rFonts w:asciiTheme="minorHAnsi" w:hAnsiTheme="minorHAnsi" w:cstheme="minorHAnsi"/>
                <w:sz w:val="21"/>
                <w:szCs w:val="21"/>
                <w:lang w:val="en-AU"/>
              </w:rPr>
            </w:pPr>
            <w:r w:rsidRPr="006E0ED4">
              <w:rPr>
                <w:rFonts w:asciiTheme="minorHAnsi" w:hAnsiTheme="minorHAnsi" w:cstheme="minorHAnsi"/>
                <w:bCs/>
                <w:color w:val="000000" w:themeColor="text1"/>
                <w:sz w:val="21"/>
                <w:szCs w:val="21"/>
                <w:lang w:val="en-AU"/>
              </w:rPr>
              <w:lastRenderedPageBreak/>
              <w:t>Minimum of 45% of the total budget under TAF management is dedicated to GEDSI-specific and GEDSI-mainstreamed activities</w:t>
            </w:r>
          </w:p>
          <w:p w14:paraId="48139A47" w14:textId="77777777" w:rsidR="006107C3" w:rsidRPr="006E0ED4" w:rsidRDefault="006107C3" w:rsidP="006107C3">
            <w:pPr>
              <w:pStyle w:val="Tablecontent"/>
              <w:numPr>
                <w:ilvl w:val="0"/>
                <w:numId w:val="17"/>
              </w:numPr>
              <w:spacing w:after="0" w:line="276" w:lineRule="auto"/>
              <w:ind w:left="379"/>
              <w:rPr>
                <w:rFonts w:asciiTheme="minorHAnsi" w:hAnsiTheme="minorHAnsi" w:cstheme="minorHAnsi"/>
                <w:sz w:val="21"/>
                <w:szCs w:val="21"/>
                <w:lang w:val="en-AU"/>
              </w:rPr>
            </w:pPr>
            <w:r w:rsidRPr="006E0ED4">
              <w:rPr>
                <w:rFonts w:asciiTheme="minorHAnsi" w:hAnsiTheme="minorHAnsi" w:cstheme="minorHAnsi"/>
                <w:bCs/>
                <w:color w:val="000000" w:themeColor="text1"/>
                <w:sz w:val="21"/>
                <w:szCs w:val="21"/>
                <w:lang w:val="en-AU"/>
              </w:rPr>
              <w:t>Disability rights and/or inclusion are expressly addressed in the content of at least three APSP activities</w:t>
            </w:r>
          </w:p>
          <w:p w14:paraId="33127939" w14:textId="77777777" w:rsidR="006107C3" w:rsidRPr="006E0ED4" w:rsidRDefault="006107C3" w:rsidP="006107C3">
            <w:pPr>
              <w:pStyle w:val="Tablecontent"/>
              <w:numPr>
                <w:ilvl w:val="0"/>
                <w:numId w:val="17"/>
              </w:numPr>
              <w:spacing w:after="0" w:line="276" w:lineRule="auto"/>
              <w:ind w:left="379"/>
              <w:rPr>
                <w:rFonts w:asciiTheme="minorHAnsi" w:hAnsiTheme="minorHAnsi" w:cstheme="minorHAnsi"/>
                <w:sz w:val="21"/>
                <w:szCs w:val="21"/>
                <w:lang w:val="en-AU"/>
              </w:rPr>
            </w:pPr>
            <w:r w:rsidRPr="006E0ED4">
              <w:rPr>
                <w:rFonts w:asciiTheme="minorHAnsi" w:hAnsiTheme="minorHAnsi" w:cstheme="minorHAnsi"/>
                <w:bCs/>
                <w:color w:val="000000" w:themeColor="text1"/>
                <w:sz w:val="21"/>
                <w:szCs w:val="21"/>
                <w:lang w:val="en-AU"/>
              </w:rPr>
              <w:t>Disability inclusion principles, including identifying and addressing barriers to inclusion and opportunities for participation, are taken into consideration in all activity implementation</w:t>
            </w:r>
          </w:p>
          <w:p w14:paraId="6B1B534B" w14:textId="66C15AF8" w:rsidR="006107C3" w:rsidRPr="006B694A" w:rsidRDefault="006107C3" w:rsidP="006107C3">
            <w:pPr>
              <w:pStyle w:val="Tablecontent"/>
              <w:numPr>
                <w:ilvl w:val="0"/>
                <w:numId w:val="9"/>
              </w:numPr>
              <w:spacing w:after="0" w:line="276" w:lineRule="auto"/>
              <w:rPr>
                <w:rFonts w:asciiTheme="minorHAnsi" w:hAnsiTheme="minorHAnsi" w:cstheme="minorHAnsi"/>
                <w:sz w:val="21"/>
                <w:szCs w:val="21"/>
                <w:lang w:val="en-AU"/>
              </w:rPr>
            </w:pPr>
            <w:r w:rsidRPr="006E0ED4">
              <w:rPr>
                <w:rFonts w:asciiTheme="minorHAnsi" w:hAnsiTheme="minorHAnsi" w:cstheme="minorHAnsi"/>
                <w:bCs/>
                <w:color w:val="000000" w:themeColor="text1"/>
                <w:sz w:val="21"/>
                <w:szCs w:val="21"/>
                <w:lang w:val="en-AU"/>
              </w:rPr>
              <w:t>Disability inclusion principles, including identifying and addressing barriers to inclusion and opportunities for participation, are taken into consideration in all activity participants</w:t>
            </w:r>
          </w:p>
        </w:tc>
        <w:tc>
          <w:tcPr>
            <w:tcW w:w="3006" w:type="dxa"/>
          </w:tcPr>
          <w:p w14:paraId="689AFE4F" w14:textId="77777777" w:rsidR="008F0814" w:rsidRPr="006E0ED4" w:rsidRDefault="008F0814" w:rsidP="008F0814">
            <w:pPr>
              <w:pStyle w:val="Tablecontent"/>
              <w:spacing w:after="0" w:line="276" w:lineRule="auto"/>
              <w:rPr>
                <w:rFonts w:asciiTheme="minorHAnsi" w:hAnsiTheme="minorHAnsi" w:cstheme="minorHAnsi"/>
                <w:sz w:val="21"/>
                <w:szCs w:val="21"/>
                <w:lang w:val="en-AU"/>
              </w:rPr>
            </w:pPr>
            <w:r w:rsidRPr="006E0ED4">
              <w:rPr>
                <w:rFonts w:asciiTheme="minorHAnsi" w:hAnsiTheme="minorHAnsi" w:cstheme="minorHAnsi"/>
                <w:i/>
                <w:iCs/>
                <w:sz w:val="21"/>
                <w:szCs w:val="21"/>
                <w:lang w:val="en-AU"/>
              </w:rPr>
              <w:lastRenderedPageBreak/>
              <w:t>Sources as above, and:</w:t>
            </w:r>
          </w:p>
          <w:p w14:paraId="1D1AFC29" w14:textId="77777777" w:rsidR="008F0814" w:rsidRPr="006E0ED4" w:rsidRDefault="008F0814" w:rsidP="008F0814">
            <w:pPr>
              <w:pStyle w:val="Tablecontent"/>
              <w:numPr>
                <w:ilvl w:val="0"/>
                <w:numId w:val="6"/>
              </w:numPr>
              <w:spacing w:after="0" w:line="276" w:lineRule="auto"/>
              <w:ind w:left="385"/>
              <w:rPr>
                <w:rFonts w:asciiTheme="minorHAnsi" w:hAnsiTheme="minorHAnsi" w:cstheme="minorHAnsi"/>
                <w:sz w:val="21"/>
                <w:szCs w:val="21"/>
                <w:lang w:val="en-AU"/>
              </w:rPr>
            </w:pPr>
            <w:r w:rsidRPr="006E0ED4">
              <w:rPr>
                <w:rFonts w:asciiTheme="minorHAnsi" w:hAnsiTheme="minorHAnsi" w:cstheme="minorHAnsi"/>
                <w:sz w:val="21"/>
                <w:szCs w:val="21"/>
                <w:lang w:val="en-AU"/>
              </w:rPr>
              <w:t>If possible, interviews with people living with disabilities who have been involved in APSP activities</w:t>
            </w:r>
          </w:p>
          <w:p w14:paraId="125741FC" w14:textId="2A21AA9C" w:rsidR="006107C3" w:rsidRPr="00047263" w:rsidRDefault="006107C3" w:rsidP="006107C3">
            <w:pPr>
              <w:pStyle w:val="Tablecontent"/>
              <w:spacing w:after="0" w:line="276" w:lineRule="auto"/>
              <w:rPr>
                <w:rFonts w:asciiTheme="minorHAnsi" w:hAnsiTheme="minorHAnsi" w:cstheme="minorHAnsi"/>
                <w:sz w:val="21"/>
                <w:szCs w:val="21"/>
                <w:lang w:val="en-AU"/>
              </w:rPr>
            </w:pPr>
          </w:p>
        </w:tc>
      </w:tr>
    </w:tbl>
    <w:p w14:paraId="55C1ACA9" w14:textId="77777777" w:rsidR="00446C37" w:rsidRDefault="00446C37" w:rsidP="00446C37">
      <w:pPr>
        <w:rPr>
          <w:lang w:val="en-AU"/>
        </w:rPr>
      </w:pPr>
      <w:bookmarkStart w:id="25" w:name="_Toc206492275"/>
      <w:r>
        <w:rPr>
          <w:lang w:val="en-AU"/>
        </w:rPr>
        <w:br w:type="page"/>
      </w:r>
    </w:p>
    <w:p w14:paraId="68431A72" w14:textId="01D7FAEB" w:rsidR="002C319A" w:rsidRPr="007C3B9D" w:rsidRDefault="000E2E79" w:rsidP="00903D77">
      <w:pPr>
        <w:pStyle w:val="Heading1"/>
        <w:pBdr>
          <w:bottom w:val="single" w:sz="4" w:space="0" w:color="595959" w:themeColor="text1" w:themeTint="A6"/>
        </w:pBdr>
        <w:spacing w:before="0" w:after="120" w:line="276" w:lineRule="auto"/>
        <w:rPr>
          <w:lang w:val="en-AU"/>
        </w:rPr>
      </w:pPr>
      <w:r w:rsidRPr="007C3B9D">
        <w:rPr>
          <w:lang w:val="en-AU"/>
        </w:rPr>
        <w:lastRenderedPageBreak/>
        <w:t xml:space="preserve">Annex 3: </w:t>
      </w:r>
      <w:r w:rsidR="00433DBD" w:rsidRPr="007C3B9D">
        <w:rPr>
          <w:lang w:val="en-AU"/>
        </w:rPr>
        <w:t>L</w:t>
      </w:r>
      <w:r w:rsidRPr="007C3B9D">
        <w:rPr>
          <w:lang w:val="en-AU"/>
        </w:rPr>
        <w:t xml:space="preserve">ist of </w:t>
      </w:r>
      <w:r w:rsidR="00433DBD" w:rsidRPr="007C3B9D">
        <w:rPr>
          <w:lang w:val="en-AU"/>
        </w:rPr>
        <w:t>I</w:t>
      </w:r>
      <w:r w:rsidRPr="007C3B9D">
        <w:rPr>
          <w:lang w:val="en-AU"/>
        </w:rPr>
        <w:t>nterviewees</w:t>
      </w:r>
      <w:bookmarkEnd w:id="25"/>
    </w:p>
    <w:p w14:paraId="2A3FAFAC" w14:textId="47FDEC55" w:rsidR="00E15175" w:rsidRDefault="00E15175" w:rsidP="00903D77">
      <w:pPr>
        <w:spacing w:after="120" w:line="276" w:lineRule="auto"/>
        <w:rPr>
          <w:lang w:val="en-AU"/>
        </w:rPr>
      </w:pPr>
    </w:p>
    <w:p w14:paraId="352F9A81" w14:textId="52D6F2B1" w:rsidR="005457C0" w:rsidRPr="004D297D" w:rsidRDefault="004D297D" w:rsidP="00903D77">
      <w:pPr>
        <w:spacing w:after="120" w:line="276" w:lineRule="auto"/>
        <w:rPr>
          <w:b/>
          <w:bCs/>
          <w:lang w:val="en-AU"/>
        </w:rPr>
      </w:pPr>
      <w:r w:rsidRPr="004D297D">
        <w:rPr>
          <w:b/>
          <w:bCs/>
          <w:lang w:val="en-AU"/>
        </w:rPr>
        <w:t xml:space="preserve">The Asia Foundation </w:t>
      </w:r>
    </w:p>
    <w:tbl>
      <w:tblPr>
        <w:tblW w:w="5036"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ayout w:type="fixed"/>
        <w:tblLook w:val="04A0" w:firstRow="1" w:lastRow="0" w:firstColumn="1" w:lastColumn="0" w:noHBand="0" w:noVBand="1"/>
      </w:tblPr>
      <w:tblGrid>
        <w:gridCol w:w="1839"/>
        <w:gridCol w:w="3661"/>
        <w:gridCol w:w="2735"/>
        <w:gridCol w:w="846"/>
      </w:tblGrid>
      <w:tr w:rsidR="004D297D" w:rsidRPr="004D297D" w14:paraId="772526D0" w14:textId="77777777" w:rsidTr="004811C8">
        <w:trPr>
          <w:trHeight w:val="320"/>
          <w:tblHeader/>
        </w:trPr>
        <w:tc>
          <w:tcPr>
            <w:tcW w:w="1012" w:type="pct"/>
            <w:shd w:val="clear" w:color="auto" w:fill="45B0E1" w:themeFill="accent1" w:themeFillTint="99"/>
            <w:noWrap/>
          </w:tcPr>
          <w:p w14:paraId="58B4DBBD" w14:textId="77777777" w:rsidR="004D297D" w:rsidRPr="004D297D" w:rsidRDefault="004D297D" w:rsidP="004D297D">
            <w:pPr>
              <w:spacing w:after="0" w:line="276" w:lineRule="auto"/>
              <w:rPr>
                <w:rFonts w:eastAsia="Times New Roman" w:cs="Calibri"/>
                <w:b/>
                <w:bCs/>
                <w:lang w:val="en-AU" w:eastAsia="en-GB"/>
              </w:rPr>
            </w:pPr>
            <w:r w:rsidRPr="004D297D">
              <w:rPr>
                <w:rFonts w:eastAsia="Times New Roman" w:cs="Calibri"/>
                <w:b/>
                <w:bCs/>
                <w:lang w:val="en-AU" w:eastAsia="en-GB"/>
              </w:rPr>
              <w:t>Name</w:t>
            </w:r>
          </w:p>
        </w:tc>
        <w:tc>
          <w:tcPr>
            <w:tcW w:w="2016" w:type="pct"/>
            <w:shd w:val="clear" w:color="auto" w:fill="45B0E1" w:themeFill="accent1" w:themeFillTint="99"/>
            <w:noWrap/>
          </w:tcPr>
          <w:p w14:paraId="2D5ED9B2" w14:textId="77777777" w:rsidR="004D297D" w:rsidRPr="004D297D" w:rsidRDefault="004D297D" w:rsidP="004D297D">
            <w:pPr>
              <w:spacing w:after="0" w:line="276" w:lineRule="auto"/>
              <w:rPr>
                <w:rFonts w:eastAsia="Times New Roman" w:cs="Calibri"/>
                <w:b/>
                <w:bCs/>
                <w:lang w:val="en-AU" w:eastAsia="en-GB"/>
              </w:rPr>
            </w:pPr>
            <w:r w:rsidRPr="004D297D">
              <w:rPr>
                <w:rFonts w:eastAsia="Times New Roman" w:cs="Calibri"/>
                <w:b/>
                <w:bCs/>
                <w:lang w:val="en-AU" w:eastAsia="en-GB"/>
              </w:rPr>
              <w:t>Role</w:t>
            </w:r>
          </w:p>
        </w:tc>
        <w:tc>
          <w:tcPr>
            <w:tcW w:w="1506" w:type="pct"/>
            <w:shd w:val="clear" w:color="auto" w:fill="45B0E1" w:themeFill="accent1" w:themeFillTint="99"/>
            <w:noWrap/>
          </w:tcPr>
          <w:p w14:paraId="2AD25B0E" w14:textId="77777777" w:rsidR="004D297D" w:rsidRPr="004D297D" w:rsidRDefault="004D297D" w:rsidP="004D297D">
            <w:pPr>
              <w:spacing w:after="0" w:line="276" w:lineRule="auto"/>
              <w:rPr>
                <w:rFonts w:eastAsia="Times New Roman" w:cs="Calibri"/>
                <w:b/>
                <w:bCs/>
                <w:lang w:val="en-AU" w:eastAsia="en-GB"/>
              </w:rPr>
            </w:pPr>
            <w:r w:rsidRPr="004D297D">
              <w:rPr>
                <w:rFonts w:eastAsia="Times New Roman" w:cs="Calibri"/>
                <w:b/>
                <w:bCs/>
                <w:lang w:val="en-AU" w:eastAsia="en-GB"/>
              </w:rPr>
              <w:t>Institution</w:t>
            </w:r>
          </w:p>
        </w:tc>
        <w:tc>
          <w:tcPr>
            <w:tcW w:w="467" w:type="pct"/>
            <w:shd w:val="clear" w:color="auto" w:fill="45B0E1" w:themeFill="accent1" w:themeFillTint="99"/>
          </w:tcPr>
          <w:p w14:paraId="62FBF64F" w14:textId="77777777" w:rsidR="004D297D" w:rsidRPr="004D297D" w:rsidRDefault="004D297D" w:rsidP="004D297D">
            <w:pPr>
              <w:spacing w:after="0" w:line="276" w:lineRule="auto"/>
              <w:rPr>
                <w:rFonts w:eastAsia="Times New Roman" w:cs="Calibri"/>
                <w:b/>
                <w:bCs/>
                <w:lang w:val="en-AU" w:eastAsia="en-GB"/>
              </w:rPr>
            </w:pPr>
            <w:r w:rsidRPr="004D297D">
              <w:rPr>
                <w:rFonts w:eastAsia="Times New Roman" w:cs="Calibri"/>
                <w:b/>
                <w:bCs/>
                <w:lang w:val="en-AU" w:eastAsia="en-GB"/>
              </w:rPr>
              <w:t>M/F</w:t>
            </w:r>
          </w:p>
        </w:tc>
      </w:tr>
      <w:tr w:rsidR="004D297D" w:rsidRPr="004D297D" w14:paraId="752910DA" w14:textId="77777777" w:rsidTr="004811C8">
        <w:trPr>
          <w:trHeight w:val="320"/>
        </w:trPr>
        <w:tc>
          <w:tcPr>
            <w:tcW w:w="1012" w:type="pct"/>
            <w:shd w:val="clear" w:color="auto" w:fill="auto"/>
            <w:noWrap/>
            <w:hideMark/>
          </w:tcPr>
          <w:p w14:paraId="674EEBE7"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Thomas Parks</w:t>
            </w:r>
          </w:p>
        </w:tc>
        <w:tc>
          <w:tcPr>
            <w:tcW w:w="2016" w:type="pct"/>
            <w:shd w:val="clear" w:color="auto" w:fill="auto"/>
            <w:noWrap/>
            <w:hideMark/>
          </w:tcPr>
          <w:p w14:paraId="59BCDDF3"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Former Country Representative/Present Vice President for Strategic Partnerships</w:t>
            </w:r>
          </w:p>
        </w:tc>
        <w:tc>
          <w:tcPr>
            <w:tcW w:w="1506" w:type="pct"/>
            <w:shd w:val="clear" w:color="auto" w:fill="auto"/>
            <w:noWrap/>
            <w:hideMark/>
          </w:tcPr>
          <w:p w14:paraId="3D9B95BC"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w:t>
            </w:r>
          </w:p>
        </w:tc>
        <w:tc>
          <w:tcPr>
            <w:tcW w:w="467" w:type="pct"/>
          </w:tcPr>
          <w:p w14:paraId="14CC1AB3"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M</w:t>
            </w:r>
          </w:p>
        </w:tc>
      </w:tr>
      <w:tr w:rsidR="004D297D" w:rsidRPr="004D297D" w14:paraId="009BC0F9" w14:textId="77777777" w:rsidTr="004811C8">
        <w:trPr>
          <w:trHeight w:val="320"/>
        </w:trPr>
        <w:tc>
          <w:tcPr>
            <w:tcW w:w="1012" w:type="pct"/>
            <w:shd w:val="clear" w:color="auto" w:fill="auto"/>
            <w:noWrap/>
            <w:hideMark/>
          </w:tcPr>
          <w:p w14:paraId="43787481"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Nur Ismi Hamid</w:t>
            </w:r>
          </w:p>
        </w:tc>
        <w:tc>
          <w:tcPr>
            <w:tcW w:w="2016" w:type="pct"/>
            <w:shd w:val="clear" w:color="auto" w:fill="auto"/>
            <w:noWrap/>
            <w:hideMark/>
          </w:tcPr>
          <w:p w14:paraId="7F1A55B2"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Regional Program Operation Officer</w:t>
            </w:r>
          </w:p>
        </w:tc>
        <w:tc>
          <w:tcPr>
            <w:tcW w:w="1506" w:type="pct"/>
            <w:shd w:val="clear" w:color="auto" w:fill="auto"/>
            <w:noWrap/>
            <w:hideMark/>
          </w:tcPr>
          <w:p w14:paraId="30568FE4"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 – Indonesia</w:t>
            </w:r>
          </w:p>
        </w:tc>
        <w:tc>
          <w:tcPr>
            <w:tcW w:w="467" w:type="pct"/>
          </w:tcPr>
          <w:p w14:paraId="03DAEBFB"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F</w:t>
            </w:r>
          </w:p>
        </w:tc>
      </w:tr>
      <w:tr w:rsidR="004D297D" w:rsidRPr="004D297D" w14:paraId="3AFDC303" w14:textId="77777777" w:rsidTr="004811C8">
        <w:trPr>
          <w:trHeight w:val="320"/>
        </w:trPr>
        <w:tc>
          <w:tcPr>
            <w:tcW w:w="1012" w:type="pct"/>
            <w:shd w:val="clear" w:color="auto" w:fill="auto"/>
            <w:noWrap/>
            <w:hideMark/>
          </w:tcPr>
          <w:p w14:paraId="7246BA30"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Alvin Kurnia Sandy</w:t>
            </w:r>
          </w:p>
        </w:tc>
        <w:tc>
          <w:tcPr>
            <w:tcW w:w="2016" w:type="pct"/>
            <w:shd w:val="clear" w:color="auto" w:fill="auto"/>
            <w:noWrap/>
            <w:hideMark/>
          </w:tcPr>
          <w:p w14:paraId="1E61CA50"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Regional Program Officer</w:t>
            </w:r>
          </w:p>
        </w:tc>
        <w:tc>
          <w:tcPr>
            <w:tcW w:w="1506" w:type="pct"/>
            <w:shd w:val="clear" w:color="auto" w:fill="auto"/>
            <w:noWrap/>
            <w:hideMark/>
          </w:tcPr>
          <w:p w14:paraId="289B1C48"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 – Indonesia</w:t>
            </w:r>
          </w:p>
        </w:tc>
        <w:tc>
          <w:tcPr>
            <w:tcW w:w="467" w:type="pct"/>
          </w:tcPr>
          <w:p w14:paraId="6198B8FE"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M</w:t>
            </w:r>
          </w:p>
        </w:tc>
      </w:tr>
      <w:tr w:rsidR="004D297D" w:rsidRPr="004D297D" w14:paraId="065718BC" w14:textId="77777777" w:rsidTr="004811C8">
        <w:trPr>
          <w:trHeight w:val="320"/>
        </w:trPr>
        <w:tc>
          <w:tcPr>
            <w:tcW w:w="1012" w:type="pct"/>
            <w:shd w:val="clear" w:color="auto" w:fill="auto"/>
            <w:noWrap/>
            <w:hideMark/>
          </w:tcPr>
          <w:p w14:paraId="342F22A8"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Carla Silbert</w:t>
            </w:r>
          </w:p>
        </w:tc>
        <w:tc>
          <w:tcPr>
            <w:tcW w:w="2016" w:type="pct"/>
            <w:shd w:val="clear" w:color="auto" w:fill="auto"/>
            <w:noWrap/>
            <w:hideMark/>
          </w:tcPr>
          <w:p w14:paraId="0F515556"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Program Advisor - Women, Peace and Security and Gender Equality and Social Inclusion Advisor for ASEAN</w:t>
            </w:r>
          </w:p>
        </w:tc>
        <w:tc>
          <w:tcPr>
            <w:tcW w:w="1506" w:type="pct"/>
            <w:shd w:val="clear" w:color="auto" w:fill="auto"/>
            <w:noWrap/>
            <w:hideMark/>
          </w:tcPr>
          <w:p w14:paraId="3E43709A"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 - Lao PDR</w:t>
            </w:r>
          </w:p>
        </w:tc>
        <w:tc>
          <w:tcPr>
            <w:tcW w:w="467" w:type="pct"/>
          </w:tcPr>
          <w:p w14:paraId="3C438BCD"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F</w:t>
            </w:r>
          </w:p>
        </w:tc>
      </w:tr>
      <w:tr w:rsidR="004D297D" w:rsidRPr="004D297D" w14:paraId="40999BCE" w14:textId="77777777" w:rsidTr="004811C8">
        <w:trPr>
          <w:trHeight w:val="320"/>
        </w:trPr>
        <w:tc>
          <w:tcPr>
            <w:tcW w:w="1012" w:type="pct"/>
            <w:shd w:val="clear" w:color="auto" w:fill="auto"/>
            <w:noWrap/>
            <w:hideMark/>
          </w:tcPr>
          <w:p w14:paraId="565C8EEE"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Mark McDowell</w:t>
            </w:r>
          </w:p>
        </w:tc>
        <w:tc>
          <w:tcPr>
            <w:tcW w:w="2016" w:type="pct"/>
            <w:shd w:val="clear" w:color="auto" w:fill="auto"/>
            <w:noWrap/>
            <w:hideMark/>
          </w:tcPr>
          <w:p w14:paraId="37E427DD"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Acting Country Representative and Country Representative for Myanmar</w:t>
            </w:r>
          </w:p>
        </w:tc>
        <w:tc>
          <w:tcPr>
            <w:tcW w:w="1506" w:type="pct"/>
            <w:shd w:val="clear" w:color="auto" w:fill="auto"/>
            <w:noWrap/>
            <w:hideMark/>
          </w:tcPr>
          <w:p w14:paraId="46DA163D"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 – Thailand</w:t>
            </w:r>
          </w:p>
        </w:tc>
        <w:tc>
          <w:tcPr>
            <w:tcW w:w="467" w:type="pct"/>
          </w:tcPr>
          <w:p w14:paraId="3793EA8B"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M</w:t>
            </w:r>
          </w:p>
        </w:tc>
      </w:tr>
      <w:tr w:rsidR="004D297D" w:rsidRPr="004D297D" w14:paraId="3C23C043" w14:textId="77777777" w:rsidTr="004811C8">
        <w:trPr>
          <w:trHeight w:val="320"/>
        </w:trPr>
        <w:tc>
          <w:tcPr>
            <w:tcW w:w="1012" w:type="pct"/>
            <w:shd w:val="clear" w:color="auto" w:fill="auto"/>
            <w:noWrap/>
            <w:hideMark/>
          </w:tcPr>
          <w:p w14:paraId="5FFB0859"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Pitchanuch Supavanich</w:t>
            </w:r>
          </w:p>
        </w:tc>
        <w:tc>
          <w:tcPr>
            <w:tcW w:w="2016" w:type="pct"/>
            <w:shd w:val="clear" w:color="auto" w:fill="auto"/>
            <w:noWrap/>
            <w:hideMark/>
          </w:tcPr>
          <w:p w14:paraId="3C7C285B"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Regional Program Manager for Southeast Asia Regional Cooperation Programs</w:t>
            </w:r>
          </w:p>
        </w:tc>
        <w:tc>
          <w:tcPr>
            <w:tcW w:w="1506" w:type="pct"/>
            <w:shd w:val="clear" w:color="auto" w:fill="auto"/>
            <w:noWrap/>
            <w:hideMark/>
          </w:tcPr>
          <w:p w14:paraId="022505BA"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 – Thailand</w:t>
            </w:r>
          </w:p>
        </w:tc>
        <w:tc>
          <w:tcPr>
            <w:tcW w:w="467" w:type="pct"/>
          </w:tcPr>
          <w:p w14:paraId="61595BCD"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F</w:t>
            </w:r>
          </w:p>
        </w:tc>
      </w:tr>
      <w:tr w:rsidR="004D297D" w:rsidRPr="004D297D" w14:paraId="690B42B5" w14:textId="77777777" w:rsidTr="004811C8">
        <w:trPr>
          <w:trHeight w:val="320"/>
        </w:trPr>
        <w:tc>
          <w:tcPr>
            <w:tcW w:w="1012" w:type="pct"/>
            <w:shd w:val="clear" w:color="auto" w:fill="auto"/>
            <w:noWrap/>
            <w:hideMark/>
          </w:tcPr>
          <w:p w14:paraId="42938D53"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Benjamin Zawacki</w:t>
            </w:r>
          </w:p>
        </w:tc>
        <w:tc>
          <w:tcPr>
            <w:tcW w:w="2016" w:type="pct"/>
            <w:shd w:val="clear" w:color="auto" w:fill="auto"/>
            <w:noWrap/>
            <w:hideMark/>
          </w:tcPr>
          <w:p w14:paraId="31A191D4" w14:textId="77777777" w:rsidR="004D297D" w:rsidRPr="004D297D" w:rsidRDefault="004D297D" w:rsidP="004D297D">
            <w:pPr>
              <w:spacing w:after="0" w:line="276" w:lineRule="auto"/>
              <w:ind w:right="343"/>
              <w:rPr>
                <w:rFonts w:eastAsia="Times New Roman" w:cs="Calibri"/>
                <w:lang w:val="en-AU" w:eastAsia="en-GB"/>
              </w:rPr>
            </w:pPr>
            <w:r w:rsidRPr="004D297D">
              <w:rPr>
                <w:rFonts w:eastAsia="Times New Roman" w:cs="Calibri"/>
                <w:lang w:val="en-AU" w:eastAsia="en-GB"/>
              </w:rPr>
              <w:t>Senior Program Specialist</w:t>
            </w:r>
          </w:p>
        </w:tc>
        <w:tc>
          <w:tcPr>
            <w:tcW w:w="1506" w:type="pct"/>
            <w:shd w:val="clear" w:color="auto" w:fill="auto"/>
            <w:noWrap/>
            <w:hideMark/>
          </w:tcPr>
          <w:p w14:paraId="1E644257"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 – Thailand</w:t>
            </w:r>
          </w:p>
        </w:tc>
        <w:tc>
          <w:tcPr>
            <w:tcW w:w="467" w:type="pct"/>
          </w:tcPr>
          <w:p w14:paraId="0751D2A9"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M</w:t>
            </w:r>
          </w:p>
        </w:tc>
      </w:tr>
      <w:tr w:rsidR="004D297D" w:rsidRPr="004D297D" w14:paraId="0F4F1203" w14:textId="77777777" w:rsidTr="004811C8">
        <w:trPr>
          <w:trHeight w:val="320"/>
        </w:trPr>
        <w:tc>
          <w:tcPr>
            <w:tcW w:w="1012" w:type="pct"/>
            <w:shd w:val="clear" w:color="auto" w:fill="auto"/>
            <w:noWrap/>
            <w:hideMark/>
          </w:tcPr>
          <w:p w14:paraId="700B0520"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Patthiya Tongfueng</w:t>
            </w:r>
          </w:p>
        </w:tc>
        <w:tc>
          <w:tcPr>
            <w:tcW w:w="2016" w:type="pct"/>
            <w:shd w:val="clear" w:color="auto" w:fill="auto"/>
            <w:noWrap/>
            <w:hideMark/>
          </w:tcPr>
          <w:p w14:paraId="71D081A0"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Senior Program Officer ASEAN Programs</w:t>
            </w:r>
          </w:p>
        </w:tc>
        <w:tc>
          <w:tcPr>
            <w:tcW w:w="1506" w:type="pct"/>
            <w:shd w:val="clear" w:color="auto" w:fill="auto"/>
            <w:noWrap/>
            <w:hideMark/>
          </w:tcPr>
          <w:p w14:paraId="6709D1A1"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 – Thailand</w:t>
            </w:r>
          </w:p>
        </w:tc>
        <w:tc>
          <w:tcPr>
            <w:tcW w:w="467" w:type="pct"/>
          </w:tcPr>
          <w:p w14:paraId="7EBC0D16"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F</w:t>
            </w:r>
          </w:p>
        </w:tc>
      </w:tr>
      <w:tr w:rsidR="004D297D" w:rsidRPr="004D297D" w14:paraId="34E0DC09" w14:textId="77777777" w:rsidTr="004811C8">
        <w:trPr>
          <w:trHeight w:val="320"/>
        </w:trPr>
        <w:tc>
          <w:tcPr>
            <w:tcW w:w="1012" w:type="pct"/>
            <w:shd w:val="clear" w:color="auto" w:fill="auto"/>
            <w:noWrap/>
            <w:hideMark/>
          </w:tcPr>
          <w:p w14:paraId="6772AADE" w14:textId="77777777" w:rsidR="004D297D" w:rsidRPr="004D297D" w:rsidRDefault="004D297D" w:rsidP="004D297D">
            <w:pPr>
              <w:spacing w:after="0" w:line="276" w:lineRule="auto"/>
              <w:rPr>
                <w:rFonts w:eastAsia="Times New Roman" w:cs="Calibri"/>
                <w:lang w:val="en-AU" w:eastAsia="en-GB"/>
              </w:rPr>
            </w:pPr>
            <w:proofErr w:type="spellStart"/>
            <w:r w:rsidRPr="004D297D">
              <w:rPr>
                <w:rFonts w:eastAsia="Times New Roman" w:cs="Calibri"/>
                <w:lang w:val="en-AU" w:eastAsia="en-GB"/>
              </w:rPr>
              <w:t>Sittitat</w:t>
            </w:r>
            <w:proofErr w:type="spellEnd"/>
            <w:r w:rsidRPr="004D297D">
              <w:rPr>
                <w:rFonts w:eastAsia="Times New Roman" w:cs="Calibri"/>
                <w:lang w:val="en-AU" w:eastAsia="en-GB"/>
              </w:rPr>
              <w:t xml:space="preserve"> </w:t>
            </w:r>
            <w:proofErr w:type="spellStart"/>
            <w:r w:rsidRPr="004D297D">
              <w:rPr>
                <w:rFonts w:eastAsia="Times New Roman" w:cs="Calibri"/>
                <w:lang w:val="en-AU" w:eastAsia="en-GB"/>
              </w:rPr>
              <w:t>Rujichok</w:t>
            </w:r>
            <w:proofErr w:type="spellEnd"/>
          </w:p>
        </w:tc>
        <w:tc>
          <w:tcPr>
            <w:tcW w:w="2016" w:type="pct"/>
            <w:shd w:val="clear" w:color="auto" w:fill="auto"/>
            <w:noWrap/>
            <w:hideMark/>
          </w:tcPr>
          <w:p w14:paraId="3512062D"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Junior Program Officer</w:t>
            </w:r>
          </w:p>
        </w:tc>
        <w:tc>
          <w:tcPr>
            <w:tcW w:w="1506" w:type="pct"/>
            <w:shd w:val="clear" w:color="auto" w:fill="auto"/>
            <w:noWrap/>
            <w:hideMark/>
          </w:tcPr>
          <w:p w14:paraId="0F83CC09"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 – Thailand</w:t>
            </w:r>
          </w:p>
        </w:tc>
        <w:tc>
          <w:tcPr>
            <w:tcW w:w="467" w:type="pct"/>
          </w:tcPr>
          <w:p w14:paraId="4E372705"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M</w:t>
            </w:r>
          </w:p>
        </w:tc>
      </w:tr>
      <w:tr w:rsidR="004D297D" w:rsidRPr="004D297D" w14:paraId="70AEEF6B" w14:textId="77777777" w:rsidTr="004811C8">
        <w:trPr>
          <w:trHeight w:val="320"/>
        </w:trPr>
        <w:tc>
          <w:tcPr>
            <w:tcW w:w="1012" w:type="pct"/>
            <w:shd w:val="clear" w:color="auto" w:fill="auto"/>
            <w:noWrap/>
            <w:hideMark/>
          </w:tcPr>
          <w:p w14:paraId="31660A5B"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Suchada Sakulteera</w:t>
            </w:r>
          </w:p>
        </w:tc>
        <w:tc>
          <w:tcPr>
            <w:tcW w:w="2016" w:type="pct"/>
            <w:shd w:val="clear" w:color="auto" w:fill="auto"/>
            <w:noWrap/>
            <w:hideMark/>
          </w:tcPr>
          <w:p w14:paraId="32A80AAB"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Director of Finance</w:t>
            </w:r>
          </w:p>
        </w:tc>
        <w:tc>
          <w:tcPr>
            <w:tcW w:w="1506" w:type="pct"/>
            <w:shd w:val="clear" w:color="auto" w:fill="auto"/>
            <w:noWrap/>
            <w:hideMark/>
          </w:tcPr>
          <w:p w14:paraId="73AE1224"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The Asia Foundation – Thailand</w:t>
            </w:r>
          </w:p>
        </w:tc>
        <w:tc>
          <w:tcPr>
            <w:tcW w:w="467" w:type="pct"/>
          </w:tcPr>
          <w:p w14:paraId="77FAEEFA" w14:textId="77777777" w:rsidR="004D297D" w:rsidRPr="004D297D" w:rsidRDefault="004D297D" w:rsidP="004D297D">
            <w:pPr>
              <w:spacing w:after="0" w:line="276" w:lineRule="auto"/>
              <w:rPr>
                <w:rFonts w:eastAsia="Times New Roman" w:cs="Calibri"/>
                <w:lang w:val="en-AU" w:eastAsia="en-GB"/>
              </w:rPr>
            </w:pPr>
            <w:r w:rsidRPr="004D297D">
              <w:rPr>
                <w:rFonts w:eastAsia="Times New Roman" w:cs="Calibri"/>
                <w:lang w:val="en-AU" w:eastAsia="en-GB"/>
              </w:rPr>
              <w:t>F</w:t>
            </w:r>
          </w:p>
        </w:tc>
      </w:tr>
    </w:tbl>
    <w:p w14:paraId="1C753D14" w14:textId="77777777" w:rsidR="004D297D" w:rsidRDefault="004D297D" w:rsidP="00903D77">
      <w:pPr>
        <w:spacing w:after="120" w:line="276" w:lineRule="auto"/>
        <w:rPr>
          <w:lang w:val="en-AU"/>
        </w:rPr>
      </w:pPr>
    </w:p>
    <w:p w14:paraId="7EF8A245" w14:textId="0D47F91B" w:rsidR="004D297D" w:rsidRPr="004D297D" w:rsidRDefault="004D297D" w:rsidP="00903D77">
      <w:pPr>
        <w:spacing w:after="120" w:line="276" w:lineRule="auto"/>
        <w:rPr>
          <w:b/>
          <w:bCs/>
          <w:lang w:val="en-AU"/>
        </w:rPr>
      </w:pPr>
      <w:r w:rsidRPr="004D297D">
        <w:rPr>
          <w:b/>
          <w:bCs/>
          <w:lang w:val="en-AU"/>
        </w:rPr>
        <w:t xml:space="preserve">DFAT </w:t>
      </w:r>
    </w:p>
    <w:tbl>
      <w:tblPr>
        <w:tblW w:w="5036"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ayout w:type="fixed"/>
        <w:tblLook w:val="0420" w:firstRow="1" w:lastRow="0" w:firstColumn="0" w:lastColumn="0" w:noHBand="0" w:noVBand="1"/>
      </w:tblPr>
      <w:tblGrid>
        <w:gridCol w:w="1837"/>
        <w:gridCol w:w="3661"/>
        <w:gridCol w:w="2735"/>
        <w:gridCol w:w="848"/>
      </w:tblGrid>
      <w:tr w:rsidR="00300904" w:rsidRPr="00D563FB" w14:paraId="310181FF" w14:textId="77777777" w:rsidTr="00446C37">
        <w:trPr>
          <w:trHeight w:val="320"/>
          <w:tblHeader/>
        </w:trPr>
        <w:tc>
          <w:tcPr>
            <w:tcW w:w="1011" w:type="pct"/>
            <w:shd w:val="clear" w:color="auto" w:fill="45B0E1" w:themeFill="accent1" w:themeFillTint="99"/>
            <w:noWrap/>
            <w:hideMark/>
          </w:tcPr>
          <w:p w14:paraId="6F7B246C" w14:textId="3DAB8D43" w:rsidR="00300904" w:rsidRPr="00D563FB" w:rsidRDefault="00300904" w:rsidP="00300904">
            <w:pPr>
              <w:spacing w:after="0" w:line="276" w:lineRule="auto"/>
              <w:rPr>
                <w:rFonts w:eastAsia="Times New Roman" w:cs="Calibri"/>
                <w:lang w:val="en-AU" w:eastAsia="en-GB"/>
              </w:rPr>
            </w:pPr>
            <w:r w:rsidRPr="004D297D">
              <w:rPr>
                <w:rFonts w:eastAsia="Times New Roman" w:cs="Calibri"/>
                <w:b/>
                <w:bCs/>
                <w:lang w:val="en-AU" w:eastAsia="en-GB"/>
              </w:rPr>
              <w:t>Name</w:t>
            </w:r>
          </w:p>
        </w:tc>
        <w:tc>
          <w:tcPr>
            <w:tcW w:w="2016" w:type="pct"/>
            <w:shd w:val="clear" w:color="auto" w:fill="45B0E1" w:themeFill="accent1" w:themeFillTint="99"/>
            <w:noWrap/>
            <w:hideMark/>
          </w:tcPr>
          <w:p w14:paraId="62313BCB" w14:textId="75591305" w:rsidR="00300904" w:rsidRPr="00D563FB" w:rsidRDefault="00300904" w:rsidP="00300904">
            <w:pPr>
              <w:spacing w:after="0" w:line="276" w:lineRule="auto"/>
              <w:rPr>
                <w:rFonts w:eastAsia="Times New Roman" w:cs="Calibri"/>
                <w:lang w:val="en-AU" w:eastAsia="en-GB"/>
              </w:rPr>
            </w:pPr>
            <w:r w:rsidRPr="004D297D">
              <w:rPr>
                <w:rFonts w:eastAsia="Times New Roman" w:cs="Calibri"/>
                <w:b/>
                <w:bCs/>
                <w:lang w:val="en-AU" w:eastAsia="en-GB"/>
              </w:rPr>
              <w:t>Role</w:t>
            </w:r>
          </w:p>
        </w:tc>
        <w:tc>
          <w:tcPr>
            <w:tcW w:w="1506" w:type="pct"/>
            <w:shd w:val="clear" w:color="auto" w:fill="45B0E1" w:themeFill="accent1" w:themeFillTint="99"/>
            <w:noWrap/>
            <w:hideMark/>
          </w:tcPr>
          <w:p w14:paraId="15CFBEA1" w14:textId="095B80FB" w:rsidR="00300904" w:rsidRPr="00D563FB" w:rsidRDefault="00300904" w:rsidP="00300904">
            <w:pPr>
              <w:spacing w:after="0" w:line="276" w:lineRule="auto"/>
              <w:rPr>
                <w:rFonts w:eastAsia="Times New Roman" w:cs="Calibri"/>
                <w:lang w:val="en-AU" w:eastAsia="en-GB"/>
              </w:rPr>
            </w:pPr>
            <w:r w:rsidRPr="004D297D">
              <w:rPr>
                <w:rFonts w:eastAsia="Times New Roman" w:cs="Calibri"/>
                <w:b/>
                <w:bCs/>
                <w:lang w:val="en-AU" w:eastAsia="en-GB"/>
              </w:rPr>
              <w:t>Institution</w:t>
            </w:r>
          </w:p>
        </w:tc>
        <w:tc>
          <w:tcPr>
            <w:tcW w:w="467" w:type="pct"/>
            <w:shd w:val="clear" w:color="auto" w:fill="45B0E1" w:themeFill="accent1" w:themeFillTint="99"/>
          </w:tcPr>
          <w:p w14:paraId="5DD0DED5" w14:textId="5DBE115F" w:rsidR="00300904" w:rsidRPr="00D563FB" w:rsidRDefault="00300904" w:rsidP="00300904">
            <w:pPr>
              <w:spacing w:after="0" w:line="276" w:lineRule="auto"/>
              <w:rPr>
                <w:rFonts w:eastAsia="Times New Roman" w:cs="Calibri"/>
                <w:lang w:val="en-AU" w:eastAsia="en-GB"/>
              </w:rPr>
            </w:pPr>
            <w:r w:rsidRPr="004D297D">
              <w:rPr>
                <w:rFonts w:eastAsia="Times New Roman" w:cs="Calibri"/>
                <w:b/>
                <w:bCs/>
                <w:lang w:val="en-AU" w:eastAsia="en-GB"/>
              </w:rPr>
              <w:t>M/F</w:t>
            </w:r>
          </w:p>
        </w:tc>
      </w:tr>
      <w:tr w:rsidR="00FE31B3" w:rsidRPr="00D563FB" w14:paraId="512FD992" w14:textId="77777777" w:rsidTr="00B45257">
        <w:trPr>
          <w:trHeight w:val="320"/>
        </w:trPr>
        <w:tc>
          <w:tcPr>
            <w:tcW w:w="1011" w:type="pct"/>
            <w:shd w:val="clear" w:color="auto" w:fill="auto"/>
            <w:noWrap/>
          </w:tcPr>
          <w:p w14:paraId="31A99048" w14:textId="02749E99" w:rsidR="00FE31B3" w:rsidRPr="004D297D" w:rsidRDefault="00FE31B3" w:rsidP="00FE31B3">
            <w:pPr>
              <w:spacing w:after="0" w:line="276" w:lineRule="auto"/>
              <w:rPr>
                <w:rFonts w:eastAsia="Times New Roman" w:cs="Calibri"/>
                <w:b/>
                <w:bCs/>
                <w:lang w:val="en-AU" w:eastAsia="en-GB"/>
              </w:rPr>
            </w:pPr>
            <w:r w:rsidRPr="000D721B">
              <w:t>Amy Williams</w:t>
            </w:r>
          </w:p>
        </w:tc>
        <w:tc>
          <w:tcPr>
            <w:tcW w:w="2016" w:type="pct"/>
            <w:shd w:val="clear" w:color="auto" w:fill="auto"/>
            <w:noWrap/>
          </w:tcPr>
          <w:p w14:paraId="5110E8E8" w14:textId="4EF4FFDD" w:rsidR="00FE31B3" w:rsidRPr="004D297D" w:rsidRDefault="00FE31B3" w:rsidP="00FE31B3">
            <w:pPr>
              <w:spacing w:after="0" w:line="276" w:lineRule="auto"/>
              <w:rPr>
                <w:rFonts w:eastAsia="Times New Roman" w:cs="Calibri"/>
                <w:b/>
                <w:bCs/>
                <w:lang w:val="en-AU" w:eastAsia="en-GB"/>
              </w:rPr>
            </w:pPr>
            <w:r w:rsidRPr="000D721B">
              <w:t>Deputy Head of Mission</w:t>
            </w:r>
          </w:p>
        </w:tc>
        <w:tc>
          <w:tcPr>
            <w:tcW w:w="1506" w:type="pct"/>
            <w:shd w:val="clear" w:color="auto" w:fill="auto"/>
            <w:noWrap/>
          </w:tcPr>
          <w:p w14:paraId="10C3E274" w14:textId="2808A88A" w:rsidR="00FE31B3" w:rsidRPr="004D297D" w:rsidRDefault="00FE31B3" w:rsidP="00FE31B3">
            <w:pPr>
              <w:spacing w:after="0" w:line="276" w:lineRule="auto"/>
              <w:rPr>
                <w:rFonts w:eastAsia="Times New Roman" w:cs="Calibri"/>
                <w:b/>
                <w:bCs/>
                <w:lang w:val="en-AU" w:eastAsia="en-GB"/>
              </w:rPr>
            </w:pPr>
            <w:r w:rsidRPr="000D721B">
              <w:t>DFAT - Australian Mission to ASEAN</w:t>
            </w:r>
          </w:p>
        </w:tc>
        <w:tc>
          <w:tcPr>
            <w:tcW w:w="467" w:type="pct"/>
          </w:tcPr>
          <w:p w14:paraId="45D32B45" w14:textId="6F368C26" w:rsidR="00FE31B3" w:rsidRPr="004D297D" w:rsidRDefault="00FE31B3" w:rsidP="00FE31B3">
            <w:pPr>
              <w:spacing w:after="0" w:line="276" w:lineRule="auto"/>
              <w:rPr>
                <w:rFonts w:eastAsia="Times New Roman" w:cs="Calibri"/>
                <w:b/>
                <w:bCs/>
                <w:lang w:val="en-AU" w:eastAsia="en-GB"/>
              </w:rPr>
            </w:pPr>
            <w:r w:rsidRPr="000D721B">
              <w:t>F</w:t>
            </w:r>
          </w:p>
        </w:tc>
      </w:tr>
      <w:tr w:rsidR="003F2E8F" w:rsidRPr="00D563FB" w14:paraId="57E8CB68" w14:textId="77777777" w:rsidTr="00B45257">
        <w:trPr>
          <w:trHeight w:val="320"/>
        </w:trPr>
        <w:tc>
          <w:tcPr>
            <w:tcW w:w="1011" w:type="pct"/>
            <w:shd w:val="clear" w:color="auto" w:fill="auto"/>
            <w:noWrap/>
            <w:hideMark/>
          </w:tcPr>
          <w:p w14:paraId="21E4EDB4"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Neil Buckland</w:t>
            </w:r>
          </w:p>
        </w:tc>
        <w:tc>
          <w:tcPr>
            <w:tcW w:w="2016" w:type="pct"/>
            <w:shd w:val="clear" w:color="auto" w:fill="auto"/>
            <w:noWrap/>
            <w:hideMark/>
          </w:tcPr>
          <w:p w14:paraId="667FD29A"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First Secretary - Political Security</w:t>
            </w:r>
          </w:p>
        </w:tc>
        <w:tc>
          <w:tcPr>
            <w:tcW w:w="1506" w:type="pct"/>
            <w:shd w:val="clear" w:color="auto" w:fill="auto"/>
            <w:noWrap/>
            <w:hideMark/>
          </w:tcPr>
          <w:p w14:paraId="50BF5156"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 Australian Mission to ASEAN</w:t>
            </w:r>
          </w:p>
        </w:tc>
        <w:tc>
          <w:tcPr>
            <w:tcW w:w="467" w:type="pct"/>
          </w:tcPr>
          <w:p w14:paraId="56A01F97"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M</w:t>
            </w:r>
          </w:p>
        </w:tc>
      </w:tr>
      <w:tr w:rsidR="003F2E8F" w:rsidRPr="00D563FB" w14:paraId="0D381ED3" w14:textId="77777777" w:rsidTr="00B45257">
        <w:trPr>
          <w:trHeight w:val="320"/>
        </w:trPr>
        <w:tc>
          <w:tcPr>
            <w:tcW w:w="1011" w:type="pct"/>
            <w:shd w:val="clear" w:color="auto" w:fill="auto"/>
            <w:noWrap/>
            <w:hideMark/>
          </w:tcPr>
          <w:p w14:paraId="18D02FAC"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Ruri Artiesa</w:t>
            </w:r>
          </w:p>
        </w:tc>
        <w:tc>
          <w:tcPr>
            <w:tcW w:w="2016" w:type="pct"/>
            <w:shd w:val="clear" w:color="auto" w:fill="auto"/>
            <w:noWrap/>
            <w:hideMark/>
          </w:tcPr>
          <w:p w14:paraId="05C199A0"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Unit Manager </w:t>
            </w:r>
          </w:p>
        </w:tc>
        <w:tc>
          <w:tcPr>
            <w:tcW w:w="1506" w:type="pct"/>
            <w:shd w:val="clear" w:color="auto" w:fill="auto"/>
            <w:noWrap/>
            <w:hideMark/>
          </w:tcPr>
          <w:p w14:paraId="6F2F552E"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 Australian Mission to ASEAN</w:t>
            </w:r>
          </w:p>
        </w:tc>
        <w:tc>
          <w:tcPr>
            <w:tcW w:w="467" w:type="pct"/>
          </w:tcPr>
          <w:p w14:paraId="05E3BF8C"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w:t>
            </w:r>
          </w:p>
        </w:tc>
      </w:tr>
      <w:tr w:rsidR="003F2E8F" w:rsidRPr="00D563FB" w14:paraId="4D5A34C8" w14:textId="77777777" w:rsidTr="00B45257">
        <w:trPr>
          <w:trHeight w:val="320"/>
        </w:trPr>
        <w:tc>
          <w:tcPr>
            <w:tcW w:w="1011" w:type="pct"/>
            <w:shd w:val="clear" w:color="auto" w:fill="auto"/>
            <w:noWrap/>
            <w:hideMark/>
          </w:tcPr>
          <w:p w14:paraId="3D034AA3"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 xml:space="preserve">Olivia Fei </w:t>
            </w:r>
            <w:proofErr w:type="spellStart"/>
            <w:r w:rsidRPr="00D563FB">
              <w:rPr>
                <w:rFonts w:eastAsia="Times New Roman" w:cs="Calibri"/>
                <w:lang w:val="en-AU" w:eastAsia="en-GB"/>
              </w:rPr>
              <w:t>Fei</w:t>
            </w:r>
            <w:proofErr w:type="spellEnd"/>
          </w:p>
        </w:tc>
        <w:tc>
          <w:tcPr>
            <w:tcW w:w="2016" w:type="pct"/>
            <w:shd w:val="clear" w:color="auto" w:fill="auto"/>
            <w:noWrap/>
            <w:hideMark/>
          </w:tcPr>
          <w:p w14:paraId="42531BB8"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Program Manager, Development - Political Security </w:t>
            </w:r>
          </w:p>
        </w:tc>
        <w:tc>
          <w:tcPr>
            <w:tcW w:w="1506" w:type="pct"/>
            <w:shd w:val="clear" w:color="auto" w:fill="auto"/>
            <w:noWrap/>
            <w:hideMark/>
          </w:tcPr>
          <w:p w14:paraId="095B26C8"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 Australian Mission to ASEAN</w:t>
            </w:r>
          </w:p>
        </w:tc>
        <w:tc>
          <w:tcPr>
            <w:tcW w:w="467" w:type="pct"/>
          </w:tcPr>
          <w:p w14:paraId="08EB7E55"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w:t>
            </w:r>
          </w:p>
        </w:tc>
      </w:tr>
      <w:tr w:rsidR="003F2E8F" w:rsidRPr="00D563FB" w14:paraId="56447E16" w14:textId="77777777" w:rsidTr="00B45257">
        <w:trPr>
          <w:trHeight w:val="320"/>
        </w:trPr>
        <w:tc>
          <w:tcPr>
            <w:tcW w:w="1011" w:type="pct"/>
            <w:shd w:val="clear" w:color="auto" w:fill="auto"/>
            <w:noWrap/>
            <w:hideMark/>
          </w:tcPr>
          <w:p w14:paraId="18A7B573"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Tiffany McDonald </w:t>
            </w:r>
          </w:p>
        </w:tc>
        <w:tc>
          <w:tcPr>
            <w:tcW w:w="2016" w:type="pct"/>
            <w:shd w:val="clear" w:color="auto" w:fill="auto"/>
            <w:noWrap/>
            <w:hideMark/>
          </w:tcPr>
          <w:p w14:paraId="74E8B99E"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Australian Ambassador to ASEAN</w:t>
            </w:r>
          </w:p>
        </w:tc>
        <w:tc>
          <w:tcPr>
            <w:tcW w:w="1506" w:type="pct"/>
            <w:shd w:val="clear" w:color="auto" w:fill="auto"/>
            <w:noWrap/>
            <w:hideMark/>
          </w:tcPr>
          <w:p w14:paraId="1F25CF1F"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 Australian Mission to ASEAN</w:t>
            </w:r>
          </w:p>
        </w:tc>
        <w:tc>
          <w:tcPr>
            <w:tcW w:w="467" w:type="pct"/>
          </w:tcPr>
          <w:p w14:paraId="0887A152"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w:t>
            </w:r>
          </w:p>
        </w:tc>
      </w:tr>
      <w:tr w:rsidR="003F2E8F" w:rsidRPr="00D563FB" w14:paraId="4F226A30" w14:textId="77777777" w:rsidTr="00B45257">
        <w:trPr>
          <w:trHeight w:val="320"/>
        </w:trPr>
        <w:tc>
          <w:tcPr>
            <w:tcW w:w="1011" w:type="pct"/>
            <w:shd w:val="clear" w:color="auto" w:fill="auto"/>
            <w:noWrap/>
            <w:hideMark/>
          </w:tcPr>
          <w:p w14:paraId="1CA5EDC8"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Lara Franzen</w:t>
            </w:r>
          </w:p>
        </w:tc>
        <w:tc>
          <w:tcPr>
            <w:tcW w:w="2016" w:type="pct"/>
            <w:shd w:val="clear" w:color="auto" w:fill="auto"/>
            <w:noWrap/>
            <w:hideMark/>
          </w:tcPr>
          <w:p w14:paraId="249FD8B1"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Counsellor (Development)</w:t>
            </w:r>
          </w:p>
        </w:tc>
        <w:tc>
          <w:tcPr>
            <w:tcW w:w="1506" w:type="pct"/>
            <w:shd w:val="clear" w:color="auto" w:fill="auto"/>
            <w:noWrap/>
            <w:hideMark/>
          </w:tcPr>
          <w:p w14:paraId="2348B945"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 Australian Mission to ASEAN</w:t>
            </w:r>
          </w:p>
        </w:tc>
        <w:tc>
          <w:tcPr>
            <w:tcW w:w="467" w:type="pct"/>
          </w:tcPr>
          <w:p w14:paraId="37F86408"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w:t>
            </w:r>
          </w:p>
        </w:tc>
      </w:tr>
      <w:tr w:rsidR="003F2E8F" w:rsidRPr="00D563FB" w14:paraId="30A921EF" w14:textId="77777777" w:rsidTr="00B45257">
        <w:trPr>
          <w:trHeight w:val="320"/>
        </w:trPr>
        <w:tc>
          <w:tcPr>
            <w:tcW w:w="1011" w:type="pct"/>
            <w:shd w:val="clear" w:color="auto" w:fill="auto"/>
            <w:noWrap/>
            <w:hideMark/>
          </w:tcPr>
          <w:p w14:paraId="765080C3"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Mariam Diakite</w:t>
            </w:r>
          </w:p>
        </w:tc>
        <w:tc>
          <w:tcPr>
            <w:tcW w:w="2016" w:type="pct"/>
            <w:shd w:val="clear" w:color="auto" w:fill="auto"/>
            <w:noWrap/>
            <w:hideMark/>
          </w:tcPr>
          <w:p w14:paraId="0968A411"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First Secretary, Human Security</w:t>
            </w:r>
          </w:p>
        </w:tc>
        <w:tc>
          <w:tcPr>
            <w:tcW w:w="1506" w:type="pct"/>
            <w:shd w:val="clear" w:color="auto" w:fill="auto"/>
            <w:noWrap/>
            <w:hideMark/>
          </w:tcPr>
          <w:p w14:paraId="0E6AD0F5"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 ASEAN ACT</w:t>
            </w:r>
          </w:p>
        </w:tc>
        <w:tc>
          <w:tcPr>
            <w:tcW w:w="467" w:type="pct"/>
          </w:tcPr>
          <w:p w14:paraId="32DF03FF"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w:t>
            </w:r>
          </w:p>
        </w:tc>
      </w:tr>
      <w:tr w:rsidR="003F2E8F" w:rsidRPr="00D563FB" w14:paraId="044FC1E1" w14:textId="77777777" w:rsidTr="00B45257">
        <w:trPr>
          <w:trHeight w:val="764"/>
        </w:trPr>
        <w:tc>
          <w:tcPr>
            <w:tcW w:w="1011" w:type="pct"/>
            <w:shd w:val="clear" w:color="auto" w:fill="auto"/>
            <w:noWrap/>
            <w:hideMark/>
          </w:tcPr>
          <w:p w14:paraId="63878E8F"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lastRenderedPageBreak/>
              <w:t>Chantelle Woodford</w:t>
            </w:r>
          </w:p>
        </w:tc>
        <w:tc>
          <w:tcPr>
            <w:tcW w:w="2016" w:type="pct"/>
            <w:shd w:val="clear" w:color="auto" w:fill="auto"/>
            <w:noWrap/>
            <w:hideMark/>
          </w:tcPr>
          <w:p w14:paraId="627501C1"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ASEAN and Regional Policy Branch</w:t>
            </w:r>
          </w:p>
        </w:tc>
        <w:tc>
          <w:tcPr>
            <w:tcW w:w="1506" w:type="pct"/>
            <w:shd w:val="clear" w:color="auto" w:fill="auto"/>
            <w:noWrap/>
            <w:hideMark/>
          </w:tcPr>
          <w:p w14:paraId="3DD121FB"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 ASEAN and Regional Policy Branch</w:t>
            </w:r>
          </w:p>
        </w:tc>
        <w:tc>
          <w:tcPr>
            <w:tcW w:w="467" w:type="pct"/>
          </w:tcPr>
          <w:p w14:paraId="1B115DFF"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w:t>
            </w:r>
          </w:p>
        </w:tc>
      </w:tr>
      <w:tr w:rsidR="003F2E8F" w:rsidRPr="00D563FB" w14:paraId="378807B8" w14:textId="77777777" w:rsidTr="00B45257">
        <w:trPr>
          <w:trHeight w:val="320"/>
        </w:trPr>
        <w:tc>
          <w:tcPr>
            <w:tcW w:w="1011" w:type="pct"/>
            <w:shd w:val="clear" w:color="auto" w:fill="auto"/>
            <w:noWrap/>
            <w:hideMark/>
          </w:tcPr>
          <w:p w14:paraId="02CD77BC"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Timothy Smith</w:t>
            </w:r>
          </w:p>
        </w:tc>
        <w:tc>
          <w:tcPr>
            <w:tcW w:w="2016" w:type="pct"/>
            <w:shd w:val="clear" w:color="auto" w:fill="auto"/>
          </w:tcPr>
          <w:p w14:paraId="1F77141B"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Program Director</w:t>
            </w:r>
          </w:p>
        </w:tc>
        <w:tc>
          <w:tcPr>
            <w:tcW w:w="1506" w:type="pct"/>
            <w:shd w:val="clear" w:color="auto" w:fill="auto"/>
            <w:noWrap/>
            <w:hideMark/>
          </w:tcPr>
          <w:p w14:paraId="364B1B1D"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 Aus4ASEAN Future</w:t>
            </w:r>
          </w:p>
        </w:tc>
        <w:tc>
          <w:tcPr>
            <w:tcW w:w="467" w:type="pct"/>
          </w:tcPr>
          <w:p w14:paraId="7A5C0711"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M</w:t>
            </w:r>
          </w:p>
        </w:tc>
      </w:tr>
      <w:tr w:rsidR="003F2E8F" w:rsidRPr="00D563FB" w14:paraId="0AC4B8E2" w14:textId="77777777" w:rsidTr="00B45257">
        <w:trPr>
          <w:trHeight w:val="320"/>
        </w:trPr>
        <w:tc>
          <w:tcPr>
            <w:tcW w:w="1011" w:type="pct"/>
            <w:shd w:val="clear" w:color="auto" w:fill="auto"/>
            <w:noWrap/>
            <w:hideMark/>
          </w:tcPr>
          <w:p w14:paraId="789CF116"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Michael Costa</w:t>
            </w:r>
          </w:p>
        </w:tc>
        <w:tc>
          <w:tcPr>
            <w:tcW w:w="2016" w:type="pct"/>
            <w:shd w:val="clear" w:color="auto" w:fill="auto"/>
          </w:tcPr>
          <w:p w14:paraId="37D9D1A1"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Program Director</w:t>
            </w:r>
          </w:p>
        </w:tc>
        <w:tc>
          <w:tcPr>
            <w:tcW w:w="1506" w:type="pct"/>
            <w:shd w:val="clear" w:color="auto" w:fill="auto"/>
            <w:noWrap/>
            <w:hideMark/>
          </w:tcPr>
          <w:p w14:paraId="3A4BD20C"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 Aus4ASEAN Future</w:t>
            </w:r>
          </w:p>
        </w:tc>
        <w:tc>
          <w:tcPr>
            <w:tcW w:w="467" w:type="pct"/>
          </w:tcPr>
          <w:p w14:paraId="09C5F7EB"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M</w:t>
            </w:r>
          </w:p>
        </w:tc>
      </w:tr>
      <w:tr w:rsidR="003F2E8F" w:rsidRPr="00D563FB" w14:paraId="67293D22" w14:textId="77777777" w:rsidTr="00B45257">
        <w:trPr>
          <w:trHeight w:val="320"/>
        </w:trPr>
        <w:tc>
          <w:tcPr>
            <w:tcW w:w="1011" w:type="pct"/>
            <w:shd w:val="clear" w:color="auto" w:fill="auto"/>
            <w:noWrap/>
            <w:hideMark/>
          </w:tcPr>
          <w:p w14:paraId="37F566A8"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Will Nankervis</w:t>
            </w:r>
          </w:p>
        </w:tc>
        <w:tc>
          <w:tcPr>
            <w:tcW w:w="2016" w:type="pct"/>
            <w:shd w:val="clear" w:color="auto" w:fill="auto"/>
            <w:noWrap/>
            <w:hideMark/>
          </w:tcPr>
          <w:p w14:paraId="5C70097B"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Assistant Secretary - Southeast Asia Economic, Communications and Analytics Branch and former Australian Ambassador to ASEAN</w:t>
            </w:r>
          </w:p>
        </w:tc>
        <w:tc>
          <w:tcPr>
            <w:tcW w:w="1506" w:type="pct"/>
            <w:shd w:val="clear" w:color="auto" w:fill="auto"/>
            <w:noWrap/>
            <w:hideMark/>
          </w:tcPr>
          <w:p w14:paraId="51289457"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Canberra</w:t>
            </w:r>
          </w:p>
        </w:tc>
        <w:tc>
          <w:tcPr>
            <w:tcW w:w="467" w:type="pct"/>
          </w:tcPr>
          <w:p w14:paraId="1CCFB396"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M</w:t>
            </w:r>
          </w:p>
        </w:tc>
      </w:tr>
      <w:tr w:rsidR="003F2E8F" w:rsidRPr="00D563FB" w14:paraId="6D829B66" w14:textId="77777777" w:rsidTr="00B45257">
        <w:trPr>
          <w:trHeight w:val="320"/>
        </w:trPr>
        <w:tc>
          <w:tcPr>
            <w:tcW w:w="1011" w:type="pct"/>
            <w:shd w:val="clear" w:color="auto" w:fill="auto"/>
            <w:noWrap/>
            <w:hideMark/>
          </w:tcPr>
          <w:p w14:paraId="341B31AC"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Caroline Scott</w:t>
            </w:r>
          </w:p>
        </w:tc>
        <w:tc>
          <w:tcPr>
            <w:tcW w:w="2016" w:type="pct"/>
            <w:shd w:val="clear" w:color="auto" w:fill="auto"/>
            <w:noWrap/>
            <w:hideMark/>
          </w:tcPr>
          <w:p w14:paraId="124D51AE"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Former Deputy Head of Mission, Australian Mission to ASEAN</w:t>
            </w:r>
          </w:p>
        </w:tc>
        <w:tc>
          <w:tcPr>
            <w:tcW w:w="1506" w:type="pct"/>
            <w:shd w:val="clear" w:color="auto" w:fill="auto"/>
            <w:noWrap/>
            <w:hideMark/>
          </w:tcPr>
          <w:p w14:paraId="3B432A8C"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Canberra</w:t>
            </w:r>
          </w:p>
        </w:tc>
        <w:tc>
          <w:tcPr>
            <w:tcW w:w="467" w:type="pct"/>
          </w:tcPr>
          <w:p w14:paraId="1AC40864"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w:t>
            </w:r>
          </w:p>
        </w:tc>
      </w:tr>
      <w:tr w:rsidR="003F2E8F" w:rsidRPr="00D563FB" w14:paraId="3C86F2A1" w14:textId="77777777" w:rsidTr="00B45257">
        <w:trPr>
          <w:trHeight w:val="320"/>
        </w:trPr>
        <w:tc>
          <w:tcPr>
            <w:tcW w:w="1011" w:type="pct"/>
            <w:shd w:val="clear" w:color="auto" w:fill="auto"/>
            <w:noWrap/>
            <w:hideMark/>
          </w:tcPr>
          <w:p w14:paraId="4690854D"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Dr. Helen Cheney </w:t>
            </w:r>
          </w:p>
        </w:tc>
        <w:tc>
          <w:tcPr>
            <w:tcW w:w="2016" w:type="pct"/>
            <w:shd w:val="clear" w:color="auto" w:fill="auto"/>
            <w:noWrap/>
            <w:hideMark/>
          </w:tcPr>
          <w:p w14:paraId="3156AE85"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Former Development Counsellor (Involved in the development of APSP)</w:t>
            </w:r>
          </w:p>
        </w:tc>
        <w:tc>
          <w:tcPr>
            <w:tcW w:w="1506" w:type="pct"/>
            <w:shd w:val="clear" w:color="auto" w:fill="auto"/>
            <w:noWrap/>
            <w:hideMark/>
          </w:tcPr>
          <w:p w14:paraId="6571EC19"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Canberra</w:t>
            </w:r>
          </w:p>
        </w:tc>
        <w:tc>
          <w:tcPr>
            <w:tcW w:w="467" w:type="pct"/>
          </w:tcPr>
          <w:p w14:paraId="5E7B555E"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w:t>
            </w:r>
          </w:p>
        </w:tc>
      </w:tr>
      <w:tr w:rsidR="003F2E8F" w:rsidRPr="00D563FB" w14:paraId="2BF69439" w14:textId="77777777" w:rsidTr="00B45257">
        <w:trPr>
          <w:trHeight w:val="320"/>
        </w:trPr>
        <w:tc>
          <w:tcPr>
            <w:tcW w:w="1011" w:type="pct"/>
            <w:shd w:val="clear" w:color="auto" w:fill="auto"/>
            <w:noWrap/>
            <w:hideMark/>
          </w:tcPr>
          <w:p w14:paraId="2016F184"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Samuel O'Neill</w:t>
            </w:r>
          </w:p>
        </w:tc>
        <w:tc>
          <w:tcPr>
            <w:tcW w:w="2016" w:type="pct"/>
            <w:shd w:val="clear" w:color="auto" w:fill="auto"/>
            <w:noWrap/>
            <w:hideMark/>
          </w:tcPr>
          <w:p w14:paraId="2B3C256D"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 xml:space="preserve">Transnational Crime Section (TNC) and </w:t>
            </w:r>
            <w:proofErr w:type="spellStart"/>
            <w:r w:rsidRPr="00D563FB">
              <w:rPr>
                <w:rFonts w:eastAsia="Times New Roman" w:cs="Calibri"/>
                <w:lang w:val="en-AU" w:eastAsia="en-GB"/>
              </w:rPr>
              <w:t>and</w:t>
            </w:r>
            <w:proofErr w:type="spellEnd"/>
            <w:r w:rsidRPr="00D563FB">
              <w:rPr>
                <w:rFonts w:eastAsia="Times New Roman" w:cs="Calibri"/>
                <w:lang w:val="en-AU" w:eastAsia="en-GB"/>
              </w:rPr>
              <w:t xml:space="preserve"> DFAT Transnational Crime Section and Cybercrime Section</w:t>
            </w:r>
          </w:p>
        </w:tc>
        <w:tc>
          <w:tcPr>
            <w:tcW w:w="1506" w:type="pct"/>
            <w:shd w:val="clear" w:color="auto" w:fill="auto"/>
            <w:noWrap/>
            <w:hideMark/>
          </w:tcPr>
          <w:p w14:paraId="3D74A396"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Canberra</w:t>
            </w:r>
          </w:p>
        </w:tc>
        <w:tc>
          <w:tcPr>
            <w:tcW w:w="467" w:type="pct"/>
          </w:tcPr>
          <w:p w14:paraId="3EB474EE"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M</w:t>
            </w:r>
          </w:p>
        </w:tc>
      </w:tr>
      <w:tr w:rsidR="003F2E8F" w:rsidRPr="00D563FB" w14:paraId="5A96455D" w14:textId="77777777" w:rsidTr="00B45257">
        <w:trPr>
          <w:trHeight w:val="320"/>
        </w:trPr>
        <w:tc>
          <w:tcPr>
            <w:tcW w:w="1011" w:type="pct"/>
            <w:shd w:val="clear" w:color="auto" w:fill="auto"/>
            <w:noWrap/>
            <w:hideMark/>
          </w:tcPr>
          <w:p w14:paraId="2DA1064E"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Danielle Sever </w:t>
            </w:r>
          </w:p>
        </w:tc>
        <w:tc>
          <w:tcPr>
            <w:tcW w:w="2016" w:type="pct"/>
            <w:shd w:val="clear" w:color="auto" w:fill="auto"/>
            <w:noWrap/>
            <w:hideMark/>
          </w:tcPr>
          <w:p w14:paraId="157BAFA3"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Former First Secretary/Acting Counsellor who managed APSP in early years</w:t>
            </w:r>
          </w:p>
        </w:tc>
        <w:tc>
          <w:tcPr>
            <w:tcW w:w="1506" w:type="pct"/>
            <w:shd w:val="clear" w:color="auto" w:fill="auto"/>
            <w:noWrap/>
            <w:hideMark/>
          </w:tcPr>
          <w:p w14:paraId="450DB6C3"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DFAT Canberra</w:t>
            </w:r>
          </w:p>
        </w:tc>
        <w:tc>
          <w:tcPr>
            <w:tcW w:w="467" w:type="pct"/>
          </w:tcPr>
          <w:p w14:paraId="3A2939AC" w14:textId="77777777" w:rsidR="003F2E8F" w:rsidRPr="00D563FB" w:rsidRDefault="003F2E8F" w:rsidP="003F2E8F">
            <w:pPr>
              <w:spacing w:after="0" w:line="276" w:lineRule="auto"/>
              <w:rPr>
                <w:rFonts w:eastAsia="Times New Roman" w:cs="Calibri"/>
                <w:lang w:val="en-AU" w:eastAsia="en-GB"/>
              </w:rPr>
            </w:pPr>
            <w:r w:rsidRPr="00D563FB">
              <w:rPr>
                <w:rFonts w:eastAsia="Times New Roman" w:cs="Calibri"/>
                <w:lang w:val="en-AU" w:eastAsia="en-GB"/>
              </w:rPr>
              <w:t>F</w:t>
            </w:r>
          </w:p>
        </w:tc>
      </w:tr>
    </w:tbl>
    <w:p w14:paraId="19AA3072" w14:textId="19F007EE" w:rsidR="00B45257" w:rsidRDefault="00E73BE1" w:rsidP="00446C37">
      <w:pPr>
        <w:spacing w:before="240"/>
        <w:rPr>
          <w:lang w:val="en-AU"/>
        </w:rPr>
      </w:pPr>
      <w:r w:rsidRPr="0099752E">
        <w:rPr>
          <w:rFonts w:eastAsia="Times New Roman" w:cs="Calibri"/>
          <w:b/>
          <w:bCs/>
          <w:lang w:val="en-AU" w:eastAsia="en-GB"/>
        </w:rPr>
        <w:t>Other Government Departments</w:t>
      </w:r>
    </w:p>
    <w:tbl>
      <w:tblPr>
        <w:tblW w:w="5036"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ayout w:type="fixed"/>
        <w:tblLook w:val="0420" w:firstRow="1" w:lastRow="0" w:firstColumn="0" w:lastColumn="0" w:noHBand="0" w:noVBand="1"/>
      </w:tblPr>
      <w:tblGrid>
        <w:gridCol w:w="1837"/>
        <w:gridCol w:w="3661"/>
        <w:gridCol w:w="2735"/>
        <w:gridCol w:w="848"/>
      </w:tblGrid>
      <w:tr w:rsidR="00C9340C" w:rsidRPr="00D563FB" w14:paraId="48FAD905" w14:textId="77777777" w:rsidTr="004811C8">
        <w:trPr>
          <w:trHeight w:val="320"/>
        </w:trPr>
        <w:tc>
          <w:tcPr>
            <w:tcW w:w="1011" w:type="pct"/>
            <w:shd w:val="clear" w:color="auto" w:fill="45B0E1" w:themeFill="accent1" w:themeFillTint="99"/>
            <w:noWrap/>
            <w:hideMark/>
          </w:tcPr>
          <w:p w14:paraId="2A7434E2" w14:textId="77777777" w:rsidR="00C9340C" w:rsidRPr="00D563FB" w:rsidRDefault="00C9340C" w:rsidP="004811C8">
            <w:pPr>
              <w:spacing w:after="0" w:line="276" w:lineRule="auto"/>
              <w:rPr>
                <w:rFonts w:eastAsia="Times New Roman" w:cs="Calibri"/>
                <w:lang w:val="en-AU" w:eastAsia="en-GB"/>
              </w:rPr>
            </w:pPr>
            <w:r w:rsidRPr="004D297D">
              <w:rPr>
                <w:rFonts w:eastAsia="Times New Roman" w:cs="Calibri"/>
                <w:b/>
                <w:bCs/>
                <w:lang w:val="en-AU" w:eastAsia="en-GB"/>
              </w:rPr>
              <w:t>Name</w:t>
            </w:r>
          </w:p>
        </w:tc>
        <w:tc>
          <w:tcPr>
            <w:tcW w:w="2016" w:type="pct"/>
            <w:shd w:val="clear" w:color="auto" w:fill="45B0E1" w:themeFill="accent1" w:themeFillTint="99"/>
            <w:noWrap/>
            <w:hideMark/>
          </w:tcPr>
          <w:p w14:paraId="471D999E" w14:textId="77777777" w:rsidR="00C9340C" w:rsidRPr="00D563FB" w:rsidRDefault="00C9340C" w:rsidP="004811C8">
            <w:pPr>
              <w:spacing w:after="0" w:line="276" w:lineRule="auto"/>
              <w:rPr>
                <w:rFonts w:eastAsia="Times New Roman" w:cs="Calibri"/>
                <w:lang w:val="en-AU" w:eastAsia="en-GB"/>
              </w:rPr>
            </w:pPr>
            <w:r w:rsidRPr="004D297D">
              <w:rPr>
                <w:rFonts w:eastAsia="Times New Roman" w:cs="Calibri"/>
                <w:b/>
                <w:bCs/>
                <w:lang w:val="en-AU" w:eastAsia="en-GB"/>
              </w:rPr>
              <w:t>Role</w:t>
            </w:r>
          </w:p>
        </w:tc>
        <w:tc>
          <w:tcPr>
            <w:tcW w:w="1506" w:type="pct"/>
            <w:shd w:val="clear" w:color="auto" w:fill="45B0E1" w:themeFill="accent1" w:themeFillTint="99"/>
            <w:noWrap/>
            <w:hideMark/>
          </w:tcPr>
          <w:p w14:paraId="559B223B" w14:textId="77777777" w:rsidR="00C9340C" w:rsidRPr="00D563FB" w:rsidRDefault="00C9340C" w:rsidP="004811C8">
            <w:pPr>
              <w:spacing w:after="0" w:line="276" w:lineRule="auto"/>
              <w:rPr>
                <w:rFonts w:eastAsia="Times New Roman" w:cs="Calibri"/>
                <w:lang w:val="en-AU" w:eastAsia="en-GB"/>
              </w:rPr>
            </w:pPr>
            <w:r w:rsidRPr="004D297D">
              <w:rPr>
                <w:rFonts w:eastAsia="Times New Roman" w:cs="Calibri"/>
                <w:b/>
                <w:bCs/>
                <w:lang w:val="en-AU" w:eastAsia="en-GB"/>
              </w:rPr>
              <w:t>Institution</w:t>
            </w:r>
          </w:p>
        </w:tc>
        <w:tc>
          <w:tcPr>
            <w:tcW w:w="467" w:type="pct"/>
            <w:shd w:val="clear" w:color="auto" w:fill="45B0E1" w:themeFill="accent1" w:themeFillTint="99"/>
          </w:tcPr>
          <w:p w14:paraId="3B7D177D" w14:textId="77777777" w:rsidR="00C9340C" w:rsidRPr="00D563FB" w:rsidRDefault="00C9340C" w:rsidP="004811C8">
            <w:pPr>
              <w:spacing w:after="0" w:line="276" w:lineRule="auto"/>
              <w:rPr>
                <w:rFonts w:eastAsia="Times New Roman" w:cs="Calibri"/>
                <w:lang w:val="en-AU" w:eastAsia="en-GB"/>
              </w:rPr>
            </w:pPr>
            <w:r w:rsidRPr="004D297D">
              <w:rPr>
                <w:rFonts w:eastAsia="Times New Roman" w:cs="Calibri"/>
                <w:b/>
                <w:bCs/>
                <w:lang w:val="en-AU" w:eastAsia="en-GB"/>
              </w:rPr>
              <w:t>M/F</w:t>
            </w:r>
          </w:p>
        </w:tc>
      </w:tr>
      <w:tr w:rsidR="009E51AA" w:rsidRPr="00D563FB" w14:paraId="15C65B43" w14:textId="77777777" w:rsidTr="004811C8">
        <w:trPr>
          <w:trHeight w:val="320"/>
        </w:trPr>
        <w:tc>
          <w:tcPr>
            <w:tcW w:w="1011" w:type="pct"/>
            <w:shd w:val="clear" w:color="auto" w:fill="auto"/>
            <w:noWrap/>
          </w:tcPr>
          <w:p w14:paraId="5A648103" w14:textId="18DA957D" w:rsidR="009E51AA" w:rsidRPr="004D297D" w:rsidRDefault="009E51AA" w:rsidP="009E51AA">
            <w:pPr>
              <w:spacing w:after="0" w:line="276" w:lineRule="auto"/>
              <w:rPr>
                <w:rFonts w:eastAsia="Times New Roman" w:cs="Calibri"/>
                <w:b/>
                <w:bCs/>
                <w:lang w:val="en-AU" w:eastAsia="en-GB"/>
              </w:rPr>
            </w:pPr>
            <w:r w:rsidRPr="0099752E">
              <w:rPr>
                <w:rFonts w:eastAsia="Times New Roman" w:cs="Calibri"/>
                <w:lang w:val="en-AU" w:eastAsia="en-GB"/>
              </w:rPr>
              <w:t>Alexander Meyer</w:t>
            </w:r>
          </w:p>
        </w:tc>
        <w:tc>
          <w:tcPr>
            <w:tcW w:w="2016" w:type="pct"/>
            <w:shd w:val="clear" w:color="auto" w:fill="auto"/>
            <w:noWrap/>
          </w:tcPr>
          <w:p w14:paraId="5CB63504" w14:textId="2DECD061" w:rsidR="009E51AA" w:rsidRPr="004D297D" w:rsidRDefault="009E51AA" w:rsidP="009E51AA">
            <w:pPr>
              <w:spacing w:after="0" w:line="276" w:lineRule="auto"/>
              <w:rPr>
                <w:rFonts w:eastAsia="Times New Roman" w:cs="Calibri"/>
                <w:b/>
                <w:bCs/>
                <w:lang w:val="en-AU" w:eastAsia="en-GB"/>
              </w:rPr>
            </w:pPr>
            <w:r w:rsidRPr="0099752E">
              <w:rPr>
                <w:rFonts w:eastAsia="Times New Roman" w:cs="Calibri"/>
                <w:lang w:val="en-AU" w:eastAsia="en-GB"/>
              </w:rPr>
              <w:t>Counsellor</w:t>
            </w:r>
          </w:p>
        </w:tc>
        <w:tc>
          <w:tcPr>
            <w:tcW w:w="1506" w:type="pct"/>
            <w:shd w:val="clear" w:color="auto" w:fill="auto"/>
            <w:noWrap/>
          </w:tcPr>
          <w:p w14:paraId="551CCDFE" w14:textId="1939D7AE" w:rsidR="009E51AA" w:rsidRPr="004D297D" w:rsidRDefault="009E51AA" w:rsidP="009E51AA">
            <w:pPr>
              <w:spacing w:after="0" w:line="276" w:lineRule="auto"/>
              <w:rPr>
                <w:rFonts w:eastAsia="Times New Roman" w:cs="Calibri"/>
                <w:b/>
                <w:bCs/>
                <w:lang w:val="en-AU" w:eastAsia="en-GB"/>
              </w:rPr>
            </w:pPr>
            <w:r w:rsidRPr="0099752E">
              <w:rPr>
                <w:rFonts w:eastAsia="Times New Roman" w:cs="Calibri"/>
                <w:lang w:val="en-AU" w:eastAsia="en-GB"/>
              </w:rPr>
              <w:t>Department of Home Affairs</w:t>
            </w:r>
          </w:p>
        </w:tc>
        <w:tc>
          <w:tcPr>
            <w:tcW w:w="467" w:type="pct"/>
          </w:tcPr>
          <w:p w14:paraId="4D17668F" w14:textId="29383B66" w:rsidR="009E51AA" w:rsidRPr="004D297D" w:rsidRDefault="009E51AA" w:rsidP="009E51AA">
            <w:pPr>
              <w:spacing w:after="0" w:line="276" w:lineRule="auto"/>
              <w:rPr>
                <w:rFonts w:eastAsia="Times New Roman" w:cs="Calibri"/>
                <w:b/>
                <w:bCs/>
                <w:lang w:val="en-AU" w:eastAsia="en-GB"/>
              </w:rPr>
            </w:pPr>
            <w:r w:rsidRPr="0099752E">
              <w:rPr>
                <w:rFonts w:eastAsia="Times New Roman" w:cs="Calibri"/>
                <w:lang w:val="en-AU" w:eastAsia="en-GB"/>
              </w:rPr>
              <w:t>M</w:t>
            </w:r>
          </w:p>
        </w:tc>
      </w:tr>
    </w:tbl>
    <w:p w14:paraId="1488087E" w14:textId="391CBBA8" w:rsidR="004001F4" w:rsidRPr="00981A6E" w:rsidRDefault="00981A6E" w:rsidP="00446C37">
      <w:pPr>
        <w:spacing w:before="240"/>
        <w:rPr>
          <w:b/>
          <w:bCs/>
          <w:lang w:val="en-AU"/>
        </w:rPr>
      </w:pPr>
      <w:r w:rsidRPr="00981A6E">
        <w:rPr>
          <w:b/>
          <w:bCs/>
          <w:lang w:val="en-AU"/>
        </w:rPr>
        <w:t>Australian agencies and institutions</w:t>
      </w:r>
    </w:p>
    <w:tbl>
      <w:tblPr>
        <w:tblW w:w="5036"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ayout w:type="fixed"/>
        <w:tblLook w:val="0420" w:firstRow="1" w:lastRow="0" w:firstColumn="0" w:lastColumn="0" w:noHBand="0" w:noVBand="1"/>
      </w:tblPr>
      <w:tblGrid>
        <w:gridCol w:w="1837"/>
        <w:gridCol w:w="3661"/>
        <w:gridCol w:w="2735"/>
        <w:gridCol w:w="848"/>
      </w:tblGrid>
      <w:tr w:rsidR="00981A6E" w:rsidRPr="00D563FB" w14:paraId="02348B3C" w14:textId="77777777" w:rsidTr="004811C8">
        <w:trPr>
          <w:trHeight w:val="320"/>
        </w:trPr>
        <w:tc>
          <w:tcPr>
            <w:tcW w:w="1011" w:type="pct"/>
            <w:shd w:val="clear" w:color="auto" w:fill="45B0E1" w:themeFill="accent1" w:themeFillTint="99"/>
            <w:noWrap/>
            <w:hideMark/>
          </w:tcPr>
          <w:p w14:paraId="5A957BFD" w14:textId="77777777" w:rsidR="00981A6E" w:rsidRPr="00D563FB" w:rsidRDefault="00981A6E" w:rsidP="004811C8">
            <w:pPr>
              <w:spacing w:after="0" w:line="276" w:lineRule="auto"/>
              <w:rPr>
                <w:rFonts w:eastAsia="Times New Roman" w:cs="Calibri"/>
                <w:lang w:val="en-AU" w:eastAsia="en-GB"/>
              </w:rPr>
            </w:pPr>
            <w:r w:rsidRPr="004D297D">
              <w:rPr>
                <w:rFonts w:eastAsia="Times New Roman" w:cs="Calibri"/>
                <w:b/>
                <w:bCs/>
                <w:lang w:val="en-AU" w:eastAsia="en-GB"/>
              </w:rPr>
              <w:t>Name</w:t>
            </w:r>
          </w:p>
        </w:tc>
        <w:tc>
          <w:tcPr>
            <w:tcW w:w="2016" w:type="pct"/>
            <w:shd w:val="clear" w:color="auto" w:fill="45B0E1" w:themeFill="accent1" w:themeFillTint="99"/>
            <w:noWrap/>
            <w:hideMark/>
          </w:tcPr>
          <w:p w14:paraId="33C2852F" w14:textId="77777777" w:rsidR="00981A6E" w:rsidRPr="00D563FB" w:rsidRDefault="00981A6E" w:rsidP="004811C8">
            <w:pPr>
              <w:spacing w:after="0" w:line="276" w:lineRule="auto"/>
              <w:rPr>
                <w:rFonts w:eastAsia="Times New Roman" w:cs="Calibri"/>
                <w:lang w:val="en-AU" w:eastAsia="en-GB"/>
              </w:rPr>
            </w:pPr>
            <w:r w:rsidRPr="004D297D">
              <w:rPr>
                <w:rFonts w:eastAsia="Times New Roman" w:cs="Calibri"/>
                <w:b/>
                <w:bCs/>
                <w:lang w:val="en-AU" w:eastAsia="en-GB"/>
              </w:rPr>
              <w:t>Role</w:t>
            </w:r>
          </w:p>
        </w:tc>
        <w:tc>
          <w:tcPr>
            <w:tcW w:w="1506" w:type="pct"/>
            <w:shd w:val="clear" w:color="auto" w:fill="45B0E1" w:themeFill="accent1" w:themeFillTint="99"/>
            <w:noWrap/>
            <w:hideMark/>
          </w:tcPr>
          <w:p w14:paraId="487C219C" w14:textId="77777777" w:rsidR="00981A6E" w:rsidRPr="00D563FB" w:rsidRDefault="00981A6E" w:rsidP="004811C8">
            <w:pPr>
              <w:spacing w:after="0" w:line="276" w:lineRule="auto"/>
              <w:rPr>
                <w:rFonts w:eastAsia="Times New Roman" w:cs="Calibri"/>
                <w:lang w:val="en-AU" w:eastAsia="en-GB"/>
              </w:rPr>
            </w:pPr>
            <w:r w:rsidRPr="004D297D">
              <w:rPr>
                <w:rFonts w:eastAsia="Times New Roman" w:cs="Calibri"/>
                <w:b/>
                <w:bCs/>
                <w:lang w:val="en-AU" w:eastAsia="en-GB"/>
              </w:rPr>
              <w:t>Institution</w:t>
            </w:r>
          </w:p>
        </w:tc>
        <w:tc>
          <w:tcPr>
            <w:tcW w:w="467" w:type="pct"/>
            <w:shd w:val="clear" w:color="auto" w:fill="45B0E1" w:themeFill="accent1" w:themeFillTint="99"/>
          </w:tcPr>
          <w:p w14:paraId="5D2226BA" w14:textId="77777777" w:rsidR="00981A6E" w:rsidRPr="00D563FB" w:rsidRDefault="00981A6E" w:rsidP="004811C8">
            <w:pPr>
              <w:spacing w:after="0" w:line="276" w:lineRule="auto"/>
              <w:rPr>
                <w:rFonts w:eastAsia="Times New Roman" w:cs="Calibri"/>
                <w:lang w:val="en-AU" w:eastAsia="en-GB"/>
              </w:rPr>
            </w:pPr>
            <w:r w:rsidRPr="004D297D">
              <w:rPr>
                <w:rFonts w:eastAsia="Times New Roman" w:cs="Calibri"/>
                <w:b/>
                <w:bCs/>
                <w:lang w:val="en-AU" w:eastAsia="en-GB"/>
              </w:rPr>
              <w:t>M/F</w:t>
            </w:r>
          </w:p>
        </w:tc>
      </w:tr>
      <w:tr w:rsidR="005A0724" w:rsidRPr="00D563FB" w14:paraId="589CBDDF" w14:textId="77777777" w:rsidTr="004811C8">
        <w:trPr>
          <w:trHeight w:val="320"/>
        </w:trPr>
        <w:tc>
          <w:tcPr>
            <w:tcW w:w="1011" w:type="pct"/>
            <w:shd w:val="clear" w:color="auto" w:fill="auto"/>
            <w:noWrap/>
          </w:tcPr>
          <w:p w14:paraId="34CE3239" w14:textId="25F465DA" w:rsidR="005A0724" w:rsidRPr="004D297D" w:rsidRDefault="005A0724" w:rsidP="005A0724">
            <w:pPr>
              <w:spacing w:after="0" w:line="276" w:lineRule="auto"/>
              <w:rPr>
                <w:rFonts w:eastAsia="Times New Roman" w:cs="Calibri"/>
                <w:b/>
                <w:bCs/>
                <w:lang w:val="en-AU" w:eastAsia="en-GB"/>
              </w:rPr>
            </w:pPr>
            <w:r w:rsidRPr="0099752E">
              <w:rPr>
                <w:rFonts w:eastAsia="Times New Roman" w:cs="Calibri"/>
                <w:lang w:val="en-AU" w:eastAsia="en-GB"/>
              </w:rPr>
              <w:t>Federal Agent Luke Nasir</w:t>
            </w:r>
          </w:p>
        </w:tc>
        <w:tc>
          <w:tcPr>
            <w:tcW w:w="2016" w:type="pct"/>
            <w:shd w:val="clear" w:color="auto" w:fill="auto"/>
            <w:noWrap/>
          </w:tcPr>
          <w:p w14:paraId="65697BBD" w14:textId="2BF41F42" w:rsidR="005A0724" w:rsidRPr="004D297D" w:rsidRDefault="005A0724" w:rsidP="005A0724">
            <w:pPr>
              <w:spacing w:after="0" w:line="276" w:lineRule="auto"/>
              <w:rPr>
                <w:rFonts w:eastAsia="Times New Roman" w:cs="Calibri"/>
                <w:b/>
                <w:bCs/>
                <w:lang w:val="en-AU" w:eastAsia="en-GB"/>
              </w:rPr>
            </w:pPr>
            <w:r w:rsidRPr="0099752E">
              <w:rPr>
                <w:rFonts w:eastAsia="Times New Roman" w:cs="Calibri"/>
                <w:lang w:val="en-AU" w:eastAsia="en-GB"/>
              </w:rPr>
              <w:t>Liaison Officer Jakarta</w:t>
            </w:r>
          </w:p>
        </w:tc>
        <w:tc>
          <w:tcPr>
            <w:tcW w:w="1506" w:type="pct"/>
            <w:shd w:val="clear" w:color="auto" w:fill="auto"/>
            <w:noWrap/>
          </w:tcPr>
          <w:p w14:paraId="1ABCF9FF" w14:textId="4F5FF041" w:rsidR="005A0724" w:rsidRPr="004D297D" w:rsidRDefault="005A0724" w:rsidP="005A0724">
            <w:pPr>
              <w:spacing w:after="0" w:line="276" w:lineRule="auto"/>
              <w:rPr>
                <w:rFonts w:eastAsia="Times New Roman" w:cs="Calibri"/>
                <w:b/>
                <w:bCs/>
                <w:lang w:val="en-AU" w:eastAsia="en-GB"/>
              </w:rPr>
            </w:pPr>
            <w:r w:rsidRPr="0099752E">
              <w:rPr>
                <w:rFonts w:eastAsia="Times New Roman" w:cs="Calibri"/>
                <w:lang w:val="en-AU" w:eastAsia="en-GB"/>
              </w:rPr>
              <w:t>Australian Federal Police (AFP)</w:t>
            </w:r>
          </w:p>
        </w:tc>
        <w:tc>
          <w:tcPr>
            <w:tcW w:w="467" w:type="pct"/>
          </w:tcPr>
          <w:p w14:paraId="5ECF7A89" w14:textId="2E90E02E" w:rsidR="005A0724" w:rsidRPr="004D297D" w:rsidRDefault="005A0724" w:rsidP="005A0724">
            <w:pPr>
              <w:spacing w:after="0" w:line="276" w:lineRule="auto"/>
              <w:rPr>
                <w:rFonts w:eastAsia="Times New Roman" w:cs="Calibri"/>
                <w:b/>
                <w:bCs/>
                <w:lang w:val="en-AU" w:eastAsia="en-GB"/>
              </w:rPr>
            </w:pPr>
            <w:r w:rsidRPr="0099752E">
              <w:rPr>
                <w:rFonts w:eastAsia="Times New Roman" w:cs="Calibri"/>
                <w:lang w:val="en-AU" w:eastAsia="en-GB"/>
              </w:rPr>
              <w:t>M</w:t>
            </w:r>
          </w:p>
        </w:tc>
      </w:tr>
      <w:tr w:rsidR="005A0724" w:rsidRPr="00D563FB" w14:paraId="69169A9B" w14:textId="77777777" w:rsidTr="00981A6E">
        <w:trPr>
          <w:trHeight w:val="320"/>
        </w:trPr>
        <w:tc>
          <w:tcPr>
            <w:tcW w:w="1011" w:type="pct"/>
            <w:shd w:val="clear" w:color="auto" w:fill="auto"/>
            <w:noWrap/>
          </w:tcPr>
          <w:p w14:paraId="102D07A1" w14:textId="06F51424"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Detective Superintendent Rachel Ball</w:t>
            </w:r>
          </w:p>
        </w:tc>
        <w:tc>
          <w:tcPr>
            <w:tcW w:w="2016" w:type="pct"/>
            <w:shd w:val="clear" w:color="auto" w:fill="auto"/>
            <w:noWrap/>
          </w:tcPr>
          <w:p w14:paraId="2A8A6961" w14:textId="03124AE0"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Senior Officer Phnom Penh</w:t>
            </w:r>
          </w:p>
        </w:tc>
        <w:tc>
          <w:tcPr>
            <w:tcW w:w="1506" w:type="pct"/>
            <w:shd w:val="clear" w:color="auto" w:fill="auto"/>
            <w:noWrap/>
          </w:tcPr>
          <w:p w14:paraId="1AF9896E" w14:textId="6FCF23C7"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Australian Federal Police (AFP)</w:t>
            </w:r>
          </w:p>
        </w:tc>
        <w:tc>
          <w:tcPr>
            <w:tcW w:w="467" w:type="pct"/>
          </w:tcPr>
          <w:p w14:paraId="7219F69B" w14:textId="789C702B"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F</w:t>
            </w:r>
          </w:p>
        </w:tc>
      </w:tr>
      <w:tr w:rsidR="005A0724" w:rsidRPr="00D563FB" w14:paraId="1D2462E8" w14:textId="77777777" w:rsidTr="00981A6E">
        <w:trPr>
          <w:trHeight w:val="320"/>
        </w:trPr>
        <w:tc>
          <w:tcPr>
            <w:tcW w:w="1011" w:type="pct"/>
            <w:shd w:val="clear" w:color="auto" w:fill="auto"/>
            <w:noWrap/>
          </w:tcPr>
          <w:p w14:paraId="233627B8" w14:textId="24882187"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Baden Shipp</w:t>
            </w:r>
          </w:p>
        </w:tc>
        <w:tc>
          <w:tcPr>
            <w:tcW w:w="2016" w:type="pct"/>
            <w:shd w:val="clear" w:color="auto" w:fill="auto"/>
            <w:noWrap/>
          </w:tcPr>
          <w:p w14:paraId="6F9E7789" w14:textId="157AEDEB"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Senior Registrar Sydney Property and Exhibit Registry, Eastern Command</w:t>
            </w:r>
          </w:p>
        </w:tc>
        <w:tc>
          <w:tcPr>
            <w:tcW w:w="1506" w:type="pct"/>
            <w:shd w:val="clear" w:color="auto" w:fill="auto"/>
            <w:noWrap/>
          </w:tcPr>
          <w:p w14:paraId="2D5CBDBA" w14:textId="28061ADA"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Australian Federal Police (AFP)</w:t>
            </w:r>
          </w:p>
        </w:tc>
        <w:tc>
          <w:tcPr>
            <w:tcW w:w="467" w:type="pct"/>
          </w:tcPr>
          <w:p w14:paraId="59E76541" w14:textId="0D40E5CE"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M</w:t>
            </w:r>
          </w:p>
        </w:tc>
      </w:tr>
      <w:tr w:rsidR="005A0724" w:rsidRPr="00D563FB" w14:paraId="05027A5F" w14:textId="77777777" w:rsidTr="00981A6E">
        <w:trPr>
          <w:trHeight w:val="320"/>
        </w:trPr>
        <w:tc>
          <w:tcPr>
            <w:tcW w:w="1011" w:type="pct"/>
            <w:shd w:val="clear" w:color="auto" w:fill="auto"/>
            <w:noWrap/>
          </w:tcPr>
          <w:p w14:paraId="17F30E2A" w14:textId="0DBCC3B1"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David Letts</w:t>
            </w:r>
          </w:p>
        </w:tc>
        <w:tc>
          <w:tcPr>
            <w:tcW w:w="2016" w:type="pct"/>
            <w:shd w:val="clear" w:color="auto" w:fill="auto"/>
            <w:noWrap/>
          </w:tcPr>
          <w:p w14:paraId="6273175B" w14:textId="1DAC0517"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Associate Professor </w:t>
            </w:r>
          </w:p>
        </w:tc>
        <w:tc>
          <w:tcPr>
            <w:tcW w:w="1506" w:type="pct"/>
            <w:shd w:val="clear" w:color="auto" w:fill="auto"/>
            <w:noWrap/>
          </w:tcPr>
          <w:p w14:paraId="7453DD70" w14:textId="6B4C0823"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Australian National Centre for Ocean Resources and Security (ANCORS)</w:t>
            </w:r>
          </w:p>
        </w:tc>
        <w:tc>
          <w:tcPr>
            <w:tcW w:w="467" w:type="pct"/>
          </w:tcPr>
          <w:p w14:paraId="50631AA8" w14:textId="5EE11D2D"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M</w:t>
            </w:r>
          </w:p>
        </w:tc>
      </w:tr>
      <w:tr w:rsidR="005A0724" w:rsidRPr="00D563FB" w14:paraId="3FF8D995" w14:textId="77777777" w:rsidTr="00981A6E">
        <w:trPr>
          <w:trHeight w:val="320"/>
        </w:trPr>
        <w:tc>
          <w:tcPr>
            <w:tcW w:w="1011" w:type="pct"/>
            <w:shd w:val="clear" w:color="auto" w:fill="auto"/>
            <w:noWrap/>
          </w:tcPr>
          <w:p w14:paraId="4B1D5219" w14:textId="7D2927ED"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Bart Hogeveen</w:t>
            </w:r>
          </w:p>
        </w:tc>
        <w:tc>
          <w:tcPr>
            <w:tcW w:w="2016" w:type="pct"/>
            <w:shd w:val="clear" w:color="auto" w:fill="auto"/>
            <w:noWrap/>
          </w:tcPr>
          <w:p w14:paraId="3EE35CC7" w14:textId="2EEDB479"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Deputy Director - Cyber, Technology &amp; Security</w:t>
            </w:r>
          </w:p>
        </w:tc>
        <w:tc>
          <w:tcPr>
            <w:tcW w:w="1506" w:type="pct"/>
            <w:shd w:val="clear" w:color="auto" w:fill="auto"/>
            <w:noWrap/>
          </w:tcPr>
          <w:p w14:paraId="336B1403" w14:textId="703145B8"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Australian Strategic Policy Institute (ASPI)</w:t>
            </w:r>
          </w:p>
        </w:tc>
        <w:tc>
          <w:tcPr>
            <w:tcW w:w="467" w:type="pct"/>
          </w:tcPr>
          <w:p w14:paraId="2DEB8923" w14:textId="2D4C93CA"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M</w:t>
            </w:r>
          </w:p>
        </w:tc>
      </w:tr>
      <w:tr w:rsidR="005A0724" w:rsidRPr="00D563FB" w14:paraId="00CD7F6E" w14:textId="77777777" w:rsidTr="00981A6E">
        <w:trPr>
          <w:trHeight w:val="320"/>
        </w:trPr>
        <w:tc>
          <w:tcPr>
            <w:tcW w:w="1011" w:type="pct"/>
            <w:shd w:val="clear" w:color="auto" w:fill="auto"/>
            <w:noWrap/>
          </w:tcPr>
          <w:p w14:paraId="48C0091D" w14:textId="6DCE6E3E"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Britta Denise Hardesty</w:t>
            </w:r>
          </w:p>
        </w:tc>
        <w:tc>
          <w:tcPr>
            <w:tcW w:w="2016" w:type="pct"/>
            <w:shd w:val="clear" w:color="auto" w:fill="auto"/>
            <w:noWrap/>
          </w:tcPr>
          <w:p w14:paraId="0A2A6B2A" w14:textId="236833C4"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Senior Principal Research Scientist </w:t>
            </w:r>
          </w:p>
        </w:tc>
        <w:tc>
          <w:tcPr>
            <w:tcW w:w="1506" w:type="pct"/>
            <w:shd w:val="clear" w:color="auto" w:fill="auto"/>
            <w:noWrap/>
          </w:tcPr>
          <w:p w14:paraId="185DE4A1" w14:textId="6F96A7C3"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Commonwealth Scientific and Industrial Research Organisation (CSIRO)</w:t>
            </w:r>
          </w:p>
        </w:tc>
        <w:tc>
          <w:tcPr>
            <w:tcW w:w="467" w:type="pct"/>
          </w:tcPr>
          <w:p w14:paraId="6518BB12" w14:textId="01AEE193"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F</w:t>
            </w:r>
          </w:p>
        </w:tc>
      </w:tr>
      <w:tr w:rsidR="005A0724" w:rsidRPr="00D563FB" w14:paraId="2CC7D007" w14:textId="77777777" w:rsidTr="00981A6E">
        <w:trPr>
          <w:trHeight w:val="320"/>
        </w:trPr>
        <w:tc>
          <w:tcPr>
            <w:tcW w:w="1011" w:type="pct"/>
            <w:shd w:val="clear" w:color="auto" w:fill="auto"/>
            <w:noWrap/>
          </w:tcPr>
          <w:p w14:paraId="669E42ED" w14:textId="2D107016"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Ella Serry </w:t>
            </w:r>
          </w:p>
        </w:tc>
        <w:tc>
          <w:tcPr>
            <w:tcW w:w="2016" w:type="pct"/>
            <w:shd w:val="clear" w:color="auto" w:fill="auto"/>
            <w:noWrap/>
          </w:tcPr>
          <w:p w14:paraId="607A5F21" w14:textId="6AA8D1DC"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Manager, International Engagement and Capacity Building</w:t>
            </w:r>
          </w:p>
        </w:tc>
        <w:tc>
          <w:tcPr>
            <w:tcW w:w="1506" w:type="pct"/>
            <w:shd w:val="clear" w:color="auto" w:fill="auto"/>
            <w:noWrap/>
          </w:tcPr>
          <w:p w14:paraId="51A062E8" w14:textId="6987DBE8"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E-Safety Commission </w:t>
            </w:r>
          </w:p>
        </w:tc>
        <w:tc>
          <w:tcPr>
            <w:tcW w:w="467" w:type="pct"/>
          </w:tcPr>
          <w:p w14:paraId="10FF4A08" w14:textId="1C0C3E35" w:rsidR="005A0724" w:rsidRPr="00D563FB" w:rsidRDefault="005A0724" w:rsidP="005A0724">
            <w:pPr>
              <w:spacing w:after="0" w:line="276" w:lineRule="auto"/>
              <w:rPr>
                <w:rFonts w:eastAsia="Times New Roman" w:cs="Calibri"/>
                <w:lang w:val="en-AU" w:eastAsia="en-GB"/>
              </w:rPr>
            </w:pPr>
            <w:r w:rsidRPr="0099752E">
              <w:rPr>
                <w:rFonts w:eastAsia="Times New Roman" w:cs="Calibri"/>
                <w:lang w:val="en-AU" w:eastAsia="en-GB"/>
              </w:rPr>
              <w:t>F</w:t>
            </w:r>
          </w:p>
        </w:tc>
      </w:tr>
    </w:tbl>
    <w:p w14:paraId="6D98AA56" w14:textId="76EB8799" w:rsidR="00B45257" w:rsidRDefault="008F4384" w:rsidP="00B45257">
      <w:pPr>
        <w:rPr>
          <w:rFonts w:eastAsia="Times New Roman" w:cs="Calibri"/>
          <w:b/>
          <w:bCs/>
          <w:lang w:val="en-AU" w:eastAsia="en-GB"/>
        </w:rPr>
      </w:pPr>
      <w:r w:rsidRPr="0099752E">
        <w:rPr>
          <w:rFonts w:eastAsia="Times New Roman" w:cs="Calibri"/>
          <w:b/>
          <w:bCs/>
          <w:lang w:val="en-AU" w:eastAsia="en-GB"/>
        </w:rPr>
        <w:lastRenderedPageBreak/>
        <w:t>ASEAN Secretariat</w:t>
      </w:r>
      <w:r w:rsidR="00EB1C67">
        <w:rPr>
          <w:rFonts w:eastAsia="Times New Roman" w:cs="Calibri"/>
          <w:b/>
          <w:bCs/>
          <w:lang w:val="en-AU" w:eastAsia="en-GB"/>
        </w:rPr>
        <w:t xml:space="preserve">, </w:t>
      </w:r>
      <w:r w:rsidRPr="0099752E">
        <w:rPr>
          <w:rFonts w:eastAsia="Times New Roman" w:cs="Calibri"/>
          <w:b/>
          <w:bCs/>
          <w:lang w:val="en-AU" w:eastAsia="en-GB"/>
        </w:rPr>
        <w:t>sectoral bodies</w:t>
      </w:r>
      <w:r w:rsidR="00EB1C67">
        <w:rPr>
          <w:rFonts w:eastAsia="Times New Roman" w:cs="Calibri"/>
          <w:b/>
          <w:bCs/>
          <w:lang w:val="en-AU" w:eastAsia="en-GB"/>
        </w:rPr>
        <w:t xml:space="preserve">, and entities </w:t>
      </w:r>
    </w:p>
    <w:tbl>
      <w:tblPr>
        <w:tblW w:w="5036"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ayout w:type="fixed"/>
        <w:tblLook w:val="0420" w:firstRow="1" w:lastRow="0" w:firstColumn="0" w:lastColumn="0" w:noHBand="0" w:noVBand="1"/>
      </w:tblPr>
      <w:tblGrid>
        <w:gridCol w:w="1837"/>
        <w:gridCol w:w="3661"/>
        <w:gridCol w:w="2735"/>
        <w:gridCol w:w="848"/>
      </w:tblGrid>
      <w:tr w:rsidR="00832002" w:rsidRPr="00D563FB" w14:paraId="185820B8" w14:textId="77777777" w:rsidTr="004811C8">
        <w:trPr>
          <w:trHeight w:val="320"/>
        </w:trPr>
        <w:tc>
          <w:tcPr>
            <w:tcW w:w="1011" w:type="pct"/>
            <w:shd w:val="clear" w:color="auto" w:fill="45B0E1" w:themeFill="accent1" w:themeFillTint="99"/>
            <w:noWrap/>
            <w:hideMark/>
          </w:tcPr>
          <w:p w14:paraId="0B224AC7" w14:textId="77777777" w:rsidR="00832002" w:rsidRPr="00D563FB" w:rsidRDefault="00832002" w:rsidP="004811C8">
            <w:pPr>
              <w:spacing w:after="0" w:line="276" w:lineRule="auto"/>
              <w:rPr>
                <w:rFonts w:eastAsia="Times New Roman" w:cs="Calibri"/>
                <w:lang w:val="en-AU" w:eastAsia="en-GB"/>
              </w:rPr>
            </w:pPr>
            <w:r w:rsidRPr="004D297D">
              <w:rPr>
                <w:rFonts w:eastAsia="Times New Roman" w:cs="Calibri"/>
                <w:b/>
                <w:bCs/>
                <w:lang w:val="en-AU" w:eastAsia="en-GB"/>
              </w:rPr>
              <w:t>Name</w:t>
            </w:r>
          </w:p>
        </w:tc>
        <w:tc>
          <w:tcPr>
            <w:tcW w:w="2016" w:type="pct"/>
            <w:shd w:val="clear" w:color="auto" w:fill="45B0E1" w:themeFill="accent1" w:themeFillTint="99"/>
            <w:noWrap/>
            <w:hideMark/>
          </w:tcPr>
          <w:p w14:paraId="3D9B642C" w14:textId="77777777" w:rsidR="00832002" w:rsidRPr="00D563FB" w:rsidRDefault="00832002" w:rsidP="004811C8">
            <w:pPr>
              <w:spacing w:after="0" w:line="276" w:lineRule="auto"/>
              <w:rPr>
                <w:rFonts w:eastAsia="Times New Roman" w:cs="Calibri"/>
                <w:lang w:val="en-AU" w:eastAsia="en-GB"/>
              </w:rPr>
            </w:pPr>
            <w:r w:rsidRPr="004D297D">
              <w:rPr>
                <w:rFonts w:eastAsia="Times New Roman" w:cs="Calibri"/>
                <w:b/>
                <w:bCs/>
                <w:lang w:val="en-AU" w:eastAsia="en-GB"/>
              </w:rPr>
              <w:t>Role</w:t>
            </w:r>
          </w:p>
        </w:tc>
        <w:tc>
          <w:tcPr>
            <w:tcW w:w="1506" w:type="pct"/>
            <w:shd w:val="clear" w:color="auto" w:fill="45B0E1" w:themeFill="accent1" w:themeFillTint="99"/>
            <w:noWrap/>
            <w:hideMark/>
          </w:tcPr>
          <w:p w14:paraId="0D5EC873" w14:textId="77777777" w:rsidR="00832002" w:rsidRPr="00D563FB" w:rsidRDefault="00832002" w:rsidP="004811C8">
            <w:pPr>
              <w:spacing w:after="0" w:line="276" w:lineRule="auto"/>
              <w:rPr>
                <w:rFonts w:eastAsia="Times New Roman" w:cs="Calibri"/>
                <w:lang w:val="en-AU" w:eastAsia="en-GB"/>
              </w:rPr>
            </w:pPr>
            <w:r w:rsidRPr="004D297D">
              <w:rPr>
                <w:rFonts w:eastAsia="Times New Roman" w:cs="Calibri"/>
                <w:b/>
                <w:bCs/>
                <w:lang w:val="en-AU" w:eastAsia="en-GB"/>
              </w:rPr>
              <w:t>Institution</w:t>
            </w:r>
          </w:p>
        </w:tc>
        <w:tc>
          <w:tcPr>
            <w:tcW w:w="467" w:type="pct"/>
            <w:shd w:val="clear" w:color="auto" w:fill="45B0E1" w:themeFill="accent1" w:themeFillTint="99"/>
          </w:tcPr>
          <w:p w14:paraId="083C9CCD" w14:textId="77777777" w:rsidR="00832002" w:rsidRPr="00D563FB" w:rsidRDefault="00832002" w:rsidP="004811C8">
            <w:pPr>
              <w:spacing w:after="0" w:line="276" w:lineRule="auto"/>
              <w:rPr>
                <w:rFonts w:eastAsia="Times New Roman" w:cs="Calibri"/>
                <w:lang w:val="en-AU" w:eastAsia="en-GB"/>
              </w:rPr>
            </w:pPr>
            <w:r w:rsidRPr="004D297D">
              <w:rPr>
                <w:rFonts w:eastAsia="Times New Roman" w:cs="Calibri"/>
                <w:b/>
                <w:bCs/>
                <w:lang w:val="en-AU" w:eastAsia="en-GB"/>
              </w:rPr>
              <w:t>M/F</w:t>
            </w:r>
          </w:p>
        </w:tc>
      </w:tr>
      <w:tr w:rsidR="009F5BEE" w:rsidRPr="00D563FB" w14:paraId="29673769" w14:textId="77777777" w:rsidTr="004811C8">
        <w:trPr>
          <w:trHeight w:val="320"/>
        </w:trPr>
        <w:tc>
          <w:tcPr>
            <w:tcW w:w="1011" w:type="pct"/>
            <w:shd w:val="clear" w:color="auto" w:fill="auto"/>
            <w:noWrap/>
          </w:tcPr>
          <w:p w14:paraId="07EBE7D2" w14:textId="16EAE0EA" w:rsidR="009F5BEE" w:rsidRPr="004D297D" w:rsidRDefault="009F5BEE" w:rsidP="009F5BEE">
            <w:pPr>
              <w:spacing w:after="0" w:line="276" w:lineRule="auto"/>
              <w:rPr>
                <w:rFonts w:eastAsia="Times New Roman" w:cs="Calibri"/>
                <w:b/>
                <w:bCs/>
                <w:lang w:val="en-AU" w:eastAsia="en-GB"/>
              </w:rPr>
            </w:pPr>
            <w:r w:rsidRPr="0099752E">
              <w:rPr>
                <w:rFonts w:eastAsia="Times New Roman" w:cs="Calibri"/>
                <w:lang w:val="en-AU" w:eastAsia="en-GB"/>
              </w:rPr>
              <w:t xml:space="preserve">Kartika Budhi </w:t>
            </w:r>
            <w:proofErr w:type="spellStart"/>
            <w:r w:rsidRPr="0099752E">
              <w:rPr>
                <w:rFonts w:eastAsia="Times New Roman" w:cs="Calibri"/>
                <w:lang w:val="en-AU" w:eastAsia="en-GB"/>
              </w:rPr>
              <w:t>Wijayanti</w:t>
            </w:r>
            <w:proofErr w:type="spellEnd"/>
          </w:p>
        </w:tc>
        <w:tc>
          <w:tcPr>
            <w:tcW w:w="2016" w:type="pct"/>
            <w:shd w:val="clear" w:color="auto" w:fill="auto"/>
            <w:noWrap/>
          </w:tcPr>
          <w:p w14:paraId="002926E1" w14:textId="4BC341EE" w:rsidR="009F5BEE" w:rsidRPr="004D297D" w:rsidRDefault="009F5BEE" w:rsidP="009F5BEE">
            <w:pPr>
              <w:spacing w:after="0" w:line="276" w:lineRule="auto"/>
              <w:rPr>
                <w:rFonts w:eastAsia="Times New Roman" w:cs="Calibri"/>
                <w:b/>
                <w:bCs/>
                <w:lang w:val="en-AU" w:eastAsia="en-GB"/>
              </w:rPr>
            </w:pPr>
            <w:r w:rsidRPr="0099752E">
              <w:rPr>
                <w:rFonts w:eastAsia="Times New Roman" w:cs="Calibri"/>
                <w:lang w:val="en-AU" w:eastAsia="en-GB"/>
              </w:rPr>
              <w:t>Project Management Officer</w:t>
            </w:r>
          </w:p>
        </w:tc>
        <w:tc>
          <w:tcPr>
            <w:tcW w:w="1506" w:type="pct"/>
            <w:shd w:val="clear" w:color="auto" w:fill="auto"/>
            <w:noWrap/>
          </w:tcPr>
          <w:p w14:paraId="45C53312" w14:textId="1CC527E5" w:rsidR="009F5BEE" w:rsidRPr="004D297D" w:rsidRDefault="009F5BEE" w:rsidP="009F5BEE">
            <w:pPr>
              <w:spacing w:after="0" w:line="276" w:lineRule="auto"/>
              <w:rPr>
                <w:rFonts w:eastAsia="Times New Roman" w:cs="Calibri"/>
                <w:b/>
                <w:bCs/>
                <w:lang w:val="en-AU" w:eastAsia="en-GB"/>
              </w:rPr>
            </w:pPr>
            <w:r w:rsidRPr="0099752E">
              <w:rPr>
                <w:rFonts w:eastAsia="Times New Roman" w:cs="Calibri"/>
                <w:lang w:val="en-AU" w:eastAsia="en-GB"/>
              </w:rPr>
              <w:t>ASEAN Institute for Peace and Reconciliation (ASEAN-IPR)</w:t>
            </w:r>
          </w:p>
        </w:tc>
        <w:tc>
          <w:tcPr>
            <w:tcW w:w="467" w:type="pct"/>
          </w:tcPr>
          <w:p w14:paraId="39450F42" w14:textId="52984D43" w:rsidR="009F5BEE" w:rsidRPr="004D297D" w:rsidRDefault="009F5BEE" w:rsidP="009F5BEE">
            <w:pPr>
              <w:spacing w:after="0" w:line="276" w:lineRule="auto"/>
              <w:rPr>
                <w:rFonts w:eastAsia="Times New Roman" w:cs="Calibri"/>
                <w:b/>
                <w:bCs/>
                <w:lang w:val="en-AU" w:eastAsia="en-GB"/>
              </w:rPr>
            </w:pPr>
            <w:r w:rsidRPr="0099752E">
              <w:rPr>
                <w:rFonts w:eastAsia="Times New Roman" w:cs="Calibri"/>
                <w:lang w:val="en-AU" w:eastAsia="en-GB"/>
              </w:rPr>
              <w:t>F</w:t>
            </w:r>
          </w:p>
        </w:tc>
      </w:tr>
      <w:tr w:rsidR="009F5BEE" w:rsidRPr="00D563FB" w14:paraId="0A3BEC19" w14:textId="77777777" w:rsidTr="00A46FD7">
        <w:trPr>
          <w:trHeight w:val="320"/>
        </w:trPr>
        <w:tc>
          <w:tcPr>
            <w:tcW w:w="1011" w:type="pct"/>
            <w:shd w:val="clear" w:color="auto" w:fill="auto"/>
            <w:noWrap/>
          </w:tcPr>
          <w:p w14:paraId="77C58837" w14:textId="37D8F1B6"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 xml:space="preserve">Rif'at S. </w:t>
            </w:r>
            <w:proofErr w:type="spellStart"/>
            <w:r w:rsidRPr="0099752E">
              <w:rPr>
                <w:rFonts w:eastAsia="Times New Roman" w:cs="Calibri"/>
                <w:lang w:val="en-AU" w:eastAsia="en-GB"/>
              </w:rPr>
              <w:t>Fachir</w:t>
            </w:r>
            <w:proofErr w:type="spellEnd"/>
          </w:p>
        </w:tc>
        <w:tc>
          <w:tcPr>
            <w:tcW w:w="2016" w:type="pct"/>
            <w:shd w:val="clear" w:color="auto" w:fill="auto"/>
            <w:noWrap/>
          </w:tcPr>
          <w:p w14:paraId="70079459" w14:textId="18BD9BF3"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Communication Officer </w:t>
            </w:r>
          </w:p>
        </w:tc>
        <w:tc>
          <w:tcPr>
            <w:tcW w:w="1506" w:type="pct"/>
            <w:shd w:val="clear" w:color="auto" w:fill="auto"/>
            <w:noWrap/>
          </w:tcPr>
          <w:p w14:paraId="6DD30999" w14:textId="3D148209"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ASEAN Institute for Peace and Reconciliation (ASEAN-IPR)</w:t>
            </w:r>
          </w:p>
        </w:tc>
        <w:tc>
          <w:tcPr>
            <w:tcW w:w="467" w:type="pct"/>
          </w:tcPr>
          <w:p w14:paraId="542428BE" w14:textId="56CD550E"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M</w:t>
            </w:r>
          </w:p>
        </w:tc>
      </w:tr>
      <w:tr w:rsidR="009F5BEE" w:rsidRPr="00D563FB" w14:paraId="3695FC16" w14:textId="77777777" w:rsidTr="00A46FD7">
        <w:trPr>
          <w:trHeight w:val="320"/>
        </w:trPr>
        <w:tc>
          <w:tcPr>
            <w:tcW w:w="1011" w:type="pct"/>
            <w:shd w:val="clear" w:color="auto" w:fill="auto"/>
            <w:noWrap/>
          </w:tcPr>
          <w:p w14:paraId="37DD4436" w14:textId="1E44E65C"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 xml:space="preserve">Lim </w:t>
            </w:r>
            <w:proofErr w:type="spellStart"/>
            <w:r w:rsidRPr="0099752E">
              <w:rPr>
                <w:rFonts w:eastAsia="Times New Roman" w:cs="Calibri"/>
                <w:lang w:val="en-AU" w:eastAsia="en-GB"/>
              </w:rPr>
              <w:t>Puay</w:t>
            </w:r>
            <w:proofErr w:type="spellEnd"/>
            <w:r w:rsidRPr="0099752E">
              <w:rPr>
                <w:rFonts w:eastAsia="Times New Roman" w:cs="Calibri"/>
                <w:lang w:val="en-AU" w:eastAsia="en-GB"/>
              </w:rPr>
              <w:t xml:space="preserve"> </w:t>
            </w:r>
            <w:proofErr w:type="spellStart"/>
            <w:r w:rsidRPr="0099752E">
              <w:rPr>
                <w:rFonts w:eastAsia="Times New Roman" w:cs="Calibri"/>
                <w:lang w:val="en-AU" w:eastAsia="en-GB"/>
              </w:rPr>
              <w:t>Tiak</w:t>
            </w:r>
            <w:proofErr w:type="spellEnd"/>
            <w:r w:rsidRPr="0099752E">
              <w:rPr>
                <w:rFonts w:eastAsia="Times New Roman" w:cs="Calibri"/>
                <w:lang w:val="en-AU" w:eastAsia="en-GB"/>
              </w:rPr>
              <w:t xml:space="preserve"> (PT Lim)</w:t>
            </w:r>
          </w:p>
        </w:tc>
        <w:tc>
          <w:tcPr>
            <w:tcW w:w="2016" w:type="pct"/>
            <w:shd w:val="clear" w:color="auto" w:fill="auto"/>
            <w:noWrap/>
          </w:tcPr>
          <w:p w14:paraId="3E8EB03F" w14:textId="54461CF4"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Chairman &amp; Honorary Treasurer</w:t>
            </w:r>
          </w:p>
        </w:tc>
        <w:tc>
          <w:tcPr>
            <w:tcW w:w="1506" w:type="pct"/>
            <w:shd w:val="clear" w:color="auto" w:fill="auto"/>
            <w:noWrap/>
          </w:tcPr>
          <w:p w14:paraId="20D1AC10" w14:textId="77777777" w:rsidR="009F5BEE" w:rsidRPr="0099752E" w:rsidRDefault="009F5BEE" w:rsidP="009F5BEE">
            <w:pPr>
              <w:spacing w:after="0" w:line="276" w:lineRule="auto"/>
              <w:rPr>
                <w:rFonts w:eastAsia="Times New Roman" w:cs="Calibri"/>
                <w:lang w:val="en-AU" w:eastAsia="en-GB"/>
              </w:rPr>
            </w:pPr>
            <w:r w:rsidRPr="0099752E">
              <w:rPr>
                <w:rFonts w:eastAsia="Times New Roman" w:cs="Calibri"/>
                <w:lang w:val="en-AU" w:eastAsia="en-GB"/>
              </w:rPr>
              <w:t>Chairman of ASEAN Disability Forum (ADF) &amp;</w:t>
            </w:r>
          </w:p>
          <w:p w14:paraId="030C388F" w14:textId="26C2991D"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Honorary Treasurer, International Disability Alliance (IDA)</w:t>
            </w:r>
          </w:p>
        </w:tc>
        <w:tc>
          <w:tcPr>
            <w:tcW w:w="467" w:type="pct"/>
          </w:tcPr>
          <w:p w14:paraId="06E266FF" w14:textId="1278A2F6"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M</w:t>
            </w:r>
          </w:p>
        </w:tc>
      </w:tr>
      <w:tr w:rsidR="009F5BEE" w:rsidRPr="00D563FB" w14:paraId="271B5B2E" w14:textId="77777777" w:rsidTr="00A46FD7">
        <w:trPr>
          <w:trHeight w:val="320"/>
        </w:trPr>
        <w:tc>
          <w:tcPr>
            <w:tcW w:w="1011" w:type="pct"/>
            <w:shd w:val="clear" w:color="auto" w:fill="auto"/>
            <w:noWrap/>
          </w:tcPr>
          <w:p w14:paraId="32F4B259" w14:textId="39107E66"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Raymund Joe Quilop</w:t>
            </w:r>
          </w:p>
        </w:tc>
        <w:tc>
          <w:tcPr>
            <w:tcW w:w="2016" w:type="pct"/>
            <w:shd w:val="clear" w:color="auto" w:fill="auto"/>
            <w:noWrap/>
          </w:tcPr>
          <w:p w14:paraId="706ACD22" w14:textId="48CDF063"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Assistant Director and Head</w:t>
            </w:r>
          </w:p>
        </w:tc>
        <w:tc>
          <w:tcPr>
            <w:tcW w:w="1506" w:type="pct"/>
            <w:shd w:val="clear" w:color="auto" w:fill="auto"/>
            <w:noWrap/>
          </w:tcPr>
          <w:p w14:paraId="4C4C7229" w14:textId="1F8BDDEF"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ASEAN Political Security Community Analysis and Monitoring Division</w:t>
            </w:r>
          </w:p>
        </w:tc>
        <w:tc>
          <w:tcPr>
            <w:tcW w:w="467" w:type="pct"/>
          </w:tcPr>
          <w:p w14:paraId="2BC45C72" w14:textId="53CDD6BD"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M</w:t>
            </w:r>
          </w:p>
        </w:tc>
      </w:tr>
      <w:tr w:rsidR="009F5BEE" w:rsidRPr="00D563FB" w14:paraId="677AE946" w14:textId="77777777" w:rsidTr="00A46FD7">
        <w:trPr>
          <w:trHeight w:val="320"/>
        </w:trPr>
        <w:tc>
          <w:tcPr>
            <w:tcW w:w="1011" w:type="pct"/>
            <w:shd w:val="clear" w:color="auto" w:fill="auto"/>
            <w:noWrap/>
          </w:tcPr>
          <w:p w14:paraId="5F85BE6A" w14:textId="1AB4045A"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Thao Thi Thanh Nguyen</w:t>
            </w:r>
          </w:p>
        </w:tc>
        <w:tc>
          <w:tcPr>
            <w:tcW w:w="2016" w:type="pct"/>
            <w:shd w:val="clear" w:color="auto" w:fill="auto"/>
            <w:noWrap/>
          </w:tcPr>
          <w:p w14:paraId="28E6C605" w14:textId="0717B58F"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Assistant Director and Head</w:t>
            </w:r>
          </w:p>
        </w:tc>
        <w:tc>
          <w:tcPr>
            <w:tcW w:w="1506" w:type="pct"/>
            <w:shd w:val="clear" w:color="auto" w:fill="auto"/>
            <w:noWrap/>
          </w:tcPr>
          <w:p w14:paraId="38477BAB" w14:textId="339CDFA7"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Political Security Cooperation 2 Division</w:t>
            </w:r>
          </w:p>
        </w:tc>
        <w:tc>
          <w:tcPr>
            <w:tcW w:w="467" w:type="pct"/>
          </w:tcPr>
          <w:p w14:paraId="29601E66" w14:textId="243CE60E"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F</w:t>
            </w:r>
          </w:p>
        </w:tc>
      </w:tr>
      <w:tr w:rsidR="009F5BEE" w:rsidRPr="00D563FB" w14:paraId="4B257C61" w14:textId="77777777" w:rsidTr="00A46FD7">
        <w:trPr>
          <w:trHeight w:val="320"/>
        </w:trPr>
        <w:tc>
          <w:tcPr>
            <w:tcW w:w="1011" w:type="pct"/>
            <w:shd w:val="clear" w:color="auto" w:fill="auto"/>
            <w:noWrap/>
          </w:tcPr>
          <w:p w14:paraId="71540170" w14:textId="4F527F80"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Miguel Musngi </w:t>
            </w:r>
          </w:p>
        </w:tc>
        <w:tc>
          <w:tcPr>
            <w:tcW w:w="2016" w:type="pct"/>
            <w:shd w:val="clear" w:color="auto" w:fill="auto"/>
            <w:noWrap/>
          </w:tcPr>
          <w:p w14:paraId="3EC80BD1" w14:textId="2AF2383A"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Assistant Director and Head</w:t>
            </w:r>
          </w:p>
        </w:tc>
        <w:tc>
          <w:tcPr>
            <w:tcW w:w="1506" w:type="pct"/>
            <w:shd w:val="clear" w:color="auto" w:fill="auto"/>
            <w:noWrap/>
          </w:tcPr>
          <w:p w14:paraId="1B7A1A95" w14:textId="2963E409"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Poverty Eradication and Gender Division</w:t>
            </w:r>
          </w:p>
        </w:tc>
        <w:tc>
          <w:tcPr>
            <w:tcW w:w="467" w:type="pct"/>
          </w:tcPr>
          <w:p w14:paraId="365A8ECF" w14:textId="782FF460"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M</w:t>
            </w:r>
          </w:p>
        </w:tc>
      </w:tr>
      <w:tr w:rsidR="009F5BEE" w:rsidRPr="00D563FB" w14:paraId="2D34ADFC" w14:textId="77777777" w:rsidTr="00A46FD7">
        <w:trPr>
          <w:trHeight w:val="320"/>
        </w:trPr>
        <w:tc>
          <w:tcPr>
            <w:tcW w:w="1011" w:type="pct"/>
            <w:shd w:val="clear" w:color="auto" w:fill="auto"/>
            <w:noWrap/>
          </w:tcPr>
          <w:p w14:paraId="782185A1" w14:textId="62BEEF2C"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Retno Astrini</w:t>
            </w:r>
          </w:p>
        </w:tc>
        <w:tc>
          <w:tcPr>
            <w:tcW w:w="2016" w:type="pct"/>
            <w:shd w:val="clear" w:color="auto" w:fill="auto"/>
            <w:noWrap/>
          </w:tcPr>
          <w:p w14:paraId="39105D03" w14:textId="51EA6531"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 xml:space="preserve">Assistant Director and Head </w:t>
            </w:r>
          </w:p>
        </w:tc>
        <w:tc>
          <w:tcPr>
            <w:tcW w:w="1506" w:type="pct"/>
            <w:shd w:val="clear" w:color="auto" w:fill="auto"/>
            <w:noWrap/>
          </w:tcPr>
          <w:p w14:paraId="43CD08BE" w14:textId="2838EC75"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Security Cooperation Division 1</w:t>
            </w:r>
          </w:p>
        </w:tc>
        <w:tc>
          <w:tcPr>
            <w:tcW w:w="467" w:type="pct"/>
          </w:tcPr>
          <w:p w14:paraId="2BD533E5" w14:textId="2AD40E4F"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F</w:t>
            </w:r>
          </w:p>
        </w:tc>
      </w:tr>
      <w:tr w:rsidR="009F5BEE" w:rsidRPr="00D563FB" w14:paraId="2DC64935" w14:textId="77777777" w:rsidTr="00A46FD7">
        <w:trPr>
          <w:trHeight w:val="764"/>
        </w:trPr>
        <w:tc>
          <w:tcPr>
            <w:tcW w:w="1011" w:type="pct"/>
            <w:shd w:val="clear" w:color="auto" w:fill="auto"/>
            <w:noWrap/>
          </w:tcPr>
          <w:p w14:paraId="5903758F" w14:textId="2435C351"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Erica Paula Sioson</w:t>
            </w:r>
          </w:p>
        </w:tc>
        <w:tc>
          <w:tcPr>
            <w:tcW w:w="2016" w:type="pct"/>
            <w:shd w:val="clear" w:color="auto" w:fill="auto"/>
            <w:noWrap/>
          </w:tcPr>
          <w:p w14:paraId="74C1E70E" w14:textId="3D92D35E"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Senior Officer</w:t>
            </w:r>
          </w:p>
        </w:tc>
        <w:tc>
          <w:tcPr>
            <w:tcW w:w="1506" w:type="pct"/>
            <w:shd w:val="clear" w:color="auto" w:fill="auto"/>
            <w:noWrap/>
          </w:tcPr>
          <w:p w14:paraId="4DCA0ACE" w14:textId="44C387ED"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ASEAN Socio-Cultural Community Analysis Division</w:t>
            </w:r>
          </w:p>
        </w:tc>
        <w:tc>
          <w:tcPr>
            <w:tcW w:w="467" w:type="pct"/>
          </w:tcPr>
          <w:p w14:paraId="5B0D7174" w14:textId="1C427394"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F</w:t>
            </w:r>
          </w:p>
        </w:tc>
      </w:tr>
      <w:tr w:rsidR="009F5BEE" w:rsidRPr="00D563FB" w14:paraId="0A52A219" w14:textId="77777777" w:rsidTr="00A46FD7">
        <w:trPr>
          <w:trHeight w:val="320"/>
        </w:trPr>
        <w:tc>
          <w:tcPr>
            <w:tcW w:w="1011" w:type="pct"/>
            <w:shd w:val="clear" w:color="auto" w:fill="auto"/>
            <w:noWrap/>
          </w:tcPr>
          <w:p w14:paraId="2AF33678" w14:textId="3C58BE7F"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Arthur Glenn Maail</w:t>
            </w:r>
          </w:p>
        </w:tc>
        <w:tc>
          <w:tcPr>
            <w:tcW w:w="2016" w:type="pct"/>
            <w:shd w:val="clear" w:color="auto" w:fill="auto"/>
          </w:tcPr>
          <w:p w14:paraId="4F7D669F" w14:textId="3390DDC9"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Senior Officer</w:t>
            </w:r>
          </w:p>
        </w:tc>
        <w:tc>
          <w:tcPr>
            <w:tcW w:w="1506" w:type="pct"/>
            <w:shd w:val="clear" w:color="auto" w:fill="auto"/>
            <w:noWrap/>
          </w:tcPr>
          <w:p w14:paraId="18D6B11D" w14:textId="57994514"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Digital Economy Division</w:t>
            </w:r>
          </w:p>
        </w:tc>
        <w:tc>
          <w:tcPr>
            <w:tcW w:w="467" w:type="pct"/>
          </w:tcPr>
          <w:p w14:paraId="7F5566B8" w14:textId="2DFC0109"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M</w:t>
            </w:r>
          </w:p>
        </w:tc>
      </w:tr>
      <w:tr w:rsidR="009F5BEE" w:rsidRPr="00D563FB" w14:paraId="18805D2D" w14:textId="77777777" w:rsidTr="00A46FD7">
        <w:trPr>
          <w:trHeight w:val="320"/>
        </w:trPr>
        <w:tc>
          <w:tcPr>
            <w:tcW w:w="1011" w:type="pct"/>
            <w:shd w:val="clear" w:color="auto" w:fill="auto"/>
            <w:noWrap/>
          </w:tcPr>
          <w:p w14:paraId="1F21594C" w14:textId="37C077E8"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Pham Minh Thu</w:t>
            </w:r>
          </w:p>
        </w:tc>
        <w:tc>
          <w:tcPr>
            <w:tcW w:w="2016" w:type="pct"/>
            <w:shd w:val="clear" w:color="auto" w:fill="auto"/>
          </w:tcPr>
          <w:p w14:paraId="5D6B85A2" w14:textId="6DC4DD9D"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Assistant Director and Head</w:t>
            </w:r>
          </w:p>
        </w:tc>
        <w:tc>
          <w:tcPr>
            <w:tcW w:w="1506" w:type="pct"/>
            <w:shd w:val="clear" w:color="auto" w:fill="auto"/>
            <w:noWrap/>
          </w:tcPr>
          <w:p w14:paraId="00F28D91" w14:textId="3476C42D"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External Relations Division 1</w:t>
            </w:r>
          </w:p>
        </w:tc>
        <w:tc>
          <w:tcPr>
            <w:tcW w:w="467" w:type="pct"/>
          </w:tcPr>
          <w:p w14:paraId="742DB4DC" w14:textId="4B50BACE"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M</w:t>
            </w:r>
          </w:p>
        </w:tc>
      </w:tr>
      <w:tr w:rsidR="009F5BEE" w:rsidRPr="00D563FB" w14:paraId="0692CD85" w14:textId="77777777" w:rsidTr="00A46FD7">
        <w:trPr>
          <w:trHeight w:val="320"/>
        </w:trPr>
        <w:tc>
          <w:tcPr>
            <w:tcW w:w="1011" w:type="pct"/>
            <w:shd w:val="clear" w:color="auto" w:fill="auto"/>
            <w:noWrap/>
          </w:tcPr>
          <w:p w14:paraId="0F83531A" w14:textId="731B3D1C" w:rsidR="009F5BEE" w:rsidRPr="00D563FB" w:rsidRDefault="009F5BEE" w:rsidP="009F5BEE">
            <w:pPr>
              <w:spacing w:after="0" w:line="276" w:lineRule="auto"/>
              <w:rPr>
                <w:rFonts w:eastAsia="Times New Roman" w:cs="Calibri"/>
                <w:lang w:val="en-AU" w:eastAsia="en-GB"/>
              </w:rPr>
            </w:pPr>
            <w:proofErr w:type="spellStart"/>
            <w:r w:rsidRPr="0099752E">
              <w:rPr>
                <w:rFonts w:eastAsia="Times New Roman" w:cs="Calibri"/>
                <w:lang w:val="en-AU" w:eastAsia="en-GB"/>
              </w:rPr>
              <w:t>Istaq</w:t>
            </w:r>
            <w:proofErr w:type="spellEnd"/>
            <w:r w:rsidRPr="0099752E">
              <w:rPr>
                <w:rFonts w:eastAsia="Times New Roman" w:cs="Calibri"/>
                <w:lang w:val="en-AU" w:eastAsia="en-GB"/>
              </w:rPr>
              <w:t xml:space="preserve"> </w:t>
            </w:r>
            <w:proofErr w:type="spellStart"/>
            <w:r w:rsidRPr="0099752E">
              <w:rPr>
                <w:rFonts w:eastAsia="Times New Roman" w:cs="Calibri"/>
                <w:lang w:val="en-AU" w:eastAsia="en-GB"/>
              </w:rPr>
              <w:t>Nadzril</w:t>
            </w:r>
            <w:proofErr w:type="spellEnd"/>
            <w:r w:rsidRPr="0099752E">
              <w:rPr>
                <w:rFonts w:eastAsia="Times New Roman" w:cs="Calibri"/>
                <w:lang w:val="en-AU" w:eastAsia="en-GB"/>
              </w:rPr>
              <w:t xml:space="preserve"> Abd Kader</w:t>
            </w:r>
          </w:p>
        </w:tc>
        <w:tc>
          <w:tcPr>
            <w:tcW w:w="2016" w:type="pct"/>
            <w:shd w:val="clear" w:color="auto" w:fill="auto"/>
            <w:noWrap/>
          </w:tcPr>
          <w:p w14:paraId="3C17D86C" w14:textId="770457ED"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Assistant Director and Head</w:t>
            </w:r>
          </w:p>
        </w:tc>
        <w:tc>
          <w:tcPr>
            <w:tcW w:w="1506" w:type="pct"/>
            <w:shd w:val="clear" w:color="auto" w:fill="auto"/>
            <w:noWrap/>
          </w:tcPr>
          <w:p w14:paraId="79D6881D" w14:textId="7CAE0991"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External Relations Division 2</w:t>
            </w:r>
          </w:p>
        </w:tc>
        <w:tc>
          <w:tcPr>
            <w:tcW w:w="467" w:type="pct"/>
          </w:tcPr>
          <w:p w14:paraId="3630BB6B" w14:textId="3BB20439"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M</w:t>
            </w:r>
          </w:p>
        </w:tc>
      </w:tr>
      <w:tr w:rsidR="009F5BEE" w:rsidRPr="00D563FB" w14:paraId="2E9F1FBD" w14:textId="77777777" w:rsidTr="00A46FD7">
        <w:trPr>
          <w:trHeight w:val="320"/>
        </w:trPr>
        <w:tc>
          <w:tcPr>
            <w:tcW w:w="1011" w:type="pct"/>
            <w:shd w:val="clear" w:color="auto" w:fill="auto"/>
            <w:noWrap/>
          </w:tcPr>
          <w:p w14:paraId="48E30C08" w14:textId="3758E4FC"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Noel Tan</w:t>
            </w:r>
          </w:p>
        </w:tc>
        <w:tc>
          <w:tcPr>
            <w:tcW w:w="2016" w:type="pct"/>
            <w:shd w:val="clear" w:color="auto" w:fill="auto"/>
            <w:noWrap/>
          </w:tcPr>
          <w:p w14:paraId="495168E5" w14:textId="68556F10"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Senior Officer</w:t>
            </w:r>
          </w:p>
        </w:tc>
        <w:tc>
          <w:tcPr>
            <w:tcW w:w="1506" w:type="pct"/>
            <w:shd w:val="clear" w:color="auto" w:fill="auto"/>
            <w:noWrap/>
          </w:tcPr>
          <w:p w14:paraId="5331F8CD" w14:textId="309298A6"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Culture and Information Division</w:t>
            </w:r>
          </w:p>
        </w:tc>
        <w:tc>
          <w:tcPr>
            <w:tcW w:w="467" w:type="pct"/>
          </w:tcPr>
          <w:p w14:paraId="3F22A19F" w14:textId="02F6D7FF"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M</w:t>
            </w:r>
          </w:p>
        </w:tc>
      </w:tr>
      <w:tr w:rsidR="009F5BEE" w:rsidRPr="00D563FB" w14:paraId="76BF9823" w14:textId="77777777" w:rsidTr="00A46FD7">
        <w:trPr>
          <w:trHeight w:val="320"/>
        </w:trPr>
        <w:tc>
          <w:tcPr>
            <w:tcW w:w="1011" w:type="pct"/>
            <w:shd w:val="clear" w:color="auto" w:fill="auto"/>
            <w:noWrap/>
          </w:tcPr>
          <w:p w14:paraId="29915A5F" w14:textId="52C9143F"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Widia Librianti</w:t>
            </w:r>
          </w:p>
        </w:tc>
        <w:tc>
          <w:tcPr>
            <w:tcW w:w="2016" w:type="pct"/>
            <w:shd w:val="clear" w:color="auto" w:fill="auto"/>
            <w:noWrap/>
          </w:tcPr>
          <w:p w14:paraId="4844B7A4" w14:textId="071AA117"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Officer</w:t>
            </w:r>
          </w:p>
        </w:tc>
        <w:tc>
          <w:tcPr>
            <w:tcW w:w="1506" w:type="pct"/>
            <w:shd w:val="clear" w:color="auto" w:fill="auto"/>
            <w:noWrap/>
          </w:tcPr>
          <w:p w14:paraId="0F45F336" w14:textId="23A29E90"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Culture and Information Division</w:t>
            </w:r>
          </w:p>
        </w:tc>
        <w:tc>
          <w:tcPr>
            <w:tcW w:w="467" w:type="pct"/>
          </w:tcPr>
          <w:p w14:paraId="09900FEC" w14:textId="30A9BE6C"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F</w:t>
            </w:r>
          </w:p>
        </w:tc>
      </w:tr>
      <w:tr w:rsidR="009F5BEE" w:rsidRPr="00D563FB" w14:paraId="3EB6881C" w14:textId="77777777" w:rsidTr="00A46FD7">
        <w:trPr>
          <w:trHeight w:val="320"/>
        </w:trPr>
        <w:tc>
          <w:tcPr>
            <w:tcW w:w="1011" w:type="pct"/>
            <w:shd w:val="clear" w:color="auto" w:fill="auto"/>
            <w:noWrap/>
          </w:tcPr>
          <w:p w14:paraId="2F3C7AE4" w14:textId="7AFB1357"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Lina Alexandra</w:t>
            </w:r>
          </w:p>
        </w:tc>
        <w:tc>
          <w:tcPr>
            <w:tcW w:w="2016" w:type="pct"/>
            <w:shd w:val="clear" w:color="auto" w:fill="auto"/>
            <w:noWrap/>
          </w:tcPr>
          <w:p w14:paraId="3E434030" w14:textId="0D21F635"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Head</w:t>
            </w:r>
          </w:p>
        </w:tc>
        <w:tc>
          <w:tcPr>
            <w:tcW w:w="1506" w:type="pct"/>
            <w:shd w:val="clear" w:color="auto" w:fill="auto"/>
            <w:noWrap/>
          </w:tcPr>
          <w:p w14:paraId="35025697" w14:textId="6AEEFDA2"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Department of International Relations</w:t>
            </w:r>
          </w:p>
        </w:tc>
        <w:tc>
          <w:tcPr>
            <w:tcW w:w="467" w:type="pct"/>
          </w:tcPr>
          <w:p w14:paraId="35C0C0F0" w14:textId="6D851A66" w:rsidR="009F5BEE" w:rsidRPr="00D563FB" w:rsidRDefault="009F5BEE" w:rsidP="009F5BEE">
            <w:pPr>
              <w:spacing w:after="0" w:line="276" w:lineRule="auto"/>
              <w:rPr>
                <w:rFonts w:eastAsia="Times New Roman" w:cs="Calibri"/>
                <w:lang w:val="en-AU" w:eastAsia="en-GB"/>
              </w:rPr>
            </w:pPr>
            <w:r w:rsidRPr="0099752E">
              <w:rPr>
                <w:rFonts w:eastAsia="Times New Roman" w:cs="Calibri"/>
                <w:lang w:val="en-AU" w:eastAsia="en-GB"/>
              </w:rPr>
              <w:t>F</w:t>
            </w:r>
          </w:p>
        </w:tc>
      </w:tr>
    </w:tbl>
    <w:p w14:paraId="15168DBA" w14:textId="258963A8" w:rsidR="00A17C37" w:rsidRPr="00A17C37" w:rsidRDefault="00EB1C67" w:rsidP="00446C37">
      <w:pPr>
        <w:spacing w:before="240"/>
        <w:rPr>
          <w:rFonts w:eastAsia="Times New Roman" w:cs="Calibri"/>
          <w:b/>
          <w:bCs/>
          <w:lang w:val="en-AU" w:eastAsia="en-GB"/>
        </w:rPr>
      </w:pPr>
      <w:r w:rsidRPr="0099752E">
        <w:rPr>
          <w:rFonts w:eastAsia="Times New Roman" w:cs="Calibri"/>
          <w:b/>
          <w:bCs/>
          <w:lang w:val="en-AU" w:eastAsia="en-GB"/>
        </w:rPr>
        <w:t>ASEAN Member States</w:t>
      </w:r>
    </w:p>
    <w:tbl>
      <w:tblPr>
        <w:tblW w:w="5036"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ayout w:type="fixed"/>
        <w:tblLook w:val="0420" w:firstRow="1" w:lastRow="0" w:firstColumn="0" w:lastColumn="0" w:noHBand="0" w:noVBand="1"/>
      </w:tblPr>
      <w:tblGrid>
        <w:gridCol w:w="1837"/>
        <w:gridCol w:w="3661"/>
        <w:gridCol w:w="2735"/>
        <w:gridCol w:w="848"/>
      </w:tblGrid>
      <w:tr w:rsidR="00EB1C67" w:rsidRPr="00D563FB" w14:paraId="548EF286" w14:textId="77777777" w:rsidTr="00446C37">
        <w:trPr>
          <w:trHeight w:val="320"/>
          <w:tblHeader/>
        </w:trPr>
        <w:tc>
          <w:tcPr>
            <w:tcW w:w="1011" w:type="pct"/>
            <w:shd w:val="clear" w:color="auto" w:fill="45B0E1" w:themeFill="accent1" w:themeFillTint="99"/>
            <w:noWrap/>
            <w:hideMark/>
          </w:tcPr>
          <w:p w14:paraId="7423B44B" w14:textId="77777777" w:rsidR="00EB1C67" w:rsidRPr="00D563FB" w:rsidRDefault="00EB1C67" w:rsidP="004811C8">
            <w:pPr>
              <w:spacing w:after="0" w:line="276" w:lineRule="auto"/>
              <w:rPr>
                <w:rFonts w:eastAsia="Times New Roman" w:cs="Calibri"/>
                <w:lang w:val="en-AU" w:eastAsia="en-GB"/>
              </w:rPr>
            </w:pPr>
            <w:r w:rsidRPr="004D297D">
              <w:rPr>
                <w:rFonts w:eastAsia="Times New Roman" w:cs="Calibri"/>
                <w:b/>
                <w:bCs/>
                <w:lang w:val="en-AU" w:eastAsia="en-GB"/>
              </w:rPr>
              <w:t>Name</w:t>
            </w:r>
          </w:p>
        </w:tc>
        <w:tc>
          <w:tcPr>
            <w:tcW w:w="2016" w:type="pct"/>
            <w:shd w:val="clear" w:color="auto" w:fill="45B0E1" w:themeFill="accent1" w:themeFillTint="99"/>
            <w:noWrap/>
            <w:hideMark/>
          </w:tcPr>
          <w:p w14:paraId="18C8A68C" w14:textId="77777777" w:rsidR="00EB1C67" w:rsidRPr="00D563FB" w:rsidRDefault="00EB1C67" w:rsidP="004811C8">
            <w:pPr>
              <w:spacing w:after="0" w:line="276" w:lineRule="auto"/>
              <w:rPr>
                <w:rFonts w:eastAsia="Times New Roman" w:cs="Calibri"/>
                <w:lang w:val="en-AU" w:eastAsia="en-GB"/>
              </w:rPr>
            </w:pPr>
            <w:r w:rsidRPr="004D297D">
              <w:rPr>
                <w:rFonts w:eastAsia="Times New Roman" w:cs="Calibri"/>
                <w:b/>
                <w:bCs/>
                <w:lang w:val="en-AU" w:eastAsia="en-GB"/>
              </w:rPr>
              <w:t>Role</w:t>
            </w:r>
          </w:p>
        </w:tc>
        <w:tc>
          <w:tcPr>
            <w:tcW w:w="1506" w:type="pct"/>
            <w:shd w:val="clear" w:color="auto" w:fill="45B0E1" w:themeFill="accent1" w:themeFillTint="99"/>
            <w:noWrap/>
            <w:hideMark/>
          </w:tcPr>
          <w:p w14:paraId="64AA01BA" w14:textId="77777777" w:rsidR="00EB1C67" w:rsidRPr="00D563FB" w:rsidRDefault="00EB1C67" w:rsidP="004811C8">
            <w:pPr>
              <w:spacing w:after="0" w:line="276" w:lineRule="auto"/>
              <w:rPr>
                <w:rFonts w:eastAsia="Times New Roman" w:cs="Calibri"/>
                <w:lang w:val="en-AU" w:eastAsia="en-GB"/>
              </w:rPr>
            </w:pPr>
            <w:r w:rsidRPr="004D297D">
              <w:rPr>
                <w:rFonts w:eastAsia="Times New Roman" w:cs="Calibri"/>
                <w:b/>
                <w:bCs/>
                <w:lang w:val="en-AU" w:eastAsia="en-GB"/>
              </w:rPr>
              <w:t>Institution</w:t>
            </w:r>
          </w:p>
        </w:tc>
        <w:tc>
          <w:tcPr>
            <w:tcW w:w="467" w:type="pct"/>
            <w:shd w:val="clear" w:color="auto" w:fill="45B0E1" w:themeFill="accent1" w:themeFillTint="99"/>
          </w:tcPr>
          <w:p w14:paraId="6911379A" w14:textId="77777777" w:rsidR="00EB1C67" w:rsidRPr="00D563FB" w:rsidRDefault="00EB1C67" w:rsidP="004811C8">
            <w:pPr>
              <w:spacing w:after="0" w:line="276" w:lineRule="auto"/>
              <w:rPr>
                <w:rFonts w:eastAsia="Times New Roman" w:cs="Calibri"/>
                <w:lang w:val="en-AU" w:eastAsia="en-GB"/>
              </w:rPr>
            </w:pPr>
            <w:r w:rsidRPr="004D297D">
              <w:rPr>
                <w:rFonts w:eastAsia="Times New Roman" w:cs="Calibri"/>
                <w:b/>
                <w:bCs/>
                <w:lang w:val="en-AU" w:eastAsia="en-GB"/>
              </w:rPr>
              <w:t>M/F</w:t>
            </w:r>
          </w:p>
        </w:tc>
      </w:tr>
      <w:tr w:rsidR="00A17C37" w:rsidRPr="00D563FB" w14:paraId="1E290CED" w14:textId="77777777" w:rsidTr="004811C8">
        <w:trPr>
          <w:trHeight w:val="320"/>
        </w:trPr>
        <w:tc>
          <w:tcPr>
            <w:tcW w:w="1011" w:type="pct"/>
            <w:shd w:val="clear" w:color="auto" w:fill="auto"/>
            <w:noWrap/>
          </w:tcPr>
          <w:p w14:paraId="0AFAE7E2" w14:textId="5EC91BC1" w:rsidR="00A17C37" w:rsidRPr="004D297D" w:rsidRDefault="00A17C37" w:rsidP="00A17C37">
            <w:pPr>
              <w:spacing w:after="0" w:line="276" w:lineRule="auto"/>
              <w:rPr>
                <w:rFonts w:eastAsia="Times New Roman" w:cs="Calibri"/>
                <w:b/>
                <w:bCs/>
                <w:lang w:val="en-AU" w:eastAsia="en-GB"/>
              </w:rPr>
            </w:pPr>
            <w:r w:rsidRPr="0099752E">
              <w:rPr>
                <w:rFonts w:eastAsia="Times New Roman" w:cs="Calibri"/>
                <w:lang w:val="en-AU" w:eastAsia="en-GB"/>
              </w:rPr>
              <w:t>Jahzeel Abihail Cruz</w:t>
            </w:r>
          </w:p>
        </w:tc>
        <w:tc>
          <w:tcPr>
            <w:tcW w:w="2016" w:type="pct"/>
            <w:shd w:val="clear" w:color="auto" w:fill="auto"/>
            <w:noWrap/>
          </w:tcPr>
          <w:p w14:paraId="569E7D7A" w14:textId="643A975A" w:rsidR="00A17C37" w:rsidRPr="004D297D" w:rsidRDefault="00A17C37" w:rsidP="00A17C37">
            <w:pPr>
              <w:spacing w:after="0" w:line="276" w:lineRule="auto"/>
              <w:rPr>
                <w:rFonts w:eastAsia="Times New Roman" w:cs="Calibri"/>
                <w:b/>
                <w:bCs/>
                <w:lang w:val="en-AU" w:eastAsia="en-GB"/>
              </w:rPr>
            </w:pPr>
            <w:r w:rsidRPr="0099752E">
              <w:rPr>
                <w:rFonts w:eastAsia="Times New Roman" w:cs="Calibri"/>
                <w:lang w:val="en-AU" w:eastAsia="en-GB"/>
              </w:rPr>
              <w:t>Former Acting Director, ASEAN Political Security Community Division, Office of ASEAN Affairs </w:t>
            </w:r>
          </w:p>
        </w:tc>
        <w:tc>
          <w:tcPr>
            <w:tcW w:w="1506" w:type="pct"/>
            <w:shd w:val="clear" w:color="auto" w:fill="auto"/>
            <w:noWrap/>
          </w:tcPr>
          <w:p w14:paraId="194089E3" w14:textId="36CD392E" w:rsidR="00A17C37" w:rsidRPr="004D297D" w:rsidRDefault="00A17C37" w:rsidP="00A17C37">
            <w:pPr>
              <w:spacing w:after="0" w:line="276" w:lineRule="auto"/>
              <w:rPr>
                <w:rFonts w:eastAsia="Times New Roman" w:cs="Calibri"/>
                <w:b/>
                <w:bCs/>
                <w:lang w:val="en-AU" w:eastAsia="en-GB"/>
              </w:rPr>
            </w:pPr>
            <w:r w:rsidRPr="0099752E">
              <w:rPr>
                <w:rFonts w:eastAsia="Times New Roman" w:cs="Calibri"/>
                <w:lang w:val="en-AU" w:eastAsia="en-GB"/>
              </w:rPr>
              <w:t>Department of Foreign Affairs, the Philippines </w:t>
            </w:r>
          </w:p>
        </w:tc>
        <w:tc>
          <w:tcPr>
            <w:tcW w:w="467" w:type="pct"/>
          </w:tcPr>
          <w:p w14:paraId="5BF697C3" w14:textId="7A17593F" w:rsidR="00A17C37" w:rsidRPr="004D297D" w:rsidRDefault="00A17C37" w:rsidP="00A17C37">
            <w:pPr>
              <w:spacing w:after="0" w:line="276" w:lineRule="auto"/>
              <w:rPr>
                <w:rFonts w:eastAsia="Times New Roman" w:cs="Calibri"/>
                <w:b/>
                <w:bCs/>
                <w:lang w:val="en-AU" w:eastAsia="en-GB"/>
              </w:rPr>
            </w:pPr>
            <w:r w:rsidRPr="0099752E">
              <w:rPr>
                <w:rFonts w:eastAsia="Times New Roman" w:cs="Calibri"/>
                <w:lang w:val="en-AU" w:eastAsia="en-GB"/>
              </w:rPr>
              <w:t>M</w:t>
            </w:r>
          </w:p>
        </w:tc>
      </w:tr>
      <w:tr w:rsidR="00A17C37" w:rsidRPr="00D563FB" w14:paraId="00A2C315" w14:textId="77777777" w:rsidTr="004811C8">
        <w:trPr>
          <w:trHeight w:val="320"/>
        </w:trPr>
        <w:tc>
          <w:tcPr>
            <w:tcW w:w="1011" w:type="pct"/>
            <w:shd w:val="clear" w:color="auto" w:fill="auto"/>
            <w:noWrap/>
          </w:tcPr>
          <w:p w14:paraId="27E1A7F5" w14:textId="6CC7C749"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lastRenderedPageBreak/>
              <w:t>Dian Wulandari </w:t>
            </w:r>
          </w:p>
        </w:tc>
        <w:tc>
          <w:tcPr>
            <w:tcW w:w="2016" w:type="pct"/>
            <w:shd w:val="clear" w:color="auto" w:fill="auto"/>
            <w:noWrap/>
          </w:tcPr>
          <w:p w14:paraId="16F51CE6" w14:textId="47353008"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Deputy Director for Economic, Postal and Information Cooperation</w:t>
            </w:r>
          </w:p>
        </w:tc>
        <w:tc>
          <w:tcPr>
            <w:tcW w:w="1506" w:type="pct"/>
            <w:shd w:val="clear" w:color="auto" w:fill="auto"/>
            <w:noWrap/>
          </w:tcPr>
          <w:p w14:paraId="5462748D" w14:textId="5E808E21"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Ministry of Communications and Informatics, Indonesia</w:t>
            </w:r>
          </w:p>
        </w:tc>
        <w:tc>
          <w:tcPr>
            <w:tcW w:w="467" w:type="pct"/>
          </w:tcPr>
          <w:p w14:paraId="601E2C9F" w14:textId="04D95F0F"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F</w:t>
            </w:r>
          </w:p>
        </w:tc>
      </w:tr>
      <w:tr w:rsidR="00A17C37" w:rsidRPr="00D563FB" w14:paraId="1F8EE61F" w14:textId="77777777" w:rsidTr="004811C8">
        <w:trPr>
          <w:trHeight w:val="320"/>
        </w:trPr>
        <w:tc>
          <w:tcPr>
            <w:tcW w:w="1011" w:type="pct"/>
            <w:shd w:val="clear" w:color="auto" w:fill="auto"/>
            <w:noWrap/>
          </w:tcPr>
          <w:p w14:paraId="7F229EA5" w14:textId="2220787A" w:rsidR="00A17C37" w:rsidRPr="00D563FB" w:rsidRDefault="00A17C37" w:rsidP="00A17C37">
            <w:pPr>
              <w:spacing w:after="0" w:line="276" w:lineRule="auto"/>
              <w:rPr>
                <w:rFonts w:eastAsia="Times New Roman" w:cs="Calibri"/>
                <w:lang w:val="en-AU" w:eastAsia="en-GB"/>
              </w:rPr>
            </w:pPr>
            <w:proofErr w:type="spellStart"/>
            <w:r w:rsidRPr="0099752E">
              <w:rPr>
                <w:rFonts w:eastAsia="Times New Roman" w:cs="Calibri"/>
                <w:lang w:val="en-AU" w:eastAsia="en-GB"/>
              </w:rPr>
              <w:t>Bayunto</w:t>
            </w:r>
            <w:proofErr w:type="spellEnd"/>
            <w:r w:rsidRPr="0099752E">
              <w:rPr>
                <w:rFonts w:eastAsia="Times New Roman" w:cs="Calibri"/>
                <w:lang w:val="en-AU" w:eastAsia="en-GB"/>
              </w:rPr>
              <w:t xml:space="preserve"> Samba</w:t>
            </w:r>
          </w:p>
        </w:tc>
        <w:tc>
          <w:tcPr>
            <w:tcW w:w="2016" w:type="pct"/>
            <w:shd w:val="clear" w:color="auto" w:fill="auto"/>
            <w:noWrap/>
          </w:tcPr>
          <w:p w14:paraId="6E2D0B9D" w14:textId="52BA925F"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Counsellor, Directorate of ASEAN External Relations</w:t>
            </w:r>
          </w:p>
        </w:tc>
        <w:tc>
          <w:tcPr>
            <w:tcW w:w="1506" w:type="pct"/>
            <w:shd w:val="clear" w:color="auto" w:fill="auto"/>
            <w:noWrap/>
          </w:tcPr>
          <w:p w14:paraId="56F950E9" w14:textId="5A8E2D3D"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Ministry of Foreign Affairs, Indonesia </w:t>
            </w:r>
          </w:p>
        </w:tc>
        <w:tc>
          <w:tcPr>
            <w:tcW w:w="467" w:type="pct"/>
          </w:tcPr>
          <w:p w14:paraId="35A1E9B0" w14:textId="1B6A5820"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M</w:t>
            </w:r>
          </w:p>
        </w:tc>
      </w:tr>
      <w:tr w:rsidR="00A17C37" w:rsidRPr="00D563FB" w14:paraId="29A1F411" w14:textId="77777777" w:rsidTr="004811C8">
        <w:trPr>
          <w:trHeight w:val="320"/>
        </w:trPr>
        <w:tc>
          <w:tcPr>
            <w:tcW w:w="1011" w:type="pct"/>
            <w:shd w:val="clear" w:color="auto" w:fill="auto"/>
            <w:noWrap/>
          </w:tcPr>
          <w:p w14:paraId="481EFD4A" w14:textId="59C38ABB"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 xml:space="preserve">Nanda </w:t>
            </w:r>
            <w:proofErr w:type="spellStart"/>
            <w:r w:rsidRPr="0099752E">
              <w:rPr>
                <w:rFonts w:eastAsia="Times New Roman" w:cs="Calibri"/>
                <w:lang w:val="en-AU" w:eastAsia="en-GB"/>
              </w:rPr>
              <w:t>Avalist</w:t>
            </w:r>
            <w:proofErr w:type="spellEnd"/>
          </w:p>
        </w:tc>
        <w:tc>
          <w:tcPr>
            <w:tcW w:w="2016" w:type="pct"/>
            <w:shd w:val="clear" w:color="auto" w:fill="auto"/>
            <w:noWrap/>
          </w:tcPr>
          <w:p w14:paraId="67E7EB67" w14:textId="3DAE103C"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Political Security Directorate</w:t>
            </w:r>
          </w:p>
        </w:tc>
        <w:tc>
          <w:tcPr>
            <w:tcW w:w="1506" w:type="pct"/>
            <w:shd w:val="clear" w:color="auto" w:fill="auto"/>
            <w:noWrap/>
          </w:tcPr>
          <w:p w14:paraId="473EC15C" w14:textId="59B1A1A4"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Ministry of Foreign Affairs, Indonesia </w:t>
            </w:r>
          </w:p>
        </w:tc>
        <w:tc>
          <w:tcPr>
            <w:tcW w:w="467" w:type="pct"/>
          </w:tcPr>
          <w:p w14:paraId="4D8CB253" w14:textId="0E92F43C"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M</w:t>
            </w:r>
          </w:p>
        </w:tc>
      </w:tr>
      <w:tr w:rsidR="00A17C37" w:rsidRPr="00D563FB" w14:paraId="7483A20E" w14:textId="77777777" w:rsidTr="004811C8">
        <w:trPr>
          <w:trHeight w:val="320"/>
        </w:trPr>
        <w:tc>
          <w:tcPr>
            <w:tcW w:w="1011" w:type="pct"/>
            <w:shd w:val="clear" w:color="auto" w:fill="auto"/>
            <w:noWrap/>
          </w:tcPr>
          <w:p w14:paraId="451D08D1" w14:textId="36B06B9A"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Nani Dwi Wahyuni</w:t>
            </w:r>
          </w:p>
        </w:tc>
        <w:tc>
          <w:tcPr>
            <w:tcW w:w="2016" w:type="pct"/>
            <w:shd w:val="clear" w:color="auto" w:fill="auto"/>
            <w:noWrap/>
          </w:tcPr>
          <w:p w14:paraId="05E80F33" w14:textId="291CC990"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Head of Cooperation Division</w:t>
            </w:r>
          </w:p>
        </w:tc>
        <w:tc>
          <w:tcPr>
            <w:tcW w:w="1506" w:type="pct"/>
            <w:shd w:val="clear" w:color="auto" w:fill="auto"/>
            <w:noWrap/>
          </w:tcPr>
          <w:p w14:paraId="329BBFC4" w14:textId="506D7240"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Ministry of Women's Empowerment and Child Protection, Indonesia</w:t>
            </w:r>
          </w:p>
        </w:tc>
        <w:tc>
          <w:tcPr>
            <w:tcW w:w="467" w:type="pct"/>
          </w:tcPr>
          <w:p w14:paraId="1C188A70" w14:textId="11C4F265"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F</w:t>
            </w:r>
          </w:p>
        </w:tc>
      </w:tr>
      <w:tr w:rsidR="00A17C37" w:rsidRPr="00D563FB" w14:paraId="378CDB78" w14:textId="77777777" w:rsidTr="004811C8">
        <w:trPr>
          <w:trHeight w:val="320"/>
        </w:trPr>
        <w:tc>
          <w:tcPr>
            <w:tcW w:w="1011" w:type="pct"/>
            <w:shd w:val="clear" w:color="auto" w:fill="auto"/>
            <w:noWrap/>
          </w:tcPr>
          <w:p w14:paraId="78ECFC34" w14:textId="4B93CACE" w:rsidR="00A17C37" w:rsidRPr="00D563FB" w:rsidRDefault="00A17C37" w:rsidP="00A17C37">
            <w:pPr>
              <w:spacing w:after="0" w:line="276" w:lineRule="auto"/>
              <w:rPr>
                <w:rFonts w:eastAsia="Times New Roman" w:cs="Calibri"/>
                <w:lang w:val="en-AU" w:eastAsia="en-GB"/>
              </w:rPr>
            </w:pPr>
            <w:proofErr w:type="spellStart"/>
            <w:r w:rsidRPr="0099752E">
              <w:rPr>
                <w:rFonts w:eastAsia="Times New Roman" w:cs="Calibri"/>
                <w:lang w:val="en-AU" w:eastAsia="en-GB"/>
              </w:rPr>
              <w:t>Andhika</w:t>
            </w:r>
            <w:proofErr w:type="spellEnd"/>
            <w:r w:rsidRPr="0099752E">
              <w:rPr>
                <w:rFonts w:eastAsia="Times New Roman" w:cs="Calibri"/>
                <w:lang w:val="en-AU" w:eastAsia="en-GB"/>
              </w:rPr>
              <w:t xml:space="preserve"> </w:t>
            </w:r>
            <w:proofErr w:type="spellStart"/>
            <w:r w:rsidRPr="0099752E">
              <w:rPr>
                <w:rFonts w:eastAsia="Times New Roman" w:cs="Calibri"/>
                <w:lang w:val="en-AU" w:eastAsia="en-GB"/>
              </w:rPr>
              <w:t>Chrisnayudhanto</w:t>
            </w:r>
            <w:proofErr w:type="spellEnd"/>
          </w:p>
        </w:tc>
        <w:tc>
          <w:tcPr>
            <w:tcW w:w="2016" w:type="pct"/>
            <w:shd w:val="clear" w:color="auto" w:fill="auto"/>
            <w:noWrap/>
          </w:tcPr>
          <w:p w14:paraId="36944051" w14:textId="7FD830ED"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Deputy for International Cooperation</w:t>
            </w:r>
          </w:p>
        </w:tc>
        <w:tc>
          <w:tcPr>
            <w:tcW w:w="1506" w:type="pct"/>
            <w:shd w:val="clear" w:color="auto" w:fill="auto"/>
            <w:noWrap/>
          </w:tcPr>
          <w:p w14:paraId="70742CC7" w14:textId="23D9EA1D"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National Counterterrorism Agency (BNPT), Ministry of Foreign Affairs, Indonesia</w:t>
            </w:r>
          </w:p>
        </w:tc>
        <w:tc>
          <w:tcPr>
            <w:tcW w:w="467" w:type="pct"/>
          </w:tcPr>
          <w:p w14:paraId="33E6C7D4" w14:textId="79F7114E"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M</w:t>
            </w:r>
          </w:p>
        </w:tc>
      </w:tr>
      <w:tr w:rsidR="00A17C37" w:rsidRPr="00D563FB" w14:paraId="07B51AB8" w14:textId="77777777" w:rsidTr="004811C8">
        <w:trPr>
          <w:trHeight w:val="320"/>
        </w:trPr>
        <w:tc>
          <w:tcPr>
            <w:tcW w:w="1011" w:type="pct"/>
            <w:shd w:val="clear" w:color="auto" w:fill="auto"/>
            <w:noWrap/>
          </w:tcPr>
          <w:p w14:paraId="31CC6110" w14:textId="165FD513" w:rsidR="00A17C37" w:rsidRPr="00D563FB" w:rsidRDefault="00A17C37" w:rsidP="00A17C37">
            <w:pPr>
              <w:spacing w:after="0" w:line="276" w:lineRule="auto"/>
              <w:rPr>
                <w:rFonts w:eastAsia="Times New Roman" w:cs="Calibri"/>
                <w:lang w:val="en-AU" w:eastAsia="en-GB"/>
              </w:rPr>
            </w:pPr>
            <w:proofErr w:type="spellStart"/>
            <w:r w:rsidRPr="0099752E">
              <w:rPr>
                <w:rFonts w:eastAsia="Times New Roman" w:cs="Calibri"/>
                <w:lang w:val="en-AU" w:eastAsia="en-GB"/>
              </w:rPr>
              <w:t>Pol.Lt.Col</w:t>
            </w:r>
            <w:proofErr w:type="spellEnd"/>
            <w:r w:rsidRPr="0099752E">
              <w:rPr>
                <w:rFonts w:eastAsia="Times New Roman" w:cs="Calibri"/>
                <w:lang w:val="en-AU" w:eastAsia="en-GB"/>
              </w:rPr>
              <w:t xml:space="preserve">. </w:t>
            </w:r>
            <w:proofErr w:type="spellStart"/>
            <w:r w:rsidRPr="0099752E">
              <w:rPr>
                <w:rFonts w:eastAsia="Times New Roman" w:cs="Calibri"/>
                <w:lang w:val="en-AU" w:eastAsia="en-GB"/>
              </w:rPr>
              <w:t>Boonyanuj</w:t>
            </w:r>
            <w:proofErr w:type="spellEnd"/>
            <w:r w:rsidRPr="0099752E">
              <w:rPr>
                <w:rFonts w:eastAsia="Times New Roman" w:cs="Calibri"/>
                <w:lang w:val="en-AU" w:eastAsia="en-GB"/>
              </w:rPr>
              <w:t xml:space="preserve"> </w:t>
            </w:r>
            <w:proofErr w:type="spellStart"/>
            <w:r w:rsidRPr="0099752E">
              <w:rPr>
                <w:rFonts w:eastAsia="Times New Roman" w:cs="Calibri"/>
                <w:lang w:val="en-AU" w:eastAsia="en-GB"/>
              </w:rPr>
              <w:t>Pongisavaranun</w:t>
            </w:r>
            <w:proofErr w:type="spellEnd"/>
          </w:p>
        </w:tc>
        <w:tc>
          <w:tcPr>
            <w:tcW w:w="2016" w:type="pct"/>
            <w:shd w:val="clear" w:color="auto" w:fill="auto"/>
            <w:noWrap/>
          </w:tcPr>
          <w:p w14:paraId="08B46DD2" w14:textId="757DF791"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Inspector</w:t>
            </w:r>
          </w:p>
        </w:tc>
        <w:tc>
          <w:tcPr>
            <w:tcW w:w="1506" w:type="pct"/>
            <w:shd w:val="clear" w:color="auto" w:fill="auto"/>
            <w:noWrap/>
          </w:tcPr>
          <w:p w14:paraId="0CE5BDF3" w14:textId="7C8F6252"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INTERPOL and Foreign Relations Region 1 Foreign Affairs Division, Royal Thai Police</w:t>
            </w:r>
          </w:p>
        </w:tc>
        <w:tc>
          <w:tcPr>
            <w:tcW w:w="467" w:type="pct"/>
          </w:tcPr>
          <w:p w14:paraId="64B4D0A4" w14:textId="23BBCC51"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F</w:t>
            </w:r>
          </w:p>
        </w:tc>
      </w:tr>
      <w:tr w:rsidR="00A17C37" w:rsidRPr="00D563FB" w14:paraId="67EF557B" w14:textId="77777777" w:rsidTr="004811C8">
        <w:trPr>
          <w:trHeight w:val="764"/>
        </w:trPr>
        <w:tc>
          <w:tcPr>
            <w:tcW w:w="1011" w:type="pct"/>
            <w:shd w:val="clear" w:color="auto" w:fill="auto"/>
            <w:noWrap/>
          </w:tcPr>
          <w:p w14:paraId="49CEB0FA" w14:textId="769A01E2" w:rsidR="00A17C37" w:rsidRPr="00D563FB" w:rsidRDefault="00A17C37" w:rsidP="00A17C37">
            <w:pPr>
              <w:spacing w:after="0" w:line="276" w:lineRule="auto"/>
              <w:rPr>
                <w:rFonts w:eastAsia="Times New Roman" w:cs="Calibri"/>
                <w:lang w:val="en-AU" w:eastAsia="en-GB"/>
              </w:rPr>
            </w:pPr>
            <w:proofErr w:type="spellStart"/>
            <w:r w:rsidRPr="0099752E">
              <w:rPr>
                <w:rFonts w:eastAsia="Times New Roman" w:cs="Calibri"/>
                <w:lang w:val="en-AU" w:eastAsia="en-GB"/>
              </w:rPr>
              <w:t>Pol.Lt.Col</w:t>
            </w:r>
            <w:proofErr w:type="spellEnd"/>
            <w:r w:rsidRPr="0099752E">
              <w:rPr>
                <w:rFonts w:eastAsia="Times New Roman" w:cs="Calibri"/>
                <w:lang w:val="en-AU" w:eastAsia="en-GB"/>
              </w:rPr>
              <w:t xml:space="preserve">. </w:t>
            </w:r>
            <w:proofErr w:type="spellStart"/>
            <w:r w:rsidRPr="0099752E">
              <w:rPr>
                <w:rFonts w:eastAsia="Times New Roman" w:cs="Calibri"/>
                <w:lang w:val="en-AU" w:eastAsia="en-GB"/>
              </w:rPr>
              <w:t>Athikun</w:t>
            </w:r>
            <w:proofErr w:type="spellEnd"/>
            <w:r w:rsidRPr="0099752E">
              <w:rPr>
                <w:rFonts w:eastAsia="Times New Roman" w:cs="Calibri"/>
                <w:lang w:val="en-AU" w:eastAsia="en-GB"/>
              </w:rPr>
              <w:t xml:space="preserve"> Indrasen</w:t>
            </w:r>
          </w:p>
        </w:tc>
        <w:tc>
          <w:tcPr>
            <w:tcW w:w="2016" w:type="pct"/>
            <w:shd w:val="clear" w:color="auto" w:fill="auto"/>
            <w:noWrap/>
          </w:tcPr>
          <w:p w14:paraId="19684023" w14:textId="0D473FBA"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Deputy Superintendent</w:t>
            </w:r>
          </w:p>
        </w:tc>
        <w:tc>
          <w:tcPr>
            <w:tcW w:w="1506" w:type="pct"/>
            <w:shd w:val="clear" w:color="auto" w:fill="auto"/>
            <w:noWrap/>
          </w:tcPr>
          <w:p w14:paraId="4F7145F9" w14:textId="01648988"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INTERPOL and Foreign Relations Region 1 Foreign Affairs Division, Royal Thai Police</w:t>
            </w:r>
          </w:p>
        </w:tc>
        <w:tc>
          <w:tcPr>
            <w:tcW w:w="467" w:type="pct"/>
          </w:tcPr>
          <w:p w14:paraId="47963155" w14:textId="08FCDA69" w:rsidR="00A17C37" w:rsidRPr="00D563FB" w:rsidRDefault="00A17C37" w:rsidP="00A17C37">
            <w:pPr>
              <w:spacing w:after="0" w:line="276" w:lineRule="auto"/>
              <w:rPr>
                <w:rFonts w:eastAsia="Times New Roman" w:cs="Calibri"/>
                <w:lang w:val="en-AU" w:eastAsia="en-GB"/>
              </w:rPr>
            </w:pPr>
            <w:r w:rsidRPr="0099752E">
              <w:rPr>
                <w:rFonts w:eastAsia="Times New Roman" w:cs="Calibri"/>
                <w:lang w:val="en-AU" w:eastAsia="en-GB"/>
              </w:rPr>
              <w:t>M</w:t>
            </w:r>
          </w:p>
        </w:tc>
      </w:tr>
    </w:tbl>
    <w:p w14:paraId="69608E8F" w14:textId="2C25758F" w:rsidR="00BA3C47" w:rsidRPr="00BA3C47" w:rsidRDefault="00BA3C47" w:rsidP="00446C37">
      <w:pPr>
        <w:spacing w:before="240"/>
        <w:rPr>
          <w:b/>
          <w:bCs/>
          <w:lang w:val="en-AU"/>
        </w:rPr>
      </w:pPr>
      <w:r w:rsidRPr="00BA3C47">
        <w:rPr>
          <w:b/>
          <w:bCs/>
          <w:lang w:val="en-AU"/>
        </w:rPr>
        <w:t xml:space="preserve">Other Stakeholders </w:t>
      </w:r>
    </w:p>
    <w:tbl>
      <w:tblPr>
        <w:tblW w:w="5036"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ayout w:type="fixed"/>
        <w:tblLook w:val="0420" w:firstRow="1" w:lastRow="0" w:firstColumn="0" w:lastColumn="0" w:noHBand="0" w:noVBand="1"/>
      </w:tblPr>
      <w:tblGrid>
        <w:gridCol w:w="1837"/>
        <w:gridCol w:w="3661"/>
        <w:gridCol w:w="2735"/>
        <w:gridCol w:w="848"/>
      </w:tblGrid>
      <w:tr w:rsidR="00BA3C47" w:rsidRPr="00D563FB" w14:paraId="30CB8B22" w14:textId="77777777" w:rsidTr="00814E3D">
        <w:trPr>
          <w:trHeight w:val="320"/>
        </w:trPr>
        <w:tc>
          <w:tcPr>
            <w:tcW w:w="1011" w:type="pct"/>
            <w:shd w:val="clear" w:color="auto" w:fill="45B0E1" w:themeFill="accent1" w:themeFillTint="99"/>
            <w:noWrap/>
            <w:hideMark/>
          </w:tcPr>
          <w:p w14:paraId="7E601DB5" w14:textId="77777777" w:rsidR="00BA3C47" w:rsidRPr="00D563FB" w:rsidRDefault="00BA3C47" w:rsidP="00814E3D">
            <w:pPr>
              <w:spacing w:after="0" w:line="276" w:lineRule="auto"/>
              <w:rPr>
                <w:rFonts w:eastAsia="Times New Roman" w:cs="Calibri"/>
                <w:lang w:val="en-AU" w:eastAsia="en-GB"/>
              </w:rPr>
            </w:pPr>
            <w:r w:rsidRPr="004D297D">
              <w:rPr>
                <w:rFonts w:eastAsia="Times New Roman" w:cs="Calibri"/>
                <w:b/>
                <w:bCs/>
                <w:lang w:val="en-AU" w:eastAsia="en-GB"/>
              </w:rPr>
              <w:t>Name</w:t>
            </w:r>
          </w:p>
        </w:tc>
        <w:tc>
          <w:tcPr>
            <w:tcW w:w="2016" w:type="pct"/>
            <w:shd w:val="clear" w:color="auto" w:fill="45B0E1" w:themeFill="accent1" w:themeFillTint="99"/>
            <w:noWrap/>
            <w:hideMark/>
          </w:tcPr>
          <w:p w14:paraId="4860ACED" w14:textId="77777777" w:rsidR="00BA3C47" w:rsidRPr="00D563FB" w:rsidRDefault="00BA3C47" w:rsidP="00814E3D">
            <w:pPr>
              <w:spacing w:after="0" w:line="276" w:lineRule="auto"/>
              <w:rPr>
                <w:rFonts w:eastAsia="Times New Roman" w:cs="Calibri"/>
                <w:lang w:val="en-AU" w:eastAsia="en-GB"/>
              </w:rPr>
            </w:pPr>
            <w:r w:rsidRPr="004D297D">
              <w:rPr>
                <w:rFonts w:eastAsia="Times New Roman" w:cs="Calibri"/>
                <w:b/>
                <w:bCs/>
                <w:lang w:val="en-AU" w:eastAsia="en-GB"/>
              </w:rPr>
              <w:t>Role</w:t>
            </w:r>
          </w:p>
        </w:tc>
        <w:tc>
          <w:tcPr>
            <w:tcW w:w="1506" w:type="pct"/>
            <w:shd w:val="clear" w:color="auto" w:fill="45B0E1" w:themeFill="accent1" w:themeFillTint="99"/>
            <w:noWrap/>
            <w:hideMark/>
          </w:tcPr>
          <w:p w14:paraId="3FD6E9D2" w14:textId="77777777" w:rsidR="00BA3C47" w:rsidRPr="00D563FB" w:rsidRDefault="00BA3C47" w:rsidP="00814E3D">
            <w:pPr>
              <w:spacing w:after="0" w:line="276" w:lineRule="auto"/>
              <w:rPr>
                <w:rFonts w:eastAsia="Times New Roman" w:cs="Calibri"/>
                <w:lang w:val="en-AU" w:eastAsia="en-GB"/>
              </w:rPr>
            </w:pPr>
            <w:r w:rsidRPr="004D297D">
              <w:rPr>
                <w:rFonts w:eastAsia="Times New Roman" w:cs="Calibri"/>
                <w:b/>
                <w:bCs/>
                <w:lang w:val="en-AU" w:eastAsia="en-GB"/>
              </w:rPr>
              <w:t>Institution</w:t>
            </w:r>
          </w:p>
        </w:tc>
        <w:tc>
          <w:tcPr>
            <w:tcW w:w="467" w:type="pct"/>
            <w:shd w:val="clear" w:color="auto" w:fill="45B0E1" w:themeFill="accent1" w:themeFillTint="99"/>
          </w:tcPr>
          <w:p w14:paraId="32D50272" w14:textId="77777777" w:rsidR="00BA3C47" w:rsidRPr="00D563FB" w:rsidRDefault="00BA3C47" w:rsidP="00814E3D">
            <w:pPr>
              <w:spacing w:after="0" w:line="276" w:lineRule="auto"/>
              <w:rPr>
                <w:rFonts w:eastAsia="Times New Roman" w:cs="Calibri"/>
                <w:lang w:val="en-AU" w:eastAsia="en-GB"/>
              </w:rPr>
            </w:pPr>
            <w:r w:rsidRPr="004D297D">
              <w:rPr>
                <w:rFonts w:eastAsia="Times New Roman" w:cs="Calibri"/>
                <w:b/>
                <w:bCs/>
                <w:lang w:val="en-AU" w:eastAsia="en-GB"/>
              </w:rPr>
              <w:t>M/F</w:t>
            </w:r>
          </w:p>
        </w:tc>
      </w:tr>
      <w:tr w:rsidR="00B40528" w:rsidRPr="004D297D" w14:paraId="74CC51CA" w14:textId="77777777" w:rsidTr="00814E3D">
        <w:trPr>
          <w:trHeight w:val="320"/>
        </w:trPr>
        <w:tc>
          <w:tcPr>
            <w:tcW w:w="1011" w:type="pct"/>
            <w:shd w:val="clear" w:color="auto" w:fill="auto"/>
            <w:noWrap/>
          </w:tcPr>
          <w:p w14:paraId="0BA56847" w14:textId="6A1F8797" w:rsidR="00B40528" w:rsidRPr="004D297D" w:rsidRDefault="00B40528" w:rsidP="00B40528">
            <w:pPr>
              <w:spacing w:after="0" w:line="276" w:lineRule="auto"/>
              <w:rPr>
                <w:rFonts w:eastAsia="Times New Roman" w:cs="Calibri"/>
                <w:b/>
                <w:bCs/>
                <w:lang w:val="en-AU" w:eastAsia="en-GB"/>
              </w:rPr>
            </w:pPr>
            <w:r w:rsidRPr="007C3B9D">
              <w:rPr>
                <w:rFonts w:eastAsia="Times New Roman" w:cs="Calibri"/>
                <w:lang w:val="en-AU" w:eastAsia="en-GB"/>
              </w:rPr>
              <w:t>Adinda Koto</w:t>
            </w:r>
          </w:p>
        </w:tc>
        <w:tc>
          <w:tcPr>
            <w:tcW w:w="2016" w:type="pct"/>
            <w:shd w:val="clear" w:color="auto" w:fill="auto"/>
            <w:noWrap/>
          </w:tcPr>
          <w:p w14:paraId="639E25DC" w14:textId="56A1A996" w:rsidR="00B40528" w:rsidRPr="004D297D" w:rsidRDefault="00B40528" w:rsidP="00B40528">
            <w:pPr>
              <w:spacing w:after="0" w:line="276" w:lineRule="auto"/>
              <w:rPr>
                <w:rFonts w:eastAsia="Times New Roman" w:cs="Calibri"/>
                <w:b/>
                <w:bCs/>
                <w:lang w:val="en-AU" w:eastAsia="en-GB"/>
              </w:rPr>
            </w:pPr>
            <w:r w:rsidRPr="007C3B9D">
              <w:rPr>
                <w:rFonts w:eastAsia="Times New Roman" w:cs="Calibri"/>
                <w:lang w:val="en-AU" w:eastAsia="en-GB"/>
              </w:rPr>
              <w:t>Former Regional Program Officer - ASEAN </w:t>
            </w:r>
          </w:p>
        </w:tc>
        <w:tc>
          <w:tcPr>
            <w:tcW w:w="1506" w:type="pct"/>
            <w:shd w:val="clear" w:color="auto" w:fill="auto"/>
            <w:noWrap/>
          </w:tcPr>
          <w:p w14:paraId="451F605C" w14:textId="12F3B164" w:rsidR="00B40528" w:rsidRPr="004D297D" w:rsidRDefault="00B40528" w:rsidP="00B40528">
            <w:pPr>
              <w:spacing w:after="0" w:line="276" w:lineRule="auto"/>
              <w:rPr>
                <w:rFonts w:eastAsia="Times New Roman" w:cs="Calibri"/>
                <w:b/>
                <w:bCs/>
                <w:lang w:val="en-AU" w:eastAsia="en-GB"/>
              </w:rPr>
            </w:pPr>
            <w:r w:rsidRPr="007C3B9D">
              <w:rPr>
                <w:rFonts w:eastAsia="Times New Roman" w:cs="Calibri"/>
                <w:lang w:val="en-AU" w:eastAsia="en-GB"/>
              </w:rPr>
              <w:t>-</w:t>
            </w:r>
          </w:p>
        </w:tc>
        <w:tc>
          <w:tcPr>
            <w:tcW w:w="467" w:type="pct"/>
          </w:tcPr>
          <w:p w14:paraId="5FC0716D" w14:textId="29E91143" w:rsidR="00B40528" w:rsidRPr="004D297D" w:rsidRDefault="00B40528" w:rsidP="00B40528">
            <w:pPr>
              <w:spacing w:after="0" w:line="276" w:lineRule="auto"/>
              <w:rPr>
                <w:rFonts w:eastAsia="Times New Roman" w:cs="Calibri"/>
                <w:b/>
                <w:bCs/>
                <w:lang w:val="en-AU" w:eastAsia="en-GB"/>
              </w:rPr>
            </w:pPr>
            <w:r w:rsidRPr="007C3B9D">
              <w:rPr>
                <w:rFonts w:eastAsia="Times New Roman" w:cs="Calibri"/>
                <w:lang w:val="en-AU" w:eastAsia="en-GB"/>
              </w:rPr>
              <w:t>F</w:t>
            </w:r>
          </w:p>
        </w:tc>
      </w:tr>
      <w:tr w:rsidR="00B40528" w:rsidRPr="00D563FB" w14:paraId="1C16F53C" w14:textId="77777777" w:rsidTr="00814E3D">
        <w:trPr>
          <w:trHeight w:val="320"/>
        </w:trPr>
        <w:tc>
          <w:tcPr>
            <w:tcW w:w="1011" w:type="pct"/>
            <w:shd w:val="clear" w:color="auto" w:fill="auto"/>
            <w:noWrap/>
          </w:tcPr>
          <w:p w14:paraId="5D6AA180" w14:textId="6D47F933" w:rsidR="00B40528" w:rsidRPr="00D563FB" w:rsidRDefault="00B40528" w:rsidP="00B40528">
            <w:pPr>
              <w:spacing w:after="0" w:line="276" w:lineRule="auto"/>
              <w:rPr>
                <w:rFonts w:eastAsia="Times New Roman" w:cs="Calibri"/>
                <w:lang w:val="en-AU" w:eastAsia="en-GB"/>
              </w:rPr>
            </w:pPr>
            <w:r w:rsidRPr="007C3B9D">
              <w:rPr>
                <w:rFonts w:eastAsia="Times New Roman" w:cs="Calibri"/>
                <w:lang w:val="en-AU" w:eastAsia="en-GB"/>
              </w:rPr>
              <w:t xml:space="preserve">Andrew W. </w:t>
            </w:r>
            <w:proofErr w:type="spellStart"/>
            <w:r w:rsidRPr="007C3B9D">
              <w:rPr>
                <w:rFonts w:eastAsia="Times New Roman" w:cs="Calibri"/>
                <w:lang w:val="en-AU" w:eastAsia="en-GB"/>
              </w:rPr>
              <w:t>Mantong</w:t>
            </w:r>
            <w:proofErr w:type="spellEnd"/>
          </w:p>
        </w:tc>
        <w:tc>
          <w:tcPr>
            <w:tcW w:w="2016" w:type="pct"/>
            <w:shd w:val="clear" w:color="auto" w:fill="auto"/>
            <w:noWrap/>
          </w:tcPr>
          <w:p w14:paraId="5EC293B9" w14:textId="7D300CC3" w:rsidR="00B40528" w:rsidRPr="00D563FB" w:rsidRDefault="00B40528" w:rsidP="00B40528">
            <w:pPr>
              <w:spacing w:after="0" w:line="276" w:lineRule="auto"/>
              <w:rPr>
                <w:rFonts w:eastAsia="Times New Roman" w:cs="Calibri"/>
                <w:lang w:val="en-AU" w:eastAsia="en-GB"/>
              </w:rPr>
            </w:pPr>
            <w:r w:rsidRPr="007C3B9D">
              <w:rPr>
                <w:rFonts w:eastAsia="Times New Roman" w:cs="Calibri"/>
                <w:lang w:val="en-AU" w:eastAsia="en-GB"/>
              </w:rPr>
              <w:t>Researcher</w:t>
            </w:r>
          </w:p>
        </w:tc>
        <w:tc>
          <w:tcPr>
            <w:tcW w:w="1506" w:type="pct"/>
            <w:shd w:val="clear" w:color="auto" w:fill="auto"/>
            <w:noWrap/>
          </w:tcPr>
          <w:p w14:paraId="69AA1372" w14:textId="3766A321" w:rsidR="00B40528" w:rsidRPr="00D563FB" w:rsidRDefault="00B40528" w:rsidP="00B40528">
            <w:pPr>
              <w:spacing w:after="0" w:line="276" w:lineRule="auto"/>
              <w:rPr>
                <w:rFonts w:eastAsia="Times New Roman" w:cs="Calibri"/>
                <w:lang w:val="en-AU" w:eastAsia="en-GB"/>
              </w:rPr>
            </w:pPr>
            <w:r w:rsidRPr="007C3B9D">
              <w:rPr>
                <w:rFonts w:eastAsia="Times New Roman" w:cs="Calibri"/>
                <w:lang w:val="en-AU" w:eastAsia="en-GB"/>
              </w:rPr>
              <w:t>-</w:t>
            </w:r>
          </w:p>
        </w:tc>
        <w:tc>
          <w:tcPr>
            <w:tcW w:w="467" w:type="pct"/>
          </w:tcPr>
          <w:p w14:paraId="3CB8E431" w14:textId="778D006D" w:rsidR="00B40528" w:rsidRPr="00D563FB" w:rsidRDefault="00B40528" w:rsidP="00B40528">
            <w:pPr>
              <w:spacing w:after="0" w:line="276" w:lineRule="auto"/>
              <w:rPr>
                <w:rFonts w:eastAsia="Times New Roman" w:cs="Calibri"/>
                <w:lang w:val="en-AU" w:eastAsia="en-GB"/>
              </w:rPr>
            </w:pPr>
            <w:r w:rsidRPr="007C3B9D">
              <w:rPr>
                <w:rFonts w:eastAsia="Times New Roman" w:cs="Calibri"/>
                <w:lang w:val="en-AU" w:eastAsia="en-GB"/>
              </w:rPr>
              <w:t>M</w:t>
            </w:r>
          </w:p>
        </w:tc>
      </w:tr>
      <w:tr w:rsidR="00B40528" w:rsidRPr="00D563FB" w14:paraId="50D04131" w14:textId="77777777" w:rsidTr="00814E3D">
        <w:trPr>
          <w:trHeight w:val="320"/>
        </w:trPr>
        <w:tc>
          <w:tcPr>
            <w:tcW w:w="1011" w:type="pct"/>
            <w:shd w:val="clear" w:color="auto" w:fill="auto"/>
            <w:noWrap/>
          </w:tcPr>
          <w:p w14:paraId="37CAB293" w14:textId="775654D3" w:rsidR="00B40528" w:rsidRPr="00D563FB" w:rsidRDefault="00B40528" w:rsidP="00B40528">
            <w:pPr>
              <w:spacing w:after="0" w:line="276" w:lineRule="auto"/>
              <w:rPr>
                <w:rFonts w:eastAsia="Times New Roman" w:cs="Calibri"/>
                <w:lang w:val="en-AU" w:eastAsia="en-GB"/>
              </w:rPr>
            </w:pPr>
            <w:r w:rsidRPr="007C3B9D">
              <w:rPr>
                <w:rFonts w:eastAsia="Times New Roman" w:cs="Calibri"/>
                <w:lang w:val="en-AU" w:eastAsia="en-GB"/>
              </w:rPr>
              <w:t xml:space="preserve">Pieter </w:t>
            </w:r>
            <w:proofErr w:type="spellStart"/>
            <w:r w:rsidRPr="007C3B9D">
              <w:rPr>
                <w:rFonts w:eastAsia="Times New Roman" w:cs="Calibri"/>
                <w:lang w:val="en-AU" w:eastAsia="en-GB"/>
              </w:rPr>
              <w:t>Pandie</w:t>
            </w:r>
            <w:proofErr w:type="spellEnd"/>
            <w:r w:rsidRPr="007C3B9D">
              <w:rPr>
                <w:rFonts w:eastAsia="Times New Roman" w:cs="Calibri"/>
                <w:lang w:val="en-AU" w:eastAsia="en-GB"/>
              </w:rPr>
              <w:t> </w:t>
            </w:r>
          </w:p>
        </w:tc>
        <w:tc>
          <w:tcPr>
            <w:tcW w:w="2016" w:type="pct"/>
            <w:shd w:val="clear" w:color="auto" w:fill="auto"/>
            <w:noWrap/>
          </w:tcPr>
          <w:p w14:paraId="76317895" w14:textId="46010CFA" w:rsidR="00B40528" w:rsidRPr="00D563FB" w:rsidRDefault="00B40528" w:rsidP="00B40528">
            <w:pPr>
              <w:spacing w:after="0" w:line="276" w:lineRule="auto"/>
              <w:rPr>
                <w:rFonts w:eastAsia="Times New Roman" w:cs="Calibri"/>
                <w:lang w:val="en-AU" w:eastAsia="en-GB"/>
              </w:rPr>
            </w:pPr>
            <w:r w:rsidRPr="007C3B9D">
              <w:rPr>
                <w:rFonts w:eastAsia="Times New Roman" w:cs="Calibri"/>
                <w:lang w:val="en-AU" w:eastAsia="en-GB"/>
              </w:rPr>
              <w:t>Researcher</w:t>
            </w:r>
          </w:p>
        </w:tc>
        <w:tc>
          <w:tcPr>
            <w:tcW w:w="1506" w:type="pct"/>
            <w:shd w:val="clear" w:color="auto" w:fill="auto"/>
            <w:noWrap/>
          </w:tcPr>
          <w:p w14:paraId="62EBDB65" w14:textId="315BA312" w:rsidR="00B40528" w:rsidRPr="00D563FB" w:rsidRDefault="00B40528" w:rsidP="00B40528">
            <w:pPr>
              <w:spacing w:after="0" w:line="276" w:lineRule="auto"/>
              <w:rPr>
                <w:rFonts w:eastAsia="Times New Roman" w:cs="Calibri"/>
                <w:lang w:val="en-AU" w:eastAsia="en-GB"/>
              </w:rPr>
            </w:pPr>
            <w:r w:rsidRPr="007C3B9D">
              <w:rPr>
                <w:rFonts w:eastAsia="Times New Roman" w:cs="Calibri"/>
                <w:lang w:val="en-AU" w:eastAsia="en-GB"/>
              </w:rPr>
              <w:t>-</w:t>
            </w:r>
          </w:p>
        </w:tc>
        <w:tc>
          <w:tcPr>
            <w:tcW w:w="467" w:type="pct"/>
          </w:tcPr>
          <w:p w14:paraId="0D4CA7DB" w14:textId="238BB19F" w:rsidR="00B40528" w:rsidRPr="00D563FB" w:rsidRDefault="00B40528" w:rsidP="00B40528">
            <w:pPr>
              <w:spacing w:after="0" w:line="276" w:lineRule="auto"/>
              <w:rPr>
                <w:rFonts w:eastAsia="Times New Roman" w:cs="Calibri"/>
                <w:lang w:val="en-AU" w:eastAsia="en-GB"/>
              </w:rPr>
            </w:pPr>
            <w:r w:rsidRPr="007C3B9D">
              <w:rPr>
                <w:rFonts w:eastAsia="Times New Roman" w:cs="Calibri"/>
                <w:lang w:val="en-AU" w:eastAsia="en-GB"/>
              </w:rPr>
              <w:t>M</w:t>
            </w:r>
          </w:p>
        </w:tc>
      </w:tr>
    </w:tbl>
    <w:p w14:paraId="31BCA454" w14:textId="77777777" w:rsidR="00446C37" w:rsidRDefault="00446C37">
      <w:pPr>
        <w:rPr>
          <w:lang w:val="en-AU"/>
        </w:rPr>
      </w:pPr>
      <w:r>
        <w:rPr>
          <w:lang w:val="en-AU"/>
        </w:rPr>
        <w:br w:type="page"/>
      </w:r>
    </w:p>
    <w:p w14:paraId="5ADD9E9C" w14:textId="3B2C5417" w:rsidR="002C319A" w:rsidRPr="007C3B9D" w:rsidRDefault="00450BDD" w:rsidP="00903D77">
      <w:pPr>
        <w:pStyle w:val="Heading1"/>
        <w:pBdr>
          <w:bottom w:val="single" w:sz="4" w:space="0" w:color="595959" w:themeColor="text1" w:themeTint="A6"/>
        </w:pBdr>
        <w:spacing w:before="0" w:after="120" w:line="276" w:lineRule="auto"/>
        <w:ind w:left="432" w:hanging="432"/>
        <w:rPr>
          <w:lang w:val="en-AU"/>
        </w:rPr>
      </w:pPr>
      <w:bookmarkStart w:id="26" w:name="_Toc206492276"/>
      <w:r>
        <w:rPr>
          <w:lang w:val="en-AU"/>
        </w:rPr>
        <w:lastRenderedPageBreak/>
        <w:t>A</w:t>
      </w:r>
      <w:r w:rsidR="00140690" w:rsidRPr="007C3B9D">
        <w:rPr>
          <w:lang w:val="en-AU"/>
        </w:rPr>
        <w:t>nnex 4: Documents Reviewed</w:t>
      </w:r>
      <w:bookmarkEnd w:id="26"/>
    </w:p>
    <w:p w14:paraId="65216C1F" w14:textId="77777777" w:rsidR="00D60F1B" w:rsidRPr="00D60F1B" w:rsidRDefault="00D60F1B" w:rsidP="00BD278C">
      <w:pPr>
        <w:autoSpaceDE w:val="0"/>
        <w:autoSpaceDN w:val="0"/>
        <w:adjustRightInd w:val="0"/>
        <w:spacing w:after="0" w:line="276" w:lineRule="auto"/>
        <w:rPr>
          <w:b/>
          <w:bCs/>
          <w:i/>
          <w:iCs/>
          <w:color w:val="000000"/>
          <w:lang w:val="en-AU"/>
        </w:rPr>
      </w:pPr>
      <w:r w:rsidRPr="00D60F1B">
        <w:rPr>
          <w:b/>
          <w:bCs/>
          <w:i/>
          <w:iCs/>
          <w:color w:val="000000" w:themeColor="text1"/>
          <w:lang w:val="en-AU"/>
        </w:rPr>
        <w:t>Program Documents</w:t>
      </w:r>
    </w:p>
    <w:p w14:paraId="4E3DD028"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Original Program Proposal (plus Annexes)</w:t>
      </w:r>
    </w:p>
    <w:p w14:paraId="346761C7"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APSP Amendment History</w:t>
      </w:r>
    </w:p>
    <w:p w14:paraId="7D1EE190"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Investment Design Summary (plus Annexes)</w:t>
      </w:r>
    </w:p>
    <w:p w14:paraId="24C03C16"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Program Transition documents</w:t>
      </w:r>
    </w:p>
    <w:p w14:paraId="7DCDEBAF"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 xml:space="preserve">Cost Extension </w:t>
      </w:r>
    </w:p>
    <w:p w14:paraId="5FD794A7"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Work Plan and Identification of Opportunities and related documents</w:t>
      </w:r>
    </w:p>
    <w:p w14:paraId="6C6EC313"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APSP MEL Framework and related documents</w:t>
      </w:r>
    </w:p>
    <w:p w14:paraId="703EAC21"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APSP GEDSI Strategy</w:t>
      </w:r>
    </w:p>
    <w:p w14:paraId="2F5E747C" w14:textId="77777777" w:rsidR="00D60F1B" w:rsidRPr="007C3B9D" w:rsidRDefault="00D60F1B" w:rsidP="00BD278C">
      <w:pPr>
        <w:spacing w:after="0" w:line="276" w:lineRule="auto"/>
        <w:rPr>
          <w:lang w:val="en-AU"/>
        </w:rPr>
      </w:pPr>
      <w:r w:rsidRPr="007C3B9D">
        <w:rPr>
          <w:lang w:val="en-AU"/>
        </w:rPr>
        <w:t>APSP Key Performance Indicators (KPIs) from the APSP MEL Plan</w:t>
      </w:r>
    </w:p>
    <w:p w14:paraId="55A794AF"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 xml:space="preserve">APSP Reports to Donor: Annual Reports 2019 – 2023 and Semi-Annual Reviews 2019 – 2023 </w:t>
      </w:r>
    </w:p>
    <w:p w14:paraId="18FFDD09"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 xml:space="preserve">APSP Lessons Learned and Reflection and related documents </w:t>
      </w:r>
    </w:p>
    <w:p w14:paraId="2ACF657B"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 xml:space="preserve">DFAT Internal Reports 2021 – 2024 </w:t>
      </w:r>
    </w:p>
    <w:p w14:paraId="7174F6E6"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APSP Factsheet</w:t>
      </w:r>
    </w:p>
    <w:p w14:paraId="2F30BFE1"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Participant Feedback Surveys</w:t>
      </w:r>
    </w:p>
    <w:p w14:paraId="7C3DEAFC"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 xml:space="preserve">Activities in 2024 </w:t>
      </w:r>
    </w:p>
    <w:p w14:paraId="6E6CB3FD"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 xml:space="preserve">ASEAN Regional Plan of action on Women, Peace and Security </w:t>
      </w:r>
    </w:p>
    <w:p w14:paraId="5B41E738"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ASEAN-Australia Report 2024</w:t>
      </w:r>
    </w:p>
    <w:p w14:paraId="0A50485B"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ASEAN Gender Mainstreaming Strategic Framework</w:t>
      </w:r>
    </w:p>
    <w:p w14:paraId="44F48BF2" w14:textId="77777777" w:rsidR="00D60F1B" w:rsidRPr="007C3B9D" w:rsidRDefault="00D60F1B" w:rsidP="00BD278C">
      <w:pPr>
        <w:autoSpaceDE w:val="0"/>
        <w:autoSpaceDN w:val="0"/>
        <w:adjustRightInd w:val="0"/>
        <w:spacing w:after="0" w:line="276" w:lineRule="auto"/>
        <w:rPr>
          <w:rFonts w:cstheme="minorHAnsi"/>
          <w:color w:val="000000"/>
          <w:lang w:val="en-AU"/>
        </w:rPr>
      </w:pPr>
      <w:r w:rsidRPr="007C3B9D">
        <w:rPr>
          <w:rFonts w:cstheme="minorHAnsi"/>
          <w:color w:val="000000"/>
          <w:lang w:val="en-AU"/>
        </w:rPr>
        <w:t>ASEAN Enabling Masterplan 2025</w:t>
      </w:r>
    </w:p>
    <w:p w14:paraId="74A9A84A" w14:textId="77777777" w:rsidR="00D60F1B" w:rsidRPr="007C3B9D" w:rsidRDefault="00D60F1B" w:rsidP="00BD278C">
      <w:pPr>
        <w:pStyle w:val="NormalWeb"/>
        <w:spacing w:before="0" w:beforeAutospacing="0" w:after="0" w:afterAutospacing="0" w:line="276" w:lineRule="auto"/>
        <w:rPr>
          <w:rFonts w:asciiTheme="minorHAnsi" w:hAnsiTheme="minorHAnsi" w:cstheme="minorHAnsi"/>
          <w:sz w:val="21"/>
          <w:szCs w:val="21"/>
          <w:lang w:val="en-AU"/>
        </w:rPr>
      </w:pPr>
      <w:r w:rsidRPr="007C3B9D">
        <w:rPr>
          <w:rFonts w:asciiTheme="minorHAnsi" w:hAnsiTheme="minorHAnsi" w:cstheme="minorHAnsi"/>
          <w:sz w:val="21"/>
          <w:szCs w:val="21"/>
          <w:lang w:val="en-AU"/>
        </w:rPr>
        <w:t xml:space="preserve">Work Plan of the ASEAN Plan of Action to Prevent and Counter the Rise of Radicalisation and Violent Extremism (2019 – 2025) </w:t>
      </w:r>
    </w:p>
    <w:p w14:paraId="2BAA15DF" w14:textId="77777777" w:rsidR="00D60F1B" w:rsidRPr="00D60F1B" w:rsidRDefault="00D60F1B" w:rsidP="00BD278C">
      <w:pPr>
        <w:autoSpaceDE w:val="0"/>
        <w:autoSpaceDN w:val="0"/>
        <w:adjustRightInd w:val="0"/>
        <w:spacing w:after="0" w:line="276" w:lineRule="auto"/>
        <w:rPr>
          <w:b/>
          <w:bCs/>
          <w:i/>
          <w:iCs/>
          <w:color w:val="000000"/>
          <w:lang w:val="en-AU"/>
        </w:rPr>
      </w:pPr>
      <w:r w:rsidRPr="00D60F1B">
        <w:rPr>
          <w:b/>
          <w:bCs/>
          <w:i/>
          <w:iCs/>
          <w:color w:val="000000" w:themeColor="text1"/>
          <w:lang w:val="en-AU"/>
        </w:rPr>
        <w:t>ASEAN Documents</w:t>
      </w:r>
    </w:p>
    <w:p w14:paraId="3715D092" w14:textId="77777777" w:rsidR="00D60F1B" w:rsidRPr="007C3B9D" w:rsidRDefault="00D60F1B" w:rsidP="00BD278C">
      <w:pPr>
        <w:spacing w:after="0" w:line="276" w:lineRule="auto"/>
        <w:rPr>
          <w:lang w:val="en-AU"/>
        </w:rPr>
      </w:pPr>
      <w:r w:rsidRPr="007C3B9D">
        <w:rPr>
          <w:lang w:val="en-AU"/>
        </w:rPr>
        <w:t>ASEAN Cybersecurity Cooperation Strategy (2017–2020)</w:t>
      </w:r>
    </w:p>
    <w:p w14:paraId="5AEF5298" w14:textId="77777777" w:rsidR="00D60F1B" w:rsidRPr="007C3B9D" w:rsidRDefault="00D60F1B" w:rsidP="00BD278C">
      <w:pPr>
        <w:spacing w:after="0" w:line="276" w:lineRule="auto"/>
        <w:rPr>
          <w:lang w:val="en-AU"/>
        </w:rPr>
      </w:pPr>
      <w:r w:rsidRPr="007C3B9D">
        <w:rPr>
          <w:lang w:val="en-AU"/>
        </w:rPr>
        <w:t>ASEAN Plan of Action in Combating Transnational Crime</w:t>
      </w:r>
    </w:p>
    <w:p w14:paraId="2A407E17" w14:textId="77777777" w:rsidR="00D60F1B" w:rsidRPr="007C3B9D" w:rsidRDefault="00D60F1B" w:rsidP="00BD278C">
      <w:pPr>
        <w:spacing w:after="0" w:line="276" w:lineRule="auto"/>
        <w:rPr>
          <w:lang w:val="en-AU"/>
        </w:rPr>
      </w:pPr>
      <w:r w:rsidRPr="007C3B9D">
        <w:rPr>
          <w:lang w:val="en-AU"/>
        </w:rPr>
        <w:t>ASEAN Document Series on Transnational Crime</w:t>
      </w:r>
    </w:p>
    <w:p w14:paraId="07320F47" w14:textId="77777777" w:rsidR="00D60F1B" w:rsidRPr="007C3B9D" w:rsidRDefault="00D60F1B" w:rsidP="00BD278C">
      <w:pPr>
        <w:spacing w:after="0" w:line="276" w:lineRule="auto"/>
        <w:rPr>
          <w:lang w:val="en-AU"/>
        </w:rPr>
      </w:pPr>
      <w:r w:rsidRPr="007C3B9D">
        <w:rPr>
          <w:lang w:val="en-AU"/>
        </w:rPr>
        <w:t>ASEAN Political-Security Community Blueprint</w:t>
      </w:r>
    </w:p>
    <w:p w14:paraId="2680BEE2" w14:textId="77777777" w:rsidR="00D60F1B" w:rsidRPr="007C3B9D" w:rsidRDefault="00D60F1B" w:rsidP="00BD278C">
      <w:pPr>
        <w:spacing w:after="0" w:line="276" w:lineRule="auto"/>
        <w:rPr>
          <w:lang w:val="en-AU"/>
        </w:rPr>
      </w:pPr>
      <w:r w:rsidRPr="007C3B9D">
        <w:rPr>
          <w:lang w:val="en-AU"/>
        </w:rPr>
        <w:t>ASEAN Regional Forum Work Plan for Maritime Security (2022–2026)</w:t>
      </w:r>
    </w:p>
    <w:p w14:paraId="34279E66" w14:textId="77777777" w:rsidR="00D60F1B" w:rsidRPr="007C3B9D" w:rsidRDefault="00D60F1B" w:rsidP="00BD278C">
      <w:pPr>
        <w:spacing w:after="0" w:line="276" w:lineRule="auto"/>
        <w:rPr>
          <w:lang w:val="en-AU"/>
        </w:rPr>
      </w:pPr>
      <w:r w:rsidRPr="007C3B9D">
        <w:rPr>
          <w:lang w:val="en-AU"/>
        </w:rPr>
        <w:t>Australian Government and Institutional Policies and Strategies</w:t>
      </w:r>
    </w:p>
    <w:p w14:paraId="6EF46EAB" w14:textId="77777777" w:rsidR="00D60F1B" w:rsidRPr="007C3B9D" w:rsidRDefault="00D60F1B" w:rsidP="00BD278C">
      <w:pPr>
        <w:spacing w:after="0" w:line="276" w:lineRule="auto"/>
        <w:rPr>
          <w:lang w:val="en-AU"/>
        </w:rPr>
      </w:pPr>
      <w:r w:rsidRPr="007C3B9D">
        <w:rPr>
          <w:lang w:val="en-AU"/>
        </w:rPr>
        <w:t>Australian Civil Maritime Security Strategy</w:t>
      </w:r>
    </w:p>
    <w:p w14:paraId="32467821" w14:textId="77777777" w:rsidR="00D60F1B" w:rsidRPr="007C3B9D" w:rsidRDefault="00D60F1B" w:rsidP="00BD278C">
      <w:pPr>
        <w:spacing w:after="0" w:line="276" w:lineRule="auto"/>
        <w:rPr>
          <w:lang w:val="en-AU"/>
        </w:rPr>
      </w:pPr>
      <w:r w:rsidRPr="007C3B9D">
        <w:rPr>
          <w:lang w:val="en-AU"/>
        </w:rPr>
        <w:t>National Strategy to Fight Transnational, Serious, and Organised Crime</w:t>
      </w:r>
    </w:p>
    <w:p w14:paraId="547B53F1" w14:textId="77777777" w:rsidR="00D60F1B" w:rsidRPr="007C3B9D" w:rsidRDefault="00D60F1B" w:rsidP="00BD278C">
      <w:pPr>
        <w:spacing w:after="0" w:line="276" w:lineRule="auto"/>
        <w:rPr>
          <w:lang w:val="en-AU"/>
        </w:rPr>
      </w:pPr>
      <w:r w:rsidRPr="007C3B9D">
        <w:rPr>
          <w:lang w:val="en-AU"/>
        </w:rPr>
        <w:t>Australian Strategic Policy Institute (ASPI) Reports</w:t>
      </w:r>
    </w:p>
    <w:p w14:paraId="1A50291B" w14:textId="77777777" w:rsidR="00D60F1B" w:rsidRPr="007C3B9D" w:rsidRDefault="00D60F1B" w:rsidP="00BD278C">
      <w:pPr>
        <w:spacing w:after="0" w:line="276" w:lineRule="auto"/>
        <w:rPr>
          <w:lang w:val="en-AU"/>
        </w:rPr>
      </w:pPr>
      <w:r w:rsidRPr="007C3B9D">
        <w:rPr>
          <w:lang w:val="en-AU"/>
        </w:rPr>
        <w:t>United Nations</w:t>
      </w:r>
    </w:p>
    <w:p w14:paraId="1045C182" w14:textId="77777777" w:rsidR="00D60F1B" w:rsidRPr="007C3B9D" w:rsidRDefault="00D60F1B" w:rsidP="00BD278C">
      <w:pPr>
        <w:spacing w:after="0" w:line="276" w:lineRule="auto"/>
        <w:rPr>
          <w:lang w:val="en-AU"/>
        </w:rPr>
      </w:pPr>
      <w:r w:rsidRPr="007C3B9D">
        <w:rPr>
          <w:lang w:val="en-AU"/>
        </w:rPr>
        <w:t>United Nations Convention on the Law of the Sea (UNCLOS)</w:t>
      </w:r>
    </w:p>
    <w:p w14:paraId="5F1D63C1" w14:textId="77777777" w:rsidR="00D60F1B" w:rsidRPr="007C3B9D" w:rsidRDefault="00D60F1B" w:rsidP="00BD278C">
      <w:pPr>
        <w:spacing w:after="0" w:line="276" w:lineRule="auto"/>
        <w:rPr>
          <w:lang w:val="en-AU"/>
        </w:rPr>
      </w:pPr>
      <w:r w:rsidRPr="007C3B9D">
        <w:rPr>
          <w:lang w:val="en-AU"/>
        </w:rPr>
        <w:t>United Nations Group of Governmental Experts (UNGGE) Norms on Responsible State Behaviour in Cyberspace</w:t>
      </w:r>
    </w:p>
    <w:p w14:paraId="5A971FE7" w14:textId="2CF901A9" w:rsidR="00446C37" w:rsidRDefault="00446C37">
      <w:pPr>
        <w:rPr>
          <w:lang w:val="en-AU"/>
        </w:rPr>
      </w:pPr>
      <w:r>
        <w:rPr>
          <w:lang w:val="en-AU"/>
        </w:rPr>
        <w:br w:type="page"/>
      </w:r>
    </w:p>
    <w:p w14:paraId="412A1D71" w14:textId="3C3B6D22" w:rsidR="00F33B93" w:rsidRPr="007C3B9D" w:rsidRDefault="00F33B93" w:rsidP="00903D77">
      <w:pPr>
        <w:pStyle w:val="Heading1"/>
        <w:pBdr>
          <w:bottom w:val="single" w:sz="4" w:space="0" w:color="595959" w:themeColor="text1" w:themeTint="A6"/>
        </w:pBdr>
        <w:spacing w:before="0" w:after="120" w:line="276" w:lineRule="auto"/>
        <w:ind w:left="432" w:hanging="432"/>
        <w:rPr>
          <w:lang w:val="en-AU"/>
        </w:rPr>
      </w:pPr>
      <w:bookmarkStart w:id="27" w:name="_Toc206492277"/>
      <w:r w:rsidRPr="007C3B9D">
        <w:rPr>
          <w:lang w:val="en-AU"/>
        </w:rPr>
        <w:lastRenderedPageBreak/>
        <w:t xml:space="preserve">Annex 5: </w:t>
      </w:r>
      <w:r w:rsidR="00433DBD" w:rsidRPr="007C3B9D">
        <w:rPr>
          <w:lang w:val="en-AU"/>
        </w:rPr>
        <w:t>Case Study – Women, Peace and Security</w:t>
      </w:r>
      <w:bookmarkEnd w:id="27"/>
    </w:p>
    <w:p w14:paraId="409927E6" w14:textId="77777777" w:rsidR="007079AB" w:rsidRPr="00BD278C" w:rsidRDefault="007079AB" w:rsidP="00446279">
      <w:pPr>
        <w:pStyle w:val="Heading2"/>
      </w:pPr>
      <w:bookmarkStart w:id="28" w:name="_Toc206492278"/>
      <w:r w:rsidRPr="00BD278C">
        <w:t>Introduction</w:t>
      </w:r>
      <w:bookmarkEnd w:id="28"/>
    </w:p>
    <w:p w14:paraId="4E9C683D" w14:textId="77777777" w:rsidR="007079AB" w:rsidRPr="00BD278C" w:rsidRDefault="007079AB" w:rsidP="00903D77">
      <w:pPr>
        <w:spacing w:after="120" w:line="276" w:lineRule="auto"/>
        <w:jc w:val="both"/>
        <w:rPr>
          <w:rFonts w:cs="Arial"/>
          <w:lang w:val="en-AU"/>
        </w:rPr>
      </w:pPr>
      <w:r w:rsidRPr="00BD278C">
        <w:rPr>
          <w:rFonts w:cs="Arial"/>
          <w:lang w:val="en-AU"/>
        </w:rPr>
        <w:t>In this study we do not attempt to evaluate WPS activities – this is done in the main report. Instead, we hope to highlight aspects of the WPS approach that are relevant to APSP as a whole and to the next program phase. We therefore address the following four questions:</w:t>
      </w:r>
    </w:p>
    <w:p w14:paraId="6157C326" w14:textId="77777777" w:rsidR="007079AB" w:rsidRPr="00BD278C" w:rsidRDefault="007079AB" w:rsidP="00903D77">
      <w:pPr>
        <w:pStyle w:val="ListParagraph"/>
        <w:numPr>
          <w:ilvl w:val="0"/>
          <w:numId w:val="62"/>
        </w:numPr>
        <w:spacing w:after="120" w:line="276" w:lineRule="auto"/>
        <w:contextualSpacing w:val="0"/>
        <w:jc w:val="both"/>
        <w:rPr>
          <w:rFonts w:cs="Arial"/>
          <w:lang w:val="en-AU"/>
        </w:rPr>
      </w:pPr>
      <w:r w:rsidRPr="00BD278C">
        <w:rPr>
          <w:rFonts w:cs="Arial"/>
          <w:lang w:val="en-AU"/>
        </w:rPr>
        <w:t>What are the pros and cons of including WPS in APSP?</w:t>
      </w:r>
    </w:p>
    <w:p w14:paraId="7EE68495" w14:textId="77777777" w:rsidR="007079AB" w:rsidRPr="00BD278C" w:rsidRDefault="007079AB" w:rsidP="00903D77">
      <w:pPr>
        <w:pStyle w:val="ListParagraph"/>
        <w:numPr>
          <w:ilvl w:val="0"/>
          <w:numId w:val="62"/>
        </w:numPr>
        <w:spacing w:after="120" w:line="276" w:lineRule="auto"/>
        <w:contextualSpacing w:val="0"/>
        <w:jc w:val="both"/>
        <w:rPr>
          <w:rFonts w:cs="Arial"/>
          <w:lang w:val="en-AU"/>
        </w:rPr>
      </w:pPr>
      <w:r w:rsidRPr="00BD278C">
        <w:rPr>
          <w:rFonts w:cs="Arial"/>
          <w:lang w:val="en-AU"/>
        </w:rPr>
        <w:t>How did TAF support WPS activities; what was the added value of its work?</w:t>
      </w:r>
    </w:p>
    <w:p w14:paraId="6C794B07" w14:textId="77777777" w:rsidR="007079AB" w:rsidRPr="00BD278C" w:rsidRDefault="007079AB" w:rsidP="00903D77">
      <w:pPr>
        <w:pStyle w:val="ListParagraph"/>
        <w:numPr>
          <w:ilvl w:val="0"/>
          <w:numId w:val="62"/>
        </w:numPr>
        <w:spacing w:after="120" w:line="276" w:lineRule="auto"/>
        <w:contextualSpacing w:val="0"/>
        <w:jc w:val="both"/>
        <w:rPr>
          <w:rFonts w:cs="Arial"/>
          <w:lang w:val="en-AU"/>
        </w:rPr>
      </w:pPr>
      <w:r w:rsidRPr="00BD278C">
        <w:rPr>
          <w:rFonts w:cs="Arial"/>
          <w:lang w:val="en-AU"/>
        </w:rPr>
        <w:t>How does ASEAN view the work done to date?</w:t>
      </w:r>
    </w:p>
    <w:p w14:paraId="044031F9" w14:textId="77777777" w:rsidR="007079AB" w:rsidRPr="00BD278C" w:rsidRDefault="007079AB" w:rsidP="00903D77">
      <w:pPr>
        <w:pStyle w:val="ListParagraph"/>
        <w:numPr>
          <w:ilvl w:val="0"/>
          <w:numId w:val="62"/>
        </w:numPr>
        <w:spacing w:after="120" w:line="276" w:lineRule="auto"/>
        <w:contextualSpacing w:val="0"/>
        <w:jc w:val="both"/>
        <w:rPr>
          <w:rFonts w:cs="Arial"/>
          <w:lang w:val="en-AU"/>
        </w:rPr>
      </w:pPr>
      <w:r w:rsidRPr="00BD278C">
        <w:rPr>
          <w:rFonts w:cs="Arial"/>
          <w:lang w:val="en-AU"/>
        </w:rPr>
        <w:t>What lessons can be learned from WPS work in relation to the next program?</w:t>
      </w:r>
    </w:p>
    <w:p w14:paraId="2DC9DC9F" w14:textId="1589581D" w:rsidR="007079AB" w:rsidRPr="00BD278C" w:rsidRDefault="007079AB" w:rsidP="00446279">
      <w:pPr>
        <w:pStyle w:val="Heading2"/>
        <w:numPr>
          <w:ilvl w:val="0"/>
          <w:numId w:val="113"/>
        </w:numPr>
      </w:pPr>
      <w:bookmarkStart w:id="29" w:name="_Toc206492279"/>
      <w:r w:rsidRPr="00BD278C">
        <w:t>Why WPS? Pros and cons of inclusion in APSP</w:t>
      </w:r>
      <w:bookmarkEnd w:id="29"/>
    </w:p>
    <w:p w14:paraId="34219E53" w14:textId="77777777" w:rsidR="007079AB" w:rsidRPr="00BD278C" w:rsidRDefault="007079AB" w:rsidP="00903D77">
      <w:pPr>
        <w:spacing w:after="120" w:line="276" w:lineRule="auto"/>
        <w:jc w:val="both"/>
        <w:rPr>
          <w:rFonts w:cs="Arial"/>
          <w:lang w:val="en-AU"/>
        </w:rPr>
      </w:pPr>
      <w:r w:rsidRPr="00BD278C">
        <w:rPr>
          <w:rFonts w:cs="Arial"/>
          <w:lang w:val="en-AU"/>
        </w:rPr>
        <w:t>There were numerous grounds for including WPS in APSP, including:</w:t>
      </w:r>
    </w:p>
    <w:p w14:paraId="08C39279" w14:textId="77777777" w:rsidR="007079AB" w:rsidRPr="00BD278C" w:rsidRDefault="007079AB" w:rsidP="00BD278C">
      <w:pPr>
        <w:pStyle w:val="ListParagraph"/>
        <w:numPr>
          <w:ilvl w:val="0"/>
          <w:numId w:val="69"/>
        </w:numPr>
        <w:spacing w:after="0" w:line="276" w:lineRule="auto"/>
        <w:contextualSpacing w:val="0"/>
        <w:jc w:val="both"/>
        <w:rPr>
          <w:rFonts w:cs="Arial"/>
          <w:lang w:val="en-AU"/>
        </w:rPr>
      </w:pPr>
      <w:r w:rsidRPr="00BD278C">
        <w:rPr>
          <w:rFonts w:cs="Arial"/>
          <w:color w:val="0F4761" w:themeColor="accent1" w:themeShade="BF"/>
          <w:lang w:val="en-AU"/>
        </w:rPr>
        <w:t xml:space="preserve">WPS is an issue that – in principle at least – cuts across the other APSP target areas </w:t>
      </w:r>
      <w:r w:rsidRPr="00BD278C">
        <w:rPr>
          <w:rFonts w:cs="Arial"/>
          <w:lang w:val="en-AU"/>
        </w:rPr>
        <w:t>(maritime security, cybersecurity, transnational crime): This cross-cutting dimension was not necessarily apparent to all stakeholders at the start of the program, but APSP explicitly sought to mainstream WPS into each of the other target areas.</w:t>
      </w:r>
    </w:p>
    <w:p w14:paraId="51D6E7E6" w14:textId="77777777" w:rsidR="007079AB" w:rsidRPr="00BD278C" w:rsidRDefault="007079AB" w:rsidP="00BD278C">
      <w:pPr>
        <w:pStyle w:val="ListParagraph"/>
        <w:numPr>
          <w:ilvl w:val="0"/>
          <w:numId w:val="69"/>
        </w:numPr>
        <w:spacing w:after="0" w:line="276" w:lineRule="auto"/>
        <w:contextualSpacing w:val="0"/>
        <w:jc w:val="both"/>
        <w:rPr>
          <w:rFonts w:cs="Arial"/>
          <w:lang w:val="en-AU"/>
        </w:rPr>
      </w:pPr>
      <w:r w:rsidRPr="00BD278C">
        <w:rPr>
          <w:rFonts w:cs="Arial"/>
          <w:color w:val="0F4761" w:themeColor="accent1" w:themeShade="BF"/>
          <w:lang w:val="en-AU"/>
        </w:rPr>
        <w:t>ASEAN has made formal commitments in relation to WPS</w:t>
      </w:r>
      <w:r w:rsidRPr="00BD278C">
        <w:rPr>
          <w:rFonts w:cs="Arial"/>
          <w:lang w:val="en-AU"/>
        </w:rPr>
        <w:t>: While WPS is not a treaty (it is often referred to in ASEAN documents as an ‘agenda’), it is based on UN Security Council Resolution 1325. ASEAN has agreed a WPS Regional Plan of Action (</w:t>
      </w:r>
      <w:proofErr w:type="spellStart"/>
      <w:r w:rsidRPr="00BD278C">
        <w:rPr>
          <w:rFonts w:cs="Arial"/>
          <w:lang w:val="en-AU"/>
        </w:rPr>
        <w:t>RPoA</w:t>
      </w:r>
      <w:proofErr w:type="spellEnd"/>
      <w:proofErr w:type="gramStart"/>
      <w:r w:rsidRPr="00BD278C">
        <w:rPr>
          <w:rFonts w:cs="Arial"/>
          <w:lang w:val="en-AU"/>
        </w:rPr>
        <w:t>)</w:t>
      </w:r>
      <w:proofErr w:type="gramEnd"/>
      <w:r w:rsidRPr="00BD278C">
        <w:rPr>
          <w:rFonts w:cs="Arial"/>
          <w:lang w:val="en-AU"/>
        </w:rPr>
        <w:t xml:space="preserve"> and some countries have national </w:t>
      </w:r>
      <w:proofErr w:type="spellStart"/>
      <w:r w:rsidRPr="00BD278C">
        <w:rPr>
          <w:rFonts w:cs="Arial"/>
          <w:lang w:val="en-AU"/>
        </w:rPr>
        <w:t>PoAs</w:t>
      </w:r>
      <w:proofErr w:type="spellEnd"/>
      <w:r w:rsidRPr="00BD278C">
        <w:rPr>
          <w:rFonts w:cs="Arial"/>
          <w:lang w:val="en-AU"/>
        </w:rPr>
        <w:t xml:space="preserve">. Australia also has a WPS </w:t>
      </w:r>
      <w:proofErr w:type="spellStart"/>
      <w:r w:rsidRPr="00BD278C">
        <w:rPr>
          <w:rFonts w:cs="Arial"/>
          <w:lang w:val="en-AU"/>
        </w:rPr>
        <w:t>PoA</w:t>
      </w:r>
      <w:proofErr w:type="spellEnd"/>
      <w:r w:rsidRPr="00BD278C">
        <w:rPr>
          <w:rFonts w:cs="Arial"/>
          <w:lang w:val="en-AU"/>
        </w:rPr>
        <w:t>.</w:t>
      </w:r>
    </w:p>
    <w:p w14:paraId="3C8B4862" w14:textId="77777777" w:rsidR="007079AB" w:rsidRPr="00BD278C" w:rsidRDefault="007079AB" w:rsidP="00903D77">
      <w:pPr>
        <w:pStyle w:val="ListParagraph"/>
        <w:numPr>
          <w:ilvl w:val="0"/>
          <w:numId w:val="69"/>
        </w:numPr>
        <w:spacing w:after="120" w:line="276" w:lineRule="auto"/>
        <w:contextualSpacing w:val="0"/>
        <w:jc w:val="both"/>
        <w:rPr>
          <w:rFonts w:cs="Arial"/>
          <w:lang w:val="en-AU"/>
        </w:rPr>
      </w:pPr>
      <w:r w:rsidRPr="00BD278C">
        <w:rPr>
          <w:rFonts w:cs="Arial"/>
          <w:color w:val="0F4761" w:themeColor="accent1" w:themeShade="BF"/>
          <w:lang w:val="en-AU"/>
        </w:rPr>
        <w:t>Potential strategic and policy benefits</w:t>
      </w:r>
      <w:r w:rsidRPr="00BD278C">
        <w:rPr>
          <w:rFonts w:cs="Arial"/>
          <w:lang w:val="en-AU"/>
        </w:rPr>
        <w:t>: There was scope for WPS to strengthen strategy and policy development on political security by leveraging existing processes and initiatives within ASEAN – such as the ASEAN Women for Peace Registry (AWPR) – and Australian expertise on the issue.</w:t>
      </w:r>
    </w:p>
    <w:p w14:paraId="4664ABAC" w14:textId="77777777" w:rsidR="007079AB" w:rsidRPr="00BD278C" w:rsidRDefault="007079AB" w:rsidP="00903D77">
      <w:pPr>
        <w:spacing w:after="120" w:line="276" w:lineRule="auto"/>
        <w:jc w:val="both"/>
        <w:rPr>
          <w:rFonts w:cs="Arial"/>
          <w:lang w:val="en-AU"/>
        </w:rPr>
      </w:pPr>
      <w:r w:rsidRPr="00BD278C">
        <w:rPr>
          <w:rFonts w:cs="Arial"/>
          <w:lang w:val="en-AU"/>
        </w:rPr>
        <w:t>There were also risks related to WPS advocacy:</w:t>
      </w:r>
    </w:p>
    <w:p w14:paraId="1F1AB7AF" w14:textId="77777777" w:rsidR="007079AB" w:rsidRPr="00BD278C" w:rsidRDefault="007079AB" w:rsidP="00BD278C">
      <w:pPr>
        <w:pStyle w:val="ListParagraph"/>
        <w:numPr>
          <w:ilvl w:val="0"/>
          <w:numId w:val="68"/>
        </w:numPr>
        <w:spacing w:after="0" w:line="276" w:lineRule="auto"/>
        <w:contextualSpacing w:val="0"/>
        <w:jc w:val="both"/>
        <w:rPr>
          <w:rFonts w:cs="Arial"/>
          <w:lang w:val="en-AU"/>
        </w:rPr>
      </w:pPr>
      <w:r w:rsidRPr="00BD278C">
        <w:rPr>
          <w:rFonts w:cs="Arial"/>
          <w:color w:val="0F4761" w:themeColor="accent1" w:themeShade="BF"/>
          <w:lang w:val="en-AU"/>
        </w:rPr>
        <w:t>Perceived interference in domestic affairs</w:t>
      </w:r>
      <w:r w:rsidRPr="00BD278C">
        <w:rPr>
          <w:rFonts w:cs="Arial"/>
          <w:lang w:val="en-AU"/>
        </w:rPr>
        <w:t>. The WPS agenda could be seen as a threat by some countries if applied to underlying causes of domestic conflict. Some countries may view the WPS agenda as relevant to peacekeeping operations only.</w:t>
      </w:r>
    </w:p>
    <w:p w14:paraId="5F057204" w14:textId="77777777" w:rsidR="007079AB" w:rsidRPr="00BD278C" w:rsidRDefault="007079AB" w:rsidP="00BD278C">
      <w:pPr>
        <w:pStyle w:val="ListParagraph"/>
        <w:numPr>
          <w:ilvl w:val="0"/>
          <w:numId w:val="68"/>
        </w:numPr>
        <w:spacing w:after="0" w:line="276" w:lineRule="auto"/>
        <w:contextualSpacing w:val="0"/>
        <w:jc w:val="both"/>
        <w:rPr>
          <w:rFonts w:cs="Arial"/>
          <w:lang w:val="en-AU"/>
        </w:rPr>
      </w:pPr>
      <w:r w:rsidRPr="00BD278C">
        <w:rPr>
          <w:rFonts w:cs="Arial"/>
          <w:color w:val="0F4761" w:themeColor="accent1" w:themeShade="BF"/>
          <w:lang w:val="en-AU"/>
        </w:rPr>
        <w:t>Aspirations rather than specifics</w:t>
      </w:r>
      <w:r w:rsidRPr="00BD278C">
        <w:rPr>
          <w:rFonts w:cs="Arial"/>
          <w:lang w:val="en-AU"/>
        </w:rPr>
        <w:t>. States may content themselves with adopting formulaic endorsements of WPS, without policy substance or impact. WPS may be seen as confined to ‘traditional’ women’s issues of welfare, care for the vulnerable, children support, etc.</w:t>
      </w:r>
    </w:p>
    <w:p w14:paraId="6EF3DB31" w14:textId="77777777" w:rsidR="007079AB" w:rsidRPr="00BD278C" w:rsidRDefault="007079AB" w:rsidP="00903D77">
      <w:pPr>
        <w:pStyle w:val="ListParagraph"/>
        <w:numPr>
          <w:ilvl w:val="0"/>
          <w:numId w:val="68"/>
        </w:numPr>
        <w:spacing w:after="120" w:line="276" w:lineRule="auto"/>
        <w:contextualSpacing w:val="0"/>
        <w:jc w:val="both"/>
        <w:rPr>
          <w:rFonts w:cs="Arial"/>
          <w:lang w:val="en-AU"/>
        </w:rPr>
      </w:pPr>
      <w:r w:rsidRPr="00BD278C">
        <w:rPr>
          <w:rFonts w:cs="Arial"/>
          <w:color w:val="0F4761" w:themeColor="accent1" w:themeShade="BF"/>
          <w:lang w:val="en-AU"/>
        </w:rPr>
        <w:t>A crowded space</w:t>
      </w:r>
      <w:r w:rsidRPr="00BD278C">
        <w:rPr>
          <w:rFonts w:cs="Arial"/>
          <w:lang w:val="en-AU"/>
        </w:rPr>
        <w:t>. Many ASEAN bilateral and multilateral partners seek to address gender equality in general, and the WPS agenda in particular. There was a risk of duplicating efforts.</w:t>
      </w:r>
    </w:p>
    <w:p w14:paraId="1C2CDB8B" w14:textId="77777777" w:rsidR="007079AB" w:rsidRPr="00BD278C" w:rsidRDefault="007079AB" w:rsidP="00903D77">
      <w:pPr>
        <w:spacing w:after="120" w:line="276" w:lineRule="auto"/>
        <w:jc w:val="both"/>
        <w:rPr>
          <w:rFonts w:cs="Arial"/>
          <w:lang w:val="en-AU"/>
        </w:rPr>
      </w:pPr>
      <w:r w:rsidRPr="00BD278C">
        <w:rPr>
          <w:rFonts w:cs="Arial"/>
          <w:lang w:val="en-AU"/>
        </w:rPr>
        <w:t>The program had identified these opportunities and risks. An APSP team member said: TAF on WPS: ‘There are other bilateral partners working on WPS. It's both a crowded space and one in which work is not always strategic. There was a big task in working out how to best position APSP.’</w:t>
      </w:r>
    </w:p>
    <w:p w14:paraId="7FEF16F8" w14:textId="77777777" w:rsidR="007079AB" w:rsidRPr="00BD278C" w:rsidRDefault="007079AB" w:rsidP="00903D77">
      <w:pPr>
        <w:spacing w:after="120" w:line="276" w:lineRule="auto"/>
        <w:jc w:val="both"/>
        <w:rPr>
          <w:rFonts w:cs="Arial"/>
          <w:lang w:val="en-AU"/>
        </w:rPr>
      </w:pPr>
      <w:r w:rsidRPr="00BD278C">
        <w:rPr>
          <w:rFonts w:cs="Arial"/>
          <w:lang w:val="en-AU"/>
        </w:rPr>
        <w:lastRenderedPageBreak/>
        <w:t>It is important to note that the WPS component of the program was substantially strengthened – and became more strategic – in December 2021, after a dedicated WPS/GEDSI expert was recruited into TAF’s APSP team.</w:t>
      </w:r>
    </w:p>
    <w:p w14:paraId="12512022" w14:textId="77777777" w:rsidR="007079AB" w:rsidRPr="00BD278C" w:rsidRDefault="007079AB" w:rsidP="00903D77">
      <w:pPr>
        <w:spacing w:after="120" w:line="276" w:lineRule="auto"/>
        <w:jc w:val="both"/>
        <w:rPr>
          <w:rFonts w:cs="Arial"/>
          <w:lang w:val="en-AU"/>
        </w:rPr>
      </w:pPr>
      <w:r w:rsidRPr="00BD278C">
        <w:rPr>
          <w:rFonts w:cs="Arial"/>
          <w:lang w:val="en-AU"/>
        </w:rPr>
        <w:t>The new advisor helped mitigate the risks identified above, by:</w:t>
      </w:r>
    </w:p>
    <w:p w14:paraId="4D4A6B87" w14:textId="77777777" w:rsidR="007079AB" w:rsidRPr="00BD278C" w:rsidRDefault="007079AB" w:rsidP="00BD278C">
      <w:pPr>
        <w:pStyle w:val="ListParagraph"/>
        <w:numPr>
          <w:ilvl w:val="0"/>
          <w:numId w:val="67"/>
        </w:numPr>
        <w:spacing w:after="0" w:line="276" w:lineRule="auto"/>
        <w:ind w:left="709"/>
        <w:contextualSpacing w:val="0"/>
        <w:jc w:val="both"/>
        <w:rPr>
          <w:rFonts w:cs="Arial"/>
          <w:lang w:val="en-AU"/>
        </w:rPr>
      </w:pPr>
      <w:r w:rsidRPr="00BD278C">
        <w:rPr>
          <w:rFonts w:cs="Arial"/>
          <w:lang w:val="en-AU"/>
        </w:rPr>
        <w:t>Ensuring that APSP highlights the positive contribution that the WPS agenda can make in relation to other ASEAN areas of interest. The WS/GEDSI advisor told the evaluators: ‘WPS was part of the agenda, and part of the talking points, but it hit a point where there was some resistance to it. [There was] a failure to understand its importance and impact, to understand that WPS isn't just a soft social inclusion approach, but that there are benefits from it. (…) APSP has been able to play a role in building understanding that there are human security issues that this WPS agenda is relevant for. We have been able to really engage as we brought in more and more cross-referencing of WPS with other issues, including cybersecurity and climate. Those [cross-references] bring in some of the ASEAN member states that haven't been as engaged in WPS.’</w:t>
      </w:r>
      <w:r w:rsidRPr="00BD278C">
        <w:rPr>
          <w:rStyle w:val="FootnoteReference"/>
          <w:rFonts w:cs="Arial"/>
          <w:lang w:val="en-AU"/>
        </w:rPr>
        <w:footnoteReference w:id="29"/>
      </w:r>
    </w:p>
    <w:p w14:paraId="3B0BF635" w14:textId="77777777" w:rsidR="007079AB" w:rsidRPr="00BD278C" w:rsidRDefault="007079AB" w:rsidP="00BD278C">
      <w:pPr>
        <w:pStyle w:val="ListParagraph"/>
        <w:numPr>
          <w:ilvl w:val="0"/>
          <w:numId w:val="67"/>
        </w:numPr>
        <w:spacing w:after="120" w:line="276" w:lineRule="auto"/>
        <w:ind w:left="709"/>
        <w:contextualSpacing w:val="0"/>
        <w:jc w:val="both"/>
        <w:rPr>
          <w:rFonts w:cs="Arial"/>
          <w:lang w:val="en-AU"/>
        </w:rPr>
      </w:pPr>
      <w:r w:rsidRPr="00BD278C">
        <w:rPr>
          <w:rFonts w:cs="Arial"/>
          <w:lang w:val="en-AU"/>
        </w:rPr>
        <w:t xml:space="preserve">Working to limit exposure to issues that may be perceived as interference in the domestic affairs of ASEAN Member States. ‘Quite a few activities now link climate security and WPS, and it's been appropriate. If we had focused, for instance, on conflict prevention, indigenous groups and land rights, we would have faced pushback from ASEAN </w:t>
      </w:r>
      <w:proofErr w:type="gramStart"/>
      <w:r w:rsidRPr="00BD278C">
        <w:rPr>
          <w:rFonts w:cs="Arial"/>
          <w:lang w:val="en-AU"/>
        </w:rPr>
        <w:t>partners’</w:t>
      </w:r>
      <w:proofErr w:type="gramEnd"/>
      <w:r w:rsidRPr="00BD278C">
        <w:rPr>
          <w:rFonts w:cs="Arial"/>
          <w:lang w:val="en-AU"/>
        </w:rPr>
        <w:t>.</w:t>
      </w:r>
    </w:p>
    <w:p w14:paraId="54F112C3" w14:textId="77777777" w:rsidR="007079AB" w:rsidRDefault="007079AB" w:rsidP="00903D77">
      <w:pPr>
        <w:spacing w:after="120" w:line="276" w:lineRule="auto"/>
        <w:jc w:val="both"/>
        <w:rPr>
          <w:rFonts w:cs="Arial"/>
          <w:lang w:val="en-AU"/>
        </w:rPr>
      </w:pPr>
      <w:r w:rsidRPr="00BD278C">
        <w:rPr>
          <w:rFonts w:cs="Arial"/>
          <w:lang w:val="en-AU"/>
        </w:rPr>
        <w:t>A key factor strengthening the WPS component of APSP was the engagement and expertise of Australian stakeholders: DFAT’s Gender Branch was closely involved, especially in the early years of the program. According to an interviewee from DFAT: ‘Because we developed this partnership with AWPR, finding ways to link Australian women's civil society expertise on WPS became a priority. We worked with the Australian WPS civil society coalition, an Australian entity that DFAT funds to do WPS monitoring, accountability work in Australia. And I think it enhanced, broadened out the impact of Canberra having that type of civil society / government relationship. It's great that the [2023 WPS] summit provided a platform for the governments and CSOs to engage in a meaningful, very genuine participation in highlighting some of the issues in WPS.’</w:t>
      </w:r>
    </w:p>
    <w:p w14:paraId="3F69B5EE" w14:textId="77777777" w:rsidR="007079AB" w:rsidRPr="00BD278C" w:rsidRDefault="007079AB" w:rsidP="00446279">
      <w:pPr>
        <w:pStyle w:val="Heading2"/>
        <w:numPr>
          <w:ilvl w:val="0"/>
          <w:numId w:val="113"/>
        </w:numPr>
      </w:pPr>
      <w:bookmarkStart w:id="30" w:name="_Toc206492280"/>
      <w:r w:rsidRPr="00BD278C">
        <w:t>TAF’s role</w:t>
      </w:r>
      <w:bookmarkEnd w:id="30"/>
    </w:p>
    <w:p w14:paraId="5575454D" w14:textId="77777777" w:rsidR="007079AB" w:rsidRPr="00BD278C" w:rsidRDefault="007079AB" w:rsidP="00903D77">
      <w:pPr>
        <w:spacing w:after="120" w:line="276" w:lineRule="auto"/>
        <w:jc w:val="both"/>
        <w:rPr>
          <w:rFonts w:cs="Arial"/>
          <w:lang w:val="en-AU"/>
        </w:rPr>
      </w:pPr>
      <w:r w:rsidRPr="00BD278C">
        <w:rPr>
          <w:rFonts w:cs="Arial"/>
          <w:lang w:val="en-AU"/>
        </w:rPr>
        <w:t>TAF helped ensure that WPS activities were prioritised to the extent possible. Between August 2021 and August 2024, APSP had spent AUD560,000 on WPS since 2021 (about 12% of spending in that period). However, it is unlikely that spending on WPS will reach the AUD1.6m level earmarked for WPS in the original budget (17% of total). Activities essentially fell within three categories:</w:t>
      </w:r>
    </w:p>
    <w:p w14:paraId="0EF06CA6" w14:textId="77777777" w:rsidR="007079AB" w:rsidRPr="00BD278C" w:rsidRDefault="007079AB" w:rsidP="00BD278C">
      <w:pPr>
        <w:pStyle w:val="ListParagraph"/>
        <w:numPr>
          <w:ilvl w:val="0"/>
          <w:numId w:val="66"/>
        </w:numPr>
        <w:tabs>
          <w:tab w:val="left" w:pos="3752"/>
        </w:tabs>
        <w:spacing w:after="0" w:line="276" w:lineRule="auto"/>
        <w:contextualSpacing w:val="0"/>
        <w:jc w:val="both"/>
        <w:rPr>
          <w:rFonts w:cs="Arial"/>
          <w:lang w:val="en-AU"/>
        </w:rPr>
      </w:pPr>
      <w:r w:rsidRPr="00BD278C">
        <w:rPr>
          <w:rFonts w:cs="Arial"/>
          <w:color w:val="0F4761" w:themeColor="accent1" w:themeShade="BF"/>
          <w:lang w:val="en-AU"/>
        </w:rPr>
        <w:t>Meetings</w:t>
      </w:r>
      <w:r w:rsidRPr="00BD278C">
        <w:rPr>
          <w:rFonts w:cs="Arial"/>
          <w:lang w:val="en-AU"/>
        </w:rPr>
        <w:t>: ASEAN Women Leaders’ Summit; ASEAN-Australia WPS Dialogues (two sessions); High-Level Dialogue (July 2023), etc.</w:t>
      </w:r>
    </w:p>
    <w:p w14:paraId="3884CF55" w14:textId="77777777" w:rsidR="007079AB" w:rsidRPr="00BD278C" w:rsidRDefault="007079AB" w:rsidP="00BD278C">
      <w:pPr>
        <w:pStyle w:val="ListParagraph"/>
        <w:numPr>
          <w:ilvl w:val="0"/>
          <w:numId w:val="66"/>
        </w:numPr>
        <w:tabs>
          <w:tab w:val="left" w:pos="3752"/>
        </w:tabs>
        <w:spacing w:after="0" w:line="276" w:lineRule="auto"/>
        <w:contextualSpacing w:val="0"/>
        <w:jc w:val="both"/>
        <w:rPr>
          <w:rFonts w:cs="Arial"/>
          <w:lang w:val="en-AU"/>
        </w:rPr>
      </w:pPr>
      <w:r w:rsidRPr="00BD278C">
        <w:rPr>
          <w:rFonts w:cs="Arial"/>
          <w:color w:val="0F4761" w:themeColor="accent1" w:themeShade="BF"/>
          <w:lang w:val="en-AU"/>
        </w:rPr>
        <w:t>Research and training</w:t>
      </w:r>
      <w:r w:rsidRPr="00BD278C">
        <w:rPr>
          <w:rFonts w:cs="Arial"/>
          <w:lang w:val="en-AU"/>
        </w:rPr>
        <w:t>: regional study on WPS; AWPR knowledge exchange (three sessions); WPS training in Timor-Leste; (planned) workshop on WPS and fight against transnational criminality; etc.</w:t>
      </w:r>
    </w:p>
    <w:p w14:paraId="5A12BE1A" w14:textId="77777777" w:rsidR="007079AB" w:rsidRPr="00BD278C" w:rsidRDefault="007079AB" w:rsidP="00BD278C">
      <w:pPr>
        <w:pStyle w:val="ListParagraph"/>
        <w:numPr>
          <w:ilvl w:val="0"/>
          <w:numId w:val="66"/>
        </w:numPr>
        <w:tabs>
          <w:tab w:val="left" w:pos="3752"/>
        </w:tabs>
        <w:spacing w:after="0" w:line="276" w:lineRule="auto"/>
        <w:contextualSpacing w:val="0"/>
        <w:jc w:val="both"/>
        <w:rPr>
          <w:rFonts w:cs="Arial"/>
          <w:lang w:val="en-AU"/>
        </w:rPr>
      </w:pPr>
      <w:r w:rsidRPr="00BD278C">
        <w:rPr>
          <w:rFonts w:cs="Arial"/>
          <w:color w:val="0F4761" w:themeColor="accent1" w:themeShade="BF"/>
          <w:lang w:val="en-AU"/>
        </w:rPr>
        <w:t>Australian representation</w:t>
      </w:r>
      <w:r w:rsidRPr="00BD278C">
        <w:rPr>
          <w:rFonts w:cs="Arial"/>
          <w:lang w:val="en-AU"/>
        </w:rPr>
        <w:t>: Australia joining ASEAN WPS Advisory Group; involvement of Australian Civil Society Coalition on WPS, Department of Defence representative at High-Level Dialogue</w:t>
      </w:r>
    </w:p>
    <w:p w14:paraId="1C13DD90" w14:textId="77777777" w:rsidR="007079AB" w:rsidRPr="00BD278C" w:rsidRDefault="007079AB" w:rsidP="00903D77">
      <w:pPr>
        <w:tabs>
          <w:tab w:val="left" w:pos="3752"/>
        </w:tabs>
        <w:spacing w:after="120" w:line="276" w:lineRule="auto"/>
        <w:jc w:val="both"/>
        <w:rPr>
          <w:rFonts w:cs="Arial"/>
          <w:lang w:val="en-AU"/>
        </w:rPr>
      </w:pPr>
      <w:r w:rsidRPr="00BD278C">
        <w:rPr>
          <w:rFonts w:cs="Arial"/>
          <w:lang w:val="en-AU"/>
        </w:rPr>
        <w:lastRenderedPageBreak/>
        <w:t>Beyond these specifics, APSP systematically ensured a degree of gender balance in all activities (invited speakers, participants, stakeholders in studies, etc.). The program also involved ASEAN and Australian CSOs and AWPR members in activities to the extent possible.</w:t>
      </w:r>
    </w:p>
    <w:p w14:paraId="4127A94A" w14:textId="77777777" w:rsidR="007079AB" w:rsidRPr="00BD278C" w:rsidRDefault="007079AB" w:rsidP="00903D77">
      <w:pPr>
        <w:tabs>
          <w:tab w:val="left" w:pos="3752"/>
        </w:tabs>
        <w:spacing w:after="120" w:line="276" w:lineRule="auto"/>
        <w:jc w:val="both"/>
        <w:rPr>
          <w:rFonts w:cs="Arial"/>
          <w:lang w:val="en-AU"/>
        </w:rPr>
      </w:pPr>
      <w:r w:rsidRPr="00BD278C">
        <w:rPr>
          <w:rFonts w:cs="Arial"/>
          <w:lang w:val="en-AU"/>
        </w:rPr>
        <w:t>TAF’s added value was recognised by DFAT interviewees, one of whom stated: ‘Having a WPS advisor at TAF helps to lighten our [DFAT’s] burden as well. We rely on her a lot because we wouldn't be able to cover all the activities. We rely on her to guide us on strategy we can use to engage ASEAN on WPS. We do rely on her to, in many senses, lead engagement with the various ASEAN ministries.’</w:t>
      </w:r>
    </w:p>
    <w:p w14:paraId="29965CC4" w14:textId="77777777" w:rsidR="007079AB" w:rsidRDefault="007079AB" w:rsidP="00903D77">
      <w:pPr>
        <w:tabs>
          <w:tab w:val="left" w:pos="3752"/>
        </w:tabs>
        <w:spacing w:after="120" w:line="276" w:lineRule="auto"/>
        <w:jc w:val="both"/>
        <w:rPr>
          <w:rFonts w:cs="Arial"/>
          <w:lang w:val="en-AU"/>
        </w:rPr>
      </w:pPr>
      <w:r w:rsidRPr="00BD278C">
        <w:rPr>
          <w:rFonts w:cs="Arial"/>
          <w:lang w:val="en-AU"/>
        </w:rPr>
        <w:t>See also Section 3.7 of the main report: the overview of TAF’s added value in the implementation of APSP fully applies to the WPS component.</w:t>
      </w:r>
    </w:p>
    <w:p w14:paraId="08719FBA" w14:textId="77777777" w:rsidR="007079AB" w:rsidRPr="00BD278C" w:rsidRDefault="007079AB" w:rsidP="00446279">
      <w:pPr>
        <w:pStyle w:val="Heading2"/>
        <w:numPr>
          <w:ilvl w:val="0"/>
          <w:numId w:val="113"/>
        </w:numPr>
      </w:pPr>
      <w:bookmarkStart w:id="31" w:name="_Toc206492281"/>
      <w:r w:rsidRPr="00BD278C">
        <w:t>Reception by ASEAN</w:t>
      </w:r>
      <w:bookmarkEnd w:id="31"/>
    </w:p>
    <w:p w14:paraId="0A0951DB" w14:textId="77777777" w:rsidR="007079AB" w:rsidRPr="00BD278C" w:rsidRDefault="007079AB" w:rsidP="00903D77">
      <w:pPr>
        <w:spacing w:after="120" w:line="276" w:lineRule="auto"/>
        <w:jc w:val="both"/>
        <w:rPr>
          <w:rFonts w:cs="Arial"/>
          <w:lang w:val="en-AU"/>
        </w:rPr>
      </w:pPr>
      <w:r w:rsidRPr="00BD278C">
        <w:rPr>
          <w:rFonts w:cs="Arial"/>
          <w:lang w:val="en-AU"/>
        </w:rPr>
        <w:t>Overall, the WPS component has been mainstreamed with increasing effectiveness in ASEAN’s political security activities. As one DFAT interviewee put it: ‘We've really been able to reposition Australia as a partner to ASEAN on WPS.  When APSP started, Australia was not included in the ASEAN WPS Advisory Group. We worked hard to get there. And we're now a part of that advisory group, and very much seen as a go-to partner on WPS.’</w:t>
      </w:r>
    </w:p>
    <w:p w14:paraId="2295E347" w14:textId="77777777" w:rsidR="007079AB" w:rsidRPr="00BD278C" w:rsidRDefault="007079AB" w:rsidP="00903D77">
      <w:pPr>
        <w:spacing w:after="120" w:line="276" w:lineRule="auto"/>
        <w:jc w:val="both"/>
        <w:rPr>
          <w:rFonts w:cs="Arial"/>
          <w:lang w:val="en-AU"/>
        </w:rPr>
      </w:pPr>
      <w:r w:rsidRPr="00BD278C">
        <w:rPr>
          <w:rFonts w:cs="Arial"/>
          <w:lang w:val="en-AU"/>
        </w:rPr>
        <w:t>Several ASEAN stakeholders interviewed by the evaluators expressed positive views about APSP’s support for WPS:</w:t>
      </w:r>
    </w:p>
    <w:p w14:paraId="6B3CCE6B" w14:textId="77777777" w:rsidR="007079AB" w:rsidRPr="00BD278C" w:rsidRDefault="007079AB" w:rsidP="00BD278C">
      <w:pPr>
        <w:pStyle w:val="ListParagraph"/>
        <w:numPr>
          <w:ilvl w:val="0"/>
          <w:numId w:val="65"/>
        </w:numPr>
        <w:spacing w:after="0" w:line="276" w:lineRule="auto"/>
        <w:ind w:left="709"/>
        <w:contextualSpacing w:val="0"/>
        <w:jc w:val="both"/>
        <w:rPr>
          <w:rFonts w:cs="Arial"/>
          <w:lang w:val="en-AU"/>
        </w:rPr>
      </w:pPr>
      <w:r w:rsidRPr="00BD278C">
        <w:rPr>
          <w:rFonts w:cs="Arial"/>
          <w:lang w:val="en-AU"/>
        </w:rPr>
        <w:t>‘APSP’s work on promoting WPS, the value they bring in is linking WPS with the political security community. Through their support, there are platforms for dialogue between member states and sectoral bodies that don't usually talk to one another. They've been quite helpful at the strategic level.’</w:t>
      </w:r>
    </w:p>
    <w:p w14:paraId="16C7BE7C" w14:textId="77777777" w:rsidR="007079AB" w:rsidRPr="00BD278C" w:rsidRDefault="007079AB" w:rsidP="00BD278C">
      <w:pPr>
        <w:pStyle w:val="ListParagraph"/>
        <w:numPr>
          <w:ilvl w:val="0"/>
          <w:numId w:val="65"/>
        </w:numPr>
        <w:spacing w:after="0" w:line="276" w:lineRule="auto"/>
        <w:ind w:left="709"/>
        <w:contextualSpacing w:val="0"/>
        <w:jc w:val="both"/>
        <w:rPr>
          <w:rFonts w:cs="Arial"/>
          <w:lang w:val="en-AU"/>
        </w:rPr>
      </w:pPr>
      <w:r w:rsidRPr="00BD278C">
        <w:rPr>
          <w:rFonts w:cs="Arial"/>
          <w:lang w:val="en-AU"/>
        </w:rPr>
        <w:t>‘In 2023 there was the ASEAN WPS high-level [dialogue]. There was a lot of interest from the AWPR because they wanted to know what their peers are doing, learn new things. The [Indonesian] CSO coalition got buy-in from the government of Indonesia to monitor the implementation of the national action plan on WPS.’</w:t>
      </w:r>
    </w:p>
    <w:p w14:paraId="07E345D6" w14:textId="77777777" w:rsidR="007079AB" w:rsidRPr="00BD278C" w:rsidRDefault="007079AB" w:rsidP="00BD278C">
      <w:pPr>
        <w:pStyle w:val="ListParagraph"/>
        <w:numPr>
          <w:ilvl w:val="0"/>
          <w:numId w:val="65"/>
        </w:numPr>
        <w:spacing w:after="0" w:line="276" w:lineRule="auto"/>
        <w:ind w:left="709"/>
        <w:contextualSpacing w:val="0"/>
        <w:jc w:val="both"/>
        <w:rPr>
          <w:rFonts w:cs="Arial"/>
          <w:lang w:val="en-AU"/>
        </w:rPr>
      </w:pPr>
      <w:r w:rsidRPr="00BD278C">
        <w:rPr>
          <w:rFonts w:cs="Arial"/>
          <w:lang w:val="en-AU"/>
        </w:rPr>
        <w:t>‘The WPS agenda has been sort of isolated in ministries of women's affairs in the region, and it very rarely penetrated discussions with security agencies or in the political security sphere. So, we [ASEC] were able to find some openings and some opportunities, to present issues. We were able to find ways of inserting issues on gender and WPS.’</w:t>
      </w:r>
    </w:p>
    <w:p w14:paraId="34FACB5B" w14:textId="77777777" w:rsidR="007079AB" w:rsidRPr="00BD278C" w:rsidRDefault="007079AB" w:rsidP="00BD278C">
      <w:pPr>
        <w:pStyle w:val="ListParagraph"/>
        <w:numPr>
          <w:ilvl w:val="0"/>
          <w:numId w:val="65"/>
        </w:numPr>
        <w:spacing w:after="120" w:line="276" w:lineRule="auto"/>
        <w:ind w:left="709"/>
        <w:contextualSpacing w:val="0"/>
        <w:jc w:val="both"/>
        <w:rPr>
          <w:rFonts w:cs="Arial"/>
          <w:lang w:val="en-AU"/>
        </w:rPr>
      </w:pPr>
      <w:r w:rsidRPr="00BD278C">
        <w:rPr>
          <w:rFonts w:cs="Arial"/>
          <w:lang w:val="en-AU"/>
        </w:rPr>
        <w:t xml:space="preserve">‘Trust in APSP as a partner enables greater technical influence. APSP was able to be a </w:t>
      </w:r>
      <w:proofErr w:type="gramStart"/>
      <w:r w:rsidRPr="00BD278C">
        <w:rPr>
          <w:rFonts w:cs="Arial"/>
          <w:lang w:val="en-AU"/>
        </w:rPr>
        <w:t>pen-holder</w:t>
      </w:r>
      <w:proofErr w:type="gramEnd"/>
      <w:r w:rsidRPr="00BD278C">
        <w:rPr>
          <w:rFonts w:cs="Arial"/>
          <w:lang w:val="en-AU"/>
        </w:rPr>
        <w:t xml:space="preserve"> on WPS elements of the ASEAN Women Leader's Summit – partly thanks to the Lao Women's Union's trust in TAF and DFAT.’</w:t>
      </w:r>
    </w:p>
    <w:p w14:paraId="145826C5" w14:textId="77777777" w:rsidR="007079AB" w:rsidRPr="00BD278C" w:rsidRDefault="007079AB" w:rsidP="00903D77">
      <w:pPr>
        <w:spacing w:after="120" w:line="276" w:lineRule="auto"/>
        <w:jc w:val="both"/>
        <w:rPr>
          <w:rFonts w:cs="Arial"/>
          <w:lang w:val="en-AU"/>
        </w:rPr>
      </w:pPr>
      <w:r w:rsidRPr="00BD278C">
        <w:rPr>
          <w:rFonts w:cs="Arial"/>
          <w:lang w:val="en-AU"/>
        </w:rPr>
        <w:t>Beyond this, it is important to identify changes in the way ASEAN approaches the WPS agenda, which may have occurred over the APSP implementation period. For an institutional, high-level and synthetic overview, we looked at the successive ASEAN Chairman’s Statements, which are published after ASEAN summit meetings (see table appended to this case study). These statements differ from press communiques in that they are effectively short activity reports, which summarise ASEAN’s policies and positions as they have evolved in the previous half-year or year (ASEAN summits normally take place every six months but most Chairman’s Statements cover two sessions, i.e. a year).</w:t>
      </w:r>
    </w:p>
    <w:p w14:paraId="14D41CB3" w14:textId="77777777" w:rsidR="007079AB" w:rsidRPr="00BD278C" w:rsidRDefault="007079AB" w:rsidP="00903D77">
      <w:pPr>
        <w:spacing w:after="120" w:line="276" w:lineRule="auto"/>
        <w:jc w:val="both"/>
        <w:rPr>
          <w:rFonts w:cs="Arial"/>
          <w:lang w:val="en-AU"/>
        </w:rPr>
      </w:pPr>
      <w:r w:rsidRPr="00BD278C">
        <w:rPr>
          <w:rFonts w:cs="Arial"/>
          <w:lang w:val="en-AU"/>
        </w:rPr>
        <w:t>We checked the statements for three elements:</w:t>
      </w:r>
    </w:p>
    <w:p w14:paraId="285DBD4B" w14:textId="77777777" w:rsidR="007079AB" w:rsidRPr="00BD278C" w:rsidRDefault="007079AB" w:rsidP="00BD278C">
      <w:pPr>
        <w:pStyle w:val="ListParagraph"/>
        <w:numPr>
          <w:ilvl w:val="0"/>
          <w:numId w:val="64"/>
        </w:numPr>
        <w:spacing w:after="0" w:line="276" w:lineRule="auto"/>
        <w:contextualSpacing w:val="0"/>
        <w:jc w:val="both"/>
        <w:rPr>
          <w:rFonts w:cs="Arial"/>
          <w:lang w:val="en-AU"/>
        </w:rPr>
      </w:pPr>
      <w:r w:rsidRPr="00BD278C">
        <w:rPr>
          <w:rFonts w:cs="Arial"/>
          <w:lang w:val="en-AU"/>
        </w:rPr>
        <w:t>Number of references to women in general.</w:t>
      </w:r>
    </w:p>
    <w:p w14:paraId="2F33BDEA" w14:textId="77777777" w:rsidR="007079AB" w:rsidRPr="00BD278C" w:rsidRDefault="007079AB" w:rsidP="00BD278C">
      <w:pPr>
        <w:pStyle w:val="ListParagraph"/>
        <w:numPr>
          <w:ilvl w:val="0"/>
          <w:numId w:val="64"/>
        </w:numPr>
        <w:spacing w:after="0" w:line="276" w:lineRule="auto"/>
        <w:contextualSpacing w:val="0"/>
        <w:jc w:val="both"/>
        <w:rPr>
          <w:rFonts w:cs="Arial"/>
          <w:lang w:val="en-AU"/>
        </w:rPr>
      </w:pPr>
      <w:r w:rsidRPr="00BD278C">
        <w:rPr>
          <w:rFonts w:cs="Arial"/>
          <w:lang w:val="en-AU"/>
        </w:rPr>
        <w:lastRenderedPageBreak/>
        <w:t>Number of references to WPS and related issues such as security, conflict mediation, etc.</w:t>
      </w:r>
    </w:p>
    <w:p w14:paraId="6F098169" w14:textId="77777777" w:rsidR="007079AB" w:rsidRPr="00BD278C" w:rsidRDefault="007079AB" w:rsidP="00903D77">
      <w:pPr>
        <w:pStyle w:val="ListParagraph"/>
        <w:numPr>
          <w:ilvl w:val="0"/>
          <w:numId w:val="64"/>
        </w:numPr>
        <w:spacing w:after="120" w:line="276" w:lineRule="auto"/>
        <w:contextualSpacing w:val="0"/>
        <w:jc w:val="both"/>
        <w:rPr>
          <w:rFonts w:cs="Arial"/>
          <w:lang w:val="en-AU"/>
        </w:rPr>
      </w:pPr>
      <w:r w:rsidRPr="00BD278C">
        <w:rPr>
          <w:rFonts w:cs="Arial"/>
          <w:lang w:val="en-AU"/>
        </w:rPr>
        <w:t>Issues other than WPS associated to women.</w:t>
      </w:r>
    </w:p>
    <w:p w14:paraId="5AB69D51" w14:textId="77777777" w:rsidR="007079AB" w:rsidRPr="00BD278C" w:rsidRDefault="007079AB" w:rsidP="00903D77">
      <w:pPr>
        <w:spacing w:after="120" w:line="276" w:lineRule="auto"/>
        <w:jc w:val="both"/>
        <w:rPr>
          <w:rFonts w:cs="Arial"/>
          <w:lang w:val="en-AU"/>
        </w:rPr>
      </w:pPr>
      <w:r w:rsidRPr="00BD278C">
        <w:rPr>
          <w:rFonts w:cs="Arial"/>
          <w:lang w:val="en-AU"/>
        </w:rPr>
        <w:t>We went back to 2018 (Chairman’s Statement following the 32</w:t>
      </w:r>
      <w:r w:rsidRPr="00BD278C">
        <w:rPr>
          <w:rFonts w:cs="Arial"/>
          <w:vertAlign w:val="superscript"/>
          <w:lang w:val="en-AU"/>
        </w:rPr>
        <w:t>nd</w:t>
      </w:r>
      <w:r w:rsidRPr="00BD278C">
        <w:rPr>
          <w:rFonts w:cs="Arial"/>
          <w:lang w:val="en-AU"/>
        </w:rPr>
        <w:t xml:space="preserve"> ASEAN Summit), i.e. the year before APSP was designed (APSP’s implementation began in 2020 but the grant contract was negotiated and signed between DFAT and TAF in 2019). This approach has obvious limitations:</w:t>
      </w:r>
    </w:p>
    <w:p w14:paraId="2ABE1627" w14:textId="77777777" w:rsidR="007079AB" w:rsidRPr="00BD278C" w:rsidRDefault="007079AB" w:rsidP="00BD278C">
      <w:pPr>
        <w:pStyle w:val="ListParagraph"/>
        <w:numPr>
          <w:ilvl w:val="0"/>
          <w:numId w:val="70"/>
        </w:numPr>
        <w:spacing w:after="0" w:line="276" w:lineRule="auto"/>
        <w:contextualSpacing w:val="0"/>
        <w:jc w:val="both"/>
        <w:rPr>
          <w:rFonts w:cs="Arial"/>
          <w:lang w:val="en-AU"/>
        </w:rPr>
      </w:pPr>
      <w:r w:rsidRPr="00BD278C">
        <w:rPr>
          <w:rFonts w:cs="Arial"/>
          <w:lang w:val="en-AU"/>
        </w:rPr>
        <w:t>Counting occurrences of particular words in statements is a superficial approach.</w:t>
      </w:r>
    </w:p>
    <w:p w14:paraId="596494F5" w14:textId="77777777" w:rsidR="007079AB" w:rsidRDefault="007079AB" w:rsidP="00903D77">
      <w:pPr>
        <w:pStyle w:val="ListParagraph"/>
        <w:numPr>
          <w:ilvl w:val="0"/>
          <w:numId w:val="70"/>
        </w:numPr>
        <w:spacing w:after="120" w:line="276" w:lineRule="auto"/>
        <w:contextualSpacing w:val="0"/>
        <w:jc w:val="both"/>
        <w:rPr>
          <w:rFonts w:cs="Arial"/>
          <w:lang w:val="en-AU"/>
        </w:rPr>
      </w:pPr>
      <w:r w:rsidRPr="00BD278C">
        <w:rPr>
          <w:rFonts w:cs="Arial"/>
          <w:lang w:val="en-AU"/>
        </w:rPr>
        <w:t>Much of the text is formulaic, reflecting aspirations more than actions.</w:t>
      </w:r>
    </w:p>
    <w:p w14:paraId="1D6E0247" w14:textId="70E46EEA" w:rsidR="00446C37" w:rsidRPr="0035461D" w:rsidRDefault="0035461D" w:rsidP="0035461D">
      <w:pPr>
        <w:spacing w:after="120" w:line="276" w:lineRule="auto"/>
        <w:jc w:val="both"/>
        <w:rPr>
          <w:rFonts w:cs="Arial"/>
          <w:lang w:val="en-AU"/>
        </w:rPr>
      </w:pPr>
      <w:r>
        <w:rPr>
          <w:rFonts w:cs="Arial"/>
          <w:noProof/>
          <w:lang w:val="en-AU"/>
        </w:rPr>
        <w:drawing>
          <wp:inline distT="0" distB="0" distL="0" distR="0" wp14:anchorId="067FF981" wp14:editId="099CA816">
            <wp:extent cx="5491995" cy="3205973"/>
            <wp:effectExtent l="0" t="0" r="0" b="0"/>
            <wp:docPr id="1390794469" name="Picture 1" descr="Chart 1: Number of occurrences of the word ‘women’ in ASEAN Chairman’s Statements following summits. 2018: 4; 2019: 17; 2020; 29; 2021: 5; 2022: 22; 2023: 24; 2024: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94469" name="Picture 1" descr="Chart 1: Number of occurrences of the word ‘women’ in ASEAN Chairman’s Statements following summits. 2018: 4; 2019: 17; 2020; 29; 2021: 5; 2022: 22; 2023: 24; 2024: 21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1995" cy="3205973"/>
                    </a:xfrm>
                    <a:prstGeom prst="rect">
                      <a:avLst/>
                    </a:prstGeom>
                  </pic:spPr>
                </pic:pic>
              </a:graphicData>
            </a:graphic>
          </wp:inline>
        </w:drawing>
      </w:r>
    </w:p>
    <w:p w14:paraId="3606E5EA" w14:textId="77777777" w:rsidR="007079AB" w:rsidRPr="00BD278C" w:rsidRDefault="007079AB" w:rsidP="00903D77">
      <w:pPr>
        <w:spacing w:after="120" w:line="276" w:lineRule="auto"/>
        <w:jc w:val="center"/>
        <w:rPr>
          <w:rFonts w:cs="Arial"/>
          <w:i/>
          <w:iCs/>
          <w:sz w:val="20"/>
          <w:szCs w:val="20"/>
          <w:lang w:val="en-AU"/>
        </w:rPr>
      </w:pPr>
      <w:r w:rsidRPr="00BD278C">
        <w:rPr>
          <w:rFonts w:cs="Arial"/>
          <w:i/>
          <w:iCs/>
          <w:sz w:val="20"/>
          <w:szCs w:val="20"/>
          <w:lang w:val="en-AU"/>
        </w:rPr>
        <w:t>Chart 1: Number of occurrences of the word ‘women’ in ASEAN Chairman’s Statements following summits since 2018. Source: www.asean.org</w:t>
      </w:r>
    </w:p>
    <w:p w14:paraId="76C93120" w14:textId="77777777" w:rsidR="007079AB" w:rsidRPr="00BD278C" w:rsidRDefault="007079AB" w:rsidP="00903D77">
      <w:pPr>
        <w:spacing w:after="120" w:line="276" w:lineRule="auto"/>
        <w:jc w:val="both"/>
        <w:rPr>
          <w:rFonts w:cs="Arial"/>
          <w:lang w:val="en-AU"/>
        </w:rPr>
      </w:pPr>
      <w:r w:rsidRPr="00BD278C">
        <w:rPr>
          <w:rFonts w:cs="Arial"/>
          <w:lang w:val="en-AU"/>
        </w:rPr>
        <w:t>The following trends appear:</w:t>
      </w:r>
    </w:p>
    <w:p w14:paraId="1F6E7DEE" w14:textId="77777777" w:rsidR="007079AB" w:rsidRPr="00BD278C" w:rsidRDefault="007079AB" w:rsidP="00BD278C">
      <w:pPr>
        <w:pStyle w:val="ListParagraph"/>
        <w:numPr>
          <w:ilvl w:val="0"/>
          <w:numId w:val="71"/>
        </w:numPr>
        <w:spacing w:after="0" w:line="276" w:lineRule="auto"/>
        <w:contextualSpacing w:val="0"/>
        <w:jc w:val="both"/>
        <w:rPr>
          <w:rFonts w:cs="Arial"/>
          <w:lang w:val="en-AU"/>
        </w:rPr>
      </w:pPr>
      <w:r w:rsidRPr="00BD278C">
        <w:rPr>
          <w:rFonts w:cs="Arial"/>
          <w:lang w:val="en-AU"/>
        </w:rPr>
        <w:t xml:space="preserve">The number of references to women in Chairman’s Statements increased substantially in 2020 and may be stabilising since – with a dip in 2021, when the summits were short and held online. </w:t>
      </w:r>
    </w:p>
    <w:p w14:paraId="6CE1DD1D" w14:textId="77777777" w:rsidR="007079AB" w:rsidRPr="00BD278C" w:rsidRDefault="007079AB" w:rsidP="00BD278C">
      <w:pPr>
        <w:pStyle w:val="ListParagraph"/>
        <w:numPr>
          <w:ilvl w:val="0"/>
          <w:numId w:val="71"/>
        </w:numPr>
        <w:spacing w:after="0" w:line="276" w:lineRule="auto"/>
        <w:contextualSpacing w:val="0"/>
        <w:jc w:val="both"/>
        <w:rPr>
          <w:rFonts w:cs="Arial"/>
          <w:lang w:val="en-AU"/>
        </w:rPr>
      </w:pPr>
      <w:r w:rsidRPr="00BD278C">
        <w:rPr>
          <w:rFonts w:cs="Arial"/>
          <w:lang w:val="en-AU"/>
        </w:rPr>
        <w:t>The context of the references to women reflects a conservative view of their position in society. Most references to women concern them as victims (of trafficking, gender-based violence, COVID, Gaza), in need of protection/relief, as vulnerable (like children or the elderly), or as carers.</w:t>
      </w:r>
    </w:p>
    <w:p w14:paraId="2FEC9095" w14:textId="77777777" w:rsidR="007079AB" w:rsidRPr="00BD278C" w:rsidRDefault="007079AB" w:rsidP="00BD278C">
      <w:pPr>
        <w:pStyle w:val="ListParagraph"/>
        <w:numPr>
          <w:ilvl w:val="0"/>
          <w:numId w:val="71"/>
        </w:numPr>
        <w:spacing w:after="0" w:line="276" w:lineRule="auto"/>
        <w:contextualSpacing w:val="0"/>
        <w:jc w:val="both"/>
        <w:rPr>
          <w:rFonts w:cs="Arial"/>
          <w:lang w:val="en-AU"/>
        </w:rPr>
      </w:pPr>
      <w:r w:rsidRPr="00BD278C">
        <w:rPr>
          <w:rFonts w:cs="Arial"/>
          <w:lang w:val="en-AU"/>
        </w:rPr>
        <w:t>Some references give a more pro-active view: women as leaders, rights-holders, women involved in technology, entrepreneurship, farming, migration, etc.</w:t>
      </w:r>
    </w:p>
    <w:p w14:paraId="21735F1A" w14:textId="77777777" w:rsidR="007079AB" w:rsidRPr="00BD278C" w:rsidRDefault="007079AB" w:rsidP="00BD278C">
      <w:pPr>
        <w:pStyle w:val="ListParagraph"/>
        <w:numPr>
          <w:ilvl w:val="0"/>
          <w:numId w:val="71"/>
        </w:numPr>
        <w:spacing w:after="0" w:line="276" w:lineRule="auto"/>
        <w:contextualSpacing w:val="0"/>
        <w:jc w:val="both"/>
        <w:rPr>
          <w:rFonts w:cs="Arial"/>
          <w:lang w:val="en-AU"/>
        </w:rPr>
      </w:pPr>
      <w:r w:rsidRPr="00BD278C">
        <w:rPr>
          <w:rFonts w:cs="Arial"/>
          <w:lang w:val="en-AU"/>
        </w:rPr>
        <w:t>References to WPS are brief in 2019 despite the 2017 adoption of a Joint Statement on Promoting Women, Peace, and Security in ASEAN. Substantially more fleshed out references appear in 2022 and remain prominent in 2023 and 2024.</w:t>
      </w:r>
    </w:p>
    <w:p w14:paraId="62141A0C" w14:textId="77777777" w:rsidR="007079AB" w:rsidRPr="00BD278C" w:rsidRDefault="007079AB" w:rsidP="00BD278C">
      <w:pPr>
        <w:pStyle w:val="ListParagraph"/>
        <w:numPr>
          <w:ilvl w:val="0"/>
          <w:numId w:val="71"/>
        </w:numPr>
        <w:spacing w:after="0" w:line="276" w:lineRule="auto"/>
        <w:contextualSpacing w:val="0"/>
        <w:jc w:val="both"/>
        <w:rPr>
          <w:rFonts w:cs="Arial"/>
          <w:lang w:val="en-AU"/>
        </w:rPr>
      </w:pPr>
      <w:r w:rsidRPr="00BD278C">
        <w:rPr>
          <w:rFonts w:cs="Arial"/>
          <w:lang w:val="en-AU"/>
        </w:rPr>
        <w:t xml:space="preserve">In relation to WPS, the 2022 and subsequent statements refer to the ASEAN </w:t>
      </w:r>
      <w:proofErr w:type="spellStart"/>
      <w:r w:rsidRPr="00BD278C">
        <w:rPr>
          <w:rFonts w:cs="Arial"/>
          <w:lang w:val="en-AU"/>
        </w:rPr>
        <w:t>Defense</w:t>
      </w:r>
      <w:proofErr w:type="spellEnd"/>
      <w:r w:rsidRPr="00BD278C">
        <w:rPr>
          <w:rFonts w:cs="Arial"/>
          <w:lang w:val="en-AU"/>
        </w:rPr>
        <w:t xml:space="preserve"> Ministers’ Meeting, the Southeast Asian Women’s Peace and Mediation Network, the ASEAN Women’s Peace Registry, and the WPS Regional Plan of Action.</w:t>
      </w:r>
    </w:p>
    <w:p w14:paraId="383821A4" w14:textId="77777777" w:rsidR="007079AB" w:rsidRPr="00BD278C" w:rsidRDefault="007079AB" w:rsidP="00BD278C">
      <w:pPr>
        <w:pStyle w:val="ListParagraph"/>
        <w:numPr>
          <w:ilvl w:val="0"/>
          <w:numId w:val="71"/>
        </w:numPr>
        <w:spacing w:after="0" w:line="276" w:lineRule="auto"/>
        <w:contextualSpacing w:val="0"/>
        <w:jc w:val="both"/>
        <w:rPr>
          <w:rFonts w:cs="Arial"/>
          <w:lang w:val="en-AU"/>
        </w:rPr>
      </w:pPr>
      <w:r w:rsidRPr="00BD278C">
        <w:rPr>
          <w:rFonts w:cs="Arial"/>
          <w:lang w:val="en-AU"/>
        </w:rPr>
        <w:t>The statements clearly acknowledge the cross-sectoral nature of the WPS agenda.</w:t>
      </w:r>
    </w:p>
    <w:p w14:paraId="5C6F5DE7" w14:textId="77777777" w:rsidR="007079AB" w:rsidRPr="00BD278C" w:rsidRDefault="007079AB" w:rsidP="00903D77">
      <w:pPr>
        <w:pStyle w:val="ListParagraph"/>
        <w:numPr>
          <w:ilvl w:val="0"/>
          <w:numId w:val="71"/>
        </w:numPr>
        <w:spacing w:after="120" w:line="276" w:lineRule="auto"/>
        <w:contextualSpacing w:val="0"/>
        <w:jc w:val="both"/>
        <w:rPr>
          <w:rFonts w:cs="Arial"/>
          <w:lang w:val="en-AU"/>
        </w:rPr>
      </w:pPr>
      <w:r w:rsidRPr="00BD278C">
        <w:rPr>
          <w:rFonts w:cs="Arial"/>
          <w:lang w:val="en-AU"/>
        </w:rPr>
        <w:lastRenderedPageBreak/>
        <w:t>Nevertheless, references to WPS remain aspirational: supporting plans and networks, but they do not yet reflect substantive action.</w:t>
      </w:r>
    </w:p>
    <w:p w14:paraId="37725224" w14:textId="77777777" w:rsidR="007079AB" w:rsidRPr="00BD278C" w:rsidRDefault="007079AB" w:rsidP="00446279">
      <w:pPr>
        <w:pStyle w:val="Heading2"/>
        <w:numPr>
          <w:ilvl w:val="0"/>
          <w:numId w:val="113"/>
        </w:numPr>
      </w:pPr>
      <w:bookmarkStart w:id="32" w:name="_Toc206492282"/>
      <w:r w:rsidRPr="00BD278C">
        <w:t>Conclusion: designing the next APSP phase</w:t>
      </w:r>
      <w:bookmarkEnd w:id="32"/>
    </w:p>
    <w:p w14:paraId="37C60625" w14:textId="77777777" w:rsidR="007079AB" w:rsidRPr="00BD278C" w:rsidRDefault="007079AB" w:rsidP="00903D77">
      <w:pPr>
        <w:spacing w:after="120" w:line="276" w:lineRule="auto"/>
        <w:rPr>
          <w:rFonts w:cs="Arial"/>
          <w:b/>
          <w:bCs/>
          <w:color w:val="0F4761" w:themeColor="accent1" w:themeShade="BF"/>
          <w:lang w:val="en-AU"/>
        </w:rPr>
      </w:pPr>
      <w:r w:rsidRPr="00BD278C">
        <w:rPr>
          <w:rFonts w:cs="Arial"/>
          <w:b/>
          <w:bCs/>
          <w:color w:val="0F4761" w:themeColor="accent1" w:themeShade="BF"/>
          <w:lang w:val="en-AU"/>
        </w:rPr>
        <w:t>WPS</w:t>
      </w:r>
    </w:p>
    <w:p w14:paraId="42E695D4" w14:textId="77777777" w:rsidR="007079AB" w:rsidRPr="00BD278C" w:rsidRDefault="007079AB" w:rsidP="00903D77">
      <w:pPr>
        <w:spacing w:after="120" w:line="276" w:lineRule="auto"/>
        <w:jc w:val="both"/>
        <w:rPr>
          <w:rFonts w:cs="Arial"/>
          <w:color w:val="E97132" w:themeColor="accent2"/>
          <w:lang w:val="en-AU"/>
        </w:rPr>
      </w:pPr>
      <w:r w:rsidRPr="00BD278C">
        <w:rPr>
          <w:rFonts w:cs="Arial"/>
          <w:lang w:val="en-AU"/>
        </w:rPr>
        <w:t xml:space="preserve">Two elements stand out from the review of WPS in APSP, which are relevant to the next phase of the program: </w:t>
      </w:r>
      <w:r w:rsidRPr="00BD278C">
        <w:rPr>
          <w:rFonts w:cs="Arial"/>
          <w:color w:val="0F4761" w:themeColor="accent1" w:themeShade="BF"/>
          <w:lang w:val="en-AU"/>
        </w:rPr>
        <w:t xml:space="preserve">the importance of aligning expectations and the need to identify clear outcomes. </w:t>
      </w:r>
    </w:p>
    <w:p w14:paraId="230EBE6F" w14:textId="77777777" w:rsidR="007079AB" w:rsidRPr="00BD278C" w:rsidRDefault="007079AB" w:rsidP="00BD278C">
      <w:pPr>
        <w:pStyle w:val="ListParagraph"/>
        <w:numPr>
          <w:ilvl w:val="0"/>
          <w:numId w:val="63"/>
        </w:numPr>
        <w:spacing w:after="0" w:line="276" w:lineRule="auto"/>
        <w:contextualSpacing w:val="0"/>
        <w:jc w:val="both"/>
        <w:rPr>
          <w:rFonts w:cs="Arial"/>
          <w:b/>
          <w:bCs/>
          <w:lang w:val="en-AU"/>
        </w:rPr>
      </w:pPr>
      <w:r w:rsidRPr="00BD278C">
        <w:rPr>
          <w:rFonts w:cs="Arial"/>
          <w:color w:val="0F4761" w:themeColor="accent1" w:themeShade="BF"/>
          <w:lang w:val="en-AU"/>
        </w:rPr>
        <w:t xml:space="preserve">Expectations: </w:t>
      </w:r>
      <w:r w:rsidRPr="00BD278C">
        <w:rPr>
          <w:rFonts w:cs="Arial"/>
          <w:lang w:val="en-AU"/>
        </w:rPr>
        <w:t>The 2022 APSP Lessons Learned report stated: ‘Another issue relating to varying expectations is that when numerous stakeholders are involved in an activity, it needs to be recognised that each may have different expectations about what ‘success’ looks like. For example, for the WPS Dialogue, the DFAT ASEAN stakeholders felt that building relationships was a key desired outcome, whereas the DFAT Gender Equality Branch had very high expectations of quality and technical excellence. Clearly both points of view have merit but in some cases are misaligned.’</w:t>
      </w:r>
    </w:p>
    <w:p w14:paraId="07AC68B1" w14:textId="77777777" w:rsidR="007079AB" w:rsidRPr="00BD278C" w:rsidRDefault="007079AB" w:rsidP="00903D77">
      <w:pPr>
        <w:pStyle w:val="ListParagraph"/>
        <w:numPr>
          <w:ilvl w:val="0"/>
          <w:numId w:val="63"/>
        </w:numPr>
        <w:spacing w:after="120" w:line="276" w:lineRule="auto"/>
        <w:contextualSpacing w:val="0"/>
        <w:jc w:val="both"/>
        <w:rPr>
          <w:rFonts w:cs="Arial"/>
          <w:b/>
          <w:bCs/>
          <w:lang w:val="en-AU"/>
        </w:rPr>
      </w:pPr>
      <w:r w:rsidRPr="00BD278C">
        <w:rPr>
          <w:rFonts w:cs="Arial"/>
          <w:color w:val="0F4761" w:themeColor="accent1" w:themeShade="BF"/>
          <w:lang w:val="en-AU"/>
        </w:rPr>
        <w:t>Clarity of outcomes</w:t>
      </w:r>
      <w:r w:rsidRPr="00BD278C">
        <w:rPr>
          <w:rFonts w:cs="Arial"/>
          <w:lang w:val="en-AU"/>
        </w:rPr>
        <w:t>: APSP’s 2023 GEDSI Strategy noted that while ‘WPS is the policy area of APSP that is most progressed in term of GEDSI (…) the WPS agenda in ASEAN has been driven primarily by ASEAN organs whose mandates are on women and gender issues (…) The implementation and mechanisms to bring and integrate the WPS agenda into that of political security and economic integration at ASEAN level remain unclear or ad-hoc, despite some encouraging developments.</w:t>
      </w:r>
    </w:p>
    <w:p w14:paraId="7C3902E6" w14:textId="77777777" w:rsidR="007079AB" w:rsidRPr="00BD278C" w:rsidRDefault="007079AB" w:rsidP="00903D77">
      <w:pPr>
        <w:spacing w:after="120" w:line="276" w:lineRule="auto"/>
        <w:jc w:val="both"/>
        <w:rPr>
          <w:rFonts w:cs="Arial"/>
          <w:lang w:val="en-AU"/>
        </w:rPr>
      </w:pPr>
      <w:r w:rsidRPr="00BD278C">
        <w:rPr>
          <w:rFonts w:cs="Arial"/>
          <w:lang w:val="en-AU"/>
        </w:rPr>
        <w:t xml:space="preserve">Reinforcing both above aspects, the Regional Study on WPS also observed that most ASEAN Member States have no ‘formal mechanism to mainstream gender in peace and security </w:t>
      </w:r>
      <w:proofErr w:type="gramStart"/>
      <w:r w:rsidRPr="00BD278C">
        <w:rPr>
          <w:rFonts w:cs="Arial"/>
          <w:lang w:val="en-AU"/>
        </w:rPr>
        <w:t>deliberations’</w:t>
      </w:r>
      <w:proofErr w:type="gramEnd"/>
      <w:r w:rsidRPr="00BD278C">
        <w:rPr>
          <w:rFonts w:cs="Arial"/>
          <w:lang w:val="en-AU"/>
        </w:rPr>
        <w:t>. The Study concluded that this was due ‘</w:t>
      </w:r>
      <w:r w:rsidRPr="00BD278C">
        <w:rPr>
          <w:rFonts w:cs="Arial"/>
          <w:color w:val="0F4761" w:themeColor="accent1" w:themeShade="BF"/>
          <w:lang w:val="en-AU"/>
        </w:rPr>
        <w:t>to the limited and diverse understanding on the WPS agenda as well as capacity to operationalise it’</w:t>
      </w:r>
      <w:r w:rsidRPr="00BD278C">
        <w:rPr>
          <w:rFonts w:cs="Arial"/>
          <w:b/>
          <w:bCs/>
          <w:lang w:val="en-AU"/>
        </w:rPr>
        <w:t xml:space="preserve">. </w:t>
      </w:r>
    </w:p>
    <w:p w14:paraId="32311F07" w14:textId="77777777" w:rsidR="007079AB" w:rsidRPr="00BD278C" w:rsidRDefault="007079AB" w:rsidP="00903D77">
      <w:pPr>
        <w:tabs>
          <w:tab w:val="left" w:pos="3752"/>
        </w:tabs>
        <w:spacing w:after="120" w:line="276" w:lineRule="auto"/>
        <w:jc w:val="both"/>
        <w:rPr>
          <w:rFonts w:cs="Arial"/>
          <w:lang w:val="en-AU"/>
        </w:rPr>
      </w:pPr>
      <w:r w:rsidRPr="00BD278C">
        <w:rPr>
          <w:rFonts w:cs="Arial"/>
          <w:lang w:val="en-AU"/>
        </w:rPr>
        <w:t xml:space="preserve">It will be important in the next phase of APSP to </w:t>
      </w:r>
      <w:r w:rsidRPr="00BD278C">
        <w:rPr>
          <w:rFonts w:cs="Arial"/>
          <w:color w:val="0F4761" w:themeColor="accent1" w:themeShade="BF"/>
          <w:lang w:val="en-AU"/>
        </w:rPr>
        <w:t>ensure that expectations regarding the WPS component are aligned</w:t>
      </w:r>
      <w:r w:rsidRPr="00BD278C">
        <w:rPr>
          <w:rFonts w:cs="Arial"/>
          <w:color w:val="E97132" w:themeColor="accent2"/>
          <w:lang w:val="en-AU"/>
        </w:rPr>
        <w:t xml:space="preserve"> </w:t>
      </w:r>
      <w:r w:rsidRPr="00BD278C">
        <w:rPr>
          <w:rFonts w:cs="Arial"/>
          <w:lang w:val="en-AU"/>
        </w:rPr>
        <w:t>among Australian and ASEAN stakeholders – this should be easier in 2025 than in it was in 2019-20 because the first phase of the program has laid the groundwork for mainstreaming WPS into the political security field. Two broad outcomes could be pursued by the next program:</w:t>
      </w:r>
    </w:p>
    <w:p w14:paraId="2180118F" w14:textId="77777777" w:rsidR="007079AB" w:rsidRPr="00BD278C" w:rsidRDefault="007079AB" w:rsidP="00BD278C">
      <w:pPr>
        <w:pStyle w:val="ListParagraph"/>
        <w:numPr>
          <w:ilvl w:val="0"/>
          <w:numId w:val="72"/>
        </w:numPr>
        <w:tabs>
          <w:tab w:val="left" w:pos="3752"/>
        </w:tabs>
        <w:spacing w:after="0" w:line="276" w:lineRule="auto"/>
        <w:contextualSpacing w:val="0"/>
        <w:jc w:val="both"/>
        <w:rPr>
          <w:rFonts w:cs="Arial"/>
          <w:lang w:val="en-AU"/>
        </w:rPr>
      </w:pPr>
      <w:r w:rsidRPr="00BD278C">
        <w:rPr>
          <w:rFonts w:cs="Arial"/>
          <w:lang w:val="en-AU"/>
        </w:rPr>
        <w:t>ASEAN Member States that do not yet have a WSP Plan of Actions should develop one.</w:t>
      </w:r>
    </w:p>
    <w:p w14:paraId="492E4F66" w14:textId="77777777" w:rsidR="007079AB" w:rsidRPr="00BD278C" w:rsidRDefault="007079AB" w:rsidP="00903D77">
      <w:pPr>
        <w:pStyle w:val="ListParagraph"/>
        <w:numPr>
          <w:ilvl w:val="0"/>
          <w:numId w:val="72"/>
        </w:numPr>
        <w:tabs>
          <w:tab w:val="left" w:pos="3752"/>
        </w:tabs>
        <w:spacing w:after="120" w:line="276" w:lineRule="auto"/>
        <w:contextualSpacing w:val="0"/>
        <w:jc w:val="both"/>
        <w:rPr>
          <w:rFonts w:cs="Arial"/>
          <w:lang w:val="en-AU"/>
        </w:rPr>
      </w:pPr>
      <w:r w:rsidRPr="00BD278C">
        <w:rPr>
          <w:rFonts w:cs="Arial"/>
          <w:lang w:val="en-AU"/>
        </w:rPr>
        <w:t>Civil society coalitions monitoring the implementation of the WPS agenda should be supported in as many ASEAN Member States as possible.</w:t>
      </w:r>
    </w:p>
    <w:p w14:paraId="38FCFA09" w14:textId="1F9857D5" w:rsidR="007079AB" w:rsidRPr="00BD278C" w:rsidRDefault="007079AB" w:rsidP="0035461D">
      <w:pPr>
        <w:pStyle w:val="Heading3"/>
      </w:pPr>
      <w:r w:rsidRPr="00BD278C">
        <w:t xml:space="preserve">‘Checklist’ for other APSP thematic areas </w:t>
      </w:r>
    </w:p>
    <w:p w14:paraId="5C10FE5D" w14:textId="77777777" w:rsidR="007079AB" w:rsidRPr="00BD278C" w:rsidRDefault="007079AB" w:rsidP="00903D77">
      <w:pPr>
        <w:spacing w:after="120" w:line="276" w:lineRule="auto"/>
        <w:rPr>
          <w:rFonts w:cs="Arial"/>
          <w:lang w:val="en-AU"/>
        </w:rPr>
      </w:pPr>
      <w:r w:rsidRPr="00BD278C">
        <w:rPr>
          <w:rFonts w:cs="Arial"/>
          <w:lang w:val="en-AU"/>
        </w:rPr>
        <w:t>The experience of the APSP’s work on WPS suggests that, should a new thematic area be required in the next phase, it should meet the following requirements:</w:t>
      </w:r>
    </w:p>
    <w:p w14:paraId="12FB207C" w14:textId="77777777" w:rsidR="007079AB" w:rsidRPr="00BD278C" w:rsidRDefault="007079AB" w:rsidP="00BD278C">
      <w:pPr>
        <w:pStyle w:val="ListParagraph"/>
        <w:numPr>
          <w:ilvl w:val="0"/>
          <w:numId w:val="73"/>
        </w:numPr>
        <w:spacing w:after="0" w:line="276" w:lineRule="auto"/>
        <w:contextualSpacing w:val="0"/>
        <w:rPr>
          <w:rFonts w:cs="Arial"/>
          <w:lang w:val="en-AU"/>
        </w:rPr>
      </w:pPr>
      <w:r w:rsidRPr="00BD278C">
        <w:rPr>
          <w:rFonts w:cs="Arial"/>
          <w:lang w:val="en-AU"/>
        </w:rPr>
        <w:t>There is a UN treaty, regional policy or set of commitment concerning the issue.</w:t>
      </w:r>
    </w:p>
    <w:p w14:paraId="471A01B3" w14:textId="77777777" w:rsidR="007079AB" w:rsidRPr="00BD278C" w:rsidRDefault="007079AB" w:rsidP="00BD278C">
      <w:pPr>
        <w:pStyle w:val="ListParagraph"/>
        <w:numPr>
          <w:ilvl w:val="0"/>
          <w:numId w:val="73"/>
        </w:numPr>
        <w:spacing w:after="0" w:line="276" w:lineRule="auto"/>
        <w:contextualSpacing w:val="0"/>
        <w:rPr>
          <w:rFonts w:cs="Arial"/>
          <w:lang w:val="en-AU"/>
        </w:rPr>
      </w:pPr>
      <w:r w:rsidRPr="00BD278C">
        <w:rPr>
          <w:rFonts w:cs="Arial"/>
          <w:lang w:val="en-AU"/>
        </w:rPr>
        <w:t>The issue has cross-pillar relevance.</w:t>
      </w:r>
    </w:p>
    <w:p w14:paraId="4BC002E6" w14:textId="77777777" w:rsidR="007079AB" w:rsidRPr="00BD278C" w:rsidRDefault="007079AB" w:rsidP="00BD278C">
      <w:pPr>
        <w:pStyle w:val="ListParagraph"/>
        <w:numPr>
          <w:ilvl w:val="0"/>
          <w:numId w:val="73"/>
        </w:numPr>
        <w:spacing w:after="0" w:line="276" w:lineRule="auto"/>
        <w:contextualSpacing w:val="0"/>
        <w:rPr>
          <w:rFonts w:cs="Arial"/>
          <w:lang w:val="en-AU"/>
        </w:rPr>
      </w:pPr>
      <w:r w:rsidRPr="00BD278C">
        <w:rPr>
          <w:rFonts w:cs="Arial"/>
          <w:lang w:val="en-AU"/>
        </w:rPr>
        <w:t>Australia has relevant institutional expertise.</w:t>
      </w:r>
    </w:p>
    <w:p w14:paraId="203C075A" w14:textId="77777777" w:rsidR="007079AB" w:rsidRPr="00BD278C" w:rsidRDefault="007079AB" w:rsidP="00BD278C">
      <w:pPr>
        <w:pStyle w:val="ListParagraph"/>
        <w:numPr>
          <w:ilvl w:val="0"/>
          <w:numId w:val="73"/>
        </w:numPr>
        <w:spacing w:after="0" w:line="276" w:lineRule="auto"/>
        <w:contextualSpacing w:val="0"/>
        <w:rPr>
          <w:rFonts w:cs="Arial"/>
          <w:lang w:val="en-AU"/>
        </w:rPr>
      </w:pPr>
      <w:r w:rsidRPr="00BD278C">
        <w:rPr>
          <w:rFonts w:cs="Arial"/>
          <w:lang w:val="en-AU"/>
        </w:rPr>
        <w:t>Relevant Australian stakeholders are willing to engage with ASEAN.</w:t>
      </w:r>
    </w:p>
    <w:p w14:paraId="39F2BA59" w14:textId="77777777" w:rsidR="007079AB" w:rsidRPr="00BD278C" w:rsidRDefault="007079AB" w:rsidP="00903D77">
      <w:pPr>
        <w:pStyle w:val="ListParagraph"/>
        <w:numPr>
          <w:ilvl w:val="0"/>
          <w:numId w:val="73"/>
        </w:numPr>
        <w:spacing w:after="120" w:line="276" w:lineRule="auto"/>
        <w:contextualSpacing w:val="0"/>
        <w:rPr>
          <w:rFonts w:cs="Arial"/>
          <w:lang w:val="en-AU"/>
        </w:rPr>
      </w:pPr>
      <w:r w:rsidRPr="00BD278C">
        <w:rPr>
          <w:rFonts w:cs="Arial"/>
          <w:lang w:val="en-AU"/>
        </w:rPr>
        <w:t>There is scope to develop/implement an ASEAN policy or action plan.</w:t>
      </w:r>
    </w:p>
    <w:p w14:paraId="2FE3BA15" w14:textId="77777777" w:rsidR="007079AB" w:rsidRPr="00BD278C" w:rsidRDefault="007079AB" w:rsidP="00903D77">
      <w:pPr>
        <w:spacing w:after="120" w:line="276" w:lineRule="auto"/>
        <w:rPr>
          <w:rFonts w:cs="Arial"/>
          <w:lang w:val="en-AU"/>
        </w:rPr>
      </w:pPr>
      <w:r w:rsidRPr="00BD278C">
        <w:rPr>
          <w:rFonts w:cs="Arial"/>
          <w:lang w:val="en-AU"/>
        </w:rPr>
        <w:lastRenderedPageBreak/>
        <w:t xml:space="preserve">Of the many issues that may meet these requirements, two stand out as being particularly relevant, and possibly draw ASEAN demand: Climate security and the fight against corruption. </w:t>
      </w:r>
    </w:p>
    <w:p w14:paraId="4E66719F" w14:textId="77777777" w:rsidR="007079AB" w:rsidRPr="00BD278C" w:rsidRDefault="007079AB" w:rsidP="00BD278C">
      <w:pPr>
        <w:pStyle w:val="ListParagraph"/>
        <w:numPr>
          <w:ilvl w:val="0"/>
          <w:numId w:val="73"/>
        </w:numPr>
        <w:spacing w:after="0" w:line="276" w:lineRule="auto"/>
        <w:contextualSpacing w:val="0"/>
        <w:rPr>
          <w:rFonts w:cs="Arial"/>
          <w:lang w:val="en-AU"/>
        </w:rPr>
      </w:pPr>
      <w:r w:rsidRPr="00BD278C">
        <w:rPr>
          <w:rFonts w:cs="Arial"/>
          <w:lang w:val="en-AU"/>
        </w:rPr>
        <w:t>Climate: Paris Agreement; relevance to all aspects of political security; strong Australian expertise; existing ASEAN commitments.</w:t>
      </w:r>
    </w:p>
    <w:p w14:paraId="4B21D13B" w14:textId="77777777" w:rsidR="007079AB" w:rsidRPr="00BD278C" w:rsidRDefault="007079AB" w:rsidP="00903D77">
      <w:pPr>
        <w:pStyle w:val="ListParagraph"/>
        <w:numPr>
          <w:ilvl w:val="0"/>
          <w:numId w:val="73"/>
        </w:numPr>
        <w:spacing w:after="120" w:line="276" w:lineRule="auto"/>
        <w:contextualSpacing w:val="0"/>
        <w:rPr>
          <w:rFonts w:cs="Arial"/>
          <w:lang w:val="en-AU"/>
        </w:rPr>
      </w:pPr>
      <w:r w:rsidRPr="00BD278C">
        <w:rPr>
          <w:rFonts w:cs="Arial"/>
          <w:lang w:val="en-AU"/>
        </w:rPr>
        <w:t>Anti-corruption: UN Convention against Corruption ratified by all ASEAN Member States; obvious relevance to political security; Australian National Commission against Corruption.</w:t>
      </w:r>
    </w:p>
    <w:p w14:paraId="6AF28DBB" w14:textId="40C8280A" w:rsidR="007079AB" w:rsidRPr="00BD278C" w:rsidRDefault="007079AB" w:rsidP="00903D77">
      <w:pPr>
        <w:spacing w:after="120" w:line="276" w:lineRule="auto"/>
        <w:rPr>
          <w:rFonts w:cs="Arial"/>
          <w:lang w:val="en-AU"/>
        </w:rPr>
      </w:pPr>
      <w:r w:rsidRPr="00BD278C">
        <w:rPr>
          <w:rFonts w:cs="Arial"/>
          <w:lang w:val="en-AU"/>
        </w:rPr>
        <w:t>Online safety and conflict prevention are also thematic areas that meet most of the above requirements.</w:t>
      </w:r>
    </w:p>
    <w:tbl>
      <w:tblPr>
        <w:tblStyle w:val="TableGrid"/>
        <w:tblW w:w="0" w:type="auto"/>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ook w:val="04A0" w:firstRow="1" w:lastRow="0" w:firstColumn="1" w:lastColumn="0" w:noHBand="0" w:noVBand="1"/>
      </w:tblPr>
      <w:tblGrid>
        <w:gridCol w:w="1413"/>
        <w:gridCol w:w="1258"/>
        <w:gridCol w:w="2427"/>
        <w:gridCol w:w="3828"/>
      </w:tblGrid>
      <w:tr w:rsidR="007079AB" w:rsidRPr="00BD278C" w14:paraId="607293B1" w14:textId="77777777" w:rsidTr="0035461D">
        <w:trPr>
          <w:tblHeader/>
        </w:trPr>
        <w:tc>
          <w:tcPr>
            <w:tcW w:w="1413" w:type="dxa"/>
            <w:shd w:val="clear" w:color="auto" w:fill="156082" w:themeFill="accent1"/>
          </w:tcPr>
          <w:p w14:paraId="76342535" w14:textId="77777777" w:rsidR="007079AB" w:rsidRPr="00BD278C" w:rsidRDefault="007079AB" w:rsidP="00BD278C">
            <w:pPr>
              <w:spacing w:line="276" w:lineRule="auto"/>
              <w:rPr>
                <w:rFonts w:cs="Arial"/>
                <w:b/>
                <w:bCs/>
                <w:color w:val="DAE9F7" w:themeColor="text2" w:themeTint="1A"/>
                <w:sz w:val="20"/>
                <w:szCs w:val="20"/>
                <w:lang w:val="en-AU"/>
              </w:rPr>
            </w:pPr>
            <w:r w:rsidRPr="00BD278C">
              <w:rPr>
                <w:rFonts w:cs="Arial"/>
                <w:b/>
                <w:bCs/>
                <w:color w:val="DAE9F7" w:themeColor="text2" w:themeTint="1A"/>
                <w:sz w:val="20"/>
                <w:szCs w:val="20"/>
                <w:lang w:val="en-AU"/>
              </w:rPr>
              <w:t>Summit # (year)</w:t>
            </w:r>
          </w:p>
        </w:tc>
        <w:tc>
          <w:tcPr>
            <w:tcW w:w="1258" w:type="dxa"/>
            <w:shd w:val="clear" w:color="auto" w:fill="156082" w:themeFill="accent1"/>
          </w:tcPr>
          <w:p w14:paraId="49846035" w14:textId="77777777" w:rsidR="007079AB" w:rsidRPr="00BD278C" w:rsidRDefault="007079AB" w:rsidP="00BD278C">
            <w:pPr>
              <w:spacing w:line="276" w:lineRule="auto"/>
              <w:rPr>
                <w:rFonts w:cs="Arial"/>
                <w:b/>
                <w:bCs/>
                <w:color w:val="DAE9F7" w:themeColor="text2" w:themeTint="1A"/>
                <w:sz w:val="20"/>
                <w:szCs w:val="20"/>
                <w:lang w:val="en-AU"/>
              </w:rPr>
            </w:pPr>
            <w:r w:rsidRPr="00BD278C">
              <w:rPr>
                <w:rFonts w:cs="Arial"/>
                <w:b/>
                <w:bCs/>
                <w:color w:val="DAE9F7" w:themeColor="text2" w:themeTint="1A"/>
                <w:sz w:val="20"/>
                <w:szCs w:val="20"/>
                <w:lang w:val="en-AU"/>
              </w:rPr>
              <w:t>References to ‘women’</w:t>
            </w:r>
          </w:p>
        </w:tc>
        <w:tc>
          <w:tcPr>
            <w:tcW w:w="2427" w:type="dxa"/>
            <w:shd w:val="clear" w:color="auto" w:fill="156082" w:themeFill="accent1"/>
          </w:tcPr>
          <w:p w14:paraId="766BB821" w14:textId="77777777" w:rsidR="007079AB" w:rsidRPr="00BD278C" w:rsidRDefault="007079AB" w:rsidP="00BD278C">
            <w:pPr>
              <w:spacing w:line="276" w:lineRule="auto"/>
              <w:rPr>
                <w:rFonts w:cs="Arial"/>
                <w:b/>
                <w:bCs/>
                <w:color w:val="DAE9F7" w:themeColor="text2" w:themeTint="1A"/>
                <w:sz w:val="20"/>
                <w:szCs w:val="20"/>
                <w:lang w:val="en-AU"/>
              </w:rPr>
            </w:pPr>
            <w:r w:rsidRPr="00BD278C">
              <w:rPr>
                <w:rFonts w:cs="Arial"/>
                <w:b/>
                <w:bCs/>
                <w:color w:val="DAE9F7" w:themeColor="text2" w:themeTint="1A"/>
                <w:sz w:val="20"/>
                <w:szCs w:val="20"/>
                <w:lang w:val="en-AU"/>
              </w:rPr>
              <w:t>References to WPS</w:t>
            </w:r>
          </w:p>
        </w:tc>
        <w:tc>
          <w:tcPr>
            <w:tcW w:w="3828" w:type="dxa"/>
            <w:shd w:val="clear" w:color="auto" w:fill="156082" w:themeFill="accent1"/>
          </w:tcPr>
          <w:p w14:paraId="1D83B2E4" w14:textId="77777777" w:rsidR="007079AB" w:rsidRPr="00BD278C" w:rsidRDefault="007079AB" w:rsidP="00BD278C">
            <w:pPr>
              <w:spacing w:line="276" w:lineRule="auto"/>
              <w:rPr>
                <w:rFonts w:cs="Arial"/>
                <w:b/>
                <w:bCs/>
                <w:color w:val="DAE9F7" w:themeColor="text2" w:themeTint="1A"/>
                <w:sz w:val="20"/>
                <w:szCs w:val="20"/>
                <w:lang w:val="en-AU"/>
              </w:rPr>
            </w:pPr>
            <w:r w:rsidRPr="00BD278C">
              <w:rPr>
                <w:rFonts w:cs="Arial"/>
                <w:b/>
                <w:bCs/>
                <w:color w:val="DAE9F7" w:themeColor="text2" w:themeTint="1A"/>
                <w:sz w:val="20"/>
                <w:szCs w:val="20"/>
                <w:lang w:val="en-AU"/>
              </w:rPr>
              <w:t>Other ‘women’s’ issues</w:t>
            </w:r>
          </w:p>
        </w:tc>
      </w:tr>
      <w:tr w:rsidR="007079AB" w:rsidRPr="00BD278C" w14:paraId="08D8A0F3" w14:textId="77777777" w:rsidTr="00BD278C">
        <w:tc>
          <w:tcPr>
            <w:tcW w:w="1413" w:type="dxa"/>
          </w:tcPr>
          <w:p w14:paraId="2698D65A"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44-45 (2024)</w:t>
            </w:r>
          </w:p>
        </w:tc>
        <w:tc>
          <w:tcPr>
            <w:tcW w:w="1258" w:type="dxa"/>
          </w:tcPr>
          <w:p w14:paraId="5064077F"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21</w:t>
            </w:r>
          </w:p>
        </w:tc>
        <w:tc>
          <w:tcPr>
            <w:tcW w:w="2427" w:type="dxa"/>
          </w:tcPr>
          <w:p w14:paraId="288073F2"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6 (</w:t>
            </w:r>
            <w:proofErr w:type="spellStart"/>
            <w:r w:rsidRPr="00BD278C">
              <w:rPr>
                <w:rFonts w:cs="Arial"/>
                <w:sz w:val="20"/>
                <w:szCs w:val="20"/>
                <w:lang w:val="en-AU"/>
              </w:rPr>
              <w:t>RPoA</w:t>
            </w:r>
            <w:proofErr w:type="spellEnd"/>
            <w:r w:rsidRPr="00BD278C">
              <w:rPr>
                <w:rFonts w:cs="Arial"/>
                <w:sz w:val="20"/>
                <w:szCs w:val="20"/>
                <w:lang w:val="en-AU"/>
              </w:rPr>
              <w:t>, SEANWPM, AWPR</w:t>
            </w:r>
          </w:p>
          <w:p w14:paraId="62ECD877"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ADMM+)</w:t>
            </w:r>
          </w:p>
        </w:tc>
        <w:tc>
          <w:tcPr>
            <w:tcW w:w="3828" w:type="dxa"/>
          </w:tcPr>
          <w:p w14:paraId="333926FF"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Health</w:t>
            </w:r>
          </w:p>
          <w:p w14:paraId="3299CF57"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Children</w:t>
            </w:r>
          </w:p>
          <w:p w14:paraId="51B41A1D"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Participation</w:t>
            </w:r>
          </w:p>
          <w:p w14:paraId="055ABEC1"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Care</w:t>
            </w:r>
          </w:p>
          <w:p w14:paraId="05549B07"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Rights</w:t>
            </w:r>
          </w:p>
          <w:p w14:paraId="19CC15C4"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GBV</w:t>
            </w:r>
          </w:p>
          <w:p w14:paraId="456BB8D9"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SDGs</w:t>
            </w:r>
          </w:p>
          <w:p w14:paraId="509F42F5"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Gaza</w:t>
            </w:r>
          </w:p>
        </w:tc>
      </w:tr>
      <w:tr w:rsidR="007079AB" w:rsidRPr="00BD278C" w14:paraId="699C7D70" w14:textId="77777777" w:rsidTr="00BD278C">
        <w:tc>
          <w:tcPr>
            <w:tcW w:w="1413" w:type="dxa"/>
          </w:tcPr>
          <w:p w14:paraId="79A34BFC"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43 (2023)</w:t>
            </w:r>
          </w:p>
        </w:tc>
        <w:tc>
          <w:tcPr>
            <w:tcW w:w="1258" w:type="dxa"/>
          </w:tcPr>
          <w:p w14:paraId="08A70E38"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14</w:t>
            </w:r>
          </w:p>
        </w:tc>
        <w:tc>
          <w:tcPr>
            <w:tcW w:w="2427" w:type="dxa"/>
          </w:tcPr>
          <w:p w14:paraId="0BD91DA3"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3 (ADMM+, SEANWPM, AWPR, high-level dialogue)</w:t>
            </w:r>
          </w:p>
        </w:tc>
        <w:tc>
          <w:tcPr>
            <w:tcW w:w="3828" w:type="dxa"/>
          </w:tcPr>
          <w:p w14:paraId="2352BEE6"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Gender Equality</w:t>
            </w:r>
          </w:p>
          <w:p w14:paraId="38723860"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Rights</w:t>
            </w:r>
          </w:p>
          <w:p w14:paraId="10E984E8"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GBV</w:t>
            </w:r>
          </w:p>
        </w:tc>
      </w:tr>
      <w:tr w:rsidR="007079AB" w:rsidRPr="00BD278C" w14:paraId="1AF8E581" w14:textId="77777777" w:rsidTr="00BD278C">
        <w:tc>
          <w:tcPr>
            <w:tcW w:w="1413" w:type="dxa"/>
          </w:tcPr>
          <w:p w14:paraId="338524A1"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42 (2023)</w:t>
            </w:r>
          </w:p>
        </w:tc>
        <w:tc>
          <w:tcPr>
            <w:tcW w:w="1258" w:type="dxa"/>
          </w:tcPr>
          <w:p w14:paraId="15DB0065"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10</w:t>
            </w:r>
          </w:p>
        </w:tc>
        <w:tc>
          <w:tcPr>
            <w:tcW w:w="2427" w:type="dxa"/>
          </w:tcPr>
          <w:p w14:paraId="0DAAD63F"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7 (ADMM+, AWPR, SEANWPM, high-level dialogue)</w:t>
            </w:r>
          </w:p>
        </w:tc>
        <w:tc>
          <w:tcPr>
            <w:tcW w:w="3828" w:type="dxa"/>
          </w:tcPr>
          <w:p w14:paraId="6DE9E129"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Trafficking</w:t>
            </w:r>
          </w:p>
          <w:p w14:paraId="406FDD87"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GBV</w:t>
            </w:r>
          </w:p>
          <w:p w14:paraId="1E9252CC"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Participation</w:t>
            </w:r>
          </w:p>
          <w:p w14:paraId="6E7F0BE9" w14:textId="77777777" w:rsidR="007079AB" w:rsidRPr="00BD278C" w:rsidRDefault="007079AB" w:rsidP="00BD278C">
            <w:pPr>
              <w:spacing w:line="276" w:lineRule="auto"/>
              <w:rPr>
                <w:rFonts w:cs="Arial"/>
                <w:sz w:val="20"/>
                <w:szCs w:val="20"/>
                <w:lang w:val="en-AU"/>
              </w:rPr>
            </w:pPr>
          </w:p>
        </w:tc>
      </w:tr>
      <w:tr w:rsidR="007079AB" w:rsidRPr="00BD278C" w14:paraId="0A161365" w14:textId="77777777" w:rsidTr="00BD278C">
        <w:tc>
          <w:tcPr>
            <w:tcW w:w="1413" w:type="dxa"/>
          </w:tcPr>
          <w:p w14:paraId="59894314"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40-41 (2022)</w:t>
            </w:r>
          </w:p>
        </w:tc>
        <w:tc>
          <w:tcPr>
            <w:tcW w:w="1258" w:type="dxa"/>
          </w:tcPr>
          <w:p w14:paraId="01DF3F78"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22</w:t>
            </w:r>
          </w:p>
        </w:tc>
        <w:tc>
          <w:tcPr>
            <w:tcW w:w="2427" w:type="dxa"/>
          </w:tcPr>
          <w:p w14:paraId="6C9292F7"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7 (</w:t>
            </w:r>
            <w:proofErr w:type="spellStart"/>
            <w:r w:rsidRPr="00BD278C">
              <w:rPr>
                <w:rFonts w:cs="Arial"/>
                <w:sz w:val="20"/>
                <w:szCs w:val="20"/>
                <w:lang w:val="en-AU"/>
              </w:rPr>
              <w:t>RPoA</w:t>
            </w:r>
            <w:proofErr w:type="spellEnd"/>
            <w:r w:rsidRPr="00BD278C">
              <w:rPr>
                <w:rFonts w:cs="Arial"/>
                <w:sz w:val="20"/>
                <w:szCs w:val="20"/>
                <w:lang w:val="en-AU"/>
              </w:rPr>
              <w:t>, AWPR, SEANWPM, ADMM+, peacekeeping, maritime security, counterterrorism, military medicine, mine action, cybersecurity, ARF, preventing diplomacy/conflict resolution)</w:t>
            </w:r>
          </w:p>
        </w:tc>
        <w:tc>
          <w:tcPr>
            <w:tcW w:w="3828" w:type="dxa"/>
          </w:tcPr>
          <w:p w14:paraId="4E1D0CA9"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Entrepreneurship</w:t>
            </w:r>
          </w:p>
          <w:p w14:paraId="4B7B94C6"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Protection</w:t>
            </w:r>
          </w:p>
          <w:p w14:paraId="5F07408D"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Participation</w:t>
            </w:r>
          </w:p>
          <w:p w14:paraId="34444C25"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Relief/Recovery</w:t>
            </w:r>
          </w:p>
          <w:p w14:paraId="3B2A0900"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Children</w:t>
            </w:r>
          </w:p>
          <w:p w14:paraId="56A80B82"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Trafficking</w:t>
            </w:r>
          </w:p>
          <w:p w14:paraId="07CE5126"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Farming</w:t>
            </w:r>
          </w:p>
          <w:p w14:paraId="110BC6E5"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Migration</w:t>
            </w:r>
          </w:p>
          <w:p w14:paraId="0BD9F97D"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Empowerment</w:t>
            </w:r>
          </w:p>
          <w:p w14:paraId="4444F006"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Social protection</w:t>
            </w:r>
          </w:p>
          <w:p w14:paraId="23B8F830"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Inclusion</w:t>
            </w:r>
          </w:p>
        </w:tc>
      </w:tr>
      <w:tr w:rsidR="007079AB" w:rsidRPr="00BD278C" w14:paraId="02555993" w14:textId="77777777" w:rsidTr="00BD278C">
        <w:tc>
          <w:tcPr>
            <w:tcW w:w="1413" w:type="dxa"/>
          </w:tcPr>
          <w:p w14:paraId="0BF2C7E3"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38-39 (2021)</w:t>
            </w:r>
          </w:p>
        </w:tc>
        <w:tc>
          <w:tcPr>
            <w:tcW w:w="1258" w:type="dxa"/>
          </w:tcPr>
          <w:p w14:paraId="7BEAF9CC"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5</w:t>
            </w:r>
          </w:p>
        </w:tc>
        <w:tc>
          <w:tcPr>
            <w:tcW w:w="2427" w:type="dxa"/>
          </w:tcPr>
          <w:p w14:paraId="007DF901"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4 (AWPR, Regional Study on WPS)</w:t>
            </w:r>
          </w:p>
        </w:tc>
        <w:tc>
          <w:tcPr>
            <w:tcW w:w="3828" w:type="dxa"/>
          </w:tcPr>
          <w:p w14:paraId="7BC6526F"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Youth</w:t>
            </w:r>
          </w:p>
        </w:tc>
      </w:tr>
      <w:tr w:rsidR="007079AB" w:rsidRPr="00BD278C" w14:paraId="76D824DA" w14:textId="77777777" w:rsidTr="00BD278C">
        <w:tc>
          <w:tcPr>
            <w:tcW w:w="1413" w:type="dxa"/>
          </w:tcPr>
          <w:p w14:paraId="1F5A14FA"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37 (2020)</w:t>
            </w:r>
          </w:p>
        </w:tc>
        <w:tc>
          <w:tcPr>
            <w:tcW w:w="1258" w:type="dxa"/>
          </w:tcPr>
          <w:p w14:paraId="5DE3739E"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16</w:t>
            </w:r>
          </w:p>
        </w:tc>
        <w:tc>
          <w:tcPr>
            <w:tcW w:w="2427" w:type="dxa"/>
          </w:tcPr>
          <w:p w14:paraId="79D75919"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7 (UNSCR1325, AWPR, Regional Study on WPS)</w:t>
            </w:r>
          </w:p>
        </w:tc>
        <w:tc>
          <w:tcPr>
            <w:tcW w:w="3828" w:type="dxa"/>
          </w:tcPr>
          <w:p w14:paraId="55821914"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Rights</w:t>
            </w:r>
          </w:p>
          <w:p w14:paraId="7B08FDFC"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Empowerment</w:t>
            </w:r>
          </w:p>
          <w:p w14:paraId="2304B811"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Inclusion</w:t>
            </w:r>
          </w:p>
          <w:p w14:paraId="0716200C"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Econ. growth</w:t>
            </w:r>
          </w:p>
        </w:tc>
      </w:tr>
      <w:tr w:rsidR="007079AB" w:rsidRPr="00BD278C" w14:paraId="1376A7CB" w14:textId="77777777" w:rsidTr="00BD278C">
        <w:tc>
          <w:tcPr>
            <w:tcW w:w="1413" w:type="dxa"/>
          </w:tcPr>
          <w:p w14:paraId="5D0ABDBF"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36 (2020)</w:t>
            </w:r>
          </w:p>
        </w:tc>
        <w:tc>
          <w:tcPr>
            <w:tcW w:w="1258" w:type="dxa"/>
          </w:tcPr>
          <w:p w14:paraId="001E40A7"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13</w:t>
            </w:r>
          </w:p>
        </w:tc>
        <w:tc>
          <w:tcPr>
            <w:tcW w:w="2427" w:type="dxa"/>
          </w:tcPr>
          <w:p w14:paraId="23A2E83D"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7 (UNSCR1325, AWPR, peacebuilding)</w:t>
            </w:r>
          </w:p>
        </w:tc>
        <w:tc>
          <w:tcPr>
            <w:tcW w:w="3828" w:type="dxa"/>
          </w:tcPr>
          <w:p w14:paraId="3BB42E06"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COVID</w:t>
            </w:r>
          </w:p>
          <w:p w14:paraId="0A567772"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Empowerment</w:t>
            </w:r>
          </w:p>
          <w:p w14:paraId="32310D08"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Trafficking</w:t>
            </w:r>
          </w:p>
          <w:p w14:paraId="1ECDC3B9"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Children</w:t>
            </w:r>
          </w:p>
          <w:p w14:paraId="56DA658D"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Participation</w:t>
            </w:r>
          </w:p>
        </w:tc>
      </w:tr>
      <w:tr w:rsidR="007079AB" w:rsidRPr="00BD278C" w14:paraId="21BB5003" w14:textId="77777777" w:rsidTr="00BD278C">
        <w:tc>
          <w:tcPr>
            <w:tcW w:w="1413" w:type="dxa"/>
          </w:tcPr>
          <w:p w14:paraId="4A0FDADB"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lastRenderedPageBreak/>
              <w:t>35 (2019)</w:t>
            </w:r>
          </w:p>
        </w:tc>
        <w:tc>
          <w:tcPr>
            <w:tcW w:w="1258" w:type="dxa"/>
          </w:tcPr>
          <w:p w14:paraId="5D4BE1AB"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13</w:t>
            </w:r>
          </w:p>
        </w:tc>
        <w:tc>
          <w:tcPr>
            <w:tcW w:w="2427" w:type="dxa"/>
          </w:tcPr>
          <w:p w14:paraId="431D3C5B"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7 (AWPR, reconciliation, negotiation, PVE)</w:t>
            </w:r>
          </w:p>
        </w:tc>
        <w:tc>
          <w:tcPr>
            <w:tcW w:w="3828" w:type="dxa"/>
          </w:tcPr>
          <w:p w14:paraId="53A143BA"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Rights</w:t>
            </w:r>
          </w:p>
          <w:p w14:paraId="6CB01A26"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Children, ppl w/ disabilities</w:t>
            </w:r>
          </w:p>
          <w:p w14:paraId="3AE80D01"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Technology</w:t>
            </w:r>
          </w:p>
          <w:p w14:paraId="7347BA19"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Empowerment</w:t>
            </w:r>
          </w:p>
        </w:tc>
      </w:tr>
      <w:tr w:rsidR="007079AB" w:rsidRPr="00BD278C" w14:paraId="2E8D0EEB" w14:textId="77777777" w:rsidTr="00BD278C">
        <w:tc>
          <w:tcPr>
            <w:tcW w:w="1413" w:type="dxa"/>
          </w:tcPr>
          <w:p w14:paraId="29F9518B"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34 (2019)</w:t>
            </w:r>
          </w:p>
        </w:tc>
        <w:tc>
          <w:tcPr>
            <w:tcW w:w="1258" w:type="dxa"/>
          </w:tcPr>
          <w:p w14:paraId="5CB9FBCA"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4</w:t>
            </w:r>
          </w:p>
        </w:tc>
        <w:tc>
          <w:tcPr>
            <w:tcW w:w="2427" w:type="dxa"/>
          </w:tcPr>
          <w:p w14:paraId="65FD5A5C"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3 (</w:t>
            </w:r>
            <w:proofErr w:type="spellStart"/>
            <w:r w:rsidRPr="00BD278C">
              <w:rPr>
                <w:rFonts w:cs="Arial"/>
                <w:sz w:val="20"/>
                <w:szCs w:val="20"/>
                <w:lang w:val="en-AU"/>
              </w:rPr>
              <w:t>RPoA</w:t>
            </w:r>
            <w:proofErr w:type="spellEnd"/>
            <w:r w:rsidRPr="00BD278C">
              <w:rPr>
                <w:rFonts w:cs="Arial"/>
                <w:sz w:val="20"/>
                <w:szCs w:val="20"/>
                <w:lang w:val="en-AU"/>
              </w:rPr>
              <w:t>, AWPR)</w:t>
            </w:r>
          </w:p>
        </w:tc>
        <w:tc>
          <w:tcPr>
            <w:tcW w:w="3828" w:type="dxa"/>
          </w:tcPr>
          <w:p w14:paraId="43805D6E"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Empowerment</w:t>
            </w:r>
          </w:p>
        </w:tc>
      </w:tr>
      <w:tr w:rsidR="007079AB" w:rsidRPr="00BD278C" w14:paraId="6A85111D" w14:textId="77777777" w:rsidTr="00BD278C">
        <w:tc>
          <w:tcPr>
            <w:tcW w:w="1413" w:type="dxa"/>
          </w:tcPr>
          <w:p w14:paraId="74820B8F"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33 (2018)</w:t>
            </w:r>
          </w:p>
          <w:p w14:paraId="3C026403" w14:textId="77777777" w:rsidR="007079AB" w:rsidRPr="00BD278C" w:rsidRDefault="007079AB" w:rsidP="00BD278C">
            <w:pPr>
              <w:tabs>
                <w:tab w:val="left" w:pos="764"/>
              </w:tabs>
              <w:spacing w:line="276" w:lineRule="auto"/>
              <w:rPr>
                <w:rFonts w:cs="Arial"/>
                <w:sz w:val="20"/>
                <w:szCs w:val="20"/>
                <w:lang w:val="en-AU"/>
              </w:rPr>
            </w:pPr>
            <w:r w:rsidRPr="00BD278C">
              <w:rPr>
                <w:rFonts w:cs="Arial"/>
                <w:sz w:val="20"/>
                <w:szCs w:val="20"/>
                <w:lang w:val="en-AU"/>
              </w:rPr>
              <w:tab/>
            </w:r>
          </w:p>
        </w:tc>
        <w:tc>
          <w:tcPr>
            <w:tcW w:w="1258" w:type="dxa"/>
          </w:tcPr>
          <w:p w14:paraId="42C392B1"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4</w:t>
            </w:r>
          </w:p>
        </w:tc>
        <w:tc>
          <w:tcPr>
            <w:tcW w:w="2427" w:type="dxa"/>
          </w:tcPr>
          <w:p w14:paraId="63DF74B4"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0</w:t>
            </w:r>
          </w:p>
        </w:tc>
        <w:tc>
          <w:tcPr>
            <w:tcW w:w="3828" w:type="dxa"/>
          </w:tcPr>
          <w:p w14:paraId="0E8D0685"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Empowerment</w:t>
            </w:r>
          </w:p>
          <w:p w14:paraId="533FC9B9"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Trafficking</w:t>
            </w:r>
          </w:p>
          <w:p w14:paraId="512A9AE5"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GBV</w:t>
            </w:r>
          </w:p>
        </w:tc>
      </w:tr>
      <w:tr w:rsidR="007079AB" w:rsidRPr="00BD278C" w14:paraId="07D6274A" w14:textId="77777777" w:rsidTr="00BD278C">
        <w:tc>
          <w:tcPr>
            <w:tcW w:w="1413" w:type="dxa"/>
          </w:tcPr>
          <w:p w14:paraId="0DEE8225"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32 (2018)</w:t>
            </w:r>
          </w:p>
        </w:tc>
        <w:tc>
          <w:tcPr>
            <w:tcW w:w="1258" w:type="dxa"/>
          </w:tcPr>
          <w:p w14:paraId="12037B8B" w14:textId="77777777" w:rsidR="007079AB" w:rsidRPr="00BD278C" w:rsidRDefault="007079AB" w:rsidP="00BD278C">
            <w:pPr>
              <w:spacing w:line="276" w:lineRule="auto"/>
              <w:rPr>
                <w:rFonts w:cs="Arial"/>
                <w:sz w:val="20"/>
                <w:szCs w:val="20"/>
                <w:lang w:val="en-AU"/>
              </w:rPr>
            </w:pPr>
            <w:r w:rsidRPr="00BD278C">
              <w:rPr>
                <w:rFonts w:cs="Arial"/>
                <w:sz w:val="20"/>
                <w:szCs w:val="20"/>
                <w:lang w:val="en-AU"/>
              </w:rPr>
              <w:t>0</w:t>
            </w:r>
          </w:p>
        </w:tc>
        <w:tc>
          <w:tcPr>
            <w:tcW w:w="2427" w:type="dxa"/>
          </w:tcPr>
          <w:p w14:paraId="2AA73C85" w14:textId="77777777" w:rsidR="007079AB" w:rsidRPr="00BD278C" w:rsidRDefault="007079AB" w:rsidP="00BD278C">
            <w:pPr>
              <w:spacing w:line="276" w:lineRule="auto"/>
              <w:rPr>
                <w:rFonts w:cs="Arial"/>
                <w:sz w:val="18"/>
                <w:szCs w:val="18"/>
                <w:lang w:val="en-AU"/>
              </w:rPr>
            </w:pPr>
          </w:p>
        </w:tc>
        <w:tc>
          <w:tcPr>
            <w:tcW w:w="3828" w:type="dxa"/>
          </w:tcPr>
          <w:p w14:paraId="6CC9768E" w14:textId="77777777" w:rsidR="007079AB" w:rsidRPr="00BD278C" w:rsidRDefault="007079AB" w:rsidP="00BD278C">
            <w:pPr>
              <w:spacing w:line="276" w:lineRule="auto"/>
              <w:rPr>
                <w:rFonts w:cs="Arial"/>
                <w:sz w:val="18"/>
                <w:szCs w:val="18"/>
                <w:lang w:val="en-AU"/>
              </w:rPr>
            </w:pPr>
          </w:p>
        </w:tc>
      </w:tr>
    </w:tbl>
    <w:p w14:paraId="3DAE058B" w14:textId="77777777" w:rsidR="007079AB" w:rsidRPr="00BD278C" w:rsidRDefault="007079AB" w:rsidP="00903D77">
      <w:pPr>
        <w:spacing w:after="120" w:line="276" w:lineRule="auto"/>
        <w:jc w:val="center"/>
        <w:rPr>
          <w:rFonts w:cs="Arial"/>
          <w:i/>
          <w:iCs/>
          <w:color w:val="0F4761" w:themeColor="accent1" w:themeShade="BF"/>
          <w:sz w:val="20"/>
          <w:szCs w:val="20"/>
          <w:lang w:val="en-AU"/>
        </w:rPr>
      </w:pPr>
      <w:r w:rsidRPr="00BD278C">
        <w:rPr>
          <w:rFonts w:cs="Arial"/>
          <w:i/>
          <w:iCs/>
          <w:color w:val="0F4761" w:themeColor="accent1" w:themeShade="BF"/>
          <w:sz w:val="20"/>
          <w:szCs w:val="20"/>
          <w:lang w:val="en-AU"/>
        </w:rPr>
        <w:t>Table 1: occurrences of references to women, WPS issue, other issues linked to women, in ASEAN Summit Chairman’s Statements since 2028. Source: Chairman’s Statements, as carried on ASEAN’s website (</w:t>
      </w:r>
      <w:hyperlink r:id="rId25" w:history="1">
        <w:r w:rsidRPr="00BD278C">
          <w:rPr>
            <w:rStyle w:val="Hyperlink"/>
            <w:rFonts w:cs="Arial"/>
            <w:i/>
            <w:iCs/>
            <w:color w:val="0F4761" w:themeColor="accent1" w:themeShade="BF"/>
            <w:sz w:val="20"/>
            <w:szCs w:val="20"/>
            <w:lang w:val="en-AU"/>
          </w:rPr>
          <w:t>www.asean.org</w:t>
        </w:r>
      </w:hyperlink>
      <w:r w:rsidRPr="00BD278C">
        <w:rPr>
          <w:rFonts w:cs="Arial"/>
          <w:i/>
          <w:iCs/>
          <w:color w:val="0F4761" w:themeColor="accent1" w:themeShade="BF"/>
          <w:sz w:val="20"/>
          <w:szCs w:val="20"/>
          <w:lang w:val="en-AU"/>
        </w:rPr>
        <w:t>)</w:t>
      </w:r>
    </w:p>
    <w:p w14:paraId="404DE80B" w14:textId="77777777" w:rsidR="007079AB" w:rsidRPr="007C3B9D" w:rsidRDefault="007079AB" w:rsidP="00903D77">
      <w:pPr>
        <w:spacing w:after="120" w:line="276" w:lineRule="auto"/>
        <w:rPr>
          <w:rFonts w:asciiTheme="majorHAnsi" w:eastAsiaTheme="majorEastAsia" w:hAnsiTheme="majorHAnsi" w:cstheme="majorBidi"/>
          <w:b/>
          <w:bCs/>
          <w:smallCaps/>
          <w:color w:val="000000" w:themeColor="text1"/>
          <w:sz w:val="36"/>
          <w:szCs w:val="36"/>
          <w:lang w:val="en-AU"/>
        </w:rPr>
      </w:pPr>
      <w:r w:rsidRPr="007C3B9D">
        <w:rPr>
          <w:lang w:val="en-AU"/>
        </w:rPr>
        <w:br w:type="page"/>
      </w:r>
    </w:p>
    <w:p w14:paraId="4A2FB1BA" w14:textId="56B030D3" w:rsidR="00433DBD" w:rsidRPr="007C3B9D" w:rsidRDefault="00433DBD" w:rsidP="00903D77">
      <w:pPr>
        <w:pStyle w:val="Heading1"/>
        <w:pBdr>
          <w:bottom w:val="single" w:sz="4" w:space="0" w:color="595959" w:themeColor="text1" w:themeTint="A6"/>
        </w:pBdr>
        <w:spacing w:before="0" w:after="120" w:line="276" w:lineRule="auto"/>
        <w:ind w:left="432" w:hanging="432"/>
        <w:rPr>
          <w:lang w:val="en-AU"/>
        </w:rPr>
      </w:pPr>
      <w:bookmarkStart w:id="33" w:name="_Toc206492283"/>
      <w:bookmarkStart w:id="34" w:name="_Hlk206486254"/>
      <w:r w:rsidRPr="007C3B9D">
        <w:rPr>
          <w:lang w:val="en-AU"/>
        </w:rPr>
        <w:lastRenderedPageBreak/>
        <w:t>Annex 6: Case Study – Other Government Departments</w:t>
      </w:r>
      <w:bookmarkEnd w:id="33"/>
    </w:p>
    <w:bookmarkEnd w:id="34"/>
    <w:p w14:paraId="643C5C04" w14:textId="3BF91860" w:rsidR="00E14DC0" w:rsidRPr="00983BF9" w:rsidRDefault="00E14DC0" w:rsidP="00903D77">
      <w:pPr>
        <w:spacing w:after="120" w:line="276" w:lineRule="auto"/>
        <w:rPr>
          <w:rFonts w:asciiTheme="majorHAnsi" w:hAnsiTheme="majorHAnsi" w:cs="Arial"/>
          <w:color w:val="0F4761" w:themeColor="accent1" w:themeShade="BF"/>
          <w:sz w:val="28"/>
          <w:szCs w:val="28"/>
          <w:lang w:val="en-AU"/>
        </w:rPr>
      </w:pPr>
      <w:r w:rsidRPr="00983BF9">
        <w:rPr>
          <w:rFonts w:asciiTheme="majorHAnsi" w:hAnsiTheme="majorHAnsi" w:cs="Arial"/>
          <w:color w:val="0F4761" w:themeColor="accent1" w:themeShade="BF"/>
          <w:sz w:val="28"/>
          <w:szCs w:val="28"/>
          <w:lang w:val="en-AU"/>
        </w:rPr>
        <w:t xml:space="preserve">Integrating Australian Government Departments into the APSP </w:t>
      </w:r>
    </w:p>
    <w:p w14:paraId="7AA2DE8A" w14:textId="77777777" w:rsidR="00E14DC0" w:rsidRPr="00983BF9" w:rsidRDefault="00E14DC0" w:rsidP="00446279">
      <w:pPr>
        <w:pStyle w:val="Heading2"/>
      </w:pPr>
      <w:bookmarkStart w:id="35" w:name="_Toc206492284"/>
      <w:r w:rsidRPr="00983BF9">
        <w:t>Introduction</w:t>
      </w:r>
      <w:bookmarkEnd w:id="35"/>
    </w:p>
    <w:p w14:paraId="55405336" w14:textId="77777777" w:rsidR="00E14DC0" w:rsidRPr="00983BF9" w:rsidRDefault="00E14DC0" w:rsidP="00903D77">
      <w:pPr>
        <w:spacing w:after="120" w:line="276" w:lineRule="auto"/>
        <w:jc w:val="both"/>
        <w:rPr>
          <w:rFonts w:cs="Arial"/>
          <w:lang w:val="en-AU"/>
        </w:rPr>
      </w:pPr>
      <w:r w:rsidRPr="00983BF9">
        <w:rPr>
          <w:rFonts w:cs="Arial"/>
          <w:lang w:val="en-AU"/>
        </w:rPr>
        <w:t xml:space="preserve">The primary aim of the APSP was to enhance political and security cooperation between ASEAN and Australia, thereby strengthening regional stability, addressing shared challenges, and fostering cooperation among ASEAN Member States (AMS) and Australia in the political-security landscape. A critical component of the program’s initial design was the integration of Australian Other Government Departments (OGDs) into its framework. </w:t>
      </w:r>
    </w:p>
    <w:p w14:paraId="1FC51ADB" w14:textId="77777777" w:rsidR="00E14DC0" w:rsidRDefault="00E14DC0" w:rsidP="00903D77">
      <w:pPr>
        <w:spacing w:after="120" w:line="276" w:lineRule="auto"/>
        <w:jc w:val="both"/>
        <w:rPr>
          <w:rFonts w:cs="Arial"/>
          <w:lang w:val="en-AU"/>
        </w:rPr>
      </w:pPr>
      <w:r w:rsidRPr="00983BF9">
        <w:rPr>
          <w:rFonts w:cs="Arial"/>
          <w:lang w:val="en-AU"/>
        </w:rPr>
        <w:t>This integration was envisioned to leverage the diverse expertise and resources of various Australian agencies to support a cohesive, multi-sectoral Australian presence in ASEAN's political-security sphere. However, the program encountered significant challenges in effectively engaging OGDs. This case study examines the initial design of the APSP, with a dedicated component on OGDs, and the challenges experienced in engaging them, and explores the adaptive approaches adopted in the latter program period, with suggested approaches for future engagement.</w:t>
      </w:r>
    </w:p>
    <w:p w14:paraId="67A40E09" w14:textId="77777777" w:rsidR="00E14DC0" w:rsidRPr="00983BF9" w:rsidRDefault="00E14DC0" w:rsidP="00446279">
      <w:pPr>
        <w:pStyle w:val="Heading2"/>
        <w:numPr>
          <w:ilvl w:val="0"/>
          <w:numId w:val="114"/>
        </w:numPr>
      </w:pPr>
      <w:bookmarkStart w:id="36" w:name="_Toc206492285"/>
      <w:r w:rsidRPr="00983BF9">
        <w:t>OGDs in APSP Design</w:t>
      </w:r>
      <w:bookmarkEnd w:id="36"/>
    </w:p>
    <w:p w14:paraId="1BBB5E3E" w14:textId="77777777" w:rsidR="00E14DC0" w:rsidRPr="00983BF9" w:rsidRDefault="00E14DC0" w:rsidP="00903D77">
      <w:pPr>
        <w:spacing w:after="120" w:line="276" w:lineRule="auto"/>
        <w:jc w:val="both"/>
        <w:rPr>
          <w:rFonts w:cs="Arial"/>
          <w:lang w:val="en-AU"/>
        </w:rPr>
      </w:pPr>
      <w:r w:rsidRPr="00983BF9">
        <w:rPr>
          <w:rFonts w:cs="Arial"/>
          <w:lang w:val="en-AU"/>
        </w:rPr>
        <w:t>The APSP was conceived to offer flexible and demand-driven support to ASEAN, emphasising ASEAN leadership and centrality in addressing regional political-security challenges. With the overarching goal of enhancing the security environment in the Indo-Pacific region, the program sought to bolster stronger relationships between ASEAN and Australia, and enhance ASEAN's capability to lead coordinated, cohesive, and inclusive responses to transnational political-security issues.</w:t>
      </w:r>
    </w:p>
    <w:p w14:paraId="7E1B245F" w14:textId="77777777" w:rsidR="00E14DC0" w:rsidRPr="00983BF9" w:rsidRDefault="00E14DC0" w:rsidP="00903D77">
      <w:pPr>
        <w:spacing w:after="120" w:line="276" w:lineRule="auto"/>
        <w:jc w:val="both"/>
        <w:rPr>
          <w:rFonts w:cs="Arial"/>
          <w:lang w:val="en-AU"/>
        </w:rPr>
      </w:pPr>
      <w:r w:rsidRPr="00983BF9">
        <w:rPr>
          <w:rFonts w:cs="Arial"/>
          <w:lang w:val="en-AU"/>
        </w:rPr>
        <w:t xml:space="preserve">To achieve these objectives, the APSP focused on four primary policy areas: maritime security, cybersecurity, women, peace, and security (WPS), and transnational crime. The program remained open to supporting other political-security issues as opportunities or demands from ASEAN emerged, however as can be seen in the main Final Report, the program maintained its focus on the </w:t>
      </w:r>
      <w:proofErr w:type="gramStart"/>
      <w:r w:rsidRPr="00983BF9">
        <w:rPr>
          <w:rFonts w:cs="Arial"/>
          <w:lang w:val="en-AU"/>
        </w:rPr>
        <w:t>originally-selected</w:t>
      </w:r>
      <w:proofErr w:type="gramEnd"/>
      <w:r w:rsidRPr="00983BF9">
        <w:rPr>
          <w:rFonts w:cs="Arial"/>
          <w:lang w:val="en-AU"/>
        </w:rPr>
        <w:t xml:space="preserve"> themes. Its activities included workshops, seminars, training sessions, knowledge-sharing events, policy papers, research, and support for the institutional strengthening of ASEAN.</w:t>
      </w:r>
    </w:p>
    <w:p w14:paraId="724F4506" w14:textId="77777777" w:rsidR="00E14DC0" w:rsidRPr="00983BF9" w:rsidRDefault="00E14DC0" w:rsidP="00903D77">
      <w:pPr>
        <w:spacing w:after="120" w:line="276" w:lineRule="auto"/>
        <w:jc w:val="both"/>
        <w:rPr>
          <w:rFonts w:cs="Arial"/>
          <w:lang w:val="en-AU"/>
        </w:rPr>
      </w:pPr>
      <w:r w:rsidRPr="00983BF9">
        <w:rPr>
          <w:rFonts w:cs="Arial"/>
          <w:lang w:val="en-AU"/>
        </w:rPr>
        <w:t>A key element of the APSP's design was the integration of OGDs, with the program's original structure incorporating a dual implementation model, with The Asia Foundation (TAF) responsible for implementing program activities and the Department of Foreign Affairs and Trade (DFAT) tasked with engaging OGDs and advocating for inter-departmental collaboration. Additional funds were allocated specifically for OGDs to implement activities with ASEAN. This structure aimed to ensure a ‘whole-of-government’ approach, involving diverse OGDs to provide multi-sectoral engagement, coherence, and sustainable impact.</w:t>
      </w:r>
    </w:p>
    <w:p w14:paraId="6617E266" w14:textId="77777777" w:rsidR="00E14DC0" w:rsidRPr="00983BF9" w:rsidRDefault="00E14DC0" w:rsidP="00903D77">
      <w:pPr>
        <w:spacing w:after="120" w:line="276" w:lineRule="auto"/>
        <w:jc w:val="both"/>
        <w:rPr>
          <w:rFonts w:cs="Arial"/>
          <w:lang w:val="en-AU"/>
        </w:rPr>
      </w:pPr>
      <w:r w:rsidRPr="00983BF9">
        <w:rPr>
          <w:rFonts w:cs="Arial"/>
          <w:lang w:val="en-AU"/>
        </w:rPr>
        <w:t xml:space="preserve">This initial vision of the APSP therefore aimed to foster deep and multifaceted cooperation between Australia and ASEAN, and by allocating specific funds for OGDs and envisioning a dual implementation model, the program aimed to harness the full spectrum of Australia's governmental and broader institutional expertise. </w:t>
      </w:r>
    </w:p>
    <w:p w14:paraId="3D55608F" w14:textId="77777777" w:rsidR="00E14DC0" w:rsidRDefault="00E14DC0" w:rsidP="00903D77">
      <w:pPr>
        <w:spacing w:after="120" w:line="276" w:lineRule="auto"/>
        <w:jc w:val="both"/>
        <w:rPr>
          <w:rFonts w:cs="Arial"/>
          <w:lang w:val="en-AU"/>
        </w:rPr>
      </w:pPr>
      <w:r w:rsidRPr="00983BF9">
        <w:rPr>
          <w:rFonts w:cs="Arial"/>
          <w:lang w:val="en-AU"/>
        </w:rPr>
        <w:t xml:space="preserve">Nevertheless, the absence of a formal theory of change in the design phase, where the planned outputs and outcomes did not specifically incorporate a rationale of OGD involvement, may have </w:t>
      </w:r>
      <w:r w:rsidRPr="00983BF9">
        <w:rPr>
          <w:rFonts w:cs="Arial"/>
          <w:lang w:val="en-AU"/>
        </w:rPr>
        <w:lastRenderedPageBreak/>
        <w:t>contributed to challenges in implementation, particularly in aligning OGD engagement with program goals, given the absence of explicit causal pathways and identified assumptions.</w:t>
      </w:r>
    </w:p>
    <w:p w14:paraId="0F66314F" w14:textId="77777777" w:rsidR="00E14DC0" w:rsidRPr="00983BF9" w:rsidRDefault="00E14DC0" w:rsidP="00446279">
      <w:pPr>
        <w:pStyle w:val="Heading2"/>
        <w:numPr>
          <w:ilvl w:val="0"/>
          <w:numId w:val="114"/>
        </w:numPr>
      </w:pPr>
      <w:bookmarkStart w:id="37" w:name="_Toc206492286"/>
      <w:r w:rsidRPr="00983BF9">
        <w:t>Challenges in Engaging OGDs</w:t>
      </w:r>
      <w:bookmarkEnd w:id="37"/>
    </w:p>
    <w:p w14:paraId="5E7E51A1" w14:textId="77777777" w:rsidR="00E14DC0" w:rsidRPr="00983BF9" w:rsidRDefault="00E14DC0" w:rsidP="00903D77">
      <w:pPr>
        <w:spacing w:after="120" w:line="276" w:lineRule="auto"/>
        <w:jc w:val="both"/>
        <w:rPr>
          <w:rFonts w:cs="Arial"/>
          <w:lang w:val="en-AU"/>
        </w:rPr>
      </w:pPr>
      <w:r w:rsidRPr="00983BF9">
        <w:rPr>
          <w:rFonts w:cs="Arial"/>
          <w:lang w:val="en-AU"/>
        </w:rPr>
        <w:t>Despite the otherwise well-conceived program design, the APSP faced considerable challenges in fully engaging a diverse range of OGDs in its activities. Several factors contributed to this limited engagement, including:</w:t>
      </w:r>
    </w:p>
    <w:p w14:paraId="2F0E7497" w14:textId="77777777" w:rsidR="00E14DC0" w:rsidRPr="00983BF9" w:rsidRDefault="00E14DC0" w:rsidP="00983BF9">
      <w:pPr>
        <w:pStyle w:val="ListParagraph"/>
        <w:numPr>
          <w:ilvl w:val="0"/>
          <w:numId w:val="60"/>
        </w:numPr>
        <w:spacing w:after="0" w:line="276" w:lineRule="auto"/>
        <w:contextualSpacing w:val="0"/>
        <w:jc w:val="both"/>
        <w:rPr>
          <w:rFonts w:cs="Arial"/>
          <w:lang w:val="en-AU"/>
        </w:rPr>
      </w:pPr>
      <w:r w:rsidRPr="00983BF9">
        <w:rPr>
          <w:rFonts w:cs="Arial"/>
          <w:lang w:val="en-AU"/>
        </w:rPr>
        <w:t xml:space="preserve">Conflicting organisational priorities, and possible resource </w:t>
      </w:r>
      <w:proofErr w:type="gramStart"/>
      <w:r w:rsidRPr="00983BF9">
        <w:rPr>
          <w:rFonts w:cs="Arial"/>
          <w:lang w:val="en-AU"/>
        </w:rPr>
        <w:t>constraints;</w:t>
      </w:r>
      <w:proofErr w:type="gramEnd"/>
    </w:p>
    <w:p w14:paraId="589B9C4C" w14:textId="77777777" w:rsidR="00E14DC0" w:rsidRPr="00983BF9" w:rsidRDefault="00E14DC0" w:rsidP="00983BF9">
      <w:pPr>
        <w:pStyle w:val="ListParagraph"/>
        <w:numPr>
          <w:ilvl w:val="0"/>
          <w:numId w:val="60"/>
        </w:numPr>
        <w:spacing w:after="0" w:line="276" w:lineRule="auto"/>
        <w:contextualSpacing w:val="0"/>
        <w:jc w:val="both"/>
        <w:rPr>
          <w:rFonts w:cs="Arial"/>
          <w:lang w:val="en-AU"/>
        </w:rPr>
      </w:pPr>
      <w:r w:rsidRPr="00983BF9">
        <w:rPr>
          <w:rFonts w:cs="Arial"/>
          <w:lang w:val="en-AU"/>
        </w:rPr>
        <w:t xml:space="preserve">Lack of dedicated staffing within DFAT in the ASEAN Mission during the initial stages of the </w:t>
      </w:r>
      <w:proofErr w:type="gramStart"/>
      <w:r w:rsidRPr="00983BF9">
        <w:rPr>
          <w:rFonts w:cs="Arial"/>
          <w:lang w:val="en-AU"/>
        </w:rPr>
        <w:t>APSP;</w:t>
      </w:r>
      <w:proofErr w:type="gramEnd"/>
    </w:p>
    <w:p w14:paraId="64C7E879" w14:textId="77777777" w:rsidR="00E14DC0" w:rsidRPr="00983BF9" w:rsidRDefault="00E14DC0" w:rsidP="00983BF9">
      <w:pPr>
        <w:pStyle w:val="ListParagraph"/>
        <w:numPr>
          <w:ilvl w:val="0"/>
          <w:numId w:val="60"/>
        </w:numPr>
        <w:spacing w:after="0" w:line="276" w:lineRule="auto"/>
        <w:contextualSpacing w:val="0"/>
        <w:jc w:val="both"/>
        <w:rPr>
          <w:rFonts w:cs="Arial"/>
          <w:lang w:val="en-AU"/>
        </w:rPr>
      </w:pPr>
      <w:r w:rsidRPr="00983BF9">
        <w:rPr>
          <w:rFonts w:cs="Arial"/>
          <w:lang w:val="en-AU"/>
        </w:rPr>
        <w:t xml:space="preserve">Unforeseen disruptions including the COVID-19 </w:t>
      </w:r>
      <w:proofErr w:type="gramStart"/>
      <w:r w:rsidRPr="00983BF9">
        <w:rPr>
          <w:rFonts w:cs="Arial"/>
          <w:lang w:val="en-AU"/>
        </w:rPr>
        <w:t>pandemic;</w:t>
      </w:r>
      <w:proofErr w:type="gramEnd"/>
    </w:p>
    <w:p w14:paraId="642E5421" w14:textId="77777777" w:rsidR="00E14DC0" w:rsidRPr="00983BF9" w:rsidRDefault="00E14DC0" w:rsidP="00983BF9">
      <w:pPr>
        <w:pStyle w:val="ListParagraph"/>
        <w:numPr>
          <w:ilvl w:val="0"/>
          <w:numId w:val="60"/>
        </w:numPr>
        <w:spacing w:after="0" w:line="276" w:lineRule="auto"/>
        <w:contextualSpacing w:val="0"/>
        <w:jc w:val="both"/>
        <w:rPr>
          <w:rFonts w:cs="Arial"/>
          <w:lang w:val="en-AU"/>
        </w:rPr>
      </w:pPr>
      <w:r w:rsidRPr="00983BF9">
        <w:rPr>
          <w:rFonts w:cs="Arial"/>
          <w:lang w:val="en-AU"/>
        </w:rPr>
        <w:t xml:space="preserve">Strict ASEAN definitions limiting collaboration; and </w:t>
      </w:r>
    </w:p>
    <w:p w14:paraId="605E5E96" w14:textId="77777777" w:rsidR="00E14DC0" w:rsidRPr="00983BF9" w:rsidRDefault="00E14DC0" w:rsidP="00903D77">
      <w:pPr>
        <w:pStyle w:val="ListParagraph"/>
        <w:numPr>
          <w:ilvl w:val="0"/>
          <w:numId w:val="60"/>
        </w:numPr>
        <w:spacing w:after="120" w:line="276" w:lineRule="auto"/>
        <w:contextualSpacing w:val="0"/>
        <w:jc w:val="both"/>
        <w:rPr>
          <w:rFonts w:cs="Arial"/>
          <w:lang w:val="en-AU"/>
        </w:rPr>
      </w:pPr>
      <w:r w:rsidRPr="00983BF9">
        <w:rPr>
          <w:rFonts w:cs="Arial"/>
          <w:lang w:val="en-AU"/>
        </w:rPr>
        <w:t>Communication and alignment issues among Australian OGDs and agencies.</w:t>
      </w:r>
    </w:p>
    <w:p w14:paraId="1F5F9036" w14:textId="4E152589" w:rsidR="00E14DC0" w:rsidRPr="00983BF9" w:rsidRDefault="00E14DC0" w:rsidP="0035461D">
      <w:pPr>
        <w:pStyle w:val="Heading3"/>
      </w:pPr>
      <w:r w:rsidRPr="00983BF9">
        <w:t>Organisational Priorities and Resource Constraints</w:t>
      </w:r>
    </w:p>
    <w:p w14:paraId="302C3ACA" w14:textId="77777777" w:rsidR="00E14DC0" w:rsidRPr="00983BF9" w:rsidRDefault="00E14DC0" w:rsidP="00903D77">
      <w:pPr>
        <w:spacing w:after="120" w:line="276" w:lineRule="auto"/>
        <w:jc w:val="both"/>
        <w:rPr>
          <w:rFonts w:cs="Arial"/>
          <w:lang w:val="en-AU"/>
        </w:rPr>
      </w:pPr>
      <w:r w:rsidRPr="00983BF9">
        <w:rPr>
          <w:rFonts w:cs="Arial"/>
          <w:lang w:val="en-AU"/>
        </w:rPr>
        <w:t>Many OGDs had organisational priorities that did not align with the APSP's focus on ASEAN, with one TAF representative observing that ‘it's been difficult to involve other Australian government departments in ASEAN initiatives, likely because they lack the manpower or priority for regional cooperation beyond individual ASEAN countries.’ Further, government officials indicated that OGDs often lacked the dedicated staffing or resources to prioritise engagement with ASEAN, with domestic priorities and pre-existing international commitments rendering it challenging.  These observations underscore a critical disconnect that emerged between the strategic objectives of the APSP, and the operational capacities of OGDs. The divergence in priorities indicates that, while the APSP envisioned a whole-of-government approach, OGDs may not have perceived ASEAN engagement as aligning with their own core mandates or immediate interests.</w:t>
      </w:r>
    </w:p>
    <w:p w14:paraId="2BD822B0" w14:textId="77777777" w:rsidR="00E14DC0" w:rsidRPr="00983BF9" w:rsidRDefault="00E14DC0" w:rsidP="00903D77">
      <w:pPr>
        <w:spacing w:after="120" w:line="276" w:lineRule="auto"/>
        <w:jc w:val="both"/>
        <w:rPr>
          <w:rFonts w:cs="Arial"/>
          <w:lang w:val="en-AU"/>
        </w:rPr>
      </w:pPr>
      <w:r w:rsidRPr="00983BF9">
        <w:rPr>
          <w:rFonts w:cs="Arial"/>
          <w:lang w:val="en-AU"/>
        </w:rPr>
        <w:t>These perceived resource constraints and differing priorities highlight a fundamental challenge for a regional initiative such as the APSP: OGDs are largely structured and resourced to address domestic issues or bilateral engagements (with certain exceptions emphasised, such as the Home Affairs and Attorney-General’s Departments), whereas multilateral initiatives may not fit neatly within OGD operational frameworks.</w:t>
      </w:r>
    </w:p>
    <w:p w14:paraId="1DB78278" w14:textId="6FE3445C" w:rsidR="00E14DC0" w:rsidRPr="00983BF9" w:rsidRDefault="00E14DC0" w:rsidP="0035461D">
      <w:pPr>
        <w:pStyle w:val="Heading3"/>
      </w:pPr>
      <w:r w:rsidRPr="00983BF9">
        <w:t>Lack of Dedicated Staffing within DFAT for APSP</w:t>
      </w:r>
    </w:p>
    <w:p w14:paraId="241508D7" w14:textId="77777777" w:rsidR="00E14DC0" w:rsidRPr="00983BF9" w:rsidRDefault="00E14DC0" w:rsidP="00903D77">
      <w:pPr>
        <w:spacing w:after="120" w:line="276" w:lineRule="auto"/>
        <w:jc w:val="both"/>
        <w:rPr>
          <w:rFonts w:cs="Arial"/>
          <w:lang w:val="en-AU"/>
        </w:rPr>
      </w:pPr>
      <w:r w:rsidRPr="00983BF9">
        <w:rPr>
          <w:rFonts w:cs="Arial"/>
          <w:lang w:val="en-AU"/>
        </w:rPr>
        <w:t>The APSP's early implementation suffered from a lack of dedicated higher-level staffing within DFAT. Initially, there was no dedicated First Secretary position for APSP, and the responsibility fell to a Development Counsellor already managing multiple programs, with one government official stating that ‘most programs had dedicated personnel’, and that ‘</w:t>
      </w:r>
      <w:proofErr w:type="gramStart"/>
      <w:r w:rsidRPr="00983BF9">
        <w:rPr>
          <w:rFonts w:cs="Arial"/>
          <w:i/>
          <w:iCs/>
          <w:lang w:val="en-AU"/>
        </w:rPr>
        <w:t>locally-engaged</w:t>
      </w:r>
      <w:proofErr w:type="gramEnd"/>
      <w:r w:rsidRPr="00983BF9">
        <w:rPr>
          <w:rFonts w:cs="Arial"/>
          <w:i/>
          <w:iCs/>
          <w:lang w:val="en-AU"/>
        </w:rPr>
        <w:t xml:space="preserve"> staff had limited authority to lead initial outreach efforts.</w:t>
      </w:r>
      <w:r w:rsidRPr="00983BF9">
        <w:rPr>
          <w:rFonts w:cs="Arial"/>
          <w:lang w:val="en-AU"/>
        </w:rPr>
        <w:t xml:space="preserve">’ This in turn constrained DFAT's capacity to advocate effectively for OGD engagement. </w:t>
      </w:r>
    </w:p>
    <w:p w14:paraId="5600F260" w14:textId="77777777" w:rsidR="00E14DC0" w:rsidRPr="00983BF9" w:rsidRDefault="00E14DC0" w:rsidP="00903D77">
      <w:pPr>
        <w:spacing w:after="120" w:line="276" w:lineRule="auto"/>
        <w:jc w:val="both"/>
        <w:rPr>
          <w:rFonts w:cs="Arial"/>
          <w:lang w:val="en-AU"/>
        </w:rPr>
      </w:pPr>
      <w:r w:rsidRPr="00983BF9">
        <w:rPr>
          <w:rFonts w:cs="Arial"/>
          <w:lang w:val="en-AU"/>
        </w:rPr>
        <w:t>This reflected an underestimation of the administrative and diplomatic efforts required to engage OGDs effectively: without a focal point to coordinate and champion the APSP internally, the program lacked visibility and strategic push within the Australian government. This gap likely contributed to the early challenges in aligning OGD participation, as there was no consistent effort to communicate the program's importance, or to negotiate the integration of departmental agendas.</w:t>
      </w:r>
    </w:p>
    <w:p w14:paraId="7D5F37A5" w14:textId="77777777" w:rsidR="00E14DC0" w:rsidRPr="00983BF9" w:rsidRDefault="00E14DC0" w:rsidP="00903D77">
      <w:pPr>
        <w:spacing w:after="120" w:line="276" w:lineRule="auto"/>
        <w:jc w:val="both"/>
        <w:rPr>
          <w:rFonts w:cs="Arial"/>
          <w:lang w:val="en-AU"/>
        </w:rPr>
      </w:pPr>
      <w:r w:rsidRPr="00983BF9">
        <w:rPr>
          <w:rFonts w:cs="Arial"/>
          <w:lang w:val="en-AU"/>
        </w:rPr>
        <w:lastRenderedPageBreak/>
        <w:t>With the commencement of the dedicated First Secretary for Political Security in January 2023, APSP experienced a marked increase in OGD participation, particularly in cybercrime and transnational crime workshops.</w:t>
      </w:r>
    </w:p>
    <w:p w14:paraId="48E6AEED" w14:textId="4A54CC26" w:rsidR="00E14DC0" w:rsidRPr="00983BF9" w:rsidRDefault="00E14DC0" w:rsidP="0035461D">
      <w:pPr>
        <w:pStyle w:val="Heading3"/>
      </w:pPr>
      <w:r w:rsidRPr="00983BF9">
        <w:t>Covid-19-related disruptions</w:t>
      </w:r>
    </w:p>
    <w:p w14:paraId="54D188D9" w14:textId="77777777" w:rsidR="00E14DC0" w:rsidRPr="00983BF9" w:rsidRDefault="00E14DC0" w:rsidP="00903D77">
      <w:pPr>
        <w:spacing w:after="120" w:line="276" w:lineRule="auto"/>
        <w:jc w:val="both"/>
        <w:rPr>
          <w:rFonts w:cs="Arial"/>
          <w:lang w:val="en-AU"/>
        </w:rPr>
      </w:pPr>
      <w:r w:rsidRPr="00983BF9">
        <w:rPr>
          <w:rFonts w:cs="Arial"/>
          <w:lang w:val="en-AU"/>
        </w:rPr>
        <w:t>The COVID-19 pandemic further hindered efforts to engage OGDs, with travel restrictions, shifting priorities to address the pandemic, and resource reallocations having limited the ability of OGDs to participate in APSP activities, and further impeding APSP advocacy with other Australian entities.</w:t>
      </w:r>
    </w:p>
    <w:p w14:paraId="057BC301" w14:textId="5F9F94FD" w:rsidR="00E14DC0" w:rsidRPr="00983BF9" w:rsidRDefault="00E14DC0" w:rsidP="0035461D">
      <w:pPr>
        <w:pStyle w:val="Heading3"/>
      </w:pPr>
      <w:r w:rsidRPr="00983BF9">
        <w:t>ASEAN procedural constraints</w:t>
      </w:r>
    </w:p>
    <w:p w14:paraId="77F4AC7D" w14:textId="77777777" w:rsidR="00E14DC0" w:rsidRPr="00983BF9" w:rsidRDefault="00E14DC0" w:rsidP="00903D77">
      <w:pPr>
        <w:spacing w:after="120" w:line="276" w:lineRule="auto"/>
        <w:jc w:val="both"/>
        <w:rPr>
          <w:rFonts w:cs="Arial"/>
          <w:lang w:val="en-AU"/>
        </w:rPr>
      </w:pPr>
      <w:r w:rsidRPr="00983BF9">
        <w:rPr>
          <w:rFonts w:cs="Arial"/>
          <w:lang w:val="en-AU"/>
        </w:rPr>
        <w:t>As indicated in the main report, ASEAN procedural requirements represented a hindering factor in program implementation. One example that complicated collaboration was ASEAN's strict definition of what constitutes an ‘ASEAN activity’, with Australian entities often restricted from participating in certain activities that were not perceived as directly relevant to ASEAN's established frameworks. These strict frameworks limited to some extent the flexibility required for Australian OGDs to engage rapidly or meaningfully.</w:t>
      </w:r>
    </w:p>
    <w:p w14:paraId="008A4148" w14:textId="5671DE8B" w:rsidR="00E14DC0" w:rsidRPr="00983BF9" w:rsidRDefault="00E14DC0" w:rsidP="0035461D">
      <w:pPr>
        <w:pStyle w:val="Heading3"/>
      </w:pPr>
      <w:r w:rsidRPr="00983BF9">
        <w:t>Internal communication and alignment</w:t>
      </w:r>
    </w:p>
    <w:p w14:paraId="52F72306" w14:textId="77777777" w:rsidR="00E14DC0" w:rsidRDefault="00E14DC0" w:rsidP="00903D77">
      <w:pPr>
        <w:spacing w:after="120" w:line="276" w:lineRule="auto"/>
        <w:jc w:val="both"/>
        <w:rPr>
          <w:rFonts w:cs="Arial"/>
          <w:lang w:val="en-AU"/>
        </w:rPr>
      </w:pPr>
      <w:r w:rsidRPr="00983BF9">
        <w:rPr>
          <w:rFonts w:cs="Arial"/>
          <w:lang w:val="en-AU"/>
        </w:rPr>
        <w:t>Challenges in communication and alignment among Australian entities regarding ASEAN engagement also played a role, with one interviewee remarking that ‘</w:t>
      </w:r>
      <w:r w:rsidRPr="00983BF9">
        <w:rPr>
          <w:rFonts w:cs="Arial"/>
          <w:i/>
          <w:iCs/>
          <w:lang w:val="en-AU"/>
        </w:rPr>
        <w:t xml:space="preserve">Australian government divisions often don’t communicate effectively. For instance, those engaging with ASEAN's socio-cultural pillar may be unaware of efforts in political security or cybercrime, opening opportunities for APSP to bridge these gaps.’ </w:t>
      </w:r>
      <w:r w:rsidRPr="00983BF9">
        <w:rPr>
          <w:rFonts w:cs="Arial"/>
          <w:lang w:val="en-AU"/>
        </w:rPr>
        <w:t>This lack of internal coordination may therefore have limited to some extent the ability to present a unified and synergistic approach to ASEAN engagement.</w:t>
      </w:r>
    </w:p>
    <w:p w14:paraId="6E077C0A" w14:textId="77777777" w:rsidR="00E14DC0" w:rsidRPr="00983BF9" w:rsidRDefault="00E14DC0" w:rsidP="00446279">
      <w:pPr>
        <w:pStyle w:val="Heading2"/>
        <w:numPr>
          <w:ilvl w:val="0"/>
          <w:numId w:val="114"/>
        </w:numPr>
      </w:pPr>
      <w:bookmarkStart w:id="38" w:name="_Toc206492287"/>
      <w:r w:rsidRPr="00983BF9">
        <w:t>APSP Responses</w:t>
      </w:r>
      <w:bookmarkEnd w:id="38"/>
    </w:p>
    <w:p w14:paraId="302E6F4A" w14:textId="77777777" w:rsidR="00E14DC0" w:rsidRPr="00983BF9" w:rsidRDefault="00E14DC0" w:rsidP="00903D77">
      <w:pPr>
        <w:spacing w:after="120" w:line="276" w:lineRule="auto"/>
        <w:jc w:val="both"/>
        <w:rPr>
          <w:rFonts w:cs="Arial"/>
          <w:lang w:val="en-AU"/>
        </w:rPr>
      </w:pPr>
      <w:r w:rsidRPr="00983BF9">
        <w:rPr>
          <w:rFonts w:cs="Arial"/>
          <w:lang w:val="en-AU"/>
        </w:rPr>
        <w:t>Recognising the challenges outlined above, APSP adopted an increasingly adaptive approach in the latter program period to enhance OGD engagement. This included strengthening DFAT's advocacy role, leveraging successful OGD partnerships, engaging specialised academic and research institutions, enhancing flexibility and responsiveness, facilitating early involvement of OGDs, and showcasing successful models.</w:t>
      </w:r>
    </w:p>
    <w:p w14:paraId="007033D7" w14:textId="689766E9" w:rsidR="00E14DC0" w:rsidRPr="00983BF9" w:rsidRDefault="00E14DC0" w:rsidP="0035461D">
      <w:pPr>
        <w:pStyle w:val="Heading3"/>
      </w:pPr>
      <w:r w:rsidRPr="00983BF9">
        <w:t>Strengthening DFAT's advocacy role</w:t>
      </w:r>
    </w:p>
    <w:p w14:paraId="6B817D4B" w14:textId="77777777" w:rsidR="00E14DC0" w:rsidRPr="00983BF9" w:rsidRDefault="00E14DC0" w:rsidP="00903D77">
      <w:pPr>
        <w:spacing w:after="120" w:line="276" w:lineRule="auto"/>
        <w:jc w:val="both"/>
        <w:rPr>
          <w:rFonts w:cs="Arial"/>
          <w:lang w:val="en-AU"/>
        </w:rPr>
      </w:pPr>
      <w:r w:rsidRPr="00983BF9">
        <w:rPr>
          <w:rFonts w:cs="Arial"/>
          <w:lang w:val="en-AU"/>
        </w:rPr>
        <w:t>A dedicated First Secretary position for APSP was established within DFAT in January 2023. This role focused on improving advocacy efforts with OGDs, fostering better communication, and promoting the benefits of ASEAN engagement. This signified a strategic shift towards prioritising the APSP, and recognising the importance of internal advocacy, and while there was no direct evidence in this regard, almost certainly enhanced the program's visibility, and facilitated more effective communication with OGDs. This underscored the critical role of dedicated leadership in driving inter-departmental collaboration, and aligning somewhat disparate agendas, at the regional level, towards a common goal.</w:t>
      </w:r>
    </w:p>
    <w:p w14:paraId="61B09D4E" w14:textId="77777777" w:rsidR="00E14DC0" w:rsidRPr="00983BF9" w:rsidRDefault="00E14DC0" w:rsidP="0035461D">
      <w:pPr>
        <w:pStyle w:val="Heading3"/>
      </w:pPr>
      <w:r w:rsidRPr="00983BF9">
        <w:t>Leveraging successful partnerships</w:t>
      </w:r>
    </w:p>
    <w:p w14:paraId="4F8FB6D7" w14:textId="77777777" w:rsidR="00E14DC0" w:rsidRPr="00983BF9" w:rsidRDefault="00E14DC0" w:rsidP="00903D77">
      <w:pPr>
        <w:spacing w:after="120" w:line="276" w:lineRule="auto"/>
        <w:jc w:val="both"/>
        <w:rPr>
          <w:rFonts w:cs="Arial"/>
          <w:lang w:val="en-AU"/>
        </w:rPr>
      </w:pPr>
      <w:r w:rsidRPr="00983BF9">
        <w:rPr>
          <w:rFonts w:cs="Arial"/>
          <w:lang w:val="en-AU"/>
        </w:rPr>
        <w:lastRenderedPageBreak/>
        <w:t xml:space="preserve">The APSP capitalised on successful partnerships with OGDs that had a history of ASEAN engagement, such as the AFP. The AFP's strong reputation in the region served as a foundation for deeper collaboration, a notable example being the Australian Federal Police, a representative of which emphasised that ‘the </w:t>
      </w:r>
      <w:r w:rsidRPr="00983BF9">
        <w:rPr>
          <w:rFonts w:cs="Arial"/>
          <w:i/>
          <w:iCs/>
          <w:lang w:val="en-AU"/>
        </w:rPr>
        <w:t xml:space="preserve">AFP has a very good reputation in these countries, and it’s good for us to </w:t>
      </w:r>
      <w:proofErr w:type="gramStart"/>
      <w:r w:rsidRPr="00983BF9">
        <w:rPr>
          <w:rFonts w:cs="Arial"/>
          <w:i/>
          <w:iCs/>
          <w:lang w:val="en-AU"/>
        </w:rPr>
        <w:t>say</w:t>
      </w:r>
      <w:proofErr w:type="gramEnd"/>
      <w:r w:rsidRPr="00983BF9">
        <w:rPr>
          <w:rFonts w:cs="Arial"/>
          <w:i/>
          <w:iCs/>
          <w:lang w:val="en-AU"/>
        </w:rPr>
        <w:t xml:space="preserve"> 'we’re here again supporting your activities'’</w:t>
      </w:r>
      <w:r w:rsidRPr="00983BF9">
        <w:rPr>
          <w:rFonts w:cs="Arial"/>
          <w:lang w:val="en-AU"/>
        </w:rPr>
        <w:t>. This level of endorsement reinforced Australia's credibility in ASEAN and laid a foundation for future, more complex collaborative efforts.</w:t>
      </w:r>
    </w:p>
    <w:p w14:paraId="57663976" w14:textId="77777777" w:rsidR="00E14DC0" w:rsidRPr="00983BF9" w:rsidRDefault="00E14DC0" w:rsidP="00903D77">
      <w:pPr>
        <w:spacing w:after="120" w:line="276" w:lineRule="auto"/>
        <w:jc w:val="both"/>
        <w:rPr>
          <w:rFonts w:cs="Arial"/>
          <w:lang w:val="en-AU"/>
        </w:rPr>
      </w:pPr>
      <w:r w:rsidRPr="00983BF9">
        <w:rPr>
          <w:rFonts w:cs="Arial"/>
          <w:lang w:val="en-AU"/>
        </w:rPr>
        <w:t xml:space="preserve">Building on existing relationships and leveraging established trust networks is likely to prove an effective strategy: the AFP's exceptional regional reputation and ongoing engagements provided a tangible demonstration of the benefits of OGD and Australian agency </w:t>
      </w:r>
      <w:proofErr w:type="gramStart"/>
      <w:r w:rsidRPr="00983BF9">
        <w:rPr>
          <w:rFonts w:cs="Arial"/>
          <w:lang w:val="en-AU"/>
        </w:rPr>
        <w:t>participation, and</w:t>
      </w:r>
      <w:proofErr w:type="gramEnd"/>
      <w:r w:rsidRPr="00983BF9">
        <w:rPr>
          <w:rFonts w:cs="Arial"/>
          <w:lang w:val="en-AU"/>
        </w:rPr>
        <w:t xml:space="preserve"> highlights the value of incremental progress and utilising successful models to encourage broader engagement.</w:t>
      </w:r>
    </w:p>
    <w:p w14:paraId="07B7382A" w14:textId="77777777" w:rsidR="00E14DC0" w:rsidRPr="00983BF9" w:rsidRDefault="00E14DC0" w:rsidP="0035461D">
      <w:pPr>
        <w:pStyle w:val="Heading3"/>
      </w:pPr>
      <w:r w:rsidRPr="00983BF9">
        <w:t>Engaging Australian institutions</w:t>
      </w:r>
    </w:p>
    <w:p w14:paraId="1AF26400" w14:textId="77777777" w:rsidR="00E14DC0" w:rsidRPr="00983BF9" w:rsidRDefault="00E14DC0" w:rsidP="00903D77">
      <w:pPr>
        <w:spacing w:after="120" w:line="276" w:lineRule="auto"/>
        <w:jc w:val="both"/>
        <w:rPr>
          <w:rFonts w:cs="Arial"/>
          <w:lang w:val="en-AU"/>
        </w:rPr>
      </w:pPr>
      <w:r w:rsidRPr="00983BF9">
        <w:rPr>
          <w:rFonts w:cs="Arial"/>
          <w:lang w:val="en-AU"/>
        </w:rPr>
        <w:t>The program expanded engagement with Australian academic and research institutions, such as the Australian National Centre for Ocean Resources and Security (ANCORS) and the Commonwealth Scientific and Industrial Research Organisation (CSIRO). These institutions brought valuable expertise and resources to APSP activities. An ANCORS representative stated for example that ‘</w:t>
      </w:r>
      <w:r w:rsidRPr="00983BF9">
        <w:rPr>
          <w:rFonts w:cs="Arial"/>
          <w:i/>
          <w:iCs/>
          <w:lang w:val="en-AU"/>
        </w:rPr>
        <w:t>ANCORS has worked throughout the Indo-Pacific region for many years; this is not new territory, and with our resources, it's something we can tailor as needed’</w:t>
      </w:r>
      <w:r w:rsidRPr="00983BF9">
        <w:rPr>
          <w:rFonts w:cs="Arial"/>
          <w:lang w:val="en-AU"/>
        </w:rPr>
        <w:t>.</w:t>
      </w:r>
    </w:p>
    <w:p w14:paraId="5FF30514" w14:textId="77777777" w:rsidR="00E14DC0" w:rsidRPr="00983BF9" w:rsidRDefault="00E14DC0" w:rsidP="00903D77">
      <w:pPr>
        <w:spacing w:after="120" w:line="276" w:lineRule="auto"/>
        <w:jc w:val="both"/>
        <w:rPr>
          <w:rFonts w:cs="Arial"/>
          <w:lang w:val="en-AU"/>
        </w:rPr>
      </w:pPr>
      <w:r w:rsidRPr="00983BF9">
        <w:rPr>
          <w:rFonts w:cs="Arial"/>
          <w:lang w:val="en-AU"/>
        </w:rPr>
        <w:t xml:space="preserve">Involving academic and research institutions has therefore introduced specialised knowledge and innovative perspectives to the program, with such entities often having greater flexibility and able to operate across borders more fluidly than government agencies. Their involvement not only enriched APSP </w:t>
      </w:r>
      <w:proofErr w:type="gramStart"/>
      <w:r w:rsidRPr="00983BF9">
        <w:rPr>
          <w:rFonts w:cs="Arial"/>
          <w:lang w:val="en-AU"/>
        </w:rPr>
        <w:t>activities, but</w:t>
      </w:r>
      <w:proofErr w:type="gramEnd"/>
      <w:r w:rsidRPr="00983BF9">
        <w:rPr>
          <w:rFonts w:cs="Arial"/>
          <w:lang w:val="en-AU"/>
        </w:rPr>
        <w:t xml:space="preserve"> also demonstrated alternative pathways for expertise mobilisation when OGDs faced constraints.</w:t>
      </w:r>
    </w:p>
    <w:p w14:paraId="0916A922" w14:textId="77777777" w:rsidR="00E14DC0" w:rsidRPr="0035461D" w:rsidRDefault="00E14DC0" w:rsidP="0035461D">
      <w:pPr>
        <w:pStyle w:val="Heading3"/>
      </w:pPr>
      <w:r w:rsidRPr="0035461D">
        <w:t>Flexibility and responsiveness</w:t>
      </w:r>
    </w:p>
    <w:p w14:paraId="45634129" w14:textId="77777777" w:rsidR="00E14DC0" w:rsidRPr="00983BF9" w:rsidRDefault="00E14DC0" w:rsidP="00903D77">
      <w:pPr>
        <w:spacing w:after="120" w:line="276" w:lineRule="auto"/>
        <w:jc w:val="both"/>
        <w:rPr>
          <w:rFonts w:cs="Arial"/>
          <w:lang w:val="en-AU"/>
        </w:rPr>
      </w:pPr>
      <w:r w:rsidRPr="00983BF9">
        <w:rPr>
          <w:rFonts w:cs="Arial"/>
          <w:lang w:val="en-AU"/>
        </w:rPr>
        <w:t>After a hesitant start, the APSP adopted a more flexible and responsive approach to activity planning, allowing for adjustments based on shifting regional dynamics and the expressed needs of ASEAN Secretariat and bodies, and ASEAN Member States. Indeed, early consultation with ASM and other stakeholders, including OGDs, helped identify priorities and secure buy-in for activities. An AFP officer highlighted the importance of early engagement, stating that ‘</w:t>
      </w:r>
      <w:r w:rsidRPr="00983BF9">
        <w:rPr>
          <w:rFonts w:cs="Arial"/>
          <w:i/>
          <w:iCs/>
          <w:lang w:val="en-AU"/>
        </w:rPr>
        <w:t>early discussions with partner countries […] would allow us to better tailor APSP support, securing buy-in for specific initiatives, like cryptocurrency training</w:t>
      </w:r>
      <w:r w:rsidRPr="00983BF9">
        <w:rPr>
          <w:rFonts w:cs="Arial"/>
          <w:lang w:val="en-AU"/>
        </w:rPr>
        <w:t>’.</w:t>
      </w:r>
    </w:p>
    <w:p w14:paraId="0BC7AA7F" w14:textId="77777777" w:rsidR="00E14DC0" w:rsidRPr="00983BF9" w:rsidRDefault="00E14DC0" w:rsidP="00903D77">
      <w:pPr>
        <w:spacing w:after="120" w:line="276" w:lineRule="auto"/>
        <w:jc w:val="both"/>
        <w:rPr>
          <w:rFonts w:cs="Arial"/>
          <w:lang w:val="en-AU"/>
        </w:rPr>
      </w:pPr>
      <w:r w:rsidRPr="00983BF9">
        <w:rPr>
          <w:rFonts w:cs="Arial"/>
          <w:lang w:val="en-AU"/>
        </w:rPr>
        <w:t>Flexibility and responsiveness were therefore essential in facilitating cooperation, in a region where national and local contexts can change rapidly. By aligning activities more closely with ASEAN's needs and involving stakeholders early, the APSP increased its relevance and potential impact. This adaptive approach reflected a shift from a top-down/ theoretical approach, represented in the original program design, to a more collaborative model, enhancing ownership and engagement among participants.</w:t>
      </w:r>
    </w:p>
    <w:p w14:paraId="05E4937F" w14:textId="77777777" w:rsidR="00E14DC0" w:rsidRPr="0035461D" w:rsidRDefault="00E14DC0" w:rsidP="0035461D">
      <w:pPr>
        <w:pStyle w:val="Heading3"/>
      </w:pPr>
      <w:r w:rsidRPr="0035461D">
        <w:t>Early involvement of OGDs</w:t>
      </w:r>
    </w:p>
    <w:p w14:paraId="2CFB1BF2" w14:textId="77777777" w:rsidR="00E14DC0" w:rsidRPr="00983BF9" w:rsidRDefault="00E14DC0" w:rsidP="00903D77">
      <w:pPr>
        <w:spacing w:after="120" w:line="276" w:lineRule="auto"/>
        <w:jc w:val="both"/>
        <w:rPr>
          <w:rFonts w:cs="Arial"/>
          <w:lang w:val="en-AU"/>
        </w:rPr>
      </w:pPr>
      <w:r w:rsidRPr="00983BF9">
        <w:rPr>
          <w:rFonts w:cs="Arial"/>
          <w:lang w:val="en-AU"/>
        </w:rPr>
        <w:t>After somewhat shaky start, greater efforts were made to involve OGDs earlier in the activity planning process. This early involvement aimed to align APSP activities with OGDs' priorities and secure their participation. Stakeholders nevertheless emphasised that continuous efforts are necessary in this regard, with one Australian government official stating that ‘</w:t>
      </w:r>
      <w:r w:rsidRPr="00983BF9">
        <w:rPr>
          <w:rFonts w:cs="Arial"/>
          <w:i/>
          <w:iCs/>
          <w:lang w:val="en-AU"/>
        </w:rPr>
        <w:t xml:space="preserve">if we could be part of the discussions </w:t>
      </w:r>
      <w:r w:rsidRPr="00983BF9">
        <w:rPr>
          <w:rFonts w:cs="Arial"/>
          <w:i/>
          <w:iCs/>
          <w:lang w:val="en-AU"/>
        </w:rPr>
        <w:lastRenderedPageBreak/>
        <w:t>earlier... we could suggest themes for workshops or capability development, which would allow us to secure buy-in for programs like cryptocurrency training</w:t>
      </w:r>
      <w:r w:rsidRPr="00983BF9">
        <w:rPr>
          <w:rFonts w:cs="Arial"/>
          <w:lang w:val="en-AU"/>
        </w:rPr>
        <w:t xml:space="preserve">,’ </w:t>
      </w:r>
    </w:p>
    <w:p w14:paraId="386BDE38" w14:textId="77777777" w:rsidR="00E14DC0" w:rsidRDefault="00E14DC0" w:rsidP="00903D77">
      <w:pPr>
        <w:spacing w:after="120" w:line="276" w:lineRule="auto"/>
        <w:jc w:val="both"/>
        <w:rPr>
          <w:rFonts w:cs="Arial"/>
          <w:lang w:val="en-AU"/>
        </w:rPr>
      </w:pPr>
      <w:r w:rsidRPr="00983BF9">
        <w:rPr>
          <w:rFonts w:cs="Arial"/>
          <w:lang w:val="en-AU"/>
        </w:rPr>
        <w:t xml:space="preserve">Early involvement of OGDs would therefore foster a sense of </w:t>
      </w:r>
      <w:proofErr w:type="gramStart"/>
      <w:r w:rsidRPr="00983BF9">
        <w:rPr>
          <w:rFonts w:cs="Arial"/>
          <w:lang w:val="en-AU"/>
        </w:rPr>
        <w:t>ownership, and</w:t>
      </w:r>
      <w:proofErr w:type="gramEnd"/>
      <w:r w:rsidRPr="00983BF9">
        <w:rPr>
          <w:rFonts w:cs="Arial"/>
          <w:lang w:val="en-AU"/>
        </w:rPr>
        <w:t xml:space="preserve"> allow for the alignment of program activities with OGD objectives. It would mitigate the issue of misaligned priorities by integrating OGD input into the planning stages, thus making their participation more attractive and feasible.</w:t>
      </w:r>
    </w:p>
    <w:p w14:paraId="1D38D2E0" w14:textId="77777777" w:rsidR="00E14DC0" w:rsidRPr="00983BF9" w:rsidRDefault="00E14DC0" w:rsidP="00446279">
      <w:pPr>
        <w:pStyle w:val="Heading2"/>
        <w:numPr>
          <w:ilvl w:val="0"/>
          <w:numId w:val="114"/>
        </w:numPr>
      </w:pPr>
      <w:bookmarkStart w:id="39" w:name="_Toc206492288"/>
      <w:r w:rsidRPr="00983BF9">
        <w:t>OGD Responses</w:t>
      </w:r>
      <w:bookmarkEnd w:id="39"/>
    </w:p>
    <w:p w14:paraId="27FEAE9F" w14:textId="77777777" w:rsidR="00E14DC0" w:rsidRPr="00983BF9" w:rsidRDefault="00E14DC0" w:rsidP="00903D77">
      <w:pPr>
        <w:spacing w:after="120" w:line="276" w:lineRule="auto"/>
        <w:jc w:val="both"/>
        <w:rPr>
          <w:rFonts w:cs="Arial"/>
          <w:lang w:val="en-AU"/>
        </w:rPr>
      </w:pPr>
      <w:r w:rsidRPr="00983BF9">
        <w:rPr>
          <w:rFonts w:cs="Arial"/>
          <w:lang w:val="en-AU"/>
        </w:rPr>
        <w:t xml:space="preserve">DFAT’s adaptive approach led to some degree of improved engagement with OGDs in several dimensions. OGDs began to participate more actively in APSP activities, particularly when they perceived more direct alignment with their </w:t>
      </w:r>
      <w:proofErr w:type="gramStart"/>
      <w:r w:rsidRPr="00983BF9">
        <w:rPr>
          <w:rFonts w:cs="Arial"/>
          <w:lang w:val="en-AU"/>
        </w:rPr>
        <w:t>priorities, and</w:t>
      </w:r>
      <w:proofErr w:type="gramEnd"/>
      <w:r w:rsidRPr="00983BF9">
        <w:rPr>
          <w:rFonts w:cs="Arial"/>
          <w:lang w:val="en-AU"/>
        </w:rPr>
        <w:t xml:space="preserve"> recognised the benefits of such engagement. While not representing Departmental engagement </w:t>
      </w:r>
      <w:r w:rsidRPr="00983BF9">
        <w:rPr>
          <w:rFonts w:cs="Arial"/>
          <w:i/>
          <w:iCs/>
          <w:lang w:val="en-AU"/>
        </w:rPr>
        <w:t>per se</w:t>
      </w:r>
      <w:r w:rsidRPr="00983BF9">
        <w:rPr>
          <w:rFonts w:cs="Arial"/>
          <w:lang w:val="en-AU"/>
        </w:rPr>
        <w:t xml:space="preserve">, the implication of agencies such as the AFP provided expertise in areas such as cybersecurity and </w:t>
      </w:r>
      <w:proofErr w:type="gramStart"/>
      <w:r w:rsidRPr="00983BF9">
        <w:rPr>
          <w:rFonts w:cs="Arial"/>
          <w:lang w:val="en-AU"/>
        </w:rPr>
        <w:t>counter-terrorism</w:t>
      </w:r>
      <w:proofErr w:type="gramEnd"/>
      <w:r w:rsidRPr="00983BF9">
        <w:rPr>
          <w:rFonts w:cs="Arial"/>
          <w:lang w:val="en-AU"/>
        </w:rPr>
        <w:t>. This strongly suggests that such contributions are far more easily obtained and ultimately more technically beneficial when direct sources of expertise are sourced.</w:t>
      </w:r>
    </w:p>
    <w:p w14:paraId="707DDC08" w14:textId="77777777" w:rsidR="00E14DC0" w:rsidRPr="00983BF9" w:rsidRDefault="00E14DC0" w:rsidP="00903D77">
      <w:pPr>
        <w:spacing w:after="120" w:line="276" w:lineRule="auto"/>
        <w:jc w:val="both"/>
        <w:rPr>
          <w:rFonts w:cs="Arial"/>
          <w:lang w:val="en-AU"/>
        </w:rPr>
      </w:pPr>
      <w:r w:rsidRPr="00983BF9">
        <w:rPr>
          <w:rFonts w:cs="Arial"/>
          <w:lang w:val="en-AU"/>
        </w:rPr>
        <w:t>Over time, improved communication channels between DFAT, TAF, and OGDs facilitated better coordination. Sharing preliminary work plans and providing advance notice of activities allowed OGDs to plan and allocate resources more effectively. OGDs gradually started to recognise the long-term benefits of engaging with ASEAN through the APSP. This recognition included opportunities for learning, building regional networks, and enhancing Australia's influence in the region. The pertinence of this was underscored by one Australian government officer, who stated that ‘</w:t>
      </w:r>
      <w:r w:rsidRPr="00983BF9">
        <w:rPr>
          <w:rFonts w:cs="Arial"/>
          <w:i/>
          <w:iCs/>
          <w:lang w:val="en-AU"/>
        </w:rPr>
        <w:t xml:space="preserve">cyber is increasingly recognised as a major priority across Southeast Asia, akin to </w:t>
      </w:r>
      <w:proofErr w:type="gramStart"/>
      <w:r w:rsidRPr="00983BF9">
        <w:rPr>
          <w:rFonts w:cs="Arial"/>
          <w:i/>
          <w:iCs/>
          <w:lang w:val="en-AU"/>
        </w:rPr>
        <w:t>counter-terrorism</w:t>
      </w:r>
      <w:proofErr w:type="gramEnd"/>
      <w:r w:rsidRPr="00983BF9">
        <w:rPr>
          <w:rFonts w:cs="Arial"/>
          <w:i/>
          <w:iCs/>
          <w:lang w:val="en-AU"/>
        </w:rPr>
        <w:t>, and is critical for APSP's future focus’</w:t>
      </w:r>
      <w:r w:rsidRPr="00983BF9">
        <w:rPr>
          <w:rFonts w:cs="Arial"/>
          <w:lang w:val="en-AU"/>
        </w:rPr>
        <w:t>.</w:t>
      </w:r>
    </w:p>
    <w:p w14:paraId="276F09AE" w14:textId="77777777" w:rsidR="00E14DC0" w:rsidRDefault="00E14DC0" w:rsidP="00903D77">
      <w:pPr>
        <w:spacing w:after="120" w:line="276" w:lineRule="auto"/>
        <w:jc w:val="both"/>
        <w:rPr>
          <w:rFonts w:cs="Arial"/>
          <w:lang w:val="en-AU"/>
        </w:rPr>
      </w:pPr>
      <w:r w:rsidRPr="00983BF9">
        <w:rPr>
          <w:rFonts w:cs="Arial"/>
          <w:lang w:val="en-AU"/>
        </w:rPr>
        <w:t>The positive response from OGDs indicates that the adaptive measures adopted by APSP addressed to some extent the underlying barriers to engagement. By aligning program activities with OGD priorities and demonstrating clear benefits, the APSP made participation more attractive. The recognition of long-term strategic advantages suggests that OGDs began to view ASEAN engagement not just as an external obligation but as an opportunity to advance their own departmental objectives.</w:t>
      </w:r>
    </w:p>
    <w:p w14:paraId="69D32BE7" w14:textId="77777777" w:rsidR="00E14DC0" w:rsidRPr="00983BF9" w:rsidRDefault="00E14DC0" w:rsidP="00446279">
      <w:pPr>
        <w:pStyle w:val="Heading2"/>
        <w:numPr>
          <w:ilvl w:val="0"/>
          <w:numId w:val="114"/>
        </w:numPr>
      </w:pPr>
      <w:bookmarkStart w:id="40" w:name="_Toc206492289"/>
      <w:r w:rsidRPr="00983BF9">
        <w:t>Future OGD Engagement</w:t>
      </w:r>
      <w:bookmarkEnd w:id="40"/>
    </w:p>
    <w:p w14:paraId="654838FF" w14:textId="77777777" w:rsidR="00E14DC0" w:rsidRPr="00983BF9" w:rsidRDefault="00E14DC0" w:rsidP="00903D77">
      <w:pPr>
        <w:spacing w:after="120" w:line="276" w:lineRule="auto"/>
        <w:jc w:val="both"/>
        <w:rPr>
          <w:rFonts w:cs="Arial"/>
          <w:lang w:val="en-AU"/>
        </w:rPr>
      </w:pPr>
      <w:r w:rsidRPr="00983BF9">
        <w:rPr>
          <w:rFonts w:cs="Arial"/>
          <w:lang w:val="en-AU"/>
        </w:rPr>
        <w:t>Building on the experiences and lessons learned, seva number of approaches could enhance OGD engagement in future iterations of the APSP. The limited involvement of OGDs has restricted the diversity of expertise and perspectives, affecting the program's effectiveness; enhancing engagement with OGDs will therefore be essential for a cohesive and effective ‘whole-of-government’ approach.</w:t>
      </w:r>
    </w:p>
    <w:p w14:paraId="1EBF870D" w14:textId="77777777" w:rsidR="00E14DC0" w:rsidRPr="00983BF9" w:rsidRDefault="00E14DC0" w:rsidP="0035461D">
      <w:pPr>
        <w:pStyle w:val="Heading3"/>
      </w:pPr>
      <w:r w:rsidRPr="00983BF9">
        <w:t>Inter-departmental briefings</w:t>
      </w:r>
    </w:p>
    <w:p w14:paraId="34ACAD3A" w14:textId="77777777" w:rsidR="00E14DC0" w:rsidRPr="00983BF9" w:rsidRDefault="00E14DC0" w:rsidP="00903D77">
      <w:pPr>
        <w:spacing w:after="120" w:line="276" w:lineRule="auto"/>
        <w:jc w:val="both"/>
        <w:rPr>
          <w:rFonts w:cs="Arial"/>
          <w:lang w:val="en-AU"/>
        </w:rPr>
      </w:pPr>
      <w:r w:rsidRPr="00983BF9">
        <w:rPr>
          <w:rFonts w:cs="Arial"/>
          <w:lang w:val="en-AU"/>
        </w:rPr>
        <w:t xml:space="preserve">Increasing awareness of APSP objectives and benefits among OGDs is crucial. DFAT and TAF should organise regular inter-departmental briefings and information sessions to present the APSP's goals, activities, and potential benefits to OGDs, </w:t>
      </w:r>
      <w:proofErr w:type="gramStart"/>
      <w:r w:rsidRPr="00983BF9">
        <w:rPr>
          <w:rFonts w:cs="Arial"/>
          <w:lang w:val="en-AU"/>
        </w:rPr>
        <w:t>in particular given</w:t>
      </w:r>
      <w:proofErr w:type="gramEnd"/>
      <w:r w:rsidRPr="00983BF9">
        <w:rPr>
          <w:rFonts w:cs="Arial"/>
          <w:lang w:val="en-AU"/>
        </w:rPr>
        <w:t xml:space="preserve"> that, as one DFAT official suggested, ‘</w:t>
      </w:r>
      <w:r w:rsidRPr="00983BF9">
        <w:rPr>
          <w:rFonts w:cs="Arial"/>
          <w:i/>
          <w:iCs/>
          <w:lang w:val="en-AU"/>
        </w:rPr>
        <w:t>expanding government department involvement in APSP remains challenging but essential for broader ASEAN-DFAT engagement’</w:t>
      </w:r>
      <w:r w:rsidRPr="00983BF9">
        <w:rPr>
          <w:rFonts w:cs="Arial"/>
          <w:lang w:val="en-AU"/>
        </w:rPr>
        <w:t>.</w:t>
      </w:r>
    </w:p>
    <w:p w14:paraId="5F7E6A0D" w14:textId="77777777" w:rsidR="00E14DC0" w:rsidRPr="00983BF9" w:rsidRDefault="00E14DC0" w:rsidP="00903D77">
      <w:pPr>
        <w:spacing w:after="120" w:line="276" w:lineRule="auto"/>
        <w:jc w:val="both"/>
        <w:rPr>
          <w:rFonts w:cs="Arial"/>
          <w:lang w:val="en-AU"/>
        </w:rPr>
      </w:pPr>
      <w:r w:rsidRPr="00983BF9">
        <w:rPr>
          <w:rFonts w:cs="Arial"/>
          <w:lang w:val="en-AU"/>
        </w:rPr>
        <w:lastRenderedPageBreak/>
        <w:t>Such briefings would help break down communication barriers and build a shared understanding of the APSP's strategic importance. They could provide a platform for dialogue, questions, and the alignment of expectations, and could foster a collaborative environment where OGDs feel informed and valued as active partners, rather than peripheral participants.</w:t>
      </w:r>
    </w:p>
    <w:p w14:paraId="0FB768B7" w14:textId="77777777" w:rsidR="00E14DC0" w:rsidRPr="00983BF9" w:rsidRDefault="00E14DC0" w:rsidP="0035461D">
      <w:pPr>
        <w:pStyle w:val="Heading3"/>
      </w:pPr>
      <w:r w:rsidRPr="00983BF9">
        <w:t>Early-stage cooperation</w:t>
      </w:r>
    </w:p>
    <w:p w14:paraId="0A38EEDA" w14:textId="77777777" w:rsidR="00E14DC0" w:rsidRPr="00983BF9" w:rsidRDefault="00E14DC0" w:rsidP="00903D77">
      <w:pPr>
        <w:spacing w:after="120" w:line="276" w:lineRule="auto"/>
        <w:jc w:val="both"/>
        <w:rPr>
          <w:rFonts w:cs="Arial"/>
          <w:lang w:val="en-AU"/>
        </w:rPr>
      </w:pPr>
      <w:r w:rsidRPr="00983BF9">
        <w:rPr>
          <w:rFonts w:cs="Arial"/>
          <w:lang w:val="en-AU"/>
        </w:rPr>
        <w:t>Aligning OGDs' budgeting and resource allocation towards APSP objectives could be facilitated by sharing preliminary work plans and activity schedules with OGDs several months ahead of implementation. This would allow OGDs to plan and secure necessary resources, increasing their ability to participate, with one stakeholder emphasising that ‘</w:t>
      </w:r>
      <w:r w:rsidRPr="00983BF9">
        <w:rPr>
          <w:rFonts w:cs="Arial"/>
          <w:i/>
          <w:iCs/>
          <w:lang w:val="en-AU"/>
        </w:rPr>
        <w:t>improved internal relationships among Australian government divisions could unify their ASEAN approach, but these connections aren’t well-established</w:t>
      </w:r>
      <w:r w:rsidRPr="00983BF9">
        <w:rPr>
          <w:rFonts w:cs="Arial"/>
          <w:lang w:val="en-AU"/>
        </w:rPr>
        <w:t xml:space="preserve">.’ </w:t>
      </w:r>
      <w:proofErr w:type="gramStart"/>
      <w:r w:rsidRPr="00983BF9">
        <w:rPr>
          <w:rFonts w:cs="Arial"/>
          <w:lang w:val="en-AU"/>
        </w:rPr>
        <w:t>Advance planning</w:t>
      </w:r>
      <w:proofErr w:type="gramEnd"/>
      <w:r w:rsidRPr="00983BF9">
        <w:rPr>
          <w:rFonts w:cs="Arial"/>
          <w:lang w:val="en-AU"/>
        </w:rPr>
        <w:t xml:space="preserve"> would respect the operational realities of OGDs, which often require lead time for budget approvals and staffing arrangements, thus mitigating resource constraints by allowing departments to integrate APSP activities into their annual plans, making participation more feasible.</w:t>
      </w:r>
    </w:p>
    <w:p w14:paraId="452FE7C7" w14:textId="77777777" w:rsidR="00E14DC0" w:rsidRPr="00983BF9" w:rsidRDefault="00E14DC0" w:rsidP="00903D77">
      <w:pPr>
        <w:spacing w:after="120" w:line="276" w:lineRule="auto"/>
        <w:jc w:val="both"/>
        <w:rPr>
          <w:rFonts w:cs="Arial"/>
          <w:lang w:val="en-AU"/>
        </w:rPr>
      </w:pPr>
      <w:r w:rsidRPr="00983BF9">
        <w:rPr>
          <w:rFonts w:cs="Arial"/>
          <w:lang w:val="en-AU"/>
        </w:rPr>
        <w:t>Aligning APSP activities with OGDs' priorities and securing their buy-in would also require involving OGDs in the immediate planning stages. This would include consultations to identify emerging political-security issues and themes for activities. This approach is confirmed by one DFAT official who stated that ‘</w:t>
      </w:r>
      <w:r w:rsidRPr="00983BF9">
        <w:rPr>
          <w:rFonts w:cs="Arial"/>
          <w:i/>
          <w:iCs/>
          <w:lang w:val="en-AU"/>
        </w:rPr>
        <w:t>ASEAN engagement needs to be demand-driven, with ASEAN requesting and prioritising projects. This aligns better with DFAT's mission than with agencies focused on domestic or bilateral concerns</w:t>
      </w:r>
      <w:r w:rsidRPr="00983BF9">
        <w:rPr>
          <w:rFonts w:cs="Arial"/>
          <w:lang w:val="en-AU"/>
        </w:rPr>
        <w:t xml:space="preserve">.’ Inclusion in planning in this manner would not only align activities with OGD </w:t>
      </w:r>
      <w:proofErr w:type="gramStart"/>
      <w:r w:rsidRPr="00983BF9">
        <w:rPr>
          <w:rFonts w:cs="Arial"/>
          <w:lang w:val="en-AU"/>
        </w:rPr>
        <w:t>priorities, but</w:t>
      </w:r>
      <w:proofErr w:type="gramEnd"/>
      <w:r w:rsidRPr="00983BF9">
        <w:rPr>
          <w:rFonts w:cs="Arial"/>
          <w:lang w:val="en-AU"/>
        </w:rPr>
        <w:t xml:space="preserve"> also empower departments to contribute their expertise and insights, and foster a sense of shared ownership.</w:t>
      </w:r>
    </w:p>
    <w:p w14:paraId="59DB9B2D" w14:textId="77777777" w:rsidR="00E14DC0" w:rsidRPr="00983BF9" w:rsidRDefault="00E14DC0" w:rsidP="00903D77">
      <w:pPr>
        <w:spacing w:after="120" w:line="276" w:lineRule="auto"/>
        <w:jc w:val="both"/>
        <w:rPr>
          <w:rFonts w:cs="Arial"/>
          <w:lang w:val="en-AU"/>
        </w:rPr>
      </w:pPr>
      <w:r w:rsidRPr="00983BF9">
        <w:rPr>
          <w:rFonts w:cs="Arial"/>
          <w:lang w:val="en-AU"/>
        </w:rPr>
        <w:t xml:space="preserve">Enhancing OGDs' ability to participate in specific events and initiatives could be achieved by providing them with timely information about upcoming workshops, seminars, and other activities, allowing them to plan and allocate resources efficiently. This would also signal respect for their operational </w:t>
      </w:r>
      <w:proofErr w:type="gramStart"/>
      <w:r w:rsidRPr="00983BF9">
        <w:rPr>
          <w:rFonts w:cs="Arial"/>
          <w:lang w:val="en-AU"/>
        </w:rPr>
        <w:t>processes, and</w:t>
      </w:r>
      <w:proofErr w:type="gramEnd"/>
      <w:r w:rsidRPr="00983BF9">
        <w:rPr>
          <w:rFonts w:cs="Arial"/>
          <w:lang w:val="en-AU"/>
        </w:rPr>
        <w:t xml:space="preserve"> acknowledge the practicalities of governmental coordination.</w:t>
      </w:r>
    </w:p>
    <w:p w14:paraId="58DCFE0A" w14:textId="77777777" w:rsidR="00E14DC0" w:rsidRPr="00983BF9" w:rsidRDefault="00E14DC0" w:rsidP="0035461D">
      <w:pPr>
        <w:pStyle w:val="Heading3"/>
      </w:pPr>
      <w:r w:rsidRPr="00983BF9">
        <w:t>Establishing clear roles and responsibilities</w:t>
      </w:r>
    </w:p>
    <w:p w14:paraId="310AA6AB" w14:textId="77777777" w:rsidR="00E14DC0" w:rsidRPr="00983BF9" w:rsidRDefault="00E14DC0" w:rsidP="00903D77">
      <w:pPr>
        <w:spacing w:after="120" w:line="276" w:lineRule="auto"/>
        <w:jc w:val="both"/>
        <w:rPr>
          <w:rFonts w:cs="Arial"/>
          <w:lang w:val="en-AU"/>
        </w:rPr>
      </w:pPr>
      <w:r w:rsidRPr="00983BF9">
        <w:rPr>
          <w:rFonts w:cs="Arial"/>
          <w:lang w:val="en-AU"/>
        </w:rPr>
        <w:t>Clarifying the structure and responsibilities within the APSP framework is essential. Defining the roles of DFAT, TAF, and OGDs clearly, and outlining expectations and responsibilities, would improve coordination and accountability among all parties, with one DFAT official stating that ‘</w:t>
      </w:r>
      <w:r w:rsidRPr="00983BF9">
        <w:rPr>
          <w:rFonts w:cs="Arial"/>
          <w:i/>
          <w:iCs/>
          <w:lang w:val="en-AU"/>
        </w:rPr>
        <w:t>communicating APSP's role and benefits is challenging, as DFAT itself often struggles to navigate ASEAN's structure and to explain APSP's value within it.</w:t>
      </w:r>
      <w:r w:rsidRPr="00983BF9">
        <w:rPr>
          <w:rFonts w:cs="Arial"/>
          <w:lang w:val="en-AU"/>
        </w:rPr>
        <w:t>’ A strong, formal delineation of roles would not only prevent inefficiencies, but would also enhance accountability. In turn, by understanding their specific contributions and expectations, OGDs could engage more confidently and effectively.</w:t>
      </w:r>
    </w:p>
    <w:p w14:paraId="00A8AA38" w14:textId="77777777" w:rsidR="00E14DC0" w:rsidRPr="00983BF9" w:rsidRDefault="00E14DC0" w:rsidP="0035461D">
      <w:pPr>
        <w:pStyle w:val="Heading3"/>
      </w:pPr>
      <w:r w:rsidRPr="00983BF9">
        <w:t>Fostering internal coordination among OGDs</w:t>
      </w:r>
    </w:p>
    <w:p w14:paraId="6196CD61" w14:textId="77777777" w:rsidR="00E14DC0" w:rsidRPr="00983BF9" w:rsidRDefault="00E14DC0" w:rsidP="00903D77">
      <w:pPr>
        <w:spacing w:after="120" w:line="276" w:lineRule="auto"/>
        <w:jc w:val="both"/>
        <w:rPr>
          <w:rFonts w:cs="Arial"/>
          <w:lang w:val="en-AU"/>
        </w:rPr>
      </w:pPr>
      <w:r w:rsidRPr="00983BF9">
        <w:rPr>
          <w:rFonts w:cs="Arial"/>
          <w:lang w:val="en-AU"/>
        </w:rPr>
        <w:t>More broadly, enhancing communication and alignment within the Australian Government could be achieved by creating mechanisms for regular communication among OGDs regarding ASEAN engagement, possibly through inter-departmental committees or working groups. More formal coordination mechanisms could address the siloed nature of OGDs, with regular interactions building relationships, facilitating knowledge sharing, and aligning efforts.</w:t>
      </w:r>
    </w:p>
    <w:p w14:paraId="7151F46D" w14:textId="77777777" w:rsidR="00E14DC0" w:rsidRPr="00983BF9" w:rsidRDefault="00E14DC0" w:rsidP="0035461D">
      <w:pPr>
        <w:pStyle w:val="Heading3"/>
      </w:pPr>
      <w:r w:rsidRPr="00983BF9">
        <w:lastRenderedPageBreak/>
        <w:t>Addressing resource constraints</w:t>
      </w:r>
    </w:p>
    <w:p w14:paraId="701AFE5E" w14:textId="77777777" w:rsidR="00E14DC0" w:rsidRPr="00983BF9" w:rsidRDefault="00E14DC0" w:rsidP="00903D77">
      <w:pPr>
        <w:spacing w:after="120" w:line="276" w:lineRule="auto"/>
        <w:jc w:val="both"/>
        <w:rPr>
          <w:rFonts w:cs="Arial"/>
          <w:i/>
          <w:iCs/>
          <w:lang w:val="en-AU"/>
        </w:rPr>
      </w:pPr>
      <w:r w:rsidRPr="00983BF9">
        <w:rPr>
          <w:rFonts w:cs="Arial"/>
          <w:lang w:val="en-AU"/>
        </w:rPr>
        <w:t>Overcoming staffing and funding limitations that hinder OGD participation would require exploring options for providing administrative support or funding to OGDs to facilitate their involvement in a future iteration of APSP, with one Australian government official noting however that ‘</w:t>
      </w:r>
      <w:r w:rsidRPr="00983BF9">
        <w:rPr>
          <w:rFonts w:cs="Arial"/>
          <w:i/>
          <w:iCs/>
          <w:lang w:val="en-AU"/>
        </w:rPr>
        <w:t xml:space="preserve">larger programs with more consistent funding […] allow Australian agencies to allocate dedicated staff.’ </w:t>
      </w:r>
      <w:r w:rsidRPr="00983BF9">
        <w:rPr>
          <w:rFonts w:cs="Arial"/>
          <w:lang w:val="en-AU"/>
        </w:rPr>
        <w:t>By offering support or finding innovative funding solutions, the APSP could potentially lower the threshold for OGD participation, with departmental resource constraints being a fundamental impediment to engagement.</w:t>
      </w:r>
    </w:p>
    <w:p w14:paraId="569D5741" w14:textId="77777777" w:rsidR="00E14DC0" w:rsidRPr="00983BF9" w:rsidRDefault="00E14DC0" w:rsidP="00446279">
      <w:pPr>
        <w:pStyle w:val="Heading2"/>
        <w:numPr>
          <w:ilvl w:val="0"/>
          <w:numId w:val="114"/>
        </w:numPr>
      </w:pPr>
      <w:bookmarkStart w:id="41" w:name="_Toc206492290"/>
      <w:r w:rsidRPr="00983BF9">
        <w:t>Conclusion</w:t>
      </w:r>
      <w:bookmarkEnd w:id="41"/>
    </w:p>
    <w:p w14:paraId="6D29433C" w14:textId="77777777" w:rsidR="00E14DC0" w:rsidRPr="00983BF9" w:rsidRDefault="00E14DC0" w:rsidP="00903D77">
      <w:pPr>
        <w:spacing w:after="120" w:line="276" w:lineRule="auto"/>
        <w:jc w:val="both"/>
        <w:rPr>
          <w:rFonts w:cs="Arial"/>
          <w:lang w:val="en-AU"/>
        </w:rPr>
      </w:pPr>
      <w:r w:rsidRPr="00983BF9">
        <w:rPr>
          <w:rFonts w:cs="Arial"/>
          <w:lang w:val="en-AU"/>
        </w:rPr>
        <w:t>The challenges faced by the APSP are not unique but reflect broader issues of inter-departmental coordination, resource allocation, and strategic alignment. The adaptive measures already taken demonstrate that, with targeted interventions, these challenges can be mitigated, and underscore the importance of dedicated leadership, effective communication, and the alignment of program objectives with departmental priorities.</w:t>
      </w:r>
    </w:p>
    <w:p w14:paraId="630540D7" w14:textId="77777777" w:rsidR="00E14DC0" w:rsidRPr="00983BF9" w:rsidRDefault="00E14DC0" w:rsidP="00903D77">
      <w:pPr>
        <w:spacing w:after="120" w:line="276" w:lineRule="auto"/>
        <w:jc w:val="both"/>
        <w:rPr>
          <w:rFonts w:cs="Arial"/>
          <w:lang w:val="en-AU"/>
        </w:rPr>
      </w:pPr>
      <w:r w:rsidRPr="00983BF9">
        <w:rPr>
          <w:rFonts w:cs="Arial"/>
          <w:lang w:val="en-AU"/>
        </w:rPr>
        <w:t xml:space="preserve">Leveraging the expertise and resources of various Australian entities will enrich APSP activities, foster stronger relationships with ASEAN counterparts, and contribute to regional stability and prosperity. It is essential to build on the lessons learned and consolidate the approaches already established. </w:t>
      </w:r>
    </w:p>
    <w:p w14:paraId="5B95759C" w14:textId="77777777" w:rsidR="00E14DC0" w:rsidRPr="00983BF9" w:rsidRDefault="00E14DC0" w:rsidP="00903D77">
      <w:pPr>
        <w:spacing w:after="120" w:line="276" w:lineRule="auto"/>
        <w:jc w:val="both"/>
        <w:rPr>
          <w:rFonts w:cs="Arial"/>
          <w:lang w:val="en-AU"/>
        </w:rPr>
      </w:pPr>
      <w:r w:rsidRPr="00983BF9">
        <w:rPr>
          <w:rFonts w:cs="Arial"/>
          <w:lang w:val="en-AU"/>
        </w:rPr>
        <w:t>The integration of OGDs into the APSP represents both a significant opportunity and a complex challenge. Indeed, the success of any future iteration of the APSP will largely hinge on effective collaboration between DFAT, TAF, OGDs, and ASEAN counterparts. By addressing the challenges and implementing the recommended steps, the program can realise its full potential in enhancing political security cooperation in the region.</w:t>
      </w:r>
    </w:p>
    <w:p w14:paraId="2259C45B" w14:textId="5AE6F5ED" w:rsidR="00C454FA" w:rsidRDefault="00C454FA" w:rsidP="00903D77">
      <w:pPr>
        <w:spacing w:after="120" w:line="276" w:lineRule="auto"/>
        <w:jc w:val="both"/>
        <w:rPr>
          <w:lang w:val="en-AU"/>
        </w:rPr>
      </w:pPr>
    </w:p>
    <w:p w14:paraId="45D120BD" w14:textId="77777777" w:rsidR="005B0E35" w:rsidRDefault="005B0E35" w:rsidP="00C454FA">
      <w:pPr>
        <w:pStyle w:val="Heading1"/>
        <w:pBdr>
          <w:bottom w:val="single" w:sz="4" w:space="0" w:color="595959" w:themeColor="text1" w:themeTint="A6"/>
        </w:pBdr>
        <w:spacing w:before="0" w:after="120" w:line="276" w:lineRule="auto"/>
        <w:ind w:left="432" w:hanging="432"/>
        <w:rPr>
          <w:lang w:val="en-AU"/>
        </w:rPr>
        <w:sectPr w:rsidR="005B0E35" w:rsidSect="00A53D7A">
          <w:footerReference w:type="default" r:id="rId26"/>
          <w:footerReference w:type="first" r:id="rId27"/>
          <w:pgSz w:w="11906" w:h="16838" w:code="9"/>
          <w:pgMar w:top="1440" w:right="1440" w:bottom="1440" w:left="1440" w:header="720" w:footer="720" w:gutter="0"/>
          <w:pgNumType w:start="1"/>
          <w:cols w:space="720"/>
          <w:titlePg/>
          <w:docGrid w:linePitch="299"/>
        </w:sectPr>
      </w:pPr>
    </w:p>
    <w:p w14:paraId="401C5366" w14:textId="20C5CDCD" w:rsidR="00C454FA" w:rsidRDefault="00C454FA" w:rsidP="00C454FA">
      <w:pPr>
        <w:pStyle w:val="Heading1"/>
        <w:pBdr>
          <w:bottom w:val="single" w:sz="4" w:space="0" w:color="595959" w:themeColor="text1" w:themeTint="A6"/>
        </w:pBdr>
        <w:spacing w:before="0" w:after="120" w:line="276" w:lineRule="auto"/>
        <w:ind w:left="432" w:hanging="432"/>
        <w:rPr>
          <w:lang w:val="en-AU"/>
        </w:rPr>
      </w:pPr>
      <w:bookmarkStart w:id="42" w:name="_Toc206492291"/>
      <w:r w:rsidRPr="007C3B9D">
        <w:rPr>
          <w:lang w:val="en-AU"/>
        </w:rPr>
        <w:lastRenderedPageBreak/>
        <w:t xml:space="preserve">Annex </w:t>
      </w:r>
      <w:r>
        <w:rPr>
          <w:lang w:val="en-AU"/>
        </w:rPr>
        <w:t>7</w:t>
      </w:r>
      <w:r w:rsidRPr="007C3B9D">
        <w:rPr>
          <w:lang w:val="en-AU"/>
        </w:rPr>
        <w:t xml:space="preserve">: </w:t>
      </w:r>
      <w:r w:rsidR="00266CCF">
        <w:rPr>
          <w:lang w:val="en-AU"/>
        </w:rPr>
        <w:t xml:space="preserve">APSP </w:t>
      </w:r>
      <w:r w:rsidR="00112C91">
        <w:rPr>
          <w:lang w:val="en-AU"/>
        </w:rPr>
        <w:t>budget as revised in September 2023</w:t>
      </w:r>
      <w:bookmarkEnd w:id="42"/>
    </w:p>
    <w:p w14:paraId="339EEE27" w14:textId="77777777" w:rsidR="0035461D" w:rsidRPr="002A5130" w:rsidRDefault="0035461D" w:rsidP="003925F6">
      <w:pPr>
        <w:spacing w:before="240" w:after="120"/>
        <w:rPr>
          <w:b/>
          <w:bCs/>
        </w:rPr>
      </w:pPr>
      <w:r w:rsidRPr="002A5130">
        <w:rPr>
          <w:b/>
          <w:bCs/>
        </w:rPr>
        <w:t>Component 1: Identify priorities and opportunities to support Australian-ASEAN security cooperation</w:t>
      </w:r>
    </w:p>
    <w:tbl>
      <w:tblPr>
        <w:tblStyle w:val="TableGrid"/>
        <w:tblW w:w="0" w:type="auto"/>
        <w:tblLook w:val="04E0" w:firstRow="1" w:lastRow="1" w:firstColumn="1" w:lastColumn="0" w:noHBand="0" w:noVBand="1"/>
      </w:tblPr>
      <w:tblGrid>
        <w:gridCol w:w="7293"/>
        <w:gridCol w:w="1331"/>
        <w:gridCol w:w="1331"/>
        <w:gridCol w:w="1331"/>
        <w:gridCol w:w="1331"/>
        <w:gridCol w:w="1331"/>
      </w:tblGrid>
      <w:tr w:rsidR="0035461D" w:rsidRPr="002A5130" w14:paraId="1B2E9475" w14:textId="77777777" w:rsidTr="003925F6">
        <w:trPr>
          <w:trHeight w:val="1140"/>
        </w:trPr>
        <w:tc>
          <w:tcPr>
            <w:tcW w:w="7293" w:type="dxa"/>
            <w:noWrap/>
            <w:hideMark/>
          </w:tcPr>
          <w:p w14:paraId="5D0139BA" w14:textId="77777777" w:rsidR="0035461D" w:rsidRPr="002A5130" w:rsidRDefault="0035461D" w:rsidP="002B0DBF">
            <w:pPr>
              <w:rPr>
                <w:b/>
                <w:bCs/>
              </w:rPr>
            </w:pPr>
            <w:r w:rsidRPr="002A5130">
              <w:rPr>
                <w:b/>
                <w:bCs/>
              </w:rPr>
              <w:t>Description</w:t>
            </w:r>
          </w:p>
        </w:tc>
        <w:tc>
          <w:tcPr>
            <w:tcW w:w="1331" w:type="dxa"/>
            <w:hideMark/>
          </w:tcPr>
          <w:p w14:paraId="13107E26" w14:textId="77777777" w:rsidR="0035461D" w:rsidRPr="002A5130" w:rsidRDefault="0035461D" w:rsidP="002B0DBF">
            <w:pPr>
              <w:rPr>
                <w:b/>
                <w:bCs/>
              </w:rPr>
            </w:pPr>
            <w:r w:rsidRPr="002A5130">
              <w:rPr>
                <w:b/>
                <w:bCs/>
              </w:rPr>
              <w:t>Budget from current agreement</w:t>
            </w:r>
            <w:r>
              <w:rPr>
                <w:b/>
                <w:bCs/>
              </w:rPr>
              <w:br/>
            </w:r>
            <w:r w:rsidRPr="002A5130">
              <w:t>AUD</w:t>
            </w:r>
          </w:p>
        </w:tc>
        <w:tc>
          <w:tcPr>
            <w:tcW w:w="1331" w:type="dxa"/>
            <w:hideMark/>
          </w:tcPr>
          <w:p w14:paraId="7AC428A8" w14:textId="77777777" w:rsidR="0035461D" w:rsidRPr="002A5130" w:rsidRDefault="0035461D" w:rsidP="002B0DBF">
            <w:pPr>
              <w:rPr>
                <w:b/>
                <w:bCs/>
              </w:rPr>
            </w:pPr>
            <w:r w:rsidRPr="002A5130">
              <w:rPr>
                <w:b/>
                <w:bCs/>
              </w:rPr>
              <w:t>Actual spending to date</w:t>
            </w:r>
            <w:r w:rsidRPr="002A5130">
              <w:rPr>
                <w:b/>
                <w:bCs/>
              </w:rPr>
              <w:br/>
              <w:t>May19 - Jul23</w:t>
            </w:r>
            <w:r>
              <w:rPr>
                <w:b/>
                <w:bCs/>
              </w:rPr>
              <w:br/>
            </w:r>
            <w:r w:rsidRPr="002A5130">
              <w:t>AUD</w:t>
            </w:r>
          </w:p>
        </w:tc>
        <w:tc>
          <w:tcPr>
            <w:tcW w:w="1331" w:type="dxa"/>
            <w:hideMark/>
          </w:tcPr>
          <w:p w14:paraId="52589F5B" w14:textId="77777777" w:rsidR="0035461D" w:rsidRPr="002A5130" w:rsidRDefault="0035461D" w:rsidP="002B0DBF">
            <w:pPr>
              <w:rPr>
                <w:b/>
                <w:bCs/>
              </w:rPr>
            </w:pPr>
            <w:r w:rsidRPr="002A5130">
              <w:rPr>
                <w:b/>
                <w:bCs/>
              </w:rPr>
              <w:t>Estimate</w:t>
            </w:r>
            <w:r w:rsidRPr="002A5130">
              <w:rPr>
                <w:b/>
                <w:bCs/>
              </w:rPr>
              <w:br/>
              <w:t>Year 5</w:t>
            </w:r>
            <w:r w:rsidRPr="002A5130">
              <w:rPr>
                <w:b/>
                <w:bCs/>
              </w:rPr>
              <w:br/>
              <w:t>Aug23 - Jun24</w:t>
            </w:r>
            <w:r>
              <w:rPr>
                <w:b/>
                <w:bCs/>
              </w:rPr>
              <w:br/>
            </w:r>
            <w:r w:rsidRPr="002A5130">
              <w:t>AUD</w:t>
            </w:r>
          </w:p>
        </w:tc>
        <w:tc>
          <w:tcPr>
            <w:tcW w:w="1331" w:type="dxa"/>
            <w:hideMark/>
          </w:tcPr>
          <w:p w14:paraId="2CE6364F" w14:textId="77777777" w:rsidR="0035461D" w:rsidRPr="002A5130" w:rsidRDefault="0035461D" w:rsidP="002B0DBF">
            <w:pPr>
              <w:rPr>
                <w:b/>
                <w:bCs/>
              </w:rPr>
            </w:pPr>
            <w:r w:rsidRPr="002A5130">
              <w:rPr>
                <w:b/>
                <w:bCs/>
              </w:rPr>
              <w:t>Estimate</w:t>
            </w:r>
            <w:r w:rsidRPr="002A5130">
              <w:rPr>
                <w:b/>
                <w:bCs/>
              </w:rPr>
              <w:br/>
              <w:t>Year 6</w:t>
            </w:r>
            <w:r w:rsidRPr="002A5130">
              <w:rPr>
                <w:b/>
                <w:bCs/>
              </w:rPr>
              <w:br/>
              <w:t>Jul24 - Apr 25</w:t>
            </w:r>
            <w:r>
              <w:rPr>
                <w:b/>
                <w:bCs/>
              </w:rPr>
              <w:br/>
            </w:r>
            <w:r w:rsidRPr="002A5130">
              <w:t>AUD</w:t>
            </w:r>
          </w:p>
        </w:tc>
        <w:tc>
          <w:tcPr>
            <w:tcW w:w="1331" w:type="dxa"/>
            <w:hideMark/>
          </w:tcPr>
          <w:p w14:paraId="16BE3CC8" w14:textId="77777777" w:rsidR="0035461D" w:rsidRPr="002A5130" w:rsidRDefault="0035461D" w:rsidP="002B0DBF">
            <w:pPr>
              <w:rPr>
                <w:b/>
                <w:bCs/>
              </w:rPr>
            </w:pPr>
            <w:r w:rsidRPr="002A5130">
              <w:rPr>
                <w:b/>
                <w:bCs/>
              </w:rPr>
              <w:t>Total Revised Budget</w:t>
            </w:r>
            <w:r>
              <w:rPr>
                <w:b/>
                <w:bCs/>
              </w:rPr>
              <w:br/>
            </w:r>
            <w:r w:rsidRPr="002A5130">
              <w:t>AUD</w:t>
            </w:r>
          </w:p>
        </w:tc>
      </w:tr>
      <w:tr w:rsidR="002031FA" w:rsidRPr="002A5130" w14:paraId="5BCD8A17" w14:textId="77777777" w:rsidTr="003925F6">
        <w:trPr>
          <w:trHeight w:val="300"/>
        </w:trPr>
        <w:tc>
          <w:tcPr>
            <w:tcW w:w="7293" w:type="dxa"/>
            <w:hideMark/>
          </w:tcPr>
          <w:p w14:paraId="3A878214" w14:textId="56D25E1E" w:rsidR="002031FA" w:rsidRPr="00406EFD" w:rsidRDefault="002031FA" w:rsidP="00406EFD">
            <w:pPr>
              <w:rPr>
                <w:b/>
                <w:bCs/>
              </w:rPr>
            </w:pPr>
            <w:r w:rsidRPr="002A5130">
              <w:rPr>
                <w:i/>
                <w:iCs/>
              </w:rPr>
              <w:t>Consultants</w:t>
            </w:r>
          </w:p>
        </w:tc>
        <w:tc>
          <w:tcPr>
            <w:tcW w:w="1331" w:type="dxa"/>
            <w:noWrap/>
            <w:hideMark/>
          </w:tcPr>
          <w:p w14:paraId="7B961D71" w14:textId="77777777" w:rsidR="002031FA" w:rsidRPr="002A5130" w:rsidRDefault="002031FA" w:rsidP="002A5130">
            <w:r w:rsidRPr="002A5130">
              <w:t xml:space="preserve">104,011 </w:t>
            </w:r>
          </w:p>
        </w:tc>
        <w:tc>
          <w:tcPr>
            <w:tcW w:w="1331" w:type="dxa"/>
            <w:noWrap/>
            <w:hideMark/>
          </w:tcPr>
          <w:p w14:paraId="48F472A2" w14:textId="77777777" w:rsidR="002031FA" w:rsidRPr="002A5130" w:rsidRDefault="002031FA" w:rsidP="002A5130">
            <w:r w:rsidRPr="002A5130">
              <w:t xml:space="preserve">59,092 </w:t>
            </w:r>
          </w:p>
        </w:tc>
        <w:tc>
          <w:tcPr>
            <w:tcW w:w="1331" w:type="dxa"/>
            <w:noWrap/>
            <w:hideMark/>
          </w:tcPr>
          <w:p w14:paraId="64DE90FC" w14:textId="77777777" w:rsidR="002031FA" w:rsidRPr="002A5130" w:rsidRDefault="002031FA" w:rsidP="002A5130">
            <w:r w:rsidRPr="002A5130">
              <w:t xml:space="preserve">0 </w:t>
            </w:r>
          </w:p>
        </w:tc>
        <w:tc>
          <w:tcPr>
            <w:tcW w:w="1331" w:type="dxa"/>
            <w:noWrap/>
            <w:hideMark/>
          </w:tcPr>
          <w:p w14:paraId="496CEF1C" w14:textId="77777777" w:rsidR="002031FA" w:rsidRPr="002A5130" w:rsidRDefault="002031FA" w:rsidP="002A5130">
            <w:r w:rsidRPr="002A5130">
              <w:t xml:space="preserve">0 </w:t>
            </w:r>
          </w:p>
        </w:tc>
        <w:tc>
          <w:tcPr>
            <w:tcW w:w="1331" w:type="dxa"/>
            <w:noWrap/>
            <w:hideMark/>
          </w:tcPr>
          <w:p w14:paraId="731DDDA9" w14:textId="77777777" w:rsidR="002031FA" w:rsidRPr="002A5130" w:rsidRDefault="002031FA" w:rsidP="002A5130">
            <w:r w:rsidRPr="002A5130">
              <w:t xml:space="preserve">59,092 </w:t>
            </w:r>
          </w:p>
        </w:tc>
      </w:tr>
      <w:tr w:rsidR="002031FA" w:rsidRPr="002A5130" w14:paraId="2DD72666" w14:textId="77777777" w:rsidTr="003925F6">
        <w:trPr>
          <w:trHeight w:val="300"/>
        </w:trPr>
        <w:tc>
          <w:tcPr>
            <w:tcW w:w="7293" w:type="dxa"/>
            <w:hideMark/>
          </w:tcPr>
          <w:p w14:paraId="24184B03" w14:textId="55419870" w:rsidR="002031FA" w:rsidRPr="002A5130" w:rsidRDefault="00406EFD" w:rsidP="00803D68">
            <w:pPr>
              <w:rPr>
                <w:i/>
                <w:iCs/>
              </w:rPr>
            </w:pPr>
            <w:r w:rsidRPr="002A5130">
              <w:rPr>
                <w:i/>
                <w:iCs/>
              </w:rPr>
              <w:t>TAF TH Technical Assistance</w:t>
            </w:r>
          </w:p>
        </w:tc>
        <w:tc>
          <w:tcPr>
            <w:tcW w:w="1331" w:type="dxa"/>
            <w:noWrap/>
            <w:hideMark/>
          </w:tcPr>
          <w:p w14:paraId="530270A7" w14:textId="77777777" w:rsidR="002031FA" w:rsidRPr="002A5130" w:rsidRDefault="002031FA" w:rsidP="002A5130">
            <w:r w:rsidRPr="002A5130">
              <w:t xml:space="preserve">462,750 </w:t>
            </w:r>
          </w:p>
        </w:tc>
        <w:tc>
          <w:tcPr>
            <w:tcW w:w="1331" w:type="dxa"/>
            <w:noWrap/>
            <w:hideMark/>
          </w:tcPr>
          <w:p w14:paraId="1FA8AA36" w14:textId="77777777" w:rsidR="002031FA" w:rsidRPr="002A5130" w:rsidRDefault="002031FA" w:rsidP="002A5130">
            <w:r w:rsidRPr="002A5130">
              <w:t xml:space="preserve">552,271 </w:t>
            </w:r>
          </w:p>
        </w:tc>
        <w:tc>
          <w:tcPr>
            <w:tcW w:w="1331" w:type="dxa"/>
            <w:noWrap/>
            <w:hideMark/>
          </w:tcPr>
          <w:p w14:paraId="2496908B" w14:textId="77777777" w:rsidR="002031FA" w:rsidRPr="002A5130" w:rsidRDefault="002031FA" w:rsidP="002A5130">
            <w:r w:rsidRPr="002A5130">
              <w:t xml:space="preserve">74,845 </w:t>
            </w:r>
          </w:p>
        </w:tc>
        <w:tc>
          <w:tcPr>
            <w:tcW w:w="1331" w:type="dxa"/>
            <w:noWrap/>
            <w:hideMark/>
          </w:tcPr>
          <w:p w14:paraId="3F33DD71" w14:textId="77777777" w:rsidR="002031FA" w:rsidRPr="002A5130" w:rsidRDefault="002031FA" w:rsidP="002A5130">
            <w:r w:rsidRPr="002A5130">
              <w:t xml:space="preserve">57,968 </w:t>
            </w:r>
          </w:p>
        </w:tc>
        <w:tc>
          <w:tcPr>
            <w:tcW w:w="1331" w:type="dxa"/>
            <w:noWrap/>
            <w:hideMark/>
          </w:tcPr>
          <w:p w14:paraId="43C313B0" w14:textId="77777777" w:rsidR="002031FA" w:rsidRPr="002A5130" w:rsidRDefault="002031FA" w:rsidP="002A5130">
            <w:r w:rsidRPr="002A5130">
              <w:t xml:space="preserve">685,084 </w:t>
            </w:r>
          </w:p>
        </w:tc>
      </w:tr>
      <w:tr w:rsidR="002031FA" w:rsidRPr="002A5130" w14:paraId="67649C69" w14:textId="77777777" w:rsidTr="003925F6">
        <w:trPr>
          <w:trHeight w:val="300"/>
        </w:trPr>
        <w:tc>
          <w:tcPr>
            <w:tcW w:w="7293" w:type="dxa"/>
            <w:hideMark/>
          </w:tcPr>
          <w:p w14:paraId="4D0A39EB" w14:textId="0D3059B6" w:rsidR="002031FA" w:rsidRPr="002A5130" w:rsidRDefault="00406EFD" w:rsidP="00803D68">
            <w:pPr>
              <w:rPr>
                <w:i/>
                <w:iCs/>
              </w:rPr>
            </w:pPr>
            <w:r w:rsidRPr="002A5130">
              <w:rPr>
                <w:i/>
                <w:iCs/>
              </w:rPr>
              <w:t>Travel</w:t>
            </w:r>
          </w:p>
        </w:tc>
        <w:tc>
          <w:tcPr>
            <w:tcW w:w="1331" w:type="dxa"/>
            <w:noWrap/>
            <w:hideMark/>
          </w:tcPr>
          <w:p w14:paraId="1C5CD6B2" w14:textId="77777777" w:rsidR="002031FA" w:rsidRPr="002A5130" w:rsidRDefault="002031FA" w:rsidP="002A5130">
            <w:r w:rsidRPr="002A5130">
              <w:t xml:space="preserve">120,623 </w:t>
            </w:r>
          </w:p>
        </w:tc>
        <w:tc>
          <w:tcPr>
            <w:tcW w:w="1331" w:type="dxa"/>
            <w:noWrap/>
            <w:hideMark/>
          </w:tcPr>
          <w:p w14:paraId="30A53AD7" w14:textId="77777777" w:rsidR="002031FA" w:rsidRPr="002A5130" w:rsidRDefault="002031FA" w:rsidP="002A5130">
            <w:r w:rsidRPr="002A5130">
              <w:t xml:space="preserve">14,050 </w:t>
            </w:r>
          </w:p>
        </w:tc>
        <w:tc>
          <w:tcPr>
            <w:tcW w:w="1331" w:type="dxa"/>
            <w:noWrap/>
            <w:hideMark/>
          </w:tcPr>
          <w:p w14:paraId="4DCF0B38" w14:textId="77777777" w:rsidR="002031FA" w:rsidRPr="002A5130" w:rsidRDefault="002031FA" w:rsidP="002A5130">
            <w:r w:rsidRPr="002A5130">
              <w:t xml:space="preserve">0 </w:t>
            </w:r>
          </w:p>
        </w:tc>
        <w:tc>
          <w:tcPr>
            <w:tcW w:w="1331" w:type="dxa"/>
            <w:noWrap/>
            <w:hideMark/>
          </w:tcPr>
          <w:p w14:paraId="1AEE3744" w14:textId="77777777" w:rsidR="002031FA" w:rsidRPr="002A5130" w:rsidRDefault="002031FA" w:rsidP="002A5130">
            <w:r w:rsidRPr="002A5130">
              <w:t xml:space="preserve">0 </w:t>
            </w:r>
          </w:p>
        </w:tc>
        <w:tc>
          <w:tcPr>
            <w:tcW w:w="1331" w:type="dxa"/>
            <w:noWrap/>
            <w:hideMark/>
          </w:tcPr>
          <w:p w14:paraId="3FCAEFF7" w14:textId="77777777" w:rsidR="002031FA" w:rsidRPr="002A5130" w:rsidRDefault="002031FA" w:rsidP="002A5130">
            <w:r w:rsidRPr="002A5130">
              <w:t xml:space="preserve">14,050 </w:t>
            </w:r>
          </w:p>
        </w:tc>
      </w:tr>
      <w:tr w:rsidR="002031FA" w:rsidRPr="002A5130" w14:paraId="67162908" w14:textId="77777777" w:rsidTr="003925F6">
        <w:trPr>
          <w:trHeight w:val="300"/>
        </w:trPr>
        <w:tc>
          <w:tcPr>
            <w:tcW w:w="7293" w:type="dxa"/>
            <w:hideMark/>
          </w:tcPr>
          <w:p w14:paraId="112FB4EC" w14:textId="3D318E41" w:rsidR="002031FA" w:rsidRPr="002A5130" w:rsidRDefault="00406EFD" w:rsidP="003925F6">
            <w:pPr>
              <w:rPr>
                <w:i/>
                <w:iCs/>
              </w:rPr>
            </w:pPr>
            <w:r w:rsidRPr="002A5130">
              <w:rPr>
                <w:i/>
                <w:iCs/>
              </w:rPr>
              <w:t>GESI</w:t>
            </w:r>
          </w:p>
        </w:tc>
        <w:tc>
          <w:tcPr>
            <w:tcW w:w="1331" w:type="dxa"/>
            <w:noWrap/>
            <w:hideMark/>
          </w:tcPr>
          <w:p w14:paraId="6E3C77E8" w14:textId="77777777" w:rsidR="002031FA" w:rsidRPr="002A5130" w:rsidRDefault="002031FA" w:rsidP="002A5130">
            <w:r w:rsidRPr="002A5130">
              <w:t xml:space="preserve">245,457 </w:t>
            </w:r>
          </w:p>
        </w:tc>
        <w:tc>
          <w:tcPr>
            <w:tcW w:w="1331" w:type="dxa"/>
            <w:noWrap/>
            <w:hideMark/>
          </w:tcPr>
          <w:p w14:paraId="20D0E5A3" w14:textId="77777777" w:rsidR="002031FA" w:rsidRPr="002A5130" w:rsidRDefault="002031FA" w:rsidP="002A5130">
            <w:r w:rsidRPr="002A5130">
              <w:t xml:space="preserve">139,191 </w:t>
            </w:r>
          </w:p>
        </w:tc>
        <w:tc>
          <w:tcPr>
            <w:tcW w:w="1331" w:type="dxa"/>
            <w:noWrap/>
            <w:hideMark/>
          </w:tcPr>
          <w:p w14:paraId="0906567D" w14:textId="77777777" w:rsidR="002031FA" w:rsidRPr="002A5130" w:rsidRDefault="002031FA" w:rsidP="002A5130">
            <w:r w:rsidRPr="002A5130">
              <w:t xml:space="preserve">80,316 </w:t>
            </w:r>
          </w:p>
        </w:tc>
        <w:tc>
          <w:tcPr>
            <w:tcW w:w="1331" w:type="dxa"/>
            <w:noWrap/>
            <w:hideMark/>
          </w:tcPr>
          <w:p w14:paraId="5330BCB2" w14:textId="77777777" w:rsidR="002031FA" w:rsidRPr="002A5130" w:rsidRDefault="002031FA" w:rsidP="002A5130">
            <w:r w:rsidRPr="002A5130">
              <w:t xml:space="preserve">54,571 </w:t>
            </w:r>
          </w:p>
        </w:tc>
        <w:tc>
          <w:tcPr>
            <w:tcW w:w="1331" w:type="dxa"/>
            <w:noWrap/>
            <w:hideMark/>
          </w:tcPr>
          <w:p w14:paraId="0FC3D6DA" w14:textId="77777777" w:rsidR="002031FA" w:rsidRPr="002A5130" w:rsidRDefault="002031FA" w:rsidP="002A5130">
            <w:r w:rsidRPr="002A5130">
              <w:t xml:space="preserve">274,077 </w:t>
            </w:r>
          </w:p>
        </w:tc>
      </w:tr>
      <w:tr w:rsidR="002031FA" w:rsidRPr="002A5130" w14:paraId="76C85958" w14:textId="77777777" w:rsidTr="003925F6">
        <w:trPr>
          <w:trHeight w:val="300"/>
        </w:trPr>
        <w:tc>
          <w:tcPr>
            <w:tcW w:w="7293" w:type="dxa"/>
            <w:hideMark/>
          </w:tcPr>
          <w:p w14:paraId="6D124BE1" w14:textId="312B1687" w:rsidR="002031FA" w:rsidRPr="002A5130" w:rsidRDefault="00406EFD" w:rsidP="003925F6">
            <w:pPr>
              <w:rPr>
                <w:i/>
                <w:iCs/>
              </w:rPr>
            </w:pPr>
            <w:r w:rsidRPr="002A5130">
              <w:rPr>
                <w:i/>
                <w:iCs/>
              </w:rPr>
              <w:t>WPS</w:t>
            </w:r>
          </w:p>
        </w:tc>
        <w:tc>
          <w:tcPr>
            <w:tcW w:w="1331" w:type="dxa"/>
            <w:noWrap/>
            <w:hideMark/>
          </w:tcPr>
          <w:p w14:paraId="71F5DC6A" w14:textId="77777777" w:rsidR="002031FA" w:rsidRPr="002A5130" w:rsidRDefault="002031FA" w:rsidP="002A5130">
            <w:r w:rsidRPr="002A5130">
              <w:t xml:space="preserve">254,251 </w:t>
            </w:r>
          </w:p>
        </w:tc>
        <w:tc>
          <w:tcPr>
            <w:tcW w:w="1331" w:type="dxa"/>
            <w:noWrap/>
            <w:hideMark/>
          </w:tcPr>
          <w:p w14:paraId="0015BB15" w14:textId="77777777" w:rsidR="002031FA" w:rsidRPr="002A5130" w:rsidRDefault="002031FA" w:rsidP="002A5130">
            <w:r w:rsidRPr="002A5130">
              <w:t xml:space="preserve">158,130 </w:t>
            </w:r>
          </w:p>
        </w:tc>
        <w:tc>
          <w:tcPr>
            <w:tcW w:w="1331" w:type="dxa"/>
            <w:noWrap/>
            <w:hideMark/>
          </w:tcPr>
          <w:p w14:paraId="5CB6CFBF" w14:textId="77777777" w:rsidR="002031FA" w:rsidRPr="002A5130" w:rsidRDefault="002031FA" w:rsidP="002A5130">
            <w:r w:rsidRPr="002A5130">
              <w:t xml:space="preserve">61,377 </w:t>
            </w:r>
          </w:p>
        </w:tc>
        <w:tc>
          <w:tcPr>
            <w:tcW w:w="1331" w:type="dxa"/>
            <w:noWrap/>
            <w:hideMark/>
          </w:tcPr>
          <w:p w14:paraId="6C4CB84A" w14:textId="77777777" w:rsidR="002031FA" w:rsidRPr="002A5130" w:rsidRDefault="002031FA" w:rsidP="002A5130">
            <w:r w:rsidRPr="002A5130">
              <w:t xml:space="preserve">59,194 </w:t>
            </w:r>
          </w:p>
        </w:tc>
        <w:tc>
          <w:tcPr>
            <w:tcW w:w="1331" w:type="dxa"/>
            <w:noWrap/>
            <w:hideMark/>
          </w:tcPr>
          <w:p w14:paraId="5646D78E" w14:textId="77777777" w:rsidR="002031FA" w:rsidRPr="002A5130" w:rsidRDefault="002031FA" w:rsidP="002A5130">
            <w:r w:rsidRPr="002A5130">
              <w:t xml:space="preserve">278,701 </w:t>
            </w:r>
          </w:p>
        </w:tc>
      </w:tr>
      <w:tr w:rsidR="002031FA" w:rsidRPr="002A5130" w14:paraId="3BFC42A7" w14:textId="77777777" w:rsidTr="003925F6">
        <w:trPr>
          <w:trHeight w:val="300"/>
        </w:trPr>
        <w:tc>
          <w:tcPr>
            <w:tcW w:w="7293" w:type="dxa"/>
            <w:hideMark/>
          </w:tcPr>
          <w:p w14:paraId="691FF1A6" w14:textId="3CC3C38B" w:rsidR="002031FA" w:rsidRPr="002A5130" w:rsidRDefault="00406EFD" w:rsidP="003925F6">
            <w:pPr>
              <w:rPr>
                <w:b/>
                <w:bCs/>
              </w:rPr>
            </w:pPr>
            <w:r w:rsidRPr="002A5130">
              <w:rPr>
                <w:b/>
                <w:bCs/>
              </w:rPr>
              <w:t>Total Costs</w:t>
            </w:r>
          </w:p>
        </w:tc>
        <w:tc>
          <w:tcPr>
            <w:tcW w:w="1331" w:type="dxa"/>
            <w:noWrap/>
            <w:hideMark/>
          </w:tcPr>
          <w:p w14:paraId="098658AE" w14:textId="77777777" w:rsidR="002031FA" w:rsidRPr="002A5130" w:rsidRDefault="002031FA" w:rsidP="002A5130">
            <w:pPr>
              <w:rPr>
                <w:b/>
                <w:bCs/>
              </w:rPr>
            </w:pPr>
            <w:r w:rsidRPr="002A5130">
              <w:rPr>
                <w:b/>
                <w:bCs/>
              </w:rPr>
              <w:t xml:space="preserve">1,187,093 </w:t>
            </w:r>
          </w:p>
        </w:tc>
        <w:tc>
          <w:tcPr>
            <w:tcW w:w="1331" w:type="dxa"/>
            <w:noWrap/>
            <w:hideMark/>
          </w:tcPr>
          <w:p w14:paraId="0204C9DB" w14:textId="77777777" w:rsidR="002031FA" w:rsidRPr="002A5130" w:rsidRDefault="002031FA" w:rsidP="002A5130">
            <w:pPr>
              <w:rPr>
                <w:b/>
                <w:bCs/>
              </w:rPr>
            </w:pPr>
            <w:r w:rsidRPr="002A5130">
              <w:rPr>
                <w:b/>
                <w:bCs/>
              </w:rPr>
              <w:t xml:space="preserve">922,735 </w:t>
            </w:r>
          </w:p>
        </w:tc>
        <w:tc>
          <w:tcPr>
            <w:tcW w:w="1331" w:type="dxa"/>
            <w:noWrap/>
            <w:hideMark/>
          </w:tcPr>
          <w:p w14:paraId="0CC08458" w14:textId="77777777" w:rsidR="002031FA" w:rsidRPr="002A5130" w:rsidRDefault="002031FA" w:rsidP="002A5130">
            <w:pPr>
              <w:rPr>
                <w:b/>
                <w:bCs/>
              </w:rPr>
            </w:pPr>
            <w:r w:rsidRPr="002A5130">
              <w:rPr>
                <w:b/>
                <w:bCs/>
              </w:rPr>
              <w:t xml:space="preserve">216,539 </w:t>
            </w:r>
          </w:p>
        </w:tc>
        <w:tc>
          <w:tcPr>
            <w:tcW w:w="1331" w:type="dxa"/>
            <w:noWrap/>
            <w:hideMark/>
          </w:tcPr>
          <w:p w14:paraId="50A1D6C6" w14:textId="77777777" w:rsidR="002031FA" w:rsidRPr="002A5130" w:rsidRDefault="002031FA" w:rsidP="002A5130">
            <w:pPr>
              <w:rPr>
                <w:b/>
                <w:bCs/>
              </w:rPr>
            </w:pPr>
            <w:r w:rsidRPr="002A5130">
              <w:rPr>
                <w:b/>
                <w:bCs/>
              </w:rPr>
              <w:t xml:space="preserve">171,733 </w:t>
            </w:r>
          </w:p>
        </w:tc>
        <w:tc>
          <w:tcPr>
            <w:tcW w:w="1331" w:type="dxa"/>
            <w:noWrap/>
            <w:hideMark/>
          </w:tcPr>
          <w:p w14:paraId="6BB93A3E" w14:textId="77777777" w:rsidR="002031FA" w:rsidRPr="002A5130" w:rsidRDefault="002031FA" w:rsidP="002A5130">
            <w:pPr>
              <w:rPr>
                <w:b/>
                <w:bCs/>
              </w:rPr>
            </w:pPr>
            <w:r w:rsidRPr="002A5130">
              <w:rPr>
                <w:b/>
                <w:bCs/>
              </w:rPr>
              <w:t xml:space="preserve">1,311,006 </w:t>
            </w:r>
          </w:p>
        </w:tc>
      </w:tr>
    </w:tbl>
    <w:p w14:paraId="252708EA" w14:textId="77777777" w:rsidR="0035461D" w:rsidRPr="002A5130" w:rsidRDefault="0035461D" w:rsidP="003925F6">
      <w:pPr>
        <w:spacing w:before="240" w:after="120"/>
        <w:rPr>
          <w:b/>
          <w:bCs/>
        </w:rPr>
      </w:pPr>
      <w:r w:rsidRPr="002A5130">
        <w:rPr>
          <w:b/>
          <w:bCs/>
        </w:rPr>
        <w:t>Component 2: Support formal ASEAN processes and complementary activities</w:t>
      </w:r>
    </w:p>
    <w:tbl>
      <w:tblPr>
        <w:tblStyle w:val="TableGrid"/>
        <w:tblW w:w="0" w:type="auto"/>
        <w:tblLook w:val="04E0" w:firstRow="1" w:lastRow="1" w:firstColumn="1" w:lastColumn="0" w:noHBand="0" w:noVBand="1"/>
      </w:tblPr>
      <w:tblGrid>
        <w:gridCol w:w="7293"/>
        <w:gridCol w:w="1331"/>
        <w:gridCol w:w="1331"/>
        <w:gridCol w:w="1331"/>
        <w:gridCol w:w="1331"/>
        <w:gridCol w:w="1331"/>
      </w:tblGrid>
      <w:tr w:rsidR="0035461D" w:rsidRPr="002A5130" w14:paraId="0F669140" w14:textId="77777777" w:rsidTr="003925F6">
        <w:trPr>
          <w:trHeight w:val="1140"/>
          <w:tblHeader/>
        </w:trPr>
        <w:tc>
          <w:tcPr>
            <w:tcW w:w="7293" w:type="dxa"/>
            <w:noWrap/>
            <w:hideMark/>
          </w:tcPr>
          <w:p w14:paraId="47DCBA87" w14:textId="77777777" w:rsidR="0035461D" w:rsidRPr="002A5130" w:rsidRDefault="0035461D" w:rsidP="002B0DBF">
            <w:pPr>
              <w:rPr>
                <w:b/>
                <w:bCs/>
              </w:rPr>
            </w:pPr>
            <w:r w:rsidRPr="002A5130">
              <w:rPr>
                <w:b/>
                <w:bCs/>
              </w:rPr>
              <w:t>Description</w:t>
            </w:r>
          </w:p>
        </w:tc>
        <w:tc>
          <w:tcPr>
            <w:tcW w:w="1331" w:type="dxa"/>
            <w:hideMark/>
          </w:tcPr>
          <w:p w14:paraId="79EC9A37" w14:textId="77777777" w:rsidR="0035461D" w:rsidRPr="002A5130" w:rsidRDefault="0035461D" w:rsidP="002B0DBF">
            <w:pPr>
              <w:rPr>
                <w:b/>
                <w:bCs/>
              </w:rPr>
            </w:pPr>
            <w:r w:rsidRPr="002A5130">
              <w:rPr>
                <w:b/>
                <w:bCs/>
              </w:rPr>
              <w:t>Budget from current agreement</w:t>
            </w:r>
            <w:r>
              <w:rPr>
                <w:b/>
                <w:bCs/>
              </w:rPr>
              <w:br/>
            </w:r>
            <w:r w:rsidRPr="002A5130">
              <w:t>AUD</w:t>
            </w:r>
          </w:p>
        </w:tc>
        <w:tc>
          <w:tcPr>
            <w:tcW w:w="1331" w:type="dxa"/>
            <w:hideMark/>
          </w:tcPr>
          <w:p w14:paraId="04E533A2" w14:textId="77777777" w:rsidR="0035461D" w:rsidRPr="002A5130" w:rsidRDefault="0035461D" w:rsidP="002B0DBF">
            <w:pPr>
              <w:rPr>
                <w:b/>
                <w:bCs/>
              </w:rPr>
            </w:pPr>
            <w:r w:rsidRPr="002A5130">
              <w:rPr>
                <w:b/>
                <w:bCs/>
              </w:rPr>
              <w:t>Actual spending to date</w:t>
            </w:r>
            <w:r w:rsidRPr="002A5130">
              <w:rPr>
                <w:b/>
                <w:bCs/>
              </w:rPr>
              <w:br/>
              <w:t>May19 - Jul23</w:t>
            </w:r>
            <w:r>
              <w:rPr>
                <w:b/>
                <w:bCs/>
              </w:rPr>
              <w:br/>
            </w:r>
            <w:r w:rsidRPr="002A5130">
              <w:t>AUD</w:t>
            </w:r>
          </w:p>
        </w:tc>
        <w:tc>
          <w:tcPr>
            <w:tcW w:w="1331" w:type="dxa"/>
            <w:hideMark/>
          </w:tcPr>
          <w:p w14:paraId="67FA86DF" w14:textId="77777777" w:rsidR="0035461D" w:rsidRPr="002A5130" w:rsidRDefault="0035461D" w:rsidP="002B0DBF">
            <w:pPr>
              <w:rPr>
                <w:b/>
                <w:bCs/>
              </w:rPr>
            </w:pPr>
            <w:r w:rsidRPr="002A5130">
              <w:rPr>
                <w:b/>
                <w:bCs/>
              </w:rPr>
              <w:t>Estimate</w:t>
            </w:r>
            <w:r w:rsidRPr="002A5130">
              <w:rPr>
                <w:b/>
                <w:bCs/>
              </w:rPr>
              <w:br/>
              <w:t>Year 5</w:t>
            </w:r>
            <w:r w:rsidRPr="002A5130">
              <w:rPr>
                <w:b/>
                <w:bCs/>
              </w:rPr>
              <w:br/>
              <w:t>Aug23 - Jun24</w:t>
            </w:r>
            <w:r>
              <w:rPr>
                <w:b/>
                <w:bCs/>
              </w:rPr>
              <w:br/>
            </w:r>
            <w:r w:rsidRPr="002A5130">
              <w:t>AUD</w:t>
            </w:r>
          </w:p>
        </w:tc>
        <w:tc>
          <w:tcPr>
            <w:tcW w:w="1331" w:type="dxa"/>
            <w:hideMark/>
          </w:tcPr>
          <w:p w14:paraId="1114FB9F" w14:textId="77777777" w:rsidR="0035461D" w:rsidRPr="002A5130" w:rsidRDefault="0035461D" w:rsidP="002B0DBF">
            <w:pPr>
              <w:rPr>
                <w:b/>
                <w:bCs/>
              </w:rPr>
            </w:pPr>
            <w:r w:rsidRPr="002A5130">
              <w:rPr>
                <w:b/>
                <w:bCs/>
              </w:rPr>
              <w:t>Estimate</w:t>
            </w:r>
            <w:r w:rsidRPr="002A5130">
              <w:rPr>
                <w:b/>
                <w:bCs/>
              </w:rPr>
              <w:br/>
              <w:t>Year 6</w:t>
            </w:r>
            <w:r w:rsidRPr="002A5130">
              <w:rPr>
                <w:b/>
                <w:bCs/>
              </w:rPr>
              <w:br/>
              <w:t>Jul24 - Apr 25</w:t>
            </w:r>
            <w:r>
              <w:rPr>
                <w:b/>
                <w:bCs/>
              </w:rPr>
              <w:br/>
            </w:r>
            <w:r w:rsidRPr="002A5130">
              <w:t>AUD</w:t>
            </w:r>
          </w:p>
        </w:tc>
        <w:tc>
          <w:tcPr>
            <w:tcW w:w="1331" w:type="dxa"/>
            <w:hideMark/>
          </w:tcPr>
          <w:p w14:paraId="6D05B7BC" w14:textId="77777777" w:rsidR="0035461D" w:rsidRPr="002A5130" w:rsidRDefault="0035461D" w:rsidP="002B0DBF">
            <w:pPr>
              <w:rPr>
                <w:b/>
                <w:bCs/>
              </w:rPr>
            </w:pPr>
            <w:r w:rsidRPr="002A5130">
              <w:rPr>
                <w:b/>
                <w:bCs/>
              </w:rPr>
              <w:t>Total Revised Budget</w:t>
            </w:r>
            <w:r>
              <w:rPr>
                <w:b/>
                <w:bCs/>
              </w:rPr>
              <w:br/>
            </w:r>
            <w:r w:rsidRPr="002A5130">
              <w:t>AUD</w:t>
            </w:r>
          </w:p>
        </w:tc>
      </w:tr>
      <w:tr w:rsidR="00DF3289" w:rsidRPr="002A5130" w14:paraId="783C67C5" w14:textId="77777777" w:rsidTr="003925F6">
        <w:trPr>
          <w:trHeight w:val="300"/>
        </w:trPr>
        <w:tc>
          <w:tcPr>
            <w:tcW w:w="7293" w:type="dxa"/>
            <w:noWrap/>
            <w:hideMark/>
          </w:tcPr>
          <w:p w14:paraId="22FB110E" w14:textId="29637C48" w:rsidR="00DF3289" w:rsidRPr="002A5130" w:rsidRDefault="00DF3289">
            <w:pPr>
              <w:rPr>
                <w:i/>
                <w:iCs/>
              </w:rPr>
            </w:pPr>
            <w:r w:rsidRPr="002A5130">
              <w:rPr>
                <w:i/>
                <w:iCs/>
              </w:rPr>
              <w:t>Committed Activities</w:t>
            </w:r>
          </w:p>
        </w:tc>
        <w:tc>
          <w:tcPr>
            <w:tcW w:w="1331" w:type="dxa"/>
            <w:noWrap/>
            <w:hideMark/>
          </w:tcPr>
          <w:p w14:paraId="14CA0135" w14:textId="77777777" w:rsidR="00DF3289" w:rsidRPr="002A5130" w:rsidRDefault="00DF3289" w:rsidP="002A5130">
            <w:r w:rsidRPr="002A5130">
              <w:t xml:space="preserve">975,739 </w:t>
            </w:r>
          </w:p>
        </w:tc>
        <w:tc>
          <w:tcPr>
            <w:tcW w:w="1331" w:type="dxa"/>
            <w:noWrap/>
            <w:hideMark/>
          </w:tcPr>
          <w:p w14:paraId="249D0DCC" w14:textId="77777777" w:rsidR="00DF3289" w:rsidRPr="002A5130" w:rsidRDefault="00DF3289" w:rsidP="002A5130">
            <w:r w:rsidRPr="002A5130">
              <w:t xml:space="preserve">1,093,415 </w:t>
            </w:r>
          </w:p>
        </w:tc>
        <w:tc>
          <w:tcPr>
            <w:tcW w:w="1331" w:type="dxa"/>
            <w:noWrap/>
            <w:hideMark/>
          </w:tcPr>
          <w:p w14:paraId="3826FFC9" w14:textId="77777777" w:rsidR="00DF3289" w:rsidRPr="002A5130" w:rsidRDefault="00DF3289" w:rsidP="002A5130">
            <w:r w:rsidRPr="002A5130">
              <w:t xml:space="preserve">1,283,596 </w:t>
            </w:r>
          </w:p>
        </w:tc>
        <w:tc>
          <w:tcPr>
            <w:tcW w:w="1331" w:type="dxa"/>
            <w:noWrap/>
            <w:hideMark/>
          </w:tcPr>
          <w:p w14:paraId="4B2F9018" w14:textId="77777777" w:rsidR="00DF3289" w:rsidRPr="002A5130" w:rsidRDefault="00DF3289" w:rsidP="002A5130">
            <w:r w:rsidRPr="002A5130">
              <w:t xml:space="preserve">926,525 </w:t>
            </w:r>
          </w:p>
        </w:tc>
        <w:tc>
          <w:tcPr>
            <w:tcW w:w="1331" w:type="dxa"/>
            <w:noWrap/>
            <w:hideMark/>
          </w:tcPr>
          <w:p w14:paraId="7AB7CCE5" w14:textId="77777777" w:rsidR="00DF3289" w:rsidRPr="002A5130" w:rsidRDefault="00DF3289" w:rsidP="002A5130">
            <w:r w:rsidRPr="002A5130">
              <w:t xml:space="preserve">3,303,535 </w:t>
            </w:r>
          </w:p>
        </w:tc>
      </w:tr>
      <w:tr w:rsidR="00206CF5" w:rsidRPr="002A5130" w14:paraId="23533643" w14:textId="77777777" w:rsidTr="003925F6">
        <w:trPr>
          <w:trHeight w:val="300"/>
        </w:trPr>
        <w:tc>
          <w:tcPr>
            <w:tcW w:w="7293" w:type="dxa"/>
            <w:noWrap/>
            <w:hideMark/>
          </w:tcPr>
          <w:p w14:paraId="22C3FC74" w14:textId="4AF39CE5" w:rsidR="00206CF5" w:rsidRPr="00303A9A" w:rsidRDefault="00206CF5" w:rsidP="001663A3">
            <w:pPr>
              <w:rPr>
                <w:b/>
                <w:bCs/>
              </w:rPr>
            </w:pPr>
            <w:r w:rsidRPr="002A5130">
              <w:rPr>
                <w:i/>
                <w:iCs/>
              </w:rPr>
              <w:t>Consultants</w:t>
            </w:r>
          </w:p>
        </w:tc>
        <w:tc>
          <w:tcPr>
            <w:tcW w:w="1331" w:type="dxa"/>
            <w:noWrap/>
            <w:hideMark/>
          </w:tcPr>
          <w:p w14:paraId="53B8A73C" w14:textId="77777777" w:rsidR="00206CF5" w:rsidRPr="002A5130" w:rsidRDefault="00206CF5" w:rsidP="002A5130">
            <w:r w:rsidRPr="002A5130">
              <w:t xml:space="preserve">75,566 </w:t>
            </w:r>
          </w:p>
        </w:tc>
        <w:tc>
          <w:tcPr>
            <w:tcW w:w="1331" w:type="dxa"/>
            <w:noWrap/>
            <w:hideMark/>
          </w:tcPr>
          <w:p w14:paraId="6DF4925E" w14:textId="77777777" w:rsidR="00206CF5" w:rsidRPr="002A5130" w:rsidRDefault="00206CF5" w:rsidP="002A5130">
            <w:r w:rsidRPr="002A5130">
              <w:t xml:space="preserve">64,898 </w:t>
            </w:r>
          </w:p>
        </w:tc>
        <w:tc>
          <w:tcPr>
            <w:tcW w:w="1331" w:type="dxa"/>
            <w:noWrap/>
            <w:hideMark/>
          </w:tcPr>
          <w:p w14:paraId="5AA01DBA" w14:textId="77777777" w:rsidR="00206CF5" w:rsidRPr="002A5130" w:rsidRDefault="00206CF5" w:rsidP="002A5130">
            <w:r w:rsidRPr="002A5130">
              <w:t xml:space="preserve">45,799 </w:t>
            </w:r>
          </w:p>
        </w:tc>
        <w:tc>
          <w:tcPr>
            <w:tcW w:w="1331" w:type="dxa"/>
            <w:noWrap/>
            <w:hideMark/>
          </w:tcPr>
          <w:p w14:paraId="4BA152E5" w14:textId="77777777" w:rsidR="00206CF5" w:rsidRPr="002A5130" w:rsidRDefault="00206CF5" w:rsidP="002A5130">
            <w:r w:rsidRPr="002A5130">
              <w:t xml:space="preserve">12,410 </w:t>
            </w:r>
          </w:p>
        </w:tc>
        <w:tc>
          <w:tcPr>
            <w:tcW w:w="1331" w:type="dxa"/>
            <w:noWrap/>
            <w:hideMark/>
          </w:tcPr>
          <w:p w14:paraId="06F5EB5E" w14:textId="77777777" w:rsidR="00206CF5" w:rsidRPr="002A5130" w:rsidRDefault="00206CF5" w:rsidP="002A5130">
            <w:r w:rsidRPr="002A5130">
              <w:t xml:space="preserve">123,107 </w:t>
            </w:r>
          </w:p>
        </w:tc>
      </w:tr>
      <w:tr w:rsidR="00206CF5" w:rsidRPr="002A5130" w14:paraId="2149B042" w14:textId="77777777" w:rsidTr="003925F6">
        <w:trPr>
          <w:trHeight w:val="300"/>
        </w:trPr>
        <w:tc>
          <w:tcPr>
            <w:tcW w:w="7293" w:type="dxa"/>
            <w:noWrap/>
            <w:hideMark/>
          </w:tcPr>
          <w:p w14:paraId="4C8CDA99" w14:textId="74D0366F" w:rsidR="00206CF5" w:rsidRPr="002A5130" w:rsidRDefault="00303A9A" w:rsidP="001663A3">
            <w:pPr>
              <w:rPr>
                <w:i/>
                <w:iCs/>
              </w:rPr>
            </w:pPr>
            <w:r w:rsidRPr="002A5130">
              <w:rPr>
                <w:i/>
                <w:iCs/>
              </w:rPr>
              <w:t>TAF TH Technical Assistance</w:t>
            </w:r>
          </w:p>
        </w:tc>
        <w:tc>
          <w:tcPr>
            <w:tcW w:w="1331" w:type="dxa"/>
            <w:noWrap/>
            <w:hideMark/>
          </w:tcPr>
          <w:p w14:paraId="52AB0BA1" w14:textId="77777777" w:rsidR="00206CF5" w:rsidRPr="002A5130" w:rsidRDefault="00206CF5" w:rsidP="002A5130">
            <w:r w:rsidRPr="002A5130">
              <w:t xml:space="preserve">476,399 </w:t>
            </w:r>
          </w:p>
        </w:tc>
        <w:tc>
          <w:tcPr>
            <w:tcW w:w="1331" w:type="dxa"/>
            <w:noWrap/>
            <w:hideMark/>
          </w:tcPr>
          <w:p w14:paraId="06E9F67C" w14:textId="77777777" w:rsidR="00206CF5" w:rsidRPr="002A5130" w:rsidRDefault="00206CF5" w:rsidP="002A5130">
            <w:r w:rsidRPr="002A5130">
              <w:t xml:space="preserve">590,037 </w:t>
            </w:r>
          </w:p>
        </w:tc>
        <w:tc>
          <w:tcPr>
            <w:tcW w:w="1331" w:type="dxa"/>
            <w:noWrap/>
            <w:hideMark/>
          </w:tcPr>
          <w:p w14:paraId="58A1A21A" w14:textId="77777777" w:rsidR="00206CF5" w:rsidRPr="002A5130" w:rsidRDefault="00206CF5" w:rsidP="002A5130">
            <w:r w:rsidRPr="002A5130">
              <w:t xml:space="preserve">461,232 </w:t>
            </w:r>
          </w:p>
        </w:tc>
        <w:tc>
          <w:tcPr>
            <w:tcW w:w="1331" w:type="dxa"/>
            <w:noWrap/>
            <w:hideMark/>
          </w:tcPr>
          <w:p w14:paraId="4BD49BFB" w14:textId="77777777" w:rsidR="00206CF5" w:rsidRPr="002A5130" w:rsidRDefault="00206CF5" w:rsidP="002A5130">
            <w:r w:rsidRPr="002A5130">
              <w:t xml:space="preserve">346,454 </w:t>
            </w:r>
          </w:p>
        </w:tc>
        <w:tc>
          <w:tcPr>
            <w:tcW w:w="1331" w:type="dxa"/>
            <w:noWrap/>
            <w:hideMark/>
          </w:tcPr>
          <w:p w14:paraId="3670D289" w14:textId="77777777" w:rsidR="00206CF5" w:rsidRPr="002A5130" w:rsidRDefault="00206CF5" w:rsidP="002A5130">
            <w:r w:rsidRPr="002A5130">
              <w:t xml:space="preserve">1,397,723 </w:t>
            </w:r>
          </w:p>
        </w:tc>
      </w:tr>
      <w:tr w:rsidR="00206CF5" w:rsidRPr="002A5130" w14:paraId="79E6F8FF" w14:textId="77777777" w:rsidTr="003925F6">
        <w:trPr>
          <w:trHeight w:val="480"/>
        </w:trPr>
        <w:tc>
          <w:tcPr>
            <w:tcW w:w="7293" w:type="dxa"/>
            <w:noWrap/>
            <w:hideMark/>
          </w:tcPr>
          <w:p w14:paraId="26D01B95" w14:textId="4018D179" w:rsidR="00206CF5" w:rsidRPr="002A5130" w:rsidRDefault="00303A9A" w:rsidP="001663A3">
            <w:pPr>
              <w:rPr>
                <w:i/>
                <w:iCs/>
              </w:rPr>
            </w:pPr>
            <w:r w:rsidRPr="002A5130">
              <w:rPr>
                <w:i/>
                <w:iCs/>
              </w:rPr>
              <w:t>TAF ASEAN Offices Technical Assistance</w:t>
            </w:r>
          </w:p>
        </w:tc>
        <w:tc>
          <w:tcPr>
            <w:tcW w:w="1331" w:type="dxa"/>
            <w:noWrap/>
            <w:hideMark/>
          </w:tcPr>
          <w:p w14:paraId="18BEE239" w14:textId="77777777" w:rsidR="00206CF5" w:rsidRPr="002A5130" w:rsidRDefault="00206CF5" w:rsidP="002A5130">
            <w:r w:rsidRPr="002A5130">
              <w:t xml:space="preserve">97,947 </w:t>
            </w:r>
          </w:p>
        </w:tc>
        <w:tc>
          <w:tcPr>
            <w:tcW w:w="1331" w:type="dxa"/>
            <w:noWrap/>
            <w:hideMark/>
          </w:tcPr>
          <w:p w14:paraId="6DF955EF" w14:textId="77777777" w:rsidR="00206CF5" w:rsidRPr="002A5130" w:rsidRDefault="00206CF5" w:rsidP="002A5130">
            <w:r w:rsidRPr="002A5130">
              <w:t xml:space="preserve">24,867 </w:t>
            </w:r>
          </w:p>
        </w:tc>
        <w:tc>
          <w:tcPr>
            <w:tcW w:w="1331" w:type="dxa"/>
            <w:noWrap/>
            <w:hideMark/>
          </w:tcPr>
          <w:p w14:paraId="116298A1" w14:textId="77777777" w:rsidR="00206CF5" w:rsidRPr="002A5130" w:rsidRDefault="00206CF5" w:rsidP="002A5130">
            <w:r w:rsidRPr="002A5130">
              <w:t xml:space="preserve">47,239 </w:t>
            </w:r>
          </w:p>
        </w:tc>
        <w:tc>
          <w:tcPr>
            <w:tcW w:w="1331" w:type="dxa"/>
            <w:noWrap/>
            <w:hideMark/>
          </w:tcPr>
          <w:p w14:paraId="0E86140F" w14:textId="77777777" w:rsidR="00206CF5" w:rsidRPr="002A5130" w:rsidRDefault="00206CF5" w:rsidP="002A5130">
            <w:r w:rsidRPr="002A5130">
              <w:t xml:space="preserve">38,239 </w:t>
            </w:r>
          </w:p>
        </w:tc>
        <w:tc>
          <w:tcPr>
            <w:tcW w:w="1331" w:type="dxa"/>
            <w:noWrap/>
            <w:hideMark/>
          </w:tcPr>
          <w:p w14:paraId="48BC466F" w14:textId="77777777" w:rsidR="00206CF5" w:rsidRPr="002A5130" w:rsidRDefault="00206CF5" w:rsidP="002A5130">
            <w:r w:rsidRPr="002A5130">
              <w:t xml:space="preserve">110,345 </w:t>
            </w:r>
          </w:p>
        </w:tc>
      </w:tr>
      <w:tr w:rsidR="00206CF5" w:rsidRPr="002A5130" w14:paraId="444B34CF" w14:textId="77777777" w:rsidTr="003925F6">
        <w:trPr>
          <w:trHeight w:val="300"/>
        </w:trPr>
        <w:tc>
          <w:tcPr>
            <w:tcW w:w="7293" w:type="dxa"/>
            <w:noWrap/>
            <w:hideMark/>
          </w:tcPr>
          <w:p w14:paraId="58CF5033" w14:textId="493D12D6" w:rsidR="00206CF5" w:rsidRPr="002A5130" w:rsidRDefault="00303A9A" w:rsidP="001663A3">
            <w:pPr>
              <w:rPr>
                <w:i/>
                <w:iCs/>
              </w:rPr>
            </w:pPr>
            <w:r w:rsidRPr="002A5130">
              <w:rPr>
                <w:i/>
                <w:iCs/>
              </w:rPr>
              <w:t>Travel</w:t>
            </w:r>
          </w:p>
        </w:tc>
        <w:tc>
          <w:tcPr>
            <w:tcW w:w="1331" w:type="dxa"/>
            <w:noWrap/>
            <w:hideMark/>
          </w:tcPr>
          <w:p w14:paraId="2444A692" w14:textId="77777777" w:rsidR="00206CF5" w:rsidRPr="002A5130" w:rsidRDefault="00206CF5" w:rsidP="002A5130">
            <w:r w:rsidRPr="002A5130">
              <w:t xml:space="preserve">88,720 </w:t>
            </w:r>
          </w:p>
        </w:tc>
        <w:tc>
          <w:tcPr>
            <w:tcW w:w="1331" w:type="dxa"/>
            <w:noWrap/>
            <w:hideMark/>
          </w:tcPr>
          <w:p w14:paraId="78B6F40B" w14:textId="77777777" w:rsidR="00206CF5" w:rsidRPr="002A5130" w:rsidRDefault="00206CF5" w:rsidP="002A5130">
            <w:r w:rsidRPr="002A5130">
              <w:t xml:space="preserve">43,090 </w:t>
            </w:r>
          </w:p>
        </w:tc>
        <w:tc>
          <w:tcPr>
            <w:tcW w:w="1331" w:type="dxa"/>
            <w:noWrap/>
            <w:hideMark/>
          </w:tcPr>
          <w:p w14:paraId="1DBD555D" w14:textId="77777777" w:rsidR="00206CF5" w:rsidRPr="002A5130" w:rsidRDefault="00206CF5" w:rsidP="002A5130">
            <w:r w:rsidRPr="002A5130">
              <w:t xml:space="preserve">22,729 </w:t>
            </w:r>
          </w:p>
        </w:tc>
        <w:tc>
          <w:tcPr>
            <w:tcW w:w="1331" w:type="dxa"/>
            <w:noWrap/>
            <w:hideMark/>
          </w:tcPr>
          <w:p w14:paraId="0380A4EF" w14:textId="77777777" w:rsidR="00206CF5" w:rsidRPr="002A5130" w:rsidRDefault="00206CF5" w:rsidP="002A5130">
            <w:r w:rsidRPr="002A5130">
              <w:t xml:space="preserve">22,729 </w:t>
            </w:r>
          </w:p>
        </w:tc>
        <w:tc>
          <w:tcPr>
            <w:tcW w:w="1331" w:type="dxa"/>
            <w:noWrap/>
            <w:hideMark/>
          </w:tcPr>
          <w:p w14:paraId="7944179F" w14:textId="77777777" w:rsidR="00206CF5" w:rsidRPr="002A5130" w:rsidRDefault="00206CF5" w:rsidP="002A5130">
            <w:r w:rsidRPr="002A5130">
              <w:t xml:space="preserve">88,549 </w:t>
            </w:r>
          </w:p>
        </w:tc>
      </w:tr>
      <w:tr w:rsidR="00206CF5" w:rsidRPr="002A5130" w14:paraId="4BD13E49" w14:textId="77777777" w:rsidTr="003925F6">
        <w:trPr>
          <w:trHeight w:val="300"/>
        </w:trPr>
        <w:tc>
          <w:tcPr>
            <w:tcW w:w="7293" w:type="dxa"/>
            <w:noWrap/>
            <w:hideMark/>
          </w:tcPr>
          <w:p w14:paraId="6D48EB26" w14:textId="47983C99" w:rsidR="00206CF5" w:rsidRPr="002A5130" w:rsidRDefault="00303A9A" w:rsidP="001663A3">
            <w:pPr>
              <w:rPr>
                <w:i/>
                <w:iCs/>
              </w:rPr>
            </w:pPr>
            <w:r w:rsidRPr="002A5130">
              <w:rPr>
                <w:i/>
                <w:iCs/>
              </w:rPr>
              <w:t>GESI</w:t>
            </w:r>
          </w:p>
        </w:tc>
        <w:tc>
          <w:tcPr>
            <w:tcW w:w="1331" w:type="dxa"/>
            <w:noWrap/>
            <w:hideMark/>
          </w:tcPr>
          <w:p w14:paraId="2171F822" w14:textId="77777777" w:rsidR="00206CF5" w:rsidRPr="002A5130" w:rsidRDefault="00206CF5" w:rsidP="002A5130">
            <w:r w:rsidRPr="002A5130">
              <w:t xml:space="preserve">1,009,542 </w:t>
            </w:r>
          </w:p>
        </w:tc>
        <w:tc>
          <w:tcPr>
            <w:tcW w:w="1331" w:type="dxa"/>
            <w:noWrap/>
            <w:hideMark/>
          </w:tcPr>
          <w:p w14:paraId="2C48F669" w14:textId="77777777" w:rsidR="00206CF5" w:rsidRPr="002A5130" w:rsidRDefault="00206CF5" w:rsidP="002A5130">
            <w:r w:rsidRPr="002A5130">
              <w:t xml:space="preserve">334,401 </w:t>
            </w:r>
          </w:p>
        </w:tc>
        <w:tc>
          <w:tcPr>
            <w:tcW w:w="1331" w:type="dxa"/>
            <w:noWrap/>
            <w:hideMark/>
          </w:tcPr>
          <w:p w14:paraId="0621ED9E" w14:textId="77777777" w:rsidR="00206CF5" w:rsidRPr="002A5130" w:rsidRDefault="00206CF5" w:rsidP="002A5130">
            <w:r w:rsidRPr="002A5130">
              <w:t xml:space="preserve">92,150 </w:t>
            </w:r>
          </w:p>
        </w:tc>
        <w:tc>
          <w:tcPr>
            <w:tcW w:w="1331" w:type="dxa"/>
            <w:noWrap/>
            <w:hideMark/>
          </w:tcPr>
          <w:p w14:paraId="5EA58736" w14:textId="77777777" w:rsidR="00206CF5" w:rsidRPr="002A5130" w:rsidRDefault="00206CF5" w:rsidP="002A5130">
            <w:r w:rsidRPr="002A5130">
              <w:t xml:space="preserve">70,636 </w:t>
            </w:r>
          </w:p>
        </w:tc>
        <w:tc>
          <w:tcPr>
            <w:tcW w:w="1331" w:type="dxa"/>
            <w:noWrap/>
            <w:hideMark/>
          </w:tcPr>
          <w:p w14:paraId="0F410108" w14:textId="77777777" w:rsidR="00206CF5" w:rsidRPr="002A5130" w:rsidRDefault="00206CF5" w:rsidP="002A5130">
            <w:r w:rsidRPr="002A5130">
              <w:t xml:space="preserve">497,187 </w:t>
            </w:r>
          </w:p>
        </w:tc>
      </w:tr>
      <w:tr w:rsidR="00206CF5" w:rsidRPr="002A5130" w14:paraId="7FE5CACE" w14:textId="77777777" w:rsidTr="003925F6">
        <w:trPr>
          <w:trHeight w:val="300"/>
        </w:trPr>
        <w:tc>
          <w:tcPr>
            <w:tcW w:w="7293" w:type="dxa"/>
            <w:noWrap/>
            <w:hideMark/>
          </w:tcPr>
          <w:p w14:paraId="414BAE41" w14:textId="4B859765" w:rsidR="00206CF5" w:rsidRPr="00901D07" w:rsidRDefault="00303A9A" w:rsidP="001663A3">
            <w:pPr>
              <w:rPr>
                <w:i/>
                <w:iCs/>
              </w:rPr>
            </w:pPr>
            <w:r w:rsidRPr="002A5130">
              <w:rPr>
                <w:i/>
                <w:iCs/>
              </w:rPr>
              <w:lastRenderedPageBreak/>
              <w:t>WPS</w:t>
            </w:r>
          </w:p>
        </w:tc>
        <w:tc>
          <w:tcPr>
            <w:tcW w:w="1331" w:type="dxa"/>
            <w:noWrap/>
            <w:hideMark/>
          </w:tcPr>
          <w:p w14:paraId="0F68CEBB" w14:textId="77777777" w:rsidR="00206CF5" w:rsidRPr="002A5130" w:rsidRDefault="00206CF5" w:rsidP="002A5130">
            <w:r w:rsidRPr="002A5130">
              <w:t xml:space="preserve">596,596 </w:t>
            </w:r>
          </w:p>
        </w:tc>
        <w:tc>
          <w:tcPr>
            <w:tcW w:w="1331" w:type="dxa"/>
            <w:noWrap/>
            <w:hideMark/>
          </w:tcPr>
          <w:p w14:paraId="42CF8A9D" w14:textId="77777777" w:rsidR="00206CF5" w:rsidRPr="002A5130" w:rsidRDefault="00206CF5" w:rsidP="002A5130">
            <w:r w:rsidRPr="002A5130">
              <w:t xml:space="preserve">228,017 </w:t>
            </w:r>
          </w:p>
        </w:tc>
        <w:tc>
          <w:tcPr>
            <w:tcW w:w="1331" w:type="dxa"/>
            <w:noWrap/>
            <w:hideMark/>
          </w:tcPr>
          <w:p w14:paraId="2F058918" w14:textId="77777777" w:rsidR="00206CF5" w:rsidRPr="002A5130" w:rsidRDefault="00206CF5" w:rsidP="002A5130">
            <w:r w:rsidRPr="002A5130">
              <w:t xml:space="preserve">291,724 </w:t>
            </w:r>
          </w:p>
        </w:tc>
        <w:tc>
          <w:tcPr>
            <w:tcW w:w="1331" w:type="dxa"/>
            <w:noWrap/>
            <w:hideMark/>
          </w:tcPr>
          <w:p w14:paraId="02693251" w14:textId="77777777" w:rsidR="00206CF5" w:rsidRPr="002A5130" w:rsidRDefault="00206CF5" w:rsidP="002A5130">
            <w:r w:rsidRPr="002A5130">
              <w:t xml:space="preserve">487,054 </w:t>
            </w:r>
          </w:p>
        </w:tc>
        <w:tc>
          <w:tcPr>
            <w:tcW w:w="1331" w:type="dxa"/>
            <w:noWrap/>
            <w:hideMark/>
          </w:tcPr>
          <w:p w14:paraId="18BC03AD" w14:textId="77777777" w:rsidR="00206CF5" w:rsidRPr="002A5130" w:rsidRDefault="00206CF5" w:rsidP="002A5130">
            <w:r w:rsidRPr="002A5130">
              <w:t xml:space="preserve">1,006,796 </w:t>
            </w:r>
          </w:p>
        </w:tc>
      </w:tr>
      <w:tr w:rsidR="00206CF5" w:rsidRPr="002A5130" w14:paraId="6E2EDED8" w14:textId="77777777" w:rsidTr="003925F6">
        <w:trPr>
          <w:trHeight w:val="300"/>
        </w:trPr>
        <w:tc>
          <w:tcPr>
            <w:tcW w:w="7293" w:type="dxa"/>
            <w:noWrap/>
            <w:hideMark/>
          </w:tcPr>
          <w:p w14:paraId="038274F8" w14:textId="5D0BF462" w:rsidR="00206CF5" w:rsidRPr="002A5130" w:rsidRDefault="00303A9A" w:rsidP="003925F6">
            <w:pPr>
              <w:rPr>
                <w:b/>
                <w:bCs/>
              </w:rPr>
            </w:pPr>
            <w:r w:rsidRPr="002A5130">
              <w:rPr>
                <w:b/>
                <w:bCs/>
              </w:rPr>
              <w:t>Total Costs</w:t>
            </w:r>
          </w:p>
        </w:tc>
        <w:tc>
          <w:tcPr>
            <w:tcW w:w="1331" w:type="dxa"/>
            <w:noWrap/>
            <w:hideMark/>
          </w:tcPr>
          <w:p w14:paraId="3ECDF103" w14:textId="77777777" w:rsidR="00206CF5" w:rsidRPr="002A5130" w:rsidRDefault="00206CF5" w:rsidP="002A5130">
            <w:pPr>
              <w:rPr>
                <w:b/>
                <w:bCs/>
              </w:rPr>
            </w:pPr>
            <w:r w:rsidRPr="002A5130">
              <w:rPr>
                <w:b/>
                <w:bCs/>
              </w:rPr>
              <w:t xml:space="preserve">3,320,508 </w:t>
            </w:r>
          </w:p>
        </w:tc>
        <w:tc>
          <w:tcPr>
            <w:tcW w:w="1331" w:type="dxa"/>
            <w:noWrap/>
            <w:hideMark/>
          </w:tcPr>
          <w:p w14:paraId="7DA3CC4A" w14:textId="77777777" w:rsidR="00206CF5" w:rsidRPr="002A5130" w:rsidRDefault="00206CF5" w:rsidP="002A5130">
            <w:pPr>
              <w:rPr>
                <w:b/>
                <w:bCs/>
              </w:rPr>
            </w:pPr>
            <w:r w:rsidRPr="002A5130">
              <w:rPr>
                <w:b/>
                <w:bCs/>
              </w:rPr>
              <w:t xml:space="preserve">2,378,725 </w:t>
            </w:r>
          </w:p>
        </w:tc>
        <w:tc>
          <w:tcPr>
            <w:tcW w:w="1331" w:type="dxa"/>
            <w:noWrap/>
            <w:hideMark/>
          </w:tcPr>
          <w:p w14:paraId="0FE128AC" w14:textId="77777777" w:rsidR="00206CF5" w:rsidRPr="002A5130" w:rsidRDefault="00206CF5" w:rsidP="002A5130">
            <w:pPr>
              <w:rPr>
                <w:b/>
                <w:bCs/>
              </w:rPr>
            </w:pPr>
            <w:r w:rsidRPr="002A5130">
              <w:rPr>
                <w:b/>
                <w:bCs/>
              </w:rPr>
              <w:t xml:space="preserve">2,244,469 </w:t>
            </w:r>
          </w:p>
        </w:tc>
        <w:tc>
          <w:tcPr>
            <w:tcW w:w="1331" w:type="dxa"/>
            <w:noWrap/>
            <w:hideMark/>
          </w:tcPr>
          <w:p w14:paraId="4BE216A4" w14:textId="77777777" w:rsidR="00206CF5" w:rsidRPr="002A5130" w:rsidRDefault="00206CF5" w:rsidP="002A5130">
            <w:pPr>
              <w:rPr>
                <w:b/>
                <w:bCs/>
              </w:rPr>
            </w:pPr>
            <w:r w:rsidRPr="002A5130">
              <w:rPr>
                <w:b/>
                <w:bCs/>
              </w:rPr>
              <w:t xml:space="preserve">1,904,048 </w:t>
            </w:r>
          </w:p>
        </w:tc>
        <w:tc>
          <w:tcPr>
            <w:tcW w:w="1331" w:type="dxa"/>
            <w:noWrap/>
            <w:hideMark/>
          </w:tcPr>
          <w:p w14:paraId="3B8B6858" w14:textId="77777777" w:rsidR="00206CF5" w:rsidRPr="002A5130" w:rsidRDefault="00206CF5" w:rsidP="002A5130">
            <w:pPr>
              <w:rPr>
                <w:b/>
                <w:bCs/>
              </w:rPr>
            </w:pPr>
            <w:r w:rsidRPr="002A5130">
              <w:rPr>
                <w:b/>
                <w:bCs/>
              </w:rPr>
              <w:t xml:space="preserve">6,527,242 </w:t>
            </w:r>
          </w:p>
        </w:tc>
      </w:tr>
    </w:tbl>
    <w:p w14:paraId="19D949B3" w14:textId="1D4D03F6" w:rsidR="0035461D" w:rsidRPr="003925F6" w:rsidRDefault="0035461D" w:rsidP="003925F6">
      <w:pPr>
        <w:spacing w:before="240" w:after="120"/>
        <w:rPr>
          <w:b/>
          <w:bCs/>
        </w:rPr>
      </w:pPr>
      <w:r w:rsidRPr="002A5130">
        <w:rPr>
          <w:b/>
          <w:bCs/>
        </w:rPr>
        <w:t>Program and Admin Support</w:t>
      </w:r>
    </w:p>
    <w:tbl>
      <w:tblPr>
        <w:tblStyle w:val="TableGrid"/>
        <w:tblW w:w="0" w:type="auto"/>
        <w:tblLook w:val="04E0" w:firstRow="1" w:lastRow="1" w:firstColumn="1" w:lastColumn="0" w:noHBand="0" w:noVBand="1"/>
      </w:tblPr>
      <w:tblGrid>
        <w:gridCol w:w="7293"/>
        <w:gridCol w:w="1331"/>
        <w:gridCol w:w="1331"/>
        <w:gridCol w:w="1331"/>
        <w:gridCol w:w="1331"/>
        <w:gridCol w:w="1331"/>
      </w:tblGrid>
      <w:tr w:rsidR="0035461D" w:rsidRPr="002A5130" w14:paraId="27BABB75" w14:textId="77777777" w:rsidTr="003925F6">
        <w:trPr>
          <w:trHeight w:val="1140"/>
        </w:trPr>
        <w:tc>
          <w:tcPr>
            <w:tcW w:w="7293" w:type="dxa"/>
            <w:noWrap/>
            <w:hideMark/>
          </w:tcPr>
          <w:p w14:paraId="61C48173" w14:textId="77777777" w:rsidR="0035461D" w:rsidRPr="002A5130" w:rsidRDefault="0035461D" w:rsidP="002B0DBF">
            <w:pPr>
              <w:rPr>
                <w:b/>
                <w:bCs/>
              </w:rPr>
            </w:pPr>
            <w:r w:rsidRPr="002A5130">
              <w:rPr>
                <w:b/>
                <w:bCs/>
              </w:rPr>
              <w:t>Description</w:t>
            </w:r>
          </w:p>
        </w:tc>
        <w:tc>
          <w:tcPr>
            <w:tcW w:w="1331" w:type="dxa"/>
            <w:hideMark/>
          </w:tcPr>
          <w:p w14:paraId="4AA7074C" w14:textId="77777777" w:rsidR="0035461D" w:rsidRPr="002A5130" w:rsidRDefault="0035461D" w:rsidP="002B0DBF">
            <w:pPr>
              <w:rPr>
                <w:b/>
                <w:bCs/>
              </w:rPr>
            </w:pPr>
            <w:r w:rsidRPr="002A5130">
              <w:rPr>
                <w:b/>
                <w:bCs/>
              </w:rPr>
              <w:t>Budget from current agreement</w:t>
            </w:r>
            <w:r>
              <w:rPr>
                <w:b/>
                <w:bCs/>
              </w:rPr>
              <w:br/>
            </w:r>
            <w:r w:rsidRPr="002A5130">
              <w:t>AUD</w:t>
            </w:r>
          </w:p>
        </w:tc>
        <w:tc>
          <w:tcPr>
            <w:tcW w:w="1331" w:type="dxa"/>
            <w:hideMark/>
          </w:tcPr>
          <w:p w14:paraId="04CFC561" w14:textId="77777777" w:rsidR="0035461D" w:rsidRPr="002A5130" w:rsidRDefault="0035461D" w:rsidP="002B0DBF">
            <w:pPr>
              <w:rPr>
                <w:b/>
                <w:bCs/>
              </w:rPr>
            </w:pPr>
            <w:r w:rsidRPr="002A5130">
              <w:rPr>
                <w:b/>
                <w:bCs/>
              </w:rPr>
              <w:t>Actual spending to date</w:t>
            </w:r>
            <w:r w:rsidRPr="002A5130">
              <w:rPr>
                <w:b/>
                <w:bCs/>
              </w:rPr>
              <w:br/>
              <w:t>May19 - Jul23</w:t>
            </w:r>
            <w:r>
              <w:rPr>
                <w:b/>
                <w:bCs/>
              </w:rPr>
              <w:br/>
            </w:r>
            <w:r w:rsidRPr="002A5130">
              <w:t>AUD</w:t>
            </w:r>
          </w:p>
        </w:tc>
        <w:tc>
          <w:tcPr>
            <w:tcW w:w="1331" w:type="dxa"/>
            <w:hideMark/>
          </w:tcPr>
          <w:p w14:paraId="31D3DAC1" w14:textId="77777777" w:rsidR="0035461D" w:rsidRPr="002A5130" w:rsidRDefault="0035461D" w:rsidP="002B0DBF">
            <w:pPr>
              <w:rPr>
                <w:b/>
                <w:bCs/>
              </w:rPr>
            </w:pPr>
            <w:r w:rsidRPr="002A5130">
              <w:rPr>
                <w:b/>
                <w:bCs/>
              </w:rPr>
              <w:t>Estimate</w:t>
            </w:r>
            <w:r w:rsidRPr="002A5130">
              <w:rPr>
                <w:b/>
                <w:bCs/>
              </w:rPr>
              <w:br/>
              <w:t>Year 5</w:t>
            </w:r>
            <w:r w:rsidRPr="002A5130">
              <w:rPr>
                <w:b/>
                <w:bCs/>
              </w:rPr>
              <w:br/>
              <w:t>Aug23 - Jun24</w:t>
            </w:r>
            <w:r>
              <w:rPr>
                <w:b/>
                <w:bCs/>
              </w:rPr>
              <w:br/>
            </w:r>
            <w:r w:rsidRPr="002A5130">
              <w:t>AUD</w:t>
            </w:r>
          </w:p>
        </w:tc>
        <w:tc>
          <w:tcPr>
            <w:tcW w:w="1331" w:type="dxa"/>
            <w:hideMark/>
          </w:tcPr>
          <w:p w14:paraId="277BE0A7" w14:textId="77777777" w:rsidR="0035461D" w:rsidRPr="002A5130" w:rsidRDefault="0035461D" w:rsidP="002B0DBF">
            <w:pPr>
              <w:rPr>
                <w:b/>
                <w:bCs/>
              </w:rPr>
            </w:pPr>
            <w:r w:rsidRPr="002A5130">
              <w:rPr>
                <w:b/>
                <w:bCs/>
              </w:rPr>
              <w:t>Estimate</w:t>
            </w:r>
            <w:r w:rsidRPr="002A5130">
              <w:rPr>
                <w:b/>
                <w:bCs/>
              </w:rPr>
              <w:br/>
              <w:t>Year 6</w:t>
            </w:r>
            <w:r w:rsidRPr="002A5130">
              <w:rPr>
                <w:b/>
                <w:bCs/>
              </w:rPr>
              <w:br/>
              <w:t>Jul24 - Apr 25</w:t>
            </w:r>
            <w:r>
              <w:rPr>
                <w:b/>
                <w:bCs/>
              </w:rPr>
              <w:br/>
            </w:r>
            <w:r w:rsidRPr="002A5130">
              <w:t>AUD</w:t>
            </w:r>
          </w:p>
        </w:tc>
        <w:tc>
          <w:tcPr>
            <w:tcW w:w="1331" w:type="dxa"/>
            <w:hideMark/>
          </w:tcPr>
          <w:p w14:paraId="56662588" w14:textId="77777777" w:rsidR="0035461D" w:rsidRPr="002A5130" w:rsidRDefault="0035461D" w:rsidP="002B0DBF">
            <w:pPr>
              <w:rPr>
                <w:b/>
                <w:bCs/>
              </w:rPr>
            </w:pPr>
            <w:r w:rsidRPr="002A5130">
              <w:rPr>
                <w:b/>
                <w:bCs/>
              </w:rPr>
              <w:t>Total Revised Budget</w:t>
            </w:r>
            <w:r>
              <w:rPr>
                <w:b/>
                <w:bCs/>
              </w:rPr>
              <w:br/>
            </w:r>
            <w:r w:rsidRPr="002A5130">
              <w:t>AUD</w:t>
            </w:r>
          </w:p>
        </w:tc>
      </w:tr>
      <w:tr w:rsidR="008818E4" w:rsidRPr="002A5130" w14:paraId="3B8A326A" w14:textId="77777777" w:rsidTr="003925F6">
        <w:trPr>
          <w:trHeight w:val="300"/>
        </w:trPr>
        <w:tc>
          <w:tcPr>
            <w:tcW w:w="7293" w:type="dxa"/>
            <w:noWrap/>
            <w:hideMark/>
          </w:tcPr>
          <w:p w14:paraId="13686F93" w14:textId="2EAB4E69" w:rsidR="008818E4" w:rsidRPr="008818E4" w:rsidRDefault="008818E4" w:rsidP="003925F6">
            <w:pPr>
              <w:rPr>
                <w:i/>
                <w:iCs/>
              </w:rPr>
            </w:pPr>
            <w:r w:rsidRPr="002A5130">
              <w:rPr>
                <w:i/>
                <w:iCs/>
              </w:rPr>
              <w:t>Program Management Support</w:t>
            </w:r>
            <w:r w:rsidRPr="002A5130">
              <w:rPr>
                <w:b/>
                <w:bCs/>
              </w:rPr>
              <w:t>  </w:t>
            </w:r>
          </w:p>
        </w:tc>
        <w:tc>
          <w:tcPr>
            <w:tcW w:w="1331" w:type="dxa"/>
            <w:noWrap/>
            <w:hideMark/>
          </w:tcPr>
          <w:p w14:paraId="288D1F6A" w14:textId="77777777" w:rsidR="008818E4" w:rsidRPr="002A5130" w:rsidRDefault="008818E4" w:rsidP="002A5130">
            <w:r w:rsidRPr="002A5130">
              <w:t xml:space="preserve">91,767 </w:t>
            </w:r>
          </w:p>
        </w:tc>
        <w:tc>
          <w:tcPr>
            <w:tcW w:w="1331" w:type="dxa"/>
            <w:noWrap/>
            <w:hideMark/>
          </w:tcPr>
          <w:p w14:paraId="48FAE426" w14:textId="77777777" w:rsidR="008818E4" w:rsidRPr="002A5130" w:rsidRDefault="008818E4" w:rsidP="002A5130">
            <w:r w:rsidRPr="002A5130">
              <w:t xml:space="preserve">83,412 </w:t>
            </w:r>
          </w:p>
        </w:tc>
        <w:tc>
          <w:tcPr>
            <w:tcW w:w="1331" w:type="dxa"/>
            <w:noWrap/>
            <w:hideMark/>
          </w:tcPr>
          <w:p w14:paraId="5C0F59F3" w14:textId="77777777" w:rsidR="008818E4" w:rsidRPr="002A5130" w:rsidRDefault="008818E4" w:rsidP="002A5130">
            <w:r w:rsidRPr="002A5130">
              <w:t xml:space="preserve">30,501 </w:t>
            </w:r>
          </w:p>
        </w:tc>
        <w:tc>
          <w:tcPr>
            <w:tcW w:w="1331" w:type="dxa"/>
            <w:noWrap/>
            <w:hideMark/>
          </w:tcPr>
          <w:p w14:paraId="53FA9871" w14:textId="77777777" w:rsidR="008818E4" w:rsidRPr="002A5130" w:rsidRDefault="008818E4" w:rsidP="002A5130">
            <w:r w:rsidRPr="002A5130">
              <w:t xml:space="preserve">25,031 </w:t>
            </w:r>
          </w:p>
        </w:tc>
        <w:tc>
          <w:tcPr>
            <w:tcW w:w="1331" w:type="dxa"/>
            <w:noWrap/>
            <w:hideMark/>
          </w:tcPr>
          <w:p w14:paraId="4FB706BC" w14:textId="77777777" w:rsidR="008818E4" w:rsidRPr="002A5130" w:rsidRDefault="008818E4" w:rsidP="002A5130">
            <w:r w:rsidRPr="002A5130">
              <w:t xml:space="preserve">138,945 </w:t>
            </w:r>
          </w:p>
        </w:tc>
      </w:tr>
      <w:tr w:rsidR="008818E4" w:rsidRPr="002A5130" w14:paraId="28C57116" w14:textId="77777777" w:rsidTr="003925F6">
        <w:trPr>
          <w:trHeight w:val="300"/>
        </w:trPr>
        <w:tc>
          <w:tcPr>
            <w:tcW w:w="7293" w:type="dxa"/>
            <w:noWrap/>
            <w:hideMark/>
          </w:tcPr>
          <w:p w14:paraId="4A9ECFDE" w14:textId="7CEBE0D1" w:rsidR="008818E4" w:rsidRPr="002A5130" w:rsidRDefault="008818E4" w:rsidP="003925F6">
            <w:pPr>
              <w:rPr>
                <w:i/>
                <w:iCs/>
              </w:rPr>
            </w:pPr>
            <w:r w:rsidRPr="002A5130">
              <w:rPr>
                <w:i/>
                <w:iCs/>
              </w:rPr>
              <w:t>Final Evaluation</w:t>
            </w:r>
          </w:p>
        </w:tc>
        <w:tc>
          <w:tcPr>
            <w:tcW w:w="1331" w:type="dxa"/>
            <w:noWrap/>
            <w:hideMark/>
          </w:tcPr>
          <w:p w14:paraId="4999639F" w14:textId="77777777" w:rsidR="008818E4" w:rsidRPr="002A5130" w:rsidRDefault="008818E4" w:rsidP="002A5130">
            <w:r w:rsidRPr="002A5130">
              <w:t xml:space="preserve">74,873 </w:t>
            </w:r>
          </w:p>
        </w:tc>
        <w:tc>
          <w:tcPr>
            <w:tcW w:w="1331" w:type="dxa"/>
            <w:noWrap/>
            <w:hideMark/>
          </w:tcPr>
          <w:p w14:paraId="1C8F9ACA" w14:textId="77777777" w:rsidR="008818E4" w:rsidRPr="002A5130" w:rsidRDefault="008818E4" w:rsidP="002A5130">
            <w:r w:rsidRPr="002A5130">
              <w:t xml:space="preserve">0 </w:t>
            </w:r>
          </w:p>
        </w:tc>
        <w:tc>
          <w:tcPr>
            <w:tcW w:w="1331" w:type="dxa"/>
            <w:noWrap/>
            <w:hideMark/>
          </w:tcPr>
          <w:p w14:paraId="4C31EA8F" w14:textId="2E9DBF4C" w:rsidR="008818E4" w:rsidRPr="002A5130" w:rsidRDefault="008818E4">
            <w:r w:rsidRPr="002A5130">
              <w:t> </w:t>
            </w:r>
            <w:r w:rsidR="0035461D">
              <w:t>-</w:t>
            </w:r>
          </w:p>
        </w:tc>
        <w:tc>
          <w:tcPr>
            <w:tcW w:w="1331" w:type="dxa"/>
            <w:noWrap/>
            <w:hideMark/>
          </w:tcPr>
          <w:p w14:paraId="32004C1D" w14:textId="77777777" w:rsidR="008818E4" w:rsidRPr="002A5130" w:rsidRDefault="008818E4" w:rsidP="002A5130">
            <w:r w:rsidRPr="002A5130">
              <w:t xml:space="preserve">38,986 </w:t>
            </w:r>
          </w:p>
        </w:tc>
        <w:tc>
          <w:tcPr>
            <w:tcW w:w="1331" w:type="dxa"/>
            <w:noWrap/>
            <w:hideMark/>
          </w:tcPr>
          <w:p w14:paraId="5074B80B" w14:textId="77777777" w:rsidR="008818E4" w:rsidRPr="002A5130" w:rsidRDefault="008818E4" w:rsidP="002A5130">
            <w:r w:rsidRPr="002A5130">
              <w:t xml:space="preserve">38,986 </w:t>
            </w:r>
          </w:p>
        </w:tc>
      </w:tr>
      <w:tr w:rsidR="008818E4" w:rsidRPr="002A5130" w14:paraId="2094EB40" w14:textId="77777777" w:rsidTr="003925F6">
        <w:trPr>
          <w:trHeight w:val="300"/>
        </w:trPr>
        <w:tc>
          <w:tcPr>
            <w:tcW w:w="7293" w:type="dxa"/>
            <w:noWrap/>
            <w:hideMark/>
          </w:tcPr>
          <w:p w14:paraId="6BFAE70C" w14:textId="001CA77E" w:rsidR="008818E4" w:rsidRPr="002A5130" w:rsidRDefault="008818E4" w:rsidP="003925F6">
            <w:pPr>
              <w:rPr>
                <w:i/>
                <w:iCs/>
              </w:rPr>
            </w:pPr>
            <w:r w:rsidRPr="002A5130">
              <w:rPr>
                <w:i/>
                <w:iCs/>
              </w:rPr>
              <w:t>Audit fees</w:t>
            </w:r>
          </w:p>
        </w:tc>
        <w:tc>
          <w:tcPr>
            <w:tcW w:w="1331" w:type="dxa"/>
            <w:noWrap/>
            <w:hideMark/>
          </w:tcPr>
          <w:p w14:paraId="137EB71D" w14:textId="77777777" w:rsidR="008818E4" w:rsidRPr="002A5130" w:rsidRDefault="008818E4" w:rsidP="002A5130">
            <w:r w:rsidRPr="002A5130">
              <w:t xml:space="preserve">14,546 </w:t>
            </w:r>
          </w:p>
        </w:tc>
        <w:tc>
          <w:tcPr>
            <w:tcW w:w="1331" w:type="dxa"/>
            <w:noWrap/>
            <w:hideMark/>
          </w:tcPr>
          <w:p w14:paraId="7F43A1D5" w14:textId="77777777" w:rsidR="008818E4" w:rsidRPr="002A5130" w:rsidRDefault="008818E4" w:rsidP="002A5130">
            <w:r w:rsidRPr="002A5130">
              <w:t xml:space="preserve">0 </w:t>
            </w:r>
          </w:p>
        </w:tc>
        <w:tc>
          <w:tcPr>
            <w:tcW w:w="1331" w:type="dxa"/>
            <w:noWrap/>
            <w:hideMark/>
          </w:tcPr>
          <w:p w14:paraId="60A46176" w14:textId="77777777" w:rsidR="008818E4" w:rsidRPr="002A5130" w:rsidRDefault="008818E4" w:rsidP="002A5130">
            <w:r w:rsidRPr="002A5130">
              <w:t xml:space="preserve">0 </w:t>
            </w:r>
          </w:p>
        </w:tc>
        <w:tc>
          <w:tcPr>
            <w:tcW w:w="1331" w:type="dxa"/>
            <w:noWrap/>
            <w:hideMark/>
          </w:tcPr>
          <w:p w14:paraId="1D3BDA17" w14:textId="77777777" w:rsidR="008818E4" w:rsidRPr="002A5130" w:rsidRDefault="008818E4" w:rsidP="002A5130">
            <w:r w:rsidRPr="002A5130">
              <w:t xml:space="preserve">15,910 </w:t>
            </w:r>
          </w:p>
        </w:tc>
        <w:tc>
          <w:tcPr>
            <w:tcW w:w="1331" w:type="dxa"/>
            <w:noWrap/>
            <w:hideMark/>
          </w:tcPr>
          <w:p w14:paraId="1C2A5F40" w14:textId="77777777" w:rsidR="008818E4" w:rsidRPr="002A5130" w:rsidRDefault="008818E4" w:rsidP="002A5130">
            <w:r w:rsidRPr="002A5130">
              <w:t xml:space="preserve">15,910 </w:t>
            </w:r>
          </w:p>
        </w:tc>
      </w:tr>
      <w:tr w:rsidR="008818E4" w:rsidRPr="002A5130" w14:paraId="03D8C2C0" w14:textId="77777777" w:rsidTr="003925F6">
        <w:trPr>
          <w:trHeight w:val="300"/>
        </w:trPr>
        <w:tc>
          <w:tcPr>
            <w:tcW w:w="7293" w:type="dxa"/>
            <w:noWrap/>
            <w:hideMark/>
          </w:tcPr>
          <w:p w14:paraId="1EB15ED6" w14:textId="66524019" w:rsidR="008818E4" w:rsidRPr="002A5130" w:rsidRDefault="008818E4" w:rsidP="003925F6">
            <w:pPr>
              <w:rPr>
                <w:i/>
                <w:iCs/>
              </w:rPr>
            </w:pPr>
            <w:r w:rsidRPr="002A5130">
              <w:rPr>
                <w:i/>
                <w:iCs/>
              </w:rPr>
              <w:t>Indirect costs</w:t>
            </w:r>
          </w:p>
        </w:tc>
        <w:tc>
          <w:tcPr>
            <w:tcW w:w="1331" w:type="dxa"/>
            <w:noWrap/>
            <w:hideMark/>
          </w:tcPr>
          <w:p w14:paraId="15900020" w14:textId="77777777" w:rsidR="008818E4" w:rsidRPr="002A5130" w:rsidRDefault="008818E4" w:rsidP="002A5130">
            <w:r w:rsidRPr="002A5130">
              <w:t xml:space="preserve">811,213 </w:t>
            </w:r>
          </w:p>
        </w:tc>
        <w:tc>
          <w:tcPr>
            <w:tcW w:w="1331" w:type="dxa"/>
            <w:noWrap/>
            <w:hideMark/>
          </w:tcPr>
          <w:p w14:paraId="506190EF" w14:textId="77777777" w:rsidR="008818E4" w:rsidRPr="002A5130" w:rsidRDefault="008818E4" w:rsidP="002A5130">
            <w:r w:rsidRPr="002A5130">
              <w:t xml:space="preserve">607,712 </w:t>
            </w:r>
          </w:p>
        </w:tc>
        <w:tc>
          <w:tcPr>
            <w:tcW w:w="1331" w:type="dxa"/>
            <w:noWrap/>
            <w:hideMark/>
          </w:tcPr>
          <w:p w14:paraId="4A01FB56" w14:textId="77777777" w:rsidR="008818E4" w:rsidRPr="002A5130" w:rsidRDefault="008818E4" w:rsidP="002A5130">
            <w:r w:rsidRPr="002A5130">
              <w:t xml:space="preserve">471,340 </w:t>
            </w:r>
          </w:p>
        </w:tc>
        <w:tc>
          <w:tcPr>
            <w:tcW w:w="1331" w:type="dxa"/>
            <w:noWrap/>
            <w:hideMark/>
          </w:tcPr>
          <w:p w14:paraId="4913FC44" w14:textId="77777777" w:rsidR="008818E4" w:rsidRPr="002A5130" w:rsidRDefault="008818E4" w:rsidP="002A5130">
            <w:r w:rsidRPr="002A5130">
              <w:t xml:space="preserve">388,860 </w:t>
            </w:r>
          </w:p>
        </w:tc>
        <w:tc>
          <w:tcPr>
            <w:tcW w:w="1331" w:type="dxa"/>
            <w:noWrap/>
            <w:hideMark/>
          </w:tcPr>
          <w:p w14:paraId="1EC1975E" w14:textId="77777777" w:rsidR="008818E4" w:rsidRPr="002A5130" w:rsidRDefault="008818E4" w:rsidP="002A5130">
            <w:r w:rsidRPr="002A5130">
              <w:t xml:space="preserve">1,467,911 </w:t>
            </w:r>
          </w:p>
        </w:tc>
      </w:tr>
      <w:tr w:rsidR="008818E4" w:rsidRPr="002A5130" w14:paraId="759B77ED" w14:textId="77777777" w:rsidTr="003925F6">
        <w:trPr>
          <w:trHeight w:val="300"/>
        </w:trPr>
        <w:tc>
          <w:tcPr>
            <w:tcW w:w="7293" w:type="dxa"/>
            <w:noWrap/>
            <w:hideMark/>
          </w:tcPr>
          <w:p w14:paraId="426474EF" w14:textId="7C71E92E" w:rsidR="008818E4" w:rsidRPr="002A5130" w:rsidRDefault="008818E4" w:rsidP="003925F6">
            <w:pPr>
              <w:rPr>
                <w:b/>
                <w:bCs/>
              </w:rPr>
            </w:pPr>
            <w:r w:rsidRPr="002A5130">
              <w:rPr>
                <w:b/>
                <w:bCs/>
              </w:rPr>
              <w:t>Total Costs</w:t>
            </w:r>
          </w:p>
        </w:tc>
        <w:tc>
          <w:tcPr>
            <w:tcW w:w="1331" w:type="dxa"/>
            <w:noWrap/>
            <w:hideMark/>
          </w:tcPr>
          <w:p w14:paraId="22E6C706" w14:textId="77777777" w:rsidR="008818E4" w:rsidRPr="002A5130" w:rsidRDefault="008818E4" w:rsidP="002A5130">
            <w:pPr>
              <w:rPr>
                <w:b/>
                <w:bCs/>
              </w:rPr>
            </w:pPr>
            <w:r w:rsidRPr="002A5130">
              <w:rPr>
                <w:b/>
                <w:bCs/>
              </w:rPr>
              <w:t xml:space="preserve">992,399 </w:t>
            </w:r>
          </w:p>
        </w:tc>
        <w:tc>
          <w:tcPr>
            <w:tcW w:w="1331" w:type="dxa"/>
            <w:noWrap/>
            <w:hideMark/>
          </w:tcPr>
          <w:p w14:paraId="0A6DEEA0" w14:textId="77777777" w:rsidR="008818E4" w:rsidRPr="002A5130" w:rsidRDefault="008818E4" w:rsidP="002A5130">
            <w:pPr>
              <w:rPr>
                <w:b/>
                <w:bCs/>
              </w:rPr>
            </w:pPr>
            <w:r w:rsidRPr="002A5130">
              <w:rPr>
                <w:b/>
                <w:bCs/>
              </w:rPr>
              <w:t xml:space="preserve">691,124 </w:t>
            </w:r>
          </w:p>
        </w:tc>
        <w:tc>
          <w:tcPr>
            <w:tcW w:w="1331" w:type="dxa"/>
            <w:noWrap/>
            <w:hideMark/>
          </w:tcPr>
          <w:p w14:paraId="36682181" w14:textId="77777777" w:rsidR="008818E4" w:rsidRPr="002A5130" w:rsidRDefault="008818E4" w:rsidP="002A5130">
            <w:pPr>
              <w:rPr>
                <w:b/>
                <w:bCs/>
              </w:rPr>
            </w:pPr>
            <w:r w:rsidRPr="002A5130">
              <w:rPr>
                <w:b/>
                <w:bCs/>
              </w:rPr>
              <w:t xml:space="preserve">501,841 </w:t>
            </w:r>
          </w:p>
        </w:tc>
        <w:tc>
          <w:tcPr>
            <w:tcW w:w="1331" w:type="dxa"/>
            <w:noWrap/>
            <w:hideMark/>
          </w:tcPr>
          <w:p w14:paraId="53DA203D" w14:textId="77777777" w:rsidR="008818E4" w:rsidRPr="002A5130" w:rsidRDefault="008818E4" w:rsidP="002A5130">
            <w:pPr>
              <w:rPr>
                <w:b/>
                <w:bCs/>
              </w:rPr>
            </w:pPr>
            <w:r w:rsidRPr="002A5130">
              <w:rPr>
                <w:b/>
                <w:bCs/>
              </w:rPr>
              <w:t xml:space="preserve">468,788 </w:t>
            </w:r>
          </w:p>
        </w:tc>
        <w:tc>
          <w:tcPr>
            <w:tcW w:w="1331" w:type="dxa"/>
            <w:noWrap/>
            <w:hideMark/>
          </w:tcPr>
          <w:p w14:paraId="72139DD9" w14:textId="77777777" w:rsidR="008818E4" w:rsidRPr="002A5130" w:rsidRDefault="008818E4" w:rsidP="002A5130">
            <w:pPr>
              <w:rPr>
                <w:b/>
                <w:bCs/>
              </w:rPr>
            </w:pPr>
            <w:r w:rsidRPr="002A5130">
              <w:rPr>
                <w:b/>
                <w:bCs/>
              </w:rPr>
              <w:t xml:space="preserve">1,661,752 </w:t>
            </w:r>
          </w:p>
        </w:tc>
      </w:tr>
      <w:tr w:rsidR="008818E4" w:rsidRPr="002A5130" w14:paraId="73A655FA" w14:textId="77777777" w:rsidTr="003925F6">
        <w:trPr>
          <w:trHeight w:val="300"/>
        </w:trPr>
        <w:tc>
          <w:tcPr>
            <w:tcW w:w="7293" w:type="dxa"/>
            <w:noWrap/>
            <w:hideMark/>
          </w:tcPr>
          <w:p w14:paraId="71CC6C83" w14:textId="390B79BB" w:rsidR="008818E4" w:rsidRPr="002A5130" w:rsidRDefault="008818E4" w:rsidP="003925F6">
            <w:r w:rsidRPr="002A5130">
              <w:rPr>
                <w:b/>
                <w:bCs/>
              </w:rPr>
              <w:t xml:space="preserve">TOTAL </w:t>
            </w:r>
          </w:p>
        </w:tc>
        <w:tc>
          <w:tcPr>
            <w:tcW w:w="1331" w:type="dxa"/>
            <w:noWrap/>
            <w:hideMark/>
          </w:tcPr>
          <w:p w14:paraId="4A6BCD88" w14:textId="77777777" w:rsidR="008818E4" w:rsidRPr="002A5130" w:rsidRDefault="008818E4" w:rsidP="002A5130">
            <w:pPr>
              <w:rPr>
                <w:b/>
                <w:bCs/>
              </w:rPr>
            </w:pPr>
            <w:r w:rsidRPr="002A5130">
              <w:rPr>
                <w:b/>
                <w:bCs/>
              </w:rPr>
              <w:t xml:space="preserve">5,500,000 </w:t>
            </w:r>
          </w:p>
        </w:tc>
        <w:tc>
          <w:tcPr>
            <w:tcW w:w="1331" w:type="dxa"/>
            <w:noWrap/>
            <w:hideMark/>
          </w:tcPr>
          <w:p w14:paraId="24B8C2A2" w14:textId="77777777" w:rsidR="008818E4" w:rsidRPr="002A5130" w:rsidRDefault="008818E4" w:rsidP="002A5130">
            <w:pPr>
              <w:rPr>
                <w:b/>
                <w:bCs/>
              </w:rPr>
            </w:pPr>
            <w:r w:rsidRPr="002A5130">
              <w:rPr>
                <w:b/>
                <w:bCs/>
              </w:rPr>
              <w:t xml:space="preserve">3,992,584 </w:t>
            </w:r>
          </w:p>
        </w:tc>
        <w:tc>
          <w:tcPr>
            <w:tcW w:w="1331" w:type="dxa"/>
            <w:noWrap/>
            <w:hideMark/>
          </w:tcPr>
          <w:p w14:paraId="5F0F8DBA" w14:textId="77777777" w:rsidR="008818E4" w:rsidRPr="002A5130" w:rsidRDefault="008818E4" w:rsidP="002A5130">
            <w:pPr>
              <w:rPr>
                <w:b/>
                <w:bCs/>
              </w:rPr>
            </w:pPr>
            <w:r w:rsidRPr="002A5130">
              <w:rPr>
                <w:b/>
                <w:bCs/>
              </w:rPr>
              <w:t xml:space="preserve">2,962,848 </w:t>
            </w:r>
          </w:p>
        </w:tc>
        <w:tc>
          <w:tcPr>
            <w:tcW w:w="1331" w:type="dxa"/>
            <w:noWrap/>
            <w:hideMark/>
          </w:tcPr>
          <w:p w14:paraId="72BD0058" w14:textId="77777777" w:rsidR="008818E4" w:rsidRPr="002A5130" w:rsidRDefault="008818E4" w:rsidP="002A5130">
            <w:pPr>
              <w:rPr>
                <w:b/>
                <w:bCs/>
              </w:rPr>
            </w:pPr>
            <w:r w:rsidRPr="002A5130">
              <w:rPr>
                <w:b/>
                <w:bCs/>
              </w:rPr>
              <w:t xml:space="preserve">2,544,568 </w:t>
            </w:r>
          </w:p>
        </w:tc>
        <w:tc>
          <w:tcPr>
            <w:tcW w:w="1331" w:type="dxa"/>
            <w:noWrap/>
            <w:hideMark/>
          </w:tcPr>
          <w:p w14:paraId="57C31FC3" w14:textId="77777777" w:rsidR="008818E4" w:rsidRPr="002A5130" w:rsidRDefault="008818E4" w:rsidP="002A5130">
            <w:pPr>
              <w:rPr>
                <w:b/>
                <w:bCs/>
              </w:rPr>
            </w:pPr>
            <w:r w:rsidRPr="002A5130">
              <w:rPr>
                <w:b/>
                <w:bCs/>
              </w:rPr>
              <w:t xml:space="preserve">9,500,000 </w:t>
            </w:r>
          </w:p>
        </w:tc>
      </w:tr>
    </w:tbl>
    <w:p w14:paraId="7D1420D5" w14:textId="77777777" w:rsidR="001604DB" w:rsidRPr="001604DB" w:rsidRDefault="001604DB" w:rsidP="003925F6">
      <w:pPr>
        <w:rPr>
          <w:lang w:val="en-AU"/>
        </w:rPr>
      </w:pPr>
    </w:p>
    <w:sectPr w:rsidR="001604DB" w:rsidRPr="001604DB" w:rsidSect="00910AB3">
      <w:footerReference w:type="first" r:id="rId28"/>
      <w:pgSz w:w="16838" w:h="11906" w:orient="landscape"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E4F10" w14:textId="77777777" w:rsidR="004D10E0" w:rsidRPr="009F7DE6" w:rsidRDefault="004D10E0" w:rsidP="00034BCB">
      <w:pPr>
        <w:spacing w:after="0" w:line="240" w:lineRule="auto"/>
      </w:pPr>
      <w:r w:rsidRPr="009F7DE6">
        <w:separator/>
      </w:r>
    </w:p>
  </w:endnote>
  <w:endnote w:type="continuationSeparator" w:id="0">
    <w:p w14:paraId="5137A879" w14:textId="77777777" w:rsidR="004D10E0" w:rsidRPr="009F7DE6" w:rsidRDefault="004D10E0" w:rsidP="00034BCB">
      <w:pPr>
        <w:spacing w:after="0" w:line="240" w:lineRule="auto"/>
      </w:pPr>
      <w:r w:rsidRPr="009F7DE6">
        <w:continuationSeparator/>
      </w:r>
    </w:p>
  </w:endnote>
  <w:endnote w:type="continuationNotice" w:id="1">
    <w:p w14:paraId="454F196A" w14:textId="77777777" w:rsidR="004D10E0" w:rsidRPr="009F7DE6" w:rsidRDefault="004D10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Segoe UI"/>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A2F41" w:themeColor="accent1" w:themeShade="80"/>
      </w:rPr>
      <w:id w:val="617417175"/>
      <w:docPartObj>
        <w:docPartGallery w:val="Page Numbers (Bottom of Page)"/>
        <w:docPartUnique/>
      </w:docPartObj>
    </w:sdtPr>
    <w:sdtEndPr/>
    <w:sdtContent>
      <w:p w14:paraId="0665634E" w14:textId="78D72ED0" w:rsidR="00C24FAB" w:rsidRPr="007C3B9D" w:rsidRDefault="00C24FAB" w:rsidP="007C3B9D">
        <w:pPr>
          <w:pStyle w:val="Footer"/>
          <w:jc w:val="right"/>
          <w:rPr>
            <w:color w:val="0A2F41" w:themeColor="accent1" w:themeShade="80"/>
          </w:rPr>
        </w:pPr>
        <w:r w:rsidRPr="00F54316">
          <w:rPr>
            <w:color w:val="0A2F41" w:themeColor="accent1" w:themeShade="80"/>
          </w:rPr>
          <w:t xml:space="preserve">Page | </w:t>
        </w:r>
        <w:r w:rsidRPr="00F54316">
          <w:rPr>
            <w:color w:val="0A2F41" w:themeColor="accent1" w:themeShade="80"/>
          </w:rPr>
          <w:fldChar w:fldCharType="begin"/>
        </w:r>
        <w:r w:rsidRPr="00F54316">
          <w:rPr>
            <w:color w:val="0A2F41" w:themeColor="accent1" w:themeShade="80"/>
          </w:rPr>
          <w:instrText xml:space="preserve"> PAGE   \* MERGEFORMAT </w:instrText>
        </w:r>
        <w:r w:rsidRPr="00F54316">
          <w:rPr>
            <w:color w:val="0A2F41" w:themeColor="accent1" w:themeShade="80"/>
          </w:rPr>
          <w:fldChar w:fldCharType="separate"/>
        </w:r>
        <w:r w:rsidR="00757EBF" w:rsidRPr="00F54316">
          <w:rPr>
            <w:color w:val="0A2F41" w:themeColor="accent1" w:themeShade="80"/>
          </w:rPr>
          <w:t>16</w:t>
        </w:r>
        <w:r w:rsidRPr="00F54316">
          <w:rPr>
            <w:color w:val="0A2F41" w:themeColor="accent1" w:themeShade="80"/>
          </w:rPr>
          <w:fldChar w:fldCharType="end"/>
        </w:r>
        <w:r w:rsidRPr="00F54316">
          <w:rPr>
            <w:color w:val="0A2F41" w:themeColor="accent1" w:themeShade="8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E72C" w14:textId="74CDF526" w:rsidR="00C24FAB" w:rsidRPr="009F7DE6" w:rsidRDefault="00C24FAB">
    <w:pPr>
      <w:pStyle w:val="Footer"/>
      <w:jc w:val="right"/>
    </w:pPr>
  </w:p>
  <w:p w14:paraId="41446A03" w14:textId="77777777" w:rsidR="00C24FAB" w:rsidRPr="009F7DE6" w:rsidRDefault="00C24F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D960" w14:textId="77777777" w:rsidR="000D5145" w:rsidRPr="009F7DE6" w:rsidRDefault="000D5145">
    <w:pPr>
      <w:pStyle w:val="Footer"/>
      <w:jc w:val="right"/>
    </w:pPr>
  </w:p>
  <w:p w14:paraId="22200654" w14:textId="77777777" w:rsidR="000D5145" w:rsidRPr="009F7DE6" w:rsidRDefault="000D5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A5BA9" w14:textId="77777777" w:rsidR="004D10E0" w:rsidRPr="009F7DE6" w:rsidRDefault="004D10E0" w:rsidP="00034BCB">
      <w:pPr>
        <w:spacing w:after="0" w:line="240" w:lineRule="auto"/>
      </w:pPr>
      <w:r w:rsidRPr="009F7DE6">
        <w:separator/>
      </w:r>
    </w:p>
  </w:footnote>
  <w:footnote w:type="continuationSeparator" w:id="0">
    <w:p w14:paraId="2E717D5A" w14:textId="77777777" w:rsidR="004D10E0" w:rsidRPr="009F7DE6" w:rsidRDefault="004D10E0" w:rsidP="00034BCB">
      <w:pPr>
        <w:spacing w:after="0" w:line="240" w:lineRule="auto"/>
      </w:pPr>
      <w:r w:rsidRPr="009F7DE6">
        <w:continuationSeparator/>
      </w:r>
    </w:p>
  </w:footnote>
  <w:footnote w:type="continuationNotice" w:id="1">
    <w:p w14:paraId="609E33A5" w14:textId="77777777" w:rsidR="004D10E0" w:rsidRPr="009F7DE6" w:rsidRDefault="004D10E0">
      <w:pPr>
        <w:spacing w:after="0" w:line="240" w:lineRule="auto"/>
      </w:pPr>
    </w:p>
  </w:footnote>
  <w:footnote w:id="2">
    <w:p w14:paraId="32A79B70" w14:textId="2EC17BBC" w:rsidR="0052760B" w:rsidRPr="000D12A3" w:rsidRDefault="0052760B">
      <w:pPr>
        <w:pStyle w:val="FootnoteText"/>
        <w:rPr>
          <w:rFonts w:cstheme="minorHAnsi"/>
          <w:i/>
          <w:iCs/>
          <w:color w:val="0F4761" w:themeColor="accent1" w:themeShade="BF"/>
          <w:szCs w:val="18"/>
        </w:rPr>
      </w:pPr>
      <w:r w:rsidRPr="000D12A3">
        <w:rPr>
          <w:rStyle w:val="FootnoteReference"/>
          <w:rFonts w:cstheme="minorHAnsi"/>
          <w:i/>
          <w:iCs/>
          <w:color w:val="0F4761" w:themeColor="accent1" w:themeShade="BF"/>
          <w:szCs w:val="18"/>
        </w:rPr>
        <w:footnoteRef/>
      </w:r>
      <w:r w:rsidRPr="000D12A3">
        <w:rPr>
          <w:rFonts w:cstheme="minorHAnsi"/>
          <w:i/>
          <w:iCs/>
          <w:color w:val="0F4761" w:themeColor="accent1" w:themeShade="BF"/>
          <w:szCs w:val="18"/>
        </w:rPr>
        <w:t xml:space="preserve"> For the purposes of the current Evaluation, ‘ASEAN stakeholders’ includes ASEAN sectoral bodies</w:t>
      </w:r>
      <w:r w:rsidR="005473E9" w:rsidRPr="000D12A3">
        <w:rPr>
          <w:rFonts w:cstheme="minorHAnsi"/>
          <w:i/>
          <w:iCs/>
          <w:color w:val="0F4761" w:themeColor="accent1" w:themeShade="BF"/>
          <w:szCs w:val="18"/>
        </w:rPr>
        <w:t xml:space="preserve"> and </w:t>
      </w:r>
      <w:r w:rsidRPr="000D12A3">
        <w:rPr>
          <w:rFonts w:cstheme="minorHAnsi"/>
          <w:i/>
          <w:iCs/>
          <w:color w:val="0F4761" w:themeColor="accent1" w:themeShade="BF"/>
          <w:szCs w:val="18"/>
        </w:rPr>
        <w:t>mechanisms; the ASEAN Secretariat, the ASEAN Institute, and ASEAN Member States that serve as chair or leader/ lead shepherd in areas relevant to the APSP.</w:t>
      </w:r>
      <w:r w:rsidR="00120EC2" w:rsidRPr="000D12A3">
        <w:rPr>
          <w:rFonts w:cstheme="minorHAnsi"/>
          <w:i/>
          <w:iCs/>
          <w:color w:val="0F4761" w:themeColor="accent1" w:themeShade="BF"/>
          <w:szCs w:val="18"/>
        </w:rPr>
        <w:t xml:space="preserve"> Furthermore, all references to ‘ASEAN’ alone are to be construed as including </w:t>
      </w:r>
      <w:r w:rsidR="008D5C2E" w:rsidRPr="000D12A3">
        <w:rPr>
          <w:rFonts w:cstheme="minorHAnsi"/>
          <w:i/>
          <w:iCs/>
          <w:color w:val="0F4761" w:themeColor="accent1" w:themeShade="BF"/>
          <w:szCs w:val="18"/>
        </w:rPr>
        <w:t>all ASEAN stakeholders.</w:t>
      </w:r>
    </w:p>
  </w:footnote>
  <w:footnote w:id="3">
    <w:p w14:paraId="45F60FC4" w14:textId="6B5425DB" w:rsidR="00B67CE6" w:rsidRPr="000D12A3" w:rsidRDefault="00B67CE6">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1" w:history="1">
        <w:r w:rsidRPr="000D12A3">
          <w:rPr>
            <w:rStyle w:val="Hyperlink"/>
            <w:i/>
            <w:iCs/>
            <w:color w:val="0F4761" w:themeColor="accent1" w:themeShade="BF"/>
            <w:szCs w:val="18"/>
          </w:rPr>
          <w:t>https://www.dfat.gov.au/about-us/publications/dfat-design-monitoring-evaluation-learning-standards</w:t>
        </w:r>
      </w:hyperlink>
      <w:r w:rsidRPr="000D12A3">
        <w:rPr>
          <w:i/>
          <w:iCs/>
          <w:color w:val="0F4761" w:themeColor="accent1" w:themeShade="BF"/>
          <w:szCs w:val="18"/>
        </w:rPr>
        <w:t xml:space="preserve"> </w:t>
      </w:r>
    </w:p>
  </w:footnote>
  <w:footnote w:id="4">
    <w:p w14:paraId="6AE6C891" w14:textId="7034B421"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w:t>
      </w:r>
      <w:hyperlink r:id="rId2" w:history="1">
        <w:r w:rsidRPr="000D12A3">
          <w:rPr>
            <w:rStyle w:val="Hyperlink"/>
            <w:rFonts w:ascii="Calibri" w:hAnsi="Calibri" w:cs="Calibri"/>
            <w:i/>
            <w:iCs/>
            <w:color w:val="0F4761" w:themeColor="accent1" w:themeShade="BF"/>
            <w:szCs w:val="18"/>
          </w:rPr>
          <w:t>https://asean.org/wp-content/uploads/2022/02/01-ASEAN-Cybersecurity-Cooperation-Paper-2021-2025final-23-0122.pdf</w:t>
        </w:r>
      </w:hyperlink>
      <w:r w:rsidRPr="000D12A3">
        <w:rPr>
          <w:rFonts w:ascii="Calibri" w:hAnsi="Calibri" w:cs="Calibri"/>
          <w:i/>
          <w:iCs/>
          <w:color w:val="0F4761" w:themeColor="accent1" w:themeShade="BF"/>
          <w:szCs w:val="18"/>
        </w:rPr>
        <w:t xml:space="preserve"> </w:t>
      </w:r>
    </w:p>
  </w:footnote>
  <w:footnote w:id="5">
    <w:p w14:paraId="32A96115" w14:textId="77777777"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w:t>
      </w:r>
      <w:hyperlink r:id="rId3" w:history="1">
        <w:r w:rsidRPr="000D12A3">
          <w:rPr>
            <w:rStyle w:val="Hyperlink"/>
            <w:rFonts w:ascii="Calibri" w:hAnsi="Calibri" w:cs="Calibri"/>
            <w:i/>
            <w:iCs/>
            <w:color w:val="0F4761" w:themeColor="accent1" w:themeShade="BF"/>
            <w:szCs w:val="18"/>
          </w:rPr>
          <w:t>https://asean.org/our-communities/asean-political security-community/peaceful-secure-and-stable-region/maritime-security/</w:t>
        </w:r>
      </w:hyperlink>
      <w:r w:rsidRPr="000D12A3">
        <w:rPr>
          <w:rFonts w:ascii="Calibri" w:hAnsi="Calibri" w:cs="Calibri"/>
          <w:i/>
          <w:iCs/>
          <w:color w:val="0F4761" w:themeColor="accent1" w:themeShade="BF"/>
          <w:szCs w:val="18"/>
        </w:rPr>
        <w:t xml:space="preserve"> </w:t>
      </w:r>
    </w:p>
  </w:footnote>
  <w:footnote w:id="6">
    <w:p w14:paraId="26FE2697" w14:textId="77777777"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w:t>
      </w:r>
      <w:hyperlink r:id="rId4" w:history="1">
        <w:r w:rsidRPr="000D12A3">
          <w:rPr>
            <w:rStyle w:val="Hyperlink"/>
            <w:rFonts w:ascii="Calibri" w:hAnsi="Calibri" w:cs="Calibri"/>
            <w:i/>
            <w:iCs/>
            <w:color w:val="0F4761" w:themeColor="accent1" w:themeShade="BF"/>
            <w:szCs w:val="18"/>
          </w:rPr>
          <w:t>https://aseanregionalforum.asean.org/about-arf/</w:t>
        </w:r>
      </w:hyperlink>
      <w:r w:rsidRPr="000D12A3">
        <w:rPr>
          <w:rFonts w:ascii="Calibri" w:hAnsi="Calibri" w:cs="Calibri"/>
          <w:i/>
          <w:iCs/>
          <w:color w:val="0F4761" w:themeColor="accent1" w:themeShade="BF"/>
          <w:szCs w:val="18"/>
        </w:rPr>
        <w:t xml:space="preserve"> </w:t>
      </w:r>
    </w:p>
  </w:footnote>
  <w:footnote w:id="7">
    <w:p w14:paraId="7F1B3F06" w14:textId="77777777"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w:t>
      </w:r>
      <w:hyperlink r:id="rId5" w:history="1">
        <w:r w:rsidRPr="000D12A3">
          <w:rPr>
            <w:rStyle w:val="Hyperlink"/>
            <w:rFonts w:ascii="Calibri" w:hAnsi="Calibri" w:cs="Calibri"/>
            <w:i/>
            <w:iCs/>
            <w:color w:val="0F4761" w:themeColor="accent1" w:themeShade="BF"/>
            <w:szCs w:val="18"/>
          </w:rPr>
          <w:t>https://aseanregionalforum.asean.org/wp-content/uploads/2023/11/ARF-Workplan-on-Maritime-Security-Final.pdf</w:t>
        </w:r>
      </w:hyperlink>
      <w:r w:rsidRPr="000D12A3">
        <w:rPr>
          <w:rFonts w:ascii="Calibri" w:hAnsi="Calibri" w:cs="Calibri"/>
          <w:i/>
          <w:iCs/>
          <w:color w:val="0F4761" w:themeColor="accent1" w:themeShade="BF"/>
          <w:szCs w:val="18"/>
        </w:rPr>
        <w:t xml:space="preserve"> </w:t>
      </w:r>
    </w:p>
  </w:footnote>
  <w:footnote w:id="8">
    <w:p w14:paraId="534DD705" w14:textId="673239E9"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w:t>
      </w:r>
      <w:hyperlink r:id="rId6" w:history="1">
        <w:r w:rsidRPr="000D12A3">
          <w:rPr>
            <w:rStyle w:val="Hyperlink"/>
            <w:rFonts w:ascii="Calibri" w:hAnsi="Calibri" w:cs="Calibri"/>
            <w:i/>
            <w:iCs/>
            <w:color w:val="0F4761" w:themeColor="accent1" w:themeShade="BF"/>
            <w:szCs w:val="18"/>
          </w:rPr>
          <w:t>https://www.un.org/depts/los/conventionagreements/texts/unclos/unclose.pdf</w:t>
        </w:r>
      </w:hyperlink>
      <w:r w:rsidRPr="000D12A3">
        <w:rPr>
          <w:rFonts w:ascii="Calibri" w:hAnsi="Calibri" w:cs="Calibri"/>
          <w:i/>
          <w:iCs/>
          <w:color w:val="0F4761" w:themeColor="accent1" w:themeShade="BF"/>
          <w:szCs w:val="18"/>
        </w:rPr>
        <w:t xml:space="preserve"> </w:t>
      </w:r>
    </w:p>
  </w:footnote>
  <w:footnote w:id="9">
    <w:p w14:paraId="3BC52CCB" w14:textId="0CE489BF"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w:t>
      </w:r>
      <w:hyperlink r:id="rId7" w:history="1">
        <w:r w:rsidRPr="000D12A3">
          <w:rPr>
            <w:rStyle w:val="Hyperlink"/>
            <w:rFonts w:ascii="Calibri" w:hAnsi="Calibri" w:cs="Calibri"/>
            <w:i/>
            <w:iCs/>
            <w:color w:val="0F4761" w:themeColor="accent1" w:themeShade="BF"/>
            <w:szCs w:val="18"/>
          </w:rPr>
          <w:t>https://asean.org/wp-content/uploads/2021/01/ASEAN-Plan-of-Action-in-Combating-TCAdopted-by-11th-AMMTC-on-20Sept17.pdf</w:t>
        </w:r>
      </w:hyperlink>
      <w:r w:rsidRPr="000D12A3">
        <w:rPr>
          <w:rFonts w:ascii="Calibri" w:hAnsi="Calibri" w:cs="Calibri"/>
          <w:i/>
          <w:iCs/>
          <w:color w:val="0F4761" w:themeColor="accent1" w:themeShade="BF"/>
          <w:szCs w:val="18"/>
        </w:rPr>
        <w:t xml:space="preserve"> </w:t>
      </w:r>
    </w:p>
  </w:footnote>
  <w:footnote w:id="10">
    <w:p w14:paraId="16542950" w14:textId="77777777"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w:t>
      </w:r>
      <w:hyperlink r:id="rId8" w:history="1">
        <w:r w:rsidRPr="000D12A3">
          <w:rPr>
            <w:rStyle w:val="Hyperlink"/>
            <w:rFonts w:ascii="Calibri" w:hAnsi="Calibri" w:cs="Calibri"/>
            <w:i/>
            <w:iCs/>
            <w:color w:val="0F4761" w:themeColor="accent1" w:themeShade="BF"/>
            <w:szCs w:val="18"/>
          </w:rPr>
          <w:t>https://www.asean.org/wp-content/uploads/2023/08/4-SOMTC-WP-TC-2022-2024.pdf</w:t>
        </w:r>
      </w:hyperlink>
      <w:r w:rsidRPr="000D12A3">
        <w:rPr>
          <w:rFonts w:ascii="Calibri" w:hAnsi="Calibri" w:cs="Calibri"/>
          <w:i/>
          <w:iCs/>
          <w:color w:val="0F4761" w:themeColor="accent1" w:themeShade="BF"/>
          <w:szCs w:val="18"/>
        </w:rPr>
        <w:t xml:space="preserve"> </w:t>
      </w:r>
    </w:p>
  </w:footnote>
  <w:footnote w:id="11">
    <w:p w14:paraId="35C19311" w14:textId="2C1C3D82"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w:t>
      </w:r>
      <w:hyperlink r:id="rId9" w:history="1">
        <w:r w:rsidRPr="000D12A3">
          <w:rPr>
            <w:rStyle w:val="Hyperlink"/>
            <w:rFonts w:ascii="Calibri" w:hAnsi="Calibri" w:cs="Calibri"/>
            <w:i/>
            <w:iCs/>
            <w:color w:val="0F4761" w:themeColor="accent1" w:themeShade="BF"/>
            <w:szCs w:val="18"/>
          </w:rPr>
          <w:t>https://asean.org/wp-content/uploads/2021/01/8.-ADOPTIONJoint-Statement-on-Promoting-Women-Peace-and-Security-in-ASEANACWC-Endorsedrev2.pdf</w:t>
        </w:r>
      </w:hyperlink>
      <w:r w:rsidRPr="000D12A3">
        <w:rPr>
          <w:rFonts w:ascii="Calibri" w:hAnsi="Calibri" w:cs="Calibri"/>
          <w:i/>
          <w:iCs/>
          <w:color w:val="0F4761" w:themeColor="accent1" w:themeShade="BF"/>
          <w:szCs w:val="18"/>
        </w:rPr>
        <w:t xml:space="preserve"> </w:t>
      </w:r>
    </w:p>
  </w:footnote>
  <w:footnote w:id="12">
    <w:p w14:paraId="067CA46D" w14:textId="77777777"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Op. cit.</w:t>
      </w:r>
    </w:p>
  </w:footnote>
  <w:footnote w:id="13">
    <w:p w14:paraId="76BC9C79" w14:textId="77777777"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Introduction and guidance on UNGGE Norms from an ASEAN perspective: </w:t>
      </w:r>
      <w:hyperlink r:id="rId10" w:history="1">
        <w:r w:rsidRPr="000D12A3">
          <w:rPr>
            <w:rStyle w:val="Hyperlink"/>
            <w:rFonts w:ascii="Calibri" w:hAnsi="Calibri" w:cs="Calibri"/>
            <w:i/>
            <w:iCs/>
            <w:color w:val="0F4761" w:themeColor="accent1" w:themeShade="BF"/>
            <w:szCs w:val="18"/>
          </w:rPr>
          <w:t>https://www.aspi.org.au/report/un-norms-responsible-state-behaviour-cyberspace</w:t>
        </w:r>
      </w:hyperlink>
      <w:r w:rsidRPr="000D12A3">
        <w:rPr>
          <w:rFonts w:ascii="Calibri" w:hAnsi="Calibri" w:cs="Calibri"/>
          <w:i/>
          <w:iCs/>
          <w:color w:val="0F4761" w:themeColor="accent1" w:themeShade="BF"/>
          <w:szCs w:val="18"/>
        </w:rPr>
        <w:t xml:space="preserve"> </w:t>
      </w:r>
    </w:p>
  </w:footnote>
  <w:footnote w:id="14">
    <w:p w14:paraId="30C83A7B" w14:textId="38E97E15" w:rsidR="00887B4F" w:rsidRPr="000D12A3" w:rsidRDefault="00887B4F">
      <w:pPr>
        <w:pStyle w:val="FootnoteText"/>
        <w:rPr>
          <w:i/>
          <w:iCs/>
          <w:color w:val="0F4761" w:themeColor="accent1" w:themeShade="BF"/>
        </w:rPr>
      </w:pPr>
      <w:r w:rsidRPr="000D12A3">
        <w:rPr>
          <w:rStyle w:val="FootnoteReference"/>
          <w:i/>
          <w:iCs/>
          <w:color w:val="0F4761" w:themeColor="accent1" w:themeShade="BF"/>
        </w:rPr>
        <w:footnoteRef/>
      </w:r>
      <w:r w:rsidRPr="000D12A3">
        <w:rPr>
          <w:i/>
          <w:iCs/>
          <w:color w:val="0F4761" w:themeColor="accent1" w:themeShade="BF"/>
        </w:rPr>
        <w:t xml:space="preserve"> https://asean.org/wp-content/uploads/2023/08/4-SOMTC-WP-TC-2022-2024.pdf</w:t>
      </w:r>
    </w:p>
  </w:footnote>
  <w:footnote w:id="15">
    <w:p w14:paraId="3CCBB49C" w14:textId="77777777" w:rsidR="00394860" w:rsidRPr="000D12A3" w:rsidRDefault="00394860" w:rsidP="00394860">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11" w:history="1">
        <w:r w:rsidRPr="000D12A3">
          <w:rPr>
            <w:rStyle w:val="Hyperlink"/>
            <w:i/>
            <w:iCs/>
            <w:color w:val="0F4761" w:themeColor="accent1" w:themeShade="BF"/>
            <w:szCs w:val="18"/>
          </w:rPr>
          <w:t>https://asean.org/book/asean-document-series-on-transnational-crime-terrorism-and-violent-extremism-drugs-cybercrime-and-trafficking-in-persons/</w:t>
        </w:r>
      </w:hyperlink>
      <w:r w:rsidRPr="000D12A3">
        <w:rPr>
          <w:i/>
          <w:iCs/>
          <w:color w:val="0F4761" w:themeColor="accent1" w:themeShade="BF"/>
          <w:szCs w:val="18"/>
        </w:rPr>
        <w:t xml:space="preserve"> </w:t>
      </w:r>
    </w:p>
  </w:footnote>
  <w:footnote w:id="16">
    <w:p w14:paraId="6DDC98AA" w14:textId="52707706" w:rsidR="00394860" w:rsidRPr="000D12A3" w:rsidRDefault="00394860" w:rsidP="00394860">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12" w:history="1">
        <w:r w:rsidRPr="000D12A3">
          <w:rPr>
            <w:rStyle w:val="Hyperlink"/>
            <w:i/>
            <w:iCs/>
            <w:color w:val="0F4761" w:themeColor="accent1" w:themeShade="BF"/>
            <w:szCs w:val="18"/>
          </w:rPr>
          <w:t>https://asean.org/wp-content/uploads/2021/03/APSCBluePrint.pdf</w:t>
        </w:r>
      </w:hyperlink>
      <w:r w:rsidRPr="000D12A3">
        <w:rPr>
          <w:i/>
          <w:iCs/>
          <w:color w:val="0F4761" w:themeColor="accent1" w:themeShade="BF"/>
          <w:szCs w:val="18"/>
        </w:rPr>
        <w:t xml:space="preserve"> </w:t>
      </w:r>
    </w:p>
  </w:footnote>
  <w:footnote w:id="17">
    <w:p w14:paraId="42D9A359" w14:textId="77777777" w:rsidR="00394860" w:rsidRPr="000D12A3" w:rsidRDefault="00394860" w:rsidP="00394860">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13" w:history="1">
        <w:r w:rsidRPr="000D12A3">
          <w:rPr>
            <w:rStyle w:val="Hyperlink"/>
            <w:i/>
            <w:iCs/>
            <w:color w:val="0F4761" w:themeColor="accent1" w:themeShade="BF"/>
            <w:szCs w:val="18"/>
          </w:rPr>
          <w:t>https://www.homeaffairs.gov.au/nat-security/files/strategy-transnational-serious-organised-crime.pdf</w:t>
        </w:r>
      </w:hyperlink>
      <w:r w:rsidRPr="000D12A3">
        <w:rPr>
          <w:i/>
          <w:iCs/>
          <w:color w:val="0F4761" w:themeColor="accent1" w:themeShade="BF"/>
          <w:szCs w:val="18"/>
        </w:rPr>
        <w:t xml:space="preserve"> </w:t>
      </w:r>
    </w:p>
  </w:footnote>
  <w:footnote w:id="18">
    <w:p w14:paraId="5EE00D72" w14:textId="2AA6FA94" w:rsidR="00AE6C48" w:rsidRPr="000D12A3" w:rsidRDefault="00AE6C48">
      <w:pPr>
        <w:pStyle w:val="FootnoteText"/>
        <w:rPr>
          <w:i/>
          <w:iCs/>
          <w:color w:val="0F4761" w:themeColor="accent1" w:themeShade="BF"/>
        </w:rPr>
      </w:pPr>
      <w:r w:rsidRPr="000D12A3">
        <w:rPr>
          <w:rStyle w:val="FootnoteReference"/>
          <w:i/>
          <w:iCs/>
          <w:color w:val="0F4761" w:themeColor="accent1" w:themeShade="BF"/>
        </w:rPr>
        <w:footnoteRef/>
      </w:r>
      <w:r w:rsidRPr="000D12A3">
        <w:rPr>
          <w:i/>
          <w:iCs/>
          <w:color w:val="0F4761" w:themeColor="accent1" w:themeShade="BF"/>
        </w:rPr>
        <w:t xml:space="preserve"> </w:t>
      </w:r>
      <w:hyperlink r:id="rId14" w:history="1">
        <w:r w:rsidRPr="000D12A3">
          <w:rPr>
            <w:rStyle w:val="Hyperlink"/>
            <w:i/>
            <w:iCs/>
            <w:color w:val="0F4761" w:themeColor="accent1" w:themeShade="BF"/>
          </w:rPr>
          <w:t>https://asean.org/wp-content/uploads/2021/01/ASEAN-Outlook-on-the-Indo-Pacific_FINAL_22062019.pdf</w:t>
        </w:r>
      </w:hyperlink>
      <w:r w:rsidRPr="000D12A3">
        <w:rPr>
          <w:i/>
          <w:iCs/>
          <w:color w:val="0F4761" w:themeColor="accent1" w:themeShade="BF"/>
        </w:rPr>
        <w:t xml:space="preserve"> </w:t>
      </w:r>
    </w:p>
  </w:footnote>
  <w:footnote w:id="19">
    <w:p w14:paraId="325C7542" w14:textId="77777777" w:rsidR="00394860" w:rsidRPr="000D12A3" w:rsidRDefault="00394860" w:rsidP="00394860">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15" w:history="1">
        <w:r w:rsidRPr="000D12A3">
          <w:rPr>
            <w:rStyle w:val="Hyperlink"/>
            <w:i/>
            <w:iCs/>
            <w:color w:val="0F4761" w:themeColor="accent1" w:themeShade="BF"/>
            <w:szCs w:val="18"/>
          </w:rPr>
          <w:t>https://aseanregionalforum.asean.org/wp-content/uploads/2023/11/ARF-Workplan-on-Maritime-Security-Final.pdf</w:t>
        </w:r>
      </w:hyperlink>
      <w:r w:rsidRPr="000D12A3">
        <w:rPr>
          <w:i/>
          <w:iCs/>
          <w:color w:val="0F4761" w:themeColor="accent1" w:themeShade="BF"/>
          <w:szCs w:val="18"/>
        </w:rPr>
        <w:t xml:space="preserve"> </w:t>
      </w:r>
    </w:p>
  </w:footnote>
  <w:footnote w:id="20">
    <w:p w14:paraId="200B3C58" w14:textId="77777777" w:rsidR="00394860" w:rsidRPr="000D12A3" w:rsidRDefault="00394860" w:rsidP="00394860">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16" w:history="1">
        <w:r w:rsidRPr="000D12A3">
          <w:rPr>
            <w:rStyle w:val="Hyperlink"/>
            <w:i/>
            <w:iCs/>
            <w:color w:val="0F4761" w:themeColor="accent1" w:themeShade="BF"/>
            <w:szCs w:val="18"/>
          </w:rPr>
          <w:t>https://www.homeaffairs.gov.au/about-us/our-portfolios/national-security/civil-maritime-security</w:t>
        </w:r>
      </w:hyperlink>
      <w:r w:rsidRPr="000D12A3">
        <w:rPr>
          <w:i/>
          <w:iCs/>
          <w:color w:val="0F4761" w:themeColor="accent1" w:themeShade="BF"/>
          <w:szCs w:val="18"/>
        </w:rPr>
        <w:t xml:space="preserve"> </w:t>
      </w:r>
    </w:p>
  </w:footnote>
  <w:footnote w:id="21">
    <w:p w14:paraId="64E566FD" w14:textId="77777777" w:rsidR="00394860" w:rsidRPr="000D12A3" w:rsidRDefault="00394860" w:rsidP="00394860">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17" w:history="1">
        <w:r w:rsidRPr="000D12A3">
          <w:rPr>
            <w:rStyle w:val="Hyperlink"/>
            <w:i/>
            <w:iCs/>
            <w:color w:val="0F4761" w:themeColor="accent1" w:themeShade="BF"/>
            <w:szCs w:val="18"/>
          </w:rPr>
          <w:t>https://asean.org/asean-regional-plan-of-action-on-women-peace-and-security/</w:t>
        </w:r>
      </w:hyperlink>
      <w:r w:rsidRPr="000D12A3">
        <w:rPr>
          <w:i/>
          <w:iCs/>
          <w:color w:val="0F4761" w:themeColor="accent1" w:themeShade="BF"/>
          <w:szCs w:val="18"/>
        </w:rPr>
        <w:t xml:space="preserve"> </w:t>
      </w:r>
    </w:p>
  </w:footnote>
  <w:footnote w:id="22">
    <w:p w14:paraId="4FACEB26" w14:textId="77777777" w:rsidR="00394860" w:rsidRPr="000D12A3" w:rsidRDefault="00394860" w:rsidP="00394860">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18" w:history="1">
        <w:r w:rsidRPr="000D12A3">
          <w:rPr>
            <w:rStyle w:val="Hyperlink"/>
            <w:i/>
            <w:iCs/>
            <w:color w:val="0F4761" w:themeColor="accent1" w:themeShade="BF"/>
            <w:szCs w:val="18"/>
          </w:rPr>
          <w:t>https://aseanregionalforum.asean.org/wp-content/uploads/2022/09/ARF-Inclusivity-Framework-FINAL.pdf</w:t>
        </w:r>
      </w:hyperlink>
      <w:r w:rsidRPr="000D12A3">
        <w:rPr>
          <w:i/>
          <w:iCs/>
          <w:color w:val="0F4761" w:themeColor="accent1" w:themeShade="BF"/>
          <w:szCs w:val="18"/>
        </w:rPr>
        <w:t xml:space="preserve"> </w:t>
      </w:r>
    </w:p>
  </w:footnote>
  <w:footnote w:id="23">
    <w:p w14:paraId="37C5F895" w14:textId="77777777" w:rsidR="00394860" w:rsidRPr="000D12A3" w:rsidRDefault="00394860" w:rsidP="00394860">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19" w:history="1">
        <w:r w:rsidRPr="000D12A3">
          <w:rPr>
            <w:rStyle w:val="Hyperlink"/>
            <w:i/>
            <w:iCs/>
            <w:color w:val="0F4761" w:themeColor="accent1" w:themeShade="BF"/>
            <w:szCs w:val="18"/>
          </w:rPr>
          <w:t>https://www.dfat.gov.au/publications/second-australian-national-action-plan-on-women-peace-and-security-2021-2031</w:t>
        </w:r>
      </w:hyperlink>
      <w:r w:rsidRPr="000D12A3">
        <w:rPr>
          <w:i/>
          <w:iCs/>
          <w:color w:val="0F4761" w:themeColor="accent1" w:themeShade="BF"/>
          <w:szCs w:val="18"/>
        </w:rPr>
        <w:t xml:space="preserve"> </w:t>
      </w:r>
    </w:p>
  </w:footnote>
  <w:footnote w:id="24">
    <w:p w14:paraId="40DE358F" w14:textId="77777777" w:rsidR="00394860" w:rsidRPr="000D12A3" w:rsidRDefault="00394860" w:rsidP="00394860">
      <w:pPr>
        <w:pStyle w:val="FootnoteText"/>
        <w:rPr>
          <w:rFonts w:ascii="Calibri" w:hAnsi="Calibri" w:cs="Calibri"/>
          <w:i/>
          <w:iCs/>
          <w:color w:val="0F4761" w:themeColor="accent1" w:themeShade="BF"/>
          <w:szCs w:val="18"/>
        </w:rPr>
      </w:pPr>
      <w:r w:rsidRPr="000D12A3">
        <w:rPr>
          <w:rStyle w:val="FootnoteReference"/>
          <w:rFonts w:ascii="Calibri" w:hAnsi="Calibri" w:cs="Calibri"/>
          <w:i/>
          <w:iCs/>
          <w:color w:val="0F4761" w:themeColor="accent1" w:themeShade="BF"/>
          <w:szCs w:val="18"/>
        </w:rPr>
        <w:footnoteRef/>
      </w:r>
      <w:r w:rsidRPr="000D12A3">
        <w:rPr>
          <w:rFonts w:ascii="Calibri" w:hAnsi="Calibri" w:cs="Calibri"/>
          <w:i/>
          <w:iCs/>
          <w:color w:val="0F4761" w:themeColor="accent1" w:themeShade="BF"/>
          <w:szCs w:val="18"/>
        </w:rPr>
        <w:t xml:space="preserve"> </w:t>
      </w:r>
      <w:hyperlink r:id="rId20" w:history="1">
        <w:r w:rsidRPr="000D12A3">
          <w:rPr>
            <w:rStyle w:val="Hyperlink"/>
            <w:rFonts w:ascii="Calibri" w:hAnsi="Calibri" w:cs="Calibri"/>
            <w:i/>
            <w:iCs/>
            <w:color w:val="0F4761" w:themeColor="accent1" w:themeShade="BF"/>
            <w:szCs w:val="18"/>
          </w:rPr>
          <w:t>https://asean.mission.gov.au/aesn/CSP.html</w:t>
        </w:r>
      </w:hyperlink>
      <w:r w:rsidRPr="000D12A3">
        <w:rPr>
          <w:rFonts w:ascii="Calibri" w:hAnsi="Calibri" w:cs="Calibri"/>
          <w:i/>
          <w:iCs/>
          <w:color w:val="0F4761" w:themeColor="accent1" w:themeShade="BF"/>
          <w:szCs w:val="18"/>
        </w:rPr>
        <w:t xml:space="preserve"> </w:t>
      </w:r>
    </w:p>
  </w:footnote>
  <w:footnote w:id="25">
    <w:p w14:paraId="3AEC6CFC" w14:textId="77777777" w:rsidR="00980523" w:rsidRPr="000D12A3" w:rsidRDefault="00980523" w:rsidP="00980523">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21" w:history="1">
        <w:r w:rsidRPr="000D12A3">
          <w:rPr>
            <w:rStyle w:val="Hyperlink"/>
            <w:i/>
            <w:iCs/>
            <w:color w:val="0F4761" w:themeColor="accent1" w:themeShade="BF"/>
            <w:szCs w:val="18"/>
          </w:rPr>
          <w:t>https://www.uow.edu.au/ancors/</w:t>
        </w:r>
      </w:hyperlink>
      <w:r w:rsidRPr="000D12A3">
        <w:rPr>
          <w:i/>
          <w:iCs/>
          <w:color w:val="0F4761" w:themeColor="accent1" w:themeShade="BF"/>
          <w:szCs w:val="18"/>
        </w:rPr>
        <w:t xml:space="preserve"> </w:t>
      </w:r>
    </w:p>
  </w:footnote>
  <w:footnote w:id="26">
    <w:p w14:paraId="1B1DD1E5" w14:textId="77777777" w:rsidR="00980523" w:rsidRPr="000D12A3" w:rsidRDefault="00980523" w:rsidP="00980523">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w:t>
      </w:r>
      <w:hyperlink r:id="rId22" w:history="1">
        <w:r w:rsidRPr="000D12A3">
          <w:rPr>
            <w:rStyle w:val="Hyperlink"/>
            <w:i/>
            <w:iCs/>
            <w:color w:val="0F4761" w:themeColor="accent1" w:themeShade="BF"/>
            <w:szCs w:val="18"/>
          </w:rPr>
          <w:t>https://www.csiro.au/en/</w:t>
        </w:r>
      </w:hyperlink>
      <w:r w:rsidRPr="000D12A3">
        <w:rPr>
          <w:i/>
          <w:iCs/>
          <w:color w:val="0F4761" w:themeColor="accent1" w:themeShade="BF"/>
          <w:szCs w:val="18"/>
        </w:rPr>
        <w:t xml:space="preserve"> </w:t>
      </w:r>
    </w:p>
  </w:footnote>
  <w:footnote w:id="27">
    <w:p w14:paraId="106C5AF5" w14:textId="68BC95CF" w:rsidR="00493922" w:rsidRPr="000D12A3" w:rsidRDefault="00493922">
      <w:pPr>
        <w:pStyle w:val="FootnoteText"/>
        <w:rPr>
          <w:i/>
          <w:iCs/>
          <w:color w:val="0F4761" w:themeColor="accent1" w:themeShade="BF"/>
          <w:szCs w:val="18"/>
        </w:rPr>
      </w:pPr>
      <w:r w:rsidRPr="000D12A3">
        <w:rPr>
          <w:rStyle w:val="FootnoteReference"/>
          <w:i/>
          <w:iCs/>
          <w:color w:val="0F4761" w:themeColor="accent1" w:themeShade="BF"/>
          <w:szCs w:val="18"/>
        </w:rPr>
        <w:footnoteRef/>
      </w:r>
      <w:r w:rsidRPr="000D12A3">
        <w:rPr>
          <w:i/>
          <w:iCs/>
          <w:color w:val="0F4761" w:themeColor="accent1" w:themeShade="BF"/>
          <w:szCs w:val="18"/>
        </w:rPr>
        <w:t xml:space="preserve"> APSP Annual Rerpot, p. </w:t>
      </w:r>
    </w:p>
  </w:footnote>
  <w:footnote w:id="28">
    <w:p w14:paraId="5F998AEA" w14:textId="185F885F" w:rsidR="00A26FA0" w:rsidRPr="000D12A3" w:rsidRDefault="00A26FA0" w:rsidP="00A26FA0">
      <w:pPr>
        <w:spacing w:after="60" w:line="240" w:lineRule="auto"/>
        <w:ind w:left="708"/>
        <w:rPr>
          <w:i/>
          <w:iCs/>
          <w:color w:val="0F4761" w:themeColor="accent1" w:themeShade="BF"/>
          <w:sz w:val="18"/>
          <w:szCs w:val="18"/>
        </w:rPr>
      </w:pPr>
      <w:r w:rsidRPr="000D12A3">
        <w:rPr>
          <w:rStyle w:val="FootnoteReference"/>
          <w:i/>
          <w:iCs/>
          <w:color w:val="0F4761" w:themeColor="accent1" w:themeShade="BF"/>
          <w:sz w:val="18"/>
          <w:szCs w:val="18"/>
        </w:rPr>
        <w:footnoteRef/>
      </w:r>
      <w:r w:rsidRPr="000D12A3">
        <w:rPr>
          <w:i/>
          <w:iCs/>
          <w:color w:val="0F4761" w:themeColor="accent1" w:themeShade="BF"/>
          <w:sz w:val="18"/>
          <w:szCs w:val="18"/>
        </w:rPr>
        <w:t xml:space="preserve"> GEDSI Strategy, October 2023, p.7</w:t>
      </w:r>
    </w:p>
  </w:footnote>
  <w:footnote w:id="29">
    <w:p w14:paraId="457A9232" w14:textId="77777777" w:rsidR="007079AB" w:rsidRPr="00AE4F8E" w:rsidRDefault="007079AB" w:rsidP="007079AB">
      <w:pPr>
        <w:pStyle w:val="FootnoteText"/>
        <w:rPr>
          <w:lang w:val="en-GB"/>
        </w:rPr>
      </w:pPr>
      <w:r w:rsidRPr="009F7DE6">
        <w:rPr>
          <w:rStyle w:val="FootnoteReference"/>
        </w:rPr>
        <w:footnoteRef/>
      </w:r>
      <w:r w:rsidRPr="009F7DE6">
        <w:t xml:space="preserve"> In this case study as in the main report, quotes from interviews have been lightly edited for clarity and concision.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79629A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903E9"/>
    <w:multiLevelType w:val="hybridMultilevel"/>
    <w:tmpl w:val="FC608F0A"/>
    <w:lvl w:ilvl="0" w:tplc="F2F40D4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AA14A2"/>
    <w:multiLevelType w:val="multilevel"/>
    <w:tmpl w:val="6C1A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EB2051"/>
    <w:multiLevelType w:val="multilevel"/>
    <w:tmpl w:val="FA8671D4"/>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02EE093C"/>
    <w:multiLevelType w:val="multilevel"/>
    <w:tmpl w:val="920EB72C"/>
    <w:lvl w:ilvl="0">
      <w:start w:val="7"/>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5A1277B"/>
    <w:multiLevelType w:val="multilevel"/>
    <w:tmpl w:val="8A8A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8661F0"/>
    <w:multiLevelType w:val="hybridMultilevel"/>
    <w:tmpl w:val="41304BE6"/>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7197033"/>
    <w:multiLevelType w:val="hybridMultilevel"/>
    <w:tmpl w:val="577E025C"/>
    <w:lvl w:ilvl="0" w:tplc="7CCC1FFA">
      <w:start w:val="1"/>
      <w:numFmt w:val="bullet"/>
      <w:lvlText w:val=""/>
      <w:lvlJc w:val="left"/>
      <w:pPr>
        <w:ind w:left="720" w:hanging="360"/>
      </w:pPr>
      <w:rPr>
        <w:rFonts w:ascii="Symbol" w:hAnsi="Symbol" w:hint="default"/>
        <w:color w:val="156082"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A2799E"/>
    <w:multiLevelType w:val="hybridMultilevel"/>
    <w:tmpl w:val="E84062F2"/>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83" w:hanging="360"/>
      </w:pPr>
      <w:rPr>
        <w:rFonts w:ascii="Courier New" w:hAnsi="Courier New" w:cs="Courier New" w:hint="default"/>
      </w:rPr>
    </w:lvl>
    <w:lvl w:ilvl="2" w:tplc="FFFFFFFF" w:tentative="1">
      <w:start w:val="1"/>
      <w:numFmt w:val="bullet"/>
      <w:lvlText w:val=""/>
      <w:lvlJc w:val="left"/>
      <w:pPr>
        <w:ind w:left="2203" w:hanging="360"/>
      </w:pPr>
      <w:rPr>
        <w:rFonts w:ascii="Wingdings" w:hAnsi="Wingdings" w:hint="default"/>
      </w:rPr>
    </w:lvl>
    <w:lvl w:ilvl="3" w:tplc="FFFFFFFF" w:tentative="1">
      <w:start w:val="1"/>
      <w:numFmt w:val="bullet"/>
      <w:lvlText w:val=""/>
      <w:lvlJc w:val="left"/>
      <w:pPr>
        <w:ind w:left="2923" w:hanging="360"/>
      </w:pPr>
      <w:rPr>
        <w:rFonts w:ascii="Symbol" w:hAnsi="Symbol" w:hint="default"/>
      </w:rPr>
    </w:lvl>
    <w:lvl w:ilvl="4" w:tplc="FFFFFFFF" w:tentative="1">
      <w:start w:val="1"/>
      <w:numFmt w:val="bullet"/>
      <w:lvlText w:val="o"/>
      <w:lvlJc w:val="left"/>
      <w:pPr>
        <w:ind w:left="3643" w:hanging="360"/>
      </w:pPr>
      <w:rPr>
        <w:rFonts w:ascii="Courier New" w:hAnsi="Courier New" w:cs="Courier New" w:hint="default"/>
      </w:rPr>
    </w:lvl>
    <w:lvl w:ilvl="5" w:tplc="FFFFFFFF" w:tentative="1">
      <w:start w:val="1"/>
      <w:numFmt w:val="bullet"/>
      <w:lvlText w:val=""/>
      <w:lvlJc w:val="left"/>
      <w:pPr>
        <w:ind w:left="4363" w:hanging="360"/>
      </w:pPr>
      <w:rPr>
        <w:rFonts w:ascii="Wingdings" w:hAnsi="Wingdings" w:hint="default"/>
      </w:rPr>
    </w:lvl>
    <w:lvl w:ilvl="6" w:tplc="FFFFFFFF" w:tentative="1">
      <w:start w:val="1"/>
      <w:numFmt w:val="bullet"/>
      <w:lvlText w:val=""/>
      <w:lvlJc w:val="left"/>
      <w:pPr>
        <w:ind w:left="5083" w:hanging="360"/>
      </w:pPr>
      <w:rPr>
        <w:rFonts w:ascii="Symbol" w:hAnsi="Symbol" w:hint="default"/>
      </w:rPr>
    </w:lvl>
    <w:lvl w:ilvl="7" w:tplc="FFFFFFFF" w:tentative="1">
      <w:start w:val="1"/>
      <w:numFmt w:val="bullet"/>
      <w:lvlText w:val="o"/>
      <w:lvlJc w:val="left"/>
      <w:pPr>
        <w:ind w:left="5803" w:hanging="360"/>
      </w:pPr>
      <w:rPr>
        <w:rFonts w:ascii="Courier New" w:hAnsi="Courier New" w:cs="Courier New" w:hint="default"/>
      </w:rPr>
    </w:lvl>
    <w:lvl w:ilvl="8" w:tplc="FFFFFFFF" w:tentative="1">
      <w:start w:val="1"/>
      <w:numFmt w:val="bullet"/>
      <w:lvlText w:val=""/>
      <w:lvlJc w:val="left"/>
      <w:pPr>
        <w:ind w:left="6523" w:hanging="360"/>
      </w:pPr>
      <w:rPr>
        <w:rFonts w:ascii="Wingdings" w:hAnsi="Wingdings" w:hint="default"/>
      </w:rPr>
    </w:lvl>
  </w:abstractNum>
  <w:abstractNum w:abstractNumId="9" w15:restartNumberingAfterBreak="0">
    <w:nsid w:val="07D82832"/>
    <w:multiLevelType w:val="hybridMultilevel"/>
    <w:tmpl w:val="B618244A"/>
    <w:lvl w:ilvl="0" w:tplc="7CCC1FFA">
      <w:start w:val="1"/>
      <w:numFmt w:val="bullet"/>
      <w:lvlText w:val=""/>
      <w:lvlJc w:val="left"/>
      <w:pPr>
        <w:ind w:left="720" w:hanging="360"/>
      </w:pPr>
      <w:rPr>
        <w:rFonts w:ascii="Symbol" w:hAnsi="Symbol" w:hint="default"/>
        <w:color w:val="156082"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973F2F"/>
    <w:multiLevelType w:val="hybridMultilevel"/>
    <w:tmpl w:val="F996A744"/>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9F4181E"/>
    <w:multiLevelType w:val="multilevel"/>
    <w:tmpl w:val="D5F4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DC55D9"/>
    <w:multiLevelType w:val="hybridMultilevel"/>
    <w:tmpl w:val="F0DCAC1C"/>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CD20B19"/>
    <w:multiLevelType w:val="multilevel"/>
    <w:tmpl w:val="EAEE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D75918"/>
    <w:multiLevelType w:val="multilevel"/>
    <w:tmpl w:val="CA2E00B8"/>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B6222E"/>
    <w:multiLevelType w:val="hybridMultilevel"/>
    <w:tmpl w:val="E31C2DFA"/>
    <w:lvl w:ilvl="0" w:tplc="7CCC1FF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4F0FE0"/>
    <w:multiLevelType w:val="hybridMultilevel"/>
    <w:tmpl w:val="4D9A5CCE"/>
    <w:lvl w:ilvl="0" w:tplc="44E45D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975A20"/>
    <w:multiLevelType w:val="hybridMultilevel"/>
    <w:tmpl w:val="55841F30"/>
    <w:lvl w:ilvl="0" w:tplc="DF0084D4">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26583A"/>
    <w:multiLevelType w:val="hybridMultilevel"/>
    <w:tmpl w:val="861073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FEC7170"/>
    <w:multiLevelType w:val="multilevel"/>
    <w:tmpl w:val="3382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FF44023"/>
    <w:multiLevelType w:val="multilevel"/>
    <w:tmpl w:val="5D32A1A0"/>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906355"/>
    <w:multiLevelType w:val="hybridMultilevel"/>
    <w:tmpl w:val="F4DAFA74"/>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1CB59AD"/>
    <w:multiLevelType w:val="hybridMultilevel"/>
    <w:tmpl w:val="122A31FE"/>
    <w:lvl w:ilvl="0" w:tplc="3EE413F8">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1F8106D"/>
    <w:multiLevelType w:val="hybridMultilevel"/>
    <w:tmpl w:val="F6A0F19C"/>
    <w:lvl w:ilvl="0" w:tplc="A7445FF4">
      <w:start w:val="1"/>
      <w:numFmt w:val="decimal"/>
      <w:lvlText w:val="%1."/>
      <w:lvlJc w:val="left"/>
      <w:pPr>
        <w:ind w:left="740" w:hanging="380"/>
      </w:pPr>
      <w:rPr>
        <w:rFonts w:hint="default"/>
        <w:color w:val="156082"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2C3733F"/>
    <w:multiLevelType w:val="hybridMultilevel"/>
    <w:tmpl w:val="824AC498"/>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1467769C"/>
    <w:multiLevelType w:val="multilevel"/>
    <w:tmpl w:val="BE0EA114"/>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7C144B"/>
    <w:multiLevelType w:val="hybridMultilevel"/>
    <w:tmpl w:val="1B8AF136"/>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482775B"/>
    <w:multiLevelType w:val="multilevel"/>
    <w:tmpl w:val="3712F878"/>
    <w:lvl w:ilvl="0">
      <w:start w:val="1"/>
      <w:numFmt w:val="decimal"/>
      <w:lvlText w:val="%1"/>
      <w:lvlJc w:val="left"/>
      <w:pPr>
        <w:ind w:left="432" w:hanging="432"/>
      </w:pPr>
    </w:lvl>
    <w:lvl w:ilvl="1">
      <w:start w:val="1"/>
      <w:numFmt w:val="decimal"/>
      <w:lvlText w:val="%1.%2"/>
      <w:lvlJc w:val="left"/>
      <w:pPr>
        <w:ind w:left="576" w:hanging="576"/>
      </w:pPr>
      <w:rPr>
        <w:lang w:val="en-GB"/>
      </w:rPr>
    </w:lvl>
    <w:lvl w:ilvl="2">
      <w:start w:val="1"/>
      <w:numFmt w:val="decimal"/>
      <w:lvlText w:val="%1.%2.%3"/>
      <w:lvlJc w:val="left"/>
      <w:pPr>
        <w:ind w:left="486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152904ED"/>
    <w:multiLevelType w:val="multilevel"/>
    <w:tmpl w:val="4F84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6A72A4B"/>
    <w:multiLevelType w:val="hybridMultilevel"/>
    <w:tmpl w:val="6FD60528"/>
    <w:lvl w:ilvl="0" w:tplc="7CCC1FF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8553CD8"/>
    <w:multiLevelType w:val="hybridMultilevel"/>
    <w:tmpl w:val="F8C07F4C"/>
    <w:lvl w:ilvl="0" w:tplc="7CCC1FF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074179"/>
    <w:multiLevelType w:val="multilevel"/>
    <w:tmpl w:val="21BA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E640E8B"/>
    <w:multiLevelType w:val="hybridMultilevel"/>
    <w:tmpl w:val="79B8F75C"/>
    <w:lvl w:ilvl="0" w:tplc="7CCC1FF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BA619A"/>
    <w:multiLevelType w:val="multilevel"/>
    <w:tmpl w:val="4CA6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D428B5"/>
    <w:multiLevelType w:val="multilevel"/>
    <w:tmpl w:val="A644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2474383"/>
    <w:multiLevelType w:val="multilevel"/>
    <w:tmpl w:val="5888E670"/>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95377F"/>
    <w:multiLevelType w:val="multilevel"/>
    <w:tmpl w:val="9CCE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3DE2269"/>
    <w:multiLevelType w:val="hybridMultilevel"/>
    <w:tmpl w:val="501C9A24"/>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252E0FCF"/>
    <w:multiLevelType w:val="hybridMultilevel"/>
    <w:tmpl w:val="7C9E39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254926F9"/>
    <w:multiLevelType w:val="hybridMultilevel"/>
    <w:tmpl w:val="567678B4"/>
    <w:lvl w:ilvl="0" w:tplc="0A049B44">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F65F98"/>
    <w:multiLevelType w:val="hybridMultilevel"/>
    <w:tmpl w:val="75B2921E"/>
    <w:lvl w:ilvl="0" w:tplc="0E5A0BBC">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7825601"/>
    <w:multiLevelType w:val="multilevel"/>
    <w:tmpl w:val="6A301176"/>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E37125"/>
    <w:multiLevelType w:val="hybridMultilevel"/>
    <w:tmpl w:val="8F72A5A8"/>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7FE79D1"/>
    <w:multiLevelType w:val="hybridMultilevel"/>
    <w:tmpl w:val="B686DEC8"/>
    <w:lvl w:ilvl="0" w:tplc="1FE4F96A">
      <w:start w:val="1"/>
      <w:numFmt w:val="bullet"/>
      <w:lvlText w:val=""/>
      <w:lvlJc w:val="left"/>
      <w:pPr>
        <w:ind w:left="720" w:hanging="360"/>
      </w:pPr>
      <w:rPr>
        <w:rFonts w:ascii="Symbol" w:hAnsi="Symbol" w:hint="default"/>
        <w:color w:val="156082"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E06663B"/>
    <w:multiLevelType w:val="multilevel"/>
    <w:tmpl w:val="885C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E79101D"/>
    <w:multiLevelType w:val="hybridMultilevel"/>
    <w:tmpl w:val="BA387ECA"/>
    <w:lvl w:ilvl="0" w:tplc="7CCC1FF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0A43B1"/>
    <w:multiLevelType w:val="multilevel"/>
    <w:tmpl w:val="EBF2246C"/>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402BE6"/>
    <w:multiLevelType w:val="hybridMultilevel"/>
    <w:tmpl w:val="C63A2766"/>
    <w:lvl w:ilvl="0" w:tplc="7CCC1FF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68D015E"/>
    <w:multiLevelType w:val="multilevel"/>
    <w:tmpl w:val="3A62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73E118F"/>
    <w:multiLevelType w:val="hybridMultilevel"/>
    <w:tmpl w:val="86CA8200"/>
    <w:lvl w:ilvl="0" w:tplc="7CCC1FF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7957F98"/>
    <w:multiLevelType w:val="hybridMultilevel"/>
    <w:tmpl w:val="4A122AB8"/>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AA808EF"/>
    <w:multiLevelType w:val="hybridMultilevel"/>
    <w:tmpl w:val="04B27868"/>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3D44214F"/>
    <w:multiLevelType w:val="multilevel"/>
    <w:tmpl w:val="3D64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00243AD"/>
    <w:multiLevelType w:val="multilevel"/>
    <w:tmpl w:val="652A7CD6"/>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2243AB"/>
    <w:multiLevelType w:val="multilevel"/>
    <w:tmpl w:val="8A70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26718A8"/>
    <w:multiLevelType w:val="hybridMultilevel"/>
    <w:tmpl w:val="C2826D8E"/>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3222BF7"/>
    <w:multiLevelType w:val="hybridMultilevel"/>
    <w:tmpl w:val="C96CC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4D5557F"/>
    <w:multiLevelType w:val="multilevel"/>
    <w:tmpl w:val="7862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5DC4DA9"/>
    <w:multiLevelType w:val="hybridMultilevel"/>
    <w:tmpl w:val="52E0C55E"/>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7902C90"/>
    <w:multiLevelType w:val="hybridMultilevel"/>
    <w:tmpl w:val="89782AB8"/>
    <w:lvl w:ilvl="0" w:tplc="22EC2AE0">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7CC18AE"/>
    <w:multiLevelType w:val="multilevel"/>
    <w:tmpl w:val="0EB21C4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1" w15:restartNumberingAfterBreak="0">
    <w:nsid w:val="48175E4B"/>
    <w:multiLevelType w:val="hybridMultilevel"/>
    <w:tmpl w:val="2C02A944"/>
    <w:lvl w:ilvl="0" w:tplc="4218F67C">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9AA449C"/>
    <w:multiLevelType w:val="multilevel"/>
    <w:tmpl w:val="BE44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A0E388F"/>
    <w:multiLevelType w:val="multilevel"/>
    <w:tmpl w:val="1FE0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B5702D2"/>
    <w:multiLevelType w:val="multilevel"/>
    <w:tmpl w:val="A854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BF9485F"/>
    <w:multiLevelType w:val="multilevel"/>
    <w:tmpl w:val="67EA19DA"/>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C4D71E7"/>
    <w:multiLevelType w:val="hybridMultilevel"/>
    <w:tmpl w:val="12BCFBD2"/>
    <w:lvl w:ilvl="0" w:tplc="7CCC1FF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C937B84"/>
    <w:multiLevelType w:val="hybridMultilevel"/>
    <w:tmpl w:val="0E7ACD8C"/>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E816EFB"/>
    <w:multiLevelType w:val="hybridMultilevel"/>
    <w:tmpl w:val="AC6AD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EAC632C"/>
    <w:multiLevelType w:val="multilevel"/>
    <w:tmpl w:val="C11E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EC64BA2"/>
    <w:multiLevelType w:val="hybridMultilevel"/>
    <w:tmpl w:val="1DB06EB4"/>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F5943A4"/>
    <w:multiLevelType w:val="hybridMultilevel"/>
    <w:tmpl w:val="FB1CED5A"/>
    <w:lvl w:ilvl="0" w:tplc="1E808CB2">
      <w:start w:val="1"/>
      <w:numFmt w:val="bullet"/>
      <w:lvlText w:val=""/>
      <w:lvlJc w:val="left"/>
      <w:pPr>
        <w:ind w:left="720" w:hanging="360"/>
      </w:pPr>
      <w:rPr>
        <w:rFonts w:ascii="Symbol" w:hAnsi="Symbol" w:hint="default"/>
        <w:color w:val="156082"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0C01D5E"/>
    <w:multiLevelType w:val="multilevel"/>
    <w:tmpl w:val="9FF6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45B7C7A"/>
    <w:multiLevelType w:val="hybridMultilevel"/>
    <w:tmpl w:val="4FF4AED4"/>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62B7D6C"/>
    <w:multiLevelType w:val="hybridMultilevel"/>
    <w:tmpl w:val="2ECE076A"/>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88A7607"/>
    <w:multiLevelType w:val="hybridMultilevel"/>
    <w:tmpl w:val="008EA57E"/>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8C011FA"/>
    <w:multiLevelType w:val="hybridMultilevel"/>
    <w:tmpl w:val="9410CAB2"/>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9764016"/>
    <w:multiLevelType w:val="hybridMultilevel"/>
    <w:tmpl w:val="8F72937E"/>
    <w:lvl w:ilvl="0" w:tplc="7CCC1FFA">
      <w:start w:val="1"/>
      <w:numFmt w:val="bullet"/>
      <w:lvlText w:val=""/>
      <w:lvlJc w:val="left"/>
      <w:pPr>
        <w:ind w:left="360" w:hanging="360"/>
      </w:pPr>
      <w:rPr>
        <w:rFonts w:ascii="Symbol" w:hAnsi="Symbol" w:hint="default"/>
        <w:color w:val="156082" w:themeColor="accent1"/>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8" w15:restartNumberingAfterBreak="0">
    <w:nsid w:val="59BB1565"/>
    <w:multiLevelType w:val="multilevel"/>
    <w:tmpl w:val="EF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A0C4B81"/>
    <w:multiLevelType w:val="multilevel"/>
    <w:tmpl w:val="A2566B9A"/>
    <w:lvl w:ilvl="0">
      <w:start w:val="4"/>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0" w15:restartNumberingAfterBreak="0">
    <w:nsid w:val="5AD156AB"/>
    <w:multiLevelType w:val="hybridMultilevel"/>
    <w:tmpl w:val="3FE4988E"/>
    <w:lvl w:ilvl="0" w:tplc="7CCC1FF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E367903"/>
    <w:multiLevelType w:val="hybridMultilevel"/>
    <w:tmpl w:val="7436D290"/>
    <w:lvl w:ilvl="0" w:tplc="6972BE26">
      <w:start w:val="1"/>
      <w:numFmt w:val="decimal"/>
      <w:lvlText w:val="%1."/>
      <w:lvlJc w:val="left"/>
      <w:pPr>
        <w:ind w:left="740" w:hanging="380"/>
      </w:pPr>
      <w:rPr>
        <w:rFonts w:hint="default"/>
        <w:color w:val="156082"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E437E05"/>
    <w:multiLevelType w:val="multilevel"/>
    <w:tmpl w:val="B508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F022CA7"/>
    <w:multiLevelType w:val="hybridMultilevel"/>
    <w:tmpl w:val="63C03796"/>
    <w:lvl w:ilvl="0" w:tplc="7CCC1FFA">
      <w:start w:val="1"/>
      <w:numFmt w:val="bullet"/>
      <w:lvlText w:val=""/>
      <w:lvlJc w:val="left"/>
      <w:pPr>
        <w:ind w:left="1080" w:hanging="360"/>
      </w:pPr>
      <w:rPr>
        <w:rFonts w:ascii="Symbol" w:hAnsi="Symbol" w:hint="default"/>
        <w:color w:val="156082"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5F3F414C"/>
    <w:multiLevelType w:val="hybridMultilevel"/>
    <w:tmpl w:val="A28C3E4A"/>
    <w:lvl w:ilvl="0" w:tplc="7CCC1FFA">
      <w:start w:val="1"/>
      <w:numFmt w:val="bullet"/>
      <w:lvlText w:val=""/>
      <w:lvlJc w:val="left"/>
      <w:pPr>
        <w:ind w:left="720" w:hanging="360"/>
      </w:pPr>
      <w:rPr>
        <w:rFonts w:ascii="Symbol" w:hAnsi="Symbol" w:hint="default"/>
        <w:color w:val="156082"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C14A63"/>
    <w:multiLevelType w:val="hybridMultilevel"/>
    <w:tmpl w:val="FED28D0E"/>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60E27B4E"/>
    <w:multiLevelType w:val="multilevel"/>
    <w:tmpl w:val="51382038"/>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111182A"/>
    <w:multiLevelType w:val="hybridMultilevel"/>
    <w:tmpl w:val="C51C3A98"/>
    <w:lvl w:ilvl="0" w:tplc="2AFEE1D6">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15C4091"/>
    <w:multiLevelType w:val="multilevel"/>
    <w:tmpl w:val="7542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299653D"/>
    <w:multiLevelType w:val="multilevel"/>
    <w:tmpl w:val="3DB0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3807390"/>
    <w:multiLevelType w:val="multilevel"/>
    <w:tmpl w:val="5796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57A50B1"/>
    <w:multiLevelType w:val="hybridMultilevel"/>
    <w:tmpl w:val="9E3C10CA"/>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9EE2453"/>
    <w:multiLevelType w:val="hybridMultilevel"/>
    <w:tmpl w:val="6C9AC0A2"/>
    <w:lvl w:ilvl="0" w:tplc="91D8B1E6">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A894C80"/>
    <w:multiLevelType w:val="multilevel"/>
    <w:tmpl w:val="AF249F3C"/>
    <w:lvl w:ilvl="0">
      <w:start w:val="1"/>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4" w15:restartNumberingAfterBreak="0">
    <w:nsid w:val="6B9A39FC"/>
    <w:multiLevelType w:val="multilevel"/>
    <w:tmpl w:val="56C2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BCA6B7F"/>
    <w:multiLevelType w:val="multilevel"/>
    <w:tmpl w:val="5934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DD848D3"/>
    <w:multiLevelType w:val="hybridMultilevel"/>
    <w:tmpl w:val="68AAC7B0"/>
    <w:lvl w:ilvl="0" w:tplc="2B3E30C4">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DF06E63"/>
    <w:multiLevelType w:val="hybridMultilevel"/>
    <w:tmpl w:val="04105C5A"/>
    <w:lvl w:ilvl="0" w:tplc="3FB0B166">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FF25856"/>
    <w:multiLevelType w:val="multilevel"/>
    <w:tmpl w:val="43A2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106368F"/>
    <w:multiLevelType w:val="hybridMultilevel"/>
    <w:tmpl w:val="1980C862"/>
    <w:lvl w:ilvl="0" w:tplc="DB74A7E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B72D2E"/>
    <w:multiLevelType w:val="hybridMultilevel"/>
    <w:tmpl w:val="15B421E6"/>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72B901CA"/>
    <w:multiLevelType w:val="multilevel"/>
    <w:tmpl w:val="9FCA72D8"/>
    <w:lvl w:ilvl="0">
      <w:start w:val="6"/>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2" w15:restartNumberingAfterBreak="0">
    <w:nsid w:val="7520150A"/>
    <w:multiLevelType w:val="hybridMultilevel"/>
    <w:tmpl w:val="1ADCC222"/>
    <w:lvl w:ilvl="0" w:tplc="3C5C09A8">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CB1C0D"/>
    <w:multiLevelType w:val="hybridMultilevel"/>
    <w:tmpl w:val="4D0EA83E"/>
    <w:lvl w:ilvl="0" w:tplc="7CCC1FFA">
      <w:start w:val="1"/>
      <w:numFmt w:val="bullet"/>
      <w:lvlText w:val=""/>
      <w:lvlJc w:val="left"/>
      <w:pPr>
        <w:ind w:left="720" w:hanging="360"/>
      </w:pPr>
      <w:rPr>
        <w:rFonts w:ascii="Symbol" w:hAnsi="Symbol" w:hint="default"/>
        <w:color w:val="156082" w:themeColor="accen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15:restartNumberingAfterBreak="0">
    <w:nsid w:val="77930E3A"/>
    <w:multiLevelType w:val="hybridMultilevel"/>
    <w:tmpl w:val="79D671BA"/>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78D55B98"/>
    <w:multiLevelType w:val="hybridMultilevel"/>
    <w:tmpl w:val="22BAA594"/>
    <w:lvl w:ilvl="0" w:tplc="A606C3FE">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A0A189C"/>
    <w:multiLevelType w:val="multilevel"/>
    <w:tmpl w:val="ADCCE312"/>
    <w:lvl w:ilvl="0">
      <w:start w:val="1"/>
      <w:numFmt w:val="bullet"/>
      <w:lvlText w:val=""/>
      <w:lvlJc w:val="left"/>
      <w:pPr>
        <w:ind w:left="720" w:hanging="360"/>
      </w:pPr>
      <w:rPr>
        <w:rFonts w:ascii="Symbol" w:hAnsi="Symbol" w:hint="default"/>
        <w:color w:val="15608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A4E58CA"/>
    <w:multiLevelType w:val="multilevel"/>
    <w:tmpl w:val="029C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C5642AA"/>
    <w:multiLevelType w:val="hybridMultilevel"/>
    <w:tmpl w:val="89DA0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7CAC274F"/>
    <w:multiLevelType w:val="multilevel"/>
    <w:tmpl w:val="894C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CB46656"/>
    <w:multiLevelType w:val="hybridMultilevel"/>
    <w:tmpl w:val="D7FEEC64"/>
    <w:lvl w:ilvl="0" w:tplc="7CCC1FFA">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DE9294A"/>
    <w:multiLevelType w:val="multilevel"/>
    <w:tmpl w:val="86B0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EF8552D"/>
    <w:multiLevelType w:val="hybridMultilevel"/>
    <w:tmpl w:val="470E5BEE"/>
    <w:lvl w:ilvl="0" w:tplc="117C261C">
      <w:start w:val="1"/>
      <w:numFmt w:val="bullet"/>
      <w:lvlText w:val=""/>
      <w:lvlJc w:val="left"/>
      <w:pPr>
        <w:ind w:left="1080" w:hanging="360"/>
      </w:pPr>
      <w:rPr>
        <w:rFonts w:ascii="Symbol" w:hAnsi="Symbol" w:hint="default"/>
        <w:color w:val="156082"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7F511B11"/>
    <w:multiLevelType w:val="hybridMultilevel"/>
    <w:tmpl w:val="EE48F99A"/>
    <w:lvl w:ilvl="0" w:tplc="2F902BEE">
      <w:start w:val="1"/>
      <w:numFmt w:val="bullet"/>
      <w:lvlText w:val=""/>
      <w:lvlJc w:val="left"/>
      <w:pPr>
        <w:ind w:left="1080" w:hanging="360"/>
      </w:pPr>
      <w:rPr>
        <w:rFonts w:ascii="Symbol" w:hAnsi="Symbol" w:hint="default"/>
        <w:color w:val="156082"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7FD84EA1"/>
    <w:multiLevelType w:val="multilevel"/>
    <w:tmpl w:val="E0A6BDF4"/>
    <w:lvl w:ilvl="0">
      <w:start w:val="5"/>
      <w:numFmt w:val="upperRoman"/>
      <w:lvlText w:val="%1."/>
      <w:lvlJc w:val="right"/>
      <w:pPr>
        <w:tabs>
          <w:tab w:val="num" w:pos="720"/>
        </w:tabs>
        <w:ind w:left="720" w:hanging="360"/>
      </w:pPr>
      <w:rPr>
        <w:b/>
        <w:bCs/>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374238538">
    <w:abstractNumId w:val="27"/>
  </w:num>
  <w:num w:numId="2" w16cid:durableId="77485290">
    <w:abstractNumId w:val="0"/>
  </w:num>
  <w:num w:numId="3" w16cid:durableId="1531726436">
    <w:abstractNumId w:val="30"/>
  </w:num>
  <w:num w:numId="4" w16cid:durableId="861091444">
    <w:abstractNumId w:val="45"/>
  </w:num>
  <w:num w:numId="5" w16cid:durableId="1646277312">
    <w:abstractNumId w:val="32"/>
  </w:num>
  <w:num w:numId="6" w16cid:durableId="405684337">
    <w:abstractNumId w:val="103"/>
  </w:num>
  <w:num w:numId="7" w16cid:durableId="127162231">
    <w:abstractNumId w:val="58"/>
  </w:num>
  <w:num w:numId="8" w16cid:durableId="1718237025">
    <w:abstractNumId w:val="104"/>
  </w:num>
  <w:num w:numId="9" w16cid:durableId="1021014125">
    <w:abstractNumId w:val="77"/>
  </w:num>
  <w:num w:numId="10" w16cid:durableId="2054770671">
    <w:abstractNumId w:val="24"/>
  </w:num>
  <w:num w:numId="11" w16cid:durableId="829180276">
    <w:abstractNumId w:val="47"/>
  </w:num>
  <w:num w:numId="12" w16cid:durableId="2086225831">
    <w:abstractNumId w:val="6"/>
  </w:num>
  <w:num w:numId="13" w16cid:durableId="1938901543">
    <w:abstractNumId w:val="85"/>
  </w:num>
  <w:num w:numId="14" w16cid:durableId="638995073">
    <w:abstractNumId w:val="10"/>
  </w:num>
  <w:num w:numId="15" w16cid:durableId="1877234269">
    <w:abstractNumId w:val="100"/>
  </w:num>
  <w:num w:numId="16" w16cid:durableId="1826120113">
    <w:abstractNumId w:val="51"/>
  </w:num>
  <w:num w:numId="17" w16cid:durableId="1348406039">
    <w:abstractNumId w:val="37"/>
  </w:num>
  <w:num w:numId="18" w16cid:durableId="843277391">
    <w:abstractNumId w:val="110"/>
  </w:num>
  <w:num w:numId="19" w16cid:durableId="630938231">
    <w:abstractNumId w:val="66"/>
  </w:num>
  <w:num w:numId="20" w16cid:durableId="1969504888">
    <w:abstractNumId w:val="49"/>
  </w:num>
  <w:num w:numId="21" w16cid:durableId="1004551218">
    <w:abstractNumId w:val="9"/>
  </w:num>
  <w:num w:numId="22" w16cid:durableId="994065438">
    <w:abstractNumId w:val="7"/>
  </w:num>
  <w:num w:numId="23" w16cid:durableId="1541669916">
    <w:abstractNumId w:val="80"/>
  </w:num>
  <w:num w:numId="24" w16cid:durableId="1057322322">
    <w:abstractNumId w:val="70"/>
  </w:num>
  <w:num w:numId="25" w16cid:durableId="1210679181">
    <w:abstractNumId w:val="15"/>
  </w:num>
  <w:num w:numId="26" w16cid:durableId="1259291332">
    <w:abstractNumId w:val="29"/>
  </w:num>
  <w:num w:numId="27" w16cid:durableId="959532380">
    <w:abstractNumId w:val="12"/>
  </w:num>
  <w:num w:numId="28" w16cid:durableId="799148825">
    <w:abstractNumId w:val="14"/>
  </w:num>
  <w:num w:numId="29" w16cid:durableId="95101351">
    <w:abstractNumId w:val="53"/>
  </w:num>
  <w:num w:numId="30" w16cid:durableId="324822381">
    <w:abstractNumId w:val="55"/>
  </w:num>
  <w:num w:numId="31" w16cid:durableId="1402295456">
    <w:abstractNumId w:val="91"/>
  </w:num>
  <w:num w:numId="32" w16cid:durableId="728766208">
    <w:abstractNumId w:val="26"/>
  </w:num>
  <w:num w:numId="33" w16cid:durableId="1288898579">
    <w:abstractNumId w:val="75"/>
  </w:num>
  <w:num w:numId="34" w16cid:durableId="1089348387">
    <w:abstractNumId w:val="50"/>
  </w:num>
  <w:num w:numId="35" w16cid:durableId="1883398496">
    <w:abstractNumId w:val="21"/>
  </w:num>
  <w:num w:numId="36" w16cid:durableId="1741444763">
    <w:abstractNumId w:val="76"/>
  </w:num>
  <w:num w:numId="37" w16cid:durableId="1195342772">
    <w:abstractNumId w:val="67"/>
  </w:num>
  <w:num w:numId="38" w16cid:durableId="2000688744">
    <w:abstractNumId w:val="42"/>
  </w:num>
  <w:num w:numId="39" w16cid:durableId="1446726396">
    <w:abstractNumId w:val="83"/>
  </w:num>
  <w:num w:numId="40" w16cid:durableId="1451781736">
    <w:abstractNumId w:val="84"/>
  </w:num>
  <w:num w:numId="41" w16cid:durableId="1739477443">
    <w:abstractNumId w:val="8"/>
  </w:num>
  <w:num w:numId="42" w16cid:durableId="1947691182">
    <w:abstractNumId w:val="74"/>
  </w:num>
  <w:num w:numId="43" w16cid:durableId="985084544">
    <w:abstractNumId w:val="73"/>
  </w:num>
  <w:num w:numId="44" w16cid:durableId="493184940">
    <w:abstractNumId w:val="46"/>
  </w:num>
  <w:num w:numId="45" w16cid:durableId="507915402">
    <w:abstractNumId w:val="25"/>
  </w:num>
  <w:num w:numId="46" w16cid:durableId="1105804779">
    <w:abstractNumId w:val="20"/>
  </w:num>
  <w:num w:numId="47" w16cid:durableId="956565491">
    <w:abstractNumId w:val="65"/>
  </w:num>
  <w:num w:numId="48" w16cid:durableId="741486719">
    <w:abstractNumId w:val="35"/>
  </w:num>
  <w:num w:numId="49" w16cid:durableId="987826307">
    <w:abstractNumId w:val="41"/>
  </w:num>
  <w:num w:numId="50" w16cid:durableId="1034379554">
    <w:abstractNumId w:val="86"/>
  </w:num>
  <w:num w:numId="51" w16cid:durableId="1085805250">
    <w:abstractNumId w:val="106"/>
  </w:num>
  <w:num w:numId="52" w16cid:durableId="1063331181">
    <w:abstractNumId w:val="102"/>
  </w:num>
  <w:num w:numId="53" w16cid:durableId="1225139997">
    <w:abstractNumId w:val="87"/>
  </w:num>
  <w:num w:numId="54" w16cid:durableId="1278365474">
    <w:abstractNumId w:val="17"/>
  </w:num>
  <w:num w:numId="55" w16cid:durableId="1554193106">
    <w:abstractNumId w:val="59"/>
  </w:num>
  <w:num w:numId="56" w16cid:durableId="1067417299">
    <w:abstractNumId w:val="92"/>
  </w:num>
  <w:num w:numId="57" w16cid:durableId="341737315">
    <w:abstractNumId w:val="22"/>
  </w:num>
  <w:num w:numId="58" w16cid:durableId="290791521">
    <w:abstractNumId w:val="40"/>
  </w:num>
  <w:num w:numId="59" w16cid:durableId="1631209380">
    <w:abstractNumId w:val="23"/>
  </w:num>
  <w:num w:numId="60" w16cid:durableId="1483696886">
    <w:abstractNumId w:val="39"/>
  </w:num>
  <w:num w:numId="61" w16cid:durableId="1794792001">
    <w:abstractNumId w:val="81"/>
  </w:num>
  <w:num w:numId="62" w16cid:durableId="392239753">
    <w:abstractNumId w:val="38"/>
  </w:num>
  <w:num w:numId="63" w16cid:durableId="1513835230">
    <w:abstractNumId w:val="108"/>
  </w:num>
  <w:num w:numId="64" w16cid:durableId="320475382">
    <w:abstractNumId w:val="105"/>
  </w:num>
  <w:num w:numId="65" w16cid:durableId="725027963">
    <w:abstractNumId w:val="113"/>
  </w:num>
  <w:num w:numId="66" w16cid:durableId="727995684">
    <w:abstractNumId w:val="97"/>
  </w:num>
  <w:num w:numId="67" w16cid:durableId="606355659">
    <w:abstractNumId w:val="112"/>
  </w:num>
  <w:num w:numId="68" w16cid:durableId="317464329">
    <w:abstractNumId w:val="96"/>
  </w:num>
  <w:num w:numId="69" w16cid:durableId="338890860">
    <w:abstractNumId w:val="43"/>
  </w:num>
  <w:num w:numId="70" w16cid:durableId="842626919">
    <w:abstractNumId w:val="61"/>
  </w:num>
  <w:num w:numId="71" w16cid:durableId="451359800">
    <w:abstractNumId w:val="71"/>
  </w:num>
  <w:num w:numId="72" w16cid:durableId="1494373585">
    <w:abstractNumId w:val="99"/>
  </w:num>
  <w:num w:numId="73" w16cid:durableId="1039092568">
    <w:abstractNumId w:val="1"/>
  </w:num>
  <w:num w:numId="74" w16cid:durableId="1797672380">
    <w:abstractNumId w:val="93"/>
  </w:num>
  <w:num w:numId="75" w16cid:durableId="481586646">
    <w:abstractNumId w:val="60"/>
  </w:num>
  <w:num w:numId="76" w16cid:durableId="819273144">
    <w:abstractNumId w:val="88"/>
  </w:num>
  <w:num w:numId="77" w16cid:durableId="413011094">
    <w:abstractNumId w:val="34"/>
  </w:num>
  <w:num w:numId="78" w16cid:durableId="536432833">
    <w:abstractNumId w:val="82"/>
  </w:num>
  <w:num w:numId="79" w16cid:durableId="531695670">
    <w:abstractNumId w:val="3"/>
  </w:num>
  <w:num w:numId="80" w16cid:durableId="1719472873">
    <w:abstractNumId w:val="5"/>
  </w:num>
  <w:num w:numId="81" w16cid:durableId="1026756005">
    <w:abstractNumId w:val="57"/>
  </w:num>
  <w:num w:numId="82" w16cid:durableId="1433935010">
    <w:abstractNumId w:val="89"/>
  </w:num>
  <w:num w:numId="83" w16cid:durableId="9765092">
    <w:abstractNumId w:val="31"/>
  </w:num>
  <w:num w:numId="84" w16cid:durableId="239291319">
    <w:abstractNumId w:val="63"/>
  </w:num>
  <w:num w:numId="85" w16cid:durableId="2112554582">
    <w:abstractNumId w:val="64"/>
  </w:num>
  <w:num w:numId="86" w16cid:durableId="1864702874">
    <w:abstractNumId w:val="79"/>
  </w:num>
  <w:num w:numId="87" w16cid:durableId="1109930892">
    <w:abstractNumId w:val="54"/>
  </w:num>
  <w:num w:numId="88" w16cid:durableId="1935895540">
    <w:abstractNumId w:val="33"/>
  </w:num>
  <w:num w:numId="89" w16cid:durableId="394745666">
    <w:abstractNumId w:val="69"/>
  </w:num>
  <w:num w:numId="90" w16cid:durableId="1414009698">
    <w:abstractNumId w:val="19"/>
  </w:num>
  <w:num w:numId="91" w16cid:durableId="981159273">
    <w:abstractNumId w:val="114"/>
  </w:num>
  <w:num w:numId="92" w16cid:durableId="302273638">
    <w:abstractNumId w:val="11"/>
  </w:num>
  <w:num w:numId="93" w16cid:durableId="538054487">
    <w:abstractNumId w:val="111"/>
  </w:num>
  <w:num w:numId="94" w16cid:durableId="656036582">
    <w:abstractNumId w:val="107"/>
  </w:num>
  <w:num w:numId="95" w16cid:durableId="580986634">
    <w:abstractNumId w:val="2"/>
  </w:num>
  <w:num w:numId="96" w16cid:durableId="537088088">
    <w:abstractNumId w:val="36"/>
  </w:num>
  <w:num w:numId="97" w16cid:durableId="1935166574">
    <w:abstractNumId w:val="101"/>
  </w:num>
  <w:num w:numId="98" w16cid:durableId="1044015481">
    <w:abstractNumId w:val="90"/>
  </w:num>
  <w:num w:numId="99" w16cid:durableId="522207254">
    <w:abstractNumId w:val="78"/>
  </w:num>
  <w:num w:numId="100" w16cid:durableId="1089427788">
    <w:abstractNumId w:val="72"/>
  </w:num>
  <w:num w:numId="101" w16cid:durableId="404769061">
    <w:abstractNumId w:val="98"/>
  </w:num>
  <w:num w:numId="102" w16cid:durableId="1952318800">
    <w:abstractNumId w:val="62"/>
  </w:num>
  <w:num w:numId="103" w16cid:durableId="82340697">
    <w:abstractNumId w:val="13"/>
  </w:num>
  <w:num w:numId="104" w16cid:durableId="562107623">
    <w:abstractNumId w:val="94"/>
  </w:num>
  <w:num w:numId="105" w16cid:durableId="900869965">
    <w:abstractNumId w:val="28"/>
  </w:num>
  <w:num w:numId="106" w16cid:durableId="971518226">
    <w:abstractNumId w:val="95"/>
  </w:num>
  <w:num w:numId="107" w16cid:durableId="1622687409">
    <w:abstractNumId w:val="109"/>
  </w:num>
  <w:num w:numId="108" w16cid:durableId="1807888250">
    <w:abstractNumId w:val="52"/>
  </w:num>
  <w:num w:numId="109" w16cid:durableId="423696083">
    <w:abstractNumId w:val="48"/>
  </w:num>
  <w:num w:numId="110" w16cid:durableId="751969250">
    <w:abstractNumId w:val="44"/>
  </w:num>
  <w:num w:numId="111" w16cid:durableId="1654022074">
    <w:abstractNumId w:val="4"/>
  </w:num>
  <w:num w:numId="112" w16cid:durableId="1709255691">
    <w:abstractNumId w:val="68"/>
  </w:num>
  <w:num w:numId="113" w16cid:durableId="1176114098">
    <w:abstractNumId w:val="18"/>
  </w:num>
  <w:num w:numId="114" w16cid:durableId="1185750097">
    <w:abstractNumId w:val="16"/>
  </w:num>
  <w:num w:numId="115" w16cid:durableId="2104952106">
    <w:abstractNumId w:val="5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8E"/>
    <w:rsid w:val="00001383"/>
    <w:rsid w:val="0000181F"/>
    <w:rsid w:val="00002121"/>
    <w:rsid w:val="000024D0"/>
    <w:rsid w:val="00002865"/>
    <w:rsid w:val="00002C7F"/>
    <w:rsid w:val="00002D8C"/>
    <w:rsid w:val="0000353A"/>
    <w:rsid w:val="00003678"/>
    <w:rsid w:val="00003A62"/>
    <w:rsid w:val="000047C9"/>
    <w:rsid w:val="000059E5"/>
    <w:rsid w:val="00005E3A"/>
    <w:rsid w:val="000077F7"/>
    <w:rsid w:val="00007993"/>
    <w:rsid w:val="00007F72"/>
    <w:rsid w:val="00010EE3"/>
    <w:rsid w:val="0001100F"/>
    <w:rsid w:val="0001193E"/>
    <w:rsid w:val="000120B3"/>
    <w:rsid w:val="000130C4"/>
    <w:rsid w:val="000135E6"/>
    <w:rsid w:val="0001472B"/>
    <w:rsid w:val="0001525F"/>
    <w:rsid w:val="000158D9"/>
    <w:rsid w:val="000169C7"/>
    <w:rsid w:val="00017194"/>
    <w:rsid w:val="000173B0"/>
    <w:rsid w:val="00020FD1"/>
    <w:rsid w:val="00021F15"/>
    <w:rsid w:val="0002274C"/>
    <w:rsid w:val="00023F8A"/>
    <w:rsid w:val="00024285"/>
    <w:rsid w:val="000259B6"/>
    <w:rsid w:val="00026A4D"/>
    <w:rsid w:val="000276EA"/>
    <w:rsid w:val="00027C69"/>
    <w:rsid w:val="00027E84"/>
    <w:rsid w:val="000308C3"/>
    <w:rsid w:val="00031C6C"/>
    <w:rsid w:val="0003274F"/>
    <w:rsid w:val="00032882"/>
    <w:rsid w:val="00032FF7"/>
    <w:rsid w:val="00033123"/>
    <w:rsid w:val="0003398E"/>
    <w:rsid w:val="00033E1E"/>
    <w:rsid w:val="00034BCB"/>
    <w:rsid w:val="00034FDB"/>
    <w:rsid w:val="0003528D"/>
    <w:rsid w:val="0003587E"/>
    <w:rsid w:val="0003603D"/>
    <w:rsid w:val="000364A5"/>
    <w:rsid w:val="000372D1"/>
    <w:rsid w:val="000373CB"/>
    <w:rsid w:val="00040FD1"/>
    <w:rsid w:val="000413F3"/>
    <w:rsid w:val="0004157E"/>
    <w:rsid w:val="000419EB"/>
    <w:rsid w:val="000421F4"/>
    <w:rsid w:val="000422E6"/>
    <w:rsid w:val="000427A6"/>
    <w:rsid w:val="00044B0E"/>
    <w:rsid w:val="00044C0A"/>
    <w:rsid w:val="0004559F"/>
    <w:rsid w:val="00046311"/>
    <w:rsid w:val="00046649"/>
    <w:rsid w:val="00047263"/>
    <w:rsid w:val="00047645"/>
    <w:rsid w:val="00050774"/>
    <w:rsid w:val="00051896"/>
    <w:rsid w:val="00052228"/>
    <w:rsid w:val="000526A4"/>
    <w:rsid w:val="00052726"/>
    <w:rsid w:val="00053253"/>
    <w:rsid w:val="00054548"/>
    <w:rsid w:val="000547EE"/>
    <w:rsid w:val="00054E13"/>
    <w:rsid w:val="00055020"/>
    <w:rsid w:val="00055738"/>
    <w:rsid w:val="00056D70"/>
    <w:rsid w:val="000601E5"/>
    <w:rsid w:val="00060E40"/>
    <w:rsid w:val="0006201E"/>
    <w:rsid w:val="000631CA"/>
    <w:rsid w:val="0006382A"/>
    <w:rsid w:val="00064C77"/>
    <w:rsid w:val="000659E7"/>
    <w:rsid w:val="00067F24"/>
    <w:rsid w:val="00074999"/>
    <w:rsid w:val="000749FA"/>
    <w:rsid w:val="000751C5"/>
    <w:rsid w:val="0007560C"/>
    <w:rsid w:val="00075B24"/>
    <w:rsid w:val="00077B0D"/>
    <w:rsid w:val="00077E9A"/>
    <w:rsid w:val="000801ED"/>
    <w:rsid w:val="00080223"/>
    <w:rsid w:val="0008069A"/>
    <w:rsid w:val="00080CC1"/>
    <w:rsid w:val="00081739"/>
    <w:rsid w:val="000824AC"/>
    <w:rsid w:val="00082F08"/>
    <w:rsid w:val="00084063"/>
    <w:rsid w:val="00084E9F"/>
    <w:rsid w:val="0008529A"/>
    <w:rsid w:val="00085E41"/>
    <w:rsid w:val="0008709B"/>
    <w:rsid w:val="0008714A"/>
    <w:rsid w:val="00090C02"/>
    <w:rsid w:val="000917F3"/>
    <w:rsid w:val="00091A08"/>
    <w:rsid w:val="00092C8A"/>
    <w:rsid w:val="0009439C"/>
    <w:rsid w:val="000943FD"/>
    <w:rsid w:val="00094770"/>
    <w:rsid w:val="00094D83"/>
    <w:rsid w:val="0009524C"/>
    <w:rsid w:val="00095CA3"/>
    <w:rsid w:val="00096A79"/>
    <w:rsid w:val="00096C4B"/>
    <w:rsid w:val="000978B3"/>
    <w:rsid w:val="00097F97"/>
    <w:rsid w:val="000A002C"/>
    <w:rsid w:val="000A011A"/>
    <w:rsid w:val="000A05A2"/>
    <w:rsid w:val="000A2236"/>
    <w:rsid w:val="000A2260"/>
    <w:rsid w:val="000A2BBF"/>
    <w:rsid w:val="000A30FA"/>
    <w:rsid w:val="000A3326"/>
    <w:rsid w:val="000A3EC8"/>
    <w:rsid w:val="000A3F92"/>
    <w:rsid w:val="000A45BB"/>
    <w:rsid w:val="000A4C6D"/>
    <w:rsid w:val="000A4CD3"/>
    <w:rsid w:val="000A55A5"/>
    <w:rsid w:val="000A5624"/>
    <w:rsid w:val="000A59C8"/>
    <w:rsid w:val="000A5F9D"/>
    <w:rsid w:val="000A652D"/>
    <w:rsid w:val="000A6914"/>
    <w:rsid w:val="000A6C36"/>
    <w:rsid w:val="000A710B"/>
    <w:rsid w:val="000B0B34"/>
    <w:rsid w:val="000B134F"/>
    <w:rsid w:val="000B1AF5"/>
    <w:rsid w:val="000B2ECC"/>
    <w:rsid w:val="000B36B2"/>
    <w:rsid w:val="000B3741"/>
    <w:rsid w:val="000B3C07"/>
    <w:rsid w:val="000B3E24"/>
    <w:rsid w:val="000B3FFC"/>
    <w:rsid w:val="000B499F"/>
    <w:rsid w:val="000B4AF9"/>
    <w:rsid w:val="000B5858"/>
    <w:rsid w:val="000B5EDA"/>
    <w:rsid w:val="000B619D"/>
    <w:rsid w:val="000B66D2"/>
    <w:rsid w:val="000B7B23"/>
    <w:rsid w:val="000B7F3D"/>
    <w:rsid w:val="000C0BFA"/>
    <w:rsid w:val="000C1F12"/>
    <w:rsid w:val="000C3518"/>
    <w:rsid w:val="000C3789"/>
    <w:rsid w:val="000C487B"/>
    <w:rsid w:val="000C5086"/>
    <w:rsid w:val="000C5E66"/>
    <w:rsid w:val="000C5EEA"/>
    <w:rsid w:val="000C6FFC"/>
    <w:rsid w:val="000C71D6"/>
    <w:rsid w:val="000C757E"/>
    <w:rsid w:val="000D01B4"/>
    <w:rsid w:val="000D07CF"/>
    <w:rsid w:val="000D0899"/>
    <w:rsid w:val="000D1250"/>
    <w:rsid w:val="000D12A3"/>
    <w:rsid w:val="000D18B9"/>
    <w:rsid w:val="000D27E8"/>
    <w:rsid w:val="000D34DE"/>
    <w:rsid w:val="000D46D5"/>
    <w:rsid w:val="000D4B72"/>
    <w:rsid w:val="000D5145"/>
    <w:rsid w:val="000D53C2"/>
    <w:rsid w:val="000D55F9"/>
    <w:rsid w:val="000D62F0"/>
    <w:rsid w:val="000D64DB"/>
    <w:rsid w:val="000D71B4"/>
    <w:rsid w:val="000E14D4"/>
    <w:rsid w:val="000E1F87"/>
    <w:rsid w:val="000E2E79"/>
    <w:rsid w:val="000E3D8A"/>
    <w:rsid w:val="000E44EB"/>
    <w:rsid w:val="000E591B"/>
    <w:rsid w:val="000E5D51"/>
    <w:rsid w:val="000E63CF"/>
    <w:rsid w:val="000E6FB6"/>
    <w:rsid w:val="000E7350"/>
    <w:rsid w:val="000E7505"/>
    <w:rsid w:val="000E799F"/>
    <w:rsid w:val="000E7ABA"/>
    <w:rsid w:val="000F0132"/>
    <w:rsid w:val="000F0A7A"/>
    <w:rsid w:val="000F0D68"/>
    <w:rsid w:val="000F16B4"/>
    <w:rsid w:val="000F2244"/>
    <w:rsid w:val="000F262B"/>
    <w:rsid w:val="000F3DDF"/>
    <w:rsid w:val="000F4BC8"/>
    <w:rsid w:val="000F4C53"/>
    <w:rsid w:val="000F5869"/>
    <w:rsid w:val="000F5B5C"/>
    <w:rsid w:val="000F6CEA"/>
    <w:rsid w:val="000F70D4"/>
    <w:rsid w:val="000F75D5"/>
    <w:rsid w:val="000F7B9E"/>
    <w:rsid w:val="001003B2"/>
    <w:rsid w:val="001006AD"/>
    <w:rsid w:val="00100AAE"/>
    <w:rsid w:val="00100FA6"/>
    <w:rsid w:val="001013FF"/>
    <w:rsid w:val="0010577C"/>
    <w:rsid w:val="00105D28"/>
    <w:rsid w:val="0010610A"/>
    <w:rsid w:val="00106534"/>
    <w:rsid w:val="00106B9B"/>
    <w:rsid w:val="00106DFB"/>
    <w:rsid w:val="00107B16"/>
    <w:rsid w:val="00111645"/>
    <w:rsid w:val="0011195A"/>
    <w:rsid w:val="00111DE3"/>
    <w:rsid w:val="0011227D"/>
    <w:rsid w:val="001126FA"/>
    <w:rsid w:val="00112C91"/>
    <w:rsid w:val="00113860"/>
    <w:rsid w:val="00113E64"/>
    <w:rsid w:val="0011424C"/>
    <w:rsid w:val="001145A8"/>
    <w:rsid w:val="00114F9F"/>
    <w:rsid w:val="001161CC"/>
    <w:rsid w:val="001163A0"/>
    <w:rsid w:val="00116BD2"/>
    <w:rsid w:val="00116E0F"/>
    <w:rsid w:val="00116F1C"/>
    <w:rsid w:val="00117726"/>
    <w:rsid w:val="00120740"/>
    <w:rsid w:val="00120A96"/>
    <w:rsid w:val="00120D0A"/>
    <w:rsid w:val="00120EC2"/>
    <w:rsid w:val="00121D55"/>
    <w:rsid w:val="0012277C"/>
    <w:rsid w:val="00122BC0"/>
    <w:rsid w:val="00122C5A"/>
    <w:rsid w:val="00122C69"/>
    <w:rsid w:val="00122EEF"/>
    <w:rsid w:val="00123C39"/>
    <w:rsid w:val="00124899"/>
    <w:rsid w:val="0012522C"/>
    <w:rsid w:val="00125517"/>
    <w:rsid w:val="00125849"/>
    <w:rsid w:val="001273D3"/>
    <w:rsid w:val="00127F0E"/>
    <w:rsid w:val="0013121F"/>
    <w:rsid w:val="00131704"/>
    <w:rsid w:val="00131B48"/>
    <w:rsid w:val="001321BC"/>
    <w:rsid w:val="001321E1"/>
    <w:rsid w:val="0013242F"/>
    <w:rsid w:val="0013285B"/>
    <w:rsid w:val="00132BF1"/>
    <w:rsid w:val="001333D7"/>
    <w:rsid w:val="0013359F"/>
    <w:rsid w:val="00134D24"/>
    <w:rsid w:val="0013569D"/>
    <w:rsid w:val="00135BCE"/>
    <w:rsid w:val="00137DF2"/>
    <w:rsid w:val="00140690"/>
    <w:rsid w:val="00140C37"/>
    <w:rsid w:val="00140F38"/>
    <w:rsid w:val="00141A80"/>
    <w:rsid w:val="00141B44"/>
    <w:rsid w:val="001428C6"/>
    <w:rsid w:val="00142C7D"/>
    <w:rsid w:val="00142E74"/>
    <w:rsid w:val="00143A79"/>
    <w:rsid w:val="00144461"/>
    <w:rsid w:val="0014514A"/>
    <w:rsid w:val="00145969"/>
    <w:rsid w:val="001507EC"/>
    <w:rsid w:val="00151B52"/>
    <w:rsid w:val="00151BB6"/>
    <w:rsid w:val="001525BE"/>
    <w:rsid w:val="001525C1"/>
    <w:rsid w:val="0015370E"/>
    <w:rsid w:val="00153C17"/>
    <w:rsid w:val="0015566D"/>
    <w:rsid w:val="00156B70"/>
    <w:rsid w:val="00157892"/>
    <w:rsid w:val="001604DB"/>
    <w:rsid w:val="001607F0"/>
    <w:rsid w:val="0016082A"/>
    <w:rsid w:val="001608B9"/>
    <w:rsid w:val="001622D4"/>
    <w:rsid w:val="00164235"/>
    <w:rsid w:val="0016618E"/>
    <w:rsid w:val="0016786C"/>
    <w:rsid w:val="0016797D"/>
    <w:rsid w:val="00170A97"/>
    <w:rsid w:val="00170ADB"/>
    <w:rsid w:val="00170EA7"/>
    <w:rsid w:val="0017137B"/>
    <w:rsid w:val="001716CA"/>
    <w:rsid w:val="00171B07"/>
    <w:rsid w:val="00172917"/>
    <w:rsid w:val="001739C7"/>
    <w:rsid w:val="00173C5D"/>
    <w:rsid w:val="00173E66"/>
    <w:rsid w:val="00174581"/>
    <w:rsid w:val="00174868"/>
    <w:rsid w:val="00175014"/>
    <w:rsid w:val="00175FDF"/>
    <w:rsid w:val="001760AD"/>
    <w:rsid w:val="00176CE1"/>
    <w:rsid w:val="001776C4"/>
    <w:rsid w:val="0017773B"/>
    <w:rsid w:val="00177D15"/>
    <w:rsid w:val="00177F79"/>
    <w:rsid w:val="00180B8E"/>
    <w:rsid w:val="00180C65"/>
    <w:rsid w:val="00181686"/>
    <w:rsid w:val="00181876"/>
    <w:rsid w:val="00182448"/>
    <w:rsid w:val="00182486"/>
    <w:rsid w:val="00182588"/>
    <w:rsid w:val="00182931"/>
    <w:rsid w:val="00182D43"/>
    <w:rsid w:val="00182EDB"/>
    <w:rsid w:val="001830B4"/>
    <w:rsid w:val="001847D1"/>
    <w:rsid w:val="00184B93"/>
    <w:rsid w:val="00185F7E"/>
    <w:rsid w:val="001868FB"/>
    <w:rsid w:val="00187795"/>
    <w:rsid w:val="001879AC"/>
    <w:rsid w:val="00190077"/>
    <w:rsid w:val="00190801"/>
    <w:rsid w:val="0019109D"/>
    <w:rsid w:val="001921ED"/>
    <w:rsid w:val="00192D4A"/>
    <w:rsid w:val="001935B0"/>
    <w:rsid w:val="00194AAA"/>
    <w:rsid w:val="001957EC"/>
    <w:rsid w:val="00195B99"/>
    <w:rsid w:val="00195CE8"/>
    <w:rsid w:val="00195D9A"/>
    <w:rsid w:val="00197DDF"/>
    <w:rsid w:val="001A1D5D"/>
    <w:rsid w:val="001A25CD"/>
    <w:rsid w:val="001A3627"/>
    <w:rsid w:val="001A5365"/>
    <w:rsid w:val="001A5494"/>
    <w:rsid w:val="001A56CE"/>
    <w:rsid w:val="001A581F"/>
    <w:rsid w:val="001A62D2"/>
    <w:rsid w:val="001A6F62"/>
    <w:rsid w:val="001A7096"/>
    <w:rsid w:val="001A721F"/>
    <w:rsid w:val="001B03B2"/>
    <w:rsid w:val="001B043B"/>
    <w:rsid w:val="001B0B11"/>
    <w:rsid w:val="001B12B4"/>
    <w:rsid w:val="001B1A31"/>
    <w:rsid w:val="001B1B43"/>
    <w:rsid w:val="001B1CA1"/>
    <w:rsid w:val="001B381B"/>
    <w:rsid w:val="001B52EE"/>
    <w:rsid w:val="001B68A8"/>
    <w:rsid w:val="001B6D99"/>
    <w:rsid w:val="001B70B3"/>
    <w:rsid w:val="001B7A65"/>
    <w:rsid w:val="001C0265"/>
    <w:rsid w:val="001C07D6"/>
    <w:rsid w:val="001C0A96"/>
    <w:rsid w:val="001C0B9C"/>
    <w:rsid w:val="001C1DE5"/>
    <w:rsid w:val="001C255B"/>
    <w:rsid w:val="001C2896"/>
    <w:rsid w:val="001C2A25"/>
    <w:rsid w:val="001C5941"/>
    <w:rsid w:val="001C5DE8"/>
    <w:rsid w:val="001C67BA"/>
    <w:rsid w:val="001D0335"/>
    <w:rsid w:val="001D182A"/>
    <w:rsid w:val="001D18A7"/>
    <w:rsid w:val="001D1FF3"/>
    <w:rsid w:val="001D39F3"/>
    <w:rsid w:val="001D3D8E"/>
    <w:rsid w:val="001D42F9"/>
    <w:rsid w:val="001D4A79"/>
    <w:rsid w:val="001D4D93"/>
    <w:rsid w:val="001D5751"/>
    <w:rsid w:val="001D58BC"/>
    <w:rsid w:val="001D58F7"/>
    <w:rsid w:val="001D6BE2"/>
    <w:rsid w:val="001D7E8E"/>
    <w:rsid w:val="001D7FA8"/>
    <w:rsid w:val="001E01D6"/>
    <w:rsid w:val="001E0297"/>
    <w:rsid w:val="001E0FA5"/>
    <w:rsid w:val="001E1ABB"/>
    <w:rsid w:val="001E2438"/>
    <w:rsid w:val="001E31D7"/>
    <w:rsid w:val="001E34BF"/>
    <w:rsid w:val="001E56BE"/>
    <w:rsid w:val="001E6BF1"/>
    <w:rsid w:val="001E6FFB"/>
    <w:rsid w:val="001F0627"/>
    <w:rsid w:val="001F0C7E"/>
    <w:rsid w:val="001F2424"/>
    <w:rsid w:val="001F2938"/>
    <w:rsid w:val="001F5908"/>
    <w:rsid w:val="001F6393"/>
    <w:rsid w:val="001F719C"/>
    <w:rsid w:val="001F78CC"/>
    <w:rsid w:val="002003A2"/>
    <w:rsid w:val="002012C3"/>
    <w:rsid w:val="0020162E"/>
    <w:rsid w:val="00201CD3"/>
    <w:rsid w:val="00202702"/>
    <w:rsid w:val="00202E6F"/>
    <w:rsid w:val="002031FA"/>
    <w:rsid w:val="00204583"/>
    <w:rsid w:val="0020479E"/>
    <w:rsid w:val="00205DF0"/>
    <w:rsid w:val="00206CA1"/>
    <w:rsid w:val="00206CF5"/>
    <w:rsid w:val="00207074"/>
    <w:rsid w:val="00207585"/>
    <w:rsid w:val="002076DB"/>
    <w:rsid w:val="002077D9"/>
    <w:rsid w:val="00207E10"/>
    <w:rsid w:val="002103E5"/>
    <w:rsid w:val="00211328"/>
    <w:rsid w:val="00211D6E"/>
    <w:rsid w:val="002123B2"/>
    <w:rsid w:val="0021269B"/>
    <w:rsid w:val="00214446"/>
    <w:rsid w:val="00214D48"/>
    <w:rsid w:val="00214F63"/>
    <w:rsid w:val="00216AD2"/>
    <w:rsid w:val="00216BD5"/>
    <w:rsid w:val="00216C65"/>
    <w:rsid w:val="00216CA5"/>
    <w:rsid w:val="00216FDE"/>
    <w:rsid w:val="002179A1"/>
    <w:rsid w:val="00221CA6"/>
    <w:rsid w:val="0022244E"/>
    <w:rsid w:val="00222A0D"/>
    <w:rsid w:val="00222E1F"/>
    <w:rsid w:val="00223224"/>
    <w:rsid w:val="00223402"/>
    <w:rsid w:val="00223D12"/>
    <w:rsid w:val="00224615"/>
    <w:rsid w:val="00225438"/>
    <w:rsid w:val="0022605E"/>
    <w:rsid w:val="002273BC"/>
    <w:rsid w:val="00227881"/>
    <w:rsid w:val="00227F0C"/>
    <w:rsid w:val="00231770"/>
    <w:rsid w:val="00231838"/>
    <w:rsid w:val="002330E6"/>
    <w:rsid w:val="00233E4C"/>
    <w:rsid w:val="00235023"/>
    <w:rsid w:val="00235171"/>
    <w:rsid w:val="002355B9"/>
    <w:rsid w:val="0023592A"/>
    <w:rsid w:val="00235AAC"/>
    <w:rsid w:val="00236B24"/>
    <w:rsid w:val="00236C44"/>
    <w:rsid w:val="002378C3"/>
    <w:rsid w:val="0024033C"/>
    <w:rsid w:val="00240C06"/>
    <w:rsid w:val="00240FDB"/>
    <w:rsid w:val="002414D0"/>
    <w:rsid w:val="00241A75"/>
    <w:rsid w:val="0024232D"/>
    <w:rsid w:val="00242DA6"/>
    <w:rsid w:val="002431BC"/>
    <w:rsid w:val="00243C70"/>
    <w:rsid w:val="00244045"/>
    <w:rsid w:val="00244127"/>
    <w:rsid w:val="0024475A"/>
    <w:rsid w:val="00244860"/>
    <w:rsid w:val="00244AEC"/>
    <w:rsid w:val="00244F06"/>
    <w:rsid w:val="00245D87"/>
    <w:rsid w:val="00246254"/>
    <w:rsid w:val="002468B5"/>
    <w:rsid w:val="002469DC"/>
    <w:rsid w:val="002471B1"/>
    <w:rsid w:val="00247C2D"/>
    <w:rsid w:val="0025059F"/>
    <w:rsid w:val="00251704"/>
    <w:rsid w:val="002531C9"/>
    <w:rsid w:val="0025381B"/>
    <w:rsid w:val="00254894"/>
    <w:rsid w:val="00255EDA"/>
    <w:rsid w:val="00256699"/>
    <w:rsid w:val="002571E7"/>
    <w:rsid w:val="00257AD9"/>
    <w:rsid w:val="002603CD"/>
    <w:rsid w:val="002608A2"/>
    <w:rsid w:val="00260B23"/>
    <w:rsid w:val="002616A2"/>
    <w:rsid w:val="002620EA"/>
    <w:rsid w:val="002629CC"/>
    <w:rsid w:val="00262E67"/>
    <w:rsid w:val="00262F4C"/>
    <w:rsid w:val="002634EE"/>
    <w:rsid w:val="00263677"/>
    <w:rsid w:val="00263FBF"/>
    <w:rsid w:val="0026455C"/>
    <w:rsid w:val="00264620"/>
    <w:rsid w:val="00265440"/>
    <w:rsid w:val="0026630D"/>
    <w:rsid w:val="00266CCF"/>
    <w:rsid w:val="00270A74"/>
    <w:rsid w:val="00270AA2"/>
    <w:rsid w:val="00271033"/>
    <w:rsid w:val="00271C63"/>
    <w:rsid w:val="00271FBE"/>
    <w:rsid w:val="002727EF"/>
    <w:rsid w:val="00272D0E"/>
    <w:rsid w:val="00272DC3"/>
    <w:rsid w:val="0027426A"/>
    <w:rsid w:val="00274DE8"/>
    <w:rsid w:val="00275B66"/>
    <w:rsid w:val="00275D92"/>
    <w:rsid w:val="002769A0"/>
    <w:rsid w:val="00277307"/>
    <w:rsid w:val="00277925"/>
    <w:rsid w:val="002806E0"/>
    <w:rsid w:val="002809A3"/>
    <w:rsid w:val="002811C0"/>
    <w:rsid w:val="0028202D"/>
    <w:rsid w:val="00283910"/>
    <w:rsid w:val="00284174"/>
    <w:rsid w:val="0028496F"/>
    <w:rsid w:val="0028517C"/>
    <w:rsid w:val="002851AB"/>
    <w:rsid w:val="0028526C"/>
    <w:rsid w:val="002900E6"/>
    <w:rsid w:val="002901CF"/>
    <w:rsid w:val="002909C7"/>
    <w:rsid w:val="00290D83"/>
    <w:rsid w:val="00291C08"/>
    <w:rsid w:val="00292867"/>
    <w:rsid w:val="00292A44"/>
    <w:rsid w:val="0029309A"/>
    <w:rsid w:val="002934F7"/>
    <w:rsid w:val="00293876"/>
    <w:rsid w:val="00293D53"/>
    <w:rsid w:val="00297353"/>
    <w:rsid w:val="002975DA"/>
    <w:rsid w:val="00297DE7"/>
    <w:rsid w:val="002A015A"/>
    <w:rsid w:val="002A0CD3"/>
    <w:rsid w:val="002A0FCF"/>
    <w:rsid w:val="002A12F8"/>
    <w:rsid w:val="002A1313"/>
    <w:rsid w:val="002A25C1"/>
    <w:rsid w:val="002A29DC"/>
    <w:rsid w:val="002A3023"/>
    <w:rsid w:val="002A363D"/>
    <w:rsid w:val="002A3709"/>
    <w:rsid w:val="002A3851"/>
    <w:rsid w:val="002A3C15"/>
    <w:rsid w:val="002A49A0"/>
    <w:rsid w:val="002A500E"/>
    <w:rsid w:val="002A5130"/>
    <w:rsid w:val="002A5142"/>
    <w:rsid w:val="002A595C"/>
    <w:rsid w:val="002A5C6B"/>
    <w:rsid w:val="002A6AB9"/>
    <w:rsid w:val="002A7648"/>
    <w:rsid w:val="002B0F3F"/>
    <w:rsid w:val="002B110E"/>
    <w:rsid w:val="002B12EA"/>
    <w:rsid w:val="002B2013"/>
    <w:rsid w:val="002B2D9B"/>
    <w:rsid w:val="002B3CA6"/>
    <w:rsid w:val="002B50F3"/>
    <w:rsid w:val="002B60DD"/>
    <w:rsid w:val="002B6618"/>
    <w:rsid w:val="002B6E94"/>
    <w:rsid w:val="002B7AB7"/>
    <w:rsid w:val="002B7EC0"/>
    <w:rsid w:val="002C0488"/>
    <w:rsid w:val="002C068A"/>
    <w:rsid w:val="002C0A0B"/>
    <w:rsid w:val="002C319A"/>
    <w:rsid w:val="002C3DED"/>
    <w:rsid w:val="002C43BF"/>
    <w:rsid w:val="002C4FC2"/>
    <w:rsid w:val="002C5848"/>
    <w:rsid w:val="002C6509"/>
    <w:rsid w:val="002C7297"/>
    <w:rsid w:val="002C76BA"/>
    <w:rsid w:val="002D0446"/>
    <w:rsid w:val="002D1958"/>
    <w:rsid w:val="002D1EE0"/>
    <w:rsid w:val="002D37C4"/>
    <w:rsid w:val="002D4367"/>
    <w:rsid w:val="002D5356"/>
    <w:rsid w:val="002D662B"/>
    <w:rsid w:val="002D668A"/>
    <w:rsid w:val="002D704D"/>
    <w:rsid w:val="002D790A"/>
    <w:rsid w:val="002D7F06"/>
    <w:rsid w:val="002E0284"/>
    <w:rsid w:val="002E20B7"/>
    <w:rsid w:val="002E409D"/>
    <w:rsid w:val="002E487B"/>
    <w:rsid w:val="002E4F8A"/>
    <w:rsid w:val="002E678D"/>
    <w:rsid w:val="002E6D9E"/>
    <w:rsid w:val="002E7047"/>
    <w:rsid w:val="002E7827"/>
    <w:rsid w:val="002E7D40"/>
    <w:rsid w:val="002F010D"/>
    <w:rsid w:val="002F2252"/>
    <w:rsid w:val="002F2380"/>
    <w:rsid w:val="002F24B9"/>
    <w:rsid w:val="002F24D1"/>
    <w:rsid w:val="002F291A"/>
    <w:rsid w:val="002F2C62"/>
    <w:rsid w:val="002F311F"/>
    <w:rsid w:val="002F3125"/>
    <w:rsid w:val="002F5602"/>
    <w:rsid w:val="002F597C"/>
    <w:rsid w:val="002F5A3D"/>
    <w:rsid w:val="002F5AA4"/>
    <w:rsid w:val="002F6017"/>
    <w:rsid w:val="002F6762"/>
    <w:rsid w:val="002F69B5"/>
    <w:rsid w:val="002F6B5E"/>
    <w:rsid w:val="002F75F4"/>
    <w:rsid w:val="00300801"/>
    <w:rsid w:val="00300904"/>
    <w:rsid w:val="00300C69"/>
    <w:rsid w:val="00300D39"/>
    <w:rsid w:val="00301035"/>
    <w:rsid w:val="003010AE"/>
    <w:rsid w:val="003012C5"/>
    <w:rsid w:val="0030204C"/>
    <w:rsid w:val="00303A9A"/>
    <w:rsid w:val="00304377"/>
    <w:rsid w:val="003051AC"/>
    <w:rsid w:val="00305C6B"/>
    <w:rsid w:val="003067CA"/>
    <w:rsid w:val="00306EBC"/>
    <w:rsid w:val="003074A6"/>
    <w:rsid w:val="003101E3"/>
    <w:rsid w:val="00310E25"/>
    <w:rsid w:val="00310E6B"/>
    <w:rsid w:val="0031351D"/>
    <w:rsid w:val="003136E0"/>
    <w:rsid w:val="00314BA5"/>
    <w:rsid w:val="00314F8C"/>
    <w:rsid w:val="00316CC1"/>
    <w:rsid w:val="00316F69"/>
    <w:rsid w:val="00317526"/>
    <w:rsid w:val="00320A56"/>
    <w:rsid w:val="00321D20"/>
    <w:rsid w:val="00321D59"/>
    <w:rsid w:val="00322262"/>
    <w:rsid w:val="0032339B"/>
    <w:rsid w:val="003234A0"/>
    <w:rsid w:val="00323A3D"/>
    <w:rsid w:val="00324B93"/>
    <w:rsid w:val="00325394"/>
    <w:rsid w:val="00325463"/>
    <w:rsid w:val="003276D9"/>
    <w:rsid w:val="0033426B"/>
    <w:rsid w:val="003343AF"/>
    <w:rsid w:val="00335FF0"/>
    <w:rsid w:val="00336105"/>
    <w:rsid w:val="003371F3"/>
    <w:rsid w:val="003402C1"/>
    <w:rsid w:val="003411D8"/>
    <w:rsid w:val="00342195"/>
    <w:rsid w:val="0034337A"/>
    <w:rsid w:val="00343C37"/>
    <w:rsid w:val="00343E13"/>
    <w:rsid w:val="00344403"/>
    <w:rsid w:val="00346B57"/>
    <w:rsid w:val="00346B7C"/>
    <w:rsid w:val="00346D7B"/>
    <w:rsid w:val="00347F0F"/>
    <w:rsid w:val="003501C8"/>
    <w:rsid w:val="003508F2"/>
    <w:rsid w:val="0035199A"/>
    <w:rsid w:val="00351C97"/>
    <w:rsid w:val="00352862"/>
    <w:rsid w:val="00352A31"/>
    <w:rsid w:val="00352AB7"/>
    <w:rsid w:val="00352EA9"/>
    <w:rsid w:val="00353AF8"/>
    <w:rsid w:val="003541A1"/>
    <w:rsid w:val="00354333"/>
    <w:rsid w:val="0035461D"/>
    <w:rsid w:val="00354D18"/>
    <w:rsid w:val="00354D94"/>
    <w:rsid w:val="00355BAE"/>
    <w:rsid w:val="00356CCD"/>
    <w:rsid w:val="00357A8A"/>
    <w:rsid w:val="00360667"/>
    <w:rsid w:val="00360819"/>
    <w:rsid w:val="00361012"/>
    <w:rsid w:val="0036140D"/>
    <w:rsid w:val="003614F6"/>
    <w:rsid w:val="00361EBF"/>
    <w:rsid w:val="00362F84"/>
    <w:rsid w:val="00363B6A"/>
    <w:rsid w:val="00364310"/>
    <w:rsid w:val="003644FE"/>
    <w:rsid w:val="0036602B"/>
    <w:rsid w:val="00367210"/>
    <w:rsid w:val="00367257"/>
    <w:rsid w:val="0036747F"/>
    <w:rsid w:val="00367551"/>
    <w:rsid w:val="00367E21"/>
    <w:rsid w:val="0037047E"/>
    <w:rsid w:val="003716AF"/>
    <w:rsid w:val="0037202A"/>
    <w:rsid w:val="00372044"/>
    <w:rsid w:val="003723EE"/>
    <w:rsid w:val="0037291C"/>
    <w:rsid w:val="00373830"/>
    <w:rsid w:val="00374978"/>
    <w:rsid w:val="00375830"/>
    <w:rsid w:val="00377DAD"/>
    <w:rsid w:val="00381D34"/>
    <w:rsid w:val="003826DC"/>
    <w:rsid w:val="0038270B"/>
    <w:rsid w:val="00382A42"/>
    <w:rsid w:val="00383160"/>
    <w:rsid w:val="00384A46"/>
    <w:rsid w:val="00385450"/>
    <w:rsid w:val="0038554B"/>
    <w:rsid w:val="0038710D"/>
    <w:rsid w:val="00387176"/>
    <w:rsid w:val="00387E37"/>
    <w:rsid w:val="00387FA1"/>
    <w:rsid w:val="003902B8"/>
    <w:rsid w:val="00391CEB"/>
    <w:rsid w:val="003925F6"/>
    <w:rsid w:val="00392EE2"/>
    <w:rsid w:val="003939B5"/>
    <w:rsid w:val="00393E4D"/>
    <w:rsid w:val="00393FA5"/>
    <w:rsid w:val="003942C0"/>
    <w:rsid w:val="00394804"/>
    <w:rsid w:val="00394860"/>
    <w:rsid w:val="00394EF3"/>
    <w:rsid w:val="00395A02"/>
    <w:rsid w:val="00395BC4"/>
    <w:rsid w:val="00396222"/>
    <w:rsid w:val="0039659C"/>
    <w:rsid w:val="00396CAB"/>
    <w:rsid w:val="00397242"/>
    <w:rsid w:val="003A049A"/>
    <w:rsid w:val="003A0583"/>
    <w:rsid w:val="003A12D2"/>
    <w:rsid w:val="003A184A"/>
    <w:rsid w:val="003A450C"/>
    <w:rsid w:val="003A6E99"/>
    <w:rsid w:val="003A78CE"/>
    <w:rsid w:val="003A7B0A"/>
    <w:rsid w:val="003A7CF6"/>
    <w:rsid w:val="003B05C6"/>
    <w:rsid w:val="003B0C39"/>
    <w:rsid w:val="003B0CB7"/>
    <w:rsid w:val="003B2C43"/>
    <w:rsid w:val="003B3D1B"/>
    <w:rsid w:val="003B40D0"/>
    <w:rsid w:val="003B43FF"/>
    <w:rsid w:val="003B66B1"/>
    <w:rsid w:val="003B7088"/>
    <w:rsid w:val="003B72D8"/>
    <w:rsid w:val="003B7398"/>
    <w:rsid w:val="003B7B96"/>
    <w:rsid w:val="003C0FAD"/>
    <w:rsid w:val="003C16B1"/>
    <w:rsid w:val="003C18C3"/>
    <w:rsid w:val="003C1AAE"/>
    <w:rsid w:val="003C2070"/>
    <w:rsid w:val="003C2AE4"/>
    <w:rsid w:val="003C2C37"/>
    <w:rsid w:val="003C3849"/>
    <w:rsid w:val="003C38B0"/>
    <w:rsid w:val="003C4B76"/>
    <w:rsid w:val="003C4C0E"/>
    <w:rsid w:val="003C4C98"/>
    <w:rsid w:val="003C6DFC"/>
    <w:rsid w:val="003C7719"/>
    <w:rsid w:val="003C7C8F"/>
    <w:rsid w:val="003D0E67"/>
    <w:rsid w:val="003D1252"/>
    <w:rsid w:val="003D1AE7"/>
    <w:rsid w:val="003D2099"/>
    <w:rsid w:val="003D27A4"/>
    <w:rsid w:val="003D399D"/>
    <w:rsid w:val="003D54B9"/>
    <w:rsid w:val="003D6262"/>
    <w:rsid w:val="003D756A"/>
    <w:rsid w:val="003D75FD"/>
    <w:rsid w:val="003E0A87"/>
    <w:rsid w:val="003E0BC3"/>
    <w:rsid w:val="003E1E8B"/>
    <w:rsid w:val="003E201A"/>
    <w:rsid w:val="003E20E9"/>
    <w:rsid w:val="003E28D4"/>
    <w:rsid w:val="003E2B24"/>
    <w:rsid w:val="003E3439"/>
    <w:rsid w:val="003E3A99"/>
    <w:rsid w:val="003E40C3"/>
    <w:rsid w:val="003E5B3A"/>
    <w:rsid w:val="003E5DC4"/>
    <w:rsid w:val="003E6311"/>
    <w:rsid w:val="003E66AD"/>
    <w:rsid w:val="003E7497"/>
    <w:rsid w:val="003F060C"/>
    <w:rsid w:val="003F113A"/>
    <w:rsid w:val="003F1D1D"/>
    <w:rsid w:val="003F2910"/>
    <w:rsid w:val="003F2E8F"/>
    <w:rsid w:val="003F2ECC"/>
    <w:rsid w:val="003F30EE"/>
    <w:rsid w:val="003F39BF"/>
    <w:rsid w:val="003F43CD"/>
    <w:rsid w:val="003F501B"/>
    <w:rsid w:val="003F5BF6"/>
    <w:rsid w:val="003F6673"/>
    <w:rsid w:val="003F7354"/>
    <w:rsid w:val="003F7D01"/>
    <w:rsid w:val="004001F4"/>
    <w:rsid w:val="00400D14"/>
    <w:rsid w:val="00402320"/>
    <w:rsid w:val="004038E6"/>
    <w:rsid w:val="00405416"/>
    <w:rsid w:val="0040582E"/>
    <w:rsid w:val="00406B7A"/>
    <w:rsid w:val="00406EFD"/>
    <w:rsid w:val="004070AA"/>
    <w:rsid w:val="00410485"/>
    <w:rsid w:val="00410D48"/>
    <w:rsid w:val="0041299C"/>
    <w:rsid w:val="0041342B"/>
    <w:rsid w:val="00413884"/>
    <w:rsid w:val="0041659E"/>
    <w:rsid w:val="004169BB"/>
    <w:rsid w:val="004176EB"/>
    <w:rsid w:val="004202F2"/>
    <w:rsid w:val="004204AD"/>
    <w:rsid w:val="00420A77"/>
    <w:rsid w:val="0042130C"/>
    <w:rsid w:val="004213F9"/>
    <w:rsid w:val="0042157D"/>
    <w:rsid w:val="004226A1"/>
    <w:rsid w:val="004226B1"/>
    <w:rsid w:val="00422E6B"/>
    <w:rsid w:val="0042329F"/>
    <w:rsid w:val="00423A3D"/>
    <w:rsid w:val="00424BE2"/>
    <w:rsid w:val="00424CD7"/>
    <w:rsid w:val="00424E56"/>
    <w:rsid w:val="00425026"/>
    <w:rsid w:val="004251B3"/>
    <w:rsid w:val="00425C13"/>
    <w:rsid w:val="00425FC7"/>
    <w:rsid w:val="0042620A"/>
    <w:rsid w:val="0042737E"/>
    <w:rsid w:val="004307C0"/>
    <w:rsid w:val="00431030"/>
    <w:rsid w:val="004313F7"/>
    <w:rsid w:val="00433DBD"/>
    <w:rsid w:val="00434459"/>
    <w:rsid w:val="00434CE5"/>
    <w:rsid w:val="00435AA0"/>
    <w:rsid w:val="00435EC0"/>
    <w:rsid w:val="00436DD7"/>
    <w:rsid w:val="00437ECC"/>
    <w:rsid w:val="0044176C"/>
    <w:rsid w:val="00442927"/>
    <w:rsid w:val="00444733"/>
    <w:rsid w:val="00445889"/>
    <w:rsid w:val="00445D00"/>
    <w:rsid w:val="00446279"/>
    <w:rsid w:val="004463A5"/>
    <w:rsid w:val="00446C37"/>
    <w:rsid w:val="0044724F"/>
    <w:rsid w:val="004473B4"/>
    <w:rsid w:val="00447FCC"/>
    <w:rsid w:val="00450519"/>
    <w:rsid w:val="00450BDD"/>
    <w:rsid w:val="00450DA7"/>
    <w:rsid w:val="004510A4"/>
    <w:rsid w:val="0045110E"/>
    <w:rsid w:val="00452014"/>
    <w:rsid w:val="0045285D"/>
    <w:rsid w:val="004528A8"/>
    <w:rsid w:val="00452F30"/>
    <w:rsid w:val="004539F6"/>
    <w:rsid w:val="00455BFF"/>
    <w:rsid w:val="00457CFE"/>
    <w:rsid w:val="004600BA"/>
    <w:rsid w:val="004606E4"/>
    <w:rsid w:val="00460764"/>
    <w:rsid w:val="00460E96"/>
    <w:rsid w:val="004611CB"/>
    <w:rsid w:val="00461DDB"/>
    <w:rsid w:val="00462E20"/>
    <w:rsid w:val="00463661"/>
    <w:rsid w:val="00463ABA"/>
    <w:rsid w:val="00465191"/>
    <w:rsid w:val="00465F9B"/>
    <w:rsid w:val="00467276"/>
    <w:rsid w:val="0046730E"/>
    <w:rsid w:val="004679B6"/>
    <w:rsid w:val="004679F0"/>
    <w:rsid w:val="004702CA"/>
    <w:rsid w:val="00471249"/>
    <w:rsid w:val="004713AB"/>
    <w:rsid w:val="00472902"/>
    <w:rsid w:val="00472BB3"/>
    <w:rsid w:val="00473529"/>
    <w:rsid w:val="00473856"/>
    <w:rsid w:val="004746C0"/>
    <w:rsid w:val="004746E9"/>
    <w:rsid w:val="00474F7E"/>
    <w:rsid w:val="004758BF"/>
    <w:rsid w:val="004771BC"/>
    <w:rsid w:val="004807D6"/>
    <w:rsid w:val="00481A1C"/>
    <w:rsid w:val="00481B6D"/>
    <w:rsid w:val="00481BB0"/>
    <w:rsid w:val="0048210E"/>
    <w:rsid w:val="004827CC"/>
    <w:rsid w:val="00482F44"/>
    <w:rsid w:val="00483252"/>
    <w:rsid w:val="0048384B"/>
    <w:rsid w:val="00483BC8"/>
    <w:rsid w:val="004852AB"/>
    <w:rsid w:val="004859F8"/>
    <w:rsid w:val="00485F02"/>
    <w:rsid w:val="00486504"/>
    <w:rsid w:val="004865E8"/>
    <w:rsid w:val="00486D13"/>
    <w:rsid w:val="004875FE"/>
    <w:rsid w:val="00490D49"/>
    <w:rsid w:val="004915E4"/>
    <w:rsid w:val="00492AAA"/>
    <w:rsid w:val="00492B09"/>
    <w:rsid w:val="0049330F"/>
    <w:rsid w:val="0049332A"/>
    <w:rsid w:val="00493922"/>
    <w:rsid w:val="00494778"/>
    <w:rsid w:val="00495029"/>
    <w:rsid w:val="00495112"/>
    <w:rsid w:val="004954DF"/>
    <w:rsid w:val="00495CF5"/>
    <w:rsid w:val="004963B9"/>
    <w:rsid w:val="004977A7"/>
    <w:rsid w:val="00497AB3"/>
    <w:rsid w:val="004A0759"/>
    <w:rsid w:val="004A11AC"/>
    <w:rsid w:val="004A1677"/>
    <w:rsid w:val="004A30A1"/>
    <w:rsid w:val="004A381A"/>
    <w:rsid w:val="004A3C28"/>
    <w:rsid w:val="004A43C7"/>
    <w:rsid w:val="004A4B11"/>
    <w:rsid w:val="004A642E"/>
    <w:rsid w:val="004A6928"/>
    <w:rsid w:val="004B03CB"/>
    <w:rsid w:val="004B07A7"/>
    <w:rsid w:val="004B153E"/>
    <w:rsid w:val="004B1F47"/>
    <w:rsid w:val="004B2C5B"/>
    <w:rsid w:val="004B2F07"/>
    <w:rsid w:val="004B3ADE"/>
    <w:rsid w:val="004B4C23"/>
    <w:rsid w:val="004B5A78"/>
    <w:rsid w:val="004B6029"/>
    <w:rsid w:val="004C0134"/>
    <w:rsid w:val="004C1426"/>
    <w:rsid w:val="004C2752"/>
    <w:rsid w:val="004C2EDB"/>
    <w:rsid w:val="004C4B77"/>
    <w:rsid w:val="004C5418"/>
    <w:rsid w:val="004C61D2"/>
    <w:rsid w:val="004C671C"/>
    <w:rsid w:val="004C6E53"/>
    <w:rsid w:val="004C7E30"/>
    <w:rsid w:val="004C7F12"/>
    <w:rsid w:val="004D01DB"/>
    <w:rsid w:val="004D0447"/>
    <w:rsid w:val="004D0CF3"/>
    <w:rsid w:val="004D10E0"/>
    <w:rsid w:val="004D185B"/>
    <w:rsid w:val="004D297D"/>
    <w:rsid w:val="004D421A"/>
    <w:rsid w:val="004D49D5"/>
    <w:rsid w:val="004D49D6"/>
    <w:rsid w:val="004D517A"/>
    <w:rsid w:val="004D6E0B"/>
    <w:rsid w:val="004E0A17"/>
    <w:rsid w:val="004E0B35"/>
    <w:rsid w:val="004E17A7"/>
    <w:rsid w:val="004E2160"/>
    <w:rsid w:val="004E2D69"/>
    <w:rsid w:val="004E3162"/>
    <w:rsid w:val="004E31F6"/>
    <w:rsid w:val="004E424C"/>
    <w:rsid w:val="004E61B4"/>
    <w:rsid w:val="004E628C"/>
    <w:rsid w:val="004E6D8D"/>
    <w:rsid w:val="004E7DBE"/>
    <w:rsid w:val="004F27F9"/>
    <w:rsid w:val="004F2B24"/>
    <w:rsid w:val="004F3073"/>
    <w:rsid w:val="004F3977"/>
    <w:rsid w:val="004F42F0"/>
    <w:rsid w:val="004F58FA"/>
    <w:rsid w:val="004F5EB9"/>
    <w:rsid w:val="004F6025"/>
    <w:rsid w:val="004F637E"/>
    <w:rsid w:val="004F6824"/>
    <w:rsid w:val="005006BD"/>
    <w:rsid w:val="005008E2"/>
    <w:rsid w:val="00500BFC"/>
    <w:rsid w:val="00500F28"/>
    <w:rsid w:val="005016D6"/>
    <w:rsid w:val="005017F4"/>
    <w:rsid w:val="0050186B"/>
    <w:rsid w:val="00502B13"/>
    <w:rsid w:val="00502B2C"/>
    <w:rsid w:val="005040BD"/>
    <w:rsid w:val="00504713"/>
    <w:rsid w:val="00504ED3"/>
    <w:rsid w:val="005055C0"/>
    <w:rsid w:val="00506C5A"/>
    <w:rsid w:val="005103D5"/>
    <w:rsid w:val="0051053E"/>
    <w:rsid w:val="00511094"/>
    <w:rsid w:val="005112A6"/>
    <w:rsid w:val="00514492"/>
    <w:rsid w:val="005161DA"/>
    <w:rsid w:val="005167E0"/>
    <w:rsid w:val="00521618"/>
    <w:rsid w:val="00521A95"/>
    <w:rsid w:val="005226BB"/>
    <w:rsid w:val="00523834"/>
    <w:rsid w:val="00524025"/>
    <w:rsid w:val="00524125"/>
    <w:rsid w:val="0052465D"/>
    <w:rsid w:val="005248E5"/>
    <w:rsid w:val="00524B8F"/>
    <w:rsid w:val="00524C96"/>
    <w:rsid w:val="005254D5"/>
    <w:rsid w:val="00525BFF"/>
    <w:rsid w:val="00525FE4"/>
    <w:rsid w:val="00526A38"/>
    <w:rsid w:val="00526BA5"/>
    <w:rsid w:val="0052760B"/>
    <w:rsid w:val="00527DD8"/>
    <w:rsid w:val="005310CF"/>
    <w:rsid w:val="0053117F"/>
    <w:rsid w:val="005313AA"/>
    <w:rsid w:val="00531684"/>
    <w:rsid w:val="00531803"/>
    <w:rsid w:val="00532A42"/>
    <w:rsid w:val="00532CCC"/>
    <w:rsid w:val="00532ED1"/>
    <w:rsid w:val="00533956"/>
    <w:rsid w:val="00533C16"/>
    <w:rsid w:val="005341EA"/>
    <w:rsid w:val="00534550"/>
    <w:rsid w:val="005352D6"/>
    <w:rsid w:val="00535A8F"/>
    <w:rsid w:val="00536D91"/>
    <w:rsid w:val="005373E9"/>
    <w:rsid w:val="005374EA"/>
    <w:rsid w:val="00537AFC"/>
    <w:rsid w:val="00537BCA"/>
    <w:rsid w:val="00540F67"/>
    <w:rsid w:val="00541017"/>
    <w:rsid w:val="00541FDF"/>
    <w:rsid w:val="005423E6"/>
    <w:rsid w:val="00542F0B"/>
    <w:rsid w:val="00544C68"/>
    <w:rsid w:val="00545004"/>
    <w:rsid w:val="005457C0"/>
    <w:rsid w:val="00546521"/>
    <w:rsid w:val="00546DCD"/>
    <w:rsid w:val="005473E9"/>
    <w:rsid w:val="00547D6A"/>
    <w:rsid w:val="00550ABB"/>
    <w:rsid w:val="00551084"/>
    <w:rsid w:val="005513E4"/>
    <w:rsid w:val="00551488"/>
    <w:rsid w:val="00553293"/>
    <w:rsid w:val="0055447D"/>
    <w:rsid w:val="00554803"/>
    <w:rsid w:val="0055545E"/>
    <w:rsid w:val="00555475"/>
    <w:rsid w:val="00555D4E"/>
    <w:rsid w:val="0055721B"/>
    <w:rsid w:val="005573A2"/>
    <w:rsid w:val="00557672"/>
    <w:rsid w:val="00560950"/>
    <w:rsid w:val="00560CB1"/>
    <w:rsid w:val="005610B9"/>
    <w:rsid w:val="00561806"/>
    <w:rsid w:val="00561E10"/>
    <w:rsid w:val="005624E6"/>
    <w:rsid w:val="00563D18"/>
    <w:rsid w:val="00563F8B"/>
    <w:rsid w:val="0056404F"/>
    <w:rsid w:val="005641A4"/>
    <w:rsid w:val="00564330"/>
    <w:rsid w:val="00564541"/>
    <w:rsid w:val="0056493C"/>
    <w:rsid w:val="00564C28"/>
    <w:rsid w:val="005652C6"/>
    <w:rsid w:val="00565374"/>
    <w:rsid w:val="005664B7"/>
    <w:rsid w:val="0056760A"/>
    <w:rsid w:val="0056799D"/>
    <w:rsid w:val="0057056E"/>
    <w:rsid w:val="00570989"/>
    <w:rsid w:val="0057143A"/>
    <w:rsid w:val="00571BC0"/>
    <w:rsid w:val="00571ECE"/>
    <w:rsid w:val="00571F54"/>
    <w:rsid w:val="005734AC"/>
    <w:rsid w:val="005736A7"/>
    <w:rsid w:val="00574A5A"/>
    <w:rsid w:val="00574D0F"/>
    <w:rsid w:val="005755F8"/>
    <w:rsid w:val="0057663D"/>
    <w:rsid w:val="00577609"/>
    <w:rsid w:val="00577785"/>
    <w:rsid w:val="00577D6B"/>
    <w:rsid w:val="0058033B"/>
    <w:rsid w:val="00581A34"/>
    <w:rsid w:val="005820FD"/>
    <w:rsid w:val="005821E8"/>
    <w:rsid w:val="005825FA"/>
    <w:rsid w:val="0058293B"/>
    <w:rsid w:val="00583A5E"/>
    <w:rsid w:val="005861A0"/>
    <w:rsid w:val="00586441"/>
    <w:rsid w:val="00586F01"/>
    <w:rsid w:val="00590D00"/>
    <w:rsid w:val="00593EAC"/>
    <w:rsid w:val="005940F7"/>
    <w:rsid w:val="005942A5"/>
    <w:rsid w:val="0059430A"/>
    <w:rsid w:val="00594FE5"/>
    <w:rsid w:val="00595377"/>
    <w:rsid w:val="00597085"/>
    <w:rsid w:val="00597567"/>
    <w:rsid w:val="005A036A"/>
    <w:rsid w:val="005A0724"/>
    <w:rsid w:val="005A0959"/>
    <w:rsid w:val="005A156E"/>
    <w:rsid w:val="005A312F"/>
    <w:rsid w:val="005A3581"/>
    <w:rsid w:val="005A3E23"/>
    <w:rsid w:val="005A3FDA"/>
    <w:rsid w:val="005A6323"/>
    <w:rsid w:val="005B0BE8"/>
    <w:rsid w:val="005B0E35"/>
    <w:rsid w:val="005B163D"/>
    <w:rsid w:val="005B170A"/>
    <w:rsid w:val="005B1B6D"/>
    <w:rsid w:val="005B2CDE"/>
    <w:rsid w:val="005B38FD"/>
    <w:rsid w:val="005B3ADA"/>
    <w:rsid w:val="005B4044"/>
    <w:rsid w:val="005B4321"/>
    <w:rsid w:val="005B4D50"/>
    <w:rsid w:val="005B4EAE"/>
    <w:rsid w:val="005B4FE7"/>
    <w:rsid w:val="005B56BC"/>
    <w:rsid w:val="005B5CA0"/>
    <w:rsid w:val="005B641D"/>
    <w:rsid w:val="005B6738"/>
    <w:rsid w:val="005C0A17"/>
    <w:rsid w:val="005C0E6C"/>
    <w:rsid w:val="005C0F25"/>
    <w:rsid w:val="005C1B5C"/>
    <w:rsid w:val="005C21E3"/>
    <w:rsid w:val="005C505C"/>
    <w:rsid w:val="005C5336"/>
    <w:rsid w:val="005C539D"/>
    <w:rsid w:val="005C53CC"/>
    <w:rsid w:val="005C5C2B"/>
    <w:rsid w:val="005C68D3"/>
    <w:rsid w:val="005C690F"/>
    <w:rsid w:val="005C6DAB"/>
    <w:rsid w:val="005C7EAE"/>
    <w:rsid w:val="005D0144"/>
    <w:rsid w:val="005D0241"/>
    <w:rsid w:val="005D0941"/>
    <w:rsid w:val="005D342A"/>
    <w:rsid w:val="005D3726"/>
    <w:rsid w:val="005D3AA8"/>
    <w:rsid w:val="005D4355"/>
    <w:rsid w:val="005D4FF0"/>
    <w:rsid w:val="005D5352"/>
    <w:rsid w:val="005D554D"/>
    <w:rsid w:val="005D7015"/>
    <w:rsid w:val="005D7457"/>
    <w:rsid w:val="005D77A8"/>
    <w:rsid w:val="005E0E28"/>
    <w:rsid w:val="005E0F55"/>
    <w:rsid w:val="005E14CA"/>
    <w:rsid w:val="005E1F56"/>
    <w:rsid w:val="005E1F61"/>
    <w:rsid w:val="005E1F7C"/>
    <w:rsid w:val="005E35CE"/>
    <w:rsid w:val="005E3E83"/>
    <w:rsid w:val="005E5183"/>
    <w:rsid w:val="005E5747"/>
    <w:rsid w:val="005E675E"/>
    <w:rsid w:val="005E7985"/>
    <w:rsid w:val="005E7E65"/>
    <w:rsid w:val="005F0ABA"/>
    <w:rsid w:val="005F0E8E"/>
    <w:rsid w:val="005F14C9"/>
    <w:rsid w:val="005F1B37"/>
    <w:rsid w:val="005F430C"/>
    <w:rsid w:val="005F5B67"/>
    <w:rsid w:val="005F6199"/>
    <w:rsid w:val="005F623D"/>
    <w:rsid w:val="005F6F3C"/>
    <w:rsid w:val="005F7130"/>
    <w:rsid w:val="00600347"/>
    <w:rsid w:val="00600C58"/>
    <w:rsid w:val="00601F71"/>
    <w:rsid w:val="00603D90"/>
    <w:rsid w:val="00603EBA"/>
    <w:rsid w:val="0060428D"/>
    <w:rsid w:val="006042F3"/>
    <w:rsid w:val="006045F6"/>
    <w:rsid w:val="006046EE"/>
    <w:rsid w:val="00604CFA"/>
    <w:rsid w:val="00604F44"/>
    <w:rsid w:val="0060704F"/>
    <w:rsid w:val="0060787D"/>
    <w:rsid w:val="00607A30"/>
    <w:rsid w:val="00607E9A"/>
    <w:rsid w:val="006107C3"/>
    <w:rsid w:val="00610DC0"/>
    <w:rsid w:val="00614EAC"/>
    <w:rsid w:val="00615575"/>
    <w:rsid w:val="00617D51"/>
    <w:rsid w:val="0062003C"/>
    <w:rsid w:val="006207EE"/>
    <w:rsid w:val="00620EBC"/>
    <w:rsid w:val="00621EBC"/>
    <w:rsid w:val="006242B0"/>
    <w:rsid w:val="00624459"/>
    <w:rsid w:val="00624C6B"/>
    <w:rsid w:val="00624F33"/>
    <w:rsid w:val="0062522F"/>
    <w:rsid w:val="00626839"/>
    <w:rsid w:val="00626D58"/>
    <w:rsid w:val="00627015"/>
    <w:rsid w:val="0063084F"/>
    <w:rsid w:val="00630E10"/>
    <w:rsid w:val="00632301"/>
    <w:rsid w:val="0063291B"/>
    <w:rsid w:val="006331AB"/>
    <w:rsid w:val="00633968"/>
    <w:rsid w:val="006345C0"/>
    <w:rsid w:val="0063480F"/>
    <w:rsid w:val="0063565E"/>
    <w:rsid w:val="00635F8E"/>
    <w:rsid w:val="00636B03"/>
    <w:rsid w:val="006401F9"/>
    <w:rsid w:val="006402E4"/>
    <w:rsid w:val="00640E53"/>
    <w:rsid w:val="006410AF"/>
    <w:rsid w:val="00641199"/>
    <w:rsid w:val="00641545"/>
    <w:rsid w:val="00641B3E"/>
    <w:rsid w:val="00641CD6"/>
    <w:rsid w:val="00642579"/>
    <w:rsid w:val="00642CB8"/>
    <w:rsid w:val="00643FD8"/>
    <w:rsid w:val="006441ED"/>
    <w:rsid w:val="006472F5"/>
    <w:rsid w:val="00650401"/>
    <w:rsid w:val="006522A0"/>
    <w:rsid w:val="00652477"/>
    <w:rsid w:val="006530A5"/>
    <w:rsid w:val="00653283"/>
    <w:rsid w:val="00654269"/>
    <w:rsid w:val="006545B6"/>
    <w:rsid w:val="00654CC8"/>
    <w:rsid w:val="00654D2F"/>
    <w:rsid w:val="00654F17"/>
    <w:rsid w:val="0065506D"/>
    <w:rsid w:val="00655884"/>
    <w:rsid w:val="006564A8"/>
    <w:rsid w:val="006566A7"/>
    <w:rsid w:val="00656A4C"/>
    <w:rsid w:val="00656AD4"/>
    <w:rsid w:val="006603C4"/>
    <w:rsid w:val="006603E1"/>
    <w:rsid w:val="00660E48"/>
    <w:rsid w:val="00660E65"/>
    <w:rsid w:val="00661C7A"/>
    <w:rsid w:val="00661F6B"/>
    <w:rsid w:val="006625EC"/>
    <w:rsid w:val="00662A86"/>
    <w:rsid w:val="006632D7"/>
    <w:rsid w:val="0066375C"/>
    <w:rsid w:val="006643B2"/>
    <w:rsid w:val="00664F8A"/>
    <w:rsid w:val="00670574"/>
    <w:rsid w:val="00671758"/>
    <w:rsid w:val="00673241"/>
    <w:rsid w:val="00673592"/>
    <w:rsid w:val="00676A43"/>
    <w:rsid w:val="006778BB"/>
    <w:rsid w:val="006805C0"/>
    <w:rsid w:val="00680A1B"/>
    <w:rsid w:val="00681603"/>
    <w:rsid w:val="00681685"/>
    <w:rsid w:val="00681FA0"/>
    <w:rsid w:val="00681FF2"/>
    <w:rsid w:val="00682030"/>
    <w:rsid w:val="0068307D"/>
    <w:rsid w:val="0068688D"/>
    <w:rsid w:val="00686B92"/>
    <w:rsid w:val="00687247"/>
    <w:rsid w:val="00687524"/>
    <w:rsid w:val="0069057B"/>
    <w:rsid w:val="00690D5E"/>
    <w:rsid w:val="006911E8"/>
    <w:rsid w:val="00691B1A"/>
    <w:rsid w:val="00692BE6"/>
    <w:rsid w:val="00693174"/>
    <w:rsid w:val="00694353"/>
    <w:rsid w:val="00696BF4"/>
    <w:rsid w:val="00697630"/>
    <w:rsid w:val="00697E8B"/>
    <w:rsid w:val="006A0394"/>
    <w:rsid w:val="006A0D4A"/>
    <w:rsid w:val="006A14E5"/>
    <w:rsid w:val="006A2DB7"/>
    <w:rsid w:val="006A484B"/>
    <w:rsid w:val="006A5AE3"/>
    <w:rsid w:val="006A6B92"/>
    <w:rsid w:val="006B04CC"/>
    <w:rsid w:val="006B0F81"/>
    <w:rsid w:val="006B22D6"/>
    <w:rsid w:val="006B3993"/>
    <w:rsid w:val="006B4174"/>
    <w:rsid w:val="006B50E8"/>
    <w:rsid w:val="006B5BF9"/>
    <w:rsid w:val="006B694A"/>
    <w:rsid w:val="006B6966"/>
    <w:rsid w:val="006B6DE2"/>
    <w:rsid w:val="006B7E6F"/>
    <w:rsid w:val="006C038D"/>
    <w:rsid w:val="006C120C"/>
    <w:rsid w:val="006C14B8"/>
    <w:rsid w:val="006C1A85"/>
    <w:rsid w:val="006C2B6F"/>
    <w:rsid w:val="006C312D"/>
    <w:rsid w:val="006C3771"/>
    <w:rsid w:val="006C46A4"/>
    <w:rsid w:val="006C6B00"/>
    <w:rsid w:val="006C7309"/>
    <w:rsid w:val="006C7878"/>
    <w:rsid w:val="006D00F8"/>
    <w:rsid w:val="006D0268"/>
    <w:rsid w:val="006D04E4"/>
    <w:rsid w:val="006D0C4B"/>
    <w:rsid w:val="006D0CC7"/>
    <w:rsid w:val="006D0E05"/>
    <w:rsid w:val="006D1C90"/>
    <w:rsid w:val="006D22B5"/>
    <w:rsid w:val="006D2795"/>
    <w:rsid w:val="006D571D"/>
    <w:rsid w:val="006D5AFF"/>
    <w:rsid w:val="006D5B1E"/>
    <w:rsid w:val="006D6268"/>
    <w:rsid w:val="006D6C4C"/>
    <w:rsid w:val="006D6CCE"/>
    <w:rsid w:val="006D6F4A"/>
    <w:rsid w:val="006D7272"/>
    <w:rsid w:val="006D73C0"/>
    <w:rsid w:val="006D7A16"/>
    <w:rsid w:val="006D7DB8"/>
    <w:rsid w:val="006E0765"/>
    <w:rsid w:val="006E0C16"/>
    <w:rsid w:val="006E0ED4"/>
    <w:rsid w:val="006E19D0"/>
    <w:rsid w:val="006E2DBC"/>
    <w:rsid w:val="006E3437"/>
    <w:rsid w:val="006E38E6"/>
    <w:rsid w:val="006E4A53"/>
    <w:rsid w:val="006E4E1A"/>
    <w:rsid w:val="006E605A"/>
    <w:rsid w:val="006F1486"/>
    <w:rsid w:val="006F1B0B"/>
    <w:rsid w:val="006F2753"/>
    <w:rsid w:val="006F312B"/>
    <w:rsid w:val="006F347A"/>
    <w:rsid w:val="006F35B9"/>
    <w:rsid w:val="006F37B2"/>
    <w:rsid w:val="006F441A"/>
    <w:rsid w:val="006F4E0A"/>
    <w:rsid w:val="006F5AE9"/>
    <w:rsid w:val="006F5DB6"/>
    <w:rsid w:val="006F79AA"/>
    <w:rsid w:val="006F7BCB"/>
    <w:rsid w:val="007009E2"/>
    <w:rsid w:val="007017F3"/>
    <w:rsid w:val="007021EB"/>
    <w:rsid w:val="007027C1"/>
    <w:rsid w:val="00704183"/>
    <w:rsid w:val="00704E17"/>
    <w:rsid w:val="00705FEA"/>
    <w:rsid w:val="00706264"/>
    <w:rsid w:val="0070666B"/>
    <w:rsid w:val="007066AA"/>
    <w:rsid w:val="00707627"/>
    <w:rsid w:val="007079AB"/>
    <w:rsid w:val="00710564"/>
    <w:rsid w:val="00710B3A"/>
    <w:rsid w:val="00710E3B"/>
    <w:rsid w:val="007110A2"/>
    <w:rsid w:val="00711B0C"/>
    <w:rsid w:val="0071234F"/>
    <w:rsid w:val="007128C2"/>
    <w:rsid w:val="00715208"/>
    <w:rsid w:val="007163BB"/>
    <w:rsid w:val="0071667F"/>
    <w:rsid w:val="00716AD5"/>
    <w:rsid w:val="00716BFD"/>
    <w:rsid w:val="00716E91"/>
    <w:rsid w:val="0071785C"/>
    <w:rsid w:val="00720107"/>
    <w:rsid w:val="00720424"/>
    <w:rsid w:val="007208CF"/>
    <w:rsid w:val="00720C05"/>
    <w:rsid w:val="00721223"/>
    <w:rsid w:val="00721306"/>
    <w:rsid w:val="0072143F"/>
    <w:rsid w:val="007216E8"/>
    <w:rsid w:val="00723431"/>
    <w:rsid w:val="00724799"/>
    <w:rsid w:val="00724DC8"/>
    <w:rsid w:val="007262BA"/>
    <w:rsid w:val="007271ED"/>
    <w:rsid w:val="007277B1"/>
    <w:rsid w:val="00727911"/>
    <w:rsid w:val="00727EBA"/>
    <w:rsid w:val="007301B8"/>
    <w:rsid w:val="007302CE"/>
    <w:rsid w:val="00730403"/>
    <w:rsid w:val="00731003"/>
    <w:rsid w:val="00731C5E"/>
    <w:rsid w:val="00731F47"/>
    <w:rsid w:val="00732BBE"/>
    <w:rsid w:val="00733D36"/>
    <w:rsid w:val="0073461A"/>
    <w:rsid w:val="00735209"/>
    <w:rsid w:val="007352C0"/>
    <w:rsid w:val="00735E0E"/>
    <w:rsid w:val="00736DBD"/>
    <w:rsid w:val="00736DE9"/>
    <w:rsid w:val="00737121"/>
    <w:rsid w:val="00737770"/>
    <w:rsid w:val="00737781"/>
    <w:rsid w:val="007429A8"/>
    <w:rsid w:val="00742DFF"/>
    <w:rsid w:val="00742FD8"/>
    <w:rsid w:val="0074332A"/>
    <w:rsid w:val="007434AE"/>
    <w:rsid w:val="007437E4"/>
    <w:rsid w:val="00743935"/>
    <w:rsid w:val="00744116"/>
    <w:rsid w:val="00744F04"/>
    <w:rsid w:val="00745920"/>
    <w:rsid w:val="00745CD9"/>
    <w:rsid w:val="007513B3"/>
    <w:rsid w:val="0075170E"/>
    <w:rsid w:val="007518F0"/>
    <w:rsid w:val="00751CB4"/>
    <w:rsid w:val="007528DF"/>
    <w:rsid w:val="00753002"/>
    <w:rsid w:val="007537D9"/>
    <w:rsid w:val="007538FF"/>
    <w:rsid w:val="00753DFA"/>
    <w:rsid w:val="00754556"/>
    <w:rsid w:val="007559D1"/>
    <w:rsid w:val="00755A8A"/>
    <w:rsid w:val="00755C81"/>
    <w:rsid w:val="0075740A"/>
    <w:rsid w:val="00757EBF"/>
    <w:rsid w:val="00762149"/>
    <w:rsid w:val="00762399"/>
    <w:rsid w:val="0076460D"/>
    <w:rsid w:val="00765455"/>
    <w:rsid w:val="00766308"/>
    <w:rsid w:val="0076688C"/>
    <w:rsid w:val="00767648"/>
    <w:rsid w:val="00767FAA"/>
    <w:rsid w:val="007704A0"/>
    <w:rsid w:val="0077304F"/>
    <w:rsid w:val="00773F14"/>
    <w:rsid w:val="00774581"/>
    <w:rsid w:val="0077509B"/>
    <w:rsid w:val="00775156"/>
    <w:rsid w:val="0077639A"/>
    <w:rsid w:val="0077730B"/>
    <w:rsid w:val="00780002"/>
    <w:rsid w:val="007804AC"/>
    <w:rsid w:val="00780693"/>
    <w:rsid w:val="00780CC8"/>
    <w:rsid w:val="007810AA"/>
    <w:rsid w:val="0078125B"/>
    <w:rsid w:val="0078165E"/>
    <w:rsid w:val="00782B10"/>
    <w:rsid w:val="00782F5B"/>
    <w:rsid w:val="007832DA"/>
    <w:rsid w:val="00783C41"/>
    <w:rsid w:val="007851BE"/>
    <w:rsid w:val="00785432"/>
    <w:rsid w:val="00786014"/>
    <w:rsid w:val="007865CB"/>
    <w:rsid w:val="007868B8"/>
    <w:rsid w:val="00787130"/>
    <w:rsid w:val="00790650"/>
    <w:rsid w:val="0079121D"/>
    <w:rsid w:val="0079165E"/>
    <w:rsid w:val="00791F26"/>
    <w:rsid w:val="00791F73"/>
    <w:rsid w:val="00791F9D"/>
    <w:rsid w:val="007925C3"/>
    <w:rsid w:val="007928C4"/>
    <w:rsid w:val="00792BDB"/>
    <w:rsid w:val="007938D2"/>
    <w:rsid w:val="007938DE"/>
    <w:rsid w:val="00794AF7"/>
    <w:rsid w:val="00794B31"/>
    <w:rsid w:val="00794DF1"/>
    <w:rsid w:val="0079619D"/>
    <w:rsid w:val="007964B4"/>
    <w:rsid w:val="0079741A"/>
    <w:rsid w:val="007975BC"/>
    <w:rsid w:val="007A1E8C"/>
    <w:rsid w:val="007A2466"/>
    <w:rsid w:val="007A3A03"/>
    <w:rsid w:val="007A40D3"/>
    <w:rsid w:val="007A4ED3"/>
    <w:rsid w:val="007A5167"/>
    <w:rsid w:val="007A52B1"/>
    <w:rsid w:val="007A6DC5"/>
    <w:rsid w:val="007A7AC2"/>
    <w:rsid w:val="007B0C1B"/>
    <w:rsid w:val="007B20A1"/>
    <w:rsid w:val="007B270F"/>
    <w:rsid w:val="007B2BD8"/>
    <w:rsid w:val="007B3A9B"/>
    <w:rsid w:val="007B3B7D"/>
    <w:rsid w:val="007B3E87"/>
    <w:rsid w:val="007B49DD"/>
    <w:rsid w:val="007B4D87"/>
    <w:rsid w:val="007B4E3C"/>
    <w:rsid w:val="007B5254"/>
    <w:rsid w:val="007B581F"/>
    <w:rsid w:val="007B628F"/>
    <w:rsid w:val="007B62A2"/>
    <w:rsid w:val="007B661C"/>
    <w:rsid w:val="007B7759"/>
    <w:rsid w:val="007B785D"/>
    <w:rsid w:val="007B793C"/>
    <w:rsid w:val="007B7E53"/>
    <w:rsid w:val="007C2B53"/>
    <w:rsid w:val="007C2B74"/>
    <w:rsid w:val="007C2D2E"/>
    <w:rsid w:val="007C37E1"/>
    <w:rsid w:val="007C3B9D"/>
    <w:rsid w:val="007C3C65"/>
    <w:rsid w:val="007C41C8"/>
    <w:rsid w:val="007C51CE"/>
    <w:rsid w:val="007C5B8C"/>
    <w:rsid w:val="007C7109"/>
    <w:rsid w:val="007C78D0"/>
    <w:rsid w:val="007C7BBC"/>
    <w:rsid w:val="007D04EA"/>
    <w:rsid w:val="007D064A"/>
    <w:rsid w:val="007D0684"/>
    <w:rsid w:val="007D0997"/>
    <w:rsid w:val="007D2532"/>
    <w:rsid w:val="007D255C"/>
    <w:rsid w:val="007D3241"/>
    <w:rsid w:val="007D33C0"/>
    <w:rsid w:val="007D3A8C"/>
    <w:rsid w:val="007D51E4"/>
    <w:rsid w:val="007D5514"/>
    <w:rsid w:val="007D5630"/>
    <w:rsid w:val="007D59F6"/>
    <w:rsid w:val="007D5D93"/>
    <w:rsid w:val="007D6E18"/>
    <w:rsid w:val="007D7715"/>
    <w:rsid w:val="007D7D14"/>
    <w:rsid w:val="007E001E"/>
    <w:rsid w:val="007E01A0"/>
    <w:rsid w:val="007E0574"/>
    <w:rsid w:val="007E0957"/>
    <w:rsid w:val="007E14E9"/>
    <w:rsid w:val="007E21E5"/>
    <w:rsid w:val="007E3C0A"/>
    <w:rsid w:val="007E56F8"/>
    <w:rsid w:val="007E64E0"/>
    <w:rsid w:val="007E64E2"/>
    <w:rsid w:val="007E7C1D"/>
    <w:rsid w:val="007E7FAF"/>
    <w:rsid w:val="007F283A"/>
    <w:rsid w:val="007F37D6"/>
    <w:rsid w:val="007F3E8F"/>
    <w:rsid w:val="007F4334"/>
    <w:rsid w:val="007F48DA"/>
    <w:rsid w:val="007F4FCE"/>
    <w:rsid w:val="007F6453"/>
    <w:rsid w:val="007F65CD"/>
    <w:rsid w:val="007F796A"/>
    <w:rsid w:val="007F7A84"/>
    <w:rsid w:val="008001A0"/>
    <w:rsid w:val="008001F5"/>
    <w:rsid w:val="008003F2"/>
    <w:rsid w:val="00800861"/>
    <w:rsid w:val="00800BD1"/>
    <w:rsid w:val="00800C32"/>
    <w:rsid w:val="00802274"/>
    <w:rsid w:val="00802463"/>
    <w:rsid w:val="00802534"/>
    <w:rsid w:val="008028A7"/>
    <w:rsid w:val="008029E5"/>
    <w:rsid w:val="00802AD3"/>
    <w:rsid w:val="00802E31"/>
    <w:rsid w:val="0080307D"/>
    <w:rsid w:val="008033F0"/>
    <w:rsid w:val="00803E80"/>
    <w:rsid w:val="00804201"/>
    <w:rsid w:val="00804242"/>
    <w:rsid w:val="00805027"/>
    <w:rsid w:val="0080517B"/>
    <w:rsid w:val="00805212"/>
    <w:rsid w:val="008059F0"/>
    <w:rsid w:val="00806B58"/>
    <w:rsid w:val="0080719B"/>
    <w:rsid w:val="00811158"/>
    <w:rsid w:val="008111FF"/>
    <w:rsid w:val="008139A2"/>
    <w:rsid w:val="00814B10"/>
    <w:rsid w:val="00815517"/>
    <w:rsid w:val="008158AE"/>
    <w:rsid w:val="00815D78"/>
    <w:rsid w:val="00817D18"/>
    <w:rsid w:val="00820B16"/>
    <w:rsid w:val="00821ACA"/>
    <w:rsid w:val="00823C6F"/>
    <w:rsid w:val="00824022"/>
    <w:rsid w:val="0082427E"/>
    <w:rsid w:val="0082522C"/>
    <w:rsid w:val="00825E75"/>
    <w:rsid w:val="00826835"/>
    <w:rsid w:val="00826CD7"/>
    <w:rsid w:val="00827A11"/>
    <w:rsid w:val="008312B3"/>
    <w:rsid w:val="008315F0"/>
    <w:rsid w:val="008316C5"/>
    <w:rsid w:val="00832002"/>
    <w:rsid w:val="008332B1"/>
    <w:rsid w:val="008332DA"/>
    <w:rsid w:val="0083333B"/>
    <w:rsid w:val="008334BE"/>
    <w:rsid w:val="008334D4"/>
    <w:rsid w:val="00833922"/>
    <w:rsid w:val="00834445"/>
    <w:rsid w:val="008369AE"/>
    <w:rsid w:val="0084023B"/>
    <w:rsid w:val="008402EC"/>
    <w:rsid w:val="00841044"/>
    <w:rsid w:val="0084160D"/>
    <w:rsid w:val="00841A07"/>
    <w:rsid w:val="0084231F"/>
    <w:rsid w:val="00842606"/>
    <w:rsid w:val="008438AB"/>
    <w:rsid w:val="00843DB6"/>
    <w:rsid w:val="00845434"/>
    <w:rsid w:val="008460B6"/>
    <w:rsid w:val="00847974"/>
    <w:rsid w:val="00847AD5"/>
    <w:rsid w:val="00847BBD"/>
    <w:rsid w:val="00847FDC"/>
    <w:rsid w:val="008501B9"/>
    <w:rsid w:val="0085096C"/>
    <w:rsid w:val="008512A6"/>
    <w:rsid w:val="008531DF"/>
    <w:rsid w:val="008538B0"/>
    <w:rsid w:val="00853BC9"/>
    <w:rsid w:val="00854DDE"/>
    <w:rsid w:val="00856359"/>
    <w:rsid w:val="00856436"/>
    <w:rsid w:val="008564EC"/>
    <w:rsid w:val="008572FF"/>
    <w:rsid w:val="008605FF"/>
    <w:rsid w:val="00860AF5"/>
    <w:rsid w:val="00860F89"/>
    <w:rsid w:val="008611C2"/>
    <w:rsid w:val="0086124D"/>
    <w:rsid w:val="008622D2"/>
    <w:rsid w:val="00863E40"/>
    <w:rsid w:val="00863FFD"/>
    <w:rsid w:val="0086441F"/>
    <w:rsid w:val="00864FBD"/>
    <w:rsid w:val="00865278"/>
    <w:rsid w:val="00865CE5"/>
    <w:rsid w:val="00866978"/>
    <w:rsid w:val="00866D83"/>
    <w:rsid w:val="00866F6E"/>
    <w:rsid w:val="00866FF3"/>
    <w:rsid w:val="008671B2"/>
    <w:rsid w:val="00867763"/>
    <w:rsid w:val="008701A9"/>
    <w:rsid w:val="00870F56"/>
    <w:rsid w:val="00871CB2"/>
    <w:rsid w:val="00872196"/>
    <w:rsid w:val="008735BB"/>
    <w:rsid w:val="00873836"/>
    <w:rsid w:val="008743EC"/>
    <w:rsid w:val="008818E4"/>
    <w:rsid w:val="00881CE6"/>
    <w:rsid w:val="00881FCA"/>
    <w:rsid w:val="00882827"/>
    <w:rsid w:val="00882DBC"/>
    <w:rsid w:val="0088316E"/>
    <w:rsid w:val="008832D0"/>
    <w:rsid w:val="00883654"/>
    <w:rsid w:val="00883D9F"/>
    <w:rsid w:val="00884011"/>
    <w:rsid w:val="00884ADF"/>
    <w:rsid w:val="00885061"/>
    <w:rsid w:val="008851D8"/>
    <w:rsid w:val="00885F31"/>
    <w:rsid w:val="00885F93"/>
    <w:rsid w:val="0088609D"/>
    <w:rsid w:val="00886187"/>
    <w:rsid w:val="00886698"/>
    <w:rsid w:val="00886F3D"/>
    <w:rsid w:val="0088773A"/>
    <w:rsid w:val="00887B4F"/>
    <w:rsid w:val="0089067F"/>
    <w:rsid w:val="00891698"/>
    <w:rsid w:val="008921B0"/>
    <w:rsid w:val="0089275A"/>
    <w:rsid w:val="00892A93"/>
    <w:rsid w:val="00893201"/>
    <w:rsid w:val="00894241"/>
    <w:rsid w:val="00894291"/>
    <w:rsid w:val="00895B85"/>
    <w:rsid w:val="00897885"/>
    <w:rsid w:val="008978B1"/>
    <w:rsid w:val="008A1273"/>
    <w:rsid w:val="008A157A"/>
    <w:rsid w:val="008A1D74"/>
    <w:rsid w:val="008A29AE"/>
    <w:rsid w:val="008A2A85"/>
    <w:rsid w:val="008A3E7B"/>
    <w:rsid w:val="008A4743"/>
    <w:rsid w:val="008A4A8A"/>
    <w:rsid w:val="008A624B"/>
    <w:rsid w:val="008A71C2"/>
    <w:rsid w:val="008B03BC"/>
    <w:rsid w:val="008B0CF1"/>
    <w:rsid w:val="008B0F15"/>
    <w:rsid w:val="008B47FE"/>
    <w:rsid w:val="008B51AA"/>
    <w:rsid w:val="008B70BE"/>
    <w:rsid w:val="008C0DA8"/>
    <w:rsid w:val="008C0E7E"/>
    <w:rsid w:val="008C2597"/>
    <w:rsid w:val="008C2BB7"/>
    <w:rsid w:val="008C2E44"/>
    <w:rsid w:val="008C3F20"/>
    <w:rsid w:val="008C417B"/>
    <w:rsid w:val="008C45EB"/>
    <w:rsid w:val="008C5CC3"/>
    <w:rsid w:val="008C6E81"/>
    <w:rsid w:val="008C76BB"/>
    <w:rsid w:val="008C78C9"/>
    <w:rsid w:val="008C7A9C"/>
    <w:rsid w:val="008C7F05"/>
    <w:rsid w:val="008D0621"/>
    <w:rsid w:val="008D090B"/>
    <w:rsid w:val="008D24A9"/>
    <w:rsid w:val="008D3398"/>
    <w:rsid w:val="008D37CA"/>
    <w:rsid w:val="008D3C1A"/>
    <w:rsid w:val="008D5C2E"/>
    <w:rsid w:val="008E03B2"/>
    <w:rsid w:val="008E0912"/>
    <w:rsid w:val="008E12B4"/>
    <w:rsid w:val="008E23FE"/>
    <w:rsid w:val="008E32B6"/>
    <w:rsid w:val="008E5548"/>
    <w:rsid w:val="008E57E8"/>
    <w:rsid w:val="008E5C92"/>
    <w:rsid w:val="008E6CAA"/>
    <w:rsid w:val="008E6EBE"/>
    <w:rsid w:val="008F0814"/>
    <w:rsid w:val="008F1B11"/>
    <w:rsid w:val="008F2384"/>
    <w:rsid w:val="008F3A69"/>
    <w:rsid w:val="008F40A4"/>
    <w:rsid w:val="008F4384"/>
    <w:rsid w:val="008F4A6B"/>
    <w:rsid w:val="008F5312"/>
    <w:rsid w:val="008F5965"/>
    <w:rsid w:val="008F5D17"/>
    <w:rsid w:val="008F6101"/>
    <w:rsid w:val="008F64C4"/>
    <w:rsid w:val="008F64F5"/>
    <w:rsid w:val="008F6ABD"/>
    <w:rsid w:val="00900787"/>
    <w:rsid w:val="00900943"/>
    <w:rsid w:val="00900C2B"/>
    <w:rsid w:val="00901437"/>
    <w:rsid w:val="00901D07"/>
    <w:rsid w:val="00902603"/>
    <w:rsid w:val="009029B5"/>
    <w:rsid w:val="00902A63"/>
    <w:rsid w:val="00903D77"/>
    <w:rsid w:val="00904463"/>
    <w:rsid w:val="00904951"/>
    <w:rsid w:val="00904B8F"/>
    <w:rsid w:val="0090712E"/>
    <w:rsid w:val="009071DE"/>
    <w:rsid w:val="0090761E"/>
    <w:rsid w:val="0090786E"/>
    <w:rsid w:val="009101DF"/>
    <w:rsid w:val="0091068E"/>
    <w:rsid w:val="00910A83"/>
    <w:rsid w:val="00910AB3"/>
    <w:rsid w:val="00910C93"/>
    <w:rsid w:val="00912780"/>
    <w:rsid w:val="00912FE5"/>
    <w:rsid w:val="00912FED"/>
    <w:rsid w:val="0091335C"/>
    <w:rsid w:val="00913C79"/>
    <w:rsid w:val="009142AE"/>
    <w:rsid w:val="00914601"/>
    <w:rsid w:val="00914A93"/>
    <w:rsid w:val="00914B44"/>
    <w:rsid w:val="00914C33"/>
    <w:rsid w:val="00914C61"/>
    <w:rsid w:val="0091540E"/>
    <w:rsid w:val="00915577"/>
    <w:rsid w:val="00915A52"/>
    <w:rsid w:val="00915B05"/>
    <w:rsid w:val="00915C10"/>
    <w:rsid w:val="00915E5D"/>
    <w:rsid w:val="009163EE"/>
    <w:rsid w:val="00916542"/>
    <w:rsid w:val="009165F8"/>
    <w:rsid w:val="00916741"/>
    <w:rsid w:val="00917CE6"/>
    <w:rsid w:val="00917DC2"/>
    <w:rsid w:val="009211B0"/>
    <w:rsid w:val="00921319"/>
    <w:rsid w:val="00921B5A"/>
    <w:rsid w:val="00922405"/>
    <w:rsid w:val="00925F84"/>
    <w:rsid w:val="0092636B"/>
    <w:rsid w:val="009263AD"/>
    <w:rsid w:val="00926440"/>
    <w:rsid w:val="00926546"/>
    <w:rsid w:val="00926B8D"/>
    <w:rsid w:val="00927196"/>
    <w:rsid w:val="00927E92"/>
    <w:rsid w:val="00931D4F"/>
    <w:rsid w:val="009330AF"/>
    <w:rsid w:val="00934F98"/>
    <w:rsid w:val="00935373"/>
    <w:rsid w:val="00935A3E"/>
    <w:rsid w:val="00935BE3"/>
    <w:rsid w:val="00935F87"/>
    <w:rsid w:val="00937807"/>
    <w:rsid w:val="00937CC7"/>
    <w:rsid w:val="00937D77"/>
    <w:rsid w:val="00937EDD"/>
    <w:rsid w:val="0094026C"/>
    <w:rsid w:val="009405A1"/>
    <w:rsid w:val="00940CDD"/>
    <w:rsid w:val="00941BE6"/>
    <w:rsid w:val="009421FA"/>
    <w:rsid w:val="00942F2B"/>
    <w:rsid w:val="009436BF"/>
    <w:rsid w:val="00943851"/>
    <w:rsid w:val="00944183"/>
    <w:rsid w:val="00945648"/>
    <w:rsid w:val="00945AEE"/>
    <w:rsid w:val="00945D55"/>
    <w:rsid w:val="00946138"/>
    <w:rsid w:val="00947533"/>
    <w:rsid w:val="0094754E"/>
    <w:rsid w:val="009508B2"/>
    <w:rsid w:val="00953443"/>
    <w:rsid w:val="009556DA"/>
    <w:rsid w:val="0095633D"/>
    <w:rsid w:val="00956AE3"/>
    <w:rsid w:val="00956AF3"/>
    <w:rsid w:val="00957314"/>
    <w:rsid w:val="009600D6"/>
    <w:rsid w:val="0096021B"/>
    <w:rsid w:val="0096041B"/>
    <w:rsid w:val="009604EB"/>
    <w:rsid w:val="00960F14"/>
    <w:rsid w:val="009611AC"/>
    <w:rsid w:val="00963149"/>
    <w:rsid w:val="0096413E"/>
    <w:rsid w:val="0096512F"/>
    <w:rsid w:val="009662F1"/>
    <w:rsid w:val="009664E1"/>
    <w:rsid w:val="00970FBA"/>
    <w:rsid w:val="00971FA2"/>
    <w:rsid w:val="00974134"/>
    <w:rsid w:val="009753B9"/>
    <w:rsid w:val="00977168"/>
    <w:rsid w:val="009802D6"/>
    <w:rsid w:val="00980523"/>
    <w:rsid w:val="009805A9"/>
    <w:rsid w:val="009807C5"/>
    <w:rsid w:val="00980F2A"/>
    <w:rsid w:val="009817B0"/>
    <w:rsid w:val="00981A6E"/>
    <w:rsid w:val="00981C28"/>
    <w:rsid w:val="00982329"/>
    <w:rsid w:val="00983368"/>
    <w:rsid w:val="00983BF9"/>
    <w:rsid w:val="00983C64"/>
    <w:rsid w:val="00983D94"/>
    <w:rsid w:val="00983DD9"/>
    <w:rsid w:val="009841DD"/>
    <w:rsid w:val="009843C0"/>
    <w:rsid w:val="009844A9"/>
    <w:rsid w:val="00984BAF"/>
    <w:rsid w:val="0098574A"/>
    <w:rsid w:val="00985DA9"/>
    <w:rsid w:val="00986B79"/>
    <w:rsid w:val="0098706A"/>
    <w:rsid w:val="00987718"/>
    <w:rsid w:val="00990F3D"/>
    <w:rsid w:val="00992231"/>
    <w:rsid w:val="00993033"/>
    <w:rsid w:val="009937B1"/>
    <w:rsid w:val="009952BE"/>
    <w:rsid w:val="00995667"/>
    <w:rsid w:val="0099587B"/>
    <w:rsid w:val="00995B20"/>
    <w:rsid w:val="0099622B"/>
    <w:rsid w:val="0099775D"/>
    <w:rsid w:val="0099799E"/>
    <w:rsid w:val="00997CE3"/>
    <w:rsid w:val="009A12F5"/>
    <w:rsid w:val="009A1A57"/>
    <w:rsid w:val="009A1AB2"/>
    <w:rsid w:val="009A26DE"/>
    <w:rsid w:val="009A4BCC"/>
    <w:rsid w:val="009A4E79"/>
    <w:rsid w:val="009A74B1"/>
    <w:rsid w:val="009B03C4"/>
    <w:rsid w:val="009B1165"/>
    <w:rsid w:val="009B18B6"/>
    <w:rsid w:val="009B446D"/>
    <w:rsid w:val="009B5AAA"/>
    <w:rsid w:val="009B7683"/>
    <w:rsid w:val="009C10AB"/>
    <w:rsid w:val="009C153C"/>
    <w:rsid w:val="009C1956"/>
    <w:rsid w:val="009C26D5"/>
    <w:rsid w:val="009C2BA4"/>
    <w:rsid w:val="009C35DE"/>
    <w:rsid w:val="009C39CB"/>
    <w:rsid w:val="009C427D"/>
    <w:rsid w:val="009C4737"/>
    <w:rsid w:val="009C4D89"/>
    <w:rsid w:val="009C4E60"/>
    <w:rsid w:val="009C5275"/>
    <w:rsid w:val="009C647A"/>
    <w:rsid w:val="009C6F4C"/>
    <w:rsid w:val="009C7755"/>
    <w:rsid w:val="009C7F3C"/>
    <w:rsid w:val="009D00C8"/>
    <w:rsid w:val="009D023C"/>
    <w:rsid w:val="009D0E87"/>
    <w:rsid w:val="009D1F85"/>
    <w:rsid w:val="009D2370"/>
    <w:rsid w:val="009D2612"/>
    <w:rsid w:val="009D3970"/>
    <w:rsid w:val="009D6AEC"/>
    <w:rsid w:val="009D74E6"/>
    <w:rsid w:val="009D7ABD"/>
    <w:rsid w:val="009E0244"/>
    <w:rsid w:val="009E2FB2"/>
    <w:rsid w:val="009E3367"/>
    <w:rsid w:val="009E3615"/>
    <w:rsid w:val="009E47D5"/>
    <w:rsid w:val="009E4A14"/>
    <w:rsid w:val="009E4BB3"/>
    <w:rsid w:val="009E5014"/>
    <w:rsid w:val="009E51AA"/>
    <w:rsid w:val="009E5489"/>
    <w:rsid w:val="009E5929"/>
    <w:rsid w:val="009E6551"/>
    <w:rsid w:val="009E65F7"/>
    <w:rsid w:val="009E6FD6"/>
    <w:rsid w:val="009E751E"/>
    <w:rsid w:val="009F03A1"/>
    <w:rsid w:val="009F12FC"/>
    <w:rsid w:val="009F2811"/>
    <w:rsid w:val="009F3CBB"/>
    <w:rsid w:val="009F49B1"/>
    <w:rsid w:val="009F4B9E"/>
    <w:rsid w:val="009F520C"/>
    <w:rsid w:val="009F5BEE"/>
    <w:rsid w:val="009F694A"/>
    <w:rsid w:val="009F78FC"/>
    <w:rsid w:val="009F7946"/>
    <w:rsid w:val="009F7DE6"/>
    <w:rsid w:val="009F7E90"/>
    <w:rsid w:val="00A00F67"/>
    <w:rsid w:val="00A015A8"/>
    <w:rsid w:val="00A01602"/>
    <w:rsid w:val="00A0260B"/>
    <w:rsid w:val="00A026AD"/>
    <w:rsid w:val="00A0278D"/>
    <w:rsid w:val="00A02C77"/>
    <w:rsid w:val="00A02FD1"/>
    <w:rsid w:val="00A035FE"/>
    <w:rsid w:val="00A04AE3"/>
    <w:rsid w:val="00A062E1"/>
    <w:rsid w:val="00A06EFD"/>
    <w:rsid w:val="00A06F99"/>
    <w:rsid w:val="00A111B7"/>
    <w:rsid w:val="00A11742"/>
    <w:rsid w:val="00A11966"/>
    <w:rsid w:val="00A1335C"/>
    <w:rsid w:val="00A13379"/>
    <w:rsid w:val="00A14405"/>
    <w:rsid w:val="00A1451B"/>
    <w:rsid w:val="00A14F41"/>
    <w:rsid w:val="00A17939"/>
    <w:rsid w:val="00A17C37"/>
    <w:rsid w:val="00A20014"/>
    <w:rsid w:val="00A2143A"/>
    <w:rsid w:val="00A22D0D"/>
    <w:rsid w:val="00A22EC0"/>
    <w:rsid w:val="00A24394"/>
    <w:rsid w:val="00A24482"/>
    <w:rsid w:val="00A24CF5"/>
    <w:rsid w:val="00A2501F"/>
    <w:rsid w:val="00A25250"/>
    <w:rsid w:val="00A25C77"/>
    <w:rsid w:val="00A26031"/>
    <w:rsid w:val="00A26862"/>
    <w:rsid w:val="00A26BB8"/>
    <w:rsid w:val="00A26CB1"/>
    <w:rsid w:val="00A26FA0"/>
    <w:rsid w:val="00A27652"/>
    <w:rsid w:val="00A304FF"/>
    <w:rsid w:val="00A30EDF"/>
    <w:rsid w:val="00A32722"/>
    <w:rsid w:val="00A33649"/>
    <w:rsid w:val="00A33B2B"/>
    <w:rsid w:val="00A33C12"/>
    <w:rsid w:val="00A33ED4"/>
    <w:rsid w:val="00A3458B"/>
    <w:rsid w:val="00A3538E"/>
    <w:rsid w:val="00A353A8"/>
    <w:rsid w:val="00A353AD"/>
    <w:rsid w:val="00A36392"/>
    <w:rsid w:val="00A36C53"/>
    <w:rsid w:val="00A407E7"/>
    <w:rsid w:val="00A4297B"/>
    <w:rsid w:val="00A4346D"/>
    <w:rsid w:val="00A435CB"/>
    <w:rsid w:val="00A4399E"/>
    <w:rsid w:val="00A43ADC"/>
    <w:rsid w:val="00A440E9"/>
    <w:rsid w:val="00A44A6E"/>
    <w:rsid w:val="00A45974"/>
    <w:rsid w:val="00A46366"/>
    <w:rsid w:val="00A46FD7"/>
    <w:rsid w:val="00A4712F"/>
    <w:rsid w:val="00A5095B"/>
    <w:rsid w:val="00A51957"/>
    <w:rsid w:val="00A51ADC"/>
    <w:rsid w:val="00A52662"/>
    <w:rsid w:val="00A52966"/>
    <w:rsid w:val="00A52A1F"/>
    <w:rsid w:val="00A5346A"/>
    <w:rsid w:val="00A53D7A"/>
    <w:rsid w:val="00A54CB9"/>
    <w:rsid w:val="00A54F9A"/>
    <w:rsid w:val="00A55A5C"/>
    <w:rsid w:val="00A55B4B"/>
    <w:rsid w:val="00A55C4B"/>
    <w:rsid w:val="00A5648F"/>
    <w:rsid w:val="00A573BB"/>
    <w:rsid w:val="00A6013C"/>
    <w:rsid w:val="00A60A8C"/>
    <w:rsid w:val="00A611CA"/>
    <w:rsid w:val="00A61F18"/>
    <w:rsid w:val="00A62A85"/>
    <w:rsid w:val="00A638AE"/>
    <w:rsid w:val="00A642AA"/>
    <w:rsid w:val="00A6432B"/>
    <w:rsid w:val="00A64767"/>
    <w:rsid w:val="00A64EFC"/>
    <w:rsid w:val="00A652C9"/>
    <w:rsid w:val="00A6606C"/>
    <w:rsid w:val="00A67917"/>
    <w:rsid w:val="00A70A78"/>
    <w:rsid w:val="00A711FF"/>
    <w:rsid w:val="00A73636"/>
    <w:rsid w:val="00A7440C"/>
    <w:rsid w:val="00A74501"/>
    <w:rsid w:val="00A745F6"/>
    <w:rsid w:val="00A75225"/>
    <w:rsid w:val="00A7659A"/>
    <w:rsid w:val="00A76D49"/>
    <w:rsid w:val="00A772F6"/>
    <w:rsid w:val="00A77A12"/>
    <w:rsid w:val="00A802E0"/>
    <w:rsid w:val="00A80C9E"/>
    <w:rsid w:val="00A821F9"/>
    <w:rsid w:val="00A82BA0"/>
    <w:rsid w:val="00A8408D"/>
    <w:rsid w:val="00A84249"/>
    <w:rsid w:val="00A868FE"/>
    <w:rsid w:val="00A86E9F"/>
    <w:rsid w:val="00A8735E"/>
    <w:rsid w:val="00A87A38"/>
    <w:rsid w:val="00A921CA"/>
    <w:rsid w:val="00A92CE6"/>
    <w:rsid w:val="00A93740"/>
    <w:rsid w:val="00A94565"/>
    <w:rsid w:val="00A94CCE"/>
    <w:rsid w:val="00A95530"/>
    <w:rsid w:val="00A95F8D"/>
    <w:rsid w:val="00A96385"/>
    <w:rsid w:val="00A9660C"/>
    <w:rsid w:val="00A9665D"/>
    <w:rsid w:val="00A96D40"/>
    <w:rsid w:val="00A96DEF"/>
    <w:rsid w:val="00A973B4"/>
    <w:rsid w:val="00A97FB4"/>
    <w:rsid w:val="00AA069D"/>
    <w:rsid w:val="00AA095A"/>
    <w:rsid w:val="00AA2091"/>
    <w:rsid w:val="00AA2156"/>
    <w:rsid w:val="00AA429D"/>
    <w:rsid w:val="00AA45D8"/>
    <w:rsid w:val="00AA47EF"/>
    <w:rsid w:val="00AA59D7"/>
    <w:rsid w:val="00AA67B0"/>
    <w:rsid w:val="00AA72AB"/>
    <w:rsid w:val="00AA7A6C"/>
    <w:rsid w:val="00AB030A"/>
    <w:rsid w:val="00AB054F"/>
    <w:rsid w:val="00AB1017"/>
    <w:rsid w:val="00AB1530"/>
    <w:rsid w:val="00AB3474"/>
    <w:rsid w:val="00AB34DF"/>
    <w:rsid w:val="00AB3642"/>
    <w:rsid w:val="00AB372A"/>
    <w:rsid w:val="00AB381E"/>
    <w:rsid w:val="00AB4A6C"/>
    <w:rsid w:val="00AB535F"/>
    <w:rsid w:val="00AB70A4"/>
    <w:rsid w:val="00AB7994"/>
    <w:rsid w:val="00AB7B5F"/>
    <w:rsid w:val="00AC069C"/>
    <w:rsid w:val="00AC1701"/>
    <w:rsid w:val="00AC1DA2"/>
    <w:rsid w:val="00AC256D"/>
    <w:rsid w:val="00AC259F"/>
    <w:rsid w:val="00AC36D4"/>
    <w:rsid w:val="00AC395F"/>
    <w:rsid w:val="00AC3ACC"/>
    <w:rsid w:val="00AC47AC"/>
    <w:rsid w:val="00AC52E7"/>
    <w:rsid w:val="00AC5FA6"/>
    <w:rsid w:val="00AC6351"/>
    <w:rsid w:val="00AC670E"/>
    <w:rsid w:val="00AC7785"/>
    <w:rsid w:val="00AD0376"/>
    <w:rsid w:val="00AD068B"/>
    <w:rsid w:val="00AD086F"/>
    <w:rsid w:val="00AD1F64"/>
    <w:rsid w:val="00AD41B7"/>
    <w:rsid w:val="00AD46DC"/>
    <w:rsid w:val="00AD4D01"/>
    <w:rsid w:val="00AD520E"/>
    <w:rsid w:val="00AD53C6"/>
    <w:rsid w:val="00AD66A8"/>
    <w:rsid w:val="00AD6734"/>
    <w:rsid w:val="00AD6B32"/>
    <w:rsid w:val="00AD6CE2"/>
    <w:rsid w:val="00AD6FBE"/>
    <w:rsid w:val="00AD70DC"/>
    <w:rsid w:val="00AE0616"/>
    <w:rsid w:val="00AE0898"/>
    <w:rsid w:val="00AE2154"/>
    <w:rsid w:val="00AE2D63"/>
    <w:rsid w:val="00AE2E3E"/>
    <w:rsid w:val="00AE35C3"/>
    <w:rsid w:val="00AE3910"/>
    <w:rsid w:val="00AE4426"/>
    <w:rsid w:val="00AE4484"/>
    <w:rsid w:val="00AE6865"/>
    <w:rsid w:val="00AE6C48"/>
    <w:rsid w:val="00AE6FCF"/>
    <w:rsid w:val="00AE7E88"/>
    <w:rsid w:val="00AE7F29"/>
    <w:rsid w:val="00AF0885"/>
    <w:rsid w:val="00AF0D53"/>
    <w:rsid w:val="00AF15CF"/>
    <w:rsid w:val="00AF18B8"/>
    <w:rsid w:val="00AF259A"/>
    <w:rsid w:val="00AF3777"/>
    <w:rsid w:val="00AF4685"/>
    <w:rsid w:val="00AF48D8"/>
    <w:rsid w:val="00AF571F"/>
    <w:rsid w:val="00AF7A98"/>
    <w:rsid w:val="00B003B8"/>
    <w:rsid w:val="00B01170"/>
    <w:rsid w:val="00B016CB"/>
    <w:rsid w:val="00B01A6D"/>
    <w:rsid w:val="00B01B8B"/>
    <w:rsid w:val="00B0249F"/>
    <w:rsid w:val="00B03686"/>
    <w:rsid w:val="00B053BD"/>
    <w:rsid w:val="00B061AB"/>
    <w:rsid w:val="00B0738D"/>
    <w:rsid w:val="00B11F1C"/>
    <w:rsid w:val="00B121BE"/>
    <w:rsid w:val="00B12C6B"/>
    <w:rsid w:val="00B13307"/>
    <w:rsid w:val="00B13370"/>
    <w:rsid w:val="00B137AE"/>
    <w:rsid w:val="00B13994"/>
    <w:rsid w:val="00B14451"/>
    <w:rsid w:val="00B1583B"/>
    <w:rsid w:val="00B16BA1"/>
    <w:rsid w:val="00B176A5"/>
    <w:rsid w:val="00B17719"/>
    <w:rsid w:val="00B179E8"/>
    <w:rsid w:val="00B17BF9"/>
    <w:rsid w:val="00B208B3"/>
    <w:rsid w:val="00B20A37"/>
    <w:rsid w:val="00B228CC"/>
    <w:rsid w:val="00B22ADA"/>
    <w:rsid w:val="00B22C0A"/>
    <w:rsid w:val="00B22FE8"/>
    <w:rsid w:val="00B23327"/>
    <w:rsid w:val="00B241B2"/>
    <w:rsid w:val="00B250CB"/>
    <w:rsid w:val="00B25CFE"/>
    <w:rsid w:val="00B26777"/>
    <w:rsid w:val="00B26C67"/>
    <w:rsid w:val="00B2786A"/>
    <w:rsid w:val="00B27A99"/>
    <w:rsid w:val="00B304C4"/>
    <w:rsid w:val="00B31458"/>
    <w:rsid w:val="00B3292E"/>
    <w:rsid w:val="00B32BB2"/>
    <w:rsid w:val="00B3307F"/>
    <w:rsid w:val="00B33977"/>
    <w:rsid w:val="00B34E49"/>
    <w:rsid w:val="00B3601E"/>
    <w:rsid w:val="00B37D7E"/>
    <w:rsid w:val="00B40528"/>
    <w:rsid w:val="00B405E1"/>
    <w:rsid w:val="00B41623"/>
    <w:rsid w:val="00B434CC"/>
    <w:rsid w:val="00B4382B"/>
    <w:rsid w:val="00B43A44"/>
    <w:rsid w:val="00B444D8"/>
    <w:rsid w:val="00B44D9D"/>
    <w:rsid w:val="00B45257"/>
    <w:rsid w:val="00B45869"/>
    <w:rsid w:val="00B45A74"/>
    <w:rsid w:val="00B4676E"/>
    <w:rsid w:val="00B46F91"/>
    <w:rsid w:val="00B50FF6"/>
    <w:rsid w:val="00B517E3"/>
    <w:rsid w:val="00B51B6C"/>
    <w:rsid w:val="00B5208E"/>
    <w:rsid w:val="00B5225B"/>
    <w:rsid w:val="00B52D61"/>
    <w:rsid w:val="00B540CE"/>
    <w:rsid w:val="00B560D0"/>
    <w:rsid w:val="00B56829"/>
    <w:rsid w:val="00B56B35"/>
    <w:rsid w:val="00B6118E"/>
    <w:rsid w:val="00B61D47"/>
    <w:rsid w:val="00B61DA2"/>
    <w:rsid w:val="00B61DB9"/>
    <w:rsid w:val="00B648D6"/>
    <w:rsid w:val="00B64D9A"/>
    <w:rsid w:val="00B64F3A"/>
    <w:rsid w:val="00B652DD"/>
    <w:rsid w:val="00B66EF8"/>
    <w:rsid w:val="00B67CE6"/>
    <w:rsid w:val="00B704A4"/>
    <w:rsid w:val="00B71365"/>
    <w:rsid w:val="00B7232C"/>
    <w:rsid w:val="00B72BCE"/>
    <w:rsid w:val="00B738F6"/>
    <w:rsid w:val="00B74247"/>
    <w:rsid w:val="00B7540A"/>
    <w:rsid w:val="00B75CFB"/>
    <w:rsid w:val="00B75FB2"/>
    <w:rsid w:val="00B760BA"/>
    <w:rsid w:val="00B7616A"/>
    <w:rsid w:val="00B765A0"/>
    <w:rsid w:val="00B769BF"/>
    <w:rsid w:val="00B76B79"/>
    <w:rsid w:val="00B776BD"/>
    <w:rsid w:val="00B77D8A"/>
    <w:rsid w:val="00B80002"/>
    <w:rsid w:val="00B802F5"/>
    <w:rsid w:val="00B80C14"/>
    <w:rsid w:val="00B81514"/>
    <w:rsid w:val="00B819C8"/>
    <w:rsid w:val="00B82589"/>
    <w:rsid w:val="00B82699"/>
    <w:rsid w:val="00B82D72"/>
    <w:rsid w:val="00B834F8"/>
    <w:rsid w:val="00B83B1D"/>
    <w:rsid w:val="00B83D4C"/>
    <w:rsid w:val="00B84517"/>
    <w:rsid w:val="00B849A2"/>
    <w:rsid w:val="00B84F15"/>
    <w:rsid w:val="00B85614"/>
    <w:rsid w:val="00B858B9"/>
    <w:rsid w:val="00B87333"/>
    <w:rsid w:val="00B87617"/>
    <w:rsid w:val="00B90416"/>
    <w:rsid w:val="00B90A2B"/>
    <w:rsid w:val="00B91B4A"/>
    <w:rsid w:val="00B9256F"/>
    <w:rsid w:val="00B92827"/>
    <w:rsid w:val="00B9353F"/>
    <w:rsid w:val="00B9363B"/>
    <w:rsid w:val="00B943A4"/>
    <w:rsid w:val="00B950B0"/>
    <w:rsid w:val="00B95C77"/>
    <w:rsid w:val="00B95D21"/>
    <w:rsid w:val="00B96166"/>
    <w:rsid w:val="00B964C4"/>
    <w:rsid w:val="00B96DFD"/>
    <w:rsid w:val="00B9770F"/>
    <w:rsid w:val="00B97D0C"/>
    <w:rsid w:val="00BA01EB"/>
    <w:rsid w:val="00BA0894"/>
    <w:rsid w:val="00BA0CE3"/>
    <w:rsid w:val="00BA0EF1"/>
    <w:rsid w:val="00BA3C47"/>
    <w:rsid w:val="00BA404C"/>
    <w:rsid w:val="00BA43A5"/>
    <w:rsid w:val="00BA59D7"/>
    <w:rsid w:val="00BA6002"/>
    <w:rsid w:val="00BA6547"/>
    <w:rsid w:val="00BA6CCF"/>
    <w:rsid w:val="00BA6D3C"/>
    <w:rsid w:val="00BA7A62"/>
    <w:rsid w:val="00BB0111"/>
    <w:rsid w:val="00BB1507"/>
    <w:rsid w:val="00BB2869"/>
    <w:rsid w:val="00BB353D"/>
    <w:rsid w:val="00BB383C"/>
    <w:rsid w:val="00BB3A23"/>
    <w:rsid w:val="00BB4026"/>
    <w:rsid w:val="00BB428E"/>
    <w:rsid w:val="00BB4783"/>
    <w:rsid w:val="00BB4ACB"/>
    <w:rsid w:val="00BB602C"/>
    <w:rsid w:val="00BB6962"/>
    <w:rsid w:val="00BB78DB"/>
    <w:rsid w:val="00BC0681"/>
    <w:rsid w:val="00BC12AC"/>
    <w:rsid w:val="00BC164C"/>
    <w:rsid w:val="00BC174D"/>
    <w:rsid w:val="00BC1CFB"/>
    <w:rsid w:val="00BC1F65"/>
    <w:rsid w:val="00BC3369"/>
    <w:rsid w:val="00BC345A"/>
    <w:rsid w:val="00BC3DAE"/>
    <w:rsid w:val="00BC3EEA"/>
    <w:rsid w:val="00BC486E"/>
    <w:rsid w:val="00BC6114"/>
    <w:rsid w:val="00BC677E"/>
    <w:rsid w:val="00BC75E2"/>
    <w:rsid w:val="00BD011E"/>
    <w:rsid w:val="00BD0562"/>
    <w:rsid w:val="00BD0655"/>
    <w:rsid w:val="00BD1067"/>
    <w:rsid w:val="00BD10DB"/>
    <w:rsid w:val="00BD1380"/>
    <w:rsid w:val="00BD1503"/>
    <w:rsid w:val="00BD1FD2"/>
    <w:rsid w:val="00BD250C"/>
    <w:rsid w:val="00BD278C"/>
    <w:rsid w:val="00BD2B9E"/>
    <w:rsid w:val="00BD2FB0"/>
    <w:rsid w:val="00BD3058"/>
    <w:rsid w:val="00BD4511"/>
    <w:rsid w:val="00BD4C90"/>
    <w:rsid w:val="00BD50E5"/>
    <w:rsid w:val="00BD5AB3"/>
    <w:rsid w:val="00BD68A1"/>
    <w:rsid w:val="00BD7355"/>
    <w:rsid w:val="00BD7DFE"/>
    <w:rsid w:val="00BE046B"/>
    <w:rsid w:val="00BE130B"/>
    <w:rsid w:val="00BE16D7"/>
    <w:rsid w:val="00BE27FC"/>
    <w:rsid w:val="00BE3398"/>
    <w:rsid w:val="00BE3CE8"/>
    <w:rsid w:val="00BE5853"/>
    <w:rsid w:val="00BE6348"/>
    <w:rsid w:val="00BE690A"/>
    <w:rsid w:val="00BE6F32"/>
    <w:rsid w:val="00BE72EC"/>
    <w:rsid w:val="00BE78D1"/>
    <w:rsid w:val="00BE7ABB"/>
    <w:rsid w:val="00BE7E2E"/>
    <w:rsid w:val="00BF024E"/>
    <w:rsid w:val="00BF0289"/>
    <w:rsid w:val="00BF1C0C"/>
    <w:rsid w:val="00BF236C"/>
    <w:rsid w:val="00BF25D5"/>
    <w:rsid w:val="00BF2685"/>
    <w:rsid w:val="00BF3B65"/>
    <w:rsid w:val="00BF49E4"/>
    <w:rsid w:val="00BF4CF1"/>
    <w:rsid w:val="00BF5053"/>
    <w:rsid w:val="00BF55E8"/>
    <w:rsid w:val="00BF565B"/>
    <w:rsid w:val="00BF59A4"/>
    <w:rsid w:val="00BF70D6"/>
    <w:rsid w:val="00C00F36"/>
    <w:rsid w:val="00C02C94"/>
    <w:rsid w:val="00C02FD7"/>
    <w:rsid w:val="00C03EFE"/>
    <w:rsid w:val="00C04579"/>
    <w:rsid w:val="00C053EC"/>
    <w:rsid w:val="00C05B23"/>
    <w:rsid w:val="00C06174"/>
    <w:rsid w:val="00C064E6"/>
    <w:rsid w:val="00C073C8"/>
    <w:rsid w:val="00C07A9C"/>
    <w:rsid w:val="00C07E94"/>
    <w:rsid w:val="00C102C1"/>
    <w:rsid w:val="00C10366"/>
    <w:rsid w:val="00C10454"/>
    <w:rsid w:val="00C111CD"/>
    <w:rsid w:val="00C12522"/>
    <w:rsid w:val="00C12C96"/>
    <w:rsid w:val="00C14944"/>
    <w:rsid w:val="00C14A05"/>
    <w:rsid w:val="00C14EF6"/>
    <w:rsid w:val="00C15582"/>
    <w:rsid w:val="00C166AA"/>
    <w:rsid w:val="00C166BD"/>
    <w:rsid w:val="00C16742"/>
    <w:rsid w:val="00C16ADB"/>
    <w:rsid w:val="00C177E8"/>
    <w:rsid w:val="00C21998"/>
    <w:rsid w:val="00C21EDD"/>
    <w:rsid w:val="00C22584"/>
    <w:rsid w:val="00C22E4F"/>
    <w:rsid w:val="00C24DC2"/>
    <w:rsid w:val="00C24FAB"/>
    <w:rsid w:val="00C2538E"/>
    <w:rsid w:val="00C25969"/>
    <w:rsid w:val="00C26409"/>
    <w:rsid w:val="00C26B71"/>
    <w:rsid w:val="00C310A2"/>
    <w:rsid w:val="00C321F1"/>
    <w:rsid w:val="00C32E90"/>
    <w:rsid w:val="00C35B83"/>
    <w:rsid w:val="00C3633E"/>
    <w:rsid w:val="00C36F18"/>
    <w:rsid w:val="00C37948"/>
    <w:rsid w:val="00C415EC"/>
    <w:rsid w:val="00C41F93"/>
    <w:rsid w:val="00C42A97"/>
    <w:rsid w:val="00C42D3F"/>
    <w:rsid w:val="00C44B29"/>
    <w:rsid w:val="00C452E8"/>
    <w:rsid w:val="00C454FA"/>
    <w:rsid w:val="00C4571A"/>
    <w:rsid w:val="00C4585A"/>
    <w:rsid w:val="00C4651E"/>
    <w:rsid w:val="00C4662B"/>
    <w:rsid w:val="00C468A9"/>
    <w:rsid w:val="00C469A5"/>
    <w:rsid w:val="00C47181"/>
    <w:rsid w:val="00C47202"/>
    <w:rsid w:val="00C51217"/>
    <w:rsid w:val="00C51347"/>
    <w:rsid w:val="00C515CE"/>
    <w:rsid w:val="00C520F2"/>
    <w:rsid w:val="00C522B5"/>
    <w:rsid w:val="00C525FA"/>
    <w:rsid w:val="00C527BB"/>
    <w:rsid w:val="00C5295B"/>
    <w:rsid w:val="00C5368B"/>
    <w:rsid w:val="00C5424C"/>
    <w:rsid w:val="00C54539"/>
    <w:rsid w:val="00C55379"/>
    <w:rsid w:val="00C55FDD"/>
    <w:rsid w:val="00C564EB"/>
    <w:rsid w:val="00C56689"/>
    <w:rsid w:val="00C57B7A"/>
    <w:rsid w:val="00C61A38"/>
    <w:rsid w:val="00C63C73"/>
    <w:rsid w:val="00C6440B"/>
    <w:rsid w:val="00C64793"/>
    <w:rsid w:val="00C647F7"/>
    <w:rsid w:val="00C64956"/>
    <w:rsid w:val="00C64BDD"/>
    <w:rsid w:val="00C65339"/>
    <w:rsid w:val="00C65C02"/>
    <w:rsid w:val="00C66665"/>
    <w:rsid w:val="00C70200"/>
    <w:rsid w:val="00C7303B"/>
    <w:rsid w:val="00C73B41"/>
    <w:rsid w:val="00C73C38"/>
    <w:rsid w:val="00C742C7"/>
    <w:rsid w:val="00C74414"/>
    <w:rsid w:val="00C75120"/>
    <w:rsid w:val="00C76E99"/>
    <w:rsid w:val="00C76FBA"/>
    <w:rsid w:val="00C77D48"/>
    <w:rsid w:val="00C805BD"/>
    <w:rsid w:val="00C80771"/>
    <w:rsid w:val="00C80A5B"/>
    <w:rsid w:val="00C80BA5"/>
    <w:rsid w:val="00C81321"/>
    <w:rsid w:val="00C81A1A"/>
    <w:rsid w:val="00C827E9"/>
    <w:rsid w:val="00C838D9"/>
    <w:rsid w:val="00C83BCF"/>
    <w:rsid w:val="00C83EE0"/>
    <w:rsid w:val="00C84C89"/>
    <w:rsid w:val="00C859A3"/>
    <w:rsid w:val="00C85B41"/>
    <w:rsid w:val="00C87A69"/>
    <w:rsid w:val="00C87E70"/>
    <w:rsid w:val="00C90AD3"/>
    <w:rsid w:val="00C90D96"/>
    <w:rsid w:val="00C90E1E"/>
    <w:rsid w:val="00C912BF"/>
    <w:rsid w:val="00C912CE"/>
    <w:rsid w:val="00C91F94"/>
    <w:rsid w:val="00C932B8"/>
    <w:rsid w:val="00C933C4"/>
    <w:rsid w:val="00C9340C"/>
    <w:rsid w:val="00C93B2A"/>
    <w:rsid w:val="00C93CEA"/>
    <w:rsid w:val="00C93EDD"/>
    <w:rsid w:val="00C950EE"/>
    <w:rsid w:val="00C95339"/>
    <w:rsid w:val="00C95E3B"/>
    <w:rsid w:val="00C96C06"/>
    <w:rsid w:val="00CA08B1"/>
    <w:rsid w:val="00CA1F4E"/>
    <w:rsid w:val="00CA2611"/>
    <w:rsid w:val="00CA32F5"/>
    <w:rsid w:val="00CA3723"/>
    <w:rsid w:val="00CA5A7C"/>
    <w:rsid w:val="00CA62AF"/>
    <w:rsid w:val="00CA6CB9"/>
    <w:rsid w:val="00CA77E1"/>
    <w:rsid w:val="00CB0D07"/>
    <w:rsid w:val="00CB1022"/>
    <w:rsid w:val="00CB117A"/>
    <w:rsid w:val="00CB142E"/>
    <w:rsid w:val="00CB1ED4"/>
    <w:rsid w:val="00CB3641"/>
    <w:rsid w:val="00CB3AA1"/>
    <w:rsid w:val="00CB3D55"/>
    <w:rsid w:val="00CB46A8"/>
    <w:rsid w:val="00CB47F6"/>
    <w:rsid w:val="00CB4887"/>
    <w:rsid w:val="00CB5A5A"/>
    <w:rsid w:val="00CB5D5E"/>
    <w:rsid w:val="00CB67C2"/>
    <w:rsid w:val="00CB6CA7"/>
    <w:rsid w:val="00CB71FA"/>
    <w:rsid w:val="00CB779D"/>
    <w:rsid w:val="00CC00C8"/>
    <w:rsid w:val="00CC0960"/>
    <w:rsid w:val="00CC2624"/>
    <w:rsid w:val="00CC2DB1"/>
    <w:rsid w:val="00CC3147"/>
    <w:rsid w:val="00CC3B77"/>
    <w:rsid w:val="00CC556D"/>
    <w:rsid w:val="00CC62D8"/>
    <w:rsid w:val="00CC66DD"/>
    <w:rsid w:val="00CC69C7"/>
    <w:rsid w:val="00CC6BBF"/>
    <w:rsid w:val="00CC73E8"/>
    <w:rsid w:val="00CC7F3C"/>
    <w:rsid w:val="00CD0913"/>
    <w:rsid w:val="00CD0B68"/>
    <w:rsid w:val="00CD141E"/>
    <w:rsid w:val="00CD2004"/>
    <w:rsid w:val="00CD2D64"/>
    <w:rsid w:val="00CD2D68"/>
    <w:rsid w:val="00CD414D"/>
    <w:rsid w:val="00CD4D17"/>
    <w:rsid w:val="00CD656A"/>
    <w:rsid w:val="00CD6645"/>
    <w:rsid w:val="00CD67A7"/>
    <w:rsid w:val="00CD746F"/>
    <w:rsid w:val="00CD7EA3"/>
    <w:rsid w:val="00CE0712"/>
    <w:rsid w:val="00CE1099"/>
    <w:rsid w:val="00CE1811"/>
    <w:rsid w:val="00CE1E37"/>
    <w:rsid w:val="00CE2219"/>
    <w:rsid w:val="00CE2348"/>
    <w:rsid w:val="00CE27A5"/>
    <w:rsid w:val="00CE28B4"/>
    <w:rsid w:val="00CE38FE"/>
    <w:rsid w:val="00CE423B"/>
    <w:rsid w:val="00CE45B0"/>
    <w:rsid w:val="00CE47FE"/>
    <w:rsid w:val="00CE5D8E"/>
    <w:rsid w:val="00CE6900"/>
    <w:rsid w:val="00CE6C52"/>
    <w:rsid w:val="00CF0DCD"/>
    <w:rsid w:val="00CF182E"/>
    <w:rsid w:val="00CF2036"/>
    <w:rsid w:val="00CF2643"/>
    <w:rsid w:val="00CF2A88"/>
    <w:rsid w:val="00CF2D83"/>
    <w:rsid w:val="00CF2F24"/>
    <w:rsid w:val="00CF30AD"/>
    <w:rsid w:val="00CF3D20"/>
    <w:rsid w:val="00CF6008"/>
    <w:rsid w:val="00CF727D"/>
    <w:rsid w:val="00CF72F7"/>
    <w:rsid w:val="00CF73A1"/>
    <w:rsid w:val="00D00564"/>
    <w:rsid w:val="00D008E4"/>
    <w:rsid w:val="00D00BFE"/>
    <w:rsid w:val="00D02C4A"/>
    <w:rsid w:val="00D0336E"/>
    <w:rsid w:val="00D035AB"/>
    <w:rsid w:val="00D04F4B"/>
    <w:rsid w:val="00D05B46"/>
    <w:rsid w:val="00D07244"/>
    <w:rsid w:val="00D10D6A"/>
    <w:rsid w:val="00D10F8E"/>
    <w:rsid w:val="00D11050"/>
    <w:rsid w:val="00D11117"/>
    <w:rsid w:val="00D13B58"/>
    <w:rsid w:val="00D14008"/>
    <w:rsid w:val="00D15E03"/>
    <w:rsid w:val="00D16143"/>
    <w:rsid w:val="00D16655"/>
    <w:rsid w:val="00D1702F"/>
    <w:rsid w:val="00D17434"/>
    <w:rsid w:val="00D1795B"/>
    <w:rsid w:val="00D20129"/>
    <w:rsid w:val="00D20B0A"/>
    <w:rsid w:val="00D20D66"/>
    <w:rsid w:val="00D21786"/>
    <w:rsid w:val="00D22FB3"/>
    <w:rsid w:val="00D23050"/>
    <w:rsid w:val="00D2440F"/>
    <w:rsid w:val="00D24B45"/>
    <w:rsid w:val="00D25ED7"/>
    <w:rsid w:val="00D279E4"/>
    <w:rsid w:val="00D30BA1"/>
    <w:rsid w:val="00D310C2"/>
    <w:rsid w:val="00D31E89"/>
    <w:rsid w:val="00D32BD7"/>
    <w:rsid w:val="00D33FF1"/>
    <w:rsid w:val="00D34295"/>
    <w:rsid w:val="00D34F1D"/>
    <w:rsid w:val="00D35254"/>
    <w:rsid w:val="00D352AC"/>
    <w:rsid w:val="00D36141"/>
    <w:rsid w:val="00D369A2"/>
    <w:rsid w:val="00D36CBB"/>
    <w:rsid w:val="00D36E7D"/>
    <w:rsid w:val="00D37627"/>
    <w:rsid w:val="00D408B4"/>
    <w:rsid w:val="00D41425"/>
    <w:rsid w:val="00D41850"/>
    <w:rsid w:val="00D418BC"/>
    <w:rsid w:val="00D41D9D"/>
    <w:rsid w:val="00D43110"/>
    <w:rsid w:val="00D43543"/>
    <w:rsid w:val="00D43662"/>
    <w:rsid w:val="00D43ED3"/>
    <w:rsid w:val="00D43EE3"/>
    <w:rsid w:val="00D452AE"/>
    <w:rsid w:val="00D459D3"/>
    <w:rsid w:val="00D45BD3"/>
    <w:rsid w:val="00D45F92"/>
    <w:rsid w:val="00D45FA2"/>
    <w:rsid w:val="00D4656A"/>
    <w:rsid w:val="00D47033"/>
    <w:rsid w:val="00D4764C"/>
    <w:rsid w:val="00D47C49"/>
    <w:rsid w:val="00D50AA4"/>
    <w:rsid w:val="00D516CA"/>
    <w:rsid w:val="00D51BC7"/>
    <w:rsid w:val="00D54875"/>
    <w:rsid w:val="00D54ABB"/>
    <w:rsid w:val="00D54EF5"/>
    <w:rsid w:val="00D553FF"/>
    <w:rsid w:val="00D55433"/>
    <w:rsid w:val="00D55CE5"/>
    <w:rsid w:val="00D563FB"/>
    <w:rsid w:val="00D56FAB"/>
    <w:rsid w:val="00D571EA"/>
    <w:rsid w:val="00D57489"/>
    <w:rsid w:val="00D575D9"/>
    <w:rsid w:val="00D57E4A"/>
    <w:rsid w:val="00D60F1B"/>
    <w:rsid w:val="00D61AAE"/>
    <w:rsid w:val="00D61EB0"/>
    <w:rsid w:val="00D62E94"/>
    <w:rsid w:val="00D63BC4"/>
    <w:rsid w:val="00D64FB3"/>
    <w:rsid w:val="00D66331"/>
    <w:rsid w:val="00D67DC2"/>
    <w:rsid w:val="00D67FAA"/>
    <w:rsid w:val="00D707E3"/>
    <w:rsid w:val="00D70BF4"/>
    <w:rsid w:val="00D70CBC"/>
    <w:rsid w:val="00D7221B"/>
    <w:rsid w:val="00D7297D"/>
    <w:rsid w:val="00D730D3"/>
    <w:rsid w:val="00D739DD"/>
    <w:rsid w:val="00D7418D"/>
    <w:rsid w:val="00D765D8"/>
    <w:rsid w:val="00D800C1"/>
    <w:rsid w:val="00D813D6"/>
    <w:rsid w:val="00D819A3"/>
    <w:rsid w:val="00D82E23"/>
    <w:rsid w:val="00D83293"/>
    <w:rsid w:val="00D83E61"/>
    <w:rsid w:val="00D852DE"/>
    <w:rsid w:val="00D86E2A"/>
    <w:rsid w:val="00D87D6A"/>
    <w:rsid w:val="00D9049B"/>
    <w:rsid w:val="00D91F22"/>
    <w:rsid w:val="00D92343"/>
    <w:rsid w:val="00D923B1"/>
    <w:rsid w:val="00D92484"/>
    <w:rsid w:val="00D92CDC"/>
    <w:rsid w:val="00D9452F"/>
    <w:rsid w:val="00D945C4"/>
    <w:rsid w:val="00D948CC"/>
    <w:rsid w:val="00D9580D"/>
    <w:rsid w:val="00D95C3E"/>
    <w:rsid w:val="00D969F0"/>
    <w:rsid w:val="00D97EF2"/>
    <w:rsid w:val="00DA075D"/>
    <w:rsid w:val="00DA098D"/>
    <w:rsid w:val="00DA2406"/>
    <w:rsid w:val="00DA253F"/>
    <w:rsid w:val="00DA3F30"/>
    <w:rsid w:val="00DA4072"/>
    <w:rsid w:val="00DA4365"/>
    <w:rsid w:val="00DA4500"/>
    <w:rsid w:val="00DA5659"/>
    <w:rsid w:val="00DA6567"/>
    <w:rsid w:val="00DA6FB9"/>
    <w:rsid w:val="00DB124A"/>
    <w:rsid w:val="00DB1594"/>
    <w:rsid w:val="00DB1C1F"/>
    <w:rsid w:val="00DB4514"/>
    <w:rsid w:val="00DB4791"/>
    <w:rsid w:val="00DB610A"/>
    <w:rsid w:val="00DB61A9"/>
    <w:rsid w:val="00DB7388"/>
    <w:rsid w:val="00DB7EF0"/>
    <w:rsid w:val="00DC0484"/>
    <w:rsid w:val="00DC066A"/>
    <w:rsid w:val="00DC0A68"/>
    <w:rsid w:val="00DC0AD5"/>
    <w:rsid w:val="00DC0BB3"/>
    <w:rsid w:val="00DC1242"/>
    <w:rsid w:val="00DC1246"/>
    <w:rsid w:val="00DC1751"/>
    <w:rsid w:val="00DC1F5C"/>
    <w:rsid w:val="00DC291E"/>
    <w:rsid w:val="00DC2DDD"/>
    <w:rsid w:val="00DC4FED"/>
    <w:rsid w:val="00DC500D"/>
    <w:rsid w:val="00DC5234"/>
    <w:rsid w:val="00DC541A"/>
    <w:rsid w:val="00DC5E45"/>
    <w:rsid w:val="00DC64D6"/>
    <w:rsid w:val="00DC66DA"/>
    <w:rsid w:val="00DC77FD"/>
    <w:rsid w:val="00DC7BF8"/>
    <w:rsid w:val="00DD079B"/>
    <w:rsid w:val="00DD181C"/>
    <w:rsid w:val="00DD3B8E"/>
    <w:rsid w:val="00DD3EC4"/>
    <w:rsid w:val="00DD4402"/>
    <w:rsid w:val="00DD4451"/>
    <w:rsid w:val="00DD5D06"/>
    <w:rsid w:val="00DD61FA"/>
    <w:rsid w:val="00DD66E1"/>
    <w:rsid w:val="00DD6856"/>
    <w:rsid w:val="00DD6D83"/>
    <w:rsid w:val="00DD7096"/>
    <w:rsid w:val="00DD7423"/>
    <w:rsid w:val="00DD7DF5"/>
    <w:rsid w:val="00DD7FBE"/>
    <w:rsid w:val="00DE0392"/>
    <w:rsid w:val="00DE1AD7"/>
    <w:rsid w:val="00DE1BFF"/>
    <w:rsid w:val="00DE2268"/>
    <w:rsid w:val="00DE2466"/>
    <w:rsid w:val="00DE2E64"/>
    <w:rsid w:val="00DE3514"/>
    <w:rsid w:val="00DE45D3"/>
    <w:rsid w:val="00DE4AA8"/>
    <w:rsid w:val="00DE4D00"/>
    <w:rsid w:val="00DE4D52"/>
    <w:rsid w:val="00DE5112"/>
    <w:rsid w:val="00DE597A"/>
    <w:rsid w:val="00DE5AC8"/>
    <w:rsid w:val="00DE5E2D"/>
    <w:rsid w:val="00DE608B"/>
    <w:rsid w:val="00DE6653"/>
    <w:rsid w:val="00DE783F"/>
    <w:rsid w:val="00DE7D59"/>
    <w:rsid w:val="00DF06E9"/>
    <w:rsid w:val="00DF08F9"/>
    <w:rsid w:val="00DF0FA8"/>
    <w:rsid w:val="00DF1297"/>
    <w:rsid w:val="00DF158D"/>
    <w:rsid w:val="00DF1A74"/>
    <w:rsid w:val="00DF24EB"/>
    <w:rsid w:val="00DF2C7B"/>
    <w:rsid w:val="00DF3289"/>
    <w:rsid w:val="00DF37EA"/>
    <w:rsid w:val="00DF3D18"/>
    <w:rsid w:val="00DF50BA"/>
    <w:rsid w:val="00DF6B0B"/>
    <w:rsid w:val="00DF715E"/>
    <w:rsid w:val="00DF75BB"/>
    <w:rsid w:val="00DF78A3"/>
    <w:rsid w:val="00DF7CB9"/>
    <w:rsid w:val="00E00EDD"/>
    <w:rsid w:val="00E018D4"/>
    <w:rsid w:val="00E01CDE"/>
    <w:rsid w:val="00E02D75"/>
    <w:rsid w:val="00E0347E"/>
    <w:rsid w:val="00E0375C"/>
    <w:rsid w:val="00E043BB"/>
    <w:rsid w:val="00E044CD"/>
    <w:rsid w:val="00E04EF3"/>
    <w:rsid w:val="00E0519C"/>
    <w:rsid w:val="00E0619C"/>
    <w:rsid w:val="00E07929"/>
    <w:rsid w:val="00E07A02"/>
    <w:rsid w:val="00E11A46"/>
    <w:rsid w:val="00E11DEE"/>
    <w:rsid w:val="00E1233B"/>
    <w:rsid w:val="00E1275A"/>
    <w:rsid w:val="00E12DB4"/>
    <w:rsid w:val="00E13513"/>
    <w:rsid w:val="00E137D7"/>
    <w:rsid w:val="00E1407F"/>
    <w:rsid w:val="00E1419A"/>
    <w:rsid w:val="00E14DC0"/>
    <w:rsid w:val="00E15175"/>
    <w:rsid w:val="00E16630"/>
    <w:rsid w:val="00E166B8"/>
    <w:rsid w:val="00E1676C"/>
    <w:rsid w:val="00E16939"/>
    <w:rsid w:val="00E16AD1"/>
    <w:rsid w:val="00E16D39"/>
    <w:rsid w:val="00E17123"/>
    <w:rsid w:val="00E1790D"/>
    <w:rsid w:val="00E20E6D"/>
    <w:rsid w:val="00E21D24"/>
    <w:rsid w:val="00E221BF"/>
    <w:rsid w:val="00E22DA2"/>
    <w:rsid w:val="00E2301E"/>
    <w:rsid w:val="00E2351E"/>
    <w:rsid w:val="00E23B18"/>
    <w:rsid w:val="00E246E8"/>
    <w:rsid w:val="00E26FE7"/>
    <w:rsid w:val="00E2790A"/>
    <w:rsid w:val="00E27B43"/>
    <w:rsid w:val="00E301A2"/>
    <w:rsid w:val="00E30357"/>
    <w:rsid w:val="00E310A4"/>
    <w:rsid w:val="00E333D8"/>
    <w:rsid w:val="00E3519C"/>
    <w:rsid w:val="00E36EF6"/>
    <w:rsid w:val="00E4008F"/>
    <w:rsid w:val="00E40ABB"/>
    <w:rsid w:val="00E40E74"/>
    <w:rsid w:val="00E41647"/>
    <w:rsid w:val="00E41EA6"/>
    <w:rsid w:val="00E427D8"/>
    <w:rsid w:val="00E43D1D"/>
    <w:rsid w:val="00E44BCB"/>
    <w:rsid w:val="00E45BDC"/>
    <w:rsid w:val="00E4753B"/>
    <w:rsid w:val="00E47863"/>
    <w:rsid w:val="00E50305"/>
    <w:rsid w:val="00E50454"/>
    <w:rsid w:val="00E50920"/>
    <w:rsid w:val="00E510A9"/>
    <w:rsid w:val="00E51D7D"/>
    <w:rsid w:val="00E51F63"/>
    <w:rsid w:val="00E52B07"/>
    <w:rsid w:val="00E530D6"/>
    <w:rsid w:val="00E54211"/>
    <w:rsid w:val="00E54C2A"/>
    <w:rsid w:val="00E54DBA"/>
    <w:rsid w:val="00E560A2"/>
    <w:rsid w:val="00E57121"/>
    <w:rsid w:val="00E575BA"/>
    <w:rsid w:val="00E57681"/>
    <w:rsid w:val="00E6054E"/>
    <w:rsid w:val="00E60ACD"/>
    <w:rsid w:val="00E610CC"/>
    <w:rsid w:val="00E6172A"/>
    <w:rsid w:val="00E61860"/>
    <w:rsid w:val="00E61EAB"/>
    <w:rsid w:val="00E6216C"/>
    <w:rsid w:val="00E6295B"/>
    <w:rsid w:val="00E63CD6"/>
    <w:rsid w:val="00E649CD"/>
    <w:rsid w:val="00E64E05"/>
    <w:rsid w:val="00E655B0"/>
    <w:rsid w:val="00E67229"/>
    <w:rsid w:val="00E674E7"/>
    <w:rsid w:val="00E67E85"/>
    <w:rsid w:val="00E70781"/>
    <w:rsid w:val="00E70E9F"/>
    <w:rsid w:val="00E7116A"/>
    <w:rsid w:val="00E71231"/>
    <w:rsid w:val="00E71D6F"/>
    <w:rsid w:val="00E728D5"/>
    <w:rsid w:val="00E738D8"/>
    <w:rsid w:val="00E73BE1"/>
    <w:rsid w:val="00E75982"/>
    <w:rsid w:val="00E7798D"/>
    <w:rsid w:val="00E819C6"/>
    <w:rsid w:val="00E82769"/>
    <w:rsid w:val="00E828AA"/>
    <w:rsid w:val="00E8353F"/>
    <w:rsid w:val="00E83695"/>
    <w:rsid w:val="00E84415"/>
    <w:rsid w:val="00E8444D"/>
    <w:rsid w:val="00E8446B"/>
    <w:rsid w:val="00E84A1B"/>
    <w:rsid w:val="00E850EE"/>
    <w:rsid w:val="00E8597F"/>
    <w:rsid w:val="00E86361"/>
    <w:rsid w:val="00E86CAD"/>
    <w:rsid w:val="00E87B8A"/>
    <w:rsid w:val="00E87F2E"/>
    <w:rsid w:val="00E906F4"/>
    <w:rsid w:val="00E90B87"/>
    <w:rsid w:val="00E91486"/>
    <w:rsid w:val="00E9187B"/>
    <w:rsid w:val="00E92754"/>
    <w:rsid w:val="00E95337"/>
    <w:rsid w:val="00E95A39"/>
    <w:rsid w:val="00E9636E"/>
    <w:rsid w:val="00E966AB"/>
    <w:rsid w:val="00E96B88"/>
    <w:rsid w:val="00EA0CC7"/>
    <w:rsid w:val="00EA0F06"/>
    <w:rsid w:val="00EA0F9C"/>
    <w:rsid w:val="00EA1A5D"/>
    <w:rsid w:val="00EA1AC1"/>
    <w:rsid w:val="00EA2AC1"/>
    <w:rsid w:val="00EA437C"/>
    <w:rsid w:val="00EA43AE"/>
    <w:rsid w:val="00EA5C67"/>
    <w:rsid w:val="00EA5E7F"/>
    <w:rsid w:val="00EA6DDD"/>
    <w:rsid w:val="00EA7342"/>
    <w:rsid w:val="00EA7963"/>
    <w:rsid w:val="00EA7B5C"/>
    <w:rsid w:val="00EB12E8"/>
    <w:rsid w:val="00EB1449"/>
    <w:rsid w:val="00EB1B2A"/>
    <w:rsid w:val="00EB1C67"/>
    <w:rsid w:val="00EB1EED"/>
    <w:rsid w:val="00EB358A"/>
    <w:rsid w:val="00EB3B7E"/>
    <w:rsid w:val="00EB3FA8"/>
    <w:rsid w:val="00EB493B"/>
    <w:rsid w:val="00EB717A"/>
    <w:rsid w:val="00EB731F"/>
    <w:rsid w:val="00EC02D0"/>
    <w:rsid w:val="00EC2D78"/>
    <w:rsid w:val="00EC2EFE"/>
    <w:rsid w:val="00EC310C"/>
    <w:rsid w:val="00EC44ED"/>
    <w:rsid w:val="00EC69BF"/>
    <w:rsid w:val="00EC6BB6"/>
    <w:rsid w:val="00EC6EAB"/>
    <w:rsid w:val="00EC71DA"/>
    <w:rsid w:val="00EC7AD3"/>
    <w:rsid w:val="00EC7F60"/>
    <w:rsid w:val="00ED0DF5"/>
    <w:rsid w:val="00ED0EFE"/>
    <w:rsid w:val="00ED3363"/>
    <w:rsid w:val="00ED338E"/>
    <w:rsid w:val="00ED36D7"/>
    <w:rsid w:val="00ED3762"/>
    <w:rsid w:val="00ED3BF2"/>
    <w:rsid w:val="00ED3E02"/>
    <w:rsid w:val="00ED6353"/>
    <w:rsid w:val="00ED7028"/>
    <w:rsid w:val="00EE0B5F"/>
    <w:rsid w:val="00EE0C46"/>
    <w:rsid w:val="00EE12BF"/>
    <w:rsid w:val="00EE1C79"/>
    <w:rsid w:val="00EE2300"/>
    <w:rsid w:val="00EE26BA"/>
    <w:rsid w:val="00EE26BE"/>
    <w:rsid w:val="00EE2EF0"/>
    <w:rsid w:val="00EE2FD2"/>
    <w:rsid w:val="00EE3EAA"/>
    <w:rsid w:val="00EE3F42"/>
    <w:rsid w:val="00EE4296"/>
    <w:rsid w:val="00EE54A9"/>
    <w:rsid w:val="00EE5927"/>
    <w:rsid w:val="00EE59E5"/>
    <w:rsid w:val="00EE5B04"/>
    <w:rsid w:val="00EE6134"/>
    <w:rsid w:val="00EE635B"/>
    <w:rsid w:val="00EE754D"/>
    <w:rsid w:val="00EF00A2"/>
    <w:rsid w:val="00EF0244"/>
    <w:rsid w:val="00EF6721"/>
    <w:rsid w:val="00EF6899"/>
    <w:rsid w:val="00EF6FEF"/>
    <w:rsid w:val="00EF77BF"/>
    <w:rsid w:val="00F00074"/>
    <w:rsid w:val="00F01DF9"/>
    <w:rsid w:val="00F02931"/>
    <w:rsid w:val="00F02EC0"/>
    <w:rsid w:val="00F035F0"/>
    <w:rsid w:val="00F036C1"/>
    <w:rsid w:val="00F037AD"/>
    <w:rsid w:val="00F04318"/>
    <w:rsid w:val="00F04618"/>
    <w:rsid w:val="00F04DBB"/>
    <w:rsid w:val="00F06A9F"/>
    <w:rsid w:val="00F06C2A"/>
    <w:rsid w:val="00F06F41"/>
    <w:rsid w:val="00F07111"/>
    <w:rsid w:val="00F10080"/>
    <w:rsid w:val="00F1016B"/>
    <w:rsid w:val="00F10214"/>
    <w:rsid w:val="00F112FF"/>
    <w:rsid w:val="00F11FBA"/>
    <w:rsid w:val="00F12307"/>
    <w:rsid w:val="00F12770"/>
    <w:rsid w:val="00F12FC0"/>
    <w:rsid w:val="00F1337D"/>
    <w:rsid w:val="00F1352C"/>
    <w:rsid w:val="00F1603B"/>
    <w:rsid w:val="00F1759E"/>
    <w:rsid w:val="00F178E2"/>
    <w:rsid w:val="00F17BE7"/>
    <w:rsid w:val="00F20546"/>
    <w:rsid w:val="00F20FFB"/>
    <w:rsid w:val="00F21497"/>
    <w:rsid w:val="00F245EC"/>
    <w:rsid w:val="00F24CE6"/>
    <w:rsid w:val="00F24E63"/>
    <w:rsid w:val="00F25989"/>
    <w:rsid w:val="00F26133"/>
    <w:rsid w:val="00F2615E"/>
    <w:rsid w:val="00F267FE"/>
    <w:rsid w:val="00F26E69"/>
    <w:rsid w:val="00F27500"/>
    <w:rsid w:val="00F300A6"/>
    <w:rsid w:val="00F31F94"/>
    <w:rsid w:val="00F3376C"/>
    <w:rsid w:val="00F33B93"/>
    <w:rsid w:val="00F33BC4"/>
    <w:rsid w:val="00F3402A"/>
    <w:rsid w:val="00F34141"/>
    <w:rsid w:val="00F341F2"/>
    <w:rsid w:val="00F34BA6"/>
    <w:rsid w:val="00F34F4A"/>
    <w:rsid w:val="00F35507"/>
    <w:rsid w:val="00F358F8"/>
    <w:rsid w:val="00F35968"/>
    <w:rsid w:val="00F37907"/>
    <w:rsid w:val="00F4125A"/>
    <w:rsid w:val="00F414C8"/>
    <w:rsid w:val="00F41734"/>
    <w:rsid w:val="00F418C3"/>
    <w:rsid w:val="00F41AF9"/>
    <w:rsid w:val="00F42C49"/>
    <w:rsid w:val="00F42EFE"/>
    <w:rsid w:val="00F4304A"/>
    <w:rsid w:val="00F436DA"/>
    <w:rsid w:val="00F43E70"/>
    <w:rsid w:val="00F441E9"/>
    <w:rsid w:val="00F44BF2"/>
    <w:rsid w:val="00F45441"/>
    <w:rsid w:val="00F4567E"/>
    <w:rsid w:val="00F46C63"/>
    <w:rsid w:val="00F47AE0"/>
    <w:rsid w:val="00F50A12"/>
    <w:rsid w:val="00F50EEE"/>
    <w:rsid w:val="00F51063"/>
    <w:rsid w:val="00F51FD7"/>
    <w:rsid w:val="00F54316"/>
    <w:rsid w:val="00F550D3"/>
    <w:rsid w:val="00F5596D"/>
    <w:rsid w:val="00F55AA5"/>
    <w:rsid w:val="00F5730E"/>
    <w:rsid w:val="00F57FE1"/>
    <w:rsid w:val="00F6019F"/>
    <w:rsid w:val="00F604E6"/>
    <w:rsid w:val="00F60B57"/>
    <w:rsid w:val="00F616C3"/>
    <w:rsid w:val="00F616CD"/>
    <w:rsid w:val="00F61C20"/>
    <w:rsid w:val="00F62342"/>
    <w:rsid w:val="00F624B9"/>
    <w:rsid w:val="00F62B4E"/>
    <w:rsid w:val="00F636C3"/>
    <w:rsid w:val="00F63EB7"/>
    <w:rsid w:val="00F6427B"/>
    <w:rsid w:val="00F64626"/>
    <w:rsid w:val="00F667B1"/>
    <w:rsid w:val="00F66BAC"/>
    <w:rsid w:val="00F700FA"/>
    <w:rsid w:val="00F704B0"/>
    <w:rsid w:val="00F70D6C"/>
    <w:rsid w:val="00F71260"/>
    <w:rsid w:val="00F7137A"/>
    <w:rsid w:val="00F714B1"/>
    <w:rsid w:val="00F71644"/>
    <w:rsid w:val="00F71BD9"/>
    <w:rsid w:val="00F71E96"/>
    <w:rsid w:val="00F727BB"/>
    <w:rsid w:val="00F72C63"/>
    <w:rsid w:val="00F74C00"/>
    <w:rsid w:val="00F74D57"/>
    <w:rsid w:val="00F75AB8"/>
    <w:rsid w:val="00F76666"/>
    <w:rsid w:val="00F76E4F"/>
    <w:rsid w:val="00F76ECF"/>
    <w:rsid w:val="00F76F1B"/>
    <w:rsid w:val="00F77BDC"/>
    <w:rsid w:val="00F80E40"/>
    <w:rsid w:val="00F82091"/>
    <w:rsid w:val="00F823AC"/>
    <w:rsid w:val="00F8283B"/>
    <w:rsid w:val="00F82A58"/>
    <w:rsid w:val="00F82B86"/>
    <w:rsid w:val="00F82D30"/>
    <w:rsid w:val="00F84232"/>
    <w:rsid w:val="00F87D96"/>
    <w:rsid w:val="00F9035D"/>
    <w:rsid w:val="00F90449"/>
    <w:rsid w:val="00F91509"/>
    <w:rsid w:val="00F92297"/>
    <w:rsid w:val="00F92942"/>
    <w:rsid w:val="00F92EB9"/>
    <w:rsid w:val="00F9304D"/>
    <w:rsid w:val="00F93427"/>
    <w:rsid w:val="00F9462F"/>
    <w:rsid w:val="00F94E9A"/>
    <w:rsid w:val="00F95D9F"/>
    <w:rsid w:val="00F962DF"/>
    <w:rsid w:val="00F96DCF"/>
    <w:rsid w:val="00F972A8"/>
    <w:rsid w:val="00F97D20"/>
    <w:rsid w:val="00FA07D0"/>
    <w:rsid w:val="00FA17FB"/>
    <w:rsid w:val="00FA1E37"/>
    <w:rsid w:val="00FA25D5"/>
    <w:rsid w:val="00FA2E11"/>
    <w:rsid w:val="00FA30D5"/>
    <w:rsid w:val="00FA39DC"/>
    <w:rsid w:val="00FA3D5A"/>
    <w:rsid w:val="00FA5B18"/>
    <w:rsid w:val="00FA6157"/>
    <w:rsid w:val="00FA71D6"/>
    <w:rsid w:val="00FA71E7"/>
    <w:rsid w:val="00FA787F"/>
    <w:rsid w:val="00FB0493"/>
    <w:rsid w:val="00FB0751"/>
    <w:rsid w:val="00FB07A0"/>
    <w:rsid w:val="00FB07AB"/>
    <w:rsid w:val="00FB1621"/>
    <w:rsid w:val="00FB2B56"/>
    <w:rsid w:val="00FB30BC"/>
    <w:rsid w:val="00FB313B"/>
    <w:rsid w:val="00FB4C6D"/>
    <w:rsid w:val="00FB5AC8"/>
    <w:rsid w:val="00FB6FC4"/>
    <w:rsid w:val="00FB707B"/>
    <w:rsid w:val="00FB729C"/>
    <w:rsid w:val="00FB72B4"/>
    <w:rsid w:val="00FB76F4"/>
    <w:rsid w:val="00FB7AA8"/>
    <w:rsid w:val="00FC02CB"/>
    <w:rsid w:val="00FC1A3C"/>
    <w:rsid w:val="00FC3F16"/>
    <w:rsid w:val="00FC421A"/>
    <w:rsid w:val="00FC48D6"/>
    <w:rsid w:val="00FC63C9"/>
    <w:rsid w:val="00FC770A"/>
    <w:rsid w:val="00FC7F27"/>
    <w:rsid w:val="00FD0481"/>
    <w:rsid w:val="00FD05F2"/>
    <w:rsid w:val="00FD0AFA"/>
    <w:rsid w:val="00FD0F96"/>
    <w:rsid w:val="00FD1241"/>
    <w:rsid w:val="00FD253A"/>
    <w:rsid w:val="00FD4103"/>
    <w:rsid w:val="00FD5125"/>
    <w:rsid w:val="00FD5B75"/>
    <w:rsid w:val="00FD5C8D"/>
    <w:rsid w:val="00FD6382"/>
    <w:rsid w:val="00FD67BF"/>
    <w:rsid w:val="00FD6AFB"/>
    <w:rsid w:val="00FD7A92"/>
    <w:rsid w:val="00FD7DBA"/>
    <w:rsid w:val="00FE0315"/>
    <w:rsid w:val="00FE0369"/>
    <w:rsid w:val="00FE059F"/>
    <w:rsid w:val="00FE074D"/>
    <w:rsid w:val="00FE1CAA"/>
    <w:rsid w:val="00FE2719"/>
    <w:rsid w:val="00FE31B3"/>
    <w:rsid w:val="00FE3616"/>
    <w:rsid w:val="00FE494F"/>
    <w:rsid w:val="00FF0EAE"/>
    <w:rsid w:val="00FF1121"/>
    <w:rsid w:val="00FF1849"/>
    <w:rsid w:val="00FF2B58"/>
    <w:rsid w:val="00FF4FE8"/>
    <w:rsid w:val="00FF58D5"/>
    <w:rsid w:val="00FF5935"/>
    <w:rsid w:val="00FF62E0"/>
    <w:rsid w:val="00FF68F9"/>
    <w:rsid w:val="00FF6BE8"/>
    <w:rsid w:val="00FF6CD1"/>
    <w:rsid w:val="0586432D"/>
    <w:rsid w:val="11F30495"/>
    <w:rsid w:val="2CBDF119"/>
    <w:rsid w:val="2E484072"/>
    <w:rsid w:val="31431DFC"/>
    <w:rsid w:val="3D0B9963"/>
    <w:rsid w:val="3F9C8148"/>
    <w:rsid w:val="52344A95"/>
    <w:rsid w:val="6737AB6D"/>
    <w:rsid w:val="690FC37C"/>
    <w:rsid w:val="7E64D10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7FDC1"/>
  <w15:chartTrackingRefBased/>
  <w15:docId w15:val="{DBCB0AB0-CF03-4B5D-BB92-13D2E30D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6E"/>
  </w:style>
  <w:style w:type="paragraph" w:styleId="Heading1">
    <w:name w:val="heading 1"/>
    <w:basedOn w:val="Normal"/>
    <w:next w:val="Normal"/>
    <w:link w:val="Heading1Char"/>
    <w:uiPriority w:val="9"/>
    <w:qFormat/>
    <w:rsid w:val="00D43110"/>
    <w:pPr>
      <w:keepNext/>
      <w:keepLines/>
      <w:spacing w:before="360" w:after="40" w:line="240" w:lineRule="auto"/>
      <w:outlineLvl w:val="0"/>
    </w:pPr>
    <w:rPr>
      <w:rFonts w:asciiTheme="majorHAnsi" w:eastAsiaTheme="majorEastAsia" w:hAnsiTheme="majorHAnsi" w:cstheme="majorBidi"/>
      <w:color w:val="156082" w:themeColor="accent1"/>
      <w:sz w:val="40"/>
      <w:szCs w:val="40"/>
    </w:rPr>
  </w:style>
  <w:style w:type="paragraph" w:styleId="Heading2">
    <w:name w:val="heading 2"/>
    <w:basedOn w:val="Normal"/>
    <w:next w:val="Normal"/>
    <w:link w:val="Heading2Char"/>
    <w:uiPriority w:val="9"/>
    <w:unhideWhenUsed/>
    <w:qFormat/>
    <w:rsid w:val="00446279"/>
    <w:pPr>
      <w:keepNext/>
      <w:keepLines/>
      <w:spacing w:before="480" w:after="120" w:line="276" w:lineRule="auto"/>
      <w:outlineLvl w:val="1"/>
    </w:pPr>
    <w:rPr>
      <w:rFonts w:asciiTheme="majorHAnsi" w:eastAsiaTheme="majorEastAsia" w:hAnsiTheme="majorHAnsi" w:cstheme="majorBidi"/>
      <w:b/>
      <w:color w:val="156082" w:themeColor="accent1"/>
      <w:sz w:val="28"/>
      <w:szCs w:val="28"/>
      <w:lang w:val="en-AU"/>
    </w:rPr>
  </w:style>
  <w:style w:type="paragraph" w:styleId="Heading3">
    <w:name w:val="heading 3"/>
    <w:basedOn w:val="Normal"/>
    <w:next w:val="Normal"/>
    <w:link w:val="Heading3Char"/>
    <w:uiPriority w:val="9"/>
    <w:unhideWhenUsed/>
    <w:qFormat/>
    <w:rsid w:val="0035461D"/>
    <w:pPr>
      <w:spacing w:before="360" w:after="120" w:line="276" w:lineRule="auto"/>
      <w:jc w:val="both"/>
      <w:outlineLvl w:val="2"/>
    </w:pPr>
    <w:rPr>
      <w:rFonts w:cs="Arial"/>
      <w:b/>
      <w:bCs/>
      <w:color w:val="0F4761" w:themeColor="accent1" w:themeShade="BF"/>
      <w:lang w:val="en-AU"/>
    </w:rPr>
  </w:style>
  <w:style w:type="paragraph" w:styleId="Heading4">
    <w:name w:val="heading 4"/>
    <w:basedOn w:val="Normal"/>
    <w:next w:val="Normal"/>
    <w:link w:val="Heading4Char"/>
    <w:uiPriority w:val="9"/>
    <w:unhideWhenUsed/>
    <w:qFormat/>
    <w:rsid w:val="00F62B4E"/>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62B4E"/>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62B4E"/>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62B4E"/>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62B4E"/>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62B4E"/>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2B4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62B4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62B4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62B4E"/>
    <w:rPr>
      <w:rFonts w:asciiTheme="majorHAnsi" w:eastAsiaTheme="majorEastAsia" w:hAnsiTheme="majorHAnsi" w:cstheme="majorBidi"/>
      <w:sz w:val="30"/>
      <w:szCs w:val="30"/>
    </w:rPr>
  </w:style>
  <w:style w:type="character" w:customStyle="1" w:styleId="Heading1Char">
    <w:name w:val="Heading 1 Char"/>
    <w:basedOn w:val="DefaultParagraphFont"/>
    <w:link w:val="Heading1"/>
    <w:uiPriority w:val="9"/>
    <w:rsid w:val="00D43110"/>
    <w:rPr>
      <w:rFonts w:asciiTheme="majorHAnsi" w:eastAsiaTheme="majorEastAsia" w:hAnsiTheme="majorHAnsi" w:cstheme="majorBidi"/>
      <w:color w:val="156082" w:themeColor="accent1"/>
      <w:sz w:val="40"/>
      <w:szCs w:val="40"/>
    </w:rPr>
  </w:style>
  <w:style w:type="character" w:customStyle="1" w:styleId="Heading2Char">
    <w:name w:val="Heading 2 Char"/>
    <w:basedOn w:val="DefaultParagraphFont"/>
    <w:link w:val="Heading2"/>
    <w:uiPriority w:val="9"/>
    <w:rsid w:val="00446279"/>
    <w:rPr>
      <w:rFonts w:asciiTheme="majorHAnsi" w:eastAsiaTheme="majorEastAsia" w:hAnsiTheme="majorHAnsi" w:cstheme="majorBidi"/>
      <w:b/>
      <w:color w:val="156082" w:themeColor="accent1"/>
      <w:sz w:val="28"/>
      <w:szCs w:val="28"/>
      <w:lang w:val="en-AU"/>
    </w:rPr>
  </w:style>
  <w:style w:type="character" w:customStyle="1" w:styleId="Heading3Char">
    <w:name w:val="Heading 3 Char"/>
    <w:basedOn w:val="DefaultParagraphFont"/>
    <w:link w:val="Heading3"/>
    <w:uiPriority w:val="9"/>
    <w:rsid w:val="0035461D"/>
    <w:rPr>
      <w:rFonts w:cs="Arial"/>
      <w:b/>
      <w:bCs/>
      <w:color w:val="0F4761" w:themeColor="accent1" w:themeShade="BF"/>
      <w:lang w:val="en-AU"/>
    </w:rPr>
  </w:style>
  <w:style w:type="character" w:customStyle="1" w:styleId="Heading4Char">
    <w:name w:val="Heading 4 Char"/>
    <w:basedOn w:val="DefaultParagraphFont"/>
    <w:link w:val="Heading4"/>
    <w:uiPriority w:val="9"/>
    <w:rsid w:val="00F62B4E"/>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62B4E"/>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62B4E"/>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62B4E"/>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62B4E"/>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62B4E"/>
    <w:rPr>
      <w:rFonts w:asciiTheme="majorHAnsi" w:eastAsiaTheme="majorEastAsia" w:hAnsiTheme="majorHAnsi" w:cstheme="majorBidi"/>
      <w:i/>
      <w:iCs/>
      <w:color w:val="4EA72E" w:themeColor="accent6"/>
      <w:sz w:val="20"/>
      <w:szCs w:val="20"/>
    </w:rPr>
  </w:style>
  <w:style w:type="character" w:styleId="SubtleEmphasis">
    <w:name w:val="Subtle Emphasis"/>
    <w:basedOn w:val="DefaultParagraphFont"/>
    <w:uiPriority w:val="19"/>
    <w:qFormat/>
    <w:rsid w:val="00F62B4E"/>
    <w:rPr>
      <w:i/>
      <w:iCs/>
    </w:rPr>
  </w:style>
  <w:style w:type="character" w:styleId="Emphasis">
    <w:name w:val="Emphasis"/>
    <w:basedOn w:val="DefaultParagraphFont"/>
    <w:uiPriority w:val="20"/>
    <w:qFormat/>
    <w:rsid w:val="00F62B4E"/>
    <w:rPr>
      <w:i/>
      <w:iCs/>
      <w:color w:val="4EA72E" w:themeColor="accent6"/>
    </w:rPr>
  </w:style>
  <w:style w:type="character" w:styleId="IntenseEmphasis">
    <w:name w:val="Intense Emphasis"/>
    <w:basedOn w:val="DefaultParagraphFont"/>
    <w:uiPriority w:val="21"/>
    <w:qFormat/>
    <w:rsid w:val="00F62B4E"/>
    <w:rPr>
      <w:b/>
      <w:bCs/>
      <w:i/>
      <w:iCs/>
    </w:rPr>
  </w:style>
  <w:style w:type="character" w:styleId="Strong">
    <w:name w:val="Strong"/>
    <w:basedOn w:val="DefaultParagraphFont"/>
    <w:uiPriority w:val="22"/>
    <w:qFormat/>
    <w:rsid w:val="00F62B4E"/>
    <w:rPr>
      <w:b/>
      <w:bCs/>
    </w:rPr>
  </w:style>
  <w:style w:type="paragraph" w:styleId="Quote">
    <w:name w:val="Quote"/>
    <w:basedOn w:val="Normal"/>
    <w:next w:val="Normal"/>
    <w:link w:val="QuoteChar"/>
    <w:uiPriority w:val="29"/>
    <w:qFormat/>
    <w:rsid w:val="00F62B4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62B4E"/>
    <w:rPr>
      <w:i/>
      <w:iCs/>
      <w:color w:val="262626" w:themeColor="text1" w:themeTint="D9"/>
    </w:rPr>
  </w:style>
  <w:style w:type="paragraph" w:styleId="IntenseQuote">
    <w:name w:val="Intense Quote"/>
    <w:basedOn w:val="Normal"/>
    <w:next w:val="Normal"/>
    <w:link w:val="IntenseQuoteChar"/>
    <w:uiPriority w:val="30"/>
    <w:qFormat/>
    <w:rsid w:val="00F62B4E"/>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62B4E"/>
    <w:rPr>
      <w:rFonts w:asciiTheme="majorHAnsi" w:eastAsiaTheme="majorEastAsia" w:hAnsiTheme="majorHAnsi" w:cstheme="majorBidi"/>
      <w:i/>
      <w:iCs/>
      <w:color w:val="4EA72E" w:themeColor="accent6"/>
      <w:sz w:val="32"/>
      <w:szCs w:val="32"/>
    </w:rPr>
  </w:style>
  <w:style w:type="character" w:styleId="SubtleReference">
    <w:name w:val="Subtle Reference"/>
    <w:basedOn w:val="DefaultParagraphFont"/>
    <w:uiPriority w:val="31"/>
    <w:qFormat/>
    <w:rsid w:val="00F62B4E"/>
    <w:rPr>
      <w:smallCaps/>
      <w:color w:val="595959" w:themeColor="text1" w:themeTint="A6"/>
    </w:rPr>
  </w:style>
  <w:style w:type="character" w:styleId="IntenseReference">
    <w:name w:val="Intense Reference"/>
    <w:basedOn w:val="DefaultParagraphFont"/>
    <w:uiPriority w:val="32"/>
    <w:qFormat/>
    <w:rsid w:val="00F62B4E"/>
    <w:rPr>
      <w:b/>
      <w:bCs/>
      <w:smallCaps/>
      <w:color w:val="4EA72E" w:themeColor="accent6"/>
    </w:rPr>
  </w:style>
  <w:style w:type="character" w:styleId="BookTitle">
    <w:name w:val="Book Title"/>
    <w:basedOn w:val="DefaultParagraphFont"/>
    <w:uiPriority w:val="33"/>
    <w:qFormat/>
    <w:rsid w:val="00F62B4E"/>
    <w:rPr>
      <w:b/>
      <w:bCs/>
      <w:caps w:val="0"/>
      <w:smallCaps/>
      <w:spacing w:val="7"/>
      <w:sz w:val="21"/>
      <w:szCs w:val="21"/>
    </w:rPr>
  </w:style>
  <w:style w:type="paragraph" w:styleId="Caption">
    <w:name w:val="caption"/>
    <w:basedOn w:val="Normal"/>
    <w:next w:val="Normal"/>
    <w:uiPriority w:val="35"/>
    <w:unhideWhenUsed/>
    <w:qFormat/>
    <w:rsid w:val="00F62B4E"/>
    <w:pPr>
      <w:spacing w:line="240" w:lineRule="auto"/>
    </w:pPr>
    <w:rPr>
      <w:b/>
      <w:bCs/>
      <w:smallCaps/>
      <w:color w:val="595959" w:themeColor="text1" w:themeTint="A6"/>
    </w:rPr>
  </w:style>
  <w:style w:type="paragraph" w:styleId="TOCHeading">
    <w:name w:val="TOC Heading"/>
    <w:basedOn w:val="Heading1"/>
    <w:next w:val="Normal"/>
    <w:uiPriority w:val="39"/>
    <w:unhideWhenUsed/>
    <w:qFormat/>
    <w:rsid w:val="00F62B4E"/>
    <w:pPr>
      <w:outlineLvl w:val="9"/>
    </w:pPr>
  </w:style>
  <w:style w:type="paragraph" w:styleId="NoSpacing">
    <w:name w:val="No Spacing"/>
    <w:link w:val="NoSpacingChar"/>
    <w:uiPriority w:val="1"/>
    <w:qFormat/>
    <w:rsid w:val="00F62B4E"/>
    <w:pPr>
      <w:spacing w:after="0" w:line="240" w:lineRule="auto"/>
    </w:pPr>
  </w:style>
  <w:style w:type="paragraph" w:styleId="ListParagraph">
    <w:name w:val="List Paragraph"/>
    <w:aliases w:val="Bullet Points,Liststycke SKL,Bullet List,T1,MCHIP_list paragraph,Recommendation,List bullets,Liste 1,Premier,FooterText,Colorful List Accent 1,numbered,Paragraphe de liste1,列出段落,列出段落1,Bulletr List Paragraph,List Paragraph2,リスト段落1,Plan,L"/>
    <w:basedOn w:val="Normal"/>
    <w:link w:val="ListParagraphChar"/>
    <w:uiPriority w:val="34"/>
    <w:qFormat/>
    <w:pPr>
      <w:ind w:left="720"/>
      <w:contextualSpacing/>
    </w:pPr>
  </w:style>
  <w:style w:type="character" w:customStyle="1" w:styleId="NoSpacingChar">
    <w:name w:val="No Spacing Char"/>
    <w:basedOn w:val="DefaultParagraphFont"/>
    <w:link w:val="NoSpacing"/>
    <w:uiPriority w:val="1"/>
    <w:rsid w:val="000D34DE"/>
  </w:style>
  <w:style w:type="paragraph" w:styleId="TOC1">
    <w:name w:val="toc 1"/>
    <w:basedOn w:val="Normal"/>
    <w:next w:val="Normal"/>
    <w:autoRedefine/>
    <w:uiPriority w:val="39"/>
    <w:unhideWhenUsed/>
    <w:rsid w:val="006911E8"/>
    <w:pPr>
      <w:spacing w:after="100"/>
    </w:pPr>
  </w:style>
  <w:style w:type="character" w:styleId="Hyperlink">
    <w:name w:val="Hyperlink"/>
    <w:basedOn w:val="DefaultParagraphFont"/>
    <w:uiPriority w:val="99"/>
    <w:unhideWhenUsed/>
    <w:rsid w:val="006911E8"/>
    <w:rPr>
      <w:color w:val="467886" w:themeColor="hyperlink"/>
      <w:u w:val="single"/>
    </w:rPr>
  </w:style>
  <w:style w:type="table" w:styleId="TableGrid">
    <w:name w:val="Table Grid"/>
    <w:basedOn w:val="TableNormal"/>
    <w:uiPriority w:val="39"/>
    <w:rsid w:val="00FC0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C02C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FootnoteText">
    <w:name w:val="footnote text"/>
    <w:basedOn w:val="Normal"/>
    <w:link w:val="FootnoteTextChar"/>
    <w:uiPriority w:val="99"/>
    <w:semiHidden/>
    <w:unhideWhenUsed/>
    <w:rsid w:val="00357A8A"/>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357A8A"/>
    <w:rPr>
      <w:sz w:val="18"/>
      <w:szCs w:val="20"/>
    </w:rPr>
  </w:style>
  <w:style w:type="character" w:styleId="FootnoteReference">
    <w:name w:val="footnote reference"/>
    <w:basedOn w:val="DefaultParagraphFont"/>
    <w:uiPriority w:val="99"/>
    <w:semiHidden/>
    <w:unhideWhenUsed/>
    <w:rsid w:val="00034BCB"/>
    <w:rPr>
      <w:vertAlign w:val="superscript"/>
    </w:rPr>
  </w:style>
  <w:style w:type="paragraph" w:customStyle="1" w:styleId="Table">
    <w:name w:val="Table"/>
    <w:basedOn w:val="ListParagraph"/>
    <w:rsid w:val="003942C0"/>
    <w:pPr>
      <w:spacing w:after="0" w:line="240" w:lineRule="auto"/>
      <w:ind w:left="0"/>
    </w:pPr>
    <w:rPr>
      <w:sz w:val="18"/>
    </w:rPr>
  </w:style>
  <w:style w:type="character" w:styleId="CommentReference">
    <w:name w:val="annotation reference"/>
    <w:basedOn w:val="DefaultParagraphFont"/>
    <w:uiPriority w:val="99"/>
    <w:semiHidden/>
    <w:unhideWhenUsed/>
    <w:rsid w:val="006530A5"/>
    <w:rPr>
      <w:sz w:val="16"/>
      <w:szCs w:val="16"/>
    </w:rPr>
  </w:style>
  <w:style w:type="paragraph" w:styleId="CommentText">
    <w:name w:val="annotation text"/>
    <w:basedOn w:val="Normal"/>
    <w:link w:val="CommentTextChar"/>
    <w:uiPriority w:val="99"/>
    <w:unhideWhenUsed/>
    <w:rsid w:val="006530A5"/>
    <w:pPr>
      <w:spacing w:line="240" w:lineRule="auto"/>
    </w:pPr>
    <w:rPr>
      <w:sz w:val="20"/>
      <w:szCs w:val="20"/>
    </w:rPr>
  </w:style>
  <w:style w:type="character" w:customStyle="1" w:styleId="CommentTextChar">
    <w:name w:val="Comment Text Char"/>
    <w:basedOn w:val="DefaultParagraphFont"/>
    <w:link w:val="CommentText"/>
    <w:uiPriority w:val="99"/>
    <w:rsid w:val="006530A5"/>
    <w:rPr>
      <w:sz w:val="20"/>
      <w:szCs w:val="20"/>
    </w:rPr>
  </w:style>
  <w:style w:type="paragraph" w:styleId="CommentSubject">
    <w:name w:val="annotation subject"/>
    <w:basedOn w:val="CommentText"/>
    <w:next w:val="CommentText"/>
    <w:link w:val="CommentSubjectChar"/>
    <w:uiPriority w:val="99"/>
    <w:semiHidden/>
    <w:unhideWhenUsed/>
    <w:rsid w:val="006530A5"/>
    <w:rPr>
      <w:b/>
      <w:bCs/>
    </w:rPr>
  </w:style>
  <w:style w:type="character" w:customStyle="1" w:styleId="CommentSubjectChar">
    <w:name w:val="Comment Subject Char"/>
    <w:basedOn w:val="CommentTextChar"/>
    <w:link w:val="CommentSubject"/>
    <w:uiPriority w:val="99"/>
    <w:semiHidden/>
    <w:rsid w:val="006530A5"/>
    <w:rPr>
      <w:b/>
      <w:bCs/>
      <w:sz w:val="20"/>
      <w:szCs w:val="20"/>
    </w:rPr>
  </w:style>
  <w:style w:type="paragraph" w:styleId="BalloonText">
    <w:name w:val="Balloon Text"/>
    <w:basedOn w:val="Normal"/>
    <w:link w:val="BalloonTextChar"/>
    <w:uiPriority w:val="99"/>
    <w:semiHidden/>
    <w:unhideWhenUsed/>
    <w:rsid w:val="00653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0A5"/>
    <w:rPr>
      <w:rFonts w:ascii="Segoe UI" w:hAnsi="Segoe UI" w:cs="Segoe UI"/>
      <w:sz w:val="18"/>
      <w:szCs w:val="18"/>
    </w:rPr>
  </w:style>
  <w:style w:type="table" w:styleId="GridTable5Dark-Accent1">
    <w:name w:val="Grid Table 5 Dark Accent 1"/>
    <w:basedOn w:val="TableNormal"/>
    <w:uiPriority w:val="50"/>
    <w:rsid w:val="008942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TOC2">
    <w:name w:val="toc 2"/>
    <w:basedOn w:val="Normal"/>
    <w:next w:val="Normal"/>
    <w:autoRedefine/>
    <w:uiPriority w:val="39"/>
    <w:unhideWhenUsed/>
    <w:rsid w:val="00235171"/>
    <w:pPr>
      <w:spacing w:after="100"/>
      <w:ind w:left="220"/>
    </w:pPr>
  </w:style>
  <w:style w:type="paragraph" w:styleId="TOC3">
    <w:name w:val="toc 3"/>
    <w:basedOn w:val="Normal"/>
    <w:next w:val="Normal"/>
    <w:autoRedefine/>
    <w:uiPriority w:val="39"/>
    <w:unhideWhenUsed/>
    <w:rsid w:val="00EE635B"/>
    <w:pPr>
      <w:tabs>
        <w:tab w:val="left" w:pos="1320"/>
        <w:tab w:val="right" w:leader="dot" w:pos="9350"/>
      </w:tabs>
      <w:spacing w:after="100"/>
      <w:ind w:left="440"/>
    </w:pPr>
  </w:style>
  <w:style w:type="paragraph" w:styleId="Header">
    <w:name w:val="header"/>
    <w:basedOn w:val="Normal"/>
    <w:link w:val="HeaderChar"/>
    <w:uiPriority w:val="99"/>
    <w:unhideWhenUsed/>
    <w:rsid w:val="00600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C58"/>
  </w:style>
  <w:style w:type="paragraph" w:styleId="Footer">
    <w:name w:val="footer"/>
    <w:basedOn w:val="Normal"/>
    <w:link w:val="FooterChar"/>
    <w:uiPriority w:val="99"/>
    <w:unhideWhenUsed/>
    <w:rsid w:val="00600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C58"/>
  </w:style>
  <w:style w:type="paragraph" w:styleId="TableofFigures">
    <w:name w:val="table of figures"/>
    <w:basedOn w:val="Normal"/>
    <w:next w:val="Normal"/>
    <w:uiPriority w:val="99"/>
    <w:unhideWhenUsed/>
    <w:rsid w:val="001D182A"/>
    <w:pPr>
      <w:spacing w:after="0"/>
    </w:pPr>
  </w:style>
  <w:style w:type="paragraph" w:styleId="TOAHeading">
    <w:name w:val="toa heading"/>
    <w:basedOn w:val="Normal"/>
    <w:next w:val="Normal"/>
    <w:uiPriority w:val="99"/>
    <w:semiHidden/>
    <w:unhideWhenUsed/>
    <w:rsid w:val="001D182A"/>
    <w:pPr>
      <w:spacing w:before="120"/>
    </w:pPr>
    <w:rPr>
      <w:rFonts w:asciiTheme="majorHAnsi" w:eastAsiaTheme="majorEastAsia" w:hAnsiTheme="majorHAnsi" w:cstheme="majorBidi"/>
      <w:b/>
      <w:bCs/>
      <w:sz w:val="24"/>
      <w:szCs w:val="24"/>
    </w:rPr>
  </w:style>
  <w:style w:type="paragraph" w:styleId="Revision">
    <w:name w:val="Revision"/>
    <w:hidden/>
    <w:uiPriority w:val="99"/>
    <w:semiHidden/>
    <w:rsid w:val="005B5CA0"/>
    <w:pPr>
      <w:spacing w:after="0" w:line="240" w:lineRule="auto"/>
    </w:pPr>
  </w:style>
  <w:style w:type="paragraph" w:styleId="Bibliography">
    <w:name w:val="Bibliography"/>
    <w:basedOn w:val="Normal"/>
    <w:next w:val="Normal"/>
    <w:uiPriority w:val="37"/>
    <w:unhideWhenUsed/>
    <w:rsid w:val="00424BE2"/>
  </w:style>
  <w:style w:type="paragraph" w:customStyle="1" w:styleId="Default">
    <w:name w:val="Default"/>
    <w:rsid w:val="00346D7B"/>
    <w:pPr>
      <w:autoSpaceDE w:val="0"/>
      <w:autoSpaceDN w:val="0"/>
      <w:adjustRightInd w:val="0"/>
      <w:spacing w:after="0" w:line="240" w:lineRule="auto"/>
    </w:pPr>
    <w:rPr>
      <w:rFonts w:ascii="Calibri" w:hAnsi="Calibri" w:cs="Calibri"/>
      <w:color w:val="000000"/>
      <w:sz w:val="24"/>
      <w:szCs w:val="24"/>
      <w:lang w:val="en-GB"/>
    </w:rPr>
  </w:style>
  <w:style w:type="paragraph" w:styleId="NormalWeb">
    <w:name w:val="Normal (Web)"/>
    <w:basedOn w:val="Normal"/>
    <w:uiPriority w:val="99"/>
    <w:unhideWhenUsed/>
    <w:rsid w:val="000A30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662A86"/>
    <w:rPr>
      <w:color w:val="605E5C"/>
      <w:shd w:val="clear" w:color="auto" w:fill="E1DFDD"/>
    </w:rPr>
  </w:style>
  <w:style w:type="character" w:styleId="UnresolvedMention">
    <w:name w:val="Unresolved Mention"/>
    <w:basedOn w:val="DefaultParagraphFont"/>
    <w:uiPriority w:val="99"/>
    <w:semiHidden/>
    <w:unhideWhenUsed/>
    <w:rsid w:val="00170EA7"/>
    <w:rPr>
      <w:color w:val="605E5C"/>
      <w:shd w:val="clear" w:color="auto" w:fill="E1DFDD"/>
    </w:rPr>
  </w:style>
  <w:style w:type="character" w:styleId="FollowedHyperlink">
    <w:name w:val="FollowedHyperlink"/>
    <w:basedOn w:val="DefaultParagraphFont"/>
    <w:uiPriority w:val="99"/>
    <w:semiHidden/>
    <w:unhideWhenUsed/>
    <w:rsid w:val="006F5DB6"/>
    <w:rPr>
      <w:color w:val="96607D" w:themeColor="followedHyperlink"/>
      <w:u w:val="single"/>
    </w:rPr>
  </w:style>
  <w:style w:type="character" w:styleId="Mention">
    <w:name w:val="Mention"/>
    <w:basedOn w:val="DefaultParagraphFont"/>
    <w:uiPriority w:val="99"/>
    <w:unhideWhenUsed/>
    <w:rPr>
      <w:color w:val="2B579A"/>
      <w:shd w:val="clear" w:color="auto" w:fill="E6E6E6"/>
    </w:rPr>
  </w:style>
  <w:style w:type="character" w:customStyle="1" w:styleId="ListParagraphChar">
    <w:name w:val="List Paragraph Char"/>
    <w:aliases w:val="Bullet Points Char,Liststycke SKL Char,Bullet List Char,T1 Char,MCHIP_list paragraph Char,Recommendation Char,List bullets Char,Liste 1 Char,Premier Char,FooterText Char,Colorful List Accent 1 Char,numbered Char,列出段落 Char,列出段落1 Char"/>
    <w:link w:val="ListParagraph"/>
    <w:uiPriority w:val="34"/>
    <w:rsid w:val="00140690"/>
  </w:style>
  <w:style w:type="paragraph" w:customStyle="1" w:styleId="Tablecontent">
    <w:name w:val="Table content"/>
    <w:basedOn w:val="Normal"/>
    <w:rsid w:val="00140690"/>
    <w:pPr>
      <w:autoSpaceDE w:val="0"/>
      <w:autoSpaceDN w:val="0"/>
      <w:adjustRightInd w:val="0"/>
      <w:spacing w:after="113" w:line="230" w:lineRule="atLeast"/>
      <w:textAlignment w:val="center"/>
    </w:pPr>
    <w:rPr>
      <w:rFonts w:ascii="Myriad Pro" w:eastAsia="Times New Roman" w:hAnsi="Myriad Pro" w:cs="Myriad Pro"/>
      <w:color w:val="000000"/>
      <w:sz w:val="19"/>
      <w:szCs w:val="19"/>
      <w:lang w:val="en-GB" w:eastAsia="en-US"/>
    </w:rPr>
  </w:style>
  <w:style w:type="paragraph" w:customStyle="1" w:styleId="p1">
    <w:name w:val="p1"/>
    <w:basedOn w:val="Normal"/>
    <w:rsid w:val="008B70B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2397">
      <w:bodyDiv w:val="1"/>
      <w:marLeft w:val="0"/>
      <w:marRight w:val="0"/>
      <w:marTop w:val="0"/>
      <w:marBottom w:val="0"/>
      <w:divBdr>
        <w:top w:val="none" w:sz="0" w:space="0" w:color="auto"/>
        <w:left w:val="none" w:sz="0" w:space="0" w:color="auto"/>
        <w:bottom w:val="none" w:sz="0" w:space="0" w:color="auto"/>
        <w:right w:val="none" w:sz="0" w:space="0" w:color="auto"/>
      </w:divBdr>
    </w:div>
    <w:div w:id="128591930">
      <w:bodyDiv w:val="1"/>
      <w:marLeft w:val="0"/>
      <w:marRight w:val="0"/>
      <w:marTop w:val="0"/>
      <w:marBottom w:val="0"/>
      <w:divBdr>
        <w:top w:val="none" w:sz="0" w:space="0" w:color="auto"/>
        <w:left w:val="none" w:sz="0" w:space="0" w:color="auto"/>
        <w:bottom w:val="none" w:sz="0" w:space="0" w:color="auto"/>
        <w:right w:val="none" w:sz="0" w:space="0" w:color="auto"/>
      </w:divBdr>
      <w:divsChild>
        <w:div w:id="1196768063">
          <w:marLeft w:val="0"/>
          <w:marRight w:val="0"/>
          <w:marTop w:val="0"/>
          <w:marBottom w:val="0"/>
          <w:divBdr>
            <w:top w:val="none" w:sz="0" w:space="0" w:color="auto"/>
            <w:left w:val="none" w:sz="0" w:space="0" w:color="auto"/>
            <w:bottom w:val="none" w:sz="0" w:space="0" w:color="auto"/>
            <w:right w:val="none" w:sz="0" w:space="0" w:color="auto"/>
          </w:divBdr>
          <w:divsChild>
            <w:div w:id="145977794">
              <w:marLeft w:val="0"/>
              <w:marRight w:val="0"/>
              <w:marTop w:val="0"/>
              <w:marBottom w:val="0"/>
              <w:divBdr>
                <w:top w:val="none" w:sz="0" w:space="0" w:color="auto"/>
                <w:left w:val="none" w:sz="0" w:space="0" w:color="auto"/>
                <w:bottom w:val="none" w:sz="0" w:space="0" w:color="auto"/>
                <w:right w:val="none" w:sz="0" w:space="0" w:color="auto"/>
              </w:divBdr>
              <w:divsChild>
                <w:div w:id="10606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535">
      <w:bodyDiv w:val="1"/>
      <w:marLeft w:val="0"/>
      <w:marRight w:val="0"/>
      <w:marTop w:val="0"/>
      <w:marBottom w:val="0"/>
      <w:divBdr>
        <w:top w:val="none" w:sz="0" w:space="0" w:color="auto"/>
        <w:left w:val="none" w:sz="0" w:space="0" w:color="auto"/>
        <w:bottom w:val="none" w:sz="0" w:space="0" w:color="auto"/>
        <w:right w:val="none" w:sz="0" w:space="0" w:color="auto"/>
      </w:divBdr>
    </w:div>
    <w:div w:id="181940343">
      <w:bodyDiv w:val="1"/>
      <w:marLeft w:val="0"/>
      <w:marRight w:val="0"/>
      <w:marTop w:val="0"/>
      <w:marBottom w:val="0"/>
      <w:divBdr>
        <w:top w:val="none" w:sz="0" w:space="0" w:color="auto"/>
        <w:left w:val="none" w:sz="0" w:space="0" w:color="auto"/>
        <w:bottom w:val="none" w:sz="0" w:space="0" w:color="auto"/>
        <w:right w:val="none" w:sz="0" w:space="0" w:color="auto"/>
      </w:divBdr>
    </w:div>
    <w:div w:id="189728273">
      <w:bodyDiv w:val="1"/>
      <w:marLeft w:val="0"/>
      <w:marRight w:val="0"/>
      <w:marTop w:val="0"/>
      <w:marBottom w:val="0"/>
      <w:divBdr>
        <w:top w:val="none" w:sz="0" w:space="0" w:color="auto"/>
        <w:left w:val="none" w:sz="0" w:space="0" w:color="auto"/>
        <w:bottom w:val="none" w:sz="0" w:space="0" w:color="auto"/>
        <w:right w:val="none" w:sz="0" w:space="0" w:color="auto"/>
      </w:divBdr>
    </w:div>
    <w:div w:id="325019958">
      <w:bodyDiv w:val="1"/>
      <w:marLeft w:val="0"/>
      <w:marRight w:val="0"/>
      <w:marTop w:val="0"/>
      <w:marBottom w:val="0"/>
      <w:divBdr>
        <w:top w:val="none" w:sz="0" w:space="0" w:color="auto"/>
        <w:left w:val="none" w:sz="0" w:space="0" w:color="auto"/>
        <w:bottom w:val="none" w:sz="0" w:space="0" w:color="auto"/>
        <w:right w:val="none" w:sz="0" w:space="0" w:color="auto"/>
      </w:divBdr>
    </w:div>
    <w:div w:id="468285416">
      <w:bodyDiv w:val="1"/>
      <w:marLeft w:val="0"/>
      <w:marRight w:val="0"/>
      <w:marTop w:val="0"/>
      <w:marBottom w:val="0"/>
      <w:divBdr>
        <w:top w:val="none" w:sz="0" w:space="0" w:color="auto"/>
        <w:left w:val="none" w:sz="0" w:space="0" w:color="auto"/>
        <w:bottom w:val="none" w:sz="0" w:space="0" w:color="auto"/>
        <w:right w:val="none" w:sz="0" w:space="0" w:color="auto"/>
      </w:divBdr>
    </w:div>
    <w:div w:id="481891489">
      <w:bodyDiv w:val="1"/>
      <w:marLeft w:val="0"/>
      <w:marRight w:val="0"/>
      <w:marTop w:val="0"/>
      <w:marBottom w:val="0"/>
      <w:divBdr>
        <w:top w:val="none" w:sz="0" w:space="0" w:color="auto"/>
        <w:left w:val="none" w:sz="0" w:space="0" w:color="auto"/>
        <w:bottom w:val="none" w:sz="0" w:space="0" w:color="auto"/>
        <w:right w:val="none" w:sz="0" w:space="0" w:color="auto"/>
      </w:divBdr>
    </w:div>
    <w:div w:id="503085099">
      <w:bodyDiv w:val="1"/>
      <w:marLeft w:val="0"/>
      <w:marRight w:val="0"/>
      <w:marTop w:val="0"/>
      <w:marBottom w:val="0"/>
      <w:divBdr>
        <w:top w:val="none" w:sz="0" w:space="0" w:color="auto"/>
        <w:left w:val="none" w:sz="0" w:space="0" w:color="auto"/>
        <w:bottom w:val="none" w:sz="0" w:space="0" w:color="auto"/>
        <w:right w:val="none" w:sz="0" w:space="0" w:color="auto"/>
      </w:divBdr>
    </w:div>
    <w:div w:id="503282960">
      <w:bodyDiv w:val="1"/>
      <w:marLeft w:val="0"/>
      <w:marRight w:val="0"/>
      <w:marTop w:val="0"/>
      <w:marBottom w:val="0"/>
      <w:divBdr>
        <w:top w:val="none" w:sz="0" w:space="0" w:color="auto"/>
        <w:left w:val="none" w:sz="0" w:space="0" w:color="auto"/>
        <w:bottom w:val="none" w:sz="0" w:space="0" w:color="auto"/>
        <w:right w:val="none" w:sz="0" w:space="0" w:color="auto"/>
      </w:divBdr>
    </w:div>
    <w:div w:id="507252682">
      <w:bodyDiv w:val="1"/>
      <w:marLeft w:val="0"/>
      <w:marRight w:val="0"/>
      <w:marTop w:val="0"/>
      <w:marBottom w:val="0"/>
      <w:divBdr>
        <w:top w:val="none" w:sz="0" w:space="0" w:color="auto"/>
        <w:left w:val="none" w:sz="0" w:space="0" w:color="auto"/>
        <w:bottom w:val="none" w:sz="0" w:space="0" w:color="auto"/>
        <w:right w:val="none" w:sz="0" w:space="0" w:color="auto"/>
      </w:divBdr>
      <w:divsChild>
        <w:div w:id="1692954199">
          <w:marLeft w:val="360"/>
          <w:marRight w:val="0"/>
          <w:marTop w:val="0"/>
          <w:marBottom w:val="0"/>
          <w:divBdr>
            <w:top w:val="none" w:sz="0" w:space="0" w:color="auto"/>
            <w:left w:val="none" w:sz="0" w:space="0" w:color="auto"/>
            <w:bottom w:val="none" w:sz="0" w:space="0" w:color="auto"/>
            <w:right w:val="none" w:sz="0" w:space="0" w:color="auto"/>
          </w:divBdr>
        </w:div>
        <w:div w:id="1826504982">
          <w:marLeft w:val="360"/>
          <w:marRight w:val="0"/>
          <w:marTop w:val="0"/>
          <w:marBottom w:val="0"/>
          <w:divBdr>
            <w:top w:val="none" w:sz="0" w:space="0" w:color="auto"/>
            <w:left w:val="none" w:sz="0" w:space="0" w:color="auto"/>
            <w:bottom w:val="none" w:sz="0" w:space="0" w:color="auto"/>
            <w:right w:val="none" w:sz="0" w:space="0" w:color="auto"/>
          </w:divBdr>
        </w:div>
        <w:div w:id="2050951226">
          <w:marLeft w:val="360"/>
          <w:marRight w:val="0"/>
          <w:marTop w:val="0"/>
          <w:marBottom w:val="0"/>
          <w:divBdr>
            <w:top w:val="none" w:sz="0" w:space="0" w:color="auto"/>
            <w:left w:val="none" w:sz="0" w:space="0" w:color="auto"/>
            <w:bottom w:val="none" w:sz="0" w:space="0" w:color="auto"/>
            <w:right w:val="none" w:sz="0" w:space="0" w:color="auto"/>
          </w:divBdr>
        </w:div>
      </w:divsChild>
    </w:div>
    <w:div w:id="519467412">
      <w:bodyDiv w:val="1"/>
      <w:marLeft w:val="0"/>
      <w:marRight w:val="0"/>
      <w:marTop w:val="0"/>
      <w:marBottom w:val="0"/>
      <w:divBdr>
        <w:top w:val="none" w:sz="0" w:space="0" w:color="auto"/>
        <w:left w:val="none" w:sz="0" w:space="0" w:color="auto"/>
        <w:bottom w:val="none" w:sz="0" w:space="0" w:color="auto"/>
        <w:right w:val="none" w:sz="0" w:space="0" w:color="auto"/>
      </w:divBdr>
    </w:div>
    <w:div w:id="526332203">
      <w:bodyDiv w:val="1"/>
      <w:marLeft w:val="0"/>
      <w:marRight w:val="0"/>
      <w:marTop w:val="0"/>
      <w:marBottom w:val="0"/>
      <w:divBdr>
        <w:top w:val="none" w:sz="0" w:space="0" w:color="auto"/>
        <w:left w:val="none" w:sz="0" w:space="0" w:color="auto"/>
        <w:bottom w:val="none" w:sz="0" w:space="0" w:color="auto"/>
        <w:right w:val="none" w:sz="0" w:space="0" w:color="auto"/>
      </w:divBdr>
      <w:divsChild>
        <w:div w:id="192617074">
          <w:marLeft w:val="0"/>
          <w:marRight w:val="0"/>
          <w:marTop w:val="0"/>
          <w:marBottom w:val="0"/>
          <w:divBdr>
            <w:top w:val="none" w:sz="0" w:space="0" w:color="auto"/>
            <w:left w:val="none" w:sz="0" w:space="0" w:color="auto"/>
            <w:bottom w:val="none" w:sz="0" w:space="0" w:color="auto"/>
            <w:right w:val="none" w:sz="0" w:space="0" w:color="auto"/>
          </w:divBdr>
          <w:divsChild>
            <w:div w:id="205794688">
              <w:marLeft w:val="0"/>
              <w:marRight w:val="0"/>
              <w:marTop w:val="0"/>
              <w:marBottom w:val="0"/>
              <w:divBdr>
                <w:top w:val="none" w:sz="0" w:space="0" w:color="auto"/>
                <w:left w:val="none" w:sz="0" w:space="0" w:color="auto"/>
                <w:bottom w:val="none" w:sz="0" w:space="0" w:color="auto"/>
                <w:right w:val="none" w:sz="0" w:space="0" w:color="auto"/>
              </w:divBdr>
              <w:divsChild>
                <w:div w:id="5431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36975">
      <w:bodyDiv w:val="1"/>
      <w:marLeft w:val="0"/>
      <w:marRight w:val="0"/>
      <w:marTop w:val="0"/>
      <w:marBottom w:val="0"/>
      <w:divBdr>
        <w:top w:val="none" w:sz="0" w:space="0" w:color="auto"/>
        <w:left w:val="none" w:sz="0" w:space="0" w:color="auto"/>
        <w:bottom w:val="none" w:sz="0" w:space="0" w:color="auto"/>
        <w:right w:val="none" w:sz="0" w:space="0" w:color="auto"/>
      </w:divBdr>
    </w:div>
    <w:div w:id="596717135">
      <w:bodyDiv w:val="1"/>
      <w:marLeft w:val="0"/>
      <w:marRight w:val="0"/>
      <w:marTop w:val="0"/>
      <w:marBottom w:val="0"/>
      <w:divBdr>
        <w:top w:val="none" w:sz="0" w:space="0" w:color="auto"/>
        <w:left w:val="none" w:sz="0" w:space="0" w:color="auto"/>
        <w:bottom w:val="none" w:sz="0" w:space="0" w:color="auto"/>
        <w:right w:val="none" w:sz="0" w:space="0" w:color="auto"/>
      </w:divBdr>
      <w:divsChild>
        <w:div w:id="1600867931">
          <w:marLeft w:val="0"/>
          <w:marRight w:val="0"/>
          <w:marTop w:val="0"/>
          <w:marBottom w:val="0"/>
          <w:divBdr>
            <w:top w:val="none" w:sz="0" w:space="0" w:color="auto"/>
            <w:left w:val="none" w:sz="0" w:space="0" w:color="auto"/>
            <w:bottom w:val="none" w:sz="0" w:space="0" w:color="auto"/>
            <w:right w:val="none" w:sz="0" w:space="0" w:color="auto"/>
          </w:divBdr>
        </w:div>
        <w:div w:id="467360740">
          <w:marLeft w:val="0"/>
          <w:marRight w:val="0"/>
          <w:marTop w:val="0"/>
          <w:marBottom w:val="0"/>
          <w:divBdr>
            <w:top w:val="none" w:sz="0" w:space="0" w:color="auto"/>
            <w:left w:val="none" w:sz="0" w:space="0" w:color="auto"/>
            <w:bottom w:val="none" w:sz="0" w:space="0" w:color="auto"/>
            <w:right w:val="none" w:sz="0" w:space="0" w:color="auto"/>
          </w:divBdr>
        </w:div>
        <w:div w:id="1833789876">
          <w:marLeft w:val="0"/>
          <w:marRight w:val="0"/>
          <w:marTop w:val="0"/>
          <w:marBottom w:val="0"/>
          <w:divBdr>
            <w:top w:val="none" w:sz="0" w:space="0" w:color="auto"/>
            <w:left w:val="none" w:sz="0" w:space="0" w:color="auto"/>
            <w:bottom w:val="none" w:sz="0" w:space="0" w:color="auto"/>
            <w:right w:val="none" w:sz="0" w:space="0" w:color="auto"/>
          </w:divBdr>
        </w:div>
        <w:div w:id="1349722190">
          <w:marLeft w:val="0"/>
          <w:marRight w:val="0"/>
          <w:marTop w:val="0"/>
          <w:marBottom w:val="0"/>
          <w:divBdr>
            <w:top w:val="none" w:sz="0" w:space="0" w:color="auto"/>
            <w:left w:val="none" w:sz="0" w:space="0" w:color="auto"/>
            <w:bottom w:val="none" w:sz="0" w:space="0" w:color="auto"/>
            <w:right w:val="none" w:sz="0" w:space="0" w:color="auto"/>
          </w:divBdr>
        </w:div>
        <w:div w:id="1424841445">
          <w:marLeft w:val="0"/>
          <w:marRight w:val="0"/>
          <w:marTop w:val="0"/>
          <w:marBottom w:val="0"/>
          <w:divBdr>
            <w:top w:val="none" w:sz="0" w:space="0" w:color="auto"/>
            <w:left w:val="none" w:sz="0" w:space="0" w:color="auto"/>
            <w:bottom w:val="none" w:sz="0" w:space="0" w:color="auto"/>
            <w:right w:val="none" w:sz="0" w:space="0" w:color="auto"/>
          </w:divBdr>
        </w:div>
        <w:div w:id="396561840">
          <w:marLeft w:val="0"/>
          <w:marRight w:val="0"/>
          <w:marTop w:val="0"/>
          <w:marBottom w:val="0"/>
          <w:divBdr>
            <w:top w:val="none" w:sz="0" w:space="0" w:color="auto"/>
            <w:left w:val="none" w:sz="0" w:space="0" w:color="auto"/>
            <w:bottom w:val="none" w:sz="0" w:space="0" w:color="auto"/>
            <w:right w:val="none" w:sz="0" w:space="0" w:color="auto"/>
          </w:divBdr>
        </w:div>
        <w:div w:id="461851795">
          <w:marLeft w:val="0"/>
          <w:marRight w:val="0"/>
          <w:marTop w:val="0"/>
          <w:marBottom w:val="0"/>
          <w:divBdr>
            <w:top w:val="none" w:sz="0" w:space="0" w:color="auto"/>
            <w:left w:val="none" w:sz="0" w:space="0" w:color="auto"/>
            <w:bottom w:val="none" w:sz="0" w:space="0" w:color="auto"/>
            <w:right w:val="none" w:sz="0" w:space="0" w:color="auto"/>
          </w:divBdr>
        </w:div>
        <w:div w:id="631137943">
          <w:marLeft w:val="0"/>
          <w:marRight w:val="0"/>
          <w:marTop w:val="0"/>
          <w:marBottom w:val="0"/>
          <w:divBdr>
            <w:top w:val="none" w:sz="0" w:space="0" w:color="auto"/>
            <w:left w:val="none" w:sz="0" w:space="0" w:color="auto"/>
            <w:bottom w:val="none" w:sz="0" w:space="0" w:color="auto"/>
            <w:right w:val="none" w:sz="0" w:space="0" w:color="auto"/>
          </w:divBdr>
          <w:divsChild>
            <w:div w:id="859467444">
              <w:marLeft w:val="0"/>
              <w:marRight w:val="0"/>
              <w:marTop w:val="0"/>
              <w:marBottom w:val="0"/>
              <w:divBdr>
                <w:top w:val="none" w:sz="0" w:space="0" w:color="auto"/>
                <w:left w:val="none" w:sz="0" w:space="0" w:color="auto"/>
                <w:bottom w:val="none" w:sz="0" w:space="0" w:color="auto"/>
                <w:right w:val="none" w:sz="0" w:space="0" w:color="auto"/>
              </w:divBdr>
            </w:div>
            <w:div w:id="466093909">
              <w:marLeft w:val="0"/>
              <w:marRight w:val="0"/>
              <w:marTop w:val="0"/>
              <w:marBottom w:val="0"/>
              <w:divBdr>
                <w:top w:val="none" w:sz="0" w:space="0" w:color="auto"/>
                <w:left w:val="none" w:sz="0" w:space="0" w:color="auto"/>
                <w:bottom w:val="none" w:sz="0" w:space="0" w:color="auto"/>
                <w:right w:val="none" w:sz="0" w:space="0" w:color="auto"/>
              </w:divBdr>
            </w:div>
            <w:div w:id="1513105328">
              <w:marLeft w:val="0"/>
              <w:marRight w:val="0"/>
              <w:marTop w:val="0"/>
              <w:marBottom w:val="0"/>
              <w:divBdr>
                <w:top w:val="none" w:sz="0" w:space="0" w:color="auto"/>
                <w:left w:val="none" w:sz="0" w:space="0" w:color="auto"/>
                <w:bottom w:val="none" w:sz="0" w:space="0" w:color="auto"/>
                <w:right w:val="none" w:sz="0" w:space="0" w:color="auto"/>
              </w:divBdr>
            </w:div>
            <w:div w:id="741414308">
              <w:marLeft w:val="0"/>
              <w:marRight w:val="0"/>
              <w:marTop w:val="0"/>
              <w:marBottom w:val="0"/>
              <w:divBdr>
                <w:top w:val="none" w:sz="0" w:space="0" w:color="auto"/>
                <w:left w:val="none" w:sz="0" w:space="0" w:color="auto"/>
                <w:bottom w:val="none" w:sz="0" w:space="0" w:color="auto"/>
                <w:right w:val="none" w:sz="0" w:space="0" w:color="auto"/>
              </w:divBdr>
            </w:div>
            <w:div w:id="925459553">
              <w:marLeft w:val="0"/>
              <w:marRight w:val="0"/>
              <w:marTop w:val="0"/>
              <w:marBottom w:val="0"/>
              <w:divBdr>
                <w:top w:val="none" w:sz="0" w:space="0" w:color="auto"/>
                <w:left w:val="none" w:sz="0" w:space="0" w:color="auto"/>
                <w:bottom w:val="none" w:sz="0" w:space="0" w:color="auto"/>
                <w:right w:val="none" w:sz="0" w:space="0" w:color="auto"/>
              </w:divBdr>
            </w:div>
            <w:div w:id="197815547">
              <w:marLeft w:val="0"/>
              <w:marRight w:val="0"/>
              <w:marTop w:val="0"/>
              <w:marBottom w:val="0"/>
              <w:divBdr>
                <w:top w:val="none" w:sz="0" w:space="0" w:color="auto"/>
                <w:left w:val="none" w:sz="0" w:space="0" w:color="auto"/>
                <w:bottom w:val="none" w:sz="0" w:space="0" w:color="auto"/>
                <w:right w:val="none" w:sz="0" w:space="0" w:color="auto"/>
              </w:divBdr>
            </w:div>
            <w:div w:id="259337975">
              <w:marLeft w:val="0"/>
              <w:marRight w:val="0"/>
              <w:marTop w:val="0"/>
              <w:marBottom w:val="0"/>
              <w:divBdr>
                <w:top w:val="none" w:sz="0" w:space="0" w:color="auto"/>
                <w:left w:val="none" w:sz="0" w:space="0" w:color="auto"/>
                <w:bottom w:val="none" w:sz="0" w:space="0" w:color="auto"/>
                <w:right w:val="none" w:sz="0" w:space="0" w:color="auto"/>
              </w:divBdr>
            </w:div>
            <w:div w:id="1215698253">
              <w:marLeft w:val="0"/>
              <w:marRight w:val="0"/>
              <w:marTop w:val="0"/>
              <w:marBottom w:val="0"/>
              <w:divBdr>
                <w:top w:val="none" w:sz="0" w:space="0" w:color="auto"/>
                <w:left w:val="none" w:sz="0" w:space="0" w:color="auto"/>
                <w:bottom w:val="none" w:sz="0" w:space="0" w:color="auto"/>
                <w:right w:val="none" w:sz="0" w:space="0" w:color="auto"/>
              </w:divBdr>
            </w:div>
            <w:div w:id="1133059251">
              <w:marLeft w:val="0"/>
              <w:marRight w:val="0"/>
              <w:marTop w:val="0"/>
              <w:marBottom w:val="0"/>
              <w:divBdr>
                <w:top w:val="none" w:sz="0" w:space="0" w:color="auto"/>
                <w:left w:val="none" w:sz="0" w:space="0" w:color="auto"/>
                <w:bottom w:val="none" w:sz="0" w:space="0" w:color="auto"/>
                <w:right w:val="none" w:sz="0" w:space="0" w:color="auto"/>
              </w:divBdr>
            </w:div>
            <w:div w:id="37048535">
              <w:marLeft w:val="0"/>
              <w:marRight w:val="0"/>
              <w:marTop w:val="0"/>
              <w:marBottom w:val="0"/>
              <w:divBdr>
                <w:top w:val="none" w:sz="0" w:space="0" w:color="auto"/>
                <w:left w:val="none" w:sz="0" w:space="0" w:color="auto"/>
                <w:bottom w:val="none" w:sz="0" w:space="0" w:color="auto"/>
                <w:right w:val="none" w:sz="0" w:space="0" w:color="auto"/>
              </w:divBdr>
            </w:div>
            <w:div w:id="1870222599">
              <w:marLeft w:val="0"/>
              <w:marRight w:val="0"/>
              <w:marTop w:val="0"/>
              <w:marBottom w:val="0"/>
              <w:divBdr>
                <w:top w:val="none" w:sz="0" w:space="0" w:color="auto"/>
                <w:left w:val="none" w:sz="0" w:space="0" w:color="auto"/>
                <w:bottom w:val="none" w:sz="0" w:space="0" w:color="auto"/>
                <w:right w:val="none" w:sz="0" w:space="0" w:color="auto"/>
              </w:divBdr>
            </w:div>
            <w:div w:id="85806969">
              <w:marLeft w:val="0"/>
              <w:marRight w:val="0"/>
              <w:marTop w:val="0"/>
              <w:marBottom w:val="0"/>
              <w:divBdr>
                <w:top w:val="none" w:sz="0" w:space="0" w:color="auto"/>
                <w:left w:val="none" w:sz="0" w:space="0" w:color="auto"/>
                <w:bottom w:val="none" w:sz="0" w:space="0" w:color="auto"/>
                <w:right w:val="none" w:sz="0" w:space="0" w:color="auto"/>
              </w:divBdr>
            </w:div>
            <w:div w:id="1869440704">
              <w:marLeft w:val="0"/>
              <w:marRight w:val="0"/>
              <w:marTop w:val="0"/>
              <w:marBottom w:val="0"/>
              <w:divBdr>
                <w:top w:val="none" w:sz="0" w:space="0" w:color="auto"/>
                <w:left w:val="none" w:sz="0" w:space="0" w:color="auto"/>
                <w:bottom w:val="none" w:sz="0" w:space="0" w:color="auto"/>
                <w:right w:val="none" w:sz="0" w:space="0" w:color="auto"/>
              </w:divBdr>
            </w:div>
            <w:div w:id="1831170085">
              <w:marLeft w:val="0"/>
              <w:marRight w:val="0"/>
              <w:marTop w:val="0"/>
              <w:marBottom w:val="0"/>
              <w:divBdr>
                <w:top w:val="none" w:sz="0" w:space="0" w:color="auto"/>
                <w:left w:val="none" w:sz="0" w:space="0" w:color="auto"/>
                <w:bottom w:val="none" w:sz="0" w:space="0" w:color="auto"/>
                <w:right w:val="none" w:sz="0" w:space="0" w:color="auto"/>
              </w:divBdr>
            </w:div>
            <w:div w:id="1931113662">
              <w:marLeft w:val="0"/>
              <w:marRight w:val="0"/>
              <w:marTop w:val="0"/>
              <w:marBottom w:val="0"/>
              <w:divBdr>
                <w:top w:val="none" w:sz="0" w:space="0" w:color="auto"/>
                <w:left w:val="none" w:sz="0" w:space="0" w:color="auto"/>
                <w:bottom w:val="none" w:sz="0" w:space="0" w:color="auto"/>
                <w:right w:val="none" w:sz="0" w:space="0" w:color="auto"/>
              </w:divBdr>
            </w:div>
            <w:div w:id="1190296714">
              <w:marLeft w:val="0"/>
              <w:marRight w:val="0"/>
              <w:marTop w:val="0"/>
              <w:marBottom w:val="0"/>
              <w:divBdr>
                <w:top w:val="none" w:sz="0" w:space="0" w:color="auto"/>
                <w:left w:val="none" w:sz="0" w:space="0" w:color="auto"/>
                <w:bottom w:val="none" w:sz="0" w:space="0" w:color="auto"/>
                <w:right w:val="none" w:sz="0" w:space="0" w:color="auto"/>
              </w:divBdr>
            </w:div>
            <w:div w:id="1820727411">
              <w:marLeft w:val="0"/>
              <w:marRight w:val="0"/>
              <w:marTop w:val="0"/>
              <w:marBottom w:val="0"/>
              <w:divBdr>
                <w:top w:val="none" w:sz="0" w:space="0" w:color="auto"/>
                <w:left w:val="none" w:sz="0" w:space="0" w:color="auto"/>
                <w:bottom w:val="none" w:sz="0" w:space="0" w:color="auto"/>
                <w:right w:val="none" w:sz="0" w:space="0" w:color="auto"/>
              </w:divBdr>
            </w:div>
            <w:div w:id="187333554">
              <w:marLeft w:val="0"/>
              <w:marRight w:val="0"/>
              <w:marTop w:val="0"/>
              <w:marBottom w:val="0"/>
              <w:divBdr>
                <w:top w:val="none" w:sz="0" w:space="0" w:color="auto"/>
                <w:left w:val="none" w:sz="0" w:space="0" w:color="auto"/>
                <w:bottom w:val="none" w:sz="0" w:space="0" w:color="auto"/>
                <w:right w:val="none" w:sz="0" w:space="0" w:color="auto"/>
              </w:divBdr>
            </w:div>
            <w:div w:id="960301426">
              <w:marLeft w:val="0"/>
              <w:marRight w:val="0"/>
              <w:marTop w:val="0"/>
              <w:marBottom w:val="0"/>
              <w:divBdr>
                <w:top w:val="none" w:sz="0" w:space="0" w:color="auto"/>
                <w:left w:val="none" w:sz="0" w:space="0" w:color="auto"/>
                <w:bottom w:val="none" w:sz="0" w:space="0" w:color="auto"/>
                <w:right w:val="none" w:sz="0" w:space="0" w:color="auto"/>
              </w:divBdr>
            </w:div>
            <w:div w:id="1463032915">
              <w:marLeft w:val="0"/>
              <w:marRight w:val="0"/>
              <w:marTop w:val="0"/>
              <w:marBottom w:val="0"/>
              <w:divBdr>
                <w:top w:val="none" w:sz="0" w:space="0" w:color="auto"/>
                <w:left w:val="none" w:sz="0" w:space="0" w:color="auto"/>
                <w:bottom w:val="none" w:sz="0" w:space="0" w:color="auto"/>
                <w:right w:val="none" w:sz="0" w:space="0" w:color="auto"/>
              </w:divBdr>
            </w:div>
          </w:divsChild>
        </w:div>
        <w:div w:id="362365326">
          <w:marLeft w:val="0"/>
          <w:marRight w:val="0"/>
          <w:marTop w:val="0"/>
          <w:marBottom w:val="0"/>
          <w:divBdr>
            <w:top w:val="none" w:sz="0" w:space="0" w:color="auto"/>
            <w:left w:val="none" w:sz="0" w:space="0" w:color="auto"/>
            <w:bottom w:val="none" w:sz="0" w:space="0" w:color="auto"/>
            <w:right w:val="none" w:sz="0" w:space="0" w:color="auto"/>
          </w:divBdr>
          <w:divsChild>
            <w:div w:id="1650330340">
              <w:marLeft w:val="0"/>
              <w:marRight w:val="0"/>
              <w:marTop w:val="0"/>
              <w:marBottom w:val="0"/>
              <w:divBdr>
                <w:top w:val="none" w:sz="0" w:space="0" w:color="auto"/>
                <w:left w:val="none" w:sz="0" w:space="0" w:color="auto"/>
                <w:bottom w:val="none" w:sz="0" w:space="0" w:color="auto"/>
                <w:right w:val="none" w:sz="0" w:space="0" w:color="auto"/>
              </w:divBdr>
            </w:div>
            <w:div w:id="1703936380">
              <w:marLeft w:val="0"/>
              <w:marRight w:val="0"/>
              <w:marTop w:val="0"/>
              <w:marBottom w:val="0"/>
              <w:divBdr>
                <w:top w:val="none" w:sz="0" w:space="0" w:color="auto"/>
                <w:left w:val="none" w:sz="0" w:space="0" w:color="auto"/>
                <w:bottom w:val="none" w:sz="0" w:space="0" w:color="auto"/>
                <w:right w:val="none" w:sz="0" w:space="0" w:color="auto"/>
              </w:divBdr>
            </w:div>
            <w:div w:id="67193551">
              <w:marLeft w:val="0"/>
              <w:marRight w:val="0"/>
              <w:marTop w:val="0"/>
              <w:marBottom w:val="0"/>
              <w:divBdr>
                <w:top w:val="none" w:sz="0" w:space="0" w:color="auto"/>
                <w:left w:val="none" w:sz="0" w:space="0" w:color="auto"/>
                <w:bottom w:val="none" w:sz="0" w:space="0" w:color="auto"/>
                <w:right w:val="none" w:sz="0" w:space="0" w:color="auto"/>
              </w:divBdr>
            </w:div>
            <w:div w:id="1955088067">
              <w:marLeft w:val="0"/>
              <w:marRight w:val="0"/>
              <w:marTop w:val="0"/>
              <w:marBottom w:val="0"/>
              <w:divBdr>
                <w:top w:val="none" w:sz="0" w:space="0" w:color="auto"/>
                <w:left w:val="none" w:sz="0" w:space="0" w:color="auto"/>
                <w:bottom w:val="none" w:sz="0" w:space="0" w:color="auto"/>
                <w:right w:val="none" w:sz="0" w:space="0" w:color="auto"/>
              </w:divBdr>
            </w:div>
            <w:div w:id="1326126849">
              <w:marLeft w:val="0"/>
              <w:marRight w:val="0"/>
              <w:marTop w:val="0"/>
              <w:marBottom w:val="0"/>
              <w:divBdr>
                <w:top w:val="none" w:sz="0" w:space="0" w:color="auto"/>
                <w:left w:val="none" w:sz="0" w:space="0" w:color="auto"/>
                <w:bottom w:val="none" w:sz="0" w:space="0" w:color="auto"/>
                <w:right w:val="none" w:sz="0" w:space="0" w:color="auto"/>
              </w:divBdr>
            </w:div>
            <w:div w:id="549997332">
              <w:marLeft w:val="0"/>
              <w:marRight w:val="0"/>
              <w:marTop w:val="0"/>
              <w:marBottom w:val="0"/>
              <w:divBdr>
                <w:top w:val="none" w:sz="0" w:space="0" w:color="auto"/>
                <w:left w:val="none" w:sz="0" w:space="0" w:color="auto"/>
                <w:bottom w:val="none" w:sz="0" w:space="0" w:color="auto"/>
                <w:right w:val="none" w:sz="0" w:space="0" w:color="auto"/>
              </w:divBdr>
            </w:div>
            <w:div w:id="1694765196">
              <w:marLeft w:val="0"/>
              <w:marRight w:val="0"/>
              <w:marTop w:val="0"/>
              <w:marBottom w:val="0"/>
              <w:divBdr>
                <w:top w:val="none" w:sz="0" w:space="0" w:color="auto"/>
                <w:left w:val="none" w:sz="0" w:space="0" w:color="auto"/>
                <w:bottom w:val="none" w:sz="0" w:space="0" w:color="auto"/>
                <w:right w:val="none" w:sz="0" w:space="0" w:color="auto"/>
              </w:divBdr>
            </w:div>
            <w:div w:id="1477334797">
              <w:marLeft w:val="0"/>
              <w:marRight w:val="0"/>
              <w:marTop w:val="0"/>
              <w:marBottom w:val="0"/>
              <w:divBdr>
                <w:top w:val="none" w:sz="0" w:space="0" w:color="auto"/>
                <w:left w:val="none" w:sz="0" w:space="0" w:color="auto"/>
                <w:bottom w:val="none" w:sz="0" w:space="0" w:color="auto"/>
                <w:right w:val="none" w:sz="0" w:space="0" w:color="auto"/>
              </w:divBdr>
            </w:div>
            <w:div w:id="1229727609">
              <w:marLeft w:val="0"/>
              <w:marRight w:val="0"/>
              <w:marTop w:val="0"/>
              <w:marBottom w:val="0"/>
              <w:divBdr>
                <w:top w:val="none" w:sz="0" w:space="0" w:color="auto"/>
                <w:left w:val="none" w:sz="0" w:space="0" w:color="auto"/>
                <w:bottom w:val="none" w:sz="0" w:space="0" w:color="auto"/>
                <w:right w:val="none" w:sz="0" w:space="0" w:color="auto"/>
              </w:divBdr>
            </w:div>
            <w:div w:id="1889876895">
              <w:marLeft w:val="0"/>
              <w:marRight w:val="0"/>
              <w:marTop w:val="0"/>
              <w:marBottom w:val="0"/>
              <w:divBdr>
                <w:top w:val="none" w:sz="0" w:space="0" w:color="auto"/>
                <w:left w:val="none" w:sz="0" w:space="0" w:color="auto"/>
                <w:bottom w:val="none" w:sz="0" w:space="0" w:color="auto"/>
                <w:right w:val="none" w:sz="0" w:space="0" w:color="auto"/>
              </w:divBdr>
            </w:div>
            <w:div w:id="1442644474">
              <w:marLeft w:val="0"/>
              <w:marRight w:val="0"/>
              <w:marTop w:val="0"/>
              <w:marBottom w:val="0"/>
              <w:divBdr>
                <w:top w:val="none" w:sz="0" w:space="0" w:color="auto"/>
                <w:left w:val="none" w:sz="0" w:space="0" w:color="auto"/>
                <w:bottom w:val="none" w:sz="0" w:space="0" w:color="auto"/>
                <w:right w:val="none" w:sz="0" w:space="0" w:color="auto"/>
              </w:divBdr>
            </w:div>
            <w:div w:id="1783567497">
              <w:marLeft w:val="0"/>
              <w:marRight w:val="0"/>
              <w:marTop w:val="0"/>
              <w:marBottom w:val="0"/>
              <w:divBdr>
                <w:top w:val="none" w:sz="0" w:space="0" w:color="auto"/>
                <w:left w:val="none" w:sz="0" w:space="0" w:color="auto"/>
                <w:bottom w:val="none" w:sz="0" w:space="0" w:color="auto"/>
                <w:right w:val="none" w:sz="0" w:space="0" w:color="auto"/>
              </w:divBdr>
            </w:div>
            <w:div w:id="1789615813">
              <w:marLeft w:val="0"/>
              <w:marRight w:val="0"/>
              <w:marTop w:val="0"/>
              <w:marBottom w:val="0"/>
              <w:divBdr>
                <w:top w:val="none" w:sz="0" w:space="0" w:color="auto"/>
                <w:left w:val="none" w:sz="0" w:space="0" w:color="auto"/>
                <w:bottom w:val="none" w:sz="0" w:space="0" w:color="auto"/>
                <w:right w:val="none" w:sz="0" w:space="0" w:color="auto"/>
              </w:divBdr>
            </w:div>
            <w:div w:id="1423377587">
              <w:marLeft w:val="0"/>
              <w:marRight w:val="0"/>
              <w:marTop w:val="0"/>
              <w:marBottom w:val="0"/>
              <w:divBdr>
                <w:top w:val="none" w:sz="0" w:space="0" w:color="auto"/>
                <w:left w:val="none" w:sz="0" w:space="0" w:color="auto"/>
                <w:bottom w:val="none" w:sz="0" w:space="0" w:color="auto"/>
                <w:right w:val="none" w:sz="0" w:space="0" w:color="auto"/>
              </w:divBdr>
            </w:div>
            <w:div w:id="1220701545">
              <w:marLeft w:val="0"/>
              <w:marRight w:val="0"/>
              <w:marTop w:val="0"/>
              <w:marBottom w:val="0"/>
              <w:divBdr>
                <w:top w:val="none" w:sz="0" w:space="0" w:color="auto"/>
                <w:left w:val="none" w:sz="0" w:space="0" w:color="auto"/>
                <w:bottom w:val="none" w:sz="0" w:space="0" w:color="auto"/>
                <w:right w:val="none" w:sz="0" w:space="0" w:color="auto"/>
              </w:divBdr>
            </w:div>
            <w:div w:id="646469943">
              <w:marLeft w:val="0"/>
              <w:marRight w:val="0"/>
              <w:marTop w:val="0"/>
              <w:marBottom w:val="0"/>
              <w:divBdr>
                <w:top w:val="none" w:sz="0" w:space="0" w:color="auto"/>
                <w:left w:val="none" w:sz="0" w:space="0" w:color="auto"/>
                <w:bottom w:val="none" w:sz="0" w:space="0" w:color="auto"/>
                <w:right w:val="none" w:sz="0" w:space="0" w:color="auto"/>
              </w:divBdr>
            </w:div>
            <w:div w:id="1096905581">
              <w:marLeft w:val="0"/>
              <w:marRight w:val="0"/>
              <w:marTop w:val="0"/>
              <w:marBottom w:val="0"/>
              <w:divBdr>
                <w:top w:val="none" w:sz="0" w:space="0" w:color="auto"/>
                <w:left w:val="none" w:sz="0" w:space="0" w:color="auto"/>
                <w:bottom w:val="none" w:sz="0" w:space="0" w:color="auto"/>
                <w:right w:val="none" w:sz="0" w:space="0" w:color="auto"/>
              </w:divBdr>
            </w:div>
            <w:div w:id="935165724">
              <w:marLeft w:val="0"/>
              <w:marRight w:val="0"/>
              <w:marTop w:val="0"/>
              <w:marBottom w:val="0"/>
              <w:divBdr>
                <w:top w:val="none" w:sz="0" w:space="0" w:color="auto"/>
                <w:left w:val="none" w:sz="0" w:space="0" w:color="auto"/>
                <w:bottom w:val="none" w:sz="0" w:space="0" w:color="auto"/>
                <w:right w:val="none" w:sz="0" w:space="0" w:color="auto"/>
              </w:divBdr>
            </w:div>
            <w:div w:id="1984115386">
              <w:marLeft w:val="0"/>
              <w:marRight w:val="0"/>
              <w:marTop w:val="0"/>
              <w:marBottom w:val="0"/>
              <w:divBdr>
                <w:top w:val="none" w:sz="0" w:space="0" w:color="auto"/>
                <w:left w:val="none" w:sz="0" w:space="0" w:color="auto"/>
                <w:bottom w:val="none" w:sz="0" w:space="0" w:color="auto"/>
                <w:right w:val="none" w:sz="0" w:space="0" w:color="auto"/>
              </w:divBdr>
            </w:div>
            <w:div w:id="1057127757">
              <w:marLeft w:val="0"/>
              <w:marRight w:val="0"/>
              <w:marTop w:val="0"/>
              <w:marBottom w:val="0"/>
              <w:divBdr>
                <w:top w:val="none" w:sz="0" w:space="0" w:color="auto"/>
                <w:left w:val="none" w:sz="0" w:space="0" w:color="auto"/>
                <w:bottom w:val="none" w:sz="0" w:space="0" w:color="auto"/>
                <w:right w:val="none" w:sz="0" w:space="0" w:color="auto"/>
              </w:divBdr>
            </w:div>
          </w:divsChild>
        </w:div>
        <w:div w:id="1893422004">
          <w:marLeft w:val="0"/>
          <w:marRight w:val="0"/>
          <w:marTop w:val="0"/>
          <w:marBottom w:val="0"/>
          <w:divBdr>
            <w:top w:val="none" w:sz="0" w:space="0" w:color="auto"/>
            <w:left w:val="none" w:sz="0" w:space="0" w:color="auto"/>
            <w:bottom w:val="none" w:sz="0" w:space="0" w:color="auto"/>
            <w:right w:val="none" w:sz="0" w:space="0" w:color="auto"/>
          </w:divBdr>
          <w:divsChild>
            <w:div w:id="207500614">
              <w:marLeft w:val="0"/>
              <w:marRight w:val="0"/>
              <w:marTop w:val="0"/>
              <w:marBottom w:val="0"/>
              <w:divBdr>
                <w:top w:val="none" w:sz="0" w:space="0" w:color="auto"/>
                <w:left w:val="none" w:sz="0" w:space="0" w:color="auto"/>
                <w:bottom w:val="none" w:sz="0" w:space="0" w:color="auto"/>
                <w:right w:val="none" w:sz="0" w:space="0" w:color="auto"/>
              </w:divBdr>
            </w:div>
            <w:div w:id="807480917">
              <w:marLeft w:val="0"/>
              <w:marRight w:val="0"/>
              <w:marTop w:val="0"/>
              <w:marBottom w:val="0"/>
              <w:divBdr>
                <w:top w:val="none" w:sz="0" w:space="0" w:color="auto"/>
                <w:left w:val="none" w:sz="0" w:space="0" w:color="auto"/>
                <w:bottom w:val="none" w:sz="0" w:space="0" w:color="auto"/>
                <w:right w:val="none" w:sz="0" w:space="0" w:color="auto"/>
              </w:divBdr>
            </w:div>
            <w:div w:id="1985693149">
              <w:marLeft w:val="0"/>
              <w:marRight w:val="0"/>
              <w:marTop w:val="0"/>
              <w:marBottom w:val="0"/>
              <w:divBdr>
                <w:top w:val="none" w:sz="0" w:space="0" w:color="auto"/>
                <w:left w:val="none" w:sz="0" w:space="0" w:color="auto"/>
                <w:bottom w:val="none" w:sz="0" w:space="0" w:color="auto"/>
                <w:right w:val="none" w:sz="0" w:space="0" w:color="auto"/>
              </w:divBdr>
            </w:div>
            <w:div w:id="1259407453">
              <w:marLeft w:val="0"/>
              <w:marRight w:val="0"/>
              <w:marTop w:val="0"/>
              <w:marBottom w:val="0"/>
              <w:divBdr>
                <w:top w:val="none" w:sz="0" w:space="0" w:color="auto"/>
                <w:left w:val="none" w:sz="0" w:space="0" w:color="auto"/>
                <w:bottom w:val="none" w:sz="0" w:space="0" w:color="auto"/>
                <w:right w:val="none" w:sz="0" w:space="0" w:color="auto"/>
              </w:divBdr>
            </w:div>
            <w:div w:id="1378045537">
              <w:marLeft w:val="0"/>
              <w:marRight w:val="0"/>
              <w:marTop w:val="0"/>
              <w:marBottom w:val="0"/>
              <w:divBdr>
                <w:top w:val="none" w:sz="0" w:space="0" w:color="auto"/>
                <w:left w:val="none" w:sz="0" w:space="0" w:color="auto"/>
                <w:bottom w:val="none" w:sz="0" w:space="0" w:color="auto"/>
                <w:right w:val="none" w:sz="0" w:space="0" w:color="auto"/>
              </w:divBdr>
            </w:div>
            <w:div w:id="1409498601">
              <w:marLeft w:val="0"/>
              <w:marRight w:val="0"/>
              <w:marTop w:val="0"/>
              <w:marBottom w:val="0"/>
              <w:divBdr>
                <w:top w:val="none" w:sz="0" w:space="0" w:color="auto"/>
                <w:left w:val="none" w:sz="0" w:space="0" w:color="auto"/>
                <w:bottom w:val="none" w:sz="0" w:space="0" w:color="auto"/>
                <w:right w:val="none" w:sz="0" w:space="0" w:color="auto"/>
              </w:divBdr>
            </w:div>
            <w:div w:id="817069940">
              <w:marLeft w:val="0"/>
              <w:marRight w:val="0"/>
              <w:marTop w:val="0"/>
              <w:marBottom w:val="0"/>
              <w:divBdr>
                <w:top w:val="none" w:sz="0" w:space="0" w:color="auto"/>
                <w:left w:val="none" w:sz="0" w:space="0" w:color="auto"/>
                <w:bottom w:val="none" w:sz="0" w:space="0" w:color="auto"/>
                <w:right w:val="none" w:sz="0" w:space="0" w:color="auto"/>
              </w:divBdr>
            </w:div>
            <w:div w:id="1685940684">
              <w:marLeft w:val="0"/>
              <w:marRight w:val="0"/>
              <w:marTop w:val="0"/>
              <w:marBottom w:val="0"/>
              <w:divBdr>
                <w:top w:val="none" w:sz="0" w:space="0" w:color="auto"/>
                <w:left w:val="none" w:sz="0" w:space="0" w:color="auto"/>
                <w:bottom w:val="none" w:sz="0" w:space="0" w:color="auto"/>
                <w:right w:val="none" w:sz="0" w:space="0" w:color="auto"/>
              </w:divBdr>
            </w:div>
            <w:div w:id="1875388808">
              <w:marLeft w:val="0"/>
              <w:marRight w:val="0"/>
              <w:marTop w:val="0"/>
              <w:marBottom w:val="0"/>
              <w:divBdr>
                <w:top w:val="none" w:sz="0" w:space="0" w:color="auto"/>
                <w:left w:val="none" w:sz="0" w:space="0" w:color="auto"/>
                <w:bottom w:val="none" w:sz="0" w:space="0" w:color="auto"/>
                <w:right w:val="none" w:sz="0" w:space="0" w:color="auto"/>
              </w:divBdr>
            </w:div>
            <w:div w:id="188377739">
              <w:marLeft w:val="0"/>
              <w:marRight w:val="0"/>
              <w:marTop w:val="0"/>
              <w:marBottom w:val="0"/>
              <w:divBdr>
                <w:top w:val="none" w:sz="0" w:space="0" w:color="auto"/>
                <w:left w:val="none" w:sz="0" w:space="0" w:color="auto"/>
                <w:bottom w:val="none" w:sz="0" w:space="0" w:color="auto"/>
                <w:right w:val="none" w:sz="0" w:space="0" w:color="auto"/>
              </w:divBdr>
            </w:div>
            <w:div w:id="1943994604">
              <w:marLeft w:val="0"/>
              <w:marRight w:val="0"/>
              <w:marTop w:val="0"/>
              <w:marBottom w:val="0"/>
              <w:divBdr>
                <w:top w:val="none" w:sz="0" w:space="0" w:color="auto"/>
                <w:left w:val="none" w:sz="0" w:space="0" w:color="auto"/>
                <w:bottom w:val="none" w:sz="0" w:space="0" w:color="auto"/>
                <w:right w:val="none" w:sz="0" w:space="0" w:color="auto"/>
              </w:divBdr>
            </w:div>
            <w:div w:id="1825273383">
              <w:marLeft w:val="0"/>
              <w:marRight w:val="0"/>
              <w:marTop w:val="0"/>
              <w:marBottom w:val="0"/>
              <w:divBdr>
                <w:top w:val="none" w:sz="0" w:space="0" w:color="auto"/>
                <w:left w:val="none" w:sz="0" w:space="0" w:color="auto"/>
                <w:bottom w:val="none" w:sz="0" w:space="0" w:color="auto"/>
                <w:right w:val="none" w:sz="0" w:space="0" w:color="auto"/>
              </w:divBdr>
            </w:div>
            <w:div w:id="1432049205">
              <w:marLeft w:val="0"/>
              <w:marRight w:val="0"/>
              <w:marTop w:val="0"/>
              <w:marBottom w:val="0"/>
              <w:divBdr>
                <w:top w:val="none" w:sz="0" w:space="0" w:color="auto"/>
                <w:left w:val="none" w:sz="0" w:space="0" w:color="auto"/>
                <w:bottom w:val="none" w:sz="0" w:space="0" w:color="auto"/>
                <w:right w:val="none" w:sz="0" w:space="0" w:color="auto"/>
              </w:divBdr>
            </w:div>
            <w:div w:id="1121263244">
              <w:marLeft w:val="0"/>
              <w:marRight w:val="0"/>
              <w:marTop w:val="0"/>
              <w:marBottom w:val="0"/>
              <w:divBdr>
                <w:top w:val="none" w:sz="0" w:space="0" w:color="auto"/>
                <w:left w:val="none" w:sz="0" w:space="0" w:color="auto"/>
                <w:bottom w:val="none" w:sz="0" w:space="0" w:color="auto"/>
                <w:right w:val="none" w:sz="0" w:space="0" w:color="auto"/>
              </w:divBdr>
            </w:div>
          </w:divsChild>
        </w:div>
        <w:div w:id="1626353222">
          <w:marLeft w:val="0"/>
          <w:marRight w:val="0"/>
          <w:marTop w:val="0"/>
          <w:marBottom w:val="0"/>
          <w:divBdr>
            <w:top w:val="none" w:sz="0" w:space="0" w:color="auto"/>
            <w:left w:val="none" w:sz="0" w:space="0" w:color="auto"/>
            <w:bottom w:val="none" w:sz="0" w:space="0" w:color="auto"/>
            <w:right w:val="none" w:sz="0" w:space="0" w:color="auto"/>
          </w:divBdr>
          <w:divsChild>
            <w:div w:id="239483867">
              <w:marLeft w:val="-75"/>
              <w:marRight w:val="0"/>
              <w:marTop w:val="30"/>
              <w:marBottom w:val="30"/>
              <w:divBdr>
                <w:top w:val="none" w:sz="0" w:space="0" w:color="auto"/>
                <w:left w:val="none" w:sz="0" w:space="0" w:color="auto"/>
                <w:bottom w:val="none" w:sz="0" w:space="0" w:color="auto"/>
                <w:right w:val="none" w:sz="0" w:space="0" w:color="auto"/>
              </w:divBdr>
              <w:divsChild>
                <w:div w:id="822550149">
                  <w:marLeft w:val="0"/>
                  <w:marRight w:val="0"/>
                  <w:marTop w:val="0"/>
                  <w:marBottom w:val="0"/>
                  <w:divBdr>
                    <w:top w:val="none" w:sz="0" w:space="0" w:color="auto"/>
                    <w:left w:val="none" w:sz="0" w:space="0" w:color="auto"/>
                    <w:bottom w:val="none" w:sz="0" w:space="0" w:color="auto"/>
                    <w:right w:val="none" w:sz="0" w:space="0" w:color="auto"/>
                  </w:divBdr>
                  <w:divsChild>
                    <w:div w:id="1046098592">
                      <w:marLeft w:val="0"/>
                      <w:marRight w:val="0"/>
                      <w:marTop w:val="0"/>
                      <w:marBottom w:val="0"/>
                      <w:divBdr>
                        <w:top w:val="none" w:sz="0" w:space="0" w:color="auto"/>
                        <w:left w:val="none" w:sz="0" w:space="0" w:color="auto"/>
                        <w:bottom w:val="none" w:sz="0" w:space="0" w:color="auto"/>
                        <w:right w:val="none" w:sz="0" w:space="0" w:color="auto"/>
                      </w:divBdr>
                    </w:div>
                    <w:div w:id="935675600">
                      <w:marLeft w:val="0"/>
                      <w:marRight w:val="0"/>
                      <w:marTop w:val="0"/>
                      <w:marBottom w:val="0"/>
                      <w:divBdr>
                        <w:top w:val="none" w:sz="0" w:space="0" w:color="auto"/>
                        <w:left w:val="none" w:sz="0" w:space="0" w:color="auto"/>
                        <w:bottom w:val="none" w:sz="0" w:space="0" w:color="auto"/>
                        <w:right w:val="none" w:sz="0" w:space="0" w:color="auto"/>
                      </w:divBdr>
                    </w:div>
                  </w:divsChild>
                </w:div>
                <w:div w:id="1469199281">
                  <w:marLeft w:val="0"/>
                  <w:marRight w:val="0"/>
                  <w:marTop w:val="0"/>
                  <w:marBottom w:val="0"/>
                  <w:divBdr>
                    <w:top w:val="none" w:sz="0" w:space="0" w:color="auto"/>
                    <w:left w:val="none" w:sz="0" w:space="0" w:color="auto"/>
                    <w:bottom w:val="none" w:sz="0" w:space="0" w:color="auto"/>
                    <w:right w:val="none" w:sz="0" w:space="0" w:color="auto"/>
                  </w:divBdr>
                  <w:divsChild>
                    <w:div w:id="1669092294">
                      <w:marLeft w:val="0"/>
                      <w:marRight w:val="0"/>
                      <w:marTop w:val="0"/>
                      <w:marBottom w:val="0"/>
                      <w:divBdr>
                        <w:top w:val="none" w:sz="0" w:space="0" w:color="auto"/>
                        <w:left w:val="none" w:sz="0" w:space="0" w:color="auto"/>
                        <w:bottom w:val="none" w:sz="0" w:space="0" w:color="auto"/>
                        <w:right w:val="none" w:sz="0" w:space="0" w:color="auto"/>
                      </w:divBdr>
                    </w:div>
                    <w:div w:id="2057853860">
                      <w:marLeft w:val="0"/>
                      <w:marRight w:val="0"/>
                      <w:marTop w:val="0"/>
                      <w:marBottom w:val="0"/>
                      <w:divBdr>
                        <w:top w:val="none" w:sz="0" w:space="0" w:color="auto"/>
                        <w:left w:val="none" w:sz="0" w:space="0" w:color="auto"/>
                        <w:bottom w:val="none" w:sz="0" w:space="0" w:color="auto"/>
                        <w:right w:val="none" w:sz="0" w:space="0" w:color="auto"/>
                      </w:divBdr>
                    </w:div>
                    <w:div w:id="910700759">
                      <w:marLeft w:val="0"/>
                      <w:marRight w:val="0"/>
                      <w:marTop w:val="0"/>
                      <w:marBottom w:val="0"/>
                      <w:divBdr>
                        <w:top w:val="none" w:sz="0" w:space="0" w:color="auto"/>
                        <w:left w:val="none" w:sz="0" w:space="0" w:color="auto"/>
                        <w:bottom w:val="none" w:sz="0" w:space="0" w:color="auto"/>
                        <w:right w:val="none" w:sz="0" w:space="0" w:color="auto"/>
                      </w:divBdr>
                    </w:div>
                    <w:div w:id="905921213">
                      <w:marLeft w:val="0"/>
                      <w:marRight w:val="0"/>
                      <w:marTop w:val="0"/>
                      <w:marBottom w:val="0"/>
                      <w:divBdr>
                        <w:top w:val="none" w:sz="0" w:space="0" w:color="auto"/>
                        <w:left w:val="none" w:sz="0" w:space="0" w:color="auto"/>
                        <w:bottom w:val="none" w:sz="0" w:space="0" w:color="auto"/>
                        <w:right w:val="none" w:sz="0" w:space="0" w:color="auto"/>
                      </w:divBdr>
                    </w:div>
                  </w:divsChild>
                </w:div>
                <w:div w:id="21711254">
                  <w:marLeft w:val="0"/>
                  <w:marRight w:val="0"/>
                  <w:marTop w:val="0"/>
                  <w:marBottom w:val="0"/>
                  <w:divBdr>
                    <w:top w:val="none" w:sz="0" w:space="0" w:color="auto"/>
                    <w:left w:val="none" w:sz="0" w:space="0" w:color="auto"/>
                    <w:bottom w:val="none" w:sz="0" w:space="0" w:color="auto"/>
                    <w:right w:val="none" w:sz="0" w:space="0" w:color="auto"/>
                  </w:divBdr>
                  <w:divsChild>
                    <w:div w:id="766198922">
                      <w:marLeft w:val="0"/>
                      <w:marRight w:val="0"/>
                      <w:marTop w:val="0"/>
                      <w:marBottom w:val="0"/>
                      <w:divBdr>
                        <w:top w:val="none" w:sz="0" w:space="0" w:color="auto"/>
                        <w:left w:val="none" w:sz="0" w:space="0" w:color="auto"/>
                        <w:bottom w:val="none" w:sz="0" w:space="0" w:color="auto"/>
                        <w:right w:val="none" w:sz="0" w:space="0" w:color="auto"/>
                      </w:divBdr>
                    </w:div>
                  </w:divsChild>
                </w:div>
                <w:div w:id="64500651">
                  <w:marLeft w:val="0"/>
                  <w:marRight w:val="0"/>
                  <w:marTop w:val="0"/>
                  <w:marBottom w:val="0"/>
                  <w:divBdr>
                    <w:top w:val="none" w:sz="0" w:space="0" w:color="auto"/>
                    <w:left w:val="none" w:sz="0" w:space="0" w:color="auto"/>
                    <w:bottom w:val="none" w:sz="0" w:space="0" w:color="auto"/>
                    <w:right w:val="none" w:sz="0" w:space="0" w:color="auto"/>
                  </w:divBdr>
                  <w:divsChild>
                    <w:div w:id="736786088">
                      <w:marLeft w:val="0"/>
                      <w:marRight w:val="0"/>
                      <w:marTop w:val="0"/>
                      <w:marBottom w:val="0"/>
                      <w:divBdr>
                        <w:top w:val="none" w:sz="0" w:space="0" w:color="auto"/>
                        <w:left w:val="none" w:sz="0" w:space="0" w:color="auto"/>
                        <w:bottom w:val="none" w:sz="0" w:space="0" w:color="auto"/>
                        <w:right w:val="none" w:sz="0" w:space="0" w:color="auto"/>
                      </w:divBdr>
                    </w:div>
                    <w:div w:id="925263119">
                      <w:marLeft w:val="0"/>
                      <w:marRight w:val="0"/>
                      <w:marTop w:val="0"/>
                      <w:marBottom w:val="0"/>
                      <w:divBdr>
                        <w:top w:val="none" w:sz="0" w:space="0" w:color="auto"/>
                        <w:left w:val="none" w:sz="0" w:space="0" w:color="auto"/>
                        <w:bottom w:val="none" w:sz="0" w:space="0" w:color="auto"/>
                        <w:right w:val="none" w:sz="0" w:space="0" w:color="auto"/>
                      </w:divBdr>
                    </w:div>
                  </w:divsChild>
                </w:div>
                <w:div w:id="663556447">
                  <w:marLeft w:val="0"/>
                  <w:marRight w:val="0"/>
                  <w:marTop w:val="0"/>
                  <w:marBottom w:val="0"/>
                  <w:divBdr>
                    <w:top w:val="none" w:sz="0" w:space="0" w:color="auto"/>
                    <w:left w:val="none" w:sz="0" w:space="0" w:color="auto"/>
                    <w:bottom w:val="none" w:sz="0" w:space="0" w:color="auto"/>
                    <w:right w:val="none" w:sz="0" w:space="0" w:color="auto"/>
                  </w:divBdr>
                  <w:divsChild>
                    <w:div w:id="1179199110">
                      <w:marLeft w:val="0"/>
                      <w:marRight w:val="0"/>
                      <w:marTop w:val="0"/>
                      <w:marBottom w:val="0"/>
                      <w:divBdr>
                        <w:top w:val="none" w:sz="0" w:space="0" w:color="auto"/>
                        <w:left w:val="none" w:sz="0" w:space="0" w:color="auto"/>
                        <w:bottom w:val="none" w:sz="0" w:space="0" w:color="auto"/>
                        <w:right w:val="none" w:sz="0" w:space="0" w:color="auto"/>
                      </w:divBdr>
                    </w:div>
                    <w:div w:id="2104379348">
                      <w:marLeft w:val="0"/>
                      <w:marRight w:val="0"/>
                      <w:marTop w:val="0"/>
                      <w:marBottom w:val="0"/>
                      <w:divBdr>
                        <w:top w:val="none" w:sz="0" w:space="0" w:color="auto"/>
                        <w:left w:val="none" w:sz="0" w:space="0" w:color="auto"/>
                        <w:bottom w:val="none" w:sz="0" w:space="0" w:color="auto"/>
                        <w:right w:val="none" w:sz="0" w:space="0" w:color="auto"/>
                      </w:divBdr>
                    </w:div>
                  </w:divsChild>
                </w:div>
                <w:div w:id="1816993683">
                  <w:marLeft w:val="0"/>
                  <w:marRight w:val="0"/>
                  <w:marTop w:val="0"/>
                  <w:marBottom w:val="0"/>
                  <w:divBdr>
                    <w:top w:val="none" w:sz="0" w:space="0" w:color="auto"/>
                    <w:left w:val="none" w:sz="0" w:space="0" w:color="auto"/>
                    <w:bottom w:val="none" w:sz="0" w:space="0" w:color="auto"/>
                    <w:right w:val="none" w:sz="0" w:space="0" w:color="auto"/>
                  </w:divBdr>
                  <w:divsChild>
                    <w:div w:id="1815102282">
                      <w:marLeft w:val="0"/>
                      <w:marRight w:val="0"/>
                      <w:marTop w:val="0"/>
                      <w:marBottom w:val="0"/>
                      <w:divBdr>
                        <w:top w:val="none" w:sz="0" w:space="0" w:color="auto"/>
                        <w:left w:val="none" w:sz="0" w:space="0" w:color="auto"/>
                        <w:bottom w:val="none" w:sz="0" w:space="0" w:color="auto"/>
                        <w:right w:val="none" w:sz="0" w:space="0" w:color="auto"/>
                      </w:divBdr>
                    </w:div>
                    <w:div w:id="264503639">
                      <w:marLeft w:val="0"/>
                      <w:marRight w:val="0"/>
                      <w:marTop w:val="0"/>
                      <w:marBottom w:val="0"/>
                      <w:divBdr>
                        <w:top w:val="none" w:sz="0" w:space="0" w:color="auto"/>
                        <w:left w:val="none" w:sz="0" w:space="0" w:color="auto"/>
                        <w:bottom w:val="none" w:sz="0" w:space="0" w:color="auto"/>
                        <w:right w:val="none" w:sz="0" w:space="0" w:color="auto"/>
                      </w:divBdr>
                    </w:div>
                  </w:divsChild>
                </w:div>
                <w:div w:id="1085423608">
                  <w:marLeft w:val="0"/>
                  <w:marRight w:val="0"/>
                  <w:marTop w:val="0"/>
                  <w:marBottom w:val="0"/>
                  <w:divBdr>
                    <w:top w:val="none" w:sz="0" w:space="0" w:color="auto"/>
                    <w:left w:val="none" w:sz="0" w:space="0" w:color="auto"/>
                    <w:bottom w:val="none" w:sz="0" w:space="0" w:color="auto"/>
                    <w:right w:val="none" w:sz="0" w:space="0" w:color="auto"/>
                  </w:divBdr>
                  <w:divsChild>
                    <w:div w:id="1743942282">
                      <w:marLeft w:val="0"/>
                      <w:marRight w:val="0"/>
                      <w:marTop w:val="0"/>
                      <w:marBottom w:val="0"/>
                      <w:divBdr>
                        <w:top w:val="none" w:sz="0" w:space="0" w:color="auto"/>
                        <w:left w:val="none" w:sz="0" w:space="0" w:color="auto"/>
                        <w:bottom w:val="none" w:sz="0" w:space="0" w:color="auto"/>
                        <w:right w:val="none" w:sz="0" w:space="0" w:color="auto"/>
                      </w:divBdr>
                    </w:div>
                  </w:divsChild>
                </w:div>
                <w:div w:id="783427108">
                  <w:marLeft w:val="0"/>
                  <w:marRight w:val="0"/>
                  <w:marTop w:val="0"/>
                  <w:marBottom w:val="0"/>
                  <w:divBdr>
                    <w:top w:val="none" w:sz="0" w:space="0" w:color="auto"/>
                    <w:left w:val="none" w:sz="0" w:space="0" w:color="auto"/>
                    <w:bottom w:val="none" w:sz="0" w:space="0" w:color="auto"/>
                    <w:right w:val="none" w:sz="0" w:space="0" w:color="auto"/>
                  </w:divBdr>
                  <w:divsChild>
                    <w:div w:id="908001745">
                      <w:marLeft w:val="0"/>
                      <w:marRight w:val="0"/>
                      <w:marTop w:val="0"/>
                      <w:marBottom w:val="0"/>
                      <w:divBdr>
                        <w:top w:val="none" w:sz="0" w:space="0" w:color="auto"/>
                        <w:left w:val="none" w:sz="0" w:space="0" w:color="auto"/>
                        <w:bottom w:val="none" w:sz="0" w:space="0" w:color="auto"/>
                        <w:right w:val="none" w:sz="0" w:space="0" w:color="auto"/>
                      </w:divBdr>
                    </w:div>
                    <w:div w:id="616446457">
                      <w:marLeft w:val="0"/>
                      <w:marRight w:val="0"/>
                      <w:marTop w:val="0"/>
                      <w:marBottom w:val="0"/>
                      <w:divBdr>
                        <w:top w:val="none" w:sz="0" w:space="0" w:color="auto"/>
                        <w:left w:val="none" w:sz="0" w:space="0" w:color="auto"/>
                        <w:bottom w:val="none" w:sz="0" w:space="0" w:color="auto"/>
                        <w:right w:val="none" w:sz="0" w:space="0" w:color="auto"/>
                      </w:divBdr>
                    </w:div>
                  </w:divsChild>
                </w:div>
                <w:div w:id="1638486223">
                  <w:marLeft w:val="0"/>
                  <w:marRight w:val="0"/>
                  <w:marTop w:val="0"/>
                  <w:marBottom w:val="0"/>
                  <w:divBdr>
                    <w:top w:val="none" w:sz="0" w:space="0" w:color="auto"/>
                    <w:left w:val="none" w:sz="0" w:space="0" w:color="auto"/>
                    <w:bottom w:val="none" w:sz="0" w:space="0" w:color="auto"/>
                    <w:right w:val="none" w:sz="0" w:space="0" w:color="auto"/>
                  </w:divBdr>
                  <w:divsChild>
                    <w:div w:id="1136413105">
                      <w:marLeft w:val="0"/>
                      <w:marRight w:val="0"/>
                      <w:marTop w:val="0"/>
                      <w:marBottom w:val="0"/>
                      <w:divBdr>
                        <w:top w:val="none" w:sz="0" w:space="0" w:color="auto"/>
                        <w:left w:val="none" w:sz="0" w:space="0" w:color="auto"/>
                        <w:bottom w:val="none" w:sz="0" w:space="0" w:color="auto"/>
                        <w:right w:val="none" w:sz="0" w:space="0" w:color="auto"/>
                      </w:divBdr>
                    </w:div>
                    <w:div w:id="666789537">
                      <w:marLeft w:val="0"/>
                      <w:marRight w:val="0"/>
                      <w:marTop w:val="0"/>
                      <w:marBottom w:val="0"/>
                      <w:divBdr>
                        <w:top w:val="none" w:sz="0" w:space="0" w:color="auto"/>
                        <w:left w:val="none" w:sz="0" w:space="0" w:color="auto"/>
                        <w:bottom w:val="none" w:sz="0" w:space="0" w:color="auto"/>
                        <w:right w:val="none" w:sz="0" w:space="0" w:color="auto"/>
                      </w:divBdr>
                    </w:div>
                  </w:divsChild>
                </w:div>
                <w:div w:id="143547338">
                  <w:marLeft w:val="0"/>
                  <w:marRight w:val="0"/>
                  <w:marTop w:val="0"/>
                  <w:marBottom w:val="0"/>
                  <w:divBdr>
                    <w:top w:val="none" w:sz="0" w:space="0" w:color="auto"/>
                    <w:left w:val="none" w:sz="0" w:space="0" w:color="auto"/>
                    <w:bottom w:val="none" w:sz="0" w:space="0" w:color="auto"/>
                    <w:right w:val="none" w:sz="0" w:space="0" w:color="auto"/>
                  </w:divBdr>
                  <w:divsChild>
                    <w:div w:id="752051591">
                      <w:marLeft w:val="0"/>
                      <w:marRight w:val="0"/>
                      <w:marTop w:val="0"/>
                      <w:marBottom w:val="0"/>
                      <w:divBdr>
                        <w:top w:val="none" w:sz="0" w:space="0" w:color="auto"/>
                        <w:left w:val="none" w:sz="0" w:space="0" w:color="auto"/>
                        <w:bottom w:val="none" w:sz="0" w:space="0" w:color="auto"/>
                        <w:right w:val="none" w:sz="0" w:space="0" w:color="auto"/>
                      </w:divBdr>
                    </w:div>
                    <w:div w:id="60492400">
                      <w:marLeft w:val="0"/>
                      <w:marRight w:val="0"/>
                      <w:marTop w:val="0"/>
                      <w:marBottom w:val="0"/>
                      <w:divBdr>
                        <w:top w:val="none" w:sz="0" w:space="0" w:color="auto"/>
                        <w:left w:val="none" w:sz="0" w:space="0" w:color="auto"/>
                        <w:bottom w:val="none" w:sz="0" w:space="0" w:color="auto"/>
                        <w:right w:val="none" w:sz="0" w:space="0" w:color="auto"/>
                      </w:divBdr>
                    </w:div>
                  </w:divsChild>
                </w:div>
                <w:div w:id="1434353414">
                  <w:marLeft w:val="0"/>
                  <w:marRight w:val="0"/>
                  <w:marTop w:val="0"/>
                  <w:marBottom w:val="0"/>
                  <w:divBdr>
                    <w:top w:val="none" w:sz="0" w:space="0" w:color="auto"/>
                    <w:left w:val="none" w:sz="0" w:space="0" w:color="auto"/>
                    <w:bottom w:val="none" w:sz="0" w:space="0" w:color="auto"/>
                    <w:right w:val="none" w:sz="0" w:space="0" w:color="auto"/>
                  </w:divBdr>
                  <w:divsChild>
                    <w:div w:id="139423186">
                      <w:marLeft w:val="0"/>
                      <w:marRight w:val="0"/>
                      <w:marTop w:val="0"/>
                      <w:marBottom w:val="0"/>
                      <w:divBdr>
                        <w:top w:val="none" w:sz="0" w:space="0" w:color="auto"/>
                        <w:left w:val="none" w:sz="0" w:space="0" w:color="auto"/>
                        <w:bottom w:val="none" w:sz="0" w:space="0" w:color="auto"/>
                        <w:right w:val="none" w:sz="0" w:space="0" w:color="auto"/>
                      </w:divBdr>
                    </w:div>
                    <w:div w:id="1111781239">
                      <w:marLeft w:val="0"/>
                      <w:marRight w:val="0"/>
                      <w:marTop w:val="0"/>
                      <w:marBottom w:val="0"/>
                      <w:divBdr>
                        <w:top w:val="none" w:sz="0" w:space="0" w:color="auto"/>
                        <w:left w:val="none" w:sz="0" w:space="0" w:color="auto"/>
                        <w:bottom w:val="none" w:sz="0" w:space="0" w:color="auto"/>
                        <w:right w:val="none" w:sz="0" w:space="0" w:color="auto"/>
                      </w:divBdr>
                    </w:div>
                  </w:divsChild>
                </w:div>
                <w:div w:id="1713848977">
                  <w:marLeft w:val="0"/>
                  <w:marRight w:val="0"/>
                  <w:marTop w:val="0"/>
                  <w:marBottom w:val="0"/>
                  <w:divBdr>
                    <w:top w:val="none" w:sz="0" w:space="0" w:color="auto"/>
                    <w:left w:val="none" w:sz="0" w:space="0" w:color="auto"/>
                    <w:bottom w:val="none" w:sz="0" w:space="0" w:color="auto"/>
                    <w:right w:val="none" w:sz="0" w:space="0" w:color="auto"/>
                  </w:divBdr>
                  <w:divsChild>
                    <w:div w:id="867834819">
                      <w:marLeft w:val="0"/>
                      <w:marRight w:val="0"/>
                      <w:marTop w:val="0"/>
                      <w:marBottom w:val="0"/>
                      <w:divBdr>
                        <w:top w:val="none" w:sz="0" w:space="0" w:color="auto"/>
                        <w:left w:val="none" w:sz="0" w:space="0" w:color="auto"/>
                        <w:bottom w:val="none" w:sz="0" w:space="0" w:color="auto"/>
                        <w:right w:val="none" w:sz="0" w:space="0" w:color="auto"/>
                      </w:divBdr>
                    </w:div>
                    <w:div w:id="6104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19227">
          <w:marLeft w:val="0"/>
          <w:marRight w:val="0"/>
          <w:marTop w:val="0"/>
          <w:marBottom w:val="0"/>
          <w:divBdr>
            <w:top w:val="none" w:sz="0" w:space="0" w:color="auto"/>
            <w:left w:val="none" w:sz="0" w:space="0" w:color="auto"/>
            <w:bottom w:val="none" w:sz="0" w:space="0" w:color="auto"/>
            <w:right w:val="none" w:sz="0" w:space="0" w:color="auto"/>
          </w:divBdr>
          <w:divsChild>
            <w:div w:id="1496336925">
              <w:marLeft w:val="0"/>
              <w:marRight w:val="0"/>
              <w:marTop w:val="0"/>
              <w:marBottom w:val="0"/>
              <w:divBdr>
                <w:top w:val="none" w:sz="0" w:space="0" w:color="auto"/>
                <w:left w:val="none" w:sz="0" w:space="0" w:color="auto"/>
                <w:bottom w:val="none" w:sz="0" w:space="0" w:color="auto"/>
                <w:right w:val="none" w:sz="0" w:space="0" w:color="auto"/>
              </w:divBdr>
            </w:div>
            <w:div w:id="1568999487">
              <w:marLeft w:val="0"/>
              <w:marRight w:val="0"/>
              <w:marTop w:val="0"/>
              <w:marBottom w:val="0"/>
              <w:divBdr>
                <w:top w:val="none" w:sz="0" w:space="0" w:color="auto"/>
                <w:left w:val="none" w:sz="0" w:space="0" w:color="auto"/>
                <w:bottom w:val="none" w:sz="0" w:space="0" w:color="auto"/>
                <w:right w:val="none" w:sz="0" w:space="0" w:color="auto"/>
              </w:divBdr>
            </w:div>
            <w:div w:id="1827476900">
              <w:marLeft w:val="0"/>
              <w:marRight w:val="0"/>
              <w:marTop w:val="0"/>
              <w:marBottom w:val="0"/>
              <w:divBdr>
                <w:top w:val="none" w:sz="0" w:space="0" w:color="auto"/>
                <w:left w:val="none" w:sz="0" w:space="0" w:color="auto"/>
                <w:bottom w:val="none" w:sz="0" w:space="0" w:color="auto"/>
                <w:right w:val="none" w:sz="0" w:space="0" w:color="auto"/>
              </w:divBdr>
            </w:div>
            <w:div w:id="1347370083">
              <w:marLeft w:val="0"/>
              <w:marRight w:val="0"/>
              <w:marTop w:val="0"/>
              <w:marBottom w:val="0"/>
              <w:divBdr>
                <w:top w:val="none" w:sz="0" w:space="0" w:color="auto"/>
                <w:left w:val="none" w:sz="0" w:space="0" w:color="auto"/>
                <w:bottom w:val="none" w:sz="0" w:space="0" w:color="auto"/>
                <w:right w:val="none" w:sz="0" w:space="0" w:color="auto"/>
              </w:divBdr>
            </w:div>
            <w:div w:id="1121218450">
              <w:marLeft w:val="0"/>
              <w:marRight w:val="0"/>
              <w:marTop w:val="0"/>
              <w:marBottom w:val="0"/>
              <w:divBdr>
                <w:top w:val="none" w:sz="0" w:space="0" w:color="auto"/>
                <w:left w:val="none" w:sz="0" w:space="0" w:color="auto"/>
                <w:bottom w:val="none" w:sz="0" w:space="0" w:color="auto"/>
                <w:right w:val="none" w:sz="0" w:space="0" w:color="auto"/>
              </w:divBdr>
            </w:div>
            <w:div w:id="1722240847">
              <w:marLeft w:val="0"/>
              <w:marRight w:val="0"/>
              <w:marTop w:val="0"/>
              <w:marBottom w:val="0"/>
              <w:divBdr>
                <w:top w:val="none" w:sz="0" w:space="0" w:color="auto"/>
                <w:left w:val="none" w:sz="0" w:space="0" w:color="auto"/>
                <w:bottom w:val="none" w:sz="0" w:space="0" w:color="auto"/>
                <w:right w:val="none" w:sz="0" w:space="0" w:color="auto"/>
              </w:divBdr>
            </w:div>
            <w:div w:id="1851531739">
              <w:marLeft w:val="0"/>
              <w:marRight w:val="0"/>
              <w:marTop w:val="0"/>
              <w:marBottom w:val="0"/>
              <w:divBdr>
                <w:top w:val="none" w:sz="0" w:space="0" w:color="auto"/>
                <w:left w:val="none" w:sz="0" w:space="0" w:color="auto"/>
                <w:bottom w:val="none" w:sz="0" w:space="0" w:color="auto"/>
                <w:right w:val="none" w:sz="0" w:space="0" w:color="auto"/>
              </w:divBdr>
            </w:div>
            <w:div w:id="1456949877">
              <w:marLeft w:val="0"/>
              <w:marRight w:val="0"/>
              <w:marTop w:val="0"/>
              <w:marBottom w:val="0"/>
              <w:divBdr>
                <w:top w:val="none" w:sz="0" w:space="0" w:color="auto"/>
                <w:left w:val="none" w:sz="0" w:space="0" w:color="auto"/>
                <w:bottom w:val="none" w:sz="0" w:space="0" w:color="auto"/>
                <w:right w:val="none" w:sz="0" w:space="0" w:color="auto"/>
              </w:divBdr>
            </w:div>
            <w:div w:id="377825266">
              <w:marLeft w:val="0"/>
              <w:marRight w:val="0"/>
              <w:marTop w:val="0"/>
              <w:marBottom w:val="0"/>
              <w:divBdr>
                <w:top w:val="none" w:sz="0" w:space="0" w:color="auto"/>
                <w:left w:val="none" w:sz="0" w:space="0" w:color="auto"/>
                <w:bottom w:val="none" w:sz="0" w:space="0" w:color="auto"/>
                <w:right w:val="none" w:sz="0" w:space="0" w:color="auto"/>
              </w:divBdr>
            </w:div>
            <w:div w:id="102500620">
              <w:marLeft w:val="0"/>
              <w:marRight w:val="0"/>
              <w:marTop w:val="0"/>
              <w:marBottom w:val="0"/>
              <w:divBdr>
                <w:top w:val="none" w:sz="0" w:space="0" w:color="auto"/>
                <w:left w:val="none" w:sz="0" w:space="0" w:color="auto"/>
                <w:bottom w:val="none" w:sz="0" w:space="0" w:color="auto"/>
                <w:right w:val="none" w:sz="0" w:space="0" w:color="auto"/>
              </w:divBdr>
            </w:div>
            <w:div w:id="776104215">
              <w:marLeft w:val="0"/>
              <w:marRight w:val="0"/>
              <w:marTop w:val="0"/>
              <w:marBottom w:val="0"/>
              <w:divBdr>
                <w:top w:val="none" w:sz="0" w:space="0" w:color="auto"/>
                <w:left w:val="none" w:sz="0" w:space="0" w:color="auto"/>
                <w:bottom w:val="none" w:sz="0" w:space="0" w:color="auto"/>
                <w:right w:val="none" w:sz="0" w:space="0" w:color="auto"/>
              </w:divBdr>
            </w:div>
            <w:div w:id="925922762">
              <w:marLeft w:val="0"/>
              <w:marRight w:val="0"/>
              <w:marTop w:val="0"/>
              <w:marBottom w:val="0"/>
              <w:divBdr>
                <w:top w:val="none" w:sz="0" w:space="0" w:color="auto"/>
                <w:left w:val="none" w:sz="0" w:space="0" w:color="auto"/>
                <w:bottom w:val="none" w:sz="0" w:space="0" w:color="auto"/>
                <w:right w:val="none" w:sz="0" w:space="0" w:color="auto"/>
              </w:divBdr>
            </w:div>
            <w:div w:id="73745079">
              <w:marLeft w:val="0"/>
              <w:marRight w:val="0"/>
              <w:marTop w:val="0"/>
              <w:marBottom w:val="0"/>
              <w:divBdr>
                <w:top w:val="none" w:sz="0" w:space="0" w:color="auto"/>
                <w:left w:val="none" w:sz="0" w:space="0" w:color="auto"/>
                <w:bottom w:val="none" w:sz="0" w:space="0" w:color="auto"/>
                <w:right w:val="none" w:sz="0" w:space="0" w:color="auto"/>
              </w:divBdr>
            </w:div>
            <w:div w:id="2135441996">
              <w:marLeft w:val="0"/>
              <w:marRight w:val="0"/>
              <w:marTop w:val="0"/>
              <w:marBottom w:val="0"/>
              <w:divBdr>
                <w:top w:val="none" w:sz="0" w:space="0" w:color="auto"/>
                <w:left w:val="none" w:sz="0" w:space="0" w:color="auto"/>
                <w:bottom w:val="none" w:sz="0" w:space="0" w:color="auto"/>
                <w:right w:val="none" w:sz="0" w:space="0" w:color="auto"/>
              </w:divBdr>
            </w:div>
            <w:div w:id="2054959674">
              <w:marLeft w:val="0"/>
              <w:marRight w:val="0"/>
              <w:marTop w:val="0"/>
              <w:marBottom w:val="0"/>
              <w:divBdr>
                <w:top w:val="none" w:sz="0" w:space="0" w:color="auto"/>
                <w:left w:val="none" w:sz="0" w:space="0" w:color="auto"/>
                <w:bottom w:val="none" w:sz="0" w:space="0" w:color="auto"/>
                <w:right w:val="none" w:sz="0" w:space="0" w:color="auto"/>
              </w:divBdr>
            </w:div>
            <w:div w:id="1922323892">
              <w:marLeft w:val="0"/>
              <w:marRight w:val="0"/>
              <w:marTop w:val="0"/>
              <w:marBottom w:val="0"/>
              <w:divBdr>
                <w:top w:val="none" w:sz="0" w:space="0" w:color="auto"/>
                <w:left w:val="none" w:sz="0" w:space="0" w:color="auto"/>
                <w:bottom w:val="none" w:sz="0" w:space="0" w:color="auto"/>
                <w:right w:val="none" w:sz="0" w:space="0" w:color="auto"/>
              </w:divBdr>
            </w:div>
            <w:div w:id="158156768">
              <w:marLeft w:val="0"/>
              <w:marRight w:val="0"/>
              <w:marTop w:val="0"/>
              <w:marBottom w:val="0"/>
              <w:divBdr>
                <w:top w:val="none" w:sz="0" w:space="0" w:color="auto"/>
                <w:left w:val="none" w:sz="0" w:space="0" w:color="auto"/>
                <w:bottom w:val="none" w:sz="0" w:space="0" w:color="auto"/>
                <w:right w:val="none" w:sz="0" w:space="0" w:color="auto"/>
              </w:divBdr>
            </w:div>
            <w:div w:id="2068449785">
              <w:marLeft w:val="0"/>
              <w:marRight w:val="0"/>
              <w:marTop w:val="0"/>
              <w:marBottom w:val="0"/>
              <w:divBdr>
                <w:top w:val="none" w:sz="0" w:space="0" w:color="auto"/>
                <w:left w:val="none" w:sz="0" w:space="0" w:color="auto"/>
                <w:bottom w:val="none" w:sz="0" w:space="0" w:color="auto"/>
                <w:right w:val="none" w:sz="0" w:space="0" w:color="auto"/>
              </w:divBdr>
            </w:div>
            <w:div w:id="603807811">
              <w:marLeft w:val="0"/>
              <w:marRight w:val="0"/>
              <w:marTop w:val="0"/>
              <w:marBottom w:val="0"/>
              <w:divBdr>
                <w:top w:val="none" w:sz="0" w:space="0" w:color="auto"/>
                <w:left w:val="none" w:sz="0" w:space="0" w:color="auto"/>
                <w:bottom w:val="none" w:sz="0" w:space="0" w:color="auto"/>
                <w:right w:val="none" w:sz="0" w:space="0" w:color="auto"/>
              </w:divBdr>
            </w:div>
            <w:div w:id="298532248">
              <w:marLeft w:val="0"/>
              <w:marRight w:val="0"/>
              <w:marTop w:val="0"/>
              <w:marBottom w:val="0"/>
              <w:divBdr>
                <w:top w:val="none" w:sz="0" w:space="0" w:color="auto"/>
                <w:left w:val="none" w:sz="0" w:space="0" w:color="auto"/>
                <w:bottom w:val="none" w:sz="0" w:space="0" w:color="auto"/>
                <w:right w:val="none" w:sz="0" w:space="0" w:color="auto"/>
              </w:divBdr>
            </w:div>
          </w:divsChild>
        </w:div>
        <w:div w:id="773480983">
          <w:marLeft w:val="0"/>
          <w:marRight w:val="0"/>
          <w:marTop w:val="0"/>
          <w:marBottom w:val="0"/>
          <w:divBdr>
            <w:top w:val="none" w:sz="0" w:space="0" w:color="auto"/>
            <w:left w:val="none" w:sz="0" w:space="0" w:color="auto"/>
            <w:bottom w:val="none" w:sz="0" w:space="0" w:color="auto"/>
            <w:right w:val="none" w:sz="0" w:space="0" w:color="auto"/>
          </w:divBdr>
          <w:divsChild>
            <w:div w:id="1865630367">
              <w:marLeft w:val="0"/>
              <w:marRight w:val="0"/>
              <w:marTop w:val="0"/>
              <w:marBottom w:val="0"/>
              <w:divBdr>
                <w:top w:val="none" w:sz="0" w:space="0" w:color="auto"/>
                <w:left w:val="none" w:sz="0" w:space="0" w:color="auto"/>
                <w:bottom w:val="none" w:sz="0" w:space="0" w:color="auto"/>
                <w:right w:val="none" w:sz="0" w:space="0" w:color="auto"/>
              </w:divBdr>
            </w:div>
            <w:div w:id="2031560799">
              <w:marLeft w:val="0"/>
              <w:marRight w:val="0"/>
              <w:marTop w:val="0"/>
              <w:marBottom w:val="0"/>
              <w:divBdr>
                <w:top w:val="none" w:sz="0" w:space="0" w:color="auto"/>
                <w:left w:val="none" w:sz="0" w:space="0" w:color="auto"/>
                <w:bottom w:val="none" w:sz="0" w:space="0" w:color="auto"/>
                <w:right w:val="none" w:sz="0" w:space="0" w:color="auto"/>
              </w:divBdr>
            </w:div>
            <w:div w:id="1398818069">
              <w:marLeft w:val="0"/>
              <w:marRight w:val="0"/>
              <w:marTop w:val="0"/>
              <w:marBottom w:val="0"/>
              <w:divBdr>
                <w:top w:val="none" w:sz="0" w:space="0" w:color="auto"/>
                <w:left w:val="none" w:sz="0" w:space="0" w:color="auto"/>
                <w:bottom w:val="none" w:sz="0" w:space="0" w:color="auto"/>
                <w:right w:val="none" w:sz="0" w:space="0" w:color="auto"/>
              </w:divBdr>
            </w:div>
            <w:div w:id="1223323749">
              <w:marLeft w:val="0"/>
              <w:marRight w:val="0"/>
              <w:marTop w:val="0"/>
              <w:marBottom w:val="0"/>
              <w:divBdr>
                <w:top w:val="none" w:sz="0" w:space="0" w:color="auto"/>
                <w:left w:val="none" w:sz="0" w:space="0" w:color="auto"/>
                <w:bottom w:val="none" w:sz="0" w:space="0" w:color="auto"/>
                <w:right w:val="none" w:sz="0" w:space="0" w:color="auto"/>
              </w:divBdr>
            </w:div>
            <w:div w:id="106123318">
              <w:marLeft w:val="0"/>
              <w:marRight w:val="0"/>
              <w:marTop w:val="0"/>
              <w:marBottom w:val="0"/>
              <w:divBdr>
                <w:top w:val="none" w:sz="0" w:space="0" w:color="auto"/>
                <w:left w:val="none" w:sz="0" w:space="0" w:color="auto"/>
                <w:bottom w:val="none" w:sz="0" w:space="0" w:color="auto"/>
                <w:right w:val="none" w:sz="0" w:space="0" w:color="auto"/>
              </w:divBdr>
            </w:div>
            <w:div w:id="1504708653">
              <w:marLeft w:val="0"/>
              <w:marRight w:val="0"/>
              <w:marTop w:val="0"/>
              <w:marBottom w:val="0"/>
              <w:divBdr>
                <w:top w:val="none" w:sz="0" w:space="0" w:color="auto"/>
                <w:left w:val="none" w:sz="0" w:space="0" w:color="auto"/>
                <w:bottom w:val="none" w:sz="0" w:space="0" w:color="auto"/>
                <w:right w:val="none" w:sz="0" w:space="0" w:color="auto"/>
              </w:divBdr>
            </w:div>
            <w:div w:id="2139032255">
              <w:marLeft w:val="0"/>
              <w:marRight w:val="0"/>
              <w:marTop w:val="0"/>
              <w:marBottom w:val="0"/>
              <w:divBdr>
                <w:top w:val="none" w:sz="0" w:space="0" w:color="auto"/>
                <w:left w:val="none" w:sz="0" w:space="0" w:color="auto"/>
                <w:bottom w:val="none" w:sz="0" w:space="0" w:color="auto"/>
                <w:right w:val="none" w:sz="0" w:space="0" w:color="auto"/>
              </w:divBdr>
            </w:div>
            <w:div w:id="1281380178">
              <w:marLeft w:val="0"/>
              <w:marRight w:val="0"/>
              <w:marTop w:val="0"/>
              <w:marBottom w:val="0"/>
              <w:divBdr>
                <w:top w:val="none" w:sz="0" w:space="0" w:color="auto"/>
                <w:left w:val="none" w:sz="0" w:space="0" w:color="auto"/>
                <w:bottom w:val="none" w:sz="0" w:space="0" w:color="auto"/>
                <w:right w:val="none" w:sz="0" w:space="0" w:color="auto"/>
              </w:divBdr>
            </w:div>
            <w:div w:id="402072592">
              <w:marLeft w:val="0"/>
              <w:marRight w:val="0"/>
              <w:marTop w:val="0"/>
              <w:marBottom w:val="0"/>
              <w:divBdr>
                <w:top w:val="none" w:sz="0" w:space="0" w:color="auto"/>
                <w:left w:val="none" w:sz="0" w:space="0" w:color="auto"/>
                <w:bottom w:val="none" w:sz="0" w:space="0" w:color="auto"/>
                <w:right w:val="none" w:sz="0" w:space="0" w:color="auto"/>
              </w:divBdr>
            </w:div>
            <w:div w:id="305665714">
              <w:marLeft w:val="0"/>
              <w:marRight w:val="0"/>
              <w:marTop w:val="0"/>
              <w:marBottom w:val="0"/>
              <w:divBdr>
                <w:top w:val="none" w:sz="0" w:space="0" w:color="auto"/>
                <w:left w:val="none" w:sz="0" w:space="0" w:color="auto"/>
                <w:bottom w:val="none" w:sz="0" w:space="0" w:color="auto"/>
                <w:right w:val="none" w:sz="0" w:space="0" w:color="auto"/>
              </w:divBdr>
            </w:div>
            <w:div w:id="1240290666">
              <w:marLeft w:val="0"/>
              <w:marRight w:val="0"/>
              <w:marTop w:val="0"/>
              <w:marBottom w:val="0"/>
              <w:divBdr>
                <w:top w:val="none" w:sz="0" w:space="0" w:color="auto"/>
                <w:left w:val="none" w:sz="0" w:space="0" w:color="auto"/>
                <w:bottom w:val="none" w:sz="0" w:space="0" w:color="auto"/>
                <w:right w:val="none" w:sz="0" w:space="0" w:color="auto"/>
              </w:divBdr>
            </w:div>
            <w:div w:id="1440567071">
              <w:marLeft w:val="0"/>
              <w:marRight w:val="0"/>
              <w:marTop w:val="0"/>
              <w:marBottom w:val="0"/>
              <w:divBdr>
                <w:top w:val="none" w:sz="0" w:space="0" w:color="auto"/>
                <w:left w:val="none" w:sz="0" w:space="0" w:color="auto"/>
                <w:bottom w:val="none" w:sz="0" w:space="0" w:color="auto"/>
                <w:right w:val="none" w:sz="0" w:space="0" w:color="auto"/>
              </w:divBdr>
            </w:div>
            <w:div w:id="1969047084">
              <w:marLeft w:val="0"/>
              <w:marRight w:val="0"/>
              <w:marTop w:val="0"/>
              <w:marBottom w:val="0"/>
              <w:divBdr>
                <w:top w:val="none" w:sz="0" w:space="0" w:color="auto"/>
                <w:left w:val="none" w:sz="0" w:space="0" w:color="auto"/>
                <w:bottom w:val="none" w:sz="0" w:space="0" w:color="auto"/>
                <w:right w:val="none" w:sz="0" w:space="0" w:color="auto"/>
              </w:divBdr>
            </w:div>
          </w:divsChild>
        </w:div>
        <w:div w:id="1233348568">
          <w:marLeft w:val="0"/>
          <w:marRight w:val="0"/>
          <w:marTop w:val="0"/>
          <w:marBottom w:val="0"/>
          <w:divBdr>
            <w:top w:val="none" w:sz="0" w:space="0" w:color="auto"/>
            <w:left w:val="none" w:sz="0" w:space="0" w:color="auto"/>
            <w:bottom w:val="none" w:sz="0" w:space="0" w:color="auto"/>
            <w:right w:val="none" w:sz="0" w:space="0" w:color="auto"/>
          </w:divBdr>
          <w:divsChild>
            <w:div w:id="789515677">
              <w:marLeft w:val="-75"/>
              <w:marRight w:val="0"/>
              <w:marTop w:val="30"/>
              <w:marBottom w:val="30"/>
              <w:divBdr>
                <w:top w:val="none" w:sz="0" w:space="0" w:color="auto"/>
                <w:left w:val="none" w:sz="0" w:space="0" w:color="auto"/>
                <w:bottom w:val="none" w:sz="0" w:space="0" w:color="auto"/>
                <w:right w:val="none" w:sz="0" w:space="0" w:color="auto"/>
              </w:divBdr>
              <w:divsChild>
                <w:div w:id="826022329">
                  <w:marLeft w:val="0"/>
                  <w:marRight w:val="0"/>
                  <w:marTop w:val="0"/>
                  <w:marBottom w:val="0"/>
                  <w:divBdr>
                    <w:top w:val="none" w:sz="0" w:space="0" w:color="auto"/>
                    <w:left w:val="none" w:sz="0" w:space="0" w:color="auto"/>
                    <w:bottom w:val="none" w:sz="0" w:space="0" w:color="auto"/>
                    <w:right w:val="none" w:sz="0" w:space="0" w:color="auto"/>
                  </w:divBdr>
                  <w:divsChild>
                    <w:div w:id="788011378">
                      <w:marLeft w:val="0"/>
                      <w:marRight w:val="0"/>
                      <w:marTop w:val="0"/>
                      <w:marBottom w:val="0"/>
                      <w:divBdr>
                        <w:top w:val="none" w:sz="0" w:space="0" w:color="auto"/>
                        <w:left w:val="none" w:sz="0" w:space="0" w:color="auto"/>
                        <w:bottom w:val="none" w:sz="0" w:space="0" w:color="auto"/>
                        <w:right w:val="none" w:sz="0" w:space="0" w:color="auto"/>
                      </w:divBdr>
                    </w:div>
                  </w:divsChild>
                </w:div>
                <w:div w:id="1805002317">
                  <w:marLeft w:val="0"/>
                  <w:marRight w:val="0"/>
                  <w:marTop w:val="0"/>
                  <w:marBottom w:val="0"/>
                  <w:divBdr>
                    <w:top w:val="none" w:sz="0" w:space="0" w:color="auto"/>
                    <w:left w:val="none" w:sz="0" w:space="0" w:color="auto"/>
                    <w:bottom w:val="none" w:sz="0" w:space="0" w:color="auto"/>
                    <w:right w:val="none" w:sz="0" w:space="0" w:color="auto"/>
                  </w:divBdr>
                  <w:divsChild>
                    <w:div w:id="1578438123">
                      <w:marLeft w:val="0"/>
                      <w:marRight w:val="0"/>
                      <w:marTop w:val="0"/>
                      <w:marBottom w:val="0"/>
                      <w:divBdr>
                        <w:top w:val="none" w:sz="0" w:space="0" w:color="auto"/>
                        <w:left w:val="none" w:sz="0" w:space="0" w:color="auto"/>
                        <w:bottom w:val="none" w:sz="0" w:space="0" w:color="auto"/>
                        <w:right w:val="none" w:sz="0" w:space="0" w:color="auto"/>
                      </w:divBdr>
                    </w:div>
                  </w:divsChild>
                </w:div>
                <w:div w:id="1141386024">
                  <w:marLeft w:val="0"/>
                  <w:marRight w:val="0"/>
                  <w:marTop w:val="0"/>
                  <w:marBottom w:val="0"/>
                  <w:divBdr>
                    <w:top w:val="none" w:sz="0" w:space="0" w:color="auto"/>
                    <w:left w:val="none" w:sz="0" w:space="0" w:color="auto"/>
                    <w:bottom w:val="none" w:sz="0" w:space="0" w:color="auto"/>
                    <w:right w:val="none" w:sz="0" w:space="0" w:color="auto"/>
                  </w:divBdr>
                  <w:divsChild>
                    <w:div w:id="2081630786">
                      <w:marLeft w:val="0"/>
                      <w:marRight w:val="0"/>
                      <w:marTop w:val="0"/>
                      <w:marBottom w:val="0"/>
                      <w:divBdr>
                        <w:top w:val="none" w:sz="0" w:space="0" w:color="auto"/>
                        <w:left w:val="none" w:sz="0" w:space="0" w:color="auto"/>
                        <w:bottom w:val="none" w:sz="0" w:space="0" w:color="auto"/>
                        <w:right w:val="none" w:sz="0" w:space="0" w:color="auto"/>
                      </w:divBdr>
                    </w:div>
                  </w:divsChild>
                </w:div>
                <w:div w:id="166213682">
                  <w:marLeft w:val="0"/>
                  <w:marRight w:val="0"/>
                  <w:marTop w:val="0"/>
                  <w:marBottom w:val="0"/>
                  <w:divBdr>
                    <w:top w:val="none" w:sz="0" w:space="0" w:color="auto"/>
                    <w:left w:val="none" w:sz="0" w:space="0" w:color="auto"/>
                    <w:bottom w:val="none" w:sz="0" w:space="0" w:color="auto"/>
                    <w:right w:val="none" w:sz="0" w:space="0" w:color="auto"/>
                  </w:divBdr>
                  <w:divsChild>
                    <w:div w:id="607472078">
                      <w:marLeft w:val="0"/>
                      <w:marRight w:val="0"/>
                      <w:marTop w:val="0"/>
                      <w:marBottom w:val="0"/>
                      <w:divBdr>
                        <w:top w:val="none" w:sz="0" w:space="0" w:color="auto"/>
                        <w:left w:val="none" w:sz="0" w:space="0" w:color="auto"/>
                        <w:bottom w:val="none" w:sz="0" w:space="0" w:color="auto"/>
                        <w:right w:val="none" w:sz="0" w:space="0" w:color="auto"/>
                      </w:divBdr>
                    </w:div>
                  </w:divsChild>
                </w:div>
                <w:div w:id="1516067454">
                  <w:marLeft w:val="0"/>
                  <w:marRight w:val="0"/>
                  <w:marTop w:val="0"/>
                  <w:marBottom w:val="0"/>
                  <w:divBdr>
                    <w:top w:val="none" w:sz="0" w:space="0" w:color="auto"/>
                    <w:left w:val="none" w:sz="0" w:space="0" w:color="auto"/>
                    <w:bottom w:val="none" w:sz="0" w:space="0" w:color="auto"/>
                    <w:right w:val="none" w:sz="0" w:space="0" w:color="auto"/>
                  </w:divBdr>
                  <w:divsChild>
                    <w:div w:id="2019311319">
                      <w:marLeft w:val="0"/>
                      <w:marRight w:val="0"/>
                      <w:marTop w:val="0"/>
                      <w:marBottom w:val="0"/>
                      <w:divBdr>
                        <w:top w:val="none" w:sz="0" w:space="0" w:color="auto"/>
                        <w:left w:val="none" w:sz="0" w:space="0" w:color="auto"/>
                        <w:bottom w:val="none" w:sz="0" w:space="0" w:color="auto"/>
                        <w:right w:val="none" w:sz="0" w:space="0" w:color="auto"/>
                      </w:divBdr>
                    </w:div>
                  </w:divsChild>
                </w:div>
                <w:div w:id="10884323">
                  <w:marLeft w:val="0"/>
                  <w:marRight w:val="0"/>
                  <w:marTop w:val="0"/>
                  <w:marBottom w:val="0"/>
                  <w:divBdr>
                    <w:top w:val="none" w:sz="0" w:space="0" w:color="auto"/>
                    <w:left w:val="none" w:sz="0" w:space="0" w:color="auto"/>
                    <w:bottom w:val="none" w:sz="0" w:space="0" w:color="auto"/>
                    <w:right w:val="none" w:sz="0" w:space="0" w:color="auto"/>
                  </w:divBdr>
                  <w:divsChild>
                    <w:div w:id="750852404">
                      <w:marLeft w:val="0"/>
                      <w:marRight w:val="0"/>
                      <w:marTop w:val="0"/>
                      <w:marBottom w:val="0"/>
                      <w:divBdr>
                        <w:top w:val="none" w:sz="0" w:space="0" w:color="auto"/>
                        <w:left w:val="none" w:sz="0" w:space="0" w:color="auto"/>
                        <w:bottom w:val="none" w:sz="0" w:space="0" w:color="auto"/>
                        <w:right w:val="none" w:sz="0" w:space="0" w:color="auto"/>
                      </w:divBdr>
                    </w:div>
                  </w:divsChild>
                </w:div>
                <w:div w:id="1581527585">
                  <w:marLeft w:val="0"/>
                  <w:marRight w:val="0"/>
                  <w:marTop w:val="0"/>
                  <w:marBottom w:val="0"/>
                  <w:divBdr>
                    <w:top w:val="none" w:sz="0" w:space="0" w:color="auto"/>
                    <w:left w:val="none" w:sz="0" w:space="0" w:color="auto"/>
                    <w:bottom w:val="none" w:sz="0" w:space="0" w:color="auto"/>
                    <w:right w:val="none" w:sz="0" w:space="0" w:color="auto"/>
                  </w:divBdr>
                  <w:divsChild>
                    <w:div w:id="1209489059">
                      <w:marLeft w:val="0"/>
                      <w:marRight w:val="0"/>
                      <w:marTop w:val="0"/>
                      <w:marBottom w:val="0"/>
                      <w:divBdr>
                        <w:top w:val="none" w:sz="0" w:space="0" w:color="auto"/>
                        <w:left w:val="none" w:sz="0" w:space="0" w:color="auto"/>
                        <w:bottom w:val="none" w:sz="0" w:space="0" w:color="auto"/>
                        <w:right w:val="none" w:sz="0" w:space="0" w:color="auto"/>
                      </w:divBdr>
                    </w:div>
                  </w:divsChild>
                </w:div>
                <w:div w:id="966087667">
                  <w:marLeft w:val="0"/>
                  <w:marRight w:val="0"/>
                  <w:marTop w:val="0"/>
                  <w:marBottom w:val="0"/>
                  <w:divBdr>
                    <w:top w:val="none" w:sz="0" w:space="0" w:color="auto"/>
                    <w:left w:val="none" w:sz="0" w:space="0" w:color="auto"/>
                    <w:bottom w:val="none" w:sz="0" w:space="0" w:color="auto"/>
                    <w:right w:val="none" w:sz="0" w:space="0" w:color="auto"/>
                  </w:divBdr>
                  <w:divsChild>
                    <w:div w:id="811605569">
                      <w:marLeft w:val="0"/>
                      <w:marRight w:val="0"/>
                      <w:marTop w:val="0"/>
                      <w:marBottom w:val="0"/>
                      <w:divBdr>
                        <w:top w:val="none" w:sz="0" w:space="0" w:color="auto"/>
                        <w:left w:val="none" w:sz="0" w:space="0" w:color="auto"/>
                        <w:bottom w:val="none" w:sz="0" w:space="0" w:color="auto"/>
                        <w:right w:val="none" w:sz="0" w:space="0" w:color="auto"/>
                      </w:divBdr>
                    </w:div>
                    <w:div w:id="640429848">
                      <w:marLeft w:val="0"/>
                      <w:marRight w:val="0"/>
                      <w:marTop w:val="0"/>
                      <w:marBottom w:val="0"/>
                      <w:divBdr>
                        <w:top w:val="none" w:sz="0" w:space="0" w:color="auto"/>
                        <w:left w:val="none" w:sz="0" w:space="0" w:color="auto"/>
                        <w:bottom w:val="none" w:sz="0" w:space="0" w:color="auto"/>
                        <w:right w:val="none" w:sz="0" w:space="0" w:color="auto"/>
                      </w:divBdr>
                    </w:div>
                  </w:divsChild>
                </w:div>
                <w:div w:id="1812669812">
                  <w:marLeft w:val="0"/>
                  <w:marRight w:val="0"/>
                  <w:marTop w:val="0"/>
                  <w:marBottom w:val="0"/>
                  <w:divBdr>
                    <w:top w:val="none" w:sz="0" w:space="0" w:color="auto"/>
                    <w:left w:val="none" w:sz="0" w:space="0" w:color="auto"/>
                    <w:bottom w:val="none" w:sz="0" w:space="0" w:color="auto"/>
                    <w:right w:val="none" w:sz="0" w:space="0" w:color="auto"/>
                  </w:divBdr>
                  <w:divsChild>
                    <w:div w:id="936017401">
                      <w:marLeft w:val="0"/>
                      <w:marRight w:val="0"/>
                      <w:marTop w:val="0"/>
                      <w:marBottom w:val="0"/>
                      <w:divBdr>
                        <w:top w:val="none" w:sz="0" w:space="0" w:color="auto"/>
                        <w:left w:val="none" w:sz="0" w:space="0" w:color="auto"/>
                        <w:bottom w:val="none" w:sz="0" w:space="0" w:color="auto"/>
                        <w:right w:val="none" w:sz="0" w:space="0" w:color="auto"/>
                      </w:divBdr>
                    </w:div>
                  </w:divsChild>
                </w:div>
                <w:div w:id="1882159914">
                  <w:marLeft w:val="0"/>
                  <w:marRight w:val="0"/>
                  <w:marTop w:val="0"/>
                  <w:marBottom w:val="0"/>
                  <w:divBdr>
                    <w:top w:val="none" w:sz="0" w:space="0" w:color="auto"/>
                    <w:left w:val="none" w:sz="0" w:space="0" w:color="auto"/>
                    <w:bottom w:val="none" w:sz="0" w:space="0" w:color="auto"/>
                    <w:right w:val="none" w:sz="0" w:space="0" w:color="auto"/>
                  </w:divBdr>
                  <w:divsChild>
                    <w:div w:id="1879660419">
                      <w:marLeft w:val="0"/>
                      <w:marRight w:val="0"/>
                      <w:marTop w:val="0"/>
                      <w:marBottom w:val="0"/>
                      <w:divBdr>
                        <w:top w:val="none" w:sz="0" w:space="0" w:color="auto"/>
                        <w:left w:val="none" w:sz="0" w:space="0" w:color="auto"/>
                        <w:bottom w:val="none" w:sz="0" w:space="0" w:color="auto"/>
                        <w:right w:val="none" w:sz="0" w:space="0" w:color="auto"/>
                      </w:divBdr>
                    </w:div>
                  </w:divsChild>
                </w:div>
                <w:div w:id="2020114215">
                  <w:marLeft w:val="0"/>
                  <w:marRight w:val="0"/>
                  <w:marTop w:val="0"/>
                  <w:marBottom w:val="0"/>
                  <w:divBdr>
                    <w:top w:val="none" w:sz="0" w:space="0" w:color="auto"/>
                    <w:left w:val="none" w:sz="0" w:space="0" w:color="auto"/>
                    <w:bottom w:val="none" w:sz="0" w:space="0" w:color="auto"/>
                    <w:right w:val="none" w:sz="0" w:space="0" w:color="auto"/>
                  </w:divBdr>
                  <w:divsChild>
                    <w:div w:id="368995272">
                      <w:marLeft w:val="0"/>
                      <w:marRight w:val="0"/>
                      <w:marTop w:val="0"/>
                      <w:marBottom w:val="0"/>
                      <w:divBdr>
                        <w:top w:val="none" w:sz="0" w:space="0" w:color="auto"/>
                        <w:left w:val="none" w:sz="0" w:space="0" w:color="auto"/>
                        <w:bottom w:val="none" w:sz="0" w:space="0" w:color="auto"/>
                        <w:right w:val="none" w:sz="0" w:space="0" w:color="auto"/>
                      </w:divBdr>
                    </w:div>
                  </w:divsChild>
                </w:div>
                <w:div w:id="1816793321">
                  <w:marLeft w:val="0"/>
                  <w:marRight w:val="0"/>
                  <w:marTop w:val="0"/>
                  <w:marBottom w:val="0"/>
                  <w:divBdr>
                    <w:top w:val="none" w:sz="0" w:space="0" w:color="auto"/>
                    <w:left w:val="none" w:sz="0" w:space="0" w:color="auto"/>
                    <w:bottom w:val="none" w:sz="0" w:space="0" w:color="auto"/>
                    <w:right w:val="none" w:sz="0" w:space="0" w:color="auto"/>
                  </w:divBdr>
                  <w:divsChild>
                    <w:div w:id="416098930">
                      <w:marLeft w:val="0"/>
                      <w:marRight w:val="0"/>
                      <w:marTop w:val="0"/>
                      <w:marBottom w:val="0"/>
                      <w:divBdr>
                        <w:top w:val="none" w:sz="0" w:space="0" w:color="auto"/>
                        <w:left w:val="none" w:sz="0" w:space="0" w:color="auto"/>
                        <w:bottom w:val="none" w:sz="0" w:space="0" w:color="auto"/>
                        <w:right w:val="none" w:sz="0" w:space="0" w:color="auto"/>
                      </w:divBdr>
                    </w:div>
                  </w:divsChild>
                </w:div>
                <w:div w:id="1965843175">
                  <w:marLeft w:val="0"/>
                  <w:marRight w:val="0"/>
                  <w:marTop w:val="0"/>
                  <w:marBottom w:val="0"/>
                  <w:divBdr>
                    <w:top w:val="none" w:sz="0" w:space="0" w:color="auto"/>
                    <w:left w:val="none" w:sz="0" w:space="0" w:color="auto"/>
                    <w:bottom w:val="none" w:sz="0" w:space="0" w:color="auto"/>
                    <w:right w:val="none" w:sz="0" w:space="0" w:color="auto"/>
                  </w:divBdr>
                  <w:divsChild>
                    <w:div w:id="1092044374">
                      <w:marLeft w:val="0"/>
                      <w:marRight w:val="0"/>
                      <w:marTop w:val="0"/>
                      <w:marBottom w:val="0"/>
                      <w:divBdr>
                        <w:top w:val="none" w:sz="0" w:space="0" w:color="auto"/>
                        <w:left w:val="none" w:sz="0" w:space="0" w:color="auto"/>
                        <w:bottom w:val="none" w:sz="0" w:space="0" w:color="auto"/>
                        <w:right w:val="none" w:sz="0" w:space="0" w:color="auto"/>
                      </w:divBdr>
                    </w:div>
                  </w:divsChild>
                </w:div>
                <w:div w:id="492448328">
                  <w:marLeft w:val="0"/>
                  <w:marRight w:val="0"/>
                  <w:marTop w:val="0"/>
                  <w:marBottom w:val="0"/>
                  <w:divBdr>
                    <w:top w:val="none" w:sz="0" w:space="0" w:color="auto"/>
                    <w:left w:val="none" w:sz="0" w:space="0" w:color="auto"/>
                    <w:bottom w:val="none" w:sz="0" w:space="0" w:color="auto"/>
                    <w:right w:val="none" w:sz="0" w:space="0" w:color="auto"/>
                  </w:divBdr>
                  <w:divsChild>
                    <w:div w:id="159589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57950">
          <w:marLeft w:val="0"/>
          <w:marRight w:val="0"/>
          <w:marTop w:val="0"/>
          <w:marBottom w:val="0"/>
          <w:divBdr>
            <w:top w:val="none" w:sz="0" w:space="0" w:color="auto"/>
            <w:left w:val="none" w:sz="0" w:space="0" w:color="auto"/>
            <w:bottom w:val="none" w:sz="0" w:space="0" w:color="auto"/>
            <w:right w:val="none" w:sz="0" w:space="0" w:color="auto"/>
          </w:divBdr>
          <w:divsChild>
            <w:div w:id="35743127">
              <w:marLeft w:val="0"/>
              <w:marRight w:val="0"/>
              <w:marTop w:val="0"/>
              <w:marBottom w:val="0"/>
              <w:divBdr>
                <w:top w:val="none" w:sz="0" w:space="0" w:color="auto"/>
                <w:left w:val="none" w:sz="0" w:space="0" w:color="auto"/>
                <w:bottom w:val="none" w:sz="0" w:space="0" w:color="auto"/>
                <w:right w:val="none" w:sz="0" w:space="0" w:color="auto"/>
              </w:divBdr>
            </w:div>
            <w:div w:id="662902118">
              <w:marLeft w:val="0"/>
              <w:marRight w:val="0"/>
              <w:marTop w:val="0"/>
              <w:marBottom w:val="0"/>
              <w:divBdr>
                <w:top w:val="none" w:sz="0" w:space="0" w:color="auto"/>
                <w:left w:val="none" w:sz="0" w:space="0" w:color="auto"/>
                <w:bottom w:val="none" w:sz="0" w:space="0" w:color="auto"/>
                <w:right w:val="none" w:sz="0" w:space="0" w:color="auto"/>
              </w:divBdr>
            </w:div>
            <w:div w:id="1709377652">
              <w:marLeft w:val="0"/>
              <w:marRight w:val="0"/>
              <w:marTop w:val="0"/>
              <w:marBottom w:val="0"/>
              <w:divBdr>
                <w:top w:val="none" w:sz="0" w:space="0" w:color="auto"/>
                <w:left w:val="none" w:sz="0" w:space="0" w:color="auto"/>
                <w:bottom w:val="none" w:sz="0" w:space="0" w:color="auto"/>
                <w:right w:val="none" w:sz="0" w:space="0" w:color="auto"/>
              </w:divBdr>
            </w:div>
            <w:div w:id="685791469">
              <w:marLeft w:val="0"/>
              <w:marRight w:val="0"/>
              <w:marTop w:val="0"/>
              <w:marBottom w:val="0"/>
              <w:divBdr>
                <w:top w:val="none" w:sz="0" w:space="0" w:color="auto"/>
                <w:left w:val="none" w:sz="0" w:space="0" w:color="auto"/>
                <w:bottom w:val="none" w:sz="0" w:space="0" w:color="auto"/>
                <w:right w:val="none" w:sz="0" w:space="0" w:color="auto"/>
              </w:divBdr>
            </w:div>
            <w:div w:id="747994208">
              <w:marLeft w:val="0"/>
              <w:marRight w:val="0"/>
              <w:marTop w:val="0"/>
              <w:marBottom w:val="0"/>
              <w:divBdr>
                <w:top w:val="none" w:sz="0" w:space="0" w:color="auto"/>
                <w:left w:val="none" w:sz="0" w:space="0" w:color="auto"/>
                <w:bottom w:val="none" w:sz="0" w:space="0" w:color="auto"/>
                <w:right w:val="none" w:sz="0" w:space="0" w:color="auto"/>
              </w:divBdr>
            </w:div>
            <w:div w:id="1027486383">
              <w:marLeft w:val="0"/>
              <w:marRight w:val="0"/>
              <w:marTop w:val="0"/>
              <w:marBottom w:val="0"/>
              <w:divBdr>
                <w:top w:val="none" w:sz="0" w:space="0" w:color="auto"/>
                <w:left w:val="none" w:sz="0" w:space="0" w:color="auto"/>
                <w:bottom w:val="none" w:sz="0" w:space="0" w:color="auto"/>
                <w:right w:val="none" w:sz="0" w:space="0" w:color="auto"/>
              </w:divBdr>
            </w:div>
            <w:div w:id="230309986">
              <w:marLeft w:val="0"/>
              <w:marRight w:val="0"/>
              <w:marTop w:val="0"/>
              <w:marBottom w:val="0"/>
              <w:divBdr>
                <w:top w:val="none" w:sz="0" w:space="0" w:color="auto"/>
                <w:left w:val="none" w:sz="0" w:space="0" w:color="auto"/>
                <w:bottom w:val="none" w:sz="0" w:space="0" w:color="auto"/>
                <w:right w:val="none" w:sz="0" w:space="0" w:color="auto"/>
              </w:divBdr>
            </w:div>
            <w:div w:id="768768637">
              <w:marLeft w:val="0"/>
              <w:marRight w:val="0"/>
              <w:marTop w:val="0"/>
              <w:marBottom w:val="0"/>
              <w:divBdr>
                <w:top w:val="none" w:sz="0" w:space="0" w:color="auto"/>
                <w:left w:val="none" w:sz="0" w:space="0" w:color="auto"/>
                <w:bottom w:val="none" w:sz="0" w:space="0" w:color="auto"/>
                <w:right w:val="none" w:sz="0" w:space="0" w:color="auto"/>
              </w:divBdr>
            </w:div>
            <w:div w:id="690686629">
              <w:marLeft w:val="0"/>
              <w:marRight w:val="0"/>
              <w:marTop w:val="0"/>
              <w:marBottom w:val="0"/>
              <w:divBdr>
                <w:top w:val="none" w:sz="0" w:space="0" w:color="auto"/>
                <w:left w:val="none" w:sz="0" w:space="0" w:color="auto"/>
                <w:bottom w:val="none" w:sz="0" w:space="0" w:color="auto"/>
                <w:right w:val="none" w:sz="0" w:space="0" w:color="auto"/>
              </w:divBdr>
            </w:div>
            <w:div w:id="287660291">
              <w:marLeft w:val="0"/>
              <w:marRight w:val="0"/>
              <w:marTop w:val="0"/>
              <w:marBottom w:val="0"/>
              <w:divBdr>
                <w:top w:val="none" w:sz="0" w:space="0" w:color="auto"/>
                <w:left w:val="none" w:sz="0" w:space="0" w:color="auto"/>
                <w:bottom w:val="none" w:sz="0" w:space="0" w:color="auto"/>
                <w:right w:val="none" w:sz="0" w:space="0" w:color="auto"/>
              </w:divBdr>
            </w:div>
            <w:div w:id="1789541115">
              <w:marLeft w:val="0"/>
              <w:marRight w:val="0"/>
              <w:marTop w:val="0"/>
              <w:marBottom w:val="0"/>
              <w:divBdr>
                <w:top w:val="none" w:sz="0" w:space="0" w:color="auto"/>
                <w:left w:val="none" w:sz="0" w:space="0" w:color="auto"/>
                <w:bottom w:val="none" w:sz="0" w:space="0" w:color="auto"/>
                <w:right w:val="none" w:sz="0" w:space="0" w:color="auto"/>
              </w:divBdr>
            </w:div>
            <w:div w:id="1144665717">
              <w:marLeft w:val="0"/>
              <w:marRight w:val="0"/>
              <w:marTop w:val="0"/>
              <w:marBottom w:val="0"/>
              <w:divBdr>
                <w:top w:val="none" w:sz="0" w:space="0" w:color="auto"/>
                <w:left w:val="none" w:sz="0" w:space="0" w:color="auto"/>
                <w:bottom w:val="none" w:sz="0" w:space="0" w:color="auto"/>
                <w:right w:val="none" w:sz="0" w:space="0" w:color="auto"/>
              </w:divBdr>
            </w:div>
            <w:div w:id="857887739">
              <w:marLeft w:val="0"/>
              <w:marRight w:val="0"/>
              <w:marTop w:val="0"/>
              <w:marBottom w:val="0"/>
              <w:divBdr>
                <w:top w:val="none" w:sz="0" w:space="0" w:color="auto"/>
                <w:left w:val="none" w:sz="0" w:space="0" w:color="auto"/>
                <w:bottom w:val="none" w:sz="0" w:space="0" w:color="auto"/>
                <w:right w:val="none" w:sz="0" w:space="0" w:color="auto"/>
              </w:divBdr>
            </w:div>
            <w:div w:id="1894853551">
              <w:marLeft w:val="0"/>
              <w:marRight w:val="0"/>
              <w:marTop w:val="0"/>
              <w:marBottom w:val="0"/>
              <w:divBdr>
                <w:top w:val="none" w:sz="0" w:space="0" w:color="auto"/>
                <w:left w:val="none" w:sz="0" w:space="0" w:color="auto"/>
                <w:bottom w:val="none" w:sz="0" w:space="0" w:color="auto"/>
                <w:right w:val="none" w:sz="0" w:space="0" w:color="auto"/>
              </w:divBdr>
            </w:div>
            <w:div w:id="394814200">
              <w:marLeft w:val="0"/>
              <w:marRight w:val="0"/>
              <w:marTop w:val="0"/>
              <w:marBottom w:val="0"/>
              <w:divBdr>
                <w:top w:val="none" w:sz="0" w:space="0" w:color="auto"/>
                <w:left w:val="none" w:sz="0" w:space="0" w:color="auto"/>
                <w:bottom w:val="none" w:sz="0" w:space="0" w:color="auto"/>
                <w:right w:val="none" w:sz="0" w:space="0" w:color="auto"/>
              </w:divBdr>
            </w:div>
            <w:div w:id="1904096793">
              <w:marLeft w:val="0"/>
              <w:marRight w:val="0"/>
              <w:marTop w:val="0"/>
              <w:marBottom w:val="0"/>
              <w:divBdr>
                <w:top w:val="none" w:sz="0" w:space="0" w:color="auto"/>
                <w:left w:val="none" w:sz="0" w:space="0" w:color="auto"/>
                <w:bottom w:val="none" w:sz="0" w:space="0" w:color="auto"/>
                <w:right w:val="none" w:sz="0" w:space="0" w:color="auto"/>
              </w:divBdr>
            </w:div>
            <w:div w:id="1771510011">
              <w:marLeft w:val="0"/>
              <w:marRight w:val="0"/>
              <w:marTop w:val="0"/>
              <w:marBottom w:val="0"/>
              <w:divBdr>
                <w:top w:val="none" w:sz="0" w:space="0" w:color="auto"/>
                <w:left w:val="none" w:sz="0" w:space="0" w:color="auto"/>
                <w:bottom w:val="none" w:sz="0" w:space="0" w:color="auto"/>
                <w:right w:val="none" w:sz="0" w:space="0" w:color="auto"/>
              </w:divBdr>
            </w:div>
            <w:div w:id="1542280211">
              <w:marLeft w:val="0"/>
              <w:marRight w:val="0"/>
              <w:marTop w:val="0"/>
              <w:marBottom w:val="0"/>
              <w:divBdr>
                <w:top w:val="none" w:sz="0" w:space="0" w:color="auto"/>
                <w:left w:val="none" w:sz="0" w:space="0" w:color="auto"/>
                <w:bottom w:val="none" w:sz="0" w:space="0" w:color="auto"/>
                <w:right w:val="none" w:sz="0" w:space="0" w:color="auto"/>
              </w:divBdr>
            </w:div>
            <w:div w:id="255096278">
              <w:marLeft w:val="0"/>
              <w:marRight w:val="0"/>
              <w:marTop w:val="0"/>
              <w:marBottom w:val="0"/>
              <w:divBdr>
                <w:top w:val="none" w:sz="0" w:space="0" w:color="auto"/>
                <w:left w:val="none" w:sz="0" w:space="0" w:color="auto"/>
                <w:bottom w:val="none" w:sz="0" w:space="0" w:color="auto"/>
                <w:right w:val="none" w:sz="0" w:space="0" w:color="auto"/>
              </w:divBdr>
            </w:div>
            <w:div w:id="889727683">
              <w:marLeft w:val="0"/>
              <w:marRight w:val="0"/>
              <w:marTop w:val="0"/>
              <w:marBottom w:val="0"/>
              <w:divBdr>
                <w:top w:val="none" w:sz="0" w:space="0" w:color="auto"/>
                <w:left w:val="none" w:sz="0" w:space="0" w:color="auto"/>
                <w:bottom w:val="none" w:sz="0" w:space="0" w:color="auto"/>
                <w:right w:val="none" w:sz="0" w:space="0" w:color="auto"/>
              </w:divBdr>
            </w:div>
          </w:divsChild>
        </w:div>
        <w:div w:id="1968389191">
          <w:marLeft w:val="0"/>
          <w:marRight w:val="0"/>
          <w:marTop w:val="0"/>
          <w:marBottom w:val="0"/>
          <w:divBdr>
            <w:top w:val="none" w:sz="0" w:space="0" w:color="auto"/>
            <w:left w:val="none" w:sz="0" w:space="0" w:color="auto"/>
            <w:bottom w:val="none" w:sz="0" w:space="0" w:color="auto"/>
            <w:right w:val="none" w:sz="0" w:space="0" w:color="auto"/>
          </w:divBdr>
          <w:divsChild>
            <w:div w:id="523977866">
              <w:marLeft w:val="0"/>
              <w:marRight w:val="0"/>
              <w:marTop w:val="0"/>
              <w:marBottom w:val="0"/>
              <w:divBdr>
                <w:top w:val="none" w:sz="0" w:space="0" w:color="auto"/>
                <w:left w:val="none" w:sz="0" w:space="0" w:color="auto"/>
                <w:bottom w:val="none" w:sz="0" w:space="0" w:color="auto"/>
                <w:right w:val="none" w:sz="0" w:space="0" w:color="auto"/>
              </w:divBdr>
            </w:div>
            <w:div w:id="2030134299">
              <w:marLeft w:val="0"/>
              <w:marRight w:val="0"/>
              <w:marTop w:val="0"/>
              <w:marBottom w:val="0"/>
              <w:divBdr>
                <w:top w:val="none" w:sz="0" w:space="0" w:color="auto"/>
                <w:left w:val="none" w:sz="0" w:space="0" w:color="auto"/>
                <w:bottom w:val="none" w:sz="0" w:space="0" w:color="auto"/>
                <w:right w:val="none" w:sz="0" w:space="0" w:color="auto"/>
              </w:divBdr>
            </w:div>
            <w:div w:id="296186664">
              <w:marLeft w:val="0"/>
              <w:marRight w:val="0"/>
              <w:marTop w:val="0"/>
              <w:marBottom w:val="0"/>
              <w:divBdr>
                <w:top w:val="none" w:sz="0" w:space="0" w:color="auto"/>
                <w:left w:val="none" w:sz="0" w:space="0" w:color="auto"/>
                <w:bottom w:val="none" w:sz="0" w:space="0" w:color="auto"/>
                <w:right w:val="none" w:sz="0" w:space="0" w:color="auto"/>
              </w:divBdr>
            </w:div>
            <w:div w:id="1574050564">
              <w:marLeft w:val="0"/>
              <w:marRight w:val="0"/>
              <w:marTop w:val="0"/>
              <w:marBottom w:val="0"/>
              <w:divBdr>
                <w:top w:val="none" w:sz="0" w:space="0" w:color="auto"/>
                <w:left w:val="none" w:sz="0" w:space="0" w:color="auto"/>
                <w:bottom w:val="none" w:sz="0" w:space="0" w:color="auto"/>
                <w:right w:val="none" w:sz="0" w:space="0" w:color="auto"/>
              </w:divBdr>
            </w:div>
            <w:div w:id="787816665">
              <w:marLeft w:val="0"/>
              <w:marRight w:val="0"/>
              <w:marTop w:val="0"/>
              <w:marBottom w:val="0"/>
              <w:divBdr>
                <w:top w:val="none" w:sz="0" w:space="0" w:color="auto"/>
                <w:left w:val="none" w:sz="0" w:space="0" w:color="auto"/>
                <w:bottom w:val="none" w:sz="0" w:space="0" w:color="auto"/>
                <w:right w:val="none" w:sz="0" w:space="0" w:color="auto"/>
              </w:divBdr>
            </w:div>
            <w:div w:id="2013138057">
              <w:marLeft w:val="0"/>
              <w:marRight w:val="0"/>
              <w:marTop w:val="0"/>
              <w:marBottom w:val="0"/>
              <w:divBdr>
                <w:top w:val="none" w:sz="0" w:space="0" w:color="auto"/>
                <w:left w:val="none" w:sz="0" w:space="0" w:color="auto"/>
                <w:bottom w:val="none" w:sz="0" w:space="0" w:color="auto"/>
                <w:right w:val="none" w:sz="0" w:space="0" w:color="auto"/>
              </w:divBdr>
            </w:div>
            <w:div w:id="719672307">
              <w:marLeft w:val="0"/>
              <w:marRight w:val="0"/>
              <w:marTop w:val="0"/>
              <w:marBottom w:val="0"/>
              <w:divBdr>
                <w:top w:val="none" w:sz="0" w:space="0" w:color="auto"/>
                <w:left w:val="none" w:sz="0" w:space="0" w:color="auto"/>
                <w:bottom w:val="none" w:sz="0" w:space="0" w:color="auto"/>
                <w:right w:val="none" w:sz="0" w:space="0" w:color="auto"/>
              </w:divBdr>
            </w:div>
            <w:div w:id="643002425">
              <w:marLeft w:val="0"/>
              <w:marRight w:val="0"/>
              <w:marTop w:val="0"/>
              <w:marBottom w:val="0"/>
              <w:divBdr>
                <w:top w:val="none" w:sz="0" w:space="0" w:color="auto"/>
                <w:left w:val="none" w:sz="0" w:space="0" w:color="auto"/>
                <w:bottom w:val="none" w:sz="0" w:space="0" w:color="auto"/>
                <w:right w:val="none" w:sz="0" w:space="0" w:color="auto"/>
              </w:divBdr>
            </w:div>
            <w:div w:id="1958024617">
              <w:marLeft w:val="0"/>
              <w:marRight w:val="0"/>
              <w:marTop w:val="0"/>
              <w:marBottom w:val="0"/>
              <w:divBdr>
                <w:top w:val="none" w:sz="0" w:space="0" w:color="auto"/>
                <w:left w:val="none" w:sz="0" w:space="0" w:color="auto"/>
                <w:bottom w:val="none" w:sz="0" w:space="0" w:color="auto"/>
                <w:right w:val="none" w:sz="0" w:space="0" w:color="auto"/>
              </w:divBdr>
            </w:div>
            <w:div w:id="1897861971">
              <w:marLeft w:val="0"/>
              <w:marRight w:val="0"/>
              <w:marTop w:val="0"/>
              <w:marBottom w:val="0"/>
              <w:divBdr>
                <w:top w:val="none" w:sz="0" w:space="0" w:color="auto"/>
                <w:left w:val="none" w:sz="0" w:space="0" w:color="auto"/>
                <w:bottom w:val="none" w:sz="0" w:space="0" w:color="auto"/>
                <w:right w:val="none" w:sz="0" w:space="0" w:color="auto"/>
              </w:divBdr>
            </w:div>
            <w:div w:id="316493500">
              <w:marLeft w:val="0"/>
              <w:marRight w:val="0"/>
              <w:marTop w:val="0"/>
              <w:marBottom w:val="0"/>
              <w:divBdr>
                <w:top w:val="none" w:sz="0" w:space="0" w:color="auto"/>
                <w:left w:val="none" w:sz="0" w:space="0" w:color="auto"/>
                <w:bottom w:val="none" w:sz="0" w:space="0" w:color="auto"/>
                <w:right w:val="none" w:sz="0" w:space="0" w:color="auto"/>
              </w:divBdr>
            </w:div>
            <w:div w:id="1972401119">
              <w:marLeft w:val="0"/>
              <w:marRight w:val="0"/>
              <w:marTop w:val="0"/>
              <w:marBottom w:val="0"/>
              <w:divBdr>
                <w:top w:val="none" w:sz="0" w:space="0" w:color="auto"/>
                <w:left w:val="none" w:sz="0" w:space="0" w:color="auto"/>
                <w:bottom w:val="none" w:sz="0" w:space="0" w:color="auto"/>
                <w:right w:val="none" w:sz="0" w:space="0" w:color="auto"/>
              </w:divBdr>
            </w:div>
            <w:div w:id="2081832220">
              <w:marLeft w:val="0"/>
              <w:marRight w:val="0"/>
              <w:marTop w:val="0"/>
              <w:marBottom w:val="0"/>
              <w:divBdr>
                <w:top w:val="none" w:sz="0" w:space="0" w:color="auto"/>
                <w:left w:val="none" w:sz="0" w:space="0" w:color="auto"/>
                <w:bottom w:val="none" w:sz="0" w:space="0" w:color="auto"/>
                <w:right w:val="none" w:sz="0" w:space="0" w:color="auto"/>
              </w:divBdr>
            </w:div>
            <w:div w:id="1616254996">
              <w:marLeft w:val="0"/>
              <w:marRight w:val="0"/>
              <w:marTop w:val="0"/>
              <w:marBottom w:val="0"/>
              <w:divBdr>
                <w:top w:val="none" w:sz="0" w:space="0" w:color="auto"/>
                <w:left w:val="none" w:sz="0" w:space="0" w:color="auto"/>
                <w:bottom w:val="none" w:sz="0" w:space="0" w:color="auto"/>
                <w:right w:val="none" w:sz="0" w:space="0" w:color="auto"/>
              </w:divBdr>
            </w:div>
            <w:div w:id="35936191">
              <w:marLeft w:val="0"/>
              <w:marRight w:val="0"/>
              <w:marTop w:val="0"/>
              <w:marBottom w:val="0"/>
              <w:divBdr>
                <w:top w:val="none" w:sz="0" w:space="0" w:color="auto"/>
                <w:left w:val="none" w:sz="0" w:space="0" w:color="auto"/>
                <w:bottom w:val="none" w:sz="0" w:space="0" w:color="auto"/>
                <w:right w:val="none" w:sz="0" w:space="0" w:color="auto"/>
              </w:divBdr>
            </w:div>
            <w:div w:id="1246568380">
              <w:marLeft w:val="0"/>
              <w:marRight w:val="0"/>
              <w:marTop w:val="0"/>
              <w:marBottom w:val="0"/>
              <w:divBdr>
                <w:top w:val="none" w:sz="0" w:space="0" w:color="auto"/>
                <w:left w:val="none" w:sz="0" w:space="0" w:color="auto"/>
                <w:bottom w:val="none" w:sz="0" w:space="0" w:color="auto"/>
                <w:right w:val="none" w:sz="0" w:space="0" w:color="auto"/>
              </w:divBdr>
            </w:div>
            <w:div w:id="1874533335">
              <w:marLeft w:val="0"/>
              <w:marRight w:val="0"/>
              <w:marTop w:val="0"/>
              <w:marBottom w:val="0"/>
              <w:divBdr>
                <w:top w:val="none" w:sz="0" w:space="0" w:color="auto"/>
                <w:left w:val="none" w:sz="0" w:space="0" w:color="auto"/>
                <w:bottom w:val="none" w:sz="0" w:space="0" w:color="auto"/>
                <w:right w:val="none" w:sz="0" w:space="0" w:color="auto"/>
              </w:divBdr>
            </w:div>
            <w:div w:id="413355309">
              <w:marLeft w:val="0"/>
              <w:marRight w:val="0"/>
              <w:marTop w:val="0"/>
              <w:marBottom w:val="0"/>
              <w:divBdr>
                <w:top w:val="none" w:sz="0" w:space="0" w:color="auto"/>
                <w:left w:val="none" w:sz="0" w:space="0" w:color="auto"/>
                <w:bottom w:val="none" w:sz="0" w:space="0" w:color="auto"/>
                <w:right w:val="none" w:sz="0" w:space="0" w:color="auto"/>
              </w:divBdr>
            </w:div>
            <w:div w:id="1145780363">
              <w:marLeft w:val="0"/>
              <w:marRight w:val="0"/>
              <w:marTop w:val="0"/>
              <w:marBottom w:val="0"/>
              <w:divBdr>
                <w:top w:val="none" w:sz="0" w:space="0" w:color="auto"/>
                <w:left w:val="none" w:sz="0" w:space="0" w:color="auto"/>
                <w:bottom w:val="none" w:sz="0" w:space="0" w:color="auto"/>
                <w:right w:val="none" w:sz="0" w:space="0" w:color="auto"/>
              </w:divBdr>
            </w:div>
            <w:div w:id="905189881">
              <w:marLeft w:val="0"/>
              <w:marRight w:val="0"/>
              <w:marTop w:val="0"/>
              <w:marBottom w:val="0"/>
              <w:divBdr>
                <w:top w:val="none" w:sz="0" w:space="0" w:color="auto"/>
                <w:left w:val="none" w:sz="0" w:space="0" w:color="auto"/>
                <w:bottom w:val="none" w:sz="0" w:space="0" w:color="auto"/>
                <w:right w:val="none" w:sz="0" w:space="0" w:color="auto"/>
              </w:divBdr>
            </w:div>
          </w:divsChild>
        </w:div>
        <w:div w:id="165557829">
          <w:marLeft w:val="0"/>
          <w:marRight w:val="0"/>
          <w:marTop w:val="0"/>
          <w:marBottom w:val="0"/>
          <w:divBdr>
            <w:top w:val="none" w:sz="0" w:space="0" w:color="auto"/>
            <w:left w:val="none" w:sz="0" w:space="0" w:color="auto"/>
            <w:bottom w:val="none" w:sz="0" w:space="0" w:color="auto"/>
            <w:right w:val="none" w:sz="0" w:space="0" w:color="auto"/>
          </w:divBdr>
        </w:div>
        <w:div w:id="155342837">
          <w:marLeft w:val="0"/>
          <w:marRight w:val="0"/>
          <w:marTop w:val="0"/>
          <w:marBottom w:val="0"/>
          <w:divBdr>
            <w:top w:val="none" w:sz="0" w:space="0" w:color="auto"/>
            <w:left w:val="none" w:sz="0" w:space="0" w:color="auto"/>
            <w:bottom w:val="none" w:sz="0" w:space="0" w:color="auto"/>
            <w:right w:val="none" w:sz="0" w:space="0" w:color="auto"/>
          </w:divBdr>
        </w:div>
        <w:div w:id="1709842784">
          <w:marLeft w:val="0"/>
          <w:marRight w:val="0"/>
          <w:marTop w:val="0"/>
          <w:marBottom w:val="0"/>
          <w:divBdr>
            <w:top w:val="none" w:sz="0" w:space="0" w:color="auto"/>
            <w:left w:val="none" w:sz="0" w:space="0" w:color="auto"/>
            <w:bottom w:val="none" w:sz="0" w:space="0" w:color="auto"/>
            <w:right w:val="none" w:sz="0" w:space="0" w:color="auto"/>
          </w:divBdr>
        </w:div>
        <w:div w:id="1842692545">
          <w:marLeft w:val="0"/>
          <w:marRight w:val="0"/>
          <w:marTop w:val="0"/>
          <w:marBottom w:val="0"/>
          <w:divBdr>
            <w:top w:val="none" w:sz="0" w:space="0" w:color="auto"/>
            <w:left w:val="none" w:sz="0" w:space="0" w:color="auto"/>
            <w:bottom w:val="none" w:sz="0" w:space="0" w:color="auto"/>
            <w:right w:val="none" w:sz="0" w:space="0" w:color="auto"/>
          </w:divBdr>
        </w:div>
        <w:div w:id="835075184">
          <w:marLeft w:val="0"/>
          <w:marRight w:val="0"/>
          <w:marTop w:val="0"/>
          <w:marBottom w:val="0"/>
          <w:divBdr>
            <w:top w:val="none" w:sz="0" w:space="0" w:color="auto"/>
            <w:left w:val="none" w:sz="0" w:space="0" w:color="auto"/>
            <w:bottom w:val="none" w:sz="0" w:space="0" w:color="auto"/>
            <w:right w:val="none" w:sz="0" w:space="0" w:color="auto"/>
          </w:divBdr>
        </w:div>
        <w:div w:id="752626464">
          <w:marLeft w:val="0"/>
          <w:marRight w:val="0"/>
          <w:marTop w:val="0"/>
          <w:marBottom w:val="0"/>
          <w:divBdr>
            <w:top w:val="none" w:sz="0" w:space="0" w:color="auto"/>
            <w:left w:val="none" w:sz="0" w:space="0" w:color="auto"/>
            <w:bottom w:val="none" w:sz="0" w:space="0" w:color="auto"/>
            <w:right w:val="none" w:sz="0" w:space="0" w:color="auto"/>
          </w:divBdr>
        </w:div>
        <w:div w:id="2020504939">
          <w:marLeft w:val="0"/>
          <w:marRight w:val="0"/>
          <w:marTop w:val="0"/>
          <w:marBottom w:val="0"/>
          <w:divBdr>
            <w:top w:val="none" w:sz="0" w:space="0" w:color="auto"/>
            <w:left w:val="none" w:sz="0" w:space="0" w:color="auto"/>
            <w:bottom w:val="none" w:sz="0" w:space="0" w:color="auto"/>
            <w:right w:val="none" w:sz="0" w:space="0" w:color="auto"/>
          </w:divBdr>
        </w:div>
        <w:div w:id="809513275">
          <w:marLeft w:val="0"/>
          <w:marRight w:val="0"/>
          <w:marTop w:val="0"/>
          <w:marBottom w:val="0"/>
          <w:divBdr>
            <w:top w:val="none" w:sz="0" w:space="0" w:color="auto"/>
            <w:left w:val="none" w:sz="0" w:space="0" w:color="auto"/>
            <w:bottom w:val="none" w:sz="0" w:space="0" w:color="auto"/>
            <w:right w:val="none" w:sz="0" w:space="0" w:color="auto"/>
          </w:divBdr>
        </w:div>
        <w:div w:id="1100487826">
          <w:marLeft w:val="0"/>
          <w:marRight w:val="0"/>
          <w:marTop w:val="0"/>
          <w:marBottom w:val="0"/>
          <w:divBdr>
            <w:top w:val="none" w:sz="0" w:space="0" w:color="auto"/>
            <w:left w:val="none" w:sz="0" w:space="0" w:color="auto"/>
            <w:bottom w:val="none" w:sz="0" w:space="0" w:color="auto"/>
            <w:right w:val="none" w:sz="0" w:space="0" w:color="auto"/>
          </w:divBdr>
        </w:div>
      </w:divsChild>
    </w:div>
    <w:div w:id="607585005">
      <w:bodyDiv w:val="1"/>
      <w:marLeft w:val="0"/>
      <w:marRight w:val="0"/>
      <w:marTop w:val="0"/>
      <w:marBottom w:val="0"/>
      <w:divBdr>
        <w:top w:val="none" w:sz="0" w:space="0" w:color="auto"/>
        <w:left w:val="none" w:sz="0" w:space="0" w:color="auto"/>
        <w:bottom w:val="none" w:sz="0" w:space="0" w:color="auto"/>
        <w:right w:val="none" w:sz="0" w:space="0" w:color="auto"/>
      </w:divBdr>
    </w:div>
    <w:div w:id="686911314">
      <w:bodyDiv w:val="1"/>
      <w:marLeft w:val="0"/>
      <w:marRight w:val="0"/>
      <w:marTop w:val="0"/>
      <w:marBottom w:val="0"/>
      <w:divBdr>
        <w:top w:val="none" w:sz="0" w:space="0" w:color="auto"/>
        <w:left w:val="none" w:sz="0" w:space="0" w:color="auto"/>
        <w:bottom w:val="none" w:sz="0" w:space="0" w:color="auto"/>
        <w:right w:val="none" w:sz="0" w:space="0" w:color="auto"/>
      </w:divBdr>
    </w:div>
    <w:div w:id="713651488">
      <w:bodyDiv w:val="1"/>
      <w:marLeft w:val="0"/>
      <w:marRight w:val="0"/>
      <w:marTop w:val="0"/>
      <w:marBottom w:val="0"/>
      <w:divBdr>
        <w:top w:val="none" w:sz="0" w:space="0" w:color="auto"/>
        <w:left w:val="none" w:sz="0" w:space="0" w:color="auto"/>
        <w:bottom w:val="none" w:sz="0" w:space="0" w:color="auto"/>
        <w:right w:val="none" w:sz="0" w:space="0" w:color="auto"/>
      </w:divBdr>
    </w:div>
    <w:div w:id="888760909">
      <w:bodyDiv w:val="1"/>
      <w:marLeft w:val="0"/>
      <w:marRight w:val="0"/>
      <w:marTop w:val="0"/>
      <w:marBottom w:val="0"/>
      <w:divBdr>
        <w:top w:val="none" w:sz="0" w:space="0" w:color="auto"/>
        <w:left w:val="none" w:sz="0" w:space="0" w:color="auto"/>
        <w:bottom w:val="none" w:sz="0" w:space="0" w:color="auto"/>
        <w:right w:val="none" w:sz="0" w:space="0" w:color="auto"/>
      </w:divBdr>
    </w:div>
    <w:div w:id="901597603">
      <w:bodyDiv w:val="1"/>
      <w:marLeft w:val="0"/>
      <w:marRight w:val="0"/>
      <w:marTop w:val="0"/>
      <w:marBottom w:val="0"/>
      <w:divBdr>
        <w:top w:val="none" w:sz="0" w:space="0" w:color="auto"/>
        <w:left w:val="none" w:sz="0" w:space="0" w:color="auto"/>
        <w:bottom w:val="none" w:sz="0" w:space="0" w:color="auto"/>
        <w:right w:val="none" w:sz="0" w:space="0" w:color="auto"/>
      </w:divBdr>
    </w:div>
    <w:div w:id="909078700">
      <w:bodyDiv w:val="1"/>
      <w:marLeft w:val="0"/>
      <w:marRight w:val="0"/>
      <w:marTop w:val="0"/>
      <w:marBottom w:val="0"/>
      <w:divBdr>
        <w:top w:val="none" w:sz="0" w:space="0" w:color="auto"/>
        <w:left w:val="none" w:sz="0" w:space="0" w:color="auto"/>
        <w:bottom w:val="none" w:sz="0" w:space="0" w:color="auto"/>
        <w:right w:val="none" w:sz="0" w:space="0" w:color="auto"/>
      </w:divBdr>
      <w:divsChild>
        <w:div w:id="1393578825">
          <w:marLeft w:val="0"/>
          <w:marRight w:val="0"/>
          <w:marTop w:val="0"/>
          <w:marBottom w:val="0"/>
          <w:divBdr>
            <w:top w:val="none" w:sz="0" w:space="0" w:color="auto"/>
            <w:left w:val="none" w:sz="0" w:space="0" w:color="auto"/>
            <w:bottom w:val="none" w:sz="0" w:space="0" w:color="auto"/>
            <w:right w:val="none" w:sz="0" w:space="0" w:color="auto"/>
          </w:divBdr>
          <w:divsChild>
            <w:div w:id="657000187">
              <w:marLeft w:val="0"/>
              <w:marRight w:val="0"/>
              <w:marTop w:val="0"/>
              <w:marBottom w:val="0"/>
              <w:divBdr>
                <w:top w:val="none" w:sz="0" w:space="0" w:color="auto"/>
                <w:left w:val="none" w:sz="0" w:space="0" w:color="auto"/>
                <w:bottom w:val="none" w:sz="0" w:space="0" w:color="auto"/>
                <w:right w:val="none" w:sz="0" w:space="0" w:color="auto"/>
              </w:divBdr>
              <w:divsChild>
                <w:div w:id="12699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34755">
      <w:bodyDiv w:val="1"/>
      <w:marLeft w:val="0"/>
      <w:marRight w:val="0"/>
      <w:marTop w:val="0"/>
      <w:marBottom w:val="0"/>
      <w:divBdr>
        <w:top w:val="none" w:sz="0" w:space="0" w:color="auto"/>
        <w:left w:val="none" w:sz="0" w:space="0" w:color="auto"/>
        <w:bottom w:val="none" w:sz="0" w:space="0" w:color="auto"/>
        <w:right w:val="none" w:sz="0" w:space="0" w:color="auto"/>
      </w:divBdr>
    </w:div>
    <w:div w:id="1042091902">
      <w:bodyDiv w:val="1"/>
      <w:marLeft w:val="0"/>
      <w:marRight w:val="0"/>
      <w:marTop w:val="0"/>
      <w:marBottom w:val="0"/>
      <w:divBdr>
        <w:top w:val="none" w:sz="0" w:space="0" w:color="auto"/>
        <w:left w:val="none" w:sz="0" w:space="0" w:color="auto"/>
        <w:bottom w:val="none" w:sz="0" w:space="0" w:color="auto"/>
        <w:right w:val="none" w:sz="0" w:space="0" w:color="auto"/>
      </w:divBdr>
    </w:div>
    <w:div w:id="1164131335">
      <w:bodyDiv w:val="1"/>
      <w:marLeft w:val="0"/>
      <w:marRight w:val="0"/>
      <w:marTop w:val="0"/>
      <w:marBottom w:val="0"/>
      <w:divBdr>
        <w:top w:val="none" w:sz="0" w:space="0" w:color="auto"/>
        <w:left w:val="none" w:sz="0" w:space="0" w:color="auto"/>
        <w:bottom w:val="none" w:sz="0" w:space="0" w:color="auto"/>
        <w:right w:val="none" w:sz="0" w:space="0" w:color="auto"/>
      </w:divBdr>
    </w:div>
    <w:div w:id="1292328090">
      <w:bodyDiv w:val="1"/>
      <w:marLeft w:val="0"/>
      <w:marRight w:val="0"/>
      <w:marTop w:val="0"/>
      <w:marBottom w:val="0"/>
      <w:divBdr>
        <w:top w:val="none" w:sz="0" w:space="0" w:color="auto"/>
        <w:left w:val="none" w:sz="0" w:space="0" w:color="auto"/>
        <w:bottom w:val="none" w:sz="0" w:space="0" w:color="auto"/>
        <w:right w:val="none" w:sz="0" w:space="0" w:color="auto"/>
      </w:divBdr>
    </w:div>
    <w:div w:id="1348748928">
      <w:bodyDiv w:val="1"/>
      <w:marLeft w:val="0"/>
      <w:marRight w:val="0"/>
      <w:marTop w:val="0"/>
      <w:marBottom w:val="0"/>
      <w:divBdr>
        <w:top w:val="none" w:sz="0" w:space="0" w:color="auto"/>
        <w:left w:val="none" w:sz="0" w:space="0" w:color="auto"/>
        <w:bottom w:val="none" w:sz="0" w:space="0" w:color="auto"/>
        <w:right w:val="none" w:sz="0" w:space="0" w:color="auto"/>
      </w:divBdr>
    </w:div>
    <w:div w:id="1359623660">
      <w:bodyDiv w:val="1"/>
      <w:marLeft w:val="0"/>
      <w:marRight w:val="0"/>
      <w:marTop w:val="0"/>
      <w:marBottom w:val="0"/>
      <w:divBdr>
        <w:top w:val="none" w:sz="0" w:space="0" w:color="auto"/>
        <w:left w:val="none" w:sz="0" w:space="0" w:color="auto"/>
        <w:bottom w:val="none" w:sz="0" w:space="0" w:color="auto"/>
        <w:right w:val="none" w:sz="0" w:space="0" w:color="auto"/>
      </w:divBdr>
    </w:div>
    <w:div w:id="1387338002">
      <w:bodyDiv w:val="1"/>
      <w:marLeft w:val="0"/>
      <w:marRight w:val="0"/>
      <w:marTop w:val="0"/>
      <w:marBottom w:val="0"/>
      <w:divBdr>
        <w:top w:val="none" w:sz="0" w:space="0" w:color="auto"/>
        <w:left w:val="none" w:sz="0" w:space="0" w:color="auto"/>
        <w:bottom w:val="none" w:sz="0" w:space="0" w:color="auto"/>
        <w:right w:val="none" w:sz="0" w:space="0" w:color="auto"/>
      </w:divBdr>
    </w:div>
    <w:div w:id="1503349868">
      <w:bodyDiv w:val="1"/>
      <w:marLeft w:val="0"/>
      <w:marRight w:val="0"/>
      <w:marTop w:val="0"/>
      <w:marBottom w:val="0"/>
      <w:divBdr>
        <w:top w:val="none" w:sz="0" w:space="0" w:color="auto"/>
        <w:left w:val="none" w:sz="0" w:space="0" w:color="auto"/>
        <w:bottom w:val="none" w:sz="0" w:space="0" w:color="auto"/>
        <w:right w:val="none" w:sz="0" w:space="0" w:color="auto"/>
      </w:divBdr>
      <w:divsChild>
        <w:div w:id="1624188823">
          <w:marLeft w:val="0"/>
          <w:marRight w:val="0"/>
          <w:marTop w:val="0"/>
          <w:marBottom w:val="0"/>
          <w:divBdr>
            <w:top w:val="none" w:sz="0" w:space="0" w:color="auto"/>
            <w:left w:val="none" w:sz="0" w:space="0" w:color="auto"/>
            <w:bottom w:val="none" w:sz="0" w:space="0" w:color="auto"/>
            <w:right w:val="none" w:sz="0" w:space="0" w:color="auto"/>
          </w:divBdr>
        </w:div>
        <w:div w:id="1340157212">
          <w:marLeft w:val="0"/>
          <w:marRight w:val="0"/>
          <w:marTop w:val="0"/>
          <w:marBottom w:val="0"/>
          <w:divBdr>
            <w:top w:val="none" w:sz="0" w:space="0" w:color="auto"/>
            <w:left w:val="none" w:sz="0" w:space="0" w:color="auto"/>
            <w:bottom w:val="none" w:sz="0" w:space="0" w:color="auto"/>
            <w:right w:val="none" w:sz="0" w:space="0" w:color="auto"/>
          </w:divBdr>
        </w:div>
        <w:div w:id="374937839">
          <w:marLeft w:val="0"/>
          <w:marRight w:val="0"/>
          <w:marTop w:val="0"/>
          <w:marBottom w:val="0"/>
          <w:divBdr>
            <w:top w:val="none" w:sz="0" w:space="0" w:color="auto"/>
            <w:left w:val="none" w:sz="0" w:space="0" w:color="auto"/>
            <w:bottom w:val="none" w:sz="0" w:space="0" w:color="auto"/>
            <w:right w:val="none" w:sz="0" w:space="0" w:color="auto"/>
          </w:divBdr>
        </w:div>
        <w:div w:id="562254797">
          <w:marLeft w:val="0"/>
          <w:marRight w:val="0"/>
          <w:marTop w:val="0"/>
          <w:marBottom w:val="0"/>
          <w:divBdr>
            <w:top w:val="none" w:sz="0" w:space="0" w:color="auto"/>
            <w:left w:val="none" w:sz="0" w:space="0" w:color="auto"/>
            <w:bottom w:val="none" w:sz="0" w:space="0" w:color="auto"/>
            <w:right w:val="none" w:sz="0" w:space="0" w:color="auto"/>
          </w:divBdr>
        </w:div>
        <w:div w:id="13074230">
          <w:marLeft w:val="0"/>
          <w:marRight w:val="0"/>
          <w:marTop w:val="0"/>
          <w:marBottom w:val="0"/>
          <w:divBdr>
            <w:top w:val="none" w:sz="0" w:space="0" w:color="auto"/>
            <w:left w:val="none" w:sz="0" w:space="0" w:color="auto"/>
            <w:bottom w:val="none" w:sz="0" w:space="0" w:color="auto"/>
            <w:right w:val="none" w:sz="0" w:space="0" w:color="auto"/>
          </w:divBdr>
        </w:div>
        <w:div w:id="1913735950">
          <w:marLeft w:val="0"/>
          <w:marRight w:val="0"/>
          <w:marTop w:val="0"/>
          <w:marBottom w:val="0"/>
          <w:divBdr>
            <w:top w:val="none" w:sz="0" w:space="0" w:color="auto"/>
            <w:left w:val="none" w:sz="0" w:space="0" w:color="auto"/>
            <w:bottom w:val="none" w:sz="0" w:space="0" w:color="auto"/>
            <w:right w:val="none" w:sz="0" w:space="0" w:color="auto"/>
          </w:divBdr>
        </w:div>
        <w:div w:id="1977056925">
          <w:marLeft w:val="0"/>
          <w:marRight w:val="0"/>
          <w:marTop w:val="0"/>
          <w:marBottom w:val="0"/>
          <w:divBdr>
            <w:top w:val="none" w:sz="0" w:space="0" w:color="auto"/>
            <w:left w:val="none" w:sz="0" w:space="0" w:color="auto"/>
            <w:bottom w:val="none" w:sz="0" w:space="0" w:color="auto"/>
            <w:right w:val="none" w:sz="0" w:space="0" w:color="auto"/>
          </w:divBdr>
        </w:div>
        <w:div w:id="1549488225">
          <w:marLeft w:val="0"/>
          <w:marRight w:val="0"/>
          <w:marTop w:val="0"/>
          <w:marBottom w:val="0"/>
          <w:divBdr>
            <w:top w:val="none" w:sz="0" w:space="0" w:color="auto"/>
            <w:left w:val="none" w:sz="0" w:space="0" w:color="auto"/>
            <w:bottom w:val="none" w:sz="0" w:space="0" w:color="auto"/>
            <w:right w:val="none" w:sz="0" w:space="0" w:color="auto"/>
          </w:divBdr>
          <w:divsChild>
            <w:div w:id="1961105305">
              <w:marLeft w:val="0"/>
              <w:marRight w:val="0"/>
              <w:marTop w:val="0"/>
              <w:marBottom w:val="0"/>
              <w:divBdr>
                <w:top w:val="none" w:sz="0" w:space="0" w:color="auto"/>
                <w:left w:val="none" w:sz="0" w:space="0" w:color="auto"/>
                <w:bottom w:val="none" w:sz="0" w:space="0" w:color="auto"/>
                <w:right w:val="none" w:sz="0" w:space="0" w:color="auto"/>
              </w:divBdr>
            </w:div>
            <w:div w:id="1152209465">
              <w:marLeft w:val="0"/>
              <w:marRight w:val="0"/>
              <w:marTop w:val="0"/>
              <w:marBottom w:val="0"/>
              <w:divBdr>
                <w:top w:val="none" w:sz="0" w:space="0" w:color="auto"/>
                <w:left w:val="none" w:sz="0" w:space="0" w:color="auto"/>
                <w:bottom w:val="none" w:sz="0" w:space="0" w:color="auto"/>
                <w:right w:val="none" w:sz="0" w:space="0" w:color="auto"/>
              </w:divBdr>
            </w:div>
            <w:div w:id="127360515">
              <w:marLeft w:val="0"/>
              <w:marRight w:val="0"/>
              <w:marTop w:val="0"/>
              <w:marBottom w:val="0"/>
              <w:divBdr>
                <w:top w:val="none" w:sz="0" w:space="0" w:color="auto"/>
                <w:left w:val="none" w:sz="0" w:space="0" w:color="auto"/>
                <w:bottom w:val="none" w:sz="0" w:space="0" w:color="auto"/>
                <w:right w:val="none" w:sz="0" w:space="0" w:color="auto"/>
              </w:divBdr>
            </w:div>
            <w:div w:id="1213156432">
              <w:marLeft w:val="0"/>
              <w:marRight w:val="0"/>
              <w:marTop w:val="0"/>
              <w:marBottom w:val="0"/>
              <w:divBdr>
                <w:top w:val="none" w:sz="0" w:space="0" w:color="auto"/>
                <w:left w:val="none" w:sz="0" w:space="0" w:color="auto"/>
                <w:bottom w:val="none" w:sz="0" w:space="0" w:color="auto"/>
                <w:right w:val="none" w:sz="0" w:space="0" w:color="auto"/>
              </w:divBdr>
            </w:div>
            <w:div w:id="889880242">
              <w:marLeft w:val="0"/>
              <w:marRight w:val="0"/>
              <w:marTop w:val="0"/>
              <w:marBottom w:val="0"/>
              <w:divBdr>
                <w:top w:val="none" w:sz="0" w:space="0" w:color="auto"/>
                <w:left w:val="none" w:sz="0" w:space="0" w:color="auto"/>
                <w:bottom w:val="none" w:sz="0" w:space="0" w:color="auto"/>
                <w:right w:val="none" w:sz="0" w:space="0" w:color="auto"/>
              </w:divBdr>
            </w:div>
            <w:div w:id="697776478">
              <w:marLeft w:val="0"/>
              <w:marRight w:val="0"/>
              <w:marTop w:val="0"/>
              <w:marBottom w:val="0"/>
              <w:divBdr>
                <w:top w:val="none" w:sz="0" w:space="0" w:color="auto"/>
                <w:left w:val="none" w:sz="0" w:space="0" w:color="auto"/>
                <w:bottom w:val="none" w:sz="0" w:space="0" w:color="auto"/>
                <w:right w:val="none" w:sz="0" w:space="0" w:color="auto"/>
              </w:divBdr>
            </w:div>
            <w:div w:id="1914116543">
              <w:marLeft w:val="0"/>
              <w:marRight w:val="0"/>
              <w:marTop w:val="0"/>
              <w:marBottom w:val="0"/>
              <w:divBdr>
                <w:top w:val="none" w:sz="0" w:space="0" w:color="auto"/>
                <w:left w:val="none" w:sz="0" w:space="0" w:color="auto"/>
                <w:bottom w:val="none" w:sz="0" w:space="0" w:color="auto"/>
                <w:right w:val="none" w:sz="0" w:space="0" w:color="auto"/>
              </w:divBdr>
            </w:div>
            <w:div w:id="1180244668">
              <w:marLeft w:val="0"/>
              <w:marRight w:val="0"/>
              <w:marTop w:val="0"/>
              <w:marBottom w:val="0"/>
              <w:divBdr>
                <w:top w:val="none" w:sz="0" w:space="0" w:color="auto"/>
                <w:left w:val="none" w:sz="0" w:space="0" w:color="auto"/>
                <w:bottom w:val="none" w:sz="0" w:space="0" w:color="auto"/>
                <w:right w:val="none" w:sz="0" w:space="0" w:color="auto"/>
              </w:divBdr>
            </w:div>
            <w:div w:id="694229483">
              <w:marLeft w:val="0"/>
              <w:marRight w:val="0"/>
              <w:marTop w:val="0"/>
              <w:marBottom w:val="0"/>
              <w:divBdr>
                <w:top w:val="none" w:sz="0" w:space="0" w:color="auto"/>
                <w:left w:val="none" w:sz="0" w:space="0" w:color="auto"/>
                <w:bottom w:val="none" w:sz="0" w:space="0" w:color="auto"/>
                <w:right w:val="none" w:sz="0" w:space="0" w:color="auto"/>
              </w:divBdr>
            </w:div>
            <w:div w:id="1563636772">
              <w:marLeft w:val="0"/>
              <w:marRight w:val="0"/>
              <w:marTop w:val="0"/>
              <w:marBottom w:val="0"/>
              <w:divBdr>
                <w:top w:val="none" w:sz="0" w:space="0" w:color="auto"/>
                <w:left w:val="none" w:sz="0" w:space="0" w:color="auto"/>
                <w:bottom w:val="none" w:sz="0" w:space="0" w:color="auto"/>
                <w:right w:val="none" w:sz="0" w:space="0" w:color="auto"/>
              </w:divBdr>
            </w:div>
            <w:div w:id="1893956160">
              <w:marLeft w:val="0"/>
              <w:marRight w:val="0"/>
              <w:marTop w:val="0"/>
              <w:marBottom w:val="0"/>
              <w:divBdr>
                <w:top w:val="none" w:sz="0" w:space="0" w:color="auto"/>
                <w:left w:val="none" w:sz="0" w:space="0" w:color="auto"/>
                <w:bottom w:val="none" w:sz="0" w:space="0" w:color="auto"/>
                <w:right w:val="none" w:sz="0" w:space="0" w:color="auto"/>
              </w:divBdr>
            </w:div>
            <w:div w:id="129784278">
              <w:marLeft w:val="0"/>
              <w:marRight w:val="0"/>
              <w:marTop w:val="0"/>
              <w:marBottom w:val="0"/>
              <w:divBdr>
                <w:top w:val="none" w:sz="0" w:space="0" w:color="auto"/>
                <w:left w:val="none" w:sz="0" w:space="0" w:color="auto"/>
                <w:bottom w:val="none" w:sz="0" w:space="0" w:color="auto"/>
                <w:right w:val="none" w:sz="0" w:space="0" w:color="auto"/>
              </w:divBdr>
            </w:div>
            <w:div w:id="111436501">
              <w:marLeft w:val="0"/>
              <w:marRight w:val="0"/>
              <w:marTop w:val="0"/>
              <w:marBottom w:val="0"/>
              <w:divBdr>
                <w:top w:val="none" w:sz="0" w:space="0" w:color="auto"/>
                <w:left w:val="none" w:sz="0" w:space="0" w:color="auto"/>
                <w:bottom w:val="none" w:sz="0" w:space="0" w:color="auto"/>
                <w:right w:val="none" w:sz="0" w:space="0" w:color="auto"/>
              </w:divBdr>
            </w:div>
            <w:div w:id="864906831">
              <w:marLeft w:val="0"/>
              <w:marRight w:val="0"/>
              <w:marTop w:val="0"/>
              <w:marBottom w:val="0"/>
              <w:divBdr>
                <w:top w:val="none" w:sz="0" w:space="0" w:color="auto"/>
                <w:left w:val="none" w:sz="0" w:space="0" w:color="auto"/>
                <w:bottom w:val="none" w:sz="0" w:space="0" w:color="auto"/>
                <w:right w:val="none" w:sz="0" w:space="0" w:color="auto"/>
              </w:divBdr>
            </w:div>
            <w:div w:id="110906765">
              <w:marLeft w:val="0"/>
              <w:marRight w:val="0"/>
              <w:marTop w:val="0"/>
              <w:marBottom w:val="0"/>
              <w:divBdr>
                <w:top w:val="none" w:sz="0" w:space="0" w:color="auto"/>
                <w:left w:val="none" w:sz="0" w:space="0" w:color="auto"/>
                <w:bottom w:val="none" w:sz="0" w:space="0" w:color="auto"/>
                <w:right w:val="none" w:sz="0" w:space="0" w:color="auto"/>
              </w:divBdr>
            </w:div>
            <w:div w:id="1063331608">
              <w:marLeft w:val="0"/>
              <w:marRight w:val="0"/>
              <w:marTop w:val="0"/>
              <w:marBottom w:val="0"/>
              <w:divBdr>
                <w:top w:val="none" w:sz="0" w:space="0" w:color="auto"/>
                <w:left w:val="none" w:sz="0" w:space="0" w:color="auto"/>
                <w:bottom w:val="none" w:sz="0" w:space="0" w:color="auto"/>
                <w:right w:val="none" w:sz="0" w:space="0" w:color="auto"/>
              </w:divBdr>
            </w:div>
            <w:div w:id="1690988399">
              <w:marLeft w:val="0"/>
              <w:marRight w:val="0"/>
              <w:marTop w:val="0"/>
              <w:marBottom w:val="0"/>
              <w:divBdr>
                <w:top w:val="none" w:sz="0" w:space="0" w:color="auto"/>
                <w:left w:val="none" w:sz="0" w:space="0" w:color="auto"/>
                <w:bottom w:val="none" w:sz="0" w:space="0" w:color="auto"/>
                <w:right w:val="none" w:sz="0" w:space="0" w:color="auto"/>
              </w:divBdr>
            </w:div>
            <w:div w:id="322709545">
              <w:marLeft w:val="0"/>
              <w:marRight w:val="0"/>
              <w:marTop w:val="0"/>
              <w:marBottom w:val="0"/>
              <w:divBdr>
                <w:top w:val="none" w:sz="0" w:space="0" w:color="auto"/>
                <w:left w:val="none" w:sz="0" w:space="0" w:color="auto"/>
                <w:bottom w:val="none" w:sz="0" w:space="0" w:color="auto"/>
                <w:right w:val="none" w:sz="0" w:space="0" w:color="auto"/>
              </w:divBdr>
            </w:div>
            <w:div w:id="1769958707">
              <w:marLeft w:val="0"/>
              <w:marRight w:val="0"/>
              <w:marTop w:val="0"/>
              <w:marBottom w:val="0"/>
              <w:divBdr>
                <w:top w:val="none" w:sz="0" w:space="0" w:color="auto"/>
                <w:left w:val="none" w:sz="0" w:space="0" w:color="auto"/>
                <w:bottom w:val="none" w:sz="0" w:space="0" w:color="auto"/>
                <w:right w:val="none" w:sz="0" w:space="0" w:color="auto"/>
              </w:divBdr>
            </w:div>
            <w:div w:id="1952929523">
              <w:marLeft w:val="0"/>
              <w:marRight w:val="0"/>
              <w:marTop w:val="0"/>
              <w:marBottom w:val="0"/>
              <w:divBdr>
                <w:top w:val="none" w:sz="0" w:space="0" w:color="auto"/>
                <w:left w:val="none" w:sz="0" w:space="0" w:color="auto"/>
                <w:bottom w:val="none" w:sz="0" w:space="0" w:color="auto"/>
                <w:right w:val="none" w:sz="0" w:space="0" w:color="auto"/>
              </w:divBdr>
            </w:div>
          </w:divsChild>
        </w:div>
        <w:div w:id="827130116">
          <w:marLeft w:val="0"/>
          <w:marRight w:val="0"/>
          <w:marTop w:val="0"/>
          <w:marBottom w:val="0"/>
          <w:divBdr>
            <w:top w:val="none" w:sz="0" w:space="0" w:color="auto"/>
            <w:left w:val="none" w:sz="0" w:space="0" w:color="auto"/>
            <w:bottom w:val="none" w:sz="0" w:space="0" w:color="auto"/>
            <w:right w:val="none" w:sz="0" w:space="0" w:color="auto"/>
          </w:divBdr>
          <w:divsChild>
            <w:div w:id="838009582">
              <w:marLeft w:val="0"/>
              <w:marRight w:val="0"/>
              <w:marTop w:val="0"/>
              <w:marBottom w:val="0"/>
              <w:divBdr>
                <w:top w:val="none" w:sz="0" w:space="0" w:color="auto"/>
                <w:left w:val="none" w:sz="0" w:space="0" w:color="auto"/>
                <w:bottom w:val="none" w:sz="0" w:space="0" w:color="auto"/>
                <w:right w:val="none" w:sz="0" w:space="0" w:color="auto"/>
              </w:divBdr>
            </w:div>
            <w:div w:id="1848015337">
              <w:marLeft w:val="0"/>
              <w:marRight w:val="0"/>
              <w:marTop w:val="0"/>
              <w:marBottom w:val="0"/>
              <w:divBdr>
                <w:top w:val="none" w:sz="0" w:space="0" w:color="auto"/>
                <w:left w:val="none" w:sz="0" w:space="0" w:color="auto"/>
                <w:bottom w:val="none" w:sz="0" w:space="0" w:color="auto"/>
                <w:right w:val="none" w:sz="0" w:space="0" w:color="auto"/>
              </w:divBdr>
            </w:div>
            <w:div w:id="30081962">
              <w:marLeft w:val="0"/>
              <w:marRight w:val="0"/>
              <w:marTop w:val="0"/>
              <w:marBottom w:val="0"/>
              <w:divBdr>
                <w:top w:val="none" w:sz="0" w:space="0" w:color="auto"/>
                <w:left w:val="none" w:sz="0" w:space="0" w:color="auto"/>
                <w:bottom w:val="none" w:sz="0" w:space="0" w:color="auto"/>
                <w:right w:val="none" w:sz="0" w:space="0" w:color="auto"/>
              </w:divBdr>
            </w:div>
            <w:div w:id="281888348">
              <w:marLeft w:val="0"/>
              <w:marRight w:val="0"/>
              <w:marTop w:val="0"/>
              <w:marBottom w:val="0"/>
              <w:divBdr>
                <w:top w:val="none" w:sz="0" w:space="0" w:color="auto"/>
                <w:left w:val="none" w:sz="0" w:space="0" w:color="auto"/>
                <w:bottom w:val="none" w:sz="0" w:space="0" w:color="auto"/>
                <w:right w:val="none" w:sz="0" w:space="0" w:color="auto"/>
              </w:divBdr>
            </w:div>
            <w:div w:id="1410688622">
              <w:marLeft w:val="0"/>
              <w:marRight w:val="0"/>
              <w:marTop w:val="0"/>
              <w:marBottom w:val="0"/>
              <w:divBdr>
                <w:top w:val="none" w:sz="0" w:space="0" w:color="auto"/>
                <w:left w:val="none" w:sz="0" w:space="0" w:color="auto"/>
                <w:bottom w:val="none" w:sz="0" w:space="0" w:color="auto"/>
                <w:right w:val="none" w:sz="0" w:space="0" w:color="auto"/>
              </w:divBdr>
            </w:div>
            <w:div w:id="731460801">
              <w:marLeft w:val="0"/>
              <w:marRight w:val="0"/>
              <w:marTop w:val="0"/>
              <w:marBottom w:val="0"/>
              <w:divBdr>
                <w:top w:val="none" w:sz="0" w:space="0" w:color="auto"/>
                <w:left w:val="none" w:sz="0" w:space="0" w:color="auto"/>
                <w:bottom w:val="none" w:sz="0" w:space="0" w:color="auto"/>
                <w:right w:val="none" w:sz="0" w:space="0" w:color="auto"/>
              </w:divBdr>
            </w:div>
            <w:div w:id="1412308975">
              <w:marLeft w:val="0"/>
              <w:marRight w:val="0"/>
              <w:marTop w:val="0"/>
              <w:marBottom w:val="0"/>
              <w:divBdr>
                <w:top w:val="none" w:sz="0" w:space="0" w:color="auto"/>
                <w:left w:val="none" w:sz="0" w:space="0" w:color="auto"/>
                <w:bottom w:val="none" w:sz="0" w:space="0" w:color="auto"/>
                <w:right w:val="none" w:sz="0" w:space="0" w:color="auto"/>
              </w:divBdr>
            </w:div>
            <w:div w:id="582759862">
              <w:marLeft w:val="0"/>
              <w:marRight w:val="0"/>
              <w:marTop w:val="0"/>
              <w:marBottom w:val="0"/>
              <w:divBdr>
                <w:top w:val="none" w:sz="0" w:space="0" w:color="auto"/>
                <w:left w:val="none" w:sz="0" w:space="0" w:color="auto"/>
                <w:bottom w:val="none" w:sz="0" w:space="0" w:color="auto"/>
                <w:right w:val="none" w:sz="0" w:space="0" w:color="auto"/>
              </w:divBdr>
            </w:div>
            <w:div w:id="2099135279">
              <w:marLeft w:val="0"/>
              <w:marRight w:val="0"/>
              <w:marTop w:val="0"/>
              <w:marBottom w:val="0"/>
              <w:divBdr>
                <w:top w:val="none" w:sz="0" w:space="0" w:color="auto"/>
                <w:left w:val="none" w:sz="0" w:space="0" w:color="auto"/>
                <w:bottom w:val="none" w:sz="0" w:space="0" w:color="auto"/>
                <w:right w:val="none" w:sz="0" w:space="0" w:color="auto"/>
              </w:divBdr>
            </w:div>
            <w:div w:id="256640496">
              <w:marLeft w:val="0"/>
              <w:marRight w:val="0"/>
              <w:marTop w:val="0"/>
              <w:marBottom w:val="0"/>
              <w:divBdr>
                <w:top w:val="none" w:sz="0" w:space="0" w:color="auto"/>
                <w:left w:val="none" w:sz="0" w:space="0" w:color="auto"/>
                <w:bottom w:val="none" w:sz="0" w:space="0" w:color="auto"/>
                <w:right w:val="none" w:sz="0" w:space="0" w:color="auto"/>
              </w:divBdr>
            </w:div>
            <w:div w:id="1302147730">
              <w:marLeft w:val="0"/>
              <w:marRight w:val="0"/>
              <w:marTop w:val="0"/>
              <w:marBottom w:val="0"/>
              <w:divBdr>
                <w:top w:val="none" w:sz="0" w:space="0" w:color="auto"/>
                <w:left w:val="none" w:sz="0" w:space="0" w:color="auto"/>
                <w:bottom w:val="none" w:sz="0" w:space="0" w:color="auto"/>
                <w:right w:val="none" w:sz="0" w:space="0" w:color="auto"/>
              </w:divBdr>
            </w:div>
            <w:div w:id="499152248">
              <w:marLeft w:val="0"/>
              <w:marRight w:val="0"/>
              <w:marTop w:val="0"/>
              <w:marBottom w:val="0"/>
              <w:divBdr>
                <w:top w:val="none" w:sz="0" w:space="0" w:color="auto"/>
                <w:left w:val="none" w:sz="0" w:space="0" w:color="auto"/>
                <w:bottom w:val="none" w:sz="0" w:space="0" w:color="auto"/>
                <w:right w:val="none" w:sz="0" w:space="0" w:color="auto"/>
              </w:divBdr>
            </w:div>
            <w:div w:id="855459171">
              <w:marLeft w:val="0"/>
              <w:marRight w:val="0"/>
              <w:marTop w:val="0"/>
              <w:marBottom w:val="0"/>
              <w:divBdr>
                <w:top w:val="none" w:sz="0" w:space="0" w:color="auto"/>
                <w:left w:val="none" w:sz="0" w:space="0" w:color="auto"/>
                <w:bottom w:val="none" w:sz="0" w:space="0" w:color="auto"/>
                <w:right w:val="none" w:sz="0" w:space="0" w:color="auto"/>
              </w:divBdr>
            </w:div>
            <w:div w:id="41365548">
              <w:marLeft w:val="0"/>
              <w:marRight w:val="0"/>
              <w:marTop w:val="0"/>
              <w:marBottom w:val="0"/>
              <w:divBdr>
                <w:top w:val="none" w:sz="0" w:space="0" w:color="auto"/>
                <w:left w:val="none" w:sz="0" w:space="0" w:color="auto"/>
                <w:bottom w:val="none" w:sz="0" w:space="0" w:color="auto"/>
                <w:right w:val="none" w:sz="0" w:space="0" w:color="auto"/>
              </w:divBdr>
            </w:div>
            <w:div w:id="577061269">
              <w:marLeft w:val="0"/>
              <w:marRight w:val="0"/>
              <w:marTop w:val="0"/>
              <w:marBottom w:val="0"/>
              <w:divBdr>
                <w:top w:val="none" w:sz="0" w:space="0" w:color="auto"/>
                <w:left w:val="none" w:sz="0" w:space="0" w:color="auto"/>
                <w:bottom w:val="none" w:sz="0" w:space="0" w:color="auto"/>
                <w:right w:val="none" w:sz="0" w:space="0" w:color="auto"/>
              </w:divBdr>
            </w:div>
            <w:div w:id="806897098">
              <w:marLeft w:val="0"/>
              <w:marRight w:val="0"/>
              <w:marTop w:val="0"/>
              <w:marBottom w:val="0"/>
              <w:divBdr>
                <w:top w:val="none" w:sz="0" w:space="0" w:color="auto"/>
                <w:left w:val="none" w:sz="0" w:space="0" w:color="auto"/>
                <w:bottom w:val="none" w:sz="0" w:space="0" w:color="auto"/>
                <w:right w:val="none" w:sz="0" w:space="0" w:color="auto"/>
              </w:divBdr>
            </w:div>
            <w:div w:id="1901748259">
              <w:marLeft w:val="0"/>
              <w:marRight w:val="0"/>
              <w:marTop w:val="0"/>
              <w:marBottom w:val="0"/>
              <w:divBdr>
                <w:top w:val="none" w:sz="0" w:space="0" w:color="auto"/>
                <w:left w:val="none" w:sz="0" w:space="0" w:color="auto"/>
                <w:bottom w:val="none" w:sz="0" w:space="0" w:color="auto"/>
                <w:right w:val="none" w:sz="0" w:space="0" w:color="auto"/>
              </w:divBdr>
            </w:div>
            <w:div w:id="928391711">
              <w:marLeft w:val="0"/>
              <w:marRight w:val="0"/>
              <w:marTop w:val="0"/>
              <w:marBottom w:val="0"/>
              <w:divBdr>
                <w:top w:val="none" w:sz="0" w:space="0" w:color="auto"/>
                <w:left w:val="none" w:sz="0" w:space="0" w:color="auto"/>
                <w:bottom w:val="none" w:sz="0" w:space="0" w:color="auto"/>
                <w:right w:val="none" w:sz="0" w:space="0" w:color="auto"/>
              </w:divBdr>
            </w:div>
            <w:div w:id="341710800">
              <w:marLeft w:val="0"/>
              <w:marRight w:val="0"/>
              <w:marTop w:val="0"/>
              <w:marBottom w:val="0"/>
              <w:divBdr>
                <w:top w:val="none" w:sz="0" w:space="0" w:color="auto"/>
                <w:left w:val="none" w:sz="0" w:space="0" w:color="auto"/>
                <w:bottom w:val="none" w:sz="0" w:space="0" w:color="auto"/>
                <w:right w:val="none" w:sz="0" w:space="0" w:color="auto"/>
              </w:divBdr>
            </w:div>
            <w:div w:id="651910292">
              <w:marLeft w:val="0"/>
              <w:marRight w:val="0"/>
              <w:marTop w:val="0"/>
              <w:marBottom w:val="0"/>
              <w:divBdr>
                <w:top w:val="none" w:sz="0" w:space="0" w:color="auto"/>
                <w:left w:val="none" w:sz="0" w:space="0" w:color="auto"/>
                <w:bottom w:val="none" w:sz="0" w:space="0" w:color="auto"/>
                <w:right w:val="none" w:sz="0" w:space="0" w:color="auto"/>
              </w:divBdr>
            </w:div>
          </w:divsChild>
        </w:div>
        <w:div w:id="1791586834">
          <w:marLeft w:val="0"/>
          <w:marRight w:val="0"/>
          <w:marTop w:val="0"/>
          <w:marBottom w:val="0"/>
          <w:divBdr>
            <w:top w:val="none" w:sz="0" w:space="0" w:color="auto"/>
            <w:left w:val="none" w:sz="0" w:space="0" w:color="auto"/>
            <w:bottom w:val="none" w:sz="0" w:space="0" w:color="auto"/>
            <w:right w:val="none" w:sz="0" w:space="0" w:color="auto"/>
          </w:divBdr>
          <w:divsChild>
            <w:div w:id="2012633710">
              <w:marLeft w:val="0"/>
              <w:marRight w:val="0"/>
              <w:marTop w:val="0"/>
              <w:marBottom w:val="0"/>
              <w:divBdr>
                <w:top w:val="none" w:sz="0" w:space="0" w:color="auto"/>
                <w:left w:val="none" w:sz="0" w:space="0" w:color="auto"/>
                <w:bottom w:val="none" w:sz="0" w:space="0" w:color="auto"/>
                <w:right w:val="none" w:sz="0" w:space="0" w:color="auto"/>
              </w:divBdr>
            </w:div>
            <w:div w:id="406342862">
              <w:marLeft w:val="0"/>
              <w:marRight w:val="0"/>
              <w:marTop w:val="0"/>
              <w:marBottom w:val="0"/>
              <w:divBdr>
                <w:top w:val="none" w:sz="0" w:space="0" w:color="auto"/>
                <w:left w:val="none" w:sz="0" w:space="0" w:color="auto"/>
                <w:bottom w:val="none" w:sz="0" w:space="0" w:color="auto"/>
                <w:right w:val="none" w:sz="0" w:space="0" w:color="auto"/>
              </w:divBdr>
            </w:div>
            <w:div w:id="684983072">
              <w:marLeft w:val="0"/>
              <w:marRight w:val="0"/>
              <w:marTop w:val="0"/>
              <w:marBottom w:val="0"/>
              <w:divBdr>
                <w:top w:val="none" w:sz="0" w:space="0" w:color="auto"/>
                <w:left w:val="none" w:sz="0" w:space="0" w:color="auto"/>
                <w:bottom w:val="none" w:sz="0" w:space="0" w:color="auto"/>
                <w:right w:val="none" w:sz="0" w:space="0" w:color="auto"/>
              </w:divBdr>
            </w:div>
            <w:div w:id="933242045">
              <w:marLeft w:val="0"/>
              <w:marRight w:val="0"/>
              <w:marTop w:val="0"/>
              <w:marBottom w:val="0"/>
              <w:divBdr>
                <w:top w:val="none" w:sz="0" w:space="0" w:color="auto"/>
                <w:left w:val="none" w:sz="0" w:space="0" w:color="auto"/>
                <w:bottom w:val="none" w:sz="0" w:space="0" w:color="auto"/>
                <w:right w:val="none" w:sz="0" w:space="0" w:color="auto"/>
              </w:divBdr>
            </w:div>
            <w:div w:id="161745738">
              <w:marLeft w:val="0"/>
              <w:marRight w:val="0"/>
              <w:marTop w:val="0"/>
              <w:marBottom w:val="0"/>
              <w:divBdr>
                <w:top w:val="none" w:sz="0" w:space="0" w:color="auto"/>
                <w:left w:val="none" w:sz="0" w:space="0" w:color="auto"/>
                <w:bottom w:val="none" w:sz="0" w:space="0" w:color="auto"/>
                <w:right w:val="none" w:sz="0" w:space="0" w:color="auto"/>
              </w:divBdr>
            </w:div>
            <w:div w:id="1470825031">
              <w:marLeft w:val="0"/>
              <w:marRight w:val="0"/>
              <w:marTop w:val="0"/>
              <w:marBottom w:val="0"/>
              <w:divBdr>
                <w:top w:val="none" w:sz="0" w:space="0" w:color="auto"/>
                <w:left w:val="none" w:sz="0" w:space="0" w:color="auto"/>
                <w:bottom w:val="none" w:sz="0" w:space="0" w:color="auto"/>
                <w:right w:val="none" w:sz="0" w:space="0" w:color="auto"/>
              </w:divBdr>
            </w:div>
            <w:div w:id="1458405277">
              <w:marLeft w:val="0"/>
              <w:marRight w:val="0"/>
              <w:marTop w:val="0"/>
              <w:marBottom w:val="0"/>
              <w:divBdr>
                <w:top w:val="none" w:sz="0" w:space="0" w:color="auto"/>
                <w:left w:val="none" w:sz="0" w:space="0" w:color="auto"/>
                <w:bottom w:val="none" w:sz="0" w:space="0" w:color="auto"/>
                <w:right w:val="none" w:sz="0" w:space="0" w:color="auto"/>
              </w:divBdr>
            </w:div>
            <w:div w:id="1800756777">
              <w:marLeft w:val="0"/>
              <w:marRight w:val="0"/>
              <w:marTop w:val="0"/>
              <w:marBottom w:val="0"/>
              <w:divBdr>
                <w:top w:val="none" w:sz="0" w:space="0" w:color="auto"/>
                <w:left w:val="none" w:sz="0" w:space="0" w:color="auto"/>
                <w:bottom w:val="none" w:sz="0" w:space="0" w:color="auto"/>
                <w:right w:val="none" w:sz="0" w:space="0" w:color="auto"/>
              </w:divBdr>
            </w:div>
            <w:div w:id="1627275674">
              <w:marLeft w:val="0"/>
              <w:marRight w:val="0"/>
              <w:marTop w:val="0"/>
              <w:marBottom w:val="0"/>
              <w:divBdr>
                <w:top w:val="none" w:sz="0" w:space="0" w:color="auto"/>
                <w:left w:val="none" w:sz="0" w:space="0" w:color="auto"/>
                <w:bottom w:val="none" w:sz="0" w:space="0" w:color="auto"/>
                <w:right w:val="none" w:sz="0" w:space="0" w:color="auto"/>
              </w:divBdr>
            </w:div>
            <w:div w:id="1145313421">
              <w:marLeft w:val="0"/>
              <w:marRight w:val="0"/>
              <w:marTop w:val="0"/>
              <w:marBottom w:val="0"/>
              <w:divBdr>
                <w:top w:val="none" w:sz="0" w:space="0" w:color="auto"/>
                <w:left w:val="none" w:sz="0" w:space="0" w:color="auto"/>
                <w:bottom w:val="none" w:sz="0" w:space="0" w:color="auto"/>
                <w:right w:val="none" w:sz="0" w:space="0" w:color="auto"/>
              </w:divBdr>
            </w:div>
            <w:div w:id="1830948163">
              <w:marLeft w:val="0"/>
              <w:marRight w:val="0"/>
              <w:marTop w:val="0"/>
              <w:marBottom w:val="0"/>
              <w:divBdr>
                <w:top w:val="none" w:sz="0" w:space="0" w:color="auto"/>
                <w:left w:val="none" w:sz="0" w:space="0" w:color="auto"/>
                <w:bottom w:val="none" w:sz="0" w:space="0" w:color="auto"/>
                <w:right w:val="none" w:sz="0" w:space="0" w:color="auto"/>
              </w:divBdr>
            </w:div>
            <w:div w:id="1142238735">
              <w:marLeft w:val="0"/>
              <w:marRight w:val="0"/>
              <w:marTop w:val="0"/>
              <w:marBottom w:val="0"/>
              <w:divBdr>
                <w:top w:val="none" w:sz="0" w:space="0" w:color="auto"/>
                <w:left w:val="none" w:sz="0" w:space="0" w:color="auto"/>
                <w:bottom w:val="none" w:sz="0" w:space="0" w:color="auto"/>
                <w:right w:val="none" w:sz="0" w:space="0" w:color="auto"/>
              </w:divBdr>
            </w:div>
            <w:div w:id="25720536">
              <w:marLeft w:val="0"/>
              <w:marRight w:val="0"/>
              <w:marTop w:val="0"/>
              <w:marBottom w:val="0"/>
              <w:divBdr>
                <w:top w:val="none" w:sz="0" w:space="0" w:color="auto"/>
                <w:left w:val="none" w:sz="0" w:space="0" w:color="auto"/>
                <w:bottom w:val="none" w:sz="0" w:space="0" w:color="auto"/>
                <w:right w:val="none" w:sz="0" w:space="0" w:color="auto"/>
              </w:divBdr>
            </w:div>
            <w:div w:id="1503546536">
              <w:marLeft w:val="0"/>
              <w:marRight w:val="0"/>
              <w:marTop w:val="0"/>
              <w:marBottom w:val="0"/>
              <w:divBdr>
                <w:top w:val="none" w:sz="0" w:space="0" w:color="auto"/>
                <w:left w:val="none" w:sz="0" w:space="0" w:color="auto"/>
                <w:bottom w:val="none" w:sz="0" w:space="0" w:color="auto"/>
                <w:right w:val="none" w:sz="0" w:space="0" w:color="auto"/>
              </w:divBdr>
            </w:div>
          </w:divsChild>
        </w:div>
        <w:div w:id="64647277">
          <w:marLeft w:val="0"/>
          <w:marRight w:val="0"/>
          <w:marTop w:val="0"/>
          <w:marBottom w:val="0"/>
          <w:divBdr>
            <w:top w:val="none" w:sz="0" w:space="0" w:color="auto"/>
            <w:left w:val="none" w:sz="0" w:space="0" w:color="auto"/>
            <w:bottom w:val="none" w:sz="0" w:space="0" w:color="auto"/>
            <w:right w:val="none" w:sz="0" w:space="0" w:color="auto"/>
          </w:divBdr>
          <w:divsChild>
            <w:div w:id="860778747">
              <w:marLeft w:val="-75"/>
              <w:marRight w:val="0"/>
              <w:marTop w:val="30"/>
              <w:marBottom w:val="30"/>
              <w:divBdr>
                <w:top w:val="none" w:sz="0" w:space="0" w:color="auto"/>
                <w:left w:val="none" w:sz="0" w:space="0" w:color="auto"/>
                <w:bottom w:val="none" w:sz="0" w:space="0" w:color="auto"/>
                <w:right w:val="none" w:sz="0" w:space="0" w:color="auto"/>
              </w:divBdr>
              <w:divsChild>
                <w:div w:id="400248810">
                  <w:marLeft w:val="0"/>
                  <w:marRight w:val="0"/>
                  <w:marTop w:val="0"/>
                  <w:marBottom w:val="0"/>
                  <w:divBdr>
                    <w:top w:val="none" w:sz="0" w:space="0" w:color="auto"/>
                    <w:left w:val="none" w:sz="0" w:space="0" w:color="auto"/>
                    <w:bottom w:val="none" w:sz="0" w:space="0" w:color="auto"/>
                    <w:right w:val="none" w:sz="0" w:space="0" w:color="auto"/>
                  </w:divBdr>
                  <w:divsChild>
                    <w:div w:id="1415476439">
                      <w:marLeft w:val="0"/>
                      <w:marRight w:val="0"/>
                      <w:marTop w:val="0"/>
                      <w:marBottom w:val="0"/>
                      <w:divBdr>
                        <w:top w:val="none" w:sz="0" w:space="0" w:color="auto"/>
                        <w:left w:val="none" w:sz="0" w:space="0" w:color="auto"/>
                        <w:bottom w:val="none" w:sz="0" w:space="0" w:color="auto"/>
                        <w:right w:val="none" w:sz="0" w:space="0" w:color="auto"/>
                      </w:divBdr>
                    </w:div>
                    <w:div w:id="71974193">
                      <w:marLeft w:val="0"/>
                      <w:marRight w:val="0"/>
                      <w:marTop w:val="0"/>
                      <w:marBottom w:val="0"/>
                      <w:divBdr>
                        <w:top w:val="none" w:sz="0" w:space="0" w:color="auto"/>
                        <w:left w:val="none" w:sz="0" w:space="0" w:color="auto"/>
                        <w:bottom w:val="none" w:sz="0" w:space="0" w:color="auto"/>
                        <w:right w:val="none" w:sz="0" w:space="0" w:color="auto"/>
                      </w:divBdr>
                    </w:div>
                  </w:divsChild>
                </w:div>
                <w:div w:id="961960422">
                  <w:marLeft w:val="0"/>
                  <w:marRight w:val="0"/>
                  <w:marTop w:val="0"/>
                  <w:marBottom w:val="0"/>
                  <w:divBdr>
                    <w:top w:val="none" w:sz="0" w:space="0" w:color="auto"/>
                    <w:left w:val="none" w:sz="0" w:space="0" w:color="auto"/>
                    <w:bottom w:val="none" w:sz="0" w:space="0" w:color="auto"/>
                    <w:right w:val="none" w:sz="0" w:space="0" w:color="auto"/>
                  </w:divBdr>
                  <w:divsChild>
                    <w:div w:id="1953508250">
                      <w:marLeft w:val="0"/>
                      <w:marRight w:val="0"/>
                      <w:marTop w:val="0"/>
                      <w:marBottom w:val="0"/>
                      <w:divBdr>
                        <w:top w:val="none" w:sz="0" w:space="0" w:color="auto"/>
                        <w:left w:val="none" w:sz="0" w:space="0" w:color="auto"/>
                        <w:bottom w:val="none" w:sz="0" w:space="0" w:color="auto"/>
                        <w:right w:val="none" w:sz="0" w:space="0" w:color="auto"/>
                      </w:divBdr>
                    </w:div>
                    <w:div w:id="1309818941">
                      <w:marLeft w:val="0"/>
                      <w:marRight w:val="0"/>
                      <w:marTop w:val="0"/>
                      <w:marBottom w:val="0"/>
                      <w:divBdr>
                        <w:top w:val="none" w:sz="0" w:space="0" w:color="auto"/>
                        <w:left w:val="none" w:sz="0" w:space="0" w:color="auto"/>
                        <w:bottom w:val="none" w:sz="0" w:space="0" w:color="auto"/>
                        <w:right w:val="none" w:sz="0" w:space="0" w:color="auto"/>
                      </w:divBdr>
                    </w:div>
                    <w:div w:id="1831753245">
                      <w:marLeft w:val="0"/>
                      <w:marRight w:val="0"/>
                      <w:marTop w:val="0"/>
                      <w:marBottom w:val="0"/>
                      <w:divBdr>
                        <w:top w:val="none" w:sz="0" w:space="0" w:color="auto"/>
                        <w:left w:val="none" w:sz="0" w:space="0" w:color="auto"/>
                        <w:bottom w:val="none" w:sz="0" w:space="0" w:color="auto"/>
                        <w:right w:val="none" w:sz="0" w:space="0" w:color="auto"/>
                      </w:divBdr>
                    </w:div>
                    <w:div w:id="701248253">
                      <w:marLeft w:val="0"/>
                      <w:marRight w:val="0"/>
                      <w:marTop w:val="0"/>
                      <w:marBottom w:val="0"/>
                      <w:divBdr>
                        <w:top w:val="none" w:sz="0" w:space="0" w:color="auto"/>
                        <w:left w:val="none" w:sz="0" w:space="0" w:color="auto"/>
                        <w:bottom w:val="none" w:sz="0" w:space="0" w:color="auto"/>
                        <w:right w:val="none" w:sz="0" w:space="0" w:color="auto"/>
                      </w:divBdr>
                    </w:div>
                  </w:divsChild>
                </w:div>
                <w:div w:id="1174606974">
                  <w:marLeft w:val="0"/>
                  <w:marRight w:val="0"/>
                  <w:marTop w:val="0"/>
                  <w:marBottom w:val="0"/>
                  <w:divBdr>
                    <w:top w:val="none" w:sz="0" w:space="0" w:color="auto"/>
                    <w:left w:val="none" w:sz="0" w:space="0" w:color="auto"/>
                    <w:bottom w:val="none" w:sz="0" w:space="0" w:color="auto"/>
                    <w:right w:val="none" w:sz="0" w:space="0" w:color="auto"/>
                  </w:divBdr>
                  <w:divsChild>
                    <w:div w:id="1662469330">
                      <w:marLeft w:val="0"/>
                      <w:marRight w:val="0"/>
                      <w:marTop w:val="0"/>
                      <w:marBottom w:val="0"/>
                      <w:divBdr>
                        <w:top w:val="none" w:sz="0" w:space="0" w:color="auto"/>
                        <w:left w:val="none" w:sz="0" w:space="0" w:color="auto"/>
                        <w:bottom w:val="none" w:sz="0" w:space="0" w:color="auto"/>
                        <w:right w:val="none" w:sz="0" w:space="0" w:color="auto"/>
                      </w:divBdr>
                    </w:div>
                  </w:divsChild>
                </w:div>
                <w:div w:id="1285772180">
                  <w:marLeft w:val="0"/>
                  <w:marRight w:val="0"/>
                  <w:marTop w:val="0"/>
                  <w:marBottom w:val="0"/>
                  <w:divBdr>
                    <w:top w:val="none" w:sz="0" w:space="0" w:color="auto"/>
                    <w:left w:val="none" w:sz="0" w:space="0" w:color="auto"/>
                    <w:bottom w:val="none" w:sz="0" w:space="0" w:color="auto"/>
                    <w:right w:val="none" w:sz="0" w:space="0" w:color="auto"/>
                  </w:divBdr>
                  <w:divsChild>
                    <w:div w:id="1155532006">
                      <w:marLeft w:val="0"/>
                      <w:marRight w:val="0"/>
                      <w:marTop w:val="0"/>
                      <w:marBottom w:val="0"/>
                      <w:divBdr>
                        <w:top w:val="none" w:sz="0" w:space="0" w:color="auto"/>
                        <w:left w:val="none" w:sz="0" w:space="0" w:color="auto"/>
                        <w:bottom w:val="none" w:sz="0" w:space="0" w:color="auto"/>
                        <w:right w:val="none" w:sz="0" w:space="0" w:color="auto"/>
                      </w:divBdr>
                    </w:div>
                    <w:div w:id="2010331432">
                      <w:marLeft w:val="0"/>
                      <w:marRight w:val="0"/>
                      <w:marTop w:val="0"/>
                      <w:marBottom w:val="0"/>
                      <w:divBdr>
                        <w:top w:val="none" w:sz="0" w:space="0" w:color="auto"/>
                        <w:left w:val="none" w:sz="0" w:space="0" w:color="auto"/>
                        <w:bottom w:val="none" w:sz="0" w:space="0" w:color="auto"/>
                        <w:right w:val="none" w:sz="0" w:space="0" w:color="auto"/>
                      </w:divBdr>
                    </w:div>
                  </w:divsChild>
                </w:div>
                <w:div w:id="352339521">
                  <w:marLeft w:val="0"/>
                  <w:marRight w:val="0"/>
                  <w:marTop w:val="0"/>
                  <w:marBottom w:val="0"/>
                  <w:divBdr>
                    <w:top w:val="none" w:sz="0" w:space="0" w:color="auto"/>
                    <w:left w:val="none" w:sz="0" w:space="0" w:color="auto"/>
                    <w:bottom w:val="none" w:sz="0" w:space="0" w:color="auto"/>
                    <w:right w:val="none" w:sz="0" w:space="0" w:color="auto"/>
                  </w:divBdr>
                  <w:divsChild>
                    <w:div w:id="1895189538">
                      <w:marLeft w:val="0"/>
                      <w:marRight w:val="0"/>
                      <w:marTop w:val="0"/>
                      <w:marBottom w:val="0"/>
                      <w:divBdr>
                        <w:top w:val="none" w:sz="0" w:space="0" w:color="auto"/>
                        <w:left w:val="none" w:sz="0" w:space="0" w:color="auto"/>
                        <w:bottom w:val="none" w:sz="0" w:space="0" w:color="auto"/>
                        <w:right w:val="none" w:sz="0" w:space="0" w:color="auto"/>
                      </w:divBdr>
                    </w:div>
                    <w:div w:id="1357463964">
                      <w:marLeft w:val="0"/>
                      <w:marRight w:val="0"/>
                      <w:marTop w:val="0"/>
                      <w:marBottom w:val="0"/>
                      <w:divBdr>
                        <w:top w:val="none" w:sz="0" w:space="0" w:color="auto"/>
                        <w:left w:val="none" w:sz="0" w:space="0" w:color="auto"/>
                        <w:bottom w:val="none" w:sz="0" w:space="0" w:color="auto"/>
                        <w:right w:val="none" w:sz="0" w:space="0" w:color="auto"/>
                      </w:divBdr>
                    </w:div>
                  </w:divsChild>
                </w:div>
                <w:div w:id="958800360">
                  <w:marLeft w:val="0"/>
                  <w:marRight w:val="0"/>
                  <w:marTop w:val="0"/>
                  <w:marBottom w:val="0"/>
                  <w:divBdr>
                    <w:top w:val="none" w:sz="0" w:space="0" w:color="auto"/>
                    <w:left w:val="none" w:sz="0" w:space="0" w:color="auto"/>
                    <w:bottom w:val="none" w:sz="0" w:space="0" w:color="auto"/>
                    <w:right w:val="none" w:sz="0" w:space="0" w:color="auto"/>
                  </w:divBdr>
                  <w:divsChild>
                    <w:div w:id="1364012350">
                      <w:marLeft w:val="0"/>
                      <w:marRight w:val="0"/>
                      <w:marTop w:val="0"/>
                      <w:marBottom w:val="0"/>
                      <w:divBdr>
                        <w:top w:val="none" w:sz="0" w:space="0" w:color="auto"/>
                        <w:left w:val="none" w:sz="0" w:space="0" w:color="auto"/>
                        <w:bottom w:val="none" w:sz="0" w:space="0" w:color="auto"/>
                        <w:right w:val="none" w:sz="0" w:space="0" w:color="auto"/>
                      </w:divBdr>
                    </w:div>
                    <w:div w:id="730032500">
                      <w:marLeft w:val="0"/>
                      <w:marRight w:val="0"/>
                      <w:marTop w:val="0"/>
                      <w:marBottom w:val="0"/>
                      <w:divBdr>
                        <w:top w:val="none" w:sz="0" w:space="0" w:color="auto"/>
                        <w:left w:val="none" w:sz="0" w:space="0" w:color="auto"/>
                        <w:bottom w:val="none" w:sz="0" w:space="0" w:color="auto"/>
                        <w:right w:val="none" w:sz="0" w:space="0" w:color="auto"/>
                      </w:divBdr>
                    </w:div>
                  </w:divsChild>
                </w:div>
                <w:div w:id="1006399671">
                  <w:marLeft w:val="0"/>
                  <w:marRight w:val="0"/>
                  <w:marTop w:val="0"/>
                  <w:marBottom w:val="0"/>
                  <w:divBdr>
                    <w:top w:val="none" w:sz="0" w:space="0" w:color="auto"/>
                    <w:left w:val="none" w:sz="0" w:space="0" w:color="auto"/>
                    <w:bottom w:val="none" w:sz="0" w:space="0" w:color="auto"/>
                    <w:right w:val="none" w:sz="0" w:space="0" w:color="auto"/>
                  </w:divBdr>
                  <w:divsChild>
                    <w:div w:id="1546716005">
                      <w:marLeft w:val="0"/>
                      <w:marRight w:val="0"/>
                      <w:marTop w:val="0"/>
                      <w:marBottom w:val="0"/>
                      <w:divBdr>
                        <w:top w:val="none" w:sz="0" w:space="0" w:color="auto"/>
                        <w:left w:val="none" w:sz="0" w:space="0" w:color="auto"/>
                        <w:bottom w:val="none" w:sz="0" w:space="0" w:color="auto"/>
                        <w:right w:val="none" w:sz="0" w:space="0" w:color="auto"/>
                      </w:divBdr>
                    </w:div>
                  </w:divsChild>
                </w:div>
                <w:div w:id="728915208">
                  <w:marLeft w:val="0"/>
                  <w:marRight w:val="0"/>
                  <w:marTop w:val="0"/>
                  <w:marBottom w:val="0"/>
                  <w:divBdr>
                    <w:top w:val="none" w:sz="0" w:space="0" w:color="auto"/>
                    <w:left w:val="none" w:sz="0" w:space="0" w:color="auto"/>
                    <w:bottom w:val="none" w:sz="0" w:space="0" w:color="auto"/>
                    <w:right w:val="none" w:sz="0" w:space="0" w:color="auto"/>
                  </w:divBdr>
                  <w:divsChild>
                    <w:div w:id="1183396351">
                      <w:marLeft w:val="0"/>
                      <w:marRight w:val="0"/>
                      <w:marTop w:val="0"/>
                      <w:marBottom w:val="0"/>
                      <w:divBdr>
                        <w:top w:val="none" w:sz="0" w:space="0" w:color="auto"/>
                        <w:left w:val="none" w:sz="0" w:space="0" w:color="auto"/>
                        <w:bottom w:val="none" w:sz="0" w:space="0" w:color="auto"/>
                        <w:right w:val="none" w:sz="0" w:space="0" w:color="auto"/>
                      </w:divBdr>
                    </w:div>
                    <w:div w:id="722405868">
                      <w:marLeft w:val="0"/>
                      <w:marRight w:val="0"/>
                      <w:marTop w:val="0"/>
                      <w:marBottom w:val="0"/>
                      <w:divBdr>
                        <w:top w:val="none" w:sz="0" w:space="0" w:color="auto"/>
                        <w:left w:val="none" w:sz="0" w:space="0" w:color="auto"/>
                        <w:bottom w:val="none" w:sz="0" w:space="0" w:color="auto"/>
                        <w:right w:val="none" w:sz="0" w:space="0" w:color="auto"/>
                      </w:divBdr>
                    </w:div>
                  </w:divsChild>
                </w:div>
                <w:div w:id="1934119677">
                  <w:marLeft w:val="0"/>
                  <w:marRight w:val="0"/>
                  <w:marTop w:val="0"/>
                  <w:marBottom w:val="0"/>
                  <w:divBdr>
                    <w:top w:val="none" w:sz="0" w:space="0" w:color="auto"/>
                    <w:left w:val="none" w:sz="0" w:space="0" w:color="auto"/>
                    <w:bottom w:val="none" w:sz="0" w:space="0" w:color="auto"/>
                    <w:right w:val="none" w:sz="0" w:space="0" w:color="auto"/>
                  </w:divBdr>
                  <w:divsChild>
                    <w:div w:id="498081282">
                      <w:marLeft w:val="0"/>
                      <w:marRight w:val="0"/>
                      <w:marTop w:val="0"/>
                      <w:marBottom w:val="0"/>
                      <w:divBdr>
                        <w:top w:val="none" w:sz="0" w:space="0" w:color="auto"/>
                        <w:left w:val="none" w:sz="0" w:space="0" w:color="auto"/>
                        <w:bottom w:val="none" w:sz="0" w:space="0" w:color="auto"/>
                        <w:right w:val="none" w:sz="0" w:space="0" w:color="auto"/>
                      </w:divBdr>
                    </w:div>
                    <w:div w:id="1258059180">
                      <w:marLeft w:val="0"/>
                      <w:marRight w:val="0"/>
                      <w:marTop w:val="0"/>
                      <w:marBottom w:val="0"/>
                      <w:divBdr>
                        <w:top w:val="none" w:sz="0" w:space="0" w:color="auto"/>
                        <w:left w:val="none" w:sz="0" w:space="0" w:color="auto"/>
                        <w:bottom w:val="none" w:sz="0" w:space="0" w:color="auto"/>
                        <w:right w:val="none" w:sz="0" w:space="0" w:color="auto"/>
                      </w:divBdr>
                    </w:div>
                  </w:divsChild>
                </w:div>
                <w:div w:id="2005040910">
                  <w:marLeft w:val="0"/>
                  <w:marRight w:val="0"/>
                  <w:marTop w:val="0"/>
                  <w:marBottom w:val="0"/>
                  <w:divBdr>
                    <w:top w:val="none" w:sz="0" w:space="0" w:color="auto"/>
                    <w:left w:val="none" w:sz="0" w:space="0" w:color="auto"/>
                    <w:bottom w:val="none" w:sz="0" w:space="0" w:color="auto"/>
                    <w:right w:val="none" w:sz="0" w:space="0" w:color="auto"/>
                  </w:divBdr>
                  <w:divsChild>
                    <w:div w:id="1582833809">
                      <w:marLeft w:val="0"/>
                      <w:marRight w:val="0"/>
                      <w:marTop w:val="0"/>
                      <w:marBottom w:val="0"/>
                      <w:divBdr>
                        <w:top w:val="none" w:sz="0" w:space="0" w:color="auto"/>
                        <w:left w:val="none" w:sz="0" w:space="0" w:color="auto"/>
                        <w:bottom w:val="none" w:sz="0" w:space="0" w:color="auto"/>
                        <w:right w:val="none" w:sz="0" w:space="0" w:color="auto"/>
                      </w:divBdr>
                    </w:div>
                    <w:div w:id="1977687369">
                      <w:marLeft w:val="0"/>
                      <w:marRight w:val="0"/>
                      <w:marTop w:val="0"/>
                      <w:marBottom w:val="0"/>
                      <w:divBdr>
                        <w:top w:val="none" w:sz="0" w:space="0" w:color="auto"/>
                        <w:left w:val="none" w:sz="0" w:space="0" w:color="auto"/>
                        <w:bottom w:val="none" w:sz="0" w:space="0" w:color="auto"/>
                        <w:right w:val="none" w:sz="0" w:space="0" w:color="auto"/>
                      </w:divBdr>
                    </w:div>
                  </w:divsChild>
                </w:div>
                <w:div w:id="1011495462">
                  <w:marLeft w:val="0"/>
                  <w:marRight w:val="0"/>
                  <w:marTop w:val="0"/>
                  <w:marBottom w:val="0"/>
                  <w:divBdr>
                    <w:top w:val="none" w:sz="0" w:space="0" w:color="auto"/>
                    <w:left w:val="none" w:sz="0" w:space="0" w:color="auto"/>
                    <w:bottom w:val="none" w:sz="0" w:space="0" w:color="auto"/>
                    <w:right w:val="none" w:sz="0" w:space="0" w:color="auto"/>
                  </w:divBdr>
                  <w:divsChild>
                    <w:div w:id="2078628444">
                      <w:marLeft w:val="0"/>
                      <w:marRight w:val="0"/>
                      <w:marTop w:val="0"/>
                      <w:marBottom w:val="0"/>
                      <w:divBdr>
                        <w:top w:val="none" w:sz="0" w:space="0" w:color="auto"/>
                        <w:left w:val="none" w:sz="0" w:space="0" w:color="auto"/>
                        <w:bottom w:val="none" w:sz="0" w:space="0" w:color="auto"/>
                        <w:right w:val="none" w:sz="0" w:space="0" w:color="auto"/>
                      </w:divBdr>
                    </w:div>
                    <w:div w:id="800150735">
                      <w:marLeft w:val="0"/>
                      <w:marRight w:val="0"/>
                      <w:marTop w:val="0"/>
                      <w:marBottom w:val="0"/>
                      <w:divBdr>
                        <w:top w:val="none" w:sz="0" w:space="0" w:color="auto"/>
                        <w:left w:val="none" w:sz="0" w:space="0" w:color="auto"/>
                        <w:bottom w:val="none" w:sz="0" w:space="0" w:color="auto"/>
                        <w:right w:val="none" w:sz="0" w:space="0" w:color="auto"/>
                      </w:divBdr>
                    </w:div>
                  </w:divsChild>
                </w:div>
                <w:div w:id="1448740600">
                  <w:marLeft w:val="0"/>
                  <w:marRight w:val="0"/>
                  <w:marTop w:val="0"/>
                  <w:marBottom w:val="0"/>
                  <w:divBdr>
                    <w:top w:val="none" w:sz="0" w:space="0" w:color="auto"/>
                    <w:left w:val="none" w:sz="0" w:space="0" w:color="auto"/>
                    <w:bottom w:val="none" w:sz="0" w:space="0" w:color="auto"/>
                    <w:right w:val="none" w:sz="0" w:space="0" w:color="auto"/>
                  </w:divBdr>
                  <w:divsChild>
                    <w:div w:id="1825704749">
                      <w:marLeft w:val="0"/>
                      <w:marRight w:val="0"/>
                      <w:marTop w:val="0"/>
                      <w:marBottom w:val="0"/>
                      <w:divBdr>
                        <w:top w:val="none" w:sz="0" w:space="0" w:color="auto"/>
                        <w:left w:val="none" w:sz="0" w:space="0" w:color="auto"/>
                        <w:bottom w:val="none" w:sz="0" w:space="0" w:color="auto"/>
                        <w:right w:val="none" w:sz="0" w:space="0" w:color="auto"/>
                      </w:divBdr>
                    </w:div>
                    <w:div w:id="14848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64631">
          <w:marLeft w:val="0"/>
          <w:marRight w:val="0"/>
          <w:marTop w:val="0"/>
          <w:marBottom w:val="0"/>
          <w:divBdr>
            <w:top w:val="none" w:sz="0" w:space="0" w:color="auto"/>
            <w:left w:val="none" w:sz="0" w:space="0" w:color="auto"/>
            <w:bottom w:val="none" w:sz="0" w:space="0" w:color="auto"/>
            <w:right w:val="none" w:sz="0" w:space="0" w:color="auto"/>
          </w:divBdr>
          <w:divsChild>
            <w:div w:id="685055015">
              <w:marLeft w:val="0"/>
              <w:marRight w:val="0"/>
              <w:marTop w:val="0"/>
              <w:marBottom w:val="0"/>
              <w:divBdr>
                <w:top w:val="none" w:sz="0" w:space="0" w:color="auto"/>
                <w:left w:val="none" w:sz="0" w:space="0" w:color="auto"/>
                <w:bottom w:val="none" w:sz="0" w:space="0" w:color="auto"/>
                <w:right w:val="none" w:sz="0" w:space="0" w:color="auto"/>
              </w:divBdr>
            </w:div>
            <w:div w:id="144247765">
              <w:marLeft w:val="0"/>
              <w:marRight w:val="0"/>
              <w:marTop w:val="0"/>
              <w:marBottom w:val="0"/>
              <w:divBdr>
                <w:top w:val="none" w:sz="0" w:space="0" w:color="auto"/>
                <w:left w:val="none" w:sz="0" w:space="0" w:color="auto"/>
                <w:bottom w:val="none" w:sz="0" w:space="0" w:color="auto"/>
                <w:right w:val="none" w:sz="0" w:space="0" w:color="auto"/>
              </w:divBdr>
            </w:div>
            <w:div w:id="2079590426">
              <w:marLeft w:val="0"/>
              <w:marRight w:val="0"/>
              <w:marTop w:val="0"/>
              <w:marBottom w:val="0"/>
              <w:divBdr>
                <w:top w:val="none" w:sz="0" w:space="0" w:color="auto"/>
                <w:left w:val="none" w:sz="0" w:space="0" w:color="auto"/>
                <w:bottom w:val="none" w:sz="0" w:space="0" w:color="auto"/>
                <w:right w:val="none" w:sz="0" w:space="0" w:color="auto"/>
              </w:divBdr>
            </w:div>
            <w:div w:id="1566142673">
              <w:marLeft w:val="0"/>
              <w:marRight w:val="0"/>
              <w:marTop w:val="0"/>
              <w:marBottom w:val="0"/>
              <w:divBdr>
                <w:top w:val="none" w:sz="0" w:space="0" w:color="auto"/>
                <w:left w:val="none" w:sz="0" w:space="0" w:color="auto"/>
                <w:bottom w:val="none" w:sz="0" w:space="0" w:color="auto"/>
                <w:right w:val="none" w:sz="0" w:space="0" w:color="auto"/>
              </w:divBdr>
            </w:div>
            <w:div w:id="907303283">
              <w:marLeft w:val="0"/>
              <w:marRight w:val="0"/>
              <w:marTop w:val="0"/>
              <w:marBottom w:val="0"/>
              <w:divBdr>
                <w:top w:val="none" w:sz="0" w:space="0" w:color="auto"/>
                <w:left w:val="none" w:sz="0" w:space="0" w:color="auto"/>
                <w:bottom w:val="none" w:sz="0" w:space="0" w:color="auto"/>
                <w:right w:val="none" w:sz="0" w:space="0" w:color="auto"/>
              </w:divBdr>
            </w:div>
            <w:div w:id="816729676">
              <w:marLeft w:val="0"/>
              <w:marRight w:val="0"/>
              <w:marTop w:val="0"/>
              <w:marBottom w:val="0"/>
              <w:divBdr>
                <w:top w:val="none" w:sz="0" w:space="0" w:color="auto"/>
                <w:left w:val="none" w:sz="0" w:space="0" w:color="auto"/>
                <w:bottom w:val="none" w:sz="0" w:space="0" w:color="auto"/>
                <w:right w:val="none" w:sz="0" w:space="0" w:color="auto"/>
              </w:divBdr>
            </w:div>
            <w:div w:id="361637536">
              <w:marLeft w:val="0"/>
              <w:marRight w:val="0"/>
              <w:marTop w:val="0"/>
              <w:marBottom w:val="0"/>
              <w:divBdr>
                <w:top w:val="none" w:sz="0" w:space="0" w:color="auto"/>
                <w:left w:val="none" w:sz="0" w:space="0" w:color="auto"/>
                <w:bottom w:val="none" w:sz="0" w:space="0" w:color="auto"/>
                <w:right w:val="none" w:sz="0" w:space="0" w:color="auto"/>
              </w:divBdr>
            </w:div>
            <w:div w:id="1542205693">
              <w:marLeft w:val="0"/>
              <w:marRight w:val="0"/>
              <w:marTop w:val="0"/>
              <w:marBottom w:val="0"/>
              <w:divBdr>
                <w:top w:val="none" w:sz="0" w:space="0" w:color="auto"/>
                <w:left w:val="none" w:sz="0" w:space="0" w:color="auto"/>
                <w:bottom w:val="none" w:sz="0" w:space="0" w:color="auto"/>
                <w:right w:val="none" w:sz="0" w:space="0" w:color="auto"/>
              </w:divBdr>
            </w:div>
            <w:div w:id="1918709895">
              <w:marLeft w:val="0"/>
              <w:marRight w:val="0"/>
              <w:marTop w:val="0"/>
              <w:marBottom w:val="0"/>
              <w:divBdr>
                <w:top w:val="none" w:sz="0" w:space="0" w:color="auto"/>
                <w:left w:val="none" w:sz="0" w:space="0" w:color="auto"/>
                <w:bottom w:val="none" w:sz="0" w:space="0" w:color="auto"/>
                <w:right w:val="none" w:sz="0" w:space="0" w:color="auto"/>
              </w:divBdr>
            </w:div>
            <w:div w:id="831142837">
              <w:marLeft w:val="0"/>
              <w:marRight w:val="0"/>
              <w:marTop w:val="0"/>
              <w:marBottom w:val="0"/>
              <w:divBdr>
                <w:top w:val="none" w:sz="0" w:space="0" w:color="auto"/>
                <w:left w:val="none" w:sz="0" w:space="0" w:color="auto"/>
                <w:bottom w:val="none" w:sz="0" w:space="0" w:color="auto"/>
                <w:right w:val="none" w:sz="0" w:space="0" w:color="auto"/>
              </w:divBdr>
            </w:div>
            <w:div w:id="451706324">
              <w:marLeft w:val="0"/>
              <w:marRight w:val="0"/>
              <w:marTop w:val="0"/>
              <w:marBottom w:val="0"/>
              <w:divBdr>
                <w:top w:val="none" w:sz="0" w:space="0" w:color="auto"/>
                <w:left w:val="none" w:sz="0" w:space="0" w:color="auto"/>
                <w:bottom w:val="none" w:sz="0" w:space="0" w:color="auto"/>
                <w:right w:val="none" w:sz="0" w:space="0" w:color="auto"/>
              </w:divBdr>
            </w:div>
            <w:div w:id="1256864570">
              <w:marLeft w:val="0"/>
              <w:marRight w:val="0"/>
              <w:marTop w:val="0"/>
              <w:marBottom w:val="0"/>
              <w:divBdr>
                <w:top w:val="none" w:sz="0" w:space="0" w:color="auto"/>
                <w:left w:val="none" w:sz="0" w:space="0" w:color="auto"/>
                <w:bottom w:val="none" w:sz="0" w:space="0" w:color="auto"/>
                <w:right w:val="none" w:sz="0" w:space="0" w:color="auto"/>
              </w:divBdr>
            </w:div>
            <w:div w:id="1111050833">
              <w:marLeft w:val="0"/>
              <w:marRight w:val="0"/>
              <w:marTop w:val="0"/>
              <w:marBottom w:val="0"/>
              <w:divBdr>
                <w:top w:val="none" w:sz="0" w:space="0" w:color="auto"/>
                <w:left w:val="none" w:sz="0" w:space="0" w:color="auto"/>
                <w:bottom w:val="none" w:sz="0" w:space="0" w:color="auto"/>
                <w:right w:val="none" w:sz="0" w:space="0" w:color="auto"/>
              </w:divBdr>
            </w:div>
            <w:div w:id="521407388">
              <w:marLeft w:val="0"/>
              <w:marRight w:val="0"/>
              <w:marTop w:val="0"/>
              <w:marBottom w:val="0"/>
              <w:divBdr>
                <w:top w:val="none" w:sz="0" w:space="0" w:color="auto"/>
                <w:left w:val="none" w:sz="0" w:space="0" w:color="auto"/>
                <w:bottom w:val="none" w:sz="0" w:space="0" w:color="auto"/>
                <w:right w:val="none" w:sz="0" w:space="0" w:color="auto"/>
              </w:divBdr>
            </w:div>
            <w:div w:id="1615821129">
              <w:marLeft w:val="0"/>
              <w:marRight w:val="0"/>
              <w:marTop w:val="0"/>
              <w:marBottom w:val="0"/>
              <w:divBdr>
                <w:top w:val="none" w:sz="0" w:space="0" w:color="auto"/>
                <w:left w:val="none" w:sz="0" w:space="0" w:color="auto"/>
                <w:bottom w:val="none" w:sz="0" w:space="0" w:color="auto"/>
                <w:right w:val="none" w:sz="0" w:space="0" w:color="auto"/>
              </w:divBdr>
            </w:div>
            <w:div w:id="421069007">
              <w:marLeft w:val="0"/>
              <w:marRight w:val="0"/>
              <w:marTop w:val="0"/>
              <w:marBottom w:val="0"/>
              <w:divBdr>
                <w:top w:val="none" w:sz="0" w:space="0" w:color="auto"/>
                <w:left w:val="none" w:sz="0" w:space="0" w:color="auto"/>
                <w:bottom w:val="none" w:sz="0" w:space="0" w:color="auto"/>
                <w:right w:val="none" w:sz="0" w:space="0" w:color="auto"/>
              </w:divBdr>
            </w:div>
            <w:div w:id="327442270">
              <w:marLeft w:val="0"/>
              <w:marRight w:val="0"/>
              <w:marTop w:val="0"/>
              <w:marBottom w:val="0"/>
              <w:divBdr>
                <w:top w:val="none" w:sz="0" w:space="0" w:color="auto"/>
                <w:left w:val="none" w:sz="0" w:space="0" w:color="auto"/>
                <w:bottom w:val="none" w:sz="0" w:space="0" w:color="auto"/>
                <w:right w:val="none" w:sz="0" w:space="0" w:color="auto"/>
              </w:divBdr>
            </w:div>
            <w:div w:id="1211268166">
              <w:marLeft w:val="0"/>
              <w:marRight w:val="0"/>
              <w:marTop w:val="0"/>
              <w:marBottom w:val="0"/>
              <w:divBdr>
                <w:top w:val="none" w:sz="0" w:space="0" w:color="auto"/>
                <w:left w:val="none" w:sz="0" w:space="0" w:color="auto"/>
                <w:bottom w:val="none" w:sz="0" w:space="0" w:color="auto"/>
                <w:right w:val="none" w:sz="0" w:space="0" w:color="auto"/>
              </w:divBdr>
            </w:div>
            <w:div w:id="1307052976">
              <w:marLeft w:val="0"/>
              <w:marRight w:val="0"/>
              <w:marTop w:val="0"/>
              <w:marBottom w:val="0"/>
              <w:divBdr>
                <w:top w:val="none" w:sz="0" w:space="0" w:color="auto"/>
                <w:left w:val="none" w:sz="0" w:space="0" w:color="auto"/>
                <w:bottom w:val="none" w:sz="0" w:space="0" w:color="auto"/>
                <w:right w:val="none" w:sz="0" w:space="0" w:color="auto"/>
              </w:divBdr>
            </w:div>
            <w:div w:id="1736467919">
              <w:marLeft w:val="0"/>
              <w:marRight w:val="0"/>
              <w:marTop w:val="0"/>
              <w:marBottom w:val="0"/>
              <w:divBdr>
                <w:top w:val="none" w:sz="0" w:space="0" w:color="auto"/>
                <w:left w:val="none" w:sz="0" w:space="0" w:color="auto"/>
                <w:bottom w:val="none" w:sz="0" w:space="0" w:color="auto"/>
                <w:right w:val="none" w:sz="0" w:space="0" w:color="auto"/>
              </w:divBdr>
            </w:div>
          </w:divsChild>
        </w:div>
        <w:div w:id="63379293">
          <w:marLeft w:val="0"/>
          <w:marRight w:val="0"/>
          <w:marTop w:val="0"/>
          <w:marBottom w:val="0"/>
          <w:divBdr>
            <w:top w:val="none" w:sz="0" w:space="0" w:color="auto"/>
            <w:left w:val="none" w:sz="0" w:space="0" w:color="auto"/>
            <w:bottom w:val="none" w:sz="0" w:space="0" w:color="auto"/>
            <w:right w:val="none" w:sz="0" w:space="0" w:color="auto"/>
          </w:divBdr>
          <w:divsChild>
            <w:div w:id="897516783">
              <w:marLeft w:val="0"/>
              <w:marRight w:val="0"/>
              <w:marTop w:val="0"/>
              <w:marBottom w:val="0"/>
              <w:divBdr>
                <w:top w:val="none" w:sz="0" w:space="0" w:color="auto"/>
                <w:left w:val="none" w:sz="0" w:space="0" w:color="auto"/>
                <w:bottom w:val="none" w:sz="0" w:space="0" w:color="auto"/>
                <w:right w:val="none" w:sz="0" w:space="0" w:color="auto"/>
              </w:divBdr>
            </w:div>
            <w:div w:id="1082873357">
              <w:marLeft w:val="0"/>
              <w:marRight w:val="0"/>
              <w:marTop w:val="0"/>
              <w:marBottom w:val="0"/>
              <w:divBdr>
                <w:top w:val="none" w:sz="0" w:space="0" w:color="auto"/>
                <w:left w:val="none" w:sz="0" w:space="0" w:color="auto"/>
                <w:bottom w:val="none" w:sz="0" w:space="0" w:color="auto"/>
                <w:right w:val="none" w:sz="0" w:space="0" w:color="auto"/>
              </w:divBdr>
            </w:div>
            <w:div w:id="1087188779">
              <w:marLeft w:val="0"/>
              <w:marRight w:val="0"/>
              <w:marTop w:val="0"/>
              <w:marBottom w:val="0"/>
              <w:divBdr>
                <w:top w:val="none" w:sz="0" w:space="0" w:color="auto"/>
                <w:left w:val="none" w:sz="0" w:space="0" w:color="auto"/>
                <w:bottom w:val="none" w:sz="0" w:space="0" w:color="auto"/>
                <w:right w:val="none" w:sz="0" w:space="0" w:color="auto"/>
              </w:divBdr>
            </w:div>
            <w:div w:id="573130078">
              <w:marLeft w:val="0"/>
              <w:marRight w:val="0"/>
              <w:marTop w:val="0"/>
              <w:marBottom w:val="0"/>
              <w:divBdr>
                <w:top w:val="none" w:sz="0" w:space="0" w:color="auto"/>
                <w:left w:val="none" w:sz="0" w:space="0" w:color="auto"/>
                <w:bottom w:val="none" w:sz="0" w:space="0" w:color="auto"/>
                <w:right w:val="none" w:sz="0" w:space="0" w:color="auto"/>
              </w:divBdr>
            </w:div>
            <w:div w:id="1069041725">
              <w:marLeft w:val="0"/>
              <w:marRight w:val="0"/>
              <w:marTop w:val="0"/>
              <w:marBottom w:val="0"/>
              <w:divBdr>
                <w:top w:val="none" w:sz="0" w:space="0" w:color="auto"/>
                <w:left w:val="none" w:sz="0" w:space="0" w:color="auto"/>
                <w:bottom w:val="none" w:sz="0" w:space="0" w:color="auto"/>
                <w:right w:val="none" w:sz="0" w:space="0" w:color="auto"/>
              </w:divBdr>
            </w:div>
            <w:div w:id="1808165205">
              <w:marLeft w:val="0"/>
              <w:marRight w:val="0"/>
              <w:marTop w:val="0"/>
              <w:marBottom w:val="0"/>
              <w:divBdr>
                <w:top w:val="none" w:sz="0" w:space="0" w:color="auto"/>
                <w:left w:val="none" w:sz="0" w:space="0" w:color="auto"/>
                <w:bottom w:val="none" w:sz="0" w:space="0" w:color="auto"/>
                <w:right w:val="none" w:sz="0" w:space="0" w:color="auto"/>
              </w:divBdr>
            </w:div>
            <w:div w:id="1243761827">
              <w:marLeft w:val="0"/>
              <w:marRight w:val="0"/>
              <w:marTop w:val="0"/>
              <w:marBottom w:val="0"/>
              <w:divBdr>
                <w:top w:val="none" w:sz="0" w:space="0" w:color="auto"/>
                <w:left w:val="none" w:sz="0" w:space="0" w:color="auto"/>
                <w:bottom w:val="none" w:sz="0" w:space="0" w:color="auto"/>
                <w:right w:val="none" w:sz="0" w:space="0" w:color="auto"/>
              </w:divBdr>
            </w:div>
            <w:div w:id="891691563">
              <w:marLeft w:val="0"/>
              <w:marRight w:val="0"/>
              <w:marTop w:val="0"/>
              <w:marBottom w:val="0"/>
              <w:divBdr>
                <w:top w:val="none" w:sz="0" w:space="0" w:color="auto"/>
                <w:left w:val="none" w:sz="0" w:space="0" w:color="auto"/>
                <w:bottom w:val="none" w:sz="0" w:space="0" w:color="auto"/>
                <w:right w:val="none" w:sz="0" w:space="0" w:color="auto"/>
              </w:divBdr>
            </w:div>
            <w:div w:id="1608082889">
              <w:marLeft w:val="0"/>
              <w:marRight w:val="0"/>
              <w:marTop w:val="0"/>
              <w:marBottom w:val="0"/>
              <w:divBdr>
                <w:top w:val="none" w:sz="0" w:space="0" w:color="auto"/>
                <w:left w:val="none" w:sz="0" w:space="0" w:color="auto"/>
                <w:bottom w:val="none" w:sz="0" w:space="0" w:color="auto"/>
                <w:right w:val="none" w:sz="0" w:space="0" w:color="auto"/>
              </w:divBdr>
            </w:div>
            <w:div w:id="1867788017">
              <w:marLeft w:val="0"/>
              <w:marRight w:val="0"/>
              <w:marTop w:val="0"/>
              <w:marBottom w:val="0"/>
              <w:divBdr>
                <w:top w:val="none" w:sz="0" w:space="0" w:color="auto"/>
                <w:left w:val="none" w:sz="0" w:space="0" w:color="auto"/>
                <w:bottom w:val="none" w:sz="0" w:space="0" w:color="auto"/>
                <w:right w:val="none" w:sz="0" w:space="0" w:color="auto"/>
              </w:divBdr>
            </w:div>
            <w:div w:id="1870795646">
              <w:marLeft w:val="0"/>
              <w:marRight w:val="0"/>
              <w:marTop w:val="0"/>
              <w:marBottom w:val="0"/>
              <w:divBdr>
                <w:top w:val="none" w:sz="0" w:space="0" w:color="auto"/>
                <w:left w:val="none" w:sz="0" w:space="0" w:color="auto"/>
                <w:bottom w:val="none" w:sz="0" w:space="0" w:color="auto"/>
                <w:right w:val="none" w:sz="0" w:space="0" w:color="auto"/>
              </w:divBdr>
            </w:div>
            <w:div w:id="1213149822">
              <w:marLeft w:val="0"/>
              <w:marRight w:val="0"/>
              <w:marTop w:val="0"/>
              <w:marBottom w:val="0"/>
              <w:divBdr>
                <w:top w:val="none" w:sz="0" w:space="0" w:color="auto"/>
                <w:left w:val="none" w:sz="0" w:space="0" w:color="auto"/>
                <w:bottom w:val="none" w:sz="0" w:space="0" w:color="auto"/>
                <w:right w:val="none" w:sz="0" w:space="0" w:color="auto"/>
              </w:divBdr>
            </w:div>
            <w:div w:id="593898469">
              <w:marLeft w:val="0"/>
              <w:marRight w:val="0"/>
              <w:marTop w:val="0"/>
              <w:marBottom w:val="0"/>
              <w:divBdr>
                <w:top w:val="none" w:sz="0" w:space="0" w:color="auto"/>
                <w:left w:val="none" w:sz="0" w:space="0" w:color="auto"/>
                <w:bottom w:val="none" w:sz="0" w:space="0" w:color="auto"/>
                <w:right w:val="none" w:sz="0" w:space="0" w:color="auto"/>
              </w:divBdr>
            </w:div>
          </w:divsChild>
        </w:div>
        <w:div w:id="675114901">
          <w:marLeft w:val="0"/>
          <w:marRight w:val="0"/>
          <w:marTop w:val="0"/>
          <w:marBottom w:val="0"/>
          <w:divBdr>
            <w:top w:val="none" w:sz="0" w:space="0" w:color="auto"/>
            <w:left w:val="none" w:sz="0" w:space="0" w:color="auto"/>
            <w:bottom w:val="none" w:sz="0" w:space="0" w:color="auto"/>
            <w:right w:val="none" w:sz="0" w:space="0" w:color="auto"/>
          </w:divBdr>
          <w:divsChild>
            <w:div w:id="1199507130">
              <w:marLeft w:val="-75"/>
              <w:marRight w:val="0"/>
              <w:marTop w:val="30"/>
              <w:marBottom w:val="30"/>
              <w:divBdr>
                <w:top w:val="none" w:sz="0" w:space="0" w:color="auto"/>
                <w:left w:val="none" w:sz="0" w:space="0" w:color="auto"/>
                <w:bottom w:val="none" w:sz="0" w:space="0" w:color="auto"/>
                <w:right w:val="none" w:sz="0" w:space="0" w:color="auto"/>
              </w:divBdr>
              <w:divsChild>
                <w:div w:id="681514915">
                  <w:marLeft w:val="0"/>
                  <w:marRight w:val="0"/>
                  <w:marTop w:val="0"/>
                  <w:marBottom w:val="0"/>
                  <w:divBdr>
                    <w:top w:val="none" w:sz="0" w:space="0" w:color="auto"/>
                    <w:left w:val="none" w:sz="0" w:space="0" w:color="auto"/>
                    <w:bottom w:val="none" w:sz="0" w:space="0" w:color="auto"/>
                    <w:right w:val="none" w:sz="0" w:space="0" w:color="auto"/>
                  </w:divBdr>
                  <w:divsChild>
                    <w:div w:id="1794860487">
                      <w:marLeft w:val="0"/>
                      <w:marRight w:val="0"/>
                      <w:marTop w:val="0"/>
                      <w:marBottom w:val="0"/>
                      <w:divBdr>
                        <w:top w:val="none" w:sz="0" w:space="0" w:color="auto"/>
                        <w:left w:val="none" w:sz="0" w:space="0" w:color="auto"/>
                        <w:bottom w:val="none" w:sz="0" w:space="0" w:color="auto"/>
                        <w:right w:val="none" w:sz="0" w:space="0" w:color="auto"/>
                      </w:divBdr>
                    </w:div>
                  </w:divsChild>
                </w:div>
                <w:div w:id="1113670850">
                  <w:marLeft w:val="0"/>
                  <w:marRight w:val="0"/>
                  <w:marTop w:val="0"/>
                  <w:marBottom w:val="0"/>
                  <w:divBdr>
                    <w:top w:val="none" w:sz="0" w:space="0" w:color="auto"/>
                    <w:left w:val="none" w:sz="0" w:space="0" w:color="auto"/>
                    <w:bottom w:val="none" w:sz="0" w:space="0" w:color="auto"/>
                    <w:right w:val="none" w:sz="0" w:space="0" w:color="auto"/>
                  </w:divBdr>
                  <w:divsChild>
                    <w:div w:id="1370911770">
                      <w:marLeft w:val="0"/>
                      <w:marRight w:val="0"/>
                      <w:marTop w:val="0"/>
                      <w:marBottom w:val="0"/>
                      <w:divBdr>
                        <w:top w:val="none" w:sz="0" w:space="0" w:color="auto"/>
                        <w:left w:val="none" w:sz="0" w:space="0" w:color="auto"/>
                        <w:bottom w:val="none" w:sz="0" w:space="0" w:color="auto"/>
                        <w:right w:val="none" w:sz="0" w:space="0" w:color="auto"/>
                      </w:divBdr>
                    </w:div>
                  </w:divsChild>
                </w:div>
                <w:div w:id="2036032025">
                  <w:marLeft w:val="0"/>
                  <w:marRight w:val="0"/>
                  <w:marTop w:val="0"/>
                  <w:marBottom w:val="0"/>
                  <w:divBdr>
                    <w:top w:val="none" w:sz="0" w:space="0" w:color="auto"/>
                    <w:left w:val="none" w:sz="0" w:space="0" w:color="auto"/>
                    <w:bottom w:val="none" w:sz="0" w:space="0" w:color="auto"/>
                    <w:right w:val="none" w:sz="0" w:space="0" w:color="auto"/>
                  </w:divBdr>
                  <w:divsChild>
                    <w:div w:id="1647933572">
                      <w:marLeft w:val="0"/>
                      <w:marRight w:val="0"/>
                      <w:marTop w:val="0"/>
                      <w:marBottom w:val="0"/>
                      <w:divBdr>
                        <w:top w:val="none" w:sz="0" w:space="0" w:color="auto"/>
                        <w:left w:val="none" w:sz="0" w:space="0" w:color="auto"/>
                        <w:bottom w:val="none" w:sz="0" w:space="0" w:color="auto"/>
                        <w:right w:val="none" w:sz="0" w:space="0" w:color="auto"/>
                      </w:divBdr>
                    </w:div>
                  </w:divsChild>
                </w:div>
                <w:div w:id="1362435450">
                  <w:marLeft w:val="0"/>
                  <w:marRight w:val="0"/>
                  <w:marTop w:val="0"/>
                  <w:marBottom w:val="0"/>
                  <w:divBdr>
                    <w:top w:val="none" w:sz="0" w:space="0" w:color="auto"/>
                    <w:left w:val="none" w:sz="0" w:space="0" w:color="auto"/>
                    <w:bottom w:val="none" w:sz="0" w:space="0" w:color="auto"/>
                    <w:right w:val="none" w:sz="0" w:space="0" w:color="auto"/>
                  </w:divBdr>
                  <w:divsChild>
                    <w:div w:id="279605641">
                      <w:marLeft w:val="0"/>
                      <w:marRight w:val="0"/>
                      <w:marTop w:val="0"/>
                      <w:marBottom w:val="0"/>
                      <w:divBdr>
                        <w:top w:val="none" w:sz="0" w:space="0" w:color="auto"/>
                        <w:left w:val="none" w:sz="0" w:space="0" w:color="auto"/>
                        <w:bottom w:val="none" w:sz="0" w:space="0" w:color="auto"/>
                        <w:right w:val="none" w:sz="0" w:space="0" w:color="auto"/>
                      </w:divBdr>
                    </w:div>
                  </w:divsChild>
                </w:div>
                <w:div w:id="2140686505">
                  <w:marLeft w:val="0"/>
                  <w:marRight w:val="0"/>
                  <w:marTop w:val="0"/>
                  <w:marBottom w:val="0"/>
                  <w:divBdr>
                    <w:top w:val="none" w:sz="0" w:space="0" w:color="auto"/>
                    <w:left w:val="none" w:sz="0" w:space="0" w:color="auto"/>
                    <w:bottom w:val="none" w:sz="0" w:space="0" w:color="auto"/>
                    <w:right w:val="none" w:sz="0" w:space="0" w:color="auto"/>
                  </w:divBdr>
                  <w:divsChild>
                    <w:div w:id="1917086394">
                      <w:marLeft w:val="0"/>
                      <w:marRight w:val="0"/>
                      <w:marTop w:val="0"/>
                      <w:marBottom w:val="0"/>
                      <w:divBdr>
                        <w:top w:val="none" w:sz="0" w:space="0" w:color="auto"/>
                        <w:left w:val="none" w:sz="0" w:space="0" w:color="auto"/>
                        <w:bottom w:val="none" w:sz="0" w:space="0" w:color="auto"/>
                        <w:right w:val="none" w:sz="0" w:space="0" w:color="auto"/>
                      </w:divBdr>
                    </w:div>
                  </w:divsChild>
                </w:div>
                <w:div w:id="1784956941">
                  <w:marLeft w:val="0"/>
                  <w:marRight w:val="0"/>
                  <w:marTop w:val="0"/>
                  <w:marBottom w:val="0"/>
                  <w:divBdr>
                    <w:top w:val="none" w:sz="0" w:space="0" w:color="auto"/>
                    <w:left w:val="none" w:sz="0" w:space="0" w:color="auto"/>
                    <w:bottom w:val="none" w:sz="0" w:space="0" w:color="auto"/>
                    <w:right w:val="none" w:sz="0" w:space="0" w:color="auto"/>
                  </w:divBdr>
                  <w:divsChild>
                    <w:div w:id="439885652">
                      <w:marLeft w:val="0"/>
                      <w:marRight w:val="0"/>
                      <w:marTop w:val="0"/>
                      <w:marBottom w:val="0"/>
                      <w:divBdr>
                        <w:top w:val="none" w:sz="0" w:space="0" w:color="auto"/>
                        <w:left w:val="none" w:sz="0" w:space="0" w:color="auto"/>
                        <w:bottom w:val="none" w:sz="0" w:space="0" w:color="auto"/>
                        <w:right w:val="none" w:sz="0" w:space="0" w:color="auto"/>
                      </w:divBdr>
                    </w:div>
                  </w:divsChild>
                </w:div>
                <w:div w:id="1528133917">
                  <w:marLeft w:val="0"/>
                  <w:marRight w:val="0"/>
                  <w:marTop w:val="0"/>
                  <w:marBottom w:val="0"/>
                  <w:divBdr>
                    <w:top w:val="none" w:sz="0" w:space="0" w:color="auto"/>
                    <w:left w:val="none" w:sz="0" w:space="0" w:color="auto"/>
                    <w:bottom w:val="none" w:sz="0" w:space="0" w:color="auto"/>
                    <w:right w:val="none" w:sz="0" w:space="0" w:color="auto"/>
                  </w:divBdr>
                  <w:divsChild>
                    <w:div w:id="889808972">
                      <w:marLeft w:val="0"/>
                      <w:marRight w:val="0"/>
                      <w:marTop w:val="0"/>
                      <w:marBottom w:val="0"/>
                      <w:divBdr>
                        <w:top w:val="none" w:sz="0" w:space="0" w:color="auto"/>
                        <w:left w:val="none" w:sz="0" w:space="0" w:color="auto"/>
                        <w:bottom w:val="none" w:sz="0" w:space="0" w:color="auto"/>
                        <w:right w:val="none" w:sz="0" w:space="0" w:color="auto"/>
                      </w:divBdr>
                    </w:div>
                  </w:divsChild>
                </w:div>
                <w:div w:id="1233663141">
                  <w:marLeft w:val="0"/>
                  <w:marRight w:val="0"/>
                  <w:marTop w:val="0"/>
                  <w:marBottom w:val="0"/>
                  <w:divBdr>
                    <w:top w:val="none" w:sz="0" w:space="0" w:color="auto"/>
                    <w:left w:val="none" w:sz="0" w:space="0" w:color="auto"/>
                    <w:bottom w:val="none" w:sz="0" w:space="0" w:color="auto"/>
                    <w:right w:val="none" w:sz="0" w:space="0" w:color="auto"/>
                  </w:divBdr>
                  <w:divsChild>
                    <w:div w:id="1751539820">
                      <w:marLeft w:val="0"/>
                      <w:marRight w:val="0"/>
                      <w:marTop w:val="0"/>
                      <w:marBottom w:val="0"/>
                      <w:divBdr>
                        <w:top w:val="none" w:sz="0" w:space="0" w:color="auto"/>
                        <w:left w:val="none" w:sz="0" w:space="0" w:color="auto"/>
                        <w:bottom w:val="none" w:sz="0" w:space="0" w:color="auto"/>
                        <w:right w:val="none" w:sz="0" w:space="0" w:color="auto"/>
                      </w:divBdr>
                    </w:div>
                    <w:div w:id="1100106582">
                      <w:marLeft w:val="0"/>
                      <w:marRight w:val="0"/>
                      <w:marTop w:val="0"/>
                      <w:marBottom w:val="0"/>
                      <w:divBdr>
                        <w:top w:val="none" w:sz="0" w:space="0" w:color="auto"/>
                        <w:left w:val="none" w:sz="0" w:space="0" w:color="auto"/>
                        <w:bottom w:val="none" w:sz="0" w:space="0" w:color="auto"/>
                        <w:right w:val="none" w:sz="0" w:space="0" w:color="auto"/>
                      </w:divBdr>
                    </w:div>
                  </w:divsChild>
                </w:div>
                <w:div w:id="1881700746">
                  <w:marLeft w:val="0"/>
                  <w:marRight w:val="0"/>
                  <w:marTop w:val="0"/>
                  <w:marBottom w:val="0"/>
                  <w:divBdr>
                    <w:top w:val="none" w:sz="0" w:space="0" w:color="auto"/>
                    <w:left w:val="none" w:sz="0" w:space="0" w:color="auto"/>
                    <w:bottom w:val="none" w:sz="0" w:space="0" w:color="auto"/>
                    <w:right w:val="none" w:sz="0" w:space="0" w:color="auto"/>
                  </w:divBdr>
                  <w:divsChild>
                    <w:div w:id="1047224480">
                      <w:marLeft w:val="0"/>
                      <w:marRight w:val="0"/>
                      <w:marTop w:val="0"/>
                      <w:marBottom w:val="0"/>
                      <w:divBdr>
                        <w:top w:val="none" w:sz="0" w:space="0" w:color="auto"/>
                        <w:left w:val="none" w:sz="0" w:space="0" w:color="auto"/>
                        <w:bottom w:val="none" w:sz="0" w:space="0" w:color="auto"/>
                        <w:right w:val="none" w:sz="0" w:space="0" w:color="auto"/>
                      </w:divBdr>
                    </w:div>
                  </w:divsChild>
                </w:div>
                <w:div w:id="46531413">
                  <w:marLeft w:val="0"/>
                  <w:marRight w:val="0"/>
                  <w:marTop w:val="0"/>
                  <w:marBottom w:val="0"/>
                  <w:divBdr>
                    <w:top w:val="none" w:sz="0" w:space="0" w:color="auto"/>
                    <w:left w:val="none" w:sz="0" w:space="0" w:color="auto"/>
                    <w:bottom w:val="none" w:sz="0" w:space="0" w:color="auto"/>
                    <w:right w:val="none" w:sz="0" w:space="0" w:color="auto"/>
                  </w:divBdr>
                  <w:divsChild>
                    <w:div w:id="1193958907">
                      <w:marLeft w:val="0"/>
                      <w:marRight w:val="0"/>
                      <w:marTop w:val="0"/>
                      <w:marBottom w:val="0"/>
                      <w:divBdr>
                        <w:top w:val="none" w:sz="0" w:space="0" w:color="auto"/>
                        <w:left w:val="none" w:sz="0" w:space="0" w:color="auto"/>
                        <w:bottom w:val="none" w:sz="0" w:space="0" w:color="auto"/>
                        <w:right w:val="none" w:sz="0" w:space="0" w:color="auto"/>
                      </w:divBdr>
                    </w:div>
                  </w:divsChild>
                </w:div>
                <w:div w:id="262998677">
                  <w:marLeft w:val="0"/>
                  <w:marRight w:val="0"/>
                  <w:marTop w:val="0"/>
                  <w:marBottom w:val="0"/>
                  <w:divBdr>
                    <w:top w:val="none" w:sz="0" w:space="0" w:color="auto"/>
                    <w:left w:val="none" w:sz="0" w:space="0" w:color="auto"/>
                    <w:bottom w:val="none" w:sz="0" w:space="0" w:color="auto"/>
                    <w:right w:val="none" w:sz="0" w:space="0" w:color="auto"/>
                  </w:divBdr>
                  <w:divsChild>
                    <w:div w:id="1275402442">
                      <w:marLeft w:val="0"/>
                      <w:marRight w:val="0"/>
                      <w:marTop w:val="0"/>
                      <w:marBottom w:val="0"/>
                      <w:divBdr>
                        <w:top w:val="none" w:sz="0" w:space="0" w:color="auto"/>
                        <w:left w:val="none" w:sz="0" w:space="0" w:color="auto"/>
                        <w:bottom w:val="none" w:sz="0" w:space="0" w:color="auto"/>
                        <w:right w:val="none" w:sz="0" w:space="0" w:color="auto"/>
                      </w:divBdr>
                    </w:div>
                  </w:divsChild>
                </w:div>
                <w:div w:id="473526742">
                  <w:marLeft w:val="0"/>
                  <w:marRight w:val="0"/>
                  <w:marTop w:val="0"/>
                  <w:marBottom w:val="0"/>
                  <w:divBdr>
                    <w:top w:val="none" w:sz="0" w:space="0" w:color="auto"/>
                    <w:left w:val="none" w:sz="0" w:space="0" w:color="auto"/>
                    <w:bottom w:val="none" w:sz="0" w:space="0" w:color="auto"/>
                    <w:right w:val="none" w:sz="0" w:space="0" w:color="auto"/>
                  </w:divBdr>
                  <w:divsChild>
                    <w:div w:id="23597251">
                      <w:marLeft w:val="0"/>
                      <w:marRight w:val="0"/>
                      <w:marTop w:val="0"/>
                      <w:marBottom w:val="0"/>
                      <w:divBdr>
                        <w:top w:val="none" w:sz="0" w:space="0" w:color="auto"/>
                        <w:left w:val="none" w:sz="0" w:space="0" w:color="auto"/>
                        <w:bottom w:val="none" w:sz="0" w:space="0" w:color="auto"/>
                        <w:right w:val="none" w:sz="0" w:space="0" w:color="auto"/>
                      </w:divBdr>
                    </w:div>
                  </w:divsChild>
                </w:div>
                <w:div w:id="1743022018">
                  <w:marLeft w:val="0"/>
                  <w:marRight w:val="0"/>
                  <w:marTop w:val="0"/>
                  <w:marBottom w:val="0"/>
                  <w:divBdr>
                    <w:top w:val="none" w:sz="0" w:space="0" w:color="auto"/>
                    <w:left w:val="none" w:sz="0" w:space="0" w:color="auto"/>
                    <w:bottom w:val="none" w:sz="0" w:space="0" w:color="auto"/>
                    <w:right w:val="none" w:sz="0" w:space="0" w:color="auto"/>
                  </w:divBdr>
                  <w:divsChild>
                    <w:div w:id="1512328654">
                      <w:marLeft w:val="0"/>
                      <w:marRight w:val="0"/>
                      <w:marTop w:val="0"/>
                      <w:marBottom w:val="0"/>
                      <w:divBdr>
                        <w:top w:val="none" w:sz="0" w:space="0" w:color="auto"/>
                        <w:left w:val="none" w:sz="0" w:space="0" w:color="auto"/>
                        <w:bottom w:val="none" w:sz="0" w:space="0" w:color="auto"/>
                        <w:right w:val="none" w:sz="0" w:space="0" w:color="auto"/>
                      </w:divBdr>
                    </w:div>
                  </w:divsChild>
                </w:div>
                <w:div w:id="1890804022">
                  <w:marLeft w:val="0"/>
                  <w:marRight w:val="0"/>
                  <w:marTop w:val="0"/>
                  <w:marBottom w:val="0"/>
                  <w:divBdr>
                    <w:top w:val="none" w:sz="0" w:space="0" w:color="auto"/>
                    <w:left w:val="none" w:sz="0" w:space="0" w:color="auto"/>
                    <w:bottom w:val="none" w:sz="0" w:space="0" w:color="auto"/>
                    <w:right w:val="none" w:sz="0" w:space="0" w:color="auto"/>
                  </w:divBdr>
                  <w:divsChild>
                    <w:div w:id="6982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07787">
          <w:marLeft w:val="0"/>
          <w:marRight w:val="0"/>
          <w:marTop w:val="0"/>
          <w:marBottom w:val="0"/>
          <w:divBdr>
            <w:top w:val="none" w:sz="0" w:space="0" w:color="auto"/>
            <w:left w:val="none" w:sz="0" w:space="0" w:color="auto"/>
            <w:bottom w:val="none" w:sz="0" w:space="0" w:color="auto"/>
            <w:right w:val="none" w:sz="0" w:space="0" w:color="auto"/>
          </w:divBdr>
          <w:divsChild>
            <w:div w:id="1235163608">
              <w:marLeft w:val="0"/>
              <w:marRight w:val="0"/>
              <w:marTop w:val="0"/>
              <w:marBottom w:val="0"/>
              <w:divBdr>
                <w:top w:val="none" w:sz="0" w:space="0" w:color="auto"/>
                <w:left w:val="none" w:sz="0" w:space="0" w:color="auto"/>
                <w:bottom w:val="none" w:sz="0" w:space="0" w:color="auto"/>
                <w:right w:val="none" w:sz="0" w:space="0" w:color="auto"/>
              </w:divBdr>
            </w:div>
            <w:div w:id="56631478">
              <w:marLeft w:val="0"/>
              <w:marRight w:val="0"/>
              <w:marTop w:val="0"/>
              <w:marBottom w:val="0"/>
              <w:divBdr>
                <w:top w:val="none" w:sz="0" w:space="0" w:color="auto"/>
                <w:left w:val="none" w:sz="0" w:space="0" w:color="auto"/>
                <w:bottom w:val="none" w:sz="0" w:space="0" w:color="auto"/>
                <w:right w:val="none" w:sz="0" w:space="0" w:color="auto"/>
              </w:divBdr>
            </w:div>
            <w:div w:id="122121163">
              <w:marLeft w:val="0"/>
              <w:marRight w:val="0"/>
              <w:marTop w:val="0"/>
              <w:marBottom w:val="0"/>
              <w:divBdr>
                <w:top w:val="none" w:sz="0" w:space="0" w:color="auto"/>
                <w:left w:val="none" w:sz="0" w:space="0" w:color="auto"/>
                <w:bottom w:val="none" w:sz="0" w:space="0" w:color="auto"/>
                <w:right w:val="none" w:sz="0" w:space="0" w:color="auto"/>
              </w:divBdr>
            </w:div>
            <w:div w:id="795952659">
              <w:marLeft w:val="0"/>
              <w:marRight w:val="0"/>
              <w:marTop w:val="0"/>
              <w:marBottom w:val="0"/>
              <w:divBdr>
                <w:top w:val="none" w:sz="0" w:space="0" w:color="auto"/>
                <w:left w:val="none" w:sz="0" w:space="0" w:color="auto"/>
                <w:bottom w:val="none" w:sz="0" w:space="0" w:color="auto"/>
                <w:right w:val="none" w:sz="0" w:space="0" w:color="auto"/>
              </w:divBdr>
            </w:div>
            <w:div w:id="1922568276">
              <w:marLeft w:val="0"/>
              <w:marRight w:val="0"/>
              <w:marTop w:val="0"/>
              <w:marBottom w:val="0"/>
              <w:divBdr>
                <w:top w:val="none" w:sz="0" w:space="0" w:color="auto"/>
                <w:left w:val="none" w:sz="0" w:space="0" w:color="auto"/>
                <w:bottom w:val="none" w:sz="0" w:space="0" w:color="auto"/>
                <w:right w:val="none" w:sz="0" w:space="0" w:color="auto"/>
              </w:divBdr>
            </w:div>
            <w:div w:id="120659398">
              <w:marLeft w:val="0"/>
              <w:marRight w:val="0"/>
              <w:marTop w:val="0"/>
              <w:marBottom w:val="0"/>
              <w:divBdr>
                <w:top w:val="none" w:sz="0" w:space="0" w:color="auto"/>
                <w:left w:val="none" w:sz="0" w:space="0" w:color="auto"/>
                <w:bottom w:val="none" w:sz="0" w:space="0" w:color="auto"/>
                <w:right w:val="none" w:sz="0" w:space="0" w:color="auto"/>
              </w:divBdr>
            </w:div>
            <w:div w:id="859664215">
              <w:marLeft w:val="0"/>
              <w:marRight w:val="0"/>
              <w:marTop w:val="0"/>
              <w:marBottom w:val="0"/>
              <w:divBdr>
                <w:top w:val="none" w:sz="0" w:space="0" w:color="auto"/>
                <w:left w:val="none" w:sz="0" w:space="0" w:color="auto"/>
                <w:bottom w:val="none" w:sz="0" w:space="0" w:color="auto"/>
                <w:right w:val="none" w:sz="0" w:space="0" w:color="auto"/>
              </w:divBdr>
            </w:div>
            <w:div w:id="1680696158">
              <w:marLeft w:val="0"/>
              <w:marRight w:val="0"/>
              <w:marTop w:val="0"/>
              <w:marBottom w:val="0"/>
              <w:divBdr>
                <w:top w:val="none" w:sz="0" w:space="0" w:color="auto"/>
                <w:left w:val="none" w:sz="0" w:space="0" w:color="auto"/>
                <w:bottom w:val="none" w:sz="0" w:space="0" w:color="auto"/>
                <w:right w:val="none" w:sz="0" w:space="0" w:color="auto"/>
              </w:divBdr>
            </w:div>
            <w:div w:id="555554108">
              <w:marLeft w:val="0"/>
              <w:marRight w:val="0"/>
              <w:marTop w:val="0"/>
              <w:marBottom w:val="0"/>
              <w:divBdr>
                <w:top w:val="none" w:sz="0" w:space="0" w:color="auto"/>
                <w:left w:val="none" w:sz="0" w:space="0" w:color="auto"/>
                <w:bottom w:val="none" w:sz="0" w:space="0" w:color="auto"/>
                <w:right w:val="none" w:sz="0" w:space="0" w:color="auto"/>
              </w:divBdr>
            </w:div>
            <w:div w:id="280576329">
              <w:marLeft w:val="0"/>
              <w:marRight w:val="0"/>
              <w:marTop w:val="0"/>
              <w:marBottom w:val="0"/>
              <w:divBdr>
                <w:top w:val="none" w:sz="0" w:space="0" w:color="auto"/>
                <w:left w:val="none" w:sz="0" w:space="0" w:color="auto"/>
                <w:bottom w:val="none" w:sz="0" w:space="0" w:color="auto"/>
                <w:right w:val="none" w:sz="0" w:space="0" w:color="auto"/>
              </w:divBdr>
            </w:div>
            <w:div w:id="566889058">
              <w:marLeft w:val="0"/>
              <w:marRight w:val="0"/>
              <w:marTop w:val="0"/>
              <w:marBottom w:val="0"/>
              <w:divBdr>
                <w:top w:val="none" w:sz="0" w:space="0" w:color="auto"/>
                <w:left w:val="none" w:sz="0" w:space="0" w:color="auto"/>
                <w:bottom w:val="none" w:sz="0" w:space="0" w:color="auto"/>
                <w:right w:val="none" w:sz="0" w:space="0" w:color="auto"/>
              </w:divBdr>
            </w:div>
            <w:div w:id="1287734654">
              <w:marLeft w:val="0"/>
              <w:marRight w:val="0"/>
              <w:marTop w:val="0"/>
              <w:marBottom w:val="0"/>
              <w:divBdr>
                <w:top w:val="none" w:sz="0" w:space="0" w:color="auto"/>
                <w:left w:val="none" w:sz="0" w:space="0" w:color="auto"/>
                <w:bottom w:val="none" w:sz="0" w:space="0" w:color="auto"/>
                <w:right w:val="none" w:sz="0" w:space="0" w:color="auto"/>
              </w:divBdr>
            </w:div>
            <w:div w:id="2087333615">
              <w:marLeft w:val="0"/>
              <w:marRight w:val="0"/>
              <w:marTop w:val="0"/>
              <w:marBottom w:val="0"/>
              <w:divBdr>
                <w:top w:val="none" w:sz="0" w:space="0" w:color="auto"/>
                <w:left w:val="none" w:sz="0" w:space="0" w:color="auto"/>
                <w:bottom w:val="none" w:sz="0" w:space="0" w:color="auto"/>
                <w:right w:val="none" w:sz="0" w:space="0" w:color="auto"/>
              </w:divBdr>
            </w:div>
            <w:div w:id="209537666">
              <w:marLeft w:val="0"/>
              <w:marRight w:val="0"/>
              <w:marTop w:val="0"/>
              <w:marBottom w:val="0"/>
              <w:divBdr>
                <w:top w:val="none" w:sz="0" w:space="0" w:color="auto"/>
                <w:left w:val="none" w:sz="0" w:space="0" w:color="auto"/>
                <w:bottom w:val="none" w:sz="0" w:space="0" w:color="auto"/>
                <w:right w:val="none" w:sz="0" w:space="0" w:color="auto"/>
              </w:divBdr>
            </w:div>
            <w:div w:id="1302925793">
              <w:marLeft w:val="0"/>
              <w:marRight w:val="0"/>
              <w:marTop w:val="0"/>
              <w:marBottom w:val="0"/>
              <w:divBdr>
                <w:top w:val="none" w:sz="0" w:space="0" w:color="auto"/>
                <w:left w:val="none" w:sz="0" w:space="0" w:color="auto"/>
                <w:bottom w:val="none" w:sz="0" w:space="0" w:color="auto"/>
                <w:right w:val="none" w:sz="0" w:space="0" w:color="auto"/>
              </w:divBdr>
            </w:div>
            <w:div w:id="2120491762">
              <w:marLeft w:val="0"/>
              <w:marRight w:val="0"/>
              <w:marTop w:val="0"/>
              <w:marBottom w:val="0"/>
              <w:divBdr>
                <w:top w:val="none" w:sz="0" w:space="0" w:color="auto"/>
                <w:left w:val="none" w:sz="0" w:space="0" w:color="auto"/>
                <w:bottom w:val="none" w:sz="0" w:space="0" w:color="auto"/>
                <w:right w:val="none" w:sz="0" w:space="0" w:color="auto"/>
              </w:divBdr>
            </w:div>
            <w:div w:id="1045367504">
              <w:marLeft w:val="0"/>
              <w:marRight w:val="0"/>
              <w:marTop w:val="0"/>
              <w:marBottom w:val="0"/>
              <w:divBdr>
                <w:top w:val="none" w:sz="0" w:space="0" w:color="auto"/>
                <w:left w:val="none" w:sz="0" w:space="0" w:color="auto"/>
                <w:bottom w:val="none" w:sz="0" w:space="0" w:color="auto"/>
                <w:right w:val="none" w:sz="0" w:space="0" w:color="auto"/>
              </w:divBdr>
            </w:div>
            <w:div w:id="1171800562">
              <w:marLeft w:val="0"/>
              <w:marRight w:val="0"/>
              <w:marTop w:val="0"/>
              <w:marBottom w:val="0"/>
              <w:divBdr>
                <w:top w:val="none" w:sz="0" w:space="0" w:color="auto"/>
                <w:left w:val="none" w:sz="0" w:space="0" w:color="auto"/>
                <w:bottom w:val="none" w:sz="0" w:space="0" w:color="auto"/>
                <w:right w:val="none" w:sz="0" w:space="0" w:color="auto"/>
              </w:divBdr>
            </w:div>
            <w:div w:id="224146142">
              <w:marLeft w:val="0"/>
              <w:marRight w:val="0"/>
              <w:marTop w:val="0"/>
              <w:marBottom w:val="0"/>
              <w:divBdr>
                <w:top w:val="none" w:sz="0" w:space="0" w:color="auto"/>
                <w:left w:val="none" w:sz="0" w:space="0" w:color="auto"/>
                <w:bottom w:val="none" w:sz="0" w:space="0" w:color="auto"/>
                <w:right w:val="none" w:sz="0" w:space="0" w:color="auto"/>
              </w:divBdr>
            </w:div>
            <w:div w:id="29647736">
              <w:marLeft w:val="0"/>
              <w:marRight w:val="0"/>
              <w:marTop w:val="0"/>
              <w:marBottom w:val="0"/>
              <w:divBdr>
                <w:top w:val="none" w:sz="0" w:space="0" w:color="auto"/>
                <w:left w:val="none" w:sz="0" w:space="0" w:color="auto"/>
                <w:bottom w:val="none" w:sz="0" w:space="0" w:color="auto"/>
                <w:right w:val="none" w:sz="0" w:space="0" w:color="auto"/>
              </w:divBdr>
            </w:div>
          </w:divsChild>
        </w:div>
        <w:div w:id="1089885570">
          <w:marLeft w:val="0"/>
          <w:marRight w:val="0"/>
          <w:marTop w:val="0"/>
          <w:marBottom w:val="0"/>
          <w:divBdr>
            <w:top w:val="none" w:sz="0" w:space="0" w:color="auto"/>
            <w:left w:val="none" w:sz="0" w:space="0" w:color="auto"/>
            <w:bottom w:val="none" w:sz="0" w:space="0" w:color="auto"/>
            <w:right w:val="none" w:sz="0" w:space="0" w:color="auto"/>
          </w:divBdr>
          <w:divsChild>
            <w:div w:id="455221456">
              <w:marLeft w:val="0"/>
              <w:marRight w:val="0"/>
              <w:marTop w:val="0"/>
              <w:marBottom w:val="0"/>
              <w:divBdr>
                <w:top w:val="none" w:sz="0" w:space="0" w:color="auto"/>
                <w:left w:val="none" w:sz="0" w:space="0" w:color="auto"/>
                <w:bottom w:val="none" w:sz="0" w:space="0" w:color="auto"/>
                <w:right w:val="none" w:sz="0" w:space="0" w:color="auto"/>
              </w:divBdr>
            </w:div>
            <w:div w:id="1603952235">
              <w:marLeft w:val="0"/>
              <w:marRight w:val="0"/>
              <w:marTop w:val="0"/>
              <w:marBottom w:val="0"/>
              <w:divBdr>
                <w:top w:val="none" w:sz="0" w:space="0" w:color="auto"/>
                <w:left w:val="none" w:sz="0" w:space="0" w:color="auto"/>
                <w:bottom w:val="none" w:sz="0" w:space="0" w:color="auto"/>
                <w:right w:val="none" w:sz="0" w:space="0" w:color="auto"/>
              </w:divBdr>
            </w:div>
            <w:div w:id="316425250">
              <w:marLeft w:val="0"/>
              <w:marRight w:val="0"/>
              <w:marTop w:val="0"/>
              <w:marBottom w:val="0"/>
              <w:divBdr>
                <w:top w:val="none" w:sz="0" w:space="0" w:color="auto"/>
                <w:left w:val="none" w:sz="0" w:space="0" w:color="auto"/>
                <w:bottom w:val="none" w:sz="0" w:space="0" w:color="auto"/>
                <w:right w:val="none" w:sz="0" w:space="0" w:color="auto"/>
              </w:divBdr>
            </w:div>
            <w:div w:id="1155493090">
              <w:marLeft w:val="0"/>
              <w:marRight w:val="0"/>
              <w:marTop w:val="0"/>
              <w:marBottom w:val="0"/>
              <w:divBdr>
                <w:top w:val="none" w:sz="0" w:space="0" w:color="auto"/>
                <w:left w:val="none" w:sz="0" w:space="0" w:color="auto"/>
                <w:bottom w:val="none" w:sz="0" w:space="0" w:color="auto"/>
                <w:right w:val="none" w:sz="0" w:space="0" w:color="auto"/>
              </w:divBdr>
            </w:div>
            <w:div w:id="1953709741">
              <w:marLeft w:val="0"/>
              <w:marRight w:val="0"/>
              <w:marTop w:val="0"/>
              <w:marBottom w:val="0"/>
              <w:divBdr>
                <w:top w:val="none" w:sz="0" w:space="0" w:color="auto"/>
                <w:left w:val="none" w:sz="0" w:space="0" w:color="auto"/>
                <w:bottom w:val="none" w:sz="0" w:space="0" w:color="auto"/>
                <w:right w:val="none" w:sz="0" w:space="0" w:color="auto"/>
              </w:divBdr>
            </w:div>
            <w:div w:id="123162652">
              <w:marLeft w:val="0"/>
              <w:marRight w:val="0"/>
              <w:marTop w:val="0"/>
              <w:marBottom w:val="0"/>
              <w:divBdr>
                <w:top w:val="none" w:sz="0" w:space="0" w:color="auto"/>
                <w:left w:val="none" w:sz="0" w:space="0" w:color="auto"/>
                <w:bottom w:val="none" w:sz="0" w:space="0" w:color="auto"/>
                <w:right w:val="none" w:sz="0" w:space="0" w:color="auto"/>
              </w:divBdr>
            </w:div>
            <w:div w:id="586161353">
              <w:marLeft w:val="0"/>
              <w:marRight w:val="0"/>
              <w:marTop w:val="0"/>
              <w:marBottom w:val="0"/>
              <w:divBdr>
                <w:top w:val="none" w:sz="0" w:space="0" w:color="auto"/>
                <w:left w:val="none" w:sz="0" w:space="0" w:color="auto"/>
                <w:bottom w:val="none" w:sz="0" w:space="0" w:color="auto"/>
                <w:right w:val="none" w:sz="0" w:space="0" w:color="auto"/>
              </w:divBdr>
            </w:div>
            <w:div w:id="1232470759">
              <w:marLeft w:val="0"/>
              <w:marRight w:val="0"/>
              <w:marTop w:val="0"/>
              <w:marBottom w:val="0"/>
              <w:divBdr>
                <w:top w:val="none" w:sz="0" w:space="0" w:color="auto"/>
                <w:left w:val="none" w:sz="0" w:space="0" w:color="auto"/>
                <w:bottom w:val="none" w:sz="0" w:space="0" w:color="auto"/>
                <w:right w:val="none" w:sz="0" w:space="0" w:color="auto"/>
              </w:divBdr>
            </w:div>
            <w:div w:id="1744568498">
              <w:marLeft w:val="0"/>
              <w:marRight w:val="0"/>
              <w:marTop w:val="0"/>
              <w:marBottom w:val="0"/>
              <w:divBdr>
                <w:top w:val="none" w:sz="0" w:space="0" w:color="auto"/>
                <w:left w:val="none" w:sz="0" w:space="0" w:color="auto"/>
                <w:bottom w:val="none" w:sz="0" w:space="0" w:color="auto"/>
                <w:right w:val="none" w:sz="0" w:space="0" w:color="auto"/>
              </w:divBdr>
            </w:div>
            <w:div w:id="966856482">
              <w:marLeft w:val="0"/>
              <w:marRight w:val="0"/>
              <w:marTop w:val="0"/>
              <w:marBottom w:val="0"/>
              <w:divBdr>
                <w:top w:val="none" w:sz="0" w:space="0" w:color="auto"/>
                <w:left w:val="none" w:sz="0" w:space="0" w:color="auto"/>
                <w:bottom w:val="none" w:sz="0" w:space="0" w:color="auto"/>
                <w:right w:val="none" w:sz="0" w:space="0" w:color="auto"/>
              </w:divBdr>
            </w:div>
            <w:div w:id="1736971829">
              <w:marLeft w:val="0"/>
              <w:marRight w:val="0"/>
              <w:marTop w:val="0"/>
              <w:marBottom w:val="0"/>
              <w:divBdr>
                <w:top w:val="none" w:sz="0" w:space="0" w:color="auto"/>
                <w:left w:val="none" w:sz="0" w:space="0" w:color="auto"/>
                <w:bottom w:val="none" w:sz="0" w:space="0" w:color="auto"/>
                <w:right w:val="none" w:sz="0" w:space="0" w:color="auto"/>
              </w:divBdr>
            </w:div>
            <w:div w:id="1266616607">
              <w:marLeft w:val="0"/>
              <w:marRight w:val="0"/>
              <w:marTop w:val="0"/>
              <w:marBottom w:val="0"/>
              <w:divBdr>
                <w:top w:val="none" w:sz="0" w:space="0" w:color="auto"/>
                <w:left w:val="none" w:sz="0" w:space="0" w:color="auto"/>
                <w:bottom w:val="none" w:sz="0" w:space="0" w:color="auto"/>
                <w:right w:val="none" w:sz="0" w:space="0" w:color="auto"/>
              </w:divBdr>
            </w:div>
            <w:div w:id="1377192753">
              <w:marLeft w:val="0"/>
              <w:marRight w:val="0"/>
              <w:marTop w:val="0"/>
              <w:marBottom w:val="0"/>
              <w:divBdr>
                <w:top w:val="none" w:sz="0" w:space="0" w:color="auto"/>
                <w:left w:val="none" w:sz="0" w:space="0" w:color="auto"/>
                <w:bottom w:val="none" w:sz="0" w:space="0" w:color="auto"/>
                <w:right w:val="none" w:sz="0" w:space="0" w:color="auto"/>
              </w:divBdr>
            </w:div>
            <w:div w:id="269096196">
              <w:marLeft w:val="0"/>
              <w:marRight w:val="0"/>
              <w:marTop w:val="0"/>
              <w:marBottom w:val="0"/>
              <w:divBdr>
                <w:top w:val="none" w:sz="0" w:space="0" w:color="auto"/>
                <w:left w:val="none" w:sz="0" w:space="0" w:color="auto"/>
                <w:bottom w:val="none" w:sz="0" w:space="0" w:color="auto"/>
                <w:right w:val="none" w:sz="0" w:space="0" w:color="auto"/>
              </w:divBdr>
            </w:div>
            <w:div w:id="1258751975">
              <w:marLeft w:val="0"/>
              <w:marRight w:val="0"/>
              <w:marTop w:val="0"/>
              <w:marBottom w:val="0"/>
              <w:divBdr>
                <w:top w:val="none" w:sz="0" w:space="0" w:color="auto"/>
                <w:left w:val="none" w:sz="0" w:space="0" w:color="auto"/>
                <w:bottom w:val="none" w:sz="0" w:space="0" w:color="auto"/>
                <w:right w:val="none" w:sz="0" w:space="0" w:color="auto"/>
              </w:divBdr>
            </w:div>
            <w:div w:id="1075204772">
              <w:marLeft w:val="0"/>
              <w:marRight w:val="0"/>
              <w:marTop w:val="0"/>
              <w:marBottom w:val="0"/>
              <w:divBdr>
                <w:top w:val="none" w:sz="0" w:space="0" w:color="auto"/>
                <w:left w:val="none" w:sz="0" w:space="0" w:color="auto"/>
                <w:bottom w:val="none" w:sz="0" w:space="0" w:color="auto"/>
                <w:right w:val="none" w:sz="0" w:space="0" w:color="auto"/>
              </w:divBdr>
            </w:div>
            <w:div w:id="2146967481">
              <w:marLeft w:val="0"/>
              <w:marRight w:val="0"/>
              <w:marTop w:val="0"/>
              <w:marBottom w:val="0"/>
              <w:divBdr>
                <w:top w:val="none" w:sz="0" w:space="0" w:color="auto"/>
                <w:left w:val="none" w:sz="0" w:space="0" w:color="auto"/>
                <w:bottom w:val="none" w:sz="0" w:space="0" w:color="auto"/>
                <w:right w:val="none" w:sz="0" w:space="0" w:color="auto"/>
              </w:divBdr>
            </w:div>
            <w:div w:id="127747153">
              <w:marLeft w:val="0"/>
              <w:marRight w:val="0"/>
              <w:marTop w:val="0"/>
              <w:marBottom w:val="0"/>
              <w:divBdr>
                <w:top w:val="none" w:sz="0" w:space="0" w:color="auto"/>
                <w:left w:val="none" w:sz="0" w:space="0" w:color="auto"/>
                <w:bottom w:val="none" w:sz="0" w:space="0" w:color="auto"/>
                <w:right w:val="none" w:sz="0" w:space="0" w:color="auto"/>
              </w:divBdr>
            </w:div>
            <w:div w:id="720249164">
              <w:marLeft w:val="0"/>
              <w:marRight w:val="0"/>
              <w:marTop w:val="0"/>
              <w:marBottom w:val="0"/>
              <w:divBdr>
                <w:top w:val="none" w:sz="0" w:space="0" w:color="auto"/>
                <w:left w:val="none" w:sz="0" w:space="0" w:color="auto"/>
                <w:bottom w:val="none" w:sz="0" w:space="0" w:color="auto"/>
                <w:right w:val="none" w:sz="0" w:space="0" w:color="auto"/>
              </w:divBdr>
            </w:div>
            <w:div w:id="1758090544">
              <w:marLeft w:val="0"/>
              <w:marRight w:val="0"/>
              <w:marTop w:val="0"/>
              <w:marBottom w:val="0"/>
              <w:divBdr>
                <w:top w:val="none" w:sz="0" w:space="0" w:color="auto"/>
                <w:left w:val="none" w:sz="0" w:space="0" w:color="auto"/>
                <w:bottom w:val="none" w:sz="0" w:space="0" w:color="auto"/>
                <w:right w:val="none" w:sz="0" w:space="0" w:color="auto"/>
              </w:divBdr>
            </w:div>
          </w:divsChild>
        </w:div>
        <w:div w:id="234899507">
          <w:marLeft w:val="0"/>
          <w:marRight w:val="0"/>
          <w:marTop w:val="0"/>
          <w:marBottom w:val="0"/>
          <w:divBdr>
            <w:top w:val="none" w:sz="0" w:space="0" w:color="auto"/>
            <w:left w:val="none" w:sz="0" w:space="0" w:color="auto"/>
            <w:bottom w:val="none" w:sz="0" w:space="0" w:color="auto"/>
            <w:right w:val="none" w:sz="0" w:space="0" w:color="auto"/>
          </w:divBdr>
        </w:div>
        <w:div w:id="1468474463">
          <w:marLeft w:val="0"/>
          <w:marRight w:val="0"/>
          <w:marTop w:val="0"/>
          <w:marBottom w:val="0"/>
          <w:divBdr>
            <w:top w:val="none" w:sz="0" w:space="0" w:color="auto"/>
            <w:left w:val="none" w:sz="0" w:space="0" w:color="auto"/>
            <w:bottom w:val="none" w:sz="0" w:space="0" w:color="auto"/>
            <w:right w:val="none" w:sz="0" w:space="0" w:color="auto"/>
          </w:divBdr>
        </w:div>
        <w:div w:id="1351293424">
          <w:marLeft w:val="0"/>
          <w:marRight w:val="0"/>
          <w:marTop w:val="0"/>
          <w:marBottom w:val="0"/>
          <w:divBdr>
            <w:top w:val="none" w:sz="0" w:space="0" w:color="auto"/>
            <w:left w:val="none" w:sz="0" w:space="0" w:color="auto"/>
            <w:bottom w:val="none" w:sz="0" w:space="0" w:color="auto"/>
            <w:right w:val="none" w:sz="0" w:space="0" w:color="auto"/>
          </w:divBdr>
        </w:div>
        <w:div w:id="503938779">
          <w:marLeft w:val="0"/>
          <w:marRight w:val="0"/>
          <w:marTop w:val="0"/>
          <w:marBottom w:val="0"/>
          <w:divBdr>
            <w:top w:val="none" w:sz="0" w:space="0" w:color="auto"/>
            <w:left w:val="none" w:sz="0" w:space="0" w:color="auto"/>
            <w:bottom w:val="none" w:sz="0" w:space="0" w:color="auto"/>
            <w:right w:val="none" w:sz="0" w:space="0" w:color="auto"/>
          </w:divBdr>
        </w:div>
        <w:div w:id="1356812354">
          <w:marLeft w:val="0"/>
          <w:marRight w:val="0"/>
          <w:marTop w:val="0"/>
          <w:marBottom w:val="0"/>
          <w:divBdr>
            <w:top w:val="none" w:sz="0" w:space="0" w:color="auto"/>
            <w:left w:val="none" w:sz="0" w:space="0" w:color="auto"/>
            <w:bottom w:val="none" w:sz="0" w:space="0" w:color="auto"/>
            <w:right w:val="none" w:sz="0" w:space="0" w:color="auto"/>
          </w:divBdr>
        </w:div>
        <w:div w:id="145561354">
          <w:marLeft w:val="0"/>
          <w:marRight w:val="0"/>
          <w:marTop w:val="0"/>
          <w:marBottom w:val="0"/>
          <w:divBdr>
            <w:top w:val="none" w:sz="0" w:space="0" w:color="auto"/>
            <w:left w:val="none" w:sz="0" w:space="0" w:color="auto"/>
            <w:bottom w:val="none" w:sz="0" w:space="0" w:color="auto"/>
            <w:right w:val="none" w:sz="0" w:space="0" w:color="auto"/>
          </w:divBdr>
        </w:div>
        <w:div w:id="1939168240">
          <w:marLeft w:val="0"/>
          <w:marRight w:val="0"/>
          <w:marTop w:val="0"/>
          <w:marBottom w:val="0"/>
          <w:divBdr>
            <w:top w:val="none" w:sz="0" w:space="0" w:color="auto"/>
            <w:left w:val="none" w:sz="0" w:space="0" w:color="auto"/>
            <w:bottom w:val="none" w:sz="0" w:space="0" w:color="auto"/>
            <w:right w:val="none" w:sz="0" w:space="0" w:color="auto"/>
          </w:divBdr>
        </w:div>
        <w:div w:id="476921241">
          <w:marLeft w:val="0"/>
          <w:marRight w:val="0"/>
          <w:marTop w:val="0"/>
          <w:marBottom w:val="0"/>
          <w:divBdr>
            <w:top w:val="none" w:sz="0" w:space="0" w:color="auto"/>
            <w:left w:val="none" w:sz="0" w:space="0" w:color="auto"/>
            <w:bottom w:val="none" w:sz="0" w:space="0" w:color="auto"/>
            <w:right w:val="none" w:sz="0" w:space="0" w:color="auto"/>
          </w:divBdr>
        </w:div>
        <w:div w:id="547382388">
          <w:marLeft w:val="0"/>
          <w:marRight w:val="0"/>
          <w:marTop w:val="0"/>
          <w:marBottom w:val="0"/>
          <w:divBdr>
            <w:top w:val="none" w:sz="0" w:space="0" w:color="auto"/>
            <w:left w:val="none" w:sz="0" w:space="0" w:color="auto"/>
            <w:bottom w:val="none" w:sz="0" w:space="0" w:color="auto"/>
            <w:right w:val="none" w:sz="0" w:space="0" w:color="auto"/>
          </w:divBdr>
        </w:div>
      </w:divsChild>
    </w:div>
    <w:div w:id="1642734380">
      <w:bodyDiv w:val="1"/>
      <w:marLeft w:val="0"/>
      <w:marRight w:val="0"/>
      <w:marTop w:val="0"/>
      <w:marBottom w:val="0"/>
      <w:divBdr>
        <w:top w:val="none" w:sz="0" w:space="0" w:color="auto"/>
        <w:left w:val="none" w:sz="0" w:space="0" w:color="auto"/>
        <w:bottom w:val="none" w:sz="0" w:space="0" w:color="auto"/>
        <w:right w:val="none" w:sz="0" w:space="0" w:color="auto"/>
      </w:divBdr>
    </w:div>
    <w:div w:id="1764184305">
      <w:bodyDiv w:val="1"/>
      <w:marLeft w:val="0"/>
      <w:marRight w:val="0"/>
      <w:marTop w:val="0"/>
      <w:marBottom w:val="0"/>
      <w:divBdr>
        <w:top w:val="none" w:sz="0" w:space="0" w:color="auto"/>
        <w:left w:val="none" w:sz="0" w:space="0" w:color="auto"/>
        <w:bottom w:val="none" w:sz="0" w:space="0" w:color="auto"/>
        <w:right w:val="none" w:sz="0" w:space="0" w:color="auto"/>
      </w:divBdr>
    </w:div>
    <w:div w:id="1780295031">
      <w:bodyDiv w:val="1"/>
      <w:marLeft w:val="0"/>
      <w:marRight w:val="0"/>
      <w:marTop w:val="0"/>
      <w:marBottom w:val="0"/>
      <w:divBdr>
        <w:top w:val="none" w:sz="0" w:space="0" w:color="auto"/>
        <w:left w:val="none" w:sz="0" w:space="0" w:color="auto"/>
        <w:bottom w:val="none" w:sz="0" w:space="0" w:color="auto"/>
        <w:right w:val="none" w:sz="0" w:space="0" w:color="auto"/>
      </w:divBdr>
    </w:div>
    <w:div w:id="1809085212">
      <w:bodyDiv w:val="1"/>
      <w:marLeft w:val="0"/>
      <w:marRight w:val="0"/>
      <w:marTop w:val="0"/>
      <w:marBottom w:val="0"/>
      <w:divBdr>
        <w:top w:val="none" w:sz="0" w:space="0" w:color="auto"/>
        <w:left w:val="none" w:sz="0" w:space="0" w:color="auto"/>
        <w:bottom w:val="none" w:sz="0" w:space="0" w:color="auto"/>
        <w:right w:val="none" w:sz="0" w:space="0" w:color="auto"/>
      </w:divBdr>
    </w:div>
    <w:div w:id="1836992195">
      <w:bodyDiv w:val="1"/>
      <w:marLeft w:val="0"/>
      <w:marRight w:val="0"/>
      <w:marTop w:val="0"/>
      <w:marBottom w:val="0"/>
      <w:divBdr>
        <w:top w:val="none" w:sz="0" w:space="0" w:color="auto"/>
        <w:left w:val="none" w:sz="0" w:space="0" w:color="auto"/>
        <w:bottom w:val="none" w:sz="0" w:space="0" w:color="auto"/>
        <w:right w:val="none" w:sz="0" w:space="0" w:color="auto"/>
      </w:divBdr>
    </w:div>
    <w:div w:id="1922249420">
      <w:bodyDiv w:val="1"/>
      <w:marLeft w:val="0"/>
      <w:marRight w:val="0"/>
      <w:marTop w:val="0"/>
      <w:marBottom w:val="0"/>
      <w:divBdr>
        <w:top w:val="none" w:sz="0" w:space="0" w:color="auto"/>
        <w:left w:val="none" w:sz="0" w:space="0" w:color="auto"/>
        <w:bottom w:val="none" w:sz="0" w:space="0" w:color="auto"/>
        <w:right w:val="none" w:sz="0" w:space="0" w:color="auto"/>
      </w:divBdr>
    </w:div>
    <w:div w:id="1985426092">
      <w:bodyDiv w:val="1"/>
      <w:marLeft w:val="0"/>
      <w:marRight w:val="0"/>
      <w:marTop w:val="0"/>
      <w:marBottom w:val="0"/>
      <w:divBdr>
        <w:top w:val="none" w:sz="0" w:space="0" w:color="auto"/>
        <w:left w:val="none" w:sz="0" w:space="0" w:color="auto"/>
        <w:bottom w:val="none" w:sz="0" w:space="0" w:color="auto"/>
        <w:right w:val="none" w:sz="0" w:space="0" w:color="auto"/>
      </w:divBdr>
    </w:div>
    <w:div w:id="1987276448">
      <w:bodyDiv w:val="1"/>
      <w:marLeft w:val="0"/>
      <w:marRight w:val="0"/>
      <w:marTop w:val="0"/>
      <w:marBottom w:val="0"/>
      <w:divBdr>
        <w:top w:val="none" w:sz="0" w:space="0" w:color="auto"/>
        <w:left w:val="none" w:sz="0" w:space="0" w:color="auto"/>
        <w:bottom w:val="none" w:sz="0" w:space="0" w:color="auto"/>
        <w:right w:val="none" w:sz="0" w:space="0" w:color="auto"/>
      </w:divBdr>
    </w:div>
    <w:div w:id="1990163849">
      <w:bodyDiv w:val="1"/>
      <w:marLeft w:val="0"/>
      <w:marRight w:val="0"/>
      <w:marTop w:val="0"/>
      <w:marBottom w:val="0"/>
      <w:divBdr>
        <w:top w:val="none" w:sz="0" w:space="0" w:color="auto"/>
        <w:left w:val="none" w:sz="0" w:space="0" w:color="auto"/>
        <w:bottom w:val="none" w:sz="0" w:space="0" w:color="auto"/>
        <w:right w:val="none" w:sz="0" w:space="0" w:color="auto"/>
      </w:divBdr>
    </w:div>
    <w:div w:id="1996032939">
      <w:bodyDiv w:val="1"/>
      <w:marLeft w:val="0"/>
      <w:marRight w:val="0"/>
      <w:marTop w:val="0"/>
      <w:marBottom w:val="0"/>
      <w:divBdr>
        <w:top w:val="none" w:sz="0" w:space="0" w:color="auto"/>
        <w:left w:val="none" w:sz="0" w:space="0" w:color="auto"/>
        <w:bottom w:val="none" w:sz="0" w:space="0" w:color="auto"/>
        <w:right w:val="none" w:sz="0" w:space="0" w:color="auto"/>
      </w:divBdr>
    </w:div>
    <w:div w:id="2010014031">
      <w:bodyDiv w:val="1"/>
      <w:marLeft w:val="0"/>
      <w:marRight w:val="0"/>
      <w:marTop w:val="0"/>
      <w:marBottom w:val="0"/>
      <w:divBdr>
        <w:top w:val="none" w:sz="0" w:space="0" w:color="auto"/>
        <w:left w:val="none" w:sz="0" w:space="0" w:color="auto"/>
        <w:bottom w:val="none" w:sz="0" w:space="0" w:color="auto"/>
        <w:right w:val="none" w:sz="0" w:space="0" w:color="auto"/>
      </w:divBdr>
    </w:div>
    <w:div w:id="211893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asean.org"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dfat.gov.au/about-us/publications/dfat-design-monitoring-evaluation-learning-standards" TargetMode="Externa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sean.org/wp-content/uploads/2023/08/4-SOMTC-WP-TC-2022-2024.pdf" TargetMode="External"/><Relationship Id="rId13" Type="http://schemas.openxmlformats.org/officeDocument/2006/relationships/hyperlink" Target="https://www.homeaffairs.gov.au/nat-security/files/strategy-transnational-serious-organised-crime.pdf" TargetMode="External"/><Relationship Id="rId18" Type="http://schemas.openxmlformats.org/officeDocument/2006/relationships/hyperlink" Target="https://aseanregionalforum.asean.org/wp-content/uploads/2022/09/ARF-Inclusivity-Framework-FINAL.pdf" TargetMode="External"/><Relationship Id="rId3" Type="http://schemas.openxmlformats.org/officeDocument/2006/relationships/hyperlink" Target="https://asean.org/our-communities/asean-political-security-community/peaceful-secure-and-stable-region/maritime-security/" TargetMode="External"/><Relationship Id="rId21" Type="http://schemas.openxmlformats.org/officeDocument/2006/relationships/hyperlink" Target="https://www.uow.edu.au/ancors/" TargetMode="External"/><Relationship Id="rId7" Type="http://schemas.openxmlformats.org/officeDocument/2006/relationships/hyperlink" Target="https://asean.org/wp-content/uploads/2021/01/ASEAN-Plan-of-Action-in-Combating-TC_Adopted-by-11th-AMMTC-on-20Sept17.pdf" TargetMode="External"/><Relationship Id="rId12" Type="http://schemas.openxmlformats.org/officeDocument/2006/relationships/hyperlink" Target="https://asean.org/wp-content/uploads/2021/03/APSC_BluePrint.pdf" TargetMode="External"/><Relationship Id="rId17" Type="http://schemas.openxmlformats.org/officeDocument/2006/relationships/hyperlink" Target="https://asean.org/asean-regional-plan-of-action-on-women-peace-and-security/" TargetMode="External"/><Relationship Id="rId2" Type="http://schemas.openxmlformats.org/officeDocument/2006/relationships/hyperlink" Target="https://asean.org/wp-content/uploads/2022/02/01-ASEAN-Cybersecurity-Cooperation-Paper-2021-2025_final-23-0122.pdf" TargetMode="External"/><Relationship Id="rId16" Type="http://schemas.openxmlformats.org/officeDocument/2006/relationships/hyperlink" Target="https://www.homeaffairs.gov.au/about-us/our-portfolios/national-security/civil-maritime-security" TargetMode="External"/><Relationship Id="rId20" Type="http://schemas.openxmlformats.org/officeDocument/2006/relationships/hyperlink" Target="https://asean.mission.gov.au/aesn/CSP.html" TargetMode="External"/><Relationship Id="rId1" Type="http://schemas.openxmlformats.org/officeDocument/2006/relationships/hyperlink" Target="https://www.dfat.gov.au/about-us/publications/dfat-design-monitoring-evaluation-learning-standards" TargetMode="External"/><Relationship Id="rId6" Type="http://schemas.openxmlformats.org/officeDocument/2006/relationships/hyperlink" Target="https://www.un.org/depts/los/convention_agreements/texts/unclos/unclos_e.pdf" TargetMode="External"/><Relationship Id="rId11" Type="http://schemas.openxmlformats.org/officeDocument/2006/relationships/hyperlink" Target="https://asean.org/book/asean-document-series-on-transnational-crime-terrorism-and-violent-extremism-drugs-cybercrime-and-trafficking-in-persons/" TargetMode="External"/><Relationship Id="rId5" Type="http://schemas.openxmlformats.org/officeDocument/2006/relationships/hyperlink" Target="https://aseanregionalforum.asean.org/wp-content/uploads/2023/11/ARF-Workplan-on-Maritime-Security-Final.pdf" TargetMode="External"/><Relationship Id="rId15" Type="http://schemas.openxmlformats.org/officeDocument/2006/relationships/hyperlink" Target="https://aseanregionalforum.asean.org/wp-content/uploads/2023/11/ARF-Workplan-on-Maritime-Security-Final.pdf" TargetMode="External"/><Relationship Id="rId10" Type="http://schemas.openxmlformats.org/officeDocument/2006/relationships/hyperlink" Target="https://www.aspi.org.au/report/un-norms-responsible-state-behaviour-cyberspace" TargetMode="External"/><Relationship Id="rId19" Type="http://schemas.openxmlformats.org/officeDocument/2006/relationships/hyperlink" Target="https://www.dfat.gov.au/publications/second-australian-national-action-plan-on-women-peace-and-security-2021-2031" TargetMode="External"/><Relationship Id="rId4" Type="http://schemas.openxmlformats.org/officeDocument/2006/relationships/hyperlink" Target="https://aseanregionalforum.asean.org/about-arf/" TargetMode="External"/><Relationship Id="rId9" Type="http://schemas.openxmlformats.org/officeDocument/2006/relationships/hyperlink" Target="https://asean.org/wp-content/uploads/2021/01/8.-ADOPTION_Joint-Statement-on-Promoting-Women-Peace-and-Security-in-ASEANACWC-Endorsed_rev2.pdf" TargetMode="External"/><Relationship Id="rId14" Type="http://schemas.openxmlformats.org/officeDocument/2006/relationships/hyperlink" Target="https://asean.org/wp-content/uploads/2021/01/ASEAN-Outlook-on-the-Indo-Pacific_FINAL_22062019.pdf" TargetMode="External"/><Relationship Id="rId22" Type="http://schemas.openxmlformats.org/officeDocument/2006/relationships/hyperlink" Target="https://www.csiro.au/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ppData\Roaming\Microsoft\Templates\Report%20design%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1017 Demerius Street, Durham NC, 27701, USA; m.steinmeyer@gmx.net</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deB10</b:Tag>
    <b:SourceType>BookSection</b:SourceType>
    <b:Guid>{7C14D6D6-159A-4D9E-BF4D-AEC639B44CC9}</b:Guid>
    <b:Title>The economics of public private partnerships: some theoretical contributions</b:Title>
    <b:Year>2010</b:Year>
    <b:Publisher>Edward Elgar Publishing</b:Publisher>
    <b:BookTitle>International Handbook on Public-Private Partnerships</b:BookTitle>
    <b:Pages>651</b:Pages>
    <b:Author>
      <b:Author>
        <b:NameList>
          <b:Person>
            <b:Last>de Bettignies</b:Last>
            <b:First>Jean-Etienne</b:First>
          </b:Person>
          <b:Person>
            <b:Last>Ross</b:Last>
            <b:Middle>Thomas</b:Middle>
            <b:First>W.</b:First>
          </b:Person>
        </b:NameList>
      </b:Author>
      <b:BookAuthor>
        <b:NameList>
          <b:Person>
            <b:Last>Hodge</b:Last>
            <b:First>A.</b:First>
            <b:Middle>Graeme</b:Middle>
          </b:Person>
          <b:Person>
            <b:Last>Carsten</b:Last>
            <b:First>Greve</b:First>
          </b:Person>
          <b:Person>
            <b:Last>Boardman</b:Last>
          </b:Person>
          <b:Person>
            <b:Last>E.</b:Last>
            <b:First>Anthony</b:First>
          </b:Person>
        </b:NameList>
      </b:BookAuthor>
    </b:Author>
    <b:RefOrder>1</b:RefOrder>
  </b:Source>
  <b:Source>
    <b:Tag>IDL12</b:Tag>
    <b:SourceType>Book</b:SourceType>
    <b:Guid>{E606943C-FC85-4F1C-B690-2D81D4F621CC}</b:Guid>
    <b:Author>
      <b:Author>
        <b:Corporate>IDLO</b:Corporate>
      </b:Author>
    </b:Author>
    <b:Title>IDLO - Creating a Culture of Justice Strategic Plan 2013 - 2016</b:Title>
    <b:Year>2012</b:Year>
    <b:City>Rome</b:City>
    <b:RefOrder>1</b:RefOrder>
  </b:Source>
  <b:Source>
    <b:Tag>IDL11</b:Tag>
    <b:SourceType>Report</b:SourceType>
    <b:Guid>{E4332E65-76C0-4F03-8783-BA4CBE7B5513}</b:Guid>
    <b:Title>Application Form - Enhancing the Capacity of the Judiciary of South Sudan</b:Title>
    <b:Year>2011</b:Year>
    <b:City>Rome</b:City>
    <b:Publisher>IDLO</b:Publisher>
    <b:Author>
      <b:Author>
        <b:Corporate>IDLO</b:Corporate>
      </b:Author>
    </b:Author>
    <b:RefOrder>2</b:RefOrder>
  </b:Source>
  <b:Source>
    <b:Tag>Eur11</b:Tag>
    <b:SourceType>Report</b:SourceType>
    <b:Guid>{108F010F-613D-4283-B8A8-AB190050C832}</b:Guid>
    <b:Author>
      <b:Author>
        <b:Corporate>European Union</b:Corporate>
      </b:Author>
    </b:Author>
    <b:Title>Grant Contract - External Actions of the European Union FED/2012/307-871</b:Title>
    <b:Year>2011</b:Year>
    <b:Publisher>European Union</b:Publisher>
    <b:City>Brussels / Juba</b:City>
    <b:RefOrder>3</b:RefOrder>
  </b:Source>
  <b:Source>
    <b:Tag>Eur14</b:Tag>
    <b:SourceType>Report</b:SourceType>
    <b:Guid>{A1179986-DE74-4F70-BCD5-E348A962B5FD}</b:Guid>
    <b:Author>
      <b:Author>
        <b:Corporate>European Union Delegation to South Sudan</b:Corporate>
      </b:Author>
    </b:Author>
    <b:Title>Letter anouncing the suspension of grant contract "Enhancing the Capacity of the Judiciary of South Sudan"</b:Title>
    <b:Year>2014</b:Year>
    <b:Publisher>European Union</b:Publisher>
    <b:City>Juba, South Sudan</b:City>
    <b:RefOrder>4</b:RefOrder>
  </b:Source>
  <b:Source>
    <b:Tag>IDL14</b:Tag>
    <b:SourceType>Report</b:SourceType>
    <b:Guid>{B43AD8BB-045D-477B-81B5-C801CA4937C2}</b:Guid>
    <b:Author>
      <b:Author>
        <b:Corporate>IDLO - Country Director</b:Corporate>
      </b:Author>
    </b:Author>
    <b:Title>Reponse to EU Delegation / Ambassador on Suspension of Grant Contract FED/2012/307-914 and FED/2012/307-871</b:Title>
    <b:Year>2014</b:Year>
    <b:Publisher>IDLO</b:Publisher>
    <b:City>Juba, South Sudan</b:City>
    <b:RefOrder>5</b:RefOrder>
  </b:Source>
  <b:Source>
    <b:Tag>EUD14</b:Tag>
    <b:SourceType>Report</b:SourceType>
    <b:Guid>{8549E712-97EC-4FD1-912E-A74BF1B0F7D8}</b:Guid>
    <b:Author>
      <b:Author>
        <b:Corporate>EU Delegation South Sudan - Ambassador</b:Corporate>
      </b:Author>
    </b:Author>
    <b:Title>Letter announcing lifting of suspension of Grant Contract</b:Title>
    <b:Year>2014</b:Year>
    <b:Publisher>EU Delegation to South Sudan</b:Publisher>
    <b:City>Juba, South Sudan</b:City>
    <b:RefOrder>6</b:RefOrder>
  </b:Source>
  <b:Source>
    <b:Tag>IDL141</b:Tag>
    <b:SourceType>Report</b:SourceType>
    <b:Guid>{F165BF07-283D-487F-99F9-D1DB97A18E75}</b:Guid>
    <b:Author>
      <b:Author>
        <b:Corporate>IDLO Country Director</b:Corporate>
      </b:Author>
    </b:Author>
    <b:Title>Letter to EU Delegation - Request for Amendment of Contract</b:Title>
    <b:Year>2014</b:Year>
    <b:Publisher>IDLO</b:Publisher>
    <b:City>Juba, South Sudan</b:City>
    <b:RefOrder>7</b:RefOrder>
  </b:Source>
  <b:Source>
    <b:Tag>IDL142</b:Tag>
    <b:SourceType>Report</b:SourceType>
    <b:Guid>{2D03D6A5-77B0-46A1-A90B-C8EAABAE67A3}</b:Guid>
    <b:Author>
      <b:Author>
        <b:Corporate>IDLO South Sudan</b:Corporate>
      </b:Author>
    </b:Author>
    <b:Title>Justification for Amendments to the Project "Enhancing the Capacity of the Judiciary of South Sudan" (FED/2012/307-871)</b:Title>
    <b:Year>2014</b:Year>
    <b:Publisher>IDLO South Sudan</b:Publisher>
    <b:City>Juba, South Sudan</b:City>
    <b:RefOrder>8</b:RefOrder>
  </b:Source>
  <b:Source>
    <b:Tag>IDL143</b:Tag>
    <b:SourceType>Report</b:SourceType>
    <b:Guid>{769086EB-8ADB-4E4A-B931-9F41B52F5D21}</b:Guid>
    <b:Author>
      <b:Author>
        <b:Corporate>IDLO South Sudan</b:Corporate>
      </b:Author>
    </b:Author>
    <b:Title>Amendment of Application Form "Enhancing the Capacity of the Judiciary of South Sudan"</b:Title>
    <b:Year>2014</b:Year>
    <b:Publisher>IDLO</b:Publisher>
    <b:RefOrder>9</b:RefOrder>
  </b:Source>
  <b:Source>
    <b:Tag>Eur141</b:Tag>
    <b:SourceType>Report</b:SourceType>
    <b:Guid>{B0C4CB5E-27BF-4783-B934-01C856E9673A}</b:Guid>
    <b:Author>
      <b:Author>
        <b:Corporate>European Union</b:Corporate>
      </b:Author>
    </b:Author>
    <b:Title>Addendum No. 1 to Grant Contract No. FED/2012/307-871</b:Title>
    <b:Year>2014</b:Year>
    <b:Publisher>European Union</b:Publisher>
    <b:City>Juba, South Sudan</b:City>
    <b:RefOrder>10</b:RefOrder>
  </b:Source>
  <b:Source>
    <b:Tag>IDL144</b:Tag>
    <b:SourceType>Report</b:SourceType>
    <b:Guid>{7E4E68AD-FF7A-4C2C-A223-38DDF4B3B523}</b:Guid>
    <b:Author>
      <b:Author>
        <b:Corporate>IDLO South Sudan</b:Corporate>
      </b:Author>
    </b:Author>
    <b:Title>IDLO Quarterly Report - Enhancing the Capacity of the Judiciary of South Sudan; January - March 2014</b:Title>
    <b:Year>2014</b:Year>
    <b:Publisher>IDLO</b:Publisher>
    <b:City>Juba, South Sudan</b:City>
    <b:RefOrder>11</b:RefOrder>
  </b:Source>
  <b:Source>
    <b:Tag>IDL145</b:Tag>
    <b:SourceType>Report</b:SourceType>
    <b:Guid>{96BCEA5A-AFCE-49E0-BDFA-CEB76C441F7D}</b:Guid>
    <b:Author>
      <b:Author>
        <b:Corporate>IDLO South Sudan</b:Corporate>
      </b:Author>
    </b:Author>
    <b:Title>IDLO Quarterly Report - Enhancing the Capacity of the Judiciary of South Sudan; April - June 2014</b:Title>
    <b:Year>2014</b:Year>
    <b:Publisher>IDLO</b:Publisher>
    <b:City>Juba, South Sudan</b:City>
    <b:RefOrder>12</b:RefOrder>
  </b:Source>
  <b:Source>
    <b:Tag>IDL146</b:Tag>
    <b:SourceType>Report</b:SourceType>
    <b:Guid>{69513ABB-2685-4046-B18B-C27802E0E653}</b:Guid>
    <b:Author>
      <b:Author>
        <b:Corporate>IDLO South Sudan</b:Corporate>
      </b:Author>
    </b:Author>
    <b:Title>Interim Narrative Report - Enhancing the Capacity of JOSS</b:Title>
    <b:Year>2014</b:Year>
    <b:Publisher>IDLO</b:Publisher>
    <b:City>Juba, South Sudan</b:City>
    <b:RefOrder>13</b:RefOrder>
  </b:Source>
  <b:Source>
    <b:Tag>IDL147</b:Tag>
    <b:SourceType>Report</b:SourceType>
    <b:Guid>{D029E712-92E2-4E00-8E59-C9852EC91556}</b:Guid>
    <b:Author>
      <b:Author>
        <b:Corporate>IDLO South Sudan</b:Corporate>
      </b:Author>
    </b:Author>
    <b:Title>IDLO Quarterly Report - Enhancing the Capacity of the Judiciary of South Sudan, July - September 2014</b:Title>
    <b:Year>2014</b:Year>
    <b:Publisher>IDLO</b:Publisher>
    <b:City>Juba, South Sudan</b:City>
    <b:RefOrder>14</b:RefOrder>
  </b:Source>
  <b:Source>
    <b:Tag>IDL148</b:Tag>
    <b:SourceType>Report</b:SourceType>
    <b:Guid>{D095A4AD-619A-44D7-95D6-9037D33F3562}</b:Guid>
    <b:Author>
      <b:Author>
        <b:Corporate>IDLO South Sudan</b:Corporate>
      </b:Author>
    </b:Author>
    <b:Title>IDLO Quarterly Report - Enhancing the Capacity of the Judiciary of South Sudan; October - December 2014</b:Title>
    <b:Year>2014</b:Year>
    <b:Publisher>IDLO</b:Publisher>
    <b:City>Juba, South Sudan</b:City>
    <b:RefOrder>15</b:RefOrder>
  </b:Source>
  <b:Source>
    <b:Tag>IDL13</b:Tag>
    <b:SourceType>Report</b:SourceType>
    <b:Guid>{C3C6F233-F182-4C81-846D-40866460E9B9}</b:Guid>
    <b:Author>
      <b:Author>
        <b:Corporate>IDLO</b:Corporate>
      </b:Author>
    </b:Author>
    <b:Title>Training Evaluation Report - Summary of Course Results: JOSS Support Staff Training on English and Function Specific Subjects (Course Dates: 11/11/2013 - 12/13/2013)</b:Title>
    <b:Year>2013</b:Year>
    <b:Publisher>IDLO</b:Publisher>
    <b:City>Juba</b:City>
    <b:RefOrder>16</b:RefOrder>
  </b:Source>
  <b:Source>
    <b:Tag>IDL149</b:Tag>
    <b:SourceType>Report</b:SourceType>
    <b:Guid>{988DC73C-CEF7-48D3-B421-8FC9AAD0C0C4}</b:Guid>
    <b:Author>
      <b:Author>
        <b:Corporate>IDLO</b:Corporate>
      </b:Author>
    </b:Author>
    <b:Title>Training Evaluation Report - Summary of Course Results: JOSS - 11 Weeks Judidicial Assistants' Training on Procedural Law and English language (Course Dates 7/28/2014 - 10/10/2014)</b:Title>
    <b:Year>2014</b:Year>
    <b:Publisher>IDLO</b:Publisher>
    <b:City>Juba</b:City>
    <b:RefOrder>17</b:RefOrder>
  </b:Source>
  <b:Source>
    <b:Tag>IDL1410</b:Tag>
    <b:SourceType>Report</b:SourceType>
    <b:Guid>{8193A983-A739-431C-BBF7-55B04FA159FA}</b:Guid>
    <b:Author>
      <b:Author>
        <b:Corporate>IDLO</b:Corporate>
      </b:Author>
    </b:Author>
    <b:Title>Training Evaluation Report - Summary of Course Results: JOSS - 4 Weeks Judicial Support Staff Training on Function Specific Subjects and English language (Course Dates 8/18/2014 - 9/12/2014)</b:Title>
    <b:Year>2014</b:Year>
    <b:Publisher>IDLO</b:Publisher>
    <b:City>Juba</b:City>
    <b:RefOrder>18</b:RefOrder>
  </b:Source>
  <b:Source>
    <b:Tag>IDL1411</b:Tag>
    <b:SourceType>Report</b:SourceType>
    <b:Guid>{35FEF0C1-11F0-46AF-8104-55C7FC9C56CE}</b:Guid>
    <b:Author>
      <b:Author>
        <b:Corporate>IDLO</b:Corporate>
      </b:Author>
    </b:Author>
    <b:Title>Training Evaluation Report - Summary of Course Results: JOSS 4 week training Judicial Support Staff (2nd Round) on function specific subjects and English (Course dates: 10/13/2014 - 11/7/2014)</b:Title>
    <b:Year>2014</b:Year>
    <b:Publisher>IDLO</b:Publisher>
    <b:City>Juba</b:City>
    <b:RefOrder>19</b:RefOrder>
  </b:Source>
  <b:Source>
    <b:Tag>Ame14</b:Tag>
    <b:SourceType>Report</b:SourceType>
    <b:Guid>{42BBD17E-496C-453B-B3B3-2E99F23D0CEC}</b:Guid>
    <b:Author>
      <b:Author>
        <b:Corporate>American Bar Association - Rule of Law Initiative</b:Corporate>
      </b:Author>
    </b:Author>
    <b:Title>Assessment of Justice, Accountability and Reconciliation Measures in South Sudan</b:Title>
    <b:Year>2014</b:Year>
    <b:Publisher>ABA</b:Publisher>
    <b:RefOrder>20</b:RefOrder>
  </b:Source>
  <b:Source>
    <b:Tag>Cli14</b:Tag>
    <b:SourceType>Report</b:SourceType>
    <b:Guid>{CF530359-5221-4458-A100-A0F04142B424}</b:Guid>
    <b:Author>
      <b:Author>
        <b:Corporate>Clingendael - Netherlands Institute of International Relations</b:Corporate>
      </b:Author>
    </b:Author>
    <b:Title>South Sudan - From Fragility at Independence to a Crisis of Sovereignity</b:Title>
    <b:Year>2014</b:Year>
    <b:Publisher>Clingendael Institute, Conflict Research Unit</b:Publisher>
    <b:RefOrder>21</b:RefOrder>
  </b:Source>
  <b:Source>
    <b:Tag>Hum14</b:Tag>
    <b:SourceType>Report</b:SourceType>
    <b:Guid>{330D3AE9-6A1A-40E0-A4F5-81DFD965BFF3}</b:Guid>
    <b:Author>
      <b:Author>
        <b:Corporate>Human Rights Watch</b:Corporate>
      </b:Author>
    </b:Author>
    <b:Title>Ending the Era of Injustice - Advancing Prosecutions fo Serious Crimes Committed in South Sudan</b:Title>
    <b:Year>2014</b:Year>
    <b:Publisher>Human Rights Watch</b:Publisher>
    <b:RefOrder>22</b:RefOrder>
  </b:Source>
  <b:Source>
    <b:Tag>Int14</b:Tag>
    <b:SourceType>Report</b:SourceType>
    <b:Guid>{B764D0D6-E43D-4295-B28D-BEEFE23E5BCA}</b:Guid>
    <b:Author>
      <b:Author>
        <b:Corporate>International Crisis Group</b:Corporate>
      </b:Author>
    </b:Author>
    <b:Title>South Sudan: A civil war by any other name</b:Title>
    <b:Year>2014</b:Year>
    <b:Publisher>ICG</b:Publisher>
    <b:RefOrder>23</b:RefOrder>
  </b:Source>
  <b:Source>
    <b:Tag>IDL1412</b:Tag>
    <b:SourceType>Report</b:SourceType>
    <b:Guid>{1E4E7578-BEEF-476A-BFD0-E0CFF7BCACFC}</b:Guid>
    <b:Author>
      <b:Author>
        <b:Corporate>IDLO South Sudan</b:Corporate>
      </b:Author>
    </b:Author>
    <b:Title>Rule of Law Programming in South Sudan - Risk Analysis</b:Title>
    <b:Year>2014</b:Year>
    <b:Publisher>IDLO</b:Publisher>
    <b:City>Juba, South Sudan</b:City>
    <b:RefOrder>24</b:RefOrder>
  </b:Source>
  <b:Source>
    <b:Tag>Eur111</b:Tag>
    <b:SourceType>Report</b:SourceType>
    <b:Guid>{21CBB3CA-AA97-4260-AA00-A66D2A3AB635}</b:Guid>
    <b:Author>
      <b:Author>
        <b:Corporate>European Union</b:Corporate>
      </b:Author>
    </b:Author>
    <b:Title>EU Single Country Strategy (Response Strategy) for South Sudan 2011 - 2013</b:Title>
    <b:Year>2011</b:Year>
    <b:Publisher>EU</b:Publisher>
    <b:RefOrder>25</b:RefOrder>
  </b:Source>
  <b:Source>
    <b:Tag>Gov10</b:Tag>
    <b:SourceType>Report</b:SourceType>
    <b:Guid>{288E29C3-8F43-4E37-9F79-211B2E5A3677}</b:Guid>
    <b:Author>
      <b:Author>
        <b:Corporate>Government of the Republic of South Sudan</b:Corporate>
      </b:Author>
    </b:Author>
    <b:Title>South Sudan Development Plan 2011 - 2013</b:Title>
    <b:Year>2010</b:Year>
    <b:Publisher>GoSS</b:Publisher>
    <b:City>Juba, South Sudan</b:City>
    <b:RefOrder>26</b:RefOrder>
  </b:Source>
  <b:Source>
    <b:Tag>Uni14</b:Tag>
    <b:SourceType>Report</b:SourceType>
    <b:Guid>{2933FAB5-8060-445E-B985-E9FA2964BBDD}</b:Guid>
    <b:Author>
      <b:Author>
        <b:Corporate>United Nations Mission in the Republic of South Sudan (UNMISS)</b:Corporate>
      </b:Author>
    </b:Author>
    <b:Title>Conflict in South Sudan - A Human Rights Report</b:Title>
    <b:Year>2014</b:Year>
    <b:Publisher>UNMISS</b:Publisher>
    <b:City>Juba, South Sudan</b:City>
    <b:RefOrder>27</b:RefOrder>
  </b:Source>
  <b:Source>
    <b:Tag>Jud12</b:Tag>
    <b:SourceType>Report</b:SourceType>
    <b:Guid>{8C276D3E-E87B-4D07-9633-2E27FBDB5F72}</b:Guid>
    <b:Author>
      <b:Author>
        <b:Corporate>Judiciary of South Sudan</b:Corporate>
      </b:Author>
    </b:Author>
    <b:Title>Capacity Building Strategic Plan</b:Title>
    <b:Year>2012</b:Year>
    <b:Publisher>JOSS</b:Publisher>
    <b:City>Juba, South Sudan</b:City>
    <b:RefOrder>28</b:RefOrder>
  </b:Source>
  <b:Source>
    <b:Tag>Jud121</b:Tag>
    <b:SourceType>Report</b:SourceType>
    <b:Guid>{4F533061-6C28-4CAD-9AE7-1410F2D58459}</b:Guid>
    <b:Author>
      <b:Author>
        <b:Corporate>Judiciary of South Sudan</b:Corporate>
      </b:Author>
    </b:Author>
    <b:Title>JOSS Capacity Building Action Plan</b:Title>
    <b:Year>2012</b:Year>
    <b:Publisher>JOSS</b:Publisher>
    <b:City>Juba, South Sudan</b:City>
    <b:RefOrder>29</b:RefOrder>
  </b:Source>
  <b:Source>
    <b:Tag>Jud14</b:Tag>
    <b:SourceType>Report</b:SourceType>
    <b:Guid>{0CEF8739-9F24-442C-A9E8-F39348ED826D}</b:Guid>
    <b:Author>
      <b:Author>
        <b:Corporate>Judiciary of South Sudan</b:Corporate>
      </b:Author>
    </b:Author>
    <b:Title>Minutes / Meeting Report - Meeting for the Rules Committee </b:Title>
    <b:Year>2014</b:Year>
    <b:Publisher>JOSS</b:Publisher>
    <b:RefOrder>30</b:RefOrder>
  </b:Source>
  <b:Source>
    <b:Tag>Int13</b:Tag>
    <b:SourceType>Report</b:SourceType>
    <b:Guid>{8CD34E00-1B35-4E17-A4E5-45AAE4624B76}</b:Guid>
    <b:Author>
      <b:Author>
        <b:Corporate>International Commission of Jurists (ICJ)</b:Corporate>
      </b:Author>
    </b:Author>
    <b:Title>South Sudan: An Independent Judiciary in an Independent State?</b:Title>
    <b:Year>2013</b:Year>
    <b:Publisher>ICJ</b:Publisher>
    <b:City>Geneva, Switzerland</b:City>
    <b:RefOrder>31</b:RefOrder>
  </b:Source>
  <b:Source>
    <b:Tag>IDL131</b:Tag>
    <b:SourceType>Report</b:SourceType>
    <b:Guid>{A4713739-AF68-40E5-AEAC-8CDE03C0E1B2}</b:Guid>
    <b:Author>
      <b:Author>
        <b:Corporate>IDLO South Sudan</b:Corporate>
      </b:Author>
    </b:Author>
    <b:Title>Feasibility Assessment Report for Establishment of Legal Resource Centers in the ten High Courts of the Judiciary of South Sudan</b:Title>
    <b:Year>2013</b:Year>
    <b:Publisher>IDLO</b:Publisher>
    <b:City>Juba, South Sudan</b:City>
    <b:RefOrder>32</b:RefOrder>
  </b:Source>
  <b:Source>
    <b:Tag>Jud141</b:Tag>
    <b:SourceType>Report</b:SourceType>
    <b:Guid>{10177069-4D65-486B-9E16-EAA992CDFEEF}</b:Guid>
    <b:Author>
      <b:Author>
        <b:Corporate>Judicary of South Sudan</b:Corporate>
      </b:Author>
    </b:Author>
    <b:Title>Training Needs Analysis Procedures Handbook</b:Title>
    <b:Year>2014</b:Year>
    <b:Publisher>Judiciary of South Sudan (w. IDLO / EU support)</b:Publisher>
    <b:City>Juba, South Sudan</b:City>
    <b:RefOrder>33</b:RefOrder>
  </b:Source>
  <b:Source>
    <b:Tag>IDL1413</b:Tag>
    <b:SourceType>Report</b:SourceType>
    <b:Guid>{C4BBEA3D-1B16-48E4-96AA-A25B9C77A689}</b:Guid>
    <b:Author>
      <b:Author>
        <b:Corporate>IDLO South Sudan</b:Corporate>
      </b:Author>
    </b:Author>
    <b:Title>Report on the Development of a Code of Judicial Conduct for the Judiciary of South Sudan</b:Title>
    <b:Year>11/2014</b:Year>
    <b:Publisher>IDLO</b:Publisher>
    <b:City>Juba, South Sudan</b:City>
    <b:RefOrder>34</b:RefOrder>
  </b:Source>
  <b:Source>
    <b:Tag>IDL1414</b:Tag>
    <b:SourceType>Report</b:SourceType>
    <b:Guid>{844506EA-BB6A-46AE-A5C1-6FF3A552EADD}</b:Guid>
    <b:Author>
      <b:Author>
        <b:Corporate>IDLO South Sudan</b:Corporate>
      </b:Author>
    </b:Author>
    <b:Title>Report on proceedings and recommendations of the workshop on the establishment of a South Sudan Judicial Training Institute (JTI)</b:Title>
    <b:Year>12/2014</b:Year>
    <b:Publisher>IDLO</b:Publisher>
    <b:City>Juba, South Sudan</b:City>
    <b:RefOrder>35</b:RefOrder>
  </b:Source>
  <b:Source>
    <b:Tag>Alv13</b:Tag>
    <b:SourceType>Report</b:SourceType>
    <b:Guid>{571C1A25-3D16-4574-9E66-369D82FC1539}</b:Guid>
    <b:Author>
      <b:Author>
        <b:NameList>
          <b:Person>
            <b:Last>Valentin</b:Last>
            <b:First>Alvarez</b:First>
            <b:Middle>Tirapu</b:Middle>
          </b:Person>
        </b:NameList>
      </b:Author>
    </b:Author>
    <b:Title>Monitoring Report MR-146057.01^- Capacity Building for the Judiciary of South Sudan</b:Title>
    <b:Year>06/2013</b:Year>
    <b:Publisher>Europena Union</b:Publisher>
    <b:City>Brussels</b:City>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491816B4-7EEC-4B86-B5F2-A23F3E5C3810}">
  <ds:schemaRefs>
    <ds:schemaRef ds:uri="http://schemas.openxmlformats.org/officeDocument/2006/bibliography"/>
  </ds:schemaRefs>
</ds:datastoreItem>
</file>

<file path=docMetadata/LabelInfo.xml><?xml version="1.0" encoding="utf-8"?>
<clbl:labelList xmlns:clbl="http://schemas.microsoft.com/office/2020/mipLabelMetadata">
  <clbl:label id="{ea533a42-52d5-4c95-8236-ef8e332e1b09}" enabled="1" method="Standard" siteId="{ba456844-44ef-4bd8-8efe-beca529e0771}" removed="0"/>
</clbl:labelList>
</file>

<file path=docProps/app.xml><?xml version="1.0" encoding="utf-8"?>
<Properties xmlns="http://schemas.openxmlformats.org/officeDocument/2006/extended-properties" xmlns:vt="http://schemas.openxmlformats.org/officeDocument/2006/docPropsVTypes">
  <Template>Report design (blank)</Template>
  <TotalTime>1</TotalTime>
  <Pages>105</Pages>
  <Words>35326</Words>
  <Characters>219431</Characters>
  <Application>Microsoft Office Word</Application>
  <DocSecurity>0</DocSecurity>
  <Lines>4487</Lines>
  <Paragraphs>1947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Evaluation of the ASEAN-Australian Political Security Partnership
FINAL REPORT</vt:lpstr>
      <vt:lpstr>Evaluation of the ASEAN-Australian Political Security Partnership
INCEPTION REPORT</vt:lpstr>
    </vt:vector>
  </TitlesOfParts>
  <Company/>
  <LinksUpToDate>false</LinksUpToDate>
  <CharactersWithSpaces>253722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ASEAN-Australian Political Security Partnership
FINAL REPORT</dc:title>
  <dc:creator>Fei Fei, Olivia</dc:creator>
  <cp:keywords>[SEC=OFFICIAL]</cp:keywords>
  <dc:description/>
  <cp:lastModifiedBy>Olivia Fei Fei</cp:lastModifiedBy>
  <cp:revision>3</cp:revision>
  <cp:lastPrinted>2025-08-15T05:16:00Z</cp:lastPrinted>
  <dcterms:created xsi:type="dcterms:W3CDTF">2025-08-22T04:51:00Z</dcterms:created>
  <dcterms:modified xsi:type="dcterms:W3CDTF">2025-08-22T04:52:00Z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PM_Note">
    <vt:lpwstr/>
  </property>
  <property fmtid="{D5CDD505-2E9C-101B-9397-08002B2CF9AE}" pid="7" name="PMHMAC">
    <vt:lpwstr>v=2022.1;a=SHA256;h=945B307C9A9A65CD8D2A576A31E82F3C2D9A8F2AFB6AD7C72B1794F3A681CA77</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2024-09-06T04:25:19Z</vt:lpwstr>
  </property>
  <property fmtid="{D5CDD505-2E9C-101B-9397-08002B2CF9AE}" pid="12" name="PM_Markers">
    <vt:lpwstr/>
  </property>
  <property fmtid="{D5CDD505-2E9C-101B-9397-08002B2CF9AE}" pid="13" name="PM_InsertionValue">
    <vt:lpwstr>OFFICIAL</vt:lpwstr>
  </property>
  <property fmtid="{D5CDD505-2E9C-101B-9397-08002B2CF9AE}" pid="14" name="PM_Originator_Hash_SHA1">
    <vt:lpwstr>752F336D8F1D8540BD03F9957492CC22BDCE0F4A</vt:lpwstr>
  </property>
  <property fmtid="{D5CDD505-2E9C-101B-9397-08002B2CF9AE}" pid="15" name="PM_DisplayValueSecClassificationWithQualifier">
    <vt:lpwstr>OFFICIAL</vt:lpwstr>
  </property>
  <property fmtid="{D5CDD505-2E9C-101B-9397-08002B2CF9AE}" pid="16" name="PM_Originating_FileId">
    <vt:lpwstr>0079A5B3CE8A455387D5FF7E078AAA4D</vt:lpwstr>
  </property>
  <property fmtid="{D5CDD505-2E9C-101B-9397-08002B2CF9AE}" pid="17" name="PM_ProtectiveMarkingValue_Footer">
    <vt:lpwstr>OFFICIAL</vt:lpwstr>
  </property>
  <property fmtid="{D5CDD505-2E9C-101B-9397-08002B2CF9AE}" pid="18" name="PM_ProtectiveMarkingImage_Header">
    <vt:lpwstr>C:\Program Files\Common Files\janusNET Shared\janusSEAL\Images\DocumentSlashBlue.png</vt:lpwstr>
  </property>
  <property fmtid="{D5CDD505-2E9C-101B-9397-08002B2CF9AE}" pid="19" name="PM_ProtectiveMarkingImage_Footer">
    <vt:lpwstr>C:\Program Files\Common Files\janusNET Shared\janusSEAL\Images\DocumentSlashBlue.png</vt:lpwstr>
  </property>
  <property fmtid="{D5CDD505-2E9C-101B-9397-08002B2CF9AE}" pid="20" name="PM_Display">
    <vt:lpwstr>OFFICIAL</vt:lpwstr>
  </property>
  <property fmtid="{D5CDD505-2E9C-101B-9397-08002B2CF9AE}" pid="21" name="PM_OriginatorUserAccountName_SHA256">
    <vt:lpwstr>296AD994D3AAAD9708C7859047564662C3AE77B89124ACD11679CC0499558146</vt:lpwstr>
  </property>
  <property fmtid="{D5CDD505-2E9C-101B-9397-08002B2CF9AE}" pid="22" name="PM_OriginatorDomainName_SHA256">
    <vt:lpwstr>6F3591835F3B2A8A025B00B5BA6418010DA3A17C9C26EA9C049FFD28039489A2</vt:lpwstr>
  </property>
  <property fmtid="{D5CDD505-2E9C-101B-9397-08002B2CF9AE}" pid="23" name="PMUuid">
    <vt:lpwstr>v=2022.2;d=gov.au;g=46DD6D7C-8107-577B-BC6E-F348953B2E44</vt:lpwstr>
  </property>
  <property fmtid="{D5CDD505-2E9C-101B-9397-08002B2CF9AE}" pid="24" name="PM_Hash_Version">
    <vt:lpwstr>2022.1</vt:lpwstr>
  </property>
  <property fmtid="{D5CDD505-2E9C-101B-9397-08002B2CF9AE}" pid="25" name="PM_Hash_Salt_Prev">
    <vt:lpwstr>264A452F64C682BB920FE22B5BDD7B3C</vt:lpwstr>
  </property>
  <property fmtid="{D5CDD505-2E9C-101B-9397-08002B2CF9AE}" pid="26" name="PM_Hash_Salt">
    <vt:lpwstr>B98DB0602F4519CED8E1B5EE48D15174</vt:lpwstr>
  </property>
  <property fmtid="{D5CDD505-2E9C-101B-9397-08002B2CF9AE}" pid="27" name="PM_Hash_SHA1">
    <vt:lpwstr>B82CD9EECFF32E2498B84E2B0B3341ED196CACB8</vt:lpwstr>
  </property>
  <property fmtid="{D5CDD505-2E9C-101B-9397-08002B2CF9AE}" pid="28" name="PM_SecurityClassification_Prev">
    <vt:lpwstr>OFFICIAL</vt:lpwstr>
  </property>
  <property fmtid="{D5CDD505-2E9C-101B-9397-08002B2CF9AE}" pid="29" name="PM_Qualifier_Prev">
    <vt:lpwstr/>
  </property>
</Properties>
</file>