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6F95B" w14:textId="77777777" w:rsidR="00923092" w:rsidRDefault="00D92B84" w:rsidP="002D21F2">
      <w:pPr>
        <w:pStyle w:val="Heading1"/>
        <w:rPr>
          <w:rFonts w:eastAsia="Calibri Light"/>
          <w:sz w:val="32"/>
          <w:szCs w:val="24"/>
          <w:lang w:val="en-AU"/>
        </w:rPr>
      </w:pPr>
      <w:r w:rsidRPr="00923092">
        <w:rPr>
          <w:rFonts w:eastAsia="Calibri Light"/>
          <w:sz w:val="32"/>
          <w:szCs w:val="24"/>
          <w:lang w:val="en-AU"/>
        </w:rPr>
        <w:t>ASEAN-AUSTRALIA POLITICAL-SECURITy PARTNERSHIP (APSP)</w:t>
      </w:r>
      <w:r w:rsidR="5B4DB41D" w:rsidRPr="00923092">
        <w:rPr>
          <w:rFonts w:eastAsia="Calibri Light"/>
          <w:sz w:val="32"/>
          <w:szCs w:val="24"/>
          <w:lang w:val="en-AU"/>
        </w:rPr>
        <w:t xml:space="preserve"> </w:t>
      </w:r>
    </w:p>
    <w:p w14:paraId="10F9185F" w14:textId="5ED81E80" w:rsidR="5B4DB41D" w:rsidRPr="00923092" w:rsidRDefault="00D92B84" w:rsidP="002D21F2">
      <w:pPr>
        <w:pStyle w:val="Heading1"/>
        <w:rPr>
          <w:sz w:val="32"/>
          <w:szCs w:val="24"/>
          <w:lang w:val="en-AU"/>
        </w:rPr>
      </w:pPr>
      <w:r w:rsidRPr="00923092">
        <w:rPr>
          <w:rFonts w:eastAsia="Calibri Light"/>
          <w:sz w:val="32"/>
          <w:szCs w:val="24"/>
          <w:lang w:val="en-AU"/>
        </w:rPr>
        <w:t>END</w:t>
      </w:r>
      <w:r w:rsidR="00892456" w:rsidRPr="00923092">
        <w:rPr>
          <w:rFonts w:eastAsia="Calibri Light"/>
          <w:sz w:val="32"/>
          <w:szCs w:val="24"/>
          <w:lang w:val="en-AU"/>
        </w:rPr>
        <w:t>-OF-PROGRAM</w:t>
      </w:r>
      <w:r w:rsidR="00DB54D1" w:rsidRPr="00923092">
        <w:rPr>
          <w:rFonts w:eastAsia="Calibri Light"/>
          <w:sz w:val="32"/>
          <w:szCs w:val="24"/>
          <w:lang w:val="en-AU"/>
        </w:rPr>
        <w:t xml:space="preserve"> Evaluation</w:t>
      </w:r>
      <w:r w:rsidR="001E5610" w:rsidRPr="00923092">
        <w:rPr>
          <w:rFonts w:eastAsia="Calibri Light"/>
          <w:sz w:val="32"/>
          <w:szCs w:val="24"/>
          <w:lang w:val="en-AU"/>
        </w:rPr>
        <w:t xml:space="preserve"> </w:t>
      </w:r>
      <w:r w:rsidR="002E46B3" w:rsidRPr="00923092">
        <w:rPr>
          <w:rFonts w:eastAsia="Calibri Light"/>
          <w:sz w:val="32"/>
          <w:szCs w:val="24"/>
          <w:lang w:val="en-AU"/>
        </w:rPr>
        <w:t>Management Response</w:t>
      </w:r>
    </w:p>
    <w:p w14:paraId="137EA534" w14:textId="7A4C7DE8" w:rsidR="5B4DB41D" w:rsidRPr="006D5ED0" w:rsidRDefault="00F24DE4" w:rsidP="002D21F2">
      <w:pPr>
        <w:pStyle w:val="Heading2"/>
        <w:rPr>
          <w:b w:val="0"/>
          <w:lang w:val="en-AU"/>
        </w:rPr>
      </w:pPr>
      <w:r w:rsidRPr="006D5ED0">
        <w:rPr>
          <w:lang w:val="en-AU"/>
        </w:rPr>
        <w:t>BACKGROUND</w:t>
      </w:r>
    </w:p>
    <w:p w14:paraId="63C516E8" w14:textId="619C56D4" w:rsidR="004F4B92" w:rsidRDefault="008F6862" w:rsidP="004F4B92">
      <w:pPr>
        <w:spacing w:before="60" w:after="120" w:line="240" w:lineRule="auto"/>
        <w:jc w:val="both"/>
        <w:rPr>
          <w:rFonts w:eastAsia="Arial" w:cstheme="minorHAnsi"/>
          <w:color w:val="000000" w:themeColor="text1"/>
          <w:lang w:val="en-AU"/>
        </w:rPr>
      </w:pPr>
      <w:r>
        <w:rPr>
          <w:rFonts w:eastAsia="Arial" w:cstheme="minorHAnsi"/>
          <w:color w:val="000000" w:themeColor="text1"/>
          <w:lang w:val="en-AU"/>
        </w:rPr>
        <w:t xml:space="preserve">The </w:t>
      </w:r>
      <w:r w:rsidR="001C3973">
        <w:rPr>
          <w:rFonts w:eastAsia="Arial" w:cstheme="minorHAnsi"/>
          <w:color w:val="000000" w:themeColor="text1"/>
          <w:lang w:val="en-AU"/>
        </w:rPr>
        <w:t>ASEAN-Australia Political-Security Partnership (APSP)</w:t>
      </w:r>
      <w:r w:rsidR="00D93E7B">
        <w:rPr>
          <w:rFonts w:eastAsia="Arial" w:cstheme="minorHAnsi"/>
          <w:color w:val="000000" w:themeColor="text1"/>
          <w:lang w:val="en-AU"/>
        </w:rPr>
        <w:t xml:space="preserve"> supports ASEAN </w:t>
      </w:r>
      <w:r w:rsidR="00111DF8">
        <w:rPr>
          <w:rFonts w:eastAsia="Arial" w:cstheme="minorHAnsi"/>
          <w:color w:val="000000" w:themeColor="text1"/>
          <w:lang w:val="en-AU"/>
        </w:rPr>
        <w:t xml:space="preserve">leadership and centrality in </w:t>
      </w:r>
      <w:r w:rsidR="00644A3C">
        <w:rPr>
          <w:rFonts w:eastAsia="Arial" w:cstheme="minorHAnsi"/>
          <w:color w:val="000000" w:themeColor="text1"/>
          <w:lang w:val="en-AU"/>
        </w:rPr>
        <w:t>addressing regional</w:t>
      </w:r>
      <w:r w:rsidR="00111DF8">
        <w:rPr>
          <w:rFonts w:eastAsia="Arial" w:cstheme="minorHAnsi"/>
          <w:color w:val="000000" w:themeColor="text1"/>
          <w:lang w:val="en-AU"/>
        </w:rPr>
        <w:t xml:space="preserve"> political-security </w:t>
      </w:r>
      <w:r w:rsidR="00FA4523">
        <w:rPr>
          <w:rFonts w:eastAsia="Arial" w:cstheme="minorHAnsi"/>
          <w:color w:val="000000" w:themeColor="text1"/>
          <w:lang w:val="en-AU"/>
        </w:rPr>
        <w:t>challenges</w:t>
      </w:r>
      <w:r w:rsidR="004F4B92" w:rsidRPr="006D5ED0">
        <w:rPr>
          <w:rFonts w:eastAsia="Arial" w:cstheme="minorHAnsi"/>
          <w:color w:val="000000" w:themeColor="text1"/>
          <w:lang w:val="en-AU"/>
        </w:rPr>
        <w:t>.</w:t>
      </w:r>
      <w:r w:rsidR="00A7207F">
        <w:rPr>
          <w:rFonts w:eastAsia="Arial" w:cstheme="minorHAnsi"/>
          <w:color w:val="000000" w:themeColor="text1"/>
          <w:lang w:val="en-AU"/>
        </w:rPr>
        <w:t xml:space="preserve"> The program engages ASEAN sectoral bodies, the ASEAN Secretaria</w:t>
      </w:r>
      <w:r w:rsidR="00644A3C">
        <w:rPr>
          <w:rFonts w:eastAsia="Arial" w:cstheme="minorHAnsi"/>
          <w:color w:val="000000" w:themeColor="text1"/>
          <w:lang w:val="en-AU"/>
        </w:rPr>
        <w:t>t</w:t>
      </w:r>
      <w:r w:rsidR="00480501">
        <w:rPr>
          <w:rFonts w:eastAsia="Arial" w:cstheme="minorHAnsi"/>
          <w:color w:val="000000" w:themeColor="text1"/>
          <w:lang w:val="en-AU"/>
        </w:rPr>
        <w:t xml:space="preserve"> and </w:t>
      </w:r>
      <w:r w:rsidR="00644A3C">
        <w:rPr>
          <w:rFonts w:eastAsia="Arial" w:cstheme="minorHAnsi"/>
          <w:color w:val="000000" w:themeColor="text1"/>
          <w:lang w:val="en-AU"/>
        </w:rPr>
        <w:t>ASEAN-led mechanisms</w:t>
      </w:r>
      <w:r w:rsidR="00480501">
        <w:rPr>
          <w:rFonts w:eastAsia="Arial" w:cstheme="minorHAnsi"/>
          <w:color w:val="000000" w:themeColor="text1"/>
          <w:lang w:val="en-AU"/>
        </w:rPr>
        <w:t>, along with Australian Government Agencies</w:t>
      </w:r>
      <w:r w:rsidR="004D7E27">
        <w:rPr>
          <w:rFonts w:eastAsia="Arial" w:cstheme="minorHAnsi"/>
          <w:color w:val="000000" w:themeColor="text1"/>
          <w:lang w:val="en-AU"/>
        </w:rPr>
        <w:t xml:space="preserve"> and institutions</w:t>
      </w:r>
      <w:r w:rsidR="00480501">
        <w:rPr>
          <w:rFonts w:eastAsia="Arial" w:cstheme="minorHAnsi"/>
          <w:color w:val="000000" w:themeColor="text1"/>
          <w:lang w:val="en-AU"/>
        </w:rPr>
        <w:t xml:space="preserve"> in activities such as </w:t>
      </w:r>
      <w:r w:rsidR="005F72DF">
        <w:rPr>
          <w:rFonts w:eastAsia="Arial" w:cstheme="minorHAnsi"/>
          <w:color w:val="000000" w:themeColor="text1"/>
          <w:lang w:val="en-AU"/>
        </w:rPr>
        <w:t>regional dialogue</w:t>
      </w:r>
      <w:r>
        <w:rPr>
          <w:rFonts w:eastAsia="Arial" w:cstheme="minorHAnsi"/>
          <w:color w:val="000000" w:themeColor="text1"/>
          <w:lang w:val="en-AU"/>
        </w:rPr>
        <w:t>s</w:t>
      </w:r>
      <w:r w:rsidR="005F72DF">
        <w:rPr>
          <w:rFonts w:eastAsia="Arial" w:cstheme="minorHAnsi"/>
          <w:color w:val="000000" w:themeColor="text1"/>
          <w:lang w:val="en-AU"/>
        </w:rPr>
        <w:t>, workshop</w:t>
      </w:r>
      <w:r>
        <w:rPr>
          <w:rFonts w:eastAsia="Arial" w:cstheme="minorHAnsi"/>
          <w:color w:val="000000" w:themeColor="text1"/>
          <w:lang w:val="en-AU"/>
        </w:rPr>
        <w:t>s</w:t>
      </w:r>
      <w:r w:rsidR="005F72DF">
        <w:rPr>
          <w:rFonts w:eastAsia="Arial" w:cstheme="minorHAnsi"/>
          <w:color w:val="000000" w:themeColor="text1"/>
          <w:lang w:val="en-AU"/>
        </w:rPr>
        <w:t>, capacity building</w:t>
      </w:r>
      <w:r>
        <w:rPr>
          <w:rFonts w:eastAsia="Arial" w:cstheme="minorHAnsi"/>
          <w:color w:val="000000" w:themeColor="text1"/>
          <w:lang w:val="en-AU"/>
        </w:rPr>
        <w:t>,</w:t>
      </w:r>
      <w:r w:rsidR="005F72DF">
        <w:rPr>
          <w:rFonts w:eastAsia="Arial" w:cstheme="minorHAnsi"/>
          <w:color w:val="000000" w:themeColor="text1"/>
          <w:lang w:val="en-AU"/>
        </w:rPr>
        <w:t xml:space="preserve"> and research. The program focuses on </w:t>
      </w:r>
      <w:r w:rsidR="0033328C">
        <w:rPr>
          <w:rFonts w:eastAsia="Arial" w:cstheme="minorHAnsi"/>
          <w:color w:val="000000" w:themeColor="text1"/>
          <w:lang w:val="en-AU"/>
        </w:rPr>
        <w:t xml:space="preserve">maritime security, cybersecurity, women, peace and security, transnational crime and conflict prevention. </w:t>
      </w:r>
    </w:p>
    <w:p w14:paraId="0B5C4BC8" w14:textId="51F634B8" w:rsidR="0056500C" w:rsidRDefault="00A00BD8" w:rsidP="00F24DE4">
      <w:pPr>
        <w:spacing w:before="60" w:after="120" w:line="240" w:lineRule="auto"/>
        <w:jc w:val="both"/>
        <w:rPr>
          <w:rFonts w:eastAsia="Arial" w:cstheme="minorHAnsi"/>
          <w:color w:val="000000" w:themeColor="text1"/>
          <w:lang w:val="en-AU"/>
        </w:rPr>
      </w:pPr>
      <w:r>
        <w:rPr>
          <w:rFonts w:eastAsia="Arial" w:cstheme="minorHAnsi"/>
          <w:color w:val="000000" w:themeColor="text1"/>
          <w:lang w:val="en-AU"/>
        </w:rPr>
        <w:t xml:space="preserve">APSP </w:t>
      </w:r>
      <w:r w:rsidR="00617AAB">
        <w:rPr>
          <w:rFonts w:eastAsia="Arial" w:cstheme="minorHAnsi"/>
          <w:color w:val="000000" w:themeColor="text1"/>
          <w:lang w:val="en-AU"/>
        </w:rPr>
        <w:t xml:space="preserve">has </w:t>
      </w:r>
      <w:r w:rsidR="008F6862">
        <w:rPr>
          <w:rFonts w:eastAsia="Arial" w:cstheme="minorHAnsi"/>
          <w:color w:val="000000" w:themeColor="text1"/>
          <w:lang w:val="en-AU"/>
        </w:rPr>
        <w:t xml:space="preserve">primarily </w:t>
      </w:r>
      <w:r w:rsidR="00617AAB">
        <w:rPr>
          <w:rFonts w:eastAsia="Arial" w:cstheme="minorHAnsi"/>
          <w:color w:val="000000" w:themeColor="text1"/>
          <w:lang w:val="en-AU"/>
        </w:rPr>
        <w:t>been</w:t>
      </w:r>
      <w:r w:rsidR="006A6B5C">
        <w:rPr>
          <w:rFonts w:eastAsia="Arial" w:cstheme="minorHAnsi"/>
          <w:color w:val="000000" w:themeColor="text1"/>
          <w:lang w:val="en-AU"/>
        </w:rPr>
        <w:t xml:space="preserve"> delivered by</w:t>
      </w:r>
      <w:r w:rsidR="00344C92">
        <w:rPr>
          <w:rFonts w:eastAsia="Arial" w:cstheme="minorHAnsi"/>
          <w:color w:val="000000" w:themeColor="text1"/>
          <w:lang w:val="en-AU"/>
        </w:rPr>
        <w:t xml:space="preserve"> </w:t>
      </w:r>
      <w:r w:rsidR="008F6862">
        <w:rPr>
          <w:rFonts w:eastAsia="Arial" w:cstheme="minorHAnsi"/>
          <w:color w:val="000000" w:themeColor="text1"/>
          <w:lang w:val="en-AU"/>
        </w:rPr>
        <w:t>T</w:t>
      </w:r>
      <w:r w:rsidR="00344C92">
        <w:rPr>
          <w:rFonts w:eastAsia="Arial" w:cstheme="minorHAnsi"/>
          <w:color w:val="000000" w:themeColor="text1"/>
          <w:lang w:val="en-AU"/>
        </w:rPr>
        <w:t>he Asia Foundation</w:t>
      </w:r>
      <w:r w:rsidR="00166F9E">
        <w:rPr>
          <w:rFonts w:eastAsia="Arial" w:cstheme="minorHAnsi"/>
          <w:color w:val="000000" w:themeColor="text1"/>
          <w:lang w:val="en-AU"/>
        </w:rPr>
        <w:t xml:space="preserve"> (TAF)</w:t>
      </w:r>
      <w:r w:rsidR="00857E46">
        <w:rPr>
          <w:rFonts w:eastAsia="Arial" w:cstheme="minorHAnsi"/>
          <w:color w:val="000000" w:themeColor="text1"/>
          <w:lang w:val="en-AU"/>
        </w:rPr>
        <w:t xml:space="preserve">, as the main </w:t>
      </w:r>
      <w:r w:rsidR="00C855D7">
        <w:rPr>
          <w:rFonts w:eastAsia="Arial" w:cstheme="minorHAnsi"/>
          <w:color w:val="000000" w:themeColor="text1"/>
          <w:lang w:val="en-AU"/>
        </w:rPr>
        <w:t>implementing</w:t>
      </w:r>
      <w:r w:rsidR="00166F9E">
        <w:rPr>
          <w:rFonts w:eastAsia="Arial" w:cstheme="minorHAnsi"/>
          <w:color w:val="000000" w:themeColor="text1"/>
          <w:lang w:val="en-AU"/>
        </w:rPr>
        <w:t xml:space="preserve"> </w:t>
      </w:r>
      <w:r w:rsidR="00C855D7">
        <w:rPr>
          <w:rFonts w:eastAsia="Arial" w:cstheme="minorHAnsi"/>
          <w:color w:val="000000" w:themeColor="text1"/>
          <w:lang w:val="en-AU"/>
        </w:rPr>
        <w:t>partner</w:t>
      </w:r>
      <w:r w:rsidR="00246E33">
        <w:rPr>
          <w:rFonts w:eastAsia="Arial" w:cstheme="minorHAnsi"/>
          <w:color w:val="000000" w:themeColor="text1"/>
          <w:lang w:val="en-AU"/>
        </w:rPr>
        <w:t xml:space="preserve">, with a budget of </w:t>
      </w:r>
      <w:r w:rsidR="00885977">
        <w:rPr>
          <w:rFonts w:eastAsia="Arial" w:cstheme="minorHAnsi"/>
          <w:color w:val="000000" w:themeColor="text1"/>
          <w:lang w:val="en-AU"/>
        </w:rPr>
        <w:t>AUD</w:t>
      </w:r>
      <w:r w:rsidR="008F6862">
        <w:rPr>
          <w:rFonts w:eastAsia="Arial" w:cstheme="minorHAnsi"/>
          <w:color w:val="000000" w:themeColor="text1"/>
          <w:lang w:val="en-AU"/>
        </w:rPr>
        <w:t xml:space="preserve"> </w:t>
      </w:r>
      <w:r w:rsidR="00885977">
        <w:rPr>
          <w:rFonts w:eastAsia="Arial" w:cstheme="minorHAnsi"/>
          <w:color w:val="000000" w:themeColor="text1"/>
          <w:lang w:val="en-AU"/>
        </w:rPr>
        <w:t>9.5 million</w:t>
      </w:r>
      <w:r w:rsidR="00246E33">
        <w:rPr>
          <w:rFonts w:eastAsia="Arial" w:cstheme="minorHAnsi"/>
          <w:color w:val="000000" w:themeColor="text1"/>
          <w:lang w:val="en-AU"/>
        </w:rPr>
        <w:t xml:space="preserve"> over the period </w:t>
      </w:r>
      <w:r w:rsidR="0056500C">
        <w:rPr>
          <w:rFonts w:eastAsia="Arial" w:cstheme="minorHAnsi"/>
          <w:color w:val="000000" w:themeColor="text1"/>
          <w:lang w:val="en-AU"/>
        </w:rPr>
        <w:t>2019 -202</w:t>
      </w:r>
      <w:r w:rsidR="00885977">
        <w:rPr>
          <w:rFonts w:eastAsia="Arial" w:cstheme="minorHAnsi"/>
          <w:color w:val="000000" w:themeColor="text1"/>
          <w:lang w:val="en-AU"/>
        </w:rPr>
        <w:t xml:space="preserve">5. A </w:t>
      </w:r>
      <w:r w:rsidR="00246E33">
        <w:rPr>
          <w:rFonts w:eastAsia="Arial" w:cstheme="minorHAnsi"/>
          <w:color w:val="000000" w:themeColor="text1"/>
          <w:lang w:val="en-AU"/>
        </w:rPr>
        <w:t>smaller program</w:t>
      </w:r>
      <w:r w:rsidR="004B4566">
        <w:rPr>
          <w:rFonts w:eastAsia="Arial" w:cstheme="minorHAnsi"/>
          <w:color w:val="000000" w:themeColor="text1"/>
          <w:lang w:val="en-AU"/>
        </w:rPr>
        <w:t xml:space="preserve"> </w:t>
      </w:r>
      <w:r w:rsidR="00E35059">
        <w:rPr>
          <w:rFonts w:eastAsia="Arial" w:cstheme="minorHAnsi"/>
          <w:color w:val="000000" w:themeColor="text1"/>
          <w:lang w:val="en-AU"/>
        </w:rPr>
        <w:t>component</w:t>
      </w:r>
      <w:r w:rsidR="004D6F54">
        <w:rPr>
          <w:rFonts w:eastAsia="Arial" w:cstheme="minorHAnsi"/>
          <w:color w:val="000000" w:themeColor="text1"/>
          <w:lang w:val="en-AU"/>
        </w:rPr>
        <w:t xml:space="preserve"> focused</w:t>
      </w:r>
      <w:r w:rsidR="00E35059">
        <w:rPr>
          <w:rFonts w:eastAsia="Arial" w:cstheme="minorHAnsi"/>
          <w:color w:val="000000" w:themeColor="text1"/>
          <w:lang w:val="en-AU"/>
        </w:rPr>
        <w:t xml:space="preserve"> </w:t>
      </w:r>
      <w:r w:rsidR="004B4566">
        <w:rPr>
          <w:rFonts w:eastAsia="Arial" w:cstheme="minorHAnsi"/>
          <w:color w:val="000000" w:themeColor="text1"/>
          <w:lang w:val="en-AU"/>
        </w:rPr>
        <w:t xml:space="preserve">on combatting </w:t>
      </w:r>
      <w:r w:rsidR="00AD10A1">
        <w:rPr>
          <w:rFonts w:eastAsia="Arial" w:cstheme="minorHAnsi"/>
          <w:color w:val="000000" w:themeColor="text1"/>
          <w:lang w:val="en-AU"/>
        </w:rPr>
        <w:t xml:space="preserve">marine plastic debris is </w:t>
      </w:r>
      <w:r w:rsidR="004D6F54">
        <w:rPr>
          <w:rFonts w:eastAsia="Arial" w:cstheme="minorHAnsi"/>
          <w:color w:val="000000" w:themeColor="text1"/>
          <w:lang w:val="en-AU"/>
        </w:rPr>
        <w:t>being implemented by the</w:t>
      </w:r>
      <w:r w:rsidR="00236443">
        <w:rPr>
          <w:rFonts w:eastAsia="Arial" w:cstheme="minorHAnsi"/>
          <w:color w:val="000000" w:themeColor="text1"/>
          <w:lang w:val="en-AU"/>
        </w:rPr>
        <w:t xml:space="preserve"> </w:t>
      </w:r>
      <w:r w:rsidR="00D57658">
        <w:rPr>
          <w:rFonts w:eastAsia="Arial" w:cstheme="minorHAnsi"/>
          <w:color w:val="000000" w:themeColor="text1"/>
          <w:lang w:val="en-AU"/>
        </w:rPr>
        <w:t xml:space="preserve">Commonwealth Scientific and Industrial Research Organisation </w:t>
      </w:r>
      <w:r w:rsidR="00236443">
        <w:rPr>
          <w:rFonts w:eastAsia="Arial" w:cstheme="minorHAnsi"/>
          <w:color w:val="000000" w:themeColor="text1"/>
          <w:lang w:val="en-AU"/>
        </w:rPr>
        <w:t>(CSIRO</w:t>
      </w:r>
      <w:r w:rsidR="004D6F54">
        <w:rPr>
          <w:rFonts w:eastAsia="Arial" w:cstheme="minorHAnsi"/>
          <w:color w:val="000000" w:themeColor="text1"/>
          <w:lang w:val="en-AU"/>
        </w:rPr>
        <w:t xml:space="preserve">) with funding </w:t>
      </w:r>
      <w:r w:rsidR="009B2692">
        <w:rPr>
          <w:rFonts w:eastAsia="Arial" w:cstheme="minorHAnsi"/>
          <w:color w:val="000000" w:themeColor="text1"/>
          <w:lang w:val="en-AU"/>
        </w:rPr>
        <w:t>of AUD</w:t>
      </w:r>
      <w:r w:rsidR="008F6862">
        <w:rPr>
          <w:rFonts w:eastAsia="Arial" w:cstheme="minorHAnsi"/>
          <w:color w:val="000000" w:themeColor="text1"/>
          <w:lang w:val="en-AU"/>
        </w:rPr>
        <w:t xml:space="preserve"> </w:t>
      </w:r>
      <w:r w:rsidR="00236443">
        <w:rPr>
          <w:rFonts w:eastAsia="Arial" w:cstheme="minorHAnsi"/>
          <w:color w:val="000000" w:themeColor="text1"/>
          <w:lang w:val="en-AU"/>
        </w:rPr>
        <w:t>495,00</w:t>
      </w:r>
      <w:r w:rsidR="00D57658">
        <w:rPr>
          <w:rFonts w:eastAsia="Arial" w:cstheme="minorHAnsi"/>
          <w:color w:val="000000" w:themeColor="text1"/>
          <w:lang w:val="en-AU"/>
        </w:rPr>
        <w:t>0</w:t>
      </w:r>
      <w:r w:rsidR="004D6F54">
        <w:rPr>
          <w:rFonts w:eastAsia="Arial" w:cstheme="minorHAnsi"/>
          <w:color w:val="000000" w:themeColor="text1"/>
          <w:lang w:val="en-AU"/>
        </w:rPr>
        <w:t xml:space="preserve"> from 2022 to 2026. </w:t>
      </w:r>
      <w:r w:rsidR="00F31751">
        <w:rPr>
          <w:rFonts w:eastAsia="Arial" w:cstheme="minorHAnsi"/>
          <w:color w:val="000000" w:themeColor="text1"/>
          <w:lang w:val="en-AU"/>
        </w:rPr>
        <w:t>The design for an APSP</w:t>
      </w:r>
      <w:r w:rsidR="00917C94">
        <w:rPr>
          <w:rFonts w:eastAsia="Arial" w:cstheme="minorHAnsi"/>
          <w:color w:val="000000" w:themeColor="text1"/>
          <w:lang w:val="en-AU"/>
        </w:rPr>
        <w:t xml:space="preserve"> successor program </w:t>
      </w:r>
      <w:r w:rsidR="00F31751">
        <w:rPr>
          <w:rFonts w:eastAsia="Arial" w:cstheme="minorHAnsi"/>
          <w:color w:val="000000" w:themeColor="text1"/>
          <w:lang w:val="en-AU"/>
        </w:rPr>
        <w:t xml:space="preserve">is being undertaken in 2025. </w:t>
      </w:r>
    </w:p>
    <w:p w14:paraId="718FB262" w14:textId="77777777" w:rsidR="00166F9E" w:rsidRPr="006D5ED0" w:rsidRDefault="00166F9E" w:rsidP="00F24DE4">
      <w:pPr>
        <w:spacing w:before="60" w:after="120" w:line="240" w:lineRule="auto"/>
        <w:jc w:val="both"/>
        <w:rPr>
          <w:rFonts w:eastAsia="Arial" w:cstheme="minorHAnsi"/>
          <w:color w:val="000000" w:themeColor="text1"/>
          <w:lang w:val="en-AU"/>
        </w:rPr>
      </w:pPr>
    </w:p>
    <w:p w14:paraId="73BEE923" w14:textId="77777777" w:rsidR="0091765C" w:rsidRPr="006D5ED0" w:rsidRDefault="0091765C" w:rsidP="002D21F2">
      <w:pPr>
        <w:pStyle w:val="Heading2"/>
        <w:rPr>
          <w:rFonts w:eastAsia="Arial" w:cstheme="minorHAnsi"/>
          <w:b w:val="0"/>
          <w:color w:val="000000" w:themeColor="text1"/>
          <w:lang w:val="en-AU"/>
        </w:rPr>
      </w:pPr>
      <w:r w:rsidRPr="006D5ED0">
        <w:rPr>
          <w:lang w:val="en-AU"/>
        </w:rPr>
        <w:t>THE EVALUATION</w:t>
      </w:r>
      <w:r w:rsidRPr="006D5ED0">
        <w:rPr>
          <w:rFonts w:eastAsia="Arial" w:cstheme="minorHAnsi"/>
          <w:color w:val="000000" w:themeColor="text1"/>
          <w:lang w:val="en-AU"/>
        </w:rPr>
        <w:t xml:space="preserve">   </w:t>
      </w:r>
    </w:p>
    <w:p w14:paraId="359F4F04" w14:textId="3CC8941B" w:rsidR="00C97169" w:rsidRDefault="00215431" w:rsidP="00215431">
      <w:pPr>
        <w:spacing w:line="240" w:lineRule="auto"/>
        <w:jc w:val="both"/>
        <w:rPr>
          <w:rFonts w:eastAsia="Arial"/>
          <w:color w:val="000000" w:themeColor="text1"/>
          <w:lang w:val="en-AU"/>
        </w:rPr>
      </w:pPr>
      <w:r w:rsidRPr="00215431">
        <w:rPr>
          <w:rFonts w:eastAsia="Arial"/>
          <w:color w:val="000000" w:themeColor="text1"/>
          <w:lang w:val="en-AU"/>
        </w:rPr>
        <w:t>TAF, with DFAT support, commissioned an end-of-program evaluation as a required component of APSP’s Monitoring, Evaluation, and Learning (MEL) Plan. The evaluation assessed APSP’s effectiveness, efficiency, relevance, sustainability, impact, and integration of Gender Equality, Disability, and Social Inclusion (GEDSI) considerations.</w:t>
      </w:r>
      <w:r w:rsidR="00C97169">
        <w:rPr>
          <w:rFonts w:eastAsia="Arial"/>
          <w:color w:val="000000" w:themeColor="text1"/>
          <w:lang w:val="en-AU"/>
        </w:rPr>
        <w:t xml:space="preserve"> </w:t>
      </w:r>
      <w:r w:rsidR="000573EB">
        <w:rPr>
          <w:rFonts w:eastAsia="Arial"/>
          <w:color w:val="000000" w:themeColor="text1"/>
          <w:lang w:val="en-AU"/>
        </w:rPr>
        <w:t>It</w:t>
      </w:r>
      <w:r w:rsidRPr="00215431">
        <w:rPr>
          <w:rFonts w:eastAsia="Arial"/>
          <w:color w:val="000000" w:themeColor="text1"/>
          <w:lang w:val="en-AU"/>
        </w:rPr>
        <w:t xml:space="preserve"> covered APSP</w:t>
      </w:r>
      <w:r w:rsidR="0077746C">
        <w:rPr>
          <w:rFonts w:eastAsia="Arial"/>
          <w:color w:val="000000" w:themeColor="text1"/>
          <w:lang w:val="en-AU"/>
        </w:rPr>
        <w:t>’s</w:t>
      </w:r>
      <w:r w:rsidRPr="00215431">
        <w:rPr>
          <w:rFonts w:eastAsia="Arial"/>
          <w:color w:val="000000" w:themeColor="text1"/>
          <w:lang w:val="en-AU"/>
        </w:rPr>
        <w:t xml:space="preserve"> implementation from May 2019 to June 2024, with an extended review of ongoing initiatives through </w:t>
      </w:r>
      <w:r w:rsidR="0077746C">
        <w:rPr>
          <w:rFonts w:eastAsia="Arial"/>
          <w:color w:val="000000" w:themeColor="text1"/>
          <w:lang w:val="en-AU"/>
        </w:rPr>
        <w:t xml:space="preserve">to </w:t>
      </w:r>
      <w:r w:rsidRPr="00215431">
        <w:rPr>
          <w:rFonts w:eastAsia="Arial"/>
          <w:color w:val="000000" w:themeColor="text1"/>
          <w:lang w:val="en-AU"/>
        </w:rPr>
        <w:t>November 2024. The evaluation employed a mixed-methods approach, including a comprehensive desk review; consultations with 58 key informants; an online survey of 25 participants from APSP activities; in-person observation of an APSP activity (the ASEAN-Australia Workshop on Safe Handling and Disposal of Illicit Drugs and Precursor Chemicals, September 17-18, 2024, Bangkok, Thailand); and two case studies.</w:t>
      </w:r>
    </w:p>
    <w:p w14:paraId="1058BF1C" w14:textId="32C33CCA" w:rsidR="00840586" w:rsidRPr="003708E3" w:rsidRDefault="00603581" w:rsidP="00215431">
      <w:pPr>
        <w:spacing w:line="240" w:lineRule="auto"/>
        <w:jc w:val="both"/>
        <w:rPr>
          <w:rFonts w:eastAsia="Arial" w:cstheme="minorHAnsi"/>
          <w:color w:val="000000" w:themeColor="text1"/>
          <w:lang w:val="en-AU"/>
        </w:rPr>
      </w:pPr>
      <w:r>
        <w:rPr>
          <w:rFonts w:eastAsia="Arial" w:cstheme="minorHAnsi"/>
          <w:color w:val="000000" w:themeColor="text1"/>
          <w:lang w:val="en-AU"/>
        </w:rPr>
        <w:t xml:space="preserve">The evaluation found APSP to be effective in </w:t>
      </w:r>
      <w:r w:rsidR="00BF533F">
        <w:rPr>
          <w:rFonts w:eastAsia="Arial" w:cstheme="minorHAnsi"/>
          <w:color w:val="000000" w:themeColor="text1"/>
          <w:lang w:val="en-AU"/>
        </w:rPr>
        <w:t>strengthening ASEAN-Australia engagement</w:t>
      </w:r>
      <w:r w:rsidR="008F6862">
        <w:rPr>
          <w:rFonts w:eastAsia="Arial" w:cstheme="minorHAnsi"/>
          <w:color w:val="000000" w:themeColor="text1"/>
          <w:lang w:val="en-AU"/>
        </w:rPr>
        <w:t>;</w:t>
      </w:r>
      <w:r w:rsidR="00BF533F">
        <w:rPr>
          <w:rFonts w:eastAsia="Arial" w:cstheme="minorHAnsi"/>
          <w:color w:val="000000" w:themeColor="text1"/>
          <w:lang w:val="en-AU"/>
        </w:rPr>
        <w:t xml:space="preserve"> </w:t>
      </w:r>
      <w:r w:rsidR="008F6862">
        <w:rPr>
          <w:rFonts w:eastAsia="Arial" w:cstheme="minorHAnsi"/>
          <w:color w:val="000000" w:themeColor="text1"/>
          <w:lang w:val="en-AU"/>
        </w:rPr>
        <w:t xml:space="preserve">in </w:t>
      </w:r>
      <w:r w:rsidR="00BF533F">
        <w:rPr>
          <w:rFonts w:eastAsia="Arial" w:cstheme="minorHAnsi"/>
          <w:color w:val="000000" w:themeColor="text1"/>
          <w:lang w:val="en-AU"/>
        </w:rPr>
        <w:t xml:space="preserve">supporting ASEAN leadership on transnational </w:t>
      </w:r>
      <w:r w:rsidR="0077746C">
        <w:rPr>
          <w:rFonts w:eastAsia="Arial" w:cstheme="minorHAnsi"/>
          <w:color w:val="000000" w:themeColor="text1"/>
          <w:lang w:val="en-AU"/>
        </w:rPr>
        <w:t xml:space="preserve">and regional </w:t>
      </w:r>
      <w:r w:rsidR="00BF533F">
        <w:rPr>
          <w:rFonts w:eastAsia="Arial" w:cstheme="minorHAnsi"/>
          <w:color w:val="000000" w:themeColor="text1"/>
          <w:lang w:val="en-AU"/>
        </w:rPr>
        <w:t>political-security issues</w:t>
      </w:r>
      <w:r w:rsidR="008F6862">
        <w:rPr>
          <w:rFonts w:eastAsia="Arial" w:cstheme="minorHAnsi"/>
          <w:color w:val="000000" w:themeColor="text1"/>
          <w:lang w:val="en-AU"/>
        </w:rPr>
        <w:t>;</w:t>
      </w:r>
      <w:r w:rsidR="00BF533F">
        <w:rPr>
          <w:rFonts w:eastAsia="Arial" w:cstheme="minorHAnsi"/>
          <w:color w:val="000000" w:themeColor="text1"/>
          <w:lang w:val="en-AU"/>
        </w:rPr>
        <w:t xml:space="preserve"> and </w:t>
      </w:r>
      <w:r w:rsidR="008F6862">
        <w:rPr>
          <w:rFonts w:eastAsia="Arial" w:cstheme="minorHAnsi"/>
          <w:color w:val="000000" w:themeColor="text1"/>
          <w:lang w:val="en-AU"/>
        </w:rPr>
        <w:t xml:space="preserve">in </w:t>
      </w:r>
      <w:r w:rsidR="00BF533F">
        <w:rPr>
          <w:rFonts w:eastAsia="Arial" w:cstheme="minorHAnsi"/>
          <w:color w:val="000000" w:themeColor="text1"/>
          <w:lang w:val="en-AU"/>
        </w:rPr>
        <w:t>promoting cross</w:t>
      </w:r>
      <w:r w:rsidR="009B7E13">
        <w:rPr>
          <w:rFonts w:eastAsia="Arial" w:cstheme="minorHAnsi"/>
          <w:color w:val="000000" w:themeColor="text1"/>
          <w:lang w:val="en-AU"/>
        </w:rPr>
        <w:t xml:space="preserve">-sectoral cooperation. Success was driven by strong partnerships with ASEAN stakeholders and </w:t>
      </w:r>
      <w:r w:rsidR="00E36291">
        <w:rPr>
          <w:rFonts w:eastAsia="Arial" w:cstheme="minorHAnsi"/>
          <w:color w:val="000000" w:themeColor="text1"/>
          <w:lang w:val="en-AU"/>
        </w:rPr>
        <w:t>the program’s</w:t>
      </w:r>
      <w:r w:rsidR="00912AB0">
        <w:rPr>
          <w:rFonts w:eastAsia="Arial" w:cstheme="minorHAnsi"/>
          <w:color w:val="000000" w:themeColor="text1"/>
          <w:lang w:val="en-AU"/>
        </w:rPr>
        <w:t xml:space="preserve"> built-in adaptability to evolving priorities. </w:t>
      </w:r>
    </w:p>
    <w:p w14:paraId="3AE92B0F" w14:textId="77777777" w:rsidR="00397A0C" w:rsidRPr="006D5ED0" w:rsidRDefault="00397A0C" w:rsidP="1C6FBE59">
      <w:pPr>
        <w:spacing w:line="240" w:lineRule="auto"/>
        <w:jc w:val="both"/>
        <w:rPr>
          <w:rFonts w:eastAsia="Arial" w:cstheme="minorHAnsi"/>
          <w:color w:val="000000" w:themeColor="text1"/>
          <w:lang w:val="en-AU"/>
        </w:rPr>
      </w:pPr>
    </w:p>
    <w:p w14:paraId="21F7A82B" w14:textId="77777777" w:rsidR="00AC4A79" w:rsidRPr="00397A0C" w:rsidRDefault="001E7818" w:rsidP="002D21F2">
      <w:pPr>
        <w:pStyle w:val="Heading2"/>
        <w:rPr>
          <w:b w:val="0"/>
          <w:lang w:val="en-AU"/>
        </w:rPr>
      </w:pPr>
      <w:r w:rsidRPr="006D5ED0">
        <w:rPr>
          <w:lang w:val="en-AU"/>
        </w:rPr>
        <w:t>DFAT RESPONSE TO THE EVALUATION</w:t>
      </w:r>
      <w:r w:rsidR="004C2874" w:rsidRPr="00397A0C">
        <w:rPr>
          <w:lang w:val="en-AU"/>
        </w:rPr>
        <w:t xml:space="preserve">   </w:t>
      </w:r>
    </w:p>
    <w:p w14:paraId="07EBEDE2" w14:textId="31B2F44A" w:rsidR="00543E96" w:rsidRPr="006D5ED0" w:rsidRDefault="004A2FF7" w:rsidP="00011528">
      <w:pPr>
        <w:spacing w:before="60" w:after="120" w:line="240" w:lineRule="auto"/>
        <w:jc w:val="both"/>
        <w:rPr>
          <w:rFonts w:eastAsia="Arial"/>
          <w:color w:val="000000" w:themeColor="text1"/>
          <w:lang w:val="en-AU"/>
        </w:rPr>
      </w:pPr>
      <w:r w:rsidRPr="006D5ED0">
        <w:rPr>
          <w:rFonts w:eastAsia="Arial"/>
          <w:color w:val="000000" w:themeColor="text1"/>
          <w:lang w:val="en-AU"/>
        </w:rPr>
        <w:t>DFAT</w:t>
      </w:r>
      <w:r w:rsidR="000A7211">
        <w:rPr>
          <w:rFonts w:eastAsia="Arial"/>
          <w:color w:val="000000" w:themeColor="text1"/>
          <w:lang w:val="en-AU"/>
        </w:rPr>
        <w:t xml:space="preserve"> </w:t>
      </w:r>
      <w:r w:rsidRPr="006D5ED0">
        <w:rPr>
          <w:rFonts w:eastAsia="Arial"/>
          <w:color w:val="000000" w:themeColor="text1"/>
          <w:lang w:val="en-AU"/>
        </w:rPr>
        <w:t xml:space="preserve">has developed </w:t>
      </w:r>
      <w:r w:rsidR="001155E2" w:rsidRPr="006D5ED0">
        <w:rPr>
          <w:rFonts w:eastAsia="Arial"/>
          <w:color w:val="000000" w:themeColor="text1"/>
          <w:lang w:val="en-AU"/>
        </w:rPr>
        <w:t xml:space="preserve">a </w:t>
      </w:r>
      <w:r w:rsidRPr="006D5ED0">
        <w:rPr>
          <w:rFonts w:eastAsia="Arial"/>
          <w:color w:val="000000" w:themeColor="text1"/>
          <w:lang w:val="en-AU"/>
        </w:rPr>
        <w:t xml:space="preserve">management response to the </w:t>
      </w:r>
      <w:r w:rsidR="001155E2" w:rsidRPr="006D5ED0">
        <w:rPr>
          <w:rFonts w:eastAsia="Arial"/>
          <w:color w:val="000000" w:themeColor="text1"/>
          <w:lang w:val="en-AU"/>
        </w:rPr>
        <w:t>evaluation</w:t>
      </w:r>
      <w:r w:rsidR="0077746C">
        <w:rPr>
          <w:rFonts w:eastAsia="Arial"/>
          <w:color w:val="000000" w:themeColor="text1"/>
          <w:lang w:val="en-AU"/>
        </w:rPr>
        <w:t>’</w:t>
      </w:r>
      <w:r w:rsidR="001155E2" w:rsidRPr="006D5ED0">
        <w:rPr>
          <w:rFonts w:eastAsia="Arial"/>
          <w:color w:val="000000" w:themeColor="text1"/>
          <w:lang w:val="en-AU"/>
        </w:rPr>
        <w:t>s recommendations</w:t>
      </w:r>
      <w:r w:rsidR="007A595D" w:rsidRPr="006D5ED0">
        <w:rPr>
          <w:rFonts w:eastAsia="Arial"/>
          <w:color w:val="000000" w:themeColor="text1"/>
          <w:lang w:val="en-AU"/>
        </w:rPr>
        <w:t xml:space="preserve">. </w:t>
      </w:r>
    </w:p>
    <w:p w14:paraId="65027634" w14:textId="42167891" w:rsidR="00697C6E" w:rsidRPr="006D5ED0" w:rsidRDefault="005D743F" w:rsidP="00543E96">
      <w:pPr>
        <w:spacing w:before="60" w:after="120" w:line="240" w:lineRule="auto"/>
        <w:jc w:val="both"/>
        <w:rPr>
          <w:rFonts w:eastAsia="Arial"/>
          <w:color w:val="000000" w:themeColor="text1"/>
          <w:lang w:val="en-AU"/>
        </w:rPr>
      </w:pPr>
      <w:r>
        <w:rPr>
          <w:rFonts w:eastAsia="Arial"/>
          <w:color w:val="000000" w:themeColor="text1"/>
          <w:lang w:val="en-AU"/>
        </w:rPr>
        <w:t>W</w:t>
      </w:r>
      <w:r w:rsidR="00A77BE0" w:rsidRPr="006D5ED0">
        <w:rPr>
          <w:rFonts w:eastAsia="Arial"/>
          <w:color w:val="000000" w:themeColor="text1"/>
          <w:lang w:val="en-AU"/>
        </w:rPr>
        <w:t>e</w:t>
      </w:r>
      <w:r>
        <w:rPr>
          <w:rFonts w:eastAsia="Arial"/>
          <w:color w:val="000000" w:themeColor="text1"/>
          <w:lang w:val="en-AU"/>
        </w:rPr>
        <w:t xml:space="preserve"> welcome </w:t>
      </w:r>
      <w:r w:rsidR="006B4DAC">
        <w:rPr>
          <w:rFonts w:eastAsia="Arial"/>
          <w:color w:val="000000" w:themeColor="text1"/>
          <w:lang w:val="en-AU"/>
        </w:rPr>
        <w:t xml:space="preserve">the </w:t>
      </w:r>
      <w:r w:rsidR="006B4DAC" w:rsidRPr="006D5ED0">
        <w:rPr>
          <w:rFonts w:eastAsia="Arial"/>
          <w:color w:val="000000" w:themeColor="text1"/>
          <w:lang w:val="en-AU"/>
        </w:rPr>
        <w:t>findings</w:t>
      </w:r>
      <w:r w:rsidR="007A595D" w:rsidRPr="006D5ED0">
        <w:rPr>
          <w:rFonts w:eastAsia="Arial"/>
          <w:color w:val="000000" w:themeColor="text1"/>
          <w:lang w:val="en-AU"/>
        </w:rPr>
        <w:t xml:space="preserve"> </w:t>
      </w:r>
      <w:r w:rsidR="00843817">
        <w:rPr>
          <w:rFonts w:eastAsia="Arial"/>
          <w:color w:val="000000" w:themeColor="text1"/>
          <w:lang w:val="en-AU"/>
        </w:rPr>
        <w:t>as valuable</w:t>
      </w:r>
      <w:r w:rsidR="00A77BE0" w:rsidRPr="006D5ED0">
        <w:rPr>
          <w:rFonts w:eastAsia="Arial"/>
          <w:color w:val="000000" w:themeColor="text1"/>
          <w:lang w:val="en-AU"/>
        </w:rPr>
        <w:t xml:space="preserve"> insights</w:t>
      </w:r>
      <w:r w:rsidR="009E0F8F">
        <w:rPr>
          <w:rFonts w:eastAsia="Arial"/>
          <w:color w:val="000000" w:themeColor="text1"/>
          <w:lang w:val="en-AU"/>
        </w:rPr>
        <w:t xml:space="preserve"> into</w:t>
      </w:r>
      <w:r w:rsidR="00264D9B">
        <w:rPr>
          <w:rFonts w:eastAsia="Arial"/>
          <w:color w:val="000000" w:themeColor="text1"/>
          <w:lang w:val="en-AU"/>
        </w:rPr>
        <w:t xml:space="preserve"> </w:t>
      </w:r>
      <w:r w:rsidR="00513648">
        <w:rPr>
          <w:rFonts w:eastAsia="Arial"/>
          <w:color w:val="000000" w:themeColor="text1"/>
          <w:lang w:val="en-AU"/>
        </w:rPr>
        <w:t xml:space="preserve">APSP’s </w:t>
      </w:r>
      <w:r w:rsidR="00264D9B">
        <w:rPr>
          <w:rFonts w:eastAsia="Arial"/>
          <w:color w:val="000000" w:themeColor="text1"/>
          <w:lang w:val="en-AU"/>
        </w:rPr>
        <w:t>good practices and challenges</w:t>
      </w:r>
      <w:r w:rsidR="009E0F8F">
        <w:rPr>
          <w:rFonts w:eastAsia="Arial"/>
          <w:color w:val="000000" w:themeColor="text1"/>
          <w:lang w:val="en-AU"/>
        </w:rPr>
        <w:t>, which will inform the de</w:t>
      </w:r>
      <w:r w:rsidR="00732020">
        <w:rPr>
          <w:rFonts w:eastAsia="Arial"/>
          <w:color w:val="000000" w:themeColor="text1"/>
          <w:lang w:val="en-AU"/>
        </w:rPr>
        <w:t>sign and implementation</w:t>
      </w:r>
      <w:r w:rsidR="005032B3">
        <w:rPr>
          <w:rFonts w:eastAsia="Arial"/>
          <w:color w:val="000000" w:themeColor="text1"/>
          <w:lang w:val="en-AU"/>
        </w:rPr>
        <w:t xml:space="preserve"> </w:t>
      </w:r>
      <w:r w:rsidR="00264D9B">
        <w:rPr>
          <w:rFonts w:eastAsia="Arial"/>
          <w:color w:val="000000" w:themeColor="text1"/>
          <w:lang w:val="en-AU"/>
        </w:rPr>
        <w:t>of</w:t>
      </w:r>
      <w:r w:rsidR="0048442F">
        <w:rPr>
          <w:rFonts w:eastAsia="Arial"/>
          <w:color w:val="000000" w:themeColor="text1"/>
          <w:lang w:val="en-AU"/>
        </w:rPr>
        <w:t xml:space="preserve"> a</w:t>
      </w:r>
      <w:r w:rsidR="00264D9B">
        <w:rPr>
          <w:rFonts w:eastAsia="Arial"/>
          <w:color w:val="000000" w:themeColor="text1"/>
          <w:lang w:val="en-AU"/>
        </w:rPr>
        <w:t xml:space="preserve"> </w:t>
      </w:r>
      <w:r w:rsidR="00A77BE0" w:rsidRPr="006D5ED0">
        <w:rPr>
          <w:rFonts w:eastAsia="Arial"/>
          <w:color w:val="000000" w:themeColor="text1"/>
          <w:lang w:val="en-AU"/>
        </w:rPr>
        <w:t>successor</w:t>
      </w:r>
      <w:r w:rsidR="0048442F">
        <w:rPr>
          <w:rFonts w:eastAsia="Arial"/>
          <w:color w:val="000000" w:themeColor="text1"/>
          <w:lang w:val="en-AU"/>
        </w:rPr>
        <w:t xml:space="preserve"> program</w:t>
      </w:r>
      <w:r w:rsidR="00A77BE0" w:rsidRPr="006D5ED0">
        <w:rPr>
          <w:rFonts w:eastAsia="Arial"/>
          <w:color w:val="000000" w:themeColor="text1"/>
          <w:lang w:val="en-AU"/>
        </w:rPr>
        <w:t xml:space="preserve">. </w:t>
      </w:r>
    </w:p>
    <w:p w14:paraId="0366D55D" w14:textId="5A97BF66" w:rsidR="00AC4A79" w:rsidRPr="006D5ED0" w:rsidRDefault="00615595" w:rsidP="00A81447">
      <w:pPr>
        <w:spacing w:before="60" w:after="120" w:line="240" w:lineRule="auto"/>
        <w:jc w:val="both"/>
        <w:rPr>
          <w:rFonts w:eastAsia="Arial" w:cstheme="minorHAnsi"/>
          <w:b/>
          <w:bCs/>
          <w:color w:val="000000" w:themeColor="text1"/>
          <w:lang w:val="en-AU"/>
        </w:rPr>
        <w:sectPr w:rsidR="00AC4A79" w:rsidRPr="006D5ED0" w:rsidSect="00923092">
          <w:footerReference w:type="default" r:id="rId10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6D5ED0">
        <w:rPr>
          <w:rFonts w:eastAsia="Arial" w:cstheme="minorHAnsi"/>
          <w:b/>
          <w:bCs/>
          <w:color w:val="000000" w:themeColor="text1"/>
          <w:lang w:val="en-AU"/>
        </w:rPr>
        <w:br w:type="page"/>
      </w:r>
    </w:p>
    <w:tbl>
      <w:tblPr>
        <w:tblStyle w:val="TableGrid"/>
        <w:tblW w:w="4978" w:type="pct"/>
        <w:tblLook w:val="04A0" w:firstRow="1" w:lastRow="0" w:firstColumn="1" w:lastColumn="0" w:noHBand="0" w:noVBand="1"/>
      </w:tblPr>
      <w:tblGrid>
        <w:gridCol w:w="502"/>
        <w:gridCol w:w="5390"/>
        <w:gridCol w:w="6196"/>
        <w:gridCol w:w="1799"/>
      </w:tblGrid>
      <w:tr w:rsidR="0004264D" w:rsidRPr="001A06FF" w14:paraId="46AF3417" w14:textId="642A4945" w:rsidTr="0004264D">
        <w:trPr>
          <w:cantSplit/>
          <w:tblHeader/>
        </w:trPr>
        <w:tc>
          <w:tcPr>
            <w:tcW w:w="135" w:type="pct"/>
            <w:shd w:val="clear" w:color="auto" w:fill="002060"/>
          </w:tcPr>
          <w:p w14:paraId="323885EC" w14:textId="610FC3B8" w:rsidR="00801BDF" w:rsidRPr="001A06FF" w:rsidRDefault="0004264D" w:rsidP="00923092">
            <w:pPr>
              <w:pStyle w:val="ListParagraph"/>
              <w:spacing w:before="60" w:after="60" w:line="240" w:lineRule="auto"/>
              <w:ind w:left="22"/>
              <w:contextualSpacing w:val="0"/>
              <w:jc w:val="center"/>
              <w:rPr>
                <w:rFonts w:eastAsia="Arial" w:cstheme="minorHAnsi"/>
                <w:b/>
                <w:bCs/>
                <w:color w:val="FFFFFF" w:themeColor="background1"/>
              </w:rPr>
            </w:pPr>
            <w:r>
              <w:rPr>
                <w:rFonts w:eastAsia="Arial" w:cstheme="minorHAnsi"/>
                <w:b/>
                <w:bCs/>
                <w:color w:val="FFFFFF" w:themeColor="background1"/>
              </w:rPr>
              <w:lastRenderedPageBreak/>
              <w:t>No</w:t>
            </w:r>
          </w:p>
        </w:tc>
        <w:tc>
          <w:tcPr>
            <w:tcW w:w="1956" w:type="pct"/>
            <w:shd w:val="clear" w:color="auto" w:fill="002060"/>
          </w:tcPr>
          <w:p w14:paraId="669BD93F" w14:textId="77A93A8F" w:rsidR="00801BDF" w:rsidRPr="001A06FF" w:rsidRDefault="00801BDF" w:rsidP="00923092">
            <w:pPr>
              <w:spacing w:before="60" w:line="240" w:lineRule="auto"/>
              <w:ind w:left="-5"/>
              <w:jc w:val="center"/>
              <w:rPr>
                <w:rFonts w:eastAsia="Arial" w:cstheme="minorHAnsi"/>
                <w:b/>
                <w:bCs/>
                <w:color w:val="FFFFFF" w:themeColor="background1"/>
                <w:lang w:val="en-AU"/>
              </w:rPr>
            </w:pPr>
            <w:r w:rsidRPr="001A06FF">
              <w:rPr>
                <w:rFonts w:eastAsia="Arial" w:cstheme="minorHAnsi"/>
                <w:b/>
                <w:bCs/>
                <w:color w:val="FFFFFF" w:themeColor="background1"/>
                <w:lang w:val="en-AU"/>
              </w:rPr>
              <w:t>Recommendation</w:t>
            </w:r>
          </w:p>
        </w:tc>
        <w:tc>
          <w:tcPr>
            <w:tcW w:w="2246" w:type="pct"/>
            <w:shd w:val="clear" w:color="auto" w:fill="002060"/>
          </w:tcPr>
          <w:p w14:paraId="49A47F29" w14:textId="4ABBC02F" w:rsidR="00801BDF" w:rsidRPr="001A06FF" w:rsidRDefault="00801BDF" w:rsidP="00923092">
            <w:pPr>
              <w:spacing w:before="60" w:line="240" w:lineRule="auto"/>
              <w:jc w:val="center"/>
              <w:rPr>
                <w:rFonts w:eastAsia="Arial"/>
                <w:b/>
                <w:color w:val="FFFFFF" w:themeColor="background1"/>
                <w:lang w:val="en-AU"/>
              </w:rPr>
            </w:pPr>
            <w:r>
              <w:rPr>
                <w:rFonts w:eastAsia="Arial"/>
                <w:b/>
                <w:color w:val="FFFFFF" w:themeColor="background1"/>
                <w:lang w:val="en-AU"/>
              </w:rPr>
              <w:t>Response</w:t>
            </w:r>
          </w:p>
        </w:tc>
        <w:tc>
          <w:tcPr>
            <w:tcW w:w="664" w:type="pct"/>
            <w:shd w:val="clear" w:color="auto" w:fill="002060"/>
          </w:tcPr>
          <w:p w14:paraId="4549BC20" w14:textId="65F50629" w:rsidR="00801BDF" w:rsidRPr="001A06FF" w:rsidRDefault="00801BDF" w:rsidP="00923092">
            <w:pPr>
              <w:spacing w:before="60" w:line="240" w:lineRule="auto"/>
              <w:jc w:val="center"/>
              <w:rPr>
                <w:rFonts w:eastAsia="Arial" w:cstheme="minorHAnsi"/>
                <w:b/>
                <w:bCs/>
                <w:color w:val="FFFFFF" w:themeColor="background1"/>
                <w:lang w:val="en-AU"/>
              </w:rPr>
            </w:pPr>
            <w:r w:rsidRPr="001A06FF">
              <w:rPr>
                <w:rFonts w:eastAsia="Arial" w:cstheme="minorHAnsi"/>
                <w:b/>
                <w:bCs/>
                <w:color w:val="FFFFFF" w:themeColor="background1"/>
                <w:lang w:val="en-AU"/>
              </w:rPr>
              <w:t>Timeframe</w:t>
            </w:r>
          </w:p>
        </w:tc>
      </w:tr>
      <w:tr w:rsidR="0004264D" w:rsidRPr="00142C73" w14:paraId="594F9A96" w14:textId="26B109F6" w:rsidTr="00923092">
        <w:trPr>
          <w:cantSplit/>
        </w:trPr>
        <w:tc>
          <w:tcPr>
            <w:tcW w:w="135" w:type="pct"/>
          </w:tcPr>
          <w:p w14:paraId="1AC566F4" w14:textId="77777777" w:rsidR="00801BDF" w:rsidRPr="00142C73" w:rsidRDefault="00801BDF" w:rsidP="00923092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contextualSpacing w:val="0"/>
              <w:jc w:val="center"/>
              <w:rPr>
                <w:rFonts w:eastAsia="Arial" w:cstheme="minorHAnsi"/>
                <w:color w:val="000000" w:themeColor="text1"/>
              </w:rPr>
            </w:pPr>
          </w:p>
        </w:tc>
        <w:tc>
          <w:tcPr>
            <w:tcW w:w="1956" w:type="pct"/>
          </w:tcPr>
          <w:p w14:paraId="624F6579" w14:textId="77777777" w:rsidR="00801BDF" w:rsidRPr="00605CEB" w:rsidRDefault="00801BDF" w:rsidP="00923092">
            <w:pPr>
              <w:spacing w:before="60" w:line="240" w:lineRule="auto"/>
              <w:ind w:left="-5"/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</w:pPr>
            <w:r w:rsidRPr="00605CEB"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  <w:t>Enhance engagement with ASEAN endorsement processes</w:t>
            </w:r>
          </w:p>
          <w:p w14:paraId="27431F60" w14:textId="140E7E6D" w:rsidR="00586A65" w:rsidRPr="00586A65" w:rsidRDefault="00801BDF" w:rsidP="00923092">
            <w:pPr>
              <w:spacing w:before="60" w:line="240" w:lineRule="auto"/>
              <w:ind w:left="-5"/>
              <w:rPr>
                <w:rFonts w:eastAsia="Arial" w:cstheme="minorHAnsi"/>
                <w:color w:val="000000" w:themeColor="text1"/>
                <w:lang w:val="en-AU"/>
              </w:rPr>
            </w:pPr>
            <w:r>
              <w:rPr>
                <w:rFonts w:eastAsia="Arial" w:cstheme="minorHAnsi"/>
                <w:color w:val="000000" w:themeColor="text1"/>
                <w:lang w:val="en-AU"/>
              </w:rPr>
              <w:t xml:space="preserve">Proposed steps to be taken: </w:t>
            </w:r>
          </w:p>
          <w:p w14:paraId="0EF1C31C" w14:textId="77777777" w:rsidR="00586A65" w:rsidRDefault="00586A65" w:rsidP="00923092">
            <w:pPr>
              <w:pStyle w:val="Default"/>
              <w:numPr>
                <w:ilvl w:val="0"/>
                <w:numId w:val="5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Engage more directly with ASEAN Secretariat to support endorsement procedures, for example through proactive consultations. </w:t>
            </w:r>
          </w:p>
          <w:p w14:paraId="487FA4D7" w14:textId="77777777" w:rsidR="00586A65" w:rsidRDefault="00586A65" w:rsidP="00923092">
            <w:pPr>
              <w:pStyle w:val="Default"/>
              <w:numPr>
                <w:ilvl w:val="0"/>
                <w:numId w:val="5"/>
              </w:numPr>
              <w:spacing w:before="60" w:after="60"/>
              <w:rPr>
                <w:sz w:val="22"/>
                <w:szCs w:val="22"/>
              </w:rPr>
            </w:pPr>
            <w:r w:rsidRPr="00586A65">
              <w:rPr>
                <w:sz w:val="22"/>
                <w:szCs w:val="22"/>
              </w:rPr>
              <w:t xml:space="preserve">Propose clearer timeframes for each approval step. </w:t>
            </w:r>
          </w:p>
          <w:p w14:paraId="4A6E3B49" w14:textId="64E23F9E" w:rsidR="00586A65" w:rsidRPr="00923092" w:rsidRDefault="00586A65" w:rsidP="00923092">
            <w:pPr>
              <w:pStyle w:val="Default"/>
              <w:numPr>
                <w:ilvl w:val="0"/>
                <w:numId w:val="5"/>
              </w:numPr>
              <w:spacing w:before="60" w:after="60"/>
              <w:rPr>
                <w:rFonts w:eastAsia="Arial" w:cstheme="minorHAnsi"/>
                <w:color w:val="000000" w:themeColor="text1"/>
              </w:rPr>
            </w:pPr>
            <w:r w:rsidRPr="00586A65">
              <w:rPr>
                <w:sz w:val="22"/>
                <w:szCs w:val="22"/>
              </w:rPr>
              <w:t>Develop a joint understanding outlining ASEAN endorsement process, and how the project can better support these</w:t>
            </w:r>
            <w:r w:rsidR="005F1098">
              <w:rPr>
                <w:sz w:val="22"/>
                <w:szCs w:val="22"/>
              </w:rPr>
              <w:t>.</w:t>
            </w:r>
          </w:p>
        </w:tc>
        <w:tc>
          <w:tcPr>
            <w:tcW w:w="2246" w:type="pct"/>
          </w:tcPr>
          <w:p w14:paraId="2EEB291C" w14:textId="731C39D9" w:rsidR="00801BDF" w:rsidRPr="00801BDF" w:rsidRDefault="006F0D21" w:rsidP="00923092">
            <w:pPr>
              <w:spacing w:before="60" w:line="240" w:lineRule="auto"/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</w:pPr>
            <w:r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  <w:t>Support in principle</w:t>
            </w:r>
            <w:r w:rsidR="008F6862"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  <w:t xml:space="preserve"> </w:t>
            </w:r>
            <w:r w:rsidR="00CB2D81"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  <w:t>– subject to applicable ASEAN guide</w:t>
            </w:r>
            <w:r w:rsidR="00126C28"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  <w:t>lines</w:t>
            </w:r>
          </w:p>
          <w:p w14:paraId="06EDA343" w14:textId="77C113A7" w:rsidR="00801BDF" w:rsidRDefault="003B217E" w:rsidP="00923092">
            <w:pPr>
              <w:spacing w:before="60" w:line="240" w:lineRule="auto"/>
              <w:rPr>
                <w:rFonts w:eastAsia="Arial" w:cstheme="minorHAnsi"/>
                <w:i/>
                <w:iCs/>
                <w:color w:val="000000" w:themeColor="text1"/>
                <w:lang w:val="en-AU"/>
              </w:rPr>
            </w:pPr>
            <w:r>
              <w:rPr>
                <w:rFonts w:eastAsia="Arial" w:cstheme="minorHAnsi"/>
                <w:color w:val="000000" w:themeColor="text1"/>
                <w:lang w:val="en-AU"/>
              </w:rPr>
              <w:t xml:space="preserve">The design will consider ways to improve </w:t>
            </w:r>
            <w:proofErr w:type="gramStart"/>
            <w:r>
              <w:rPr>
                <w:rFonts w:eastAsia="Arial" w:cstheme="minorHAnsi"/>
                <w:color w:val="000000" w:themeColor="text1"/>
                <w:lang w:val="en-AU"/>
              </w:rPr>
              <w:t>efficiencies,</w:t>
            </w:r>
            <w:proofErr w:type="gramEnd"/>
            <w:r>
              <w:rPr>
                <w:rFonts w:eastAsia="Arial" w:cstheme="minorHAnsi"/>
                <w:color w:val="000000" w:themeColor="text1"/>
                <w:lang w:val="en-AU"/>
              </w:rPr>
              <w:t xml:space="preserve"> however </w:t>
            </w:r>
            <w:r w:rsidR="00801BDF">
              <w:rPr>
                <w:rFonts w:eastAsia="Arial" w:cstheme="minorHAnsi"/>
                <w:color w:val="000000" w:themeColor="text1"/>
                <w:lang w:val="en-AU"/>
              </w:rPr>
              <w:t xml:space="preserve">ASEAN endorsement procedures and timeframes </w:t>
            </w:r>
            <w:r w:rsidR="00BE3CF4">
              <w:rPr>
                <w:rFonts w:eastAsia="Arial" w:cstheme="minorHAnsi"/>
                <w:color w:val="000000" w:themeColor="text1"/>
                <w:lang w:val="en-AU"/>
              </w:rPr>
              <w:t>are</w:t>
            </w:r>
            <w:r w:rsidR="00801BDF">
              <w:rPr>
                <w:rFonts w:eastAsia="Arial" w:cstheme="minorHAnsi"/>
                <w:color w:val="000000" w:themeColor="text1"/>
                <w:lang w:val="en-AU"/>
              </w:rPr>
              <w:t xml:space="preserve"> stipulated in the </w:t>
            </w:r>
            <w:r w:rsidR="00801BDF" w:rsidRPr="00B45EC9">
              <w:rPr>
                <w:rFonts w:eastAsia="Arial" w:cstheme="minorHAnsi"/>
                <w:i/>
                <w:iCs/>
                <w:color w:val="000000" w:themeColor="text1"/>
                <w:lang w:val="en-AU"/>
              </w:rPr>
              <w:t>ASEAN Cooperation Project Design and Management Manual</w:t>
            </w:r>
            <w:r w:rsidR="00801BDF">
              <w:rPr>
                <w:rFonts w:eastAsia="Arial" w:cstheme="minorHAnsi"/>
                <w:i/>
                <w:iCs/>
                <w:color w:val="000000" w:themeColor="text1"/>
                <w:lang w:val="en-AU"/>
              </w:rPr>
              <w:t xml:space="preserve">. </w:t>
            </w:r>
          </w:p>
          <w:p w14:paraId="3F6550DC" w14:textId="2FA17040" w:rsidR="008F6862" w:rsidRDefault="008F6862" w:rsidP="00923092">
            <w:pPr>
              <w:spacing w:before="60" w:line="240" w:lineRule="auto"/>
              <w:rPr>
                <w:rFonts w:eastAsia="Arial" w:cstheme="minorHAnsi"/>
                <w:color w:val="000000" w:themeColor="text1"/>
                <w:lang w:val="en-AU"/>
              </w:rPr>
            </w:pPr>
            <w:r>
              <w:rPr>
                <w:rFonts w:eastAsia="Arial" w:cstheme="minorHAnsi"/>
                <w:color w:val="000000" w:themeColor="text1"/>
                <w:lang w:val="en-AU"/>
              </w:rPr>
              <w:t xml:space="preserve">These processes have been endorsed by ASEAN Member </w:t>
            </w:r>
            <w:proofErr w:type="gramStart"/>
            <w:r>
              <w:rPr>
                <w:rFonts w:eastAsia="Arial" w:cstheme="minorHAnsi"/>
                <w:color w:val="000000" w:themeColor="text1"/>
                <w:lang w:val="en-AU"/>
              </w:rPr>
              <w:t>States, and</w:t>
            </w:r>
            <w:proofErr w:type="gramEnd"/>
            <w:r>
              <w:rPr>
                <w:rFonts w:eastAsia="Arial" w:cstheme="minorHAnsi"/>
                <w:color w:val="000000" w:themeColor="text1"/>
                <w:lang w:val="en-AU"/>
              </w:rPr>
              <w:t xml:space="preserve"> are managed by the ASEAN Secretariat. All</w:t>
            </w:r>
            <w:r w:rsidR="0077746C">
              <w:rPr>
                <w:rFonts w:eastAsia="Arial" w:cstheme="minorHAnsi"/>
                <w:color w:val="000000" w:themeColor="text1"/>
                <w:lang w:val="en-AU"/>
              </w:rPr>
              <w:t xml:space="preserve"> dialogue</w:t>
            </w:r>
            <w:r>
              <w:rPr>
                <w:rFonts w:eastAsia="Arial" w:cstheme="minorHAnsi"/>
                <w:color w:val="000000" w:themeColor="text1"/>
                <w:lang w:val="en-AU"/>
              </w:rPr>
              <w:t xml:space="preserve"> partners, such as Australia, seeking to deliver ASEAN-endorsed activities must follow these processes.</w:t>
            </w:r>
          </w:p>
          <w:p w14:paraId="4FF085F3" w14:textId="727E520E" w:rsidR="00E43C33" w:rsidRPr="006D5ED0" w:rsidRDefault="008F6862" w:rsidP="00923092">
            <w:pPr>
              <w:spacing w:before="60" w:line="240" w:lineRule="auto"/>
              <w:rPr>
                <w:rFonts w:eastAsia="Arial" w:cstheme="minorHAnsi"/>
                <w:color w:val="000000" w:themeColor="text1"/>
                <w:lang w:val="en-AU"/>
              </w:rPr>
            </w:pPr>
            <w:r>
              <w:rPr>
                <w:rFonts w:eastAsia="Arial" w:cstheme="minorHAnsi"/>
                <w:color w:val="000000" w:themeColor="text1"/>
                <w:lang w:val="en-AU"/>
              </w:rPr>
              <w:t>In the successor program, DFAT will continue to work closely with the ASEAN Secretariat and ASEAN Member States on endorsement proc</w:t>
            </w:r>
            <w:r w:rsidR="0004264D">
              <w:rPr>
                <w:rFonts w:eastAsia="Arial" w:cstheme="minorHAnsi"/>
                <w:color w:val="000000" w:themeColor="text1"/>
                <w:lang w:val="en-AU"/>
              </w:rPr>
              <w:t>e</w:t>
            </w:r>
            <w:r>
              <w:rPr>
                <w:rFonts w:eastAsia="Arial" w:cstheme="minorHAnsi"/>
                <w:color w:val="000000" w:themeColor="text1"/>
                <w:lang w:val="en-AU"/>
              </w:rPr>
              <w:t>sses and timelines</w:t>
            </w:r>
            <w:r w:rsidR="0077746C">
              <w:rPr>
                <w:rFonts w:eastAsia="Arial" w:cstheme="minorHAnsi"/>
                <w:color w:val="000000" w:themeColor="text1"/>
                <w:lang w:val="en-AU"/>
              </w:rPr>
              <w:t>.</w:t>
            </w:r>
          </w:p>
        </w:tc>
        <w:tc>
          <w:tcPr>
            <w:tcW w:w="664" w:type="pct"/>
          </w:tcPr>
          <w:p w14:paraId="70D7FCBA" w14:textId="731EE083" w:rsidR="00801BDF" w:rsidRPr="006D5ED0" w:rsidRDefault="003812D4" w:rsidP="00923092">
            <w:pPr>
              <w:spacing w:before="60" w:line="240" w:lineRule="auto"/>
              <w:rPr>
                <w:rFonts w:eastAsia="Arial" w:cstheme="minorHAnsi"/>
                <w:color w:val="000000" w:themeColor="text1"/>
                <w:lang w:val="en-AU"/>
              </w:rPr>
            </w:pPr>
            <w:r>
              <w:rPr>
                <w:rFonts w:eastAsia="Arial" w:cstheme="minorHAnsi"/>
                <w:color w:val="000000" w:themeColor="text1"/>
                <w:lang w:val="en-AU"/>
              </w:rPr>
              <w:t xml:space="preserve">September </w:t>
            </w:r>
            <w:r w:rsidR="00801BDF">
              <w:rPr>
                <w:rFonts w:eastAsia="Arial" w:cstheme="minorHAnsi"/>
                <w:color w:val="000000" w:themeColor="text1"/>
                <w:lang w:val="en-AU"/>
              </w:rPr>
              <w:t xml:space="preserve">2025 </w:t>
            </w:r>
          </w:p>
        </w:tc>
      </w:tr>
      <w:tr w:rsidR="0004264D" w:rsidRPr="00142C73" w14:paraId="6A6DB660" w14:textId="3A36A1ED" w:rsidTr="00923092">
        <w:trPr>
          <w:cantSplit/>
        </w:trPr>
        <w:tc>
          <w:tcPr>
            <w:tcW w:w="135" w:type="pct"/>
          </w:tcPr>
          <w:p w14:paraId="4A346362" w14:textId="77777777" w:rsidR="00801BDF" w:rsidRPr="00142C73" w:rsidRDefault="00801BDF" w:rsidP="00923092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contextualSpacing w:val="0"/>
              <w:jc w:val="center"/>
              <w:rPr>
                <w:rFonts w:eastAsia="Arial" w:cstheme="minorHAnsi"/>
                <w:color w:val="000000" w:themeColor="text1"/>
              </w:rPr>
            </w:pPr>
          </w:p>
        </w:tc>
        <w:tc>
          <w:tcPr>
            <w:tcW w:w="1956" w:type="pct"/>
          </w:tcPr>
          <w:p w14:paraId="7FC87F57" w14:textId="77777777" w:rsidR="00801BDF" w:rsidRDefault="00801BDF" w:rsidP="00923092">
            <w:pPr>
              <w:spacing w:before="60" w:line="240" w:lineRule="auto"/>
              <w:ind w:left="-5"/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</w:pPr>
            <w:r w:rsidRPr="00605CEB"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  <w:t>Enhance engagement with Australian Government Departments (OGDs)</w:t>
            </w:r>
          </w:p>
          <w:p w14:paraId="1E758976" w14:textId="0686BE2E" w:rsidR="00BE3DA0" w:rsidRPr="004F0E79" w:rsidRDefault="00BE3DA0" w:rsidP="00923092">
            <w:pPr>
              <w:pStyle w:val="Default"/>
              <w:spacing w:before="60" w:after="60"/>
              <w:rPr>
                <w:color w:val="auto"/>
                <w:sz w:val="22"/>
                <w:szCs w:val="22"/>
              </w:rPr>
            </w:pPr>
            <w:r w:rsidRPr="004F0E79">
              <w:rPr>
                <w:color w:val="auto"/>
                <w:sz w:val="22"/>
                <w:szCs w:val="22"/>
              </w:rPr>
              <w:t>Proposed steps to be taken:</w:t>
            </w:r>
          </w:p>
          <w:p w14:paraId="1D9F8AA2" w14:textId="77777777" w:rsidR="00BE3DA0" w:rsidRDefault="00BE3DA0" w:rsidP="00923092">
            <w:pPr>
              <w:pStyle w:val="Default"/>
              <w:numPr>
                <w:ilvl w:val="0"/>
                <w:numId w:val="6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Organise inter-departmental briefings on program objectives and benefits. </w:t>
            </w:r>
          </w:p>
          <w:p w14:paraId="427BA9EC" w14:textId="77777777" w:rsidR="00E825A3" w:rsidRDefault="00BE3DA0" w:rsidP="00923092">
            <w:pPr>
              <w:pStyle w:val="Default"/>
              <w:numPr>
                <w:ilvl w:val="0"/>
                <w:numId w:val="6"/>
              </w:numPr>
              <w:spacing w:before="60" w:after="60"/>
              <w:rPr>
                <w:sz w:val="22"/>
                <w:szCs w:val="22"/>
              </w:rPr>
            </w:pPr>
            <w:r w:rsidRPr="00BE3DA0">
              <w:rPr>
                <w:sz w:val="22"/>
                <w:szCs w:val="22"/>
              </w:rPr>
              <w:t>Share preliminary work plans with OGDs several months ahead to facilitate budgeting and</w:t>
            </w:r>
            <w:r w:rsidR="00E825A3">
              <w:rPr>
                <w:sz w:val="22"/>
                <w:szCs w:val="22"/>
              </w:rPr>
              <w:t xml:space="preserve"> </w:t>
            </w:r>
            <w:r w:rsidRPr="00BE3DA0">
              <w:rPr>
                <w:sz w:val="22"/>
                <w:szCs w:val="22"/>
              </w:rPr>
              <w:t xml:space="preserve">participation. </w:t>
            </w:r>
          </w:p>
          <w:p w14:paraId="55A284D5" w14:textId="77777777" w:rsidR="00E825A3" w:rsidRDefault="00BE3DA0" w:rsidP="00923092">
            <w:pPr>
              <w:pStyle w:val="Default"/>
              <w:numPr>
                <w:ilvl w:val="0"/>
                <w:numId w:val="6"/>
              </w:numPr>
              <w:spacing w:before="60" w:after="60"/>
              <w:rPr>
                <w:sz w:val="22"/>
                <w:szCs w:val="22"/>
              </w:rPr>
            </w:pPr>
            <w:r w:rsidRPr="00E825A3">
              <w:rPr>
                <w:sz w:val="22"/>
                <w:szCs w:val="22"/>
              </w:rPr>
              <w:t xml:space="preserve">Include OGDs in immediate planning stages to align activities with their priorities. </w:t>
            </w:r>
          </w:p>
          <w:p w14:paraId="5DEA5F22" w14:textId="2248965C" w:rsidR="00BE3DA0" w:rsidRPr="00E825A3" w:rsidRDefault="00BE3DA0" w:rsidP="00923092">
            <w:pPr>
              <w:pStyle w:val="Default"/>
              <w:numPr>
                <w:ilvl w:val="0"/>
                <w:numId w:val="6"/>
              </w:numPr>
              <w:spacing w:before="60" w:after="60"/>
              <w:rPr>
                <w:sz w:val="22"/>
                <w:szCs w:val="22"/>
              </w:rPr>
            </w:pPr>
            <w:r w:rsidRPr="00E825A3">
              <w:rPr>
                <w:sz w:val="22"/>
                <w:szCs w:val="22"/>
              </w:rPr>
              <w:t xml:space="preserve">Provide advance notice of upcoming activities. </w:t>
            </w:r>
          </w:p>
        </w:tc>
        <w:tc>
          <w:tcPr>
            <w:tcW w:w="2246" w:type="pct"/>
          </w:tcPr>
          <w:p w14:paraId="4F6F1B69" w14:textId="40E8EA5B" w:rsidR="00AE29B0" w:rsidRPr="00AE29B0" w:rsidRDefault="00E43C33" w:rsidP="00923092">
            <w:pPr>
              <w:spacing w:before="60" w:line="240" w:lineRule="auto"/>
              <w:rPr>
                <w:b/>
                <w:bCs/>
              </w:rPr>
            </w:pPr>
            <w:r w:rsidRPr="00923092"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  <w:t>Support</w:t>
            </w:r>
            <w:r>
              <w:rPr>
                <w:b/>
                <w:bCs/>
              </w:rPr>
              <w:t xml:space="preserve"> </w:t>
            </w:r>
          </w:p>
          <w:p w14:paraId="0BF389B2" w14:textId="67DF9832" w:rsidR="005F43EB" w:rsidRPr="00923092" w:rsidRDefault="00F55A26" w:rsidP="00923092">
            <w:pPr>
              <w:spacing w:before="60" w:line="240" w:lineRule="auto"/>
              <w:rPr>
                <w:rFonts w:eastAsia="Arial" w:cstheme="minorHAnsi"/>
                <w:color w:val="000000" w:themeColor="text1"/>
              </w:rPr>
            </w:pPr>
            <w:r w:rsidRPr="00923092">
              <w:rPr>
                <w:rFonts w:eastAsia="Arial" w:cstheme="minorHAnsi"/>
                <w:color w:val="000000" w:themeColor="text1"/>
                <w:lang w:val="en-AU"/>
              </w:rPr>
              <w:t xml:space="preserve">DFAT </w:t>
            </w:r>
            <w:r w:rsidR="001E404C" w:rsidRPr="00923092">
              <w:rPr>
                <w:rFonts w:eastAsia="Arial" w:cstheme="minorHAnsi"/>
                <w:color w:val="000000" w:themeColor="text1"/>
                <w:lang w:val="en-AU"/>
              </w:rPr>
              <w:t>supports</w:t>
            </w:r>
            <w:r w:rsidRPr="00923092">
              <w:rPr>
                <w:rFonts w:eastAsia="Arial" w:cstheme="minorHAnsi"/>
                <w:color w:val="000000" w:themeColor="text1"/>
                <w:lang w:val="en-AU"/>
              </w:rPr>
              <w:t xml:space="preserve"> </w:t>
            </w:r>
            <w:r w:rsidR="006B24A6" w:rsidRPr="00923092">
              <w:rPr>
                <w:rFonts w:eastAsia="Arial" w:cstheme="minorHAnsi"/>
                <w:color w:val="000000" w:themeColor="text1"/>
                <w:lang w:val="en-AU"/>
              </w:rPr>
              <w:t xml:space="preserve">this recommendation. </w:t>
            </w:r>
            <w:r w:rsidR="0096212F" w:rsidRPr="00923092">
              <w:rPr>
                <w:rFonts w:eastAsia="Arial" w:cstheme="minorHAnsi"/>
                <w:color w:val="000000" w:themeColor="text1"/>
                <w:lang w:val="en-AU"/>
              </w:rPr>
              <w:t xml:space="preserve">The design will consider </w:t>
            </w:r>
            <w:r w:rsidR="008D061E" w:rsidRPr="00923092">
              <w:rPr>
                <w:rFonts w:eastAsia="Arial" w:cstheme="minorHAnsi"/>
                <w:color w:val="000000" w:themeColor="text1"/>
                <w:lang w:val="en-AU"/>
              </w:rPr>
              <w:t xml:space="preserve">ways to </w:t>
            </w:r>
            <w:r w:rsidR="0096212F" w:rsidRPr="00923092">
              <w:rPr>
                <w:rFonts w:eastAsia="Arial" w:cstheme="minorHAnsi"/>
                <w:color w:val="000000" w:themeColor="text1"/>
                <w:lang w:val="en-AU"/>
              </w:rPr>
              <w:t>e</w:t>
            </w:r>
            <w:r w:rsidR="00924700" w:rsidRPr="00923092">
              <w:rPr>
                <w:rFonts w:eastAsia="Arial" w:cstheme="minorHAnsi"/>
                <w:color w:val="000000" w:themeColor="text1"/>
                <w:lang w:val="en-AU"/>
              </w:rPr>
              <w:t>nhance engagement with Australia</w:t>
            </w:r>
            <w:r w:rsidR="008D061E" w:rsidRPr="00923092">
              <w:rPr>
                <w:rFonts w:eastAsia="Arial" w:cstheme="minorHAnsi"/>
                <w:color w:val="000000" w:themeColor="text1"/>
                <w:lang w:val="en-AU"/>
              </w:rPr>
              <w:t>n</w:t>
            </w:r>
            <w:r w:rsidR="00924700" w:rsidRPr="00923092">
              <w:rPr>
                <w:rFonts w:eastAsia="Arial" w:cstheme="minorHAnsi"/>
                <w:color w:val="000000" w:themeColor="text1"/>
                <w:lang w:val="en-AU"/>
              </w:rPr>
              <w:t xml:space="preserve"> Government agencies, including </w:t>
            </w:r>
            <w:r w:rsidR="0096212F" w:rsidRPr="00923092">
              <w:rPr>
                <w:rFonts w:eastAsia="Arial" w:cstheme="minorHAnsi"/>
                <w:color w:val="000000" w:themeColor="text1"/>
                <w:lang w:val="en-AU"/>
              </w:rPr>
              <w:t xml:space="preserve">through </w:t>
            </w:r>
            <w:r w:rsidR="00924700" w:rsidRPr="00923092">
              <w:rPr>
                <w:rFonts w:eastAsia="Arial" w:cstheme="minorHAnsi"/>
                <w:color w:val="000000" w:themeColor="text1"/>
                <w:lang w:val="en-AU"/>
              </w:rPr>
              <w:t>consultations with agencies. The design</w:t>
            </w:r>
            <w:r w:rsidR="008F6862" w:rsidRPr="00923092">
              <w:rPr>
                <w:rFonts w:eastAsia="Arial" w:cstheme="minorHAnsi"/>
                <w:color w:val="000000" w:themeColor="text1"/>
                <w:lang w:val="en-AU"/>
              </w:rPr>
              <w:t xml:space="preserve"> </w:t>
            </w:r>
            <w:r w:rsidR="005F43EB" w:rsidRPr="00923092">
              <w:rPr>
                <w:rFonts w:eastAsia="Arial" w:cstheme="minorHAnsi"/>
                <w:color w:val="000000" w:themeColor="text1"/>
                <w:lang w:val="en-AU"/>
              </w:rPr>
              <w:t xml:space="preserve">will </w:t>
            </w:r>
            <w:r w:rsidR="0096212F" w:rsidRPr="00923092">
              <w:rPr>
                <w:rFonts w:eastAsia="Arial" w:cstheme="minorHAnsi"/>
                <w:color w:val="000000" w:themeColor="text1"/>
                <w:lang w:val="en-AU"/>
              </w:rPr>
              <w:t xml:space="preserve">also </w:t>
            </w:r>
            <w:r w:rsidR="005F43EB" w:rsidRPr="00923092">
              <w:rPr>
                <w:rFonts w:eastAsia="Arial" w:cstheme="minorHAnsi"/>
                <w:color w:val="000000" w:themeColor="text1"/>
                <w:lang w:val="en-AU"/>
              </w:rPr>
              <w:t>consider</w:t>
            </w:r>
            <w:r w:rsidR="0077746C">
              <w:rPr>
                <w:rFonts w:eastAsia="Arial" w:cstheme="minorHAnsi"/>
                <w:color w:val="000000" w:themeColor="text1"/>
                <w:lang w:val="en-AU"/>
              </w:rPr>
              <w:t xml:space="preserve"> an efficient</w:t>
            </w:r>
            <w:r w:rsidR="005F43EB" w:rsidRPr="00923092">
              <w:rPr>
                <w:rFonts w:eastAsia="Arial" w:cstheme="minorHAnsi"/>
                <w:color w:val="000000" w:themeColor="text1"/>
                <w:lang w:val="en-AU"/>
              </w:rPr>
              <w:t xml:space="preserve"> </w:t>
            </w:r>
            <w:r w:rsidR="00DA4648" w:rsidRPr="00923092">
              <w:rPr>
                <w:rFonts w:eastAsia="Arial" w:cstheme="minorHAnsi"/>
                <w:color w:val="000000" w:themeColor="text1"/>
                <w:lang w:val="en-AU"/>
              </w:rPr>
              <w:t xml:space="preserve">governance mechanism </w:t>
            </w:r>
            <w:r w:rsidR="003C384C" w:rsidRPr="00923092">
              <w:rPr>
                <w:rFonts w:eastAsia="Arial" w:cstheme="minorHAnsi"/>
                <w:color w:val="000000" w:themeColor="text1"/>
                <w:lang w:val="en-AU"/>
              </w:rPr>
              <w:t xml:space="preserve">for strengthened coordination </w:t>
            </w:r>
            <w:r w:rsidR="0077746C">
              <w:rPr>
                <w:rFonts w:eastAsia="Arial" w:cstheme="minorHAnsi"/>
                <w:color w:val="000000" w:themeColor="text1"/>
                <w:lang w:val="en-AU"/>
              </w:rPr>
              <w:t>across government</w:t>
            </w:r>
            <w:r w:rsidR="00DA4648" w:rsidRPr="00923092">
              <w:rPr>
                <w:rFonts w:eastAsia="Arial" w:cstheme="minorHAnsi"/>
                <w:color w:val="000000" w:themeColor="text1"/>
                <w:lang w:val="en-AU"/>
              </w:rPr>
              <w:t xml:space="preserve">. </w:t>
            </w:r>
          </w:p>
          <w:p w14:paraId="4028706C" w14:textId="7CC7846A" w:rsidR="002C64B3" w:rsidRPr="00706AEA" w:rsidRDefault="00E6432F" w:rsidP="00923092">
            <w:pPr>
              <w:spacing w:before="60" w:line="240" w:lineRule="auto"/>
            </w:pPr>
            <w:r w:rsidRPr="00923092">
              <w:rPr>
                <w:rFonts w:eastAsia="Arial" w:cstheme="minorHAnsi"/>
                <w:color w:val="000000" w:themeColor="text1"/>
                <w:lang w:val="en-AU"/>
              </w:rPr>
              <w:t>The design will f</w:t>
            </w:r>
            <w:r w:rsidR="00AC174B" w:rsidRPr="00923092">
              <w:rPr>
                <w:rFonts w:eastAsia="Arial" w:cstheme="minorHAnsi"/>
                <w:color w:val="000000" w:themeColor="text1"/>
                <w:lang w:val="en-AU"/>
              </w:rPr>
              <w:t xml:space="preserve">urther consider </w:t>
            </w:r>
            <w:r w:rsidR="00790B34" w:rsidRPr="00923092">
              <w:rPr>
                <w:rFonts w:eastAsia="Arial" w:cstheme="minorHAnsi"/>
                <w:color w:val="000000" w:themeColor="text1"/>
                <w:lang w:val="en-AU"/>
              </w:rPr>
              <w:t xml:space="preserve">the </w:t>
            </w:r>
            <w:r w:rsidR="00AC174B" w:rsidRPr="00923092">
              <w:rPr>
                <w:rFonts w:eastAsia="Arial" w:cstheme="minorHAnsi"/>
                <w:color w:val="000000" w:themeColor="text1"/>
                <w:lang w:val="en-AU"/>
              </w:rPr>
              <w:t>‘proposed steps to be taken’.</w:t>
            </w:r>
          </w:p>
        </w:tc>
        <w:tc>
          <w:tcPr>
            <w:tcW w:w="664" w:type="pct"/>
          </w:tcPr>
          <w:p w14:paraId="5CEED671" w14:textId="07DEA4C3" w:rsidR="00801BDF" w:rsidRPr="00AE29B0" w:rsidRDefault="003812D4" w:rsidP="00923092">
            <w:pPr>
              <w:spacing w:before="60" w:line="240" w:lineRule="auto"/>
              <w:rPr>
                <w:rFonts w:eastAsia="Arial" w:cstheme="minorHAnsi"/>
                <w:color w:val="000000" w:themeColor="text1"/>
              </w:rPr>
            </w:pPr>
            <w:r>
              <w:rPr>
                <w:rFonts w:eastAsia="Arial" w:cstheme="minorHAnsi"/>
                <w:color w:val="000000" w:themeColor="text1"/>
              </w:rPr>
              <w:t xml:space="preserve">September </w:t>
            </w:r>
            <w:r w:rsidR="00D652CC">
              <w:rPr>
                <w:rFonts w:eastAsia="Arial" w:cstheme="minorHAnsi"/>
                <w:color w:val="000000" w:themeColor="text1"/>
              </w:rPr>
              <w:t xml:space="preserve">2025 </w:t>
            </w:r>
          </w:p>
        </w:tc>
      </w:tr>
      <w:tr w:rsidR="0004264D" w:rsidRPr="00142C73" w14:paraId="2324F12D" w14:textId="2FD0361F" w:rsidTr="00923092">
        <w:trPr>
          <w:cantSplit/>
        </w:trPr>
        <w:tc>
          <w:tcPr>
            <w:tcW w:w="135" w:type="pct"/>
          </w:tcPr>
          <w:p w14:paraId="390670CB" w14:textId="77777777" w:rsidR="00801BDF" w:rsidRPr="00142C73" w:rsidRDefault="00801BDF" w:rsidP="00923092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contextualSpacing w:val="0"/>
              <w:jc w:val="center"/>
              <w:rPr>
                <w:rFonts w:eastAsia="Arial" w:cstheme="minorHAnsi"/>
                <w:color w:val="000000" w:themeColor="text1"/>
              </w:rPr>
            </w:pPr>
          </w:p>
        </w:tc>
        <w:tc>
          <w:tcPr>
            <w:tcW w:w="1956" w:type="pct"/>
          </w:tcPr>
          <w:p w14:paraId="025492F7" w14:textId="77777777" w:rsidR="00801BDF" w:rsidRDefault="00801BDF" w:rsidP="00923092">
            <w:pPr>
              <w:spacing w:before="60" w:line="240" w:lineRule="auto"/>
              <w:ind w:left="-5"/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</w:pPr>
            <w:r w:rsidRPr="006562D8"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  <w:t>Maintain and enhance program flexibility and adaptability</w:t>
            </w:r>
          </w:p>
          <w:p w14:paraId="06CDF67E" w14:textId="77777777" w:rsidR="006562D8" w:rsidRDefault="006562D8" w:rsidP="00923092">
            <w:pPr>
              <w:spacing w:before="60" w:line="240" w:lineRule="auto"/>
              <w:ind w:left="-5"/>
              <w:rPr>
                <w:rFonts w:eastAsia="Arial" w:cstheme="minorHAnsi"/>
                <w:color w:val="000000" w:themeColor="text1"/>
                <w:lang w:val="en-AU"/>
              </w:rPr>
            </w:pPr>
            <w:r w:rsidRPr="00387F29">
              <w:rPr>
                <w:rFonts w:eastAsia="Arial" w:cstheme="minorHAnsi"/>
                <w:color w:val="000000" w:themeColor="text1"/>
                <w:lang w:val="en-AU"/>
              </w:rPr>
              <w:t xml:space="preserve">Proposed steps to be taken: </w:t>
            </w:r>
          </w:p>
          <w:p w14:paraId="43DA6156" w14:textId="77777777" w:rsidR="008F086D" w:rsidRDefault="008F086D" w:rsidP="00923092">
            <w:pPr>
              <w:pStyle w:val="Default"/>
              <w:numPr>
                <w:ilvl w:val="0"/>
                <w:numId w:val="7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Continue the demand-driven approach. </w:t>
            </w:r>
          </w:p>
          <w:p w14:paraId="13B80C22" w14:textId="77777777" w:rsidR="008F086D" w:rsidRDefault="008F086D" w:rsidP="00923092">
            <w:pPr>
              <w:pStyle w:val="Default"/>
              <w:numPr>
                <w:ilvl w:val="0"/>
                <w:numId w:val="7"/>
              </w:numPr>
              <w:spacing w:before="60" w:after="60"/>
              <w:rPr>
                <w:sz w:val="22"/>
                <w:szCs w:val="22"/>
              </w:rPr>
            </w:pPr>
            <w:r w:rsidRPr="008F086D">
              <w:rPr>
                <w:sz w:val="22"/>
                <w:szCs w:val="22"/>
              </w:rPr>
              <w:t xml:space="preserve">Regularly review and adjust activities to align with emerging challenges. </w:t>
            </w:r>
          </w:p>
          <w:p w14:paraId="3858B8D1" w14:textId="77777777" w:rsidR="008F086D" w:rsidRDefault="008F086D" w:rsidP="00923092">
            <w:pPr>
              <w:pStyle w:val="Default"/>
              <w:numPr>
                <w:ilvl w:val="0"/>
                <w:numId w:val="7"/>
              </w:numPr>
              <w:spacing w:before="60" w:after="60"/>
              <w:rPr>
                <w:sz w:val="22"/>
                <w:szCs w:val="22"/>
              </w:rPr>
            </w:pPr>
            <w:r w:rsidRPr="008F086D">
              <w:rPr>
                <w:sz w:val="22"/>
                <w:szCs w:val="22"/>
              </w:rPr>
              <w:t xml:space="preserve">Establish mechanisms to identify and incorporate new themes. </w:t>
            </w:r>
          </w:p>
          <w:p w14:paraId="0DFA7B3C" w14:textId="03638437" w:rsidR="008F086D" w:rsidRPr="00923092" w:rsidRDefault="008F086D" w:rsidP="00923092">
            <w:pPr>
              <w:pStyle w:val="Default"/>
              <w:numPr>
                <w:ilvl w:val="0"/>
                <w:numId w:val="7"/>
              </w:numPr>
              <w:spacing w:before="60" w:after="60"/>
              <w:rPr>
                <w:rFonts w:eastAsia="Arial" w:cstheme="minorHAnsi"/>
                <w:color w:val="000000" w:themeColor="text1"/>
              </w:rPr>
            </w:pPr>
            <w:r w:rsidRPr="008F086D">
              <w:rPr>
                <w:sz w:val="22"/>
                <w:szCs w:val="22"/>
              </w:rPr>
              <w:t>Develop tailored strategies to address varying capacities among ASEAN Member States</w:t>
            </w:r>
            <w:r w:rsidR="00476DD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246" w:type="pct"/>
          </w:tcPr>
          <w:p w14:paraId="46D9947B" w14:textId="1BD3EE60" w:rsidR="0077746C" w:rsidRPr="00923092" w:rsidRDefault="00200B27" w:rsidP="00923092">
            <w:pPr>
              <w:spacing w:before="60" w:line="240" w:lineRule="auto"/>
              <w:rPr>
                <w:rFonts w:eastAsia="Arial" w:cstheme="minorHAnsi"/>
                <w:color w:val="000000" w:themeColor="text1"/>
                <w:lang w:val="en-AU"/>
              </w:rPr>
            </w:pPr>
            <w:r w:rsidRPr="00923092"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  <w:t>Support</w:t>
            </w:r>
          </w:p>
          <w:p w14:paraId="3F0FB412" w14:textId="107C6705" w:rsidR="00B93B11" w:rsidRPr="00923092" w:rsidRDefault="0031624B" w:rsidP="00923092">
            <w:pPr>
              <w:spacing w:before="60" w:line="240" w:lineRule="auto"/>
              <w:rPr>
                <w:rFonts w:eastAsia="Arial" w:cstheme="minorHAnsi"/>
                <w:color w:val="000000" w:themeColor="text1"/>
                <w:lang w:val="en-AU"/>
              </w:rPr>
            </w:pPr>
            <w:r w:rsidRPr="00923092">
              <w:rPr>
                <w:rFonts w:eastAsia="Arial" w:cstheme="minorHAnsi"/>
                <w:color w:val="000000" w:themeColor="text1"/>
                <w:lang w:val="en-AU"/>
              </w:rPr>
              <w:t>DFAT agree</w:t>
            </w:r>
            <w:r w:rsidR="00B93B11" w:rsidRPr="00923092">
              <w:rPr>
                <w:rFonts w:eastAsia="Arial" w:cstheme="minorHAnsi"/>
                <w:color w:val="000000" w:themeColor="text1"/>
                <w:lang w:val="en-AU"/>
              </w:rPr>
              <w:t>s</w:t>
            </w:r>
            <w:r w:rsidR="00B30D56" w:rsidRPr="00923092">
              <w:rPr>
                <w:rFonts w:eastAsia="Arial" w:cstheme="minorHAnsi"/>
                <w:color w:val="000000" w:themeColor="text1"/>
                <w:lang w:val="en-AU"/>
              </w:rPr>
              <w:t xml:space="preserve"> </w:t>
            </w:r>
            <w:r w:rsidR="00B93B11" w:rsidRPr="00923092">
              <w:rPr>
                <w:rFonts w:eastAsia="Arial" w:cstheme="minorHAnsi"/>
                <w:color w:val="000000" w:themeColor="text1"/>
                <w:lang w:val="en-AU"/>
              </w:rPr>
              <w:t>the successor program</w:t>
            </w:r>
            <w:r w:rsidR="00D51067" w:rsidRPr="00923092">
              <w:rPr>
                <w:rFonts w:eastAsia="Arial" w:cstheme="minorHAnsi"/>
                <w:color w:val="000000" w:themeColor="text1"/>
                <w:lang w:val="en-AU"/>
              </w:rPr>
              <w:t xml:space="preserve"> should maintain</w:t>
            </w:r>
            <w:r w:rsidR="00B93B11" w:rsidRPr="00923092">
              <w:rPr>
                <w:rFonts w:eastAsia="Arial" w:cstheme="minorHAnsi"/>
                <w:color w:val="000000" w:themeColor="text1"/>
                <w:lang w:val="en-AU"/>
              </w:rPr>
              <w:t xml:space="preserve"> </w:t>
            </w:r>
            <w:r w:rsidR="008F6862" w:rsidRPr="00923092">
              <w:rPr>
                <w:rFonts w:eastAsia="Arial" w:cstheme="minorHAnsi"/>
                <w:color w:val="000000" w:themeColor="text1"/>
                <w:lang w:val="en-AU"/>
              </w:rPr>
              <w:t>APSP’s</w:t>
            </w:r>
            <w:r w:rsidR="00B93B11" w:rsidRPr="00923092">
              <w:rPr>
                <w:rFonts w:eastAsia="Arial" w:cstheme="minorHAnsi"/>
                <w:color w:val="000000" w:themeColor="text1"/>
                <w:lang w:val="en-AU"/>
              </w:rPr>
              <w:t xml:space="preserve"> flexibility an</w:t>
            </w:r>
            <w:r w:rsidR="008F6862" w:rsidRPr="00923092">
              <w:rPr>
                <w:rFonts w:eastAsia="Arial" w:cstheme="minorHAnsi"/>
                <w:color w:val="000000" w:themeColor="text1"/>
                <w:lang w:val="en-AU"/>
              </w:rPr>
              <w:t>d</w:t>
            </w:r>
            <w:r w:rsidR="00B93B11" w:rsidRPr="00923092">
              <w:rPr>
                <w:rFonts w:eastAsia="Arial" w:cstheme="minorHAnsi"/>
                <w:color w:val="000000" w:themeColor="text1"/>
                <w:lang w:val="en-AU"/>
              </w:rPr>
              <w:t xml:space="preserve"> </w:t>
            </w:r>
            <w:r w:rsidR="00D51067" w:rsidRPr="00923092">
              <w:rPr>
                <w:rFonts w:eastAsia="Arial" w:cstheme="minorHAnsi"/>
                <w:color w:val="000000" w:themeColor="text1"/>
                <w:lang w:val="en-AU"/>
              </w:rPr>
              <w:t>adaptability</w:t>
            </w:r>
            <w:r w:rsidR="008F6862" w:rsidRPr="00923092">
              <w:rPr>
                <w:rFonts w:eastAsia="Arial" w:cstheme="minorHAnsi"/>
                <w:color w:val="000000" w:themeColor="text1"/>
                <w:lang w:val="en-AU"/>
              </w:rPr>
              <w:t>,</w:t>
            </w:r>
            <w:r w:rsidR="00B93B11" w:rsidRPr="00923092">
              <w:rPr>
                <w:rFonts w:eastAsia="Arial" w:cstheme="minorHAnsi"/>
                <w:color w:val="000000" w:themeColor="text1"/>
                <w:lang w:val="en-AU"/>
              </w:rPr>
              <w:t xml:space="preserve"> </w:t>
            </w:r>
            <w:r w:rsidR="00D51067" w:rsidRPr="00923092">
              <w:rPr>
                <w:rFonts w:eastAsia="Arial" w:cstheme="minorHAnsi"/>
                <w:color w:val="000000" w:themeColor="text1"/>
                <w:lang w:val="en-AU"/>
              </w:rPr>
              <w:t>including</w:t>
            </w:r>
            <w:r w:rsidR="00B93B11" w:rsidRPr="00923092">
              <w:rPr>
                <w:rFonts w:eastAsia="Arial" w:cstheme="minorHAnsi"/>
                <w:color w:val="000000" w:themeColor="text1"/>
                <w:lang w:val="en-AU"/>
              </w:rPr>
              <w:t xml:space="preserve"> to respond to emerging </w:t>
            </w:r>
            <w:r w:rsidR="00B30D56" w:rsidRPr="00923092">
              <w:rPr>
                <w:rFonts w:eastAsia="Arial" w:cstheme="minorHAnsi"/>
                <w:color w:val="000000" w:themeColor="text1"/>
                <w:lang w:val="en-AU"/>
              </w:rPr>
              <w:t xml:space="preserve">political-security </w:t>
            </w:r>
            <w:r w:rsidR="008F6862" w:rsidRPr="00923092">
              <w:rPr>
                <w:rFonts w:eastAsia="Arial" w:cstheme="minorHAnsi"/>
                <w:color w:val="000000" w:themeColor="text1"/>
                <w:lang w:val="en-AU"/>
              </w:rPr>
              <w:t>priorities</w:t>
            </w:r>
            <w:r w:rsidR="003812D4">
              <w:rPr>
                <w:rFonts w:eastAsia="Arial" w:cstheme="minorHAnsi"/>
                <w:color w:val="000000" w:themeColor="text1"/>
                <w:lang w:val="en-AU"/>
              </w:rPr>
              <w:t xml:space="preserve"> shared by ASEAN and Australia</w:t>
            </w:r>
            <w:r w:rsidR="00B93B11" w:rsidRPr="00923092">
              <w:rPr>
                <w:rFonts w:eastAsia="Arial" w:cstheme="minorHAnsi"/>
                <w:color w:val="000000" w:themeColor="text1"/>
                <w:lang w:val="en-AU"/>
              </w:rPr>
              <w:t xml:space="preserve">. </w:t>
            </w:r>
          </w:p>
          <w:p w14:paraId="200E1732" w14:textId="7FEAEED3" w:rsidR="00B93B11" w:rsidRPr="00923092" w:rsidRDefault="00B93B11" w:rsidP="00923092">
            <w:pPr>
              <w:spacing w:before="60" w:line="240" w:lineRule="auto"/>
              <w:rPr>
                <w:rFonts w:eastAsia="Arial" w:cstheme="minorHAnsi"/>
                <w:color w:val="000000" w:themeColor="text1"/>
                <w:lang w:val="en-AU"/>
              </w:rPr>
            </w:pPr>
            <w:r w:rsidRPr="00923092">
              <w:rPr>
                <w:rFonts w:eastAsia="Arial" w:cstheme="minorHAnsi"/>
                <w:color w:val="000000" w:themeColor="text1"/>
                <w:lang w:val="en-AU"/>
              </w:rPr>
              <w:t xml:space="preserve">The design of </w:t>
            </w:r>
            <w:r w:rsidR="006562D8" w:rsidRPr="00923092">
              <w:rPr>
                <w:rFonts w:eastAsia="Arial" w:cstheme="minorHAnsi"/>
                <w:color w:val="000000" w:themeColor="text1"/>
                <w:lang w:val="en-AU"/>
              </w:rPr>
              <w:t xml:space="preserve">the successor program will consider a suitable </w:t>
            </w:r>
            <w:r w:rsidR="00E002F9" w:rsidRPr="00923092">
              <w:rPr>
                <w:rFonts w:eastAsia="Arial" w:cstheme="minorHAnsi"/>
                <w:color w:val="000000" w:themeColor="text1"/>
                <w:lang w:val="en-AU"/>
              </w:rPr>
              <w:t>governance framewor</w:t>
            </w:r>
            <w:r w:rsidR="00631F7A" w:rsidRPr="00923092">
              <w:rPr>
                <w:rFonts w:eastAsia="Arial" w:cstheme="minorHAnsi"/>
                <w:color w:val="000000" w:themeColor="text1"/>
                <w:lang w:val="en-AU"/>
              </w:rPr>
              <w:t xml:space="preserve">k with oversight of the </w:t>
            </w:r>
            <w:r w:rsidR="008522B5" w:rsidRPr="00923092">
              <w:rPr>
                <w:rFonts w:eastAsia="Arial" w:cstheme="minorHAnsi"/>
                <w:color w:val="000000" w:themeColor="text1"/>
                <w:lang w:val="en-AU"/>
              </w:rPr>
              <w:t>APSP ac</w:t>
            </w:r>
            <w:r w:rsidR="00D63A16" w:rsidRPr="00923092">
              <w:rPr>
                <w:rFonts w:eastAsia="Arial" w:cstheme="minorHAnsi"/>
                <w:color w:val="000000" w:themeColor="text1"/>
                <w:lang w:val="en-AU"/>
              </w:rPr>
              <w:t>tivity pipeline</w:t>
            </w:r>
            <w:r w:rsidR="008F6862" w:rsidRPr="00923092">
              <w:rPr>
                <w:rFonts w:eastAsia="Arial" w:cstheme="minorHAnsi"/>
                <w:color w:val="000000" w:themeColor="text1"/>
                <w:lang w:val="en-AU"/>
              </w:rPr>
              <w:t>,</w:t>
            </w:r>
            <w:r w:rsidR="00D63A16" w:rsidRPr="00923092">
              <w:rPr>
                <w:rFonts w:eastAsia="Arial" w:cstheme="minorHAnsi"/>
                <w:color w:val="000000" w:themeColor="text1"/>
                <w:lang w:val="en-AU"/>
              </w:rPr>
              <w:t xml:space="preserve"> including </w:t>
            </w:r>
            <w:r w:rsidR="00460653" w:rsidRPr="00923092">
              <w:rPr>
                <w:rFonts w:eastAsia="Arial" w:cstheme="minorHAnsi"/>
                <w:color w:val="000000" w:themeColor="text1"/>
                <w:lang w:val="en-AU"/>
              </w:rPr>
              <w:t xml:space="preserve">on </w:t>
            </w:r>
            <w:r w:rsidR="00D63A16" w:rsidRPr="00923092">
              <w:rPr>
                <w:rFonts w:eastAsia="Arial" w:cstheme="minorHAnsi"/>
                <w:color w:val="000000" w:themeColor="text1"/>
                <w:lang w:val="en-AU"/>
              </w:rPr>
              <w:t>emerging issues</w:t>
            </w:r>
            <w:r w:rsidR="00A0261D" w:rsidRPr="00923092">
              <w:rPr>
                <w:rFonts w:eastAsia="Arial" w:cstheme="minorHAnsi"/>
                <w:color w:val="000000" w:themeColor="text1"/>
                <w:lang w:val="en-AU"/>
              </w:rPr>
              <w:t xml:space="preserve">, while maintaining the program’s flexibility and adaptability. </w:t>
            </w:r>
          </w:p>
          <w:p w14:paraId="5947661B" w14:textId="58B278CD" w:rsidR="00200B27" w:rsidRPr="00923092" w:rsidRDefault="00E6432F" w:rsidP="00923092">
            <w:pPr>
              <w:spacing w:before="60" w:line="240" w:lineRule="auto"/>
              <w:rPr>
                <w:rFonts w:eastAsia="Arial" w:cstheme="minorHAnsi"/>
                <w:color w:val="000000" w:themeColor="text1"/>
                <w:lang w:val="en-AU"/>
              </w:rPr>
            </w:pPr>
            <w:r w:rsidRPr="00923092">
              <w:rPr>
                <w:rFonts w:eastAsia="Arial" w:cstheme="minorHAnsi"/>
                <w:color w:val="000000" w:themeColor="text1"/>
                <w:lang w:val="en-AU"/>
              </w:rPr>
              <w:t>The design will f</w:t>
            </w:r>
            <w:r w:rsidR="00200B27" w:rsidRPr="00923092">
              <w:rPr>
                <w:rFonts w:eastAsia="Arial" w:cstheme="minorHAnsi"/>
                <w:color w:val="000000" w:themeColor="text1"/>
                <w:lang w:val="en-AU"/>
              </w:rPr>
              <w:t xml:space="preserve">urther consider </w:t>
            </w:r>
            <w:r w:rsidR="00AC1847" w:rsidRPr="00923092">
              <w:rPr>
                <w:rFonts w:eastAsia="Arial" w:cstheme="minorHAnsi"/>
                <w:color w:val="000000" w:themeColor="text1"/>
                <w:lang w:val="en-AU"/>
              </w:rPr>
              <w:t xml:space="preserve">the </w:t>
            </w:r>
            <w:r w:rsidR="00200B27" w:rsidRPr="00923092">
              <w:rPr>
                <w:rFonts w:eastAsia="Arial" w:cstheme="minorHAnsi"/>
                <w:color w:val="000000" w:themeColor="text1"/>
                <w:lang w:val="en-AU"/>
              </w:rPr>
              <w:t>‘proposed steps to be taken’.</w:t>
            </w:r>
          </w:p>
        </w:tc>
        <w:tc>
          <w:tcPr>
            <w:tcW w:w="664" w:type="pct"/>
          </w:tcPr>
          <w:p w14:paraId="61B9227E" w14:textId="0F88D322" w:rsidR="00801BDF" w:rsidRPr="006D5ED0" w:rsidRDefault="003812D4" w:rsidP="00923092">
            <w:pPr>
              <w:spacing w:before="60" w:line="240" w:lineRule="auto"/>
              <w:rPr>
                <w:rFonts w:eastAsia="Arial" w:cstheme="minorHAnsi"/>
                <w:color w:val="000000" w:themeColor="text1"/>
                <w:lang w:val="en-AU"/>
              </w:rPr>
            </w:pPr>
            <w:r>
              <w:rPr>
                <w:rFonts w:eastAsia="Arial" w:cstheme="minorHAnsi"/>
                <w:color w:val="000000" w:themeColor="text1"/>
                <w:lang w:val="en-AU"/>
              </w:rPr>
              <w:t xml:space="preserve">September </w:t>
            </w:r>
            <w:r w:rsidR="00D95F2B">
              <w:rPr>
                <w:rFonts w:eastAsia="Arial" w:cstheme="minorHAnsi"/>
                <w:color w:val="000000" w:themeColor="text1"/>
                <w:lang w:val="en-AU"/>
              </w:rPr>
              <w:t xml:space="preserve">2025 </w:t>
            </w:r>
          </w:p>
        </w:tc>
      </w:tr>
      <w:tr w:rsidR="0004264D" w:rsidRPr="00142C73" w14:paraId="2C8B400C" w14:textId="7F6BABB4" w:rsidTr="00923092">
        <w:trPr>
          <w:cantSplit/>
        </w:trPr>
        <w:tc>
          <w:tcPr>
            <w:tcW w:w="135" w:type="pct"/>
          </w:tcPr>
          <w:p w14:paraId="5691C972" w14:textId="77777777" w:rsidR="00801BDF" w:rsidRPr="00142C73" w:rsidRDefault="00801BDF" w:rsidP="00923092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contextualSpacing w:val="0"/>
              <w:jc w:val="center"/>
              <w:rPr>
                <w:rFonts w:eastAsia="Arial" w:cstheme="minorHAnsi"/>
                <w:color w:val="000000" w:themeColor="text1"/>
              </w:rPr>
            </w:pPr>
          </w:p>
        </w:tc>
        <w:tc>
          <w:tcPr>
            <w:tcW w:w="1956" w:type="pct"/>
          </w:tcPr>
          <w:p w14:paraId="41CF9D40" w14:textId="77777777" w:rsidR="00801BDF" w:rsidRPr="004902CF" w:rsidRDefault="00801BDF" w:rsidP="00923092">
            <w:pPr>
              <w:spacing w:before="60" w:line="240" w:lineRule="auto"/>
              <w:ind w:left="-5"/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</w:pPr>
            <w:r w:rsidRPr="004902CF"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  <w:t>Consider the integration of additional thematic areas (e.g., environmental security)</w:t>
            </w:r>
          </w:p>
          <w:p w14:paraId="6132EC58" w14:textId="1CFD39F9" w:rsidR="00476DD9" w:rsidRDefault="00E31CE1" w:rsidP="00923092">
            <w:pPr>
              <w:pStyle w:val="Default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Proposed s</w:t>
            </w:r>
            <w:r w:rsidR="00476DD9">
              <w:rPr>
                <w:sz w:val="22"/>
                <w:szCs w:val="22"/>
              </w:rPr>
              <w:t xml:space="preserve">teps to be taken: </w:t>
            </w:r>
          </w:p>
          <w:p w14:paraId="136C9192" w14:textId="77777777" w:rsidR="00476DD9" w:rsidRDefault="00476DD9" w:rsidP="00923092">
            <w:pPr>
              <w:pStyle w:val="Default"/>
              <w:numPr>
                <w:ilvl w:val="0"/>
                <w:numId w:val="8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Consult ASEAN stakeholders to identify priority areas. </w:t>
            </w:r>
          </w:p>
          <w:p w14:paraId="7F1582DE" w14:textId="77777777" w:rsidR="00476DD9" w:rsidRDefault="00476DD9" w:rsidP="00923092">
            <w:pPr>
              <w:pStyle w:val="Default"/>
              <w:numPr>
                <w:ilvl w:val="0"/>
                <w:numId w:val="8"/>
              </w:numPr>
              <w:spacing w:before="60" w:after="60"/>
              <w:rPr>
                <w:sz w:val="22"/>
                <w:szCs w:val="22"/>
              </w:rPr>
            </w:pPr>
            <w:r w:rsidRPr="00476DD9">
              <w:rPr>
                <w:sz w:val="22"/>
                <w:szCs w:val="22"/>
              </w:rPr>
              <w:t xml:space="preserve">Develop plans to incorporate any new themes. </w:t>
            </w:r>
          </w:p>
          <w:p w14:paraId="5B451D3E" w14:textId="0F186831" w:rsidR="00476DD9" w:rsidRPr="00923092" w:rsidRDefault="00476DD9" w:rsidP="00923092">
            <w:pPr>
              <w:pStyle w:val="Default"/>
              <w:numPr>
                <w:ilvl w:val="0"/>
                <w:numId w:val="8"/>
              </w:numPr>
              <w:spacing w:before="60" w:after="60"/>
              <w:rPr>
                <w:rFonts w:eastAsia="Arial" w:cstheme="minorHAnsi"/>
                <w:color w:val="000000" w:themeColor="text1"/>
              </w:rPr>
            </w:pPr>
            <w:r w:rsidRPr="00476DD9">
              <w:rPr>
                <w:sz w:val="22"/>
                <w:szCs w:val="22"/>
              </w:rPr>
              <w:t xml:space="preserve">Allocate resources and expertise accordingly. </w:t>
            </w:r>
          </w:p>
        </w:tc>
        <w:tc>
          <w:tcPr>
            <w:tcW w:w="2246" w:type="pct"/>
          </w:tcPr>
          <w:p w14:paraId="0DA77844" w14:textId="08BDC75B" w:rsidR="001F3725" w:rsidRPr="00D16C49" w:rsidRDefault="00450F74" w:rsidP="00923092">
            <w:pPr>
              <w:spacing w:before="60" w:line="240" w:lineRule="auto"/>
              <w:rPr>
                <w:rFonts w:eastAsia="Arial" w:cstheme="minorHAnsi"/>
                <w:b/>
                <w:bCs/>
                <w:color w:val="000000" w:themeColor="text1"/>
              </w:rPr>
            </w:pPr>
            <w:r>
              <w:rPr>
                <w:rFonts w:eastAsia="Arial" w:cstheme="minorHAnsi"/>
                <w:b/>
                <w:bCs/>
                <w:color w:val="000000" w:themeColor="text1"/>
              </w:rPr>
              <w:t xml:space="preserve">Support in-principle </w:t>
            </w:r>
            <w:r w:rsidR="003812D4">
              <w:rPr>
                <w:rFonts w:eastAsia="Arial" w:cstheme="minorHAnsi"/>
                <w:b/>
                <w:bCs/>
                <w:color w:val="000000" w:themeColor="text1"/>
              </w:rPr>
              <w:t xml:space="preserve">– noting consolidation and efficiency will frame consideration or priorities. </w:t>
            </w:r>
          </w:p>
          <w:p w14:paraId="113B5727" w14:textId="395CB55E" w:rsidR="00801BDF" w:rsidRPr="006F798D" w:rsidRDefault="00E6432F" w:rsidP="00923092">
            <w:pPr>
              <w:spacing w:before="60" w:line="240" w:lineRule="auto"/>
              <w:rPr>
                <w:rFonts w:eastAsia="Arial" w:cstheme="minorHAnsi"/>
                <w:color w:val="000000" w:themeColor="text1"/>
              </w:rPr>
            </w:pPr>
            <w:r>
              <w:rPr>
                <w:rFonts w:eastAsia="Arial" w:cstheme="minorHAnsi"/>
                <w:color w:val="000000" w:themeColor="text1"/>
              </w:rPr>
              <w:t xml:space="preserve">The design </w:t>
            </w:r>
            <w:r w:rsidR="00A057CC">
              <w:rPr>
                <w:rFonts w:eastAsia="Arial" w:cstheme="minorHAnsi"/>
                <w:color w:val="000000" w:themeColor="text1"/>
              </w:rPr>
              <w:t>will</w:t>
            </w:r>
            <w:r>
              <w:rPr>
                <w:rFonts w:eastAsia="Arial" w:cstheme="minorHAnsi"/>
                <w:color w:val="000000" w:themeColor="text1"/>
              </w:rPr>
              <w:t xml:space="preserve"> consider priority areas, including through consulting </w:t>
            </w:r>
            <w:r w:rsidR="003812D4">
              <w:rPr>
                <w:rFonts w:eastAsia="Arial" w:cstheme="minorHAnsi"/>
                <w:color w:val="000000" w:themeColor="text1"/>
              </w:rPr>
              <w:t xml:space="preserve">across Australian Government Agencies and </w:t>
            </w:r>
            <w:r w:rsidR="00AE2EB2">
              <w:rPr>
                <w:rFonts w:eastAsia="Arial" w:cstheme="minorHAnsi"/>
                <w:color w:val="000000" w:themeColor="text1"/>
              </w:rPr>
              <w:t>with the</w:t>
            </w:r>
            <w:r w:rsidR="008F6862">
              <w:rPr>
                <w:rFonts w:eastAsia="Arial" w:cstheme="minorHAnsi"/>
                <w:color w:val="000000" w:themeColor="text1"/>
              </w:rPr>
              <w:t xml:space="preserve"> </w:t>
            </w:r>
            <w:r w:rsidR="00441008">
              <w:rPr>
                <w:rFonts w:eastAsia="Arial" w:cstheme="minorHAnsi"/>
                <w:color w:val="000000" w:themeColor="text1"/>
              </w:rPr>
              <w:t>ASEAN Secretariat and ASEAN Member State</w:t>
            </w:r>
            <w:r w:rsidR="009E3C5A">
              <w:rPr>
                <w:rFonts w:eastAsia="Arial" w:cstheme="minorHAnsi"/>
                <w:color w:val="000000" w:themeColor="text1"/>
              </w:rPr>
              <w:t>s</w:t>
            </w:r>
            <w:r w:rsidR="00441008">
              <w:rPr>
                <w:rFonts w:eastAsia="Arial" w:cstheme="minorHAnsi"/>
                <w:color w:val="000000" w:themeColor="text1"/>
              </w:rPr>
              <w:t>.</w:t>
            </w:r>
          </w:p>
        </w:tc>
        <w:tc>
          <w:tcPr>
            <w:tcW w:w="664" w:type="pct"/>
          </w:tcPr>
          <w:p w14:paraId="60A7197E" w14:textId="3661D30D" w:rsidR="00801BDF" w:rsidRPr="006D5ED0" w:rsidRDefault="003812D4" w:rsidP="00923092">
            <w:pPr>
              <w:spacing w:before="60" w:line="240" w:lineRule="auto"/>
              <w:rPr>
                <w:rFonts w:eastAsia="Arial" w:cstheme="minorHAnsi"/>
                <w:color w:val="000000" w:themeColor="text1"/>
                <w:lang w:val="en-AU"/>
              </w:rPr>
            </w:pPr>
            <w:r>
              <w:rPr>
                <w:rFonts w:eastAsia="Arial" w:cstheme="minorHAnsi"/>
                <w:color w:val="000000" w:themeColor="text1"/>
                <w:lang w:val="en-AU"/>
              </w:rPr>
              <w:t xml:space="preserve">September </w:t>
            </w:r>
            <w:r w:rsidR="00405CE4">
              <w:rPr>
                <w:rFonts w:eastAsia="Arial" w:cstheme="minorHAnsi"/>
                <w:color w:val="000000" w:themeColor="text1"/>
                <w:lang w:val="en-AU"/>
              </w:rPr>
              <w:t xml:space="preserve">2025 </w:t>
            </w:r>
          </w:p>
        </w:tc>
      </w:tr>
      <w:tr w:rsidR="0004264D" w:rsidRPr="00142C73" w14:paraId="6098707E" w14:textId="3FC9A2E5" w:rsidTr="00923092">
        <w:trPr>
          <w:cantSplit/>
        </w:trPr>
        <w:tc>
          <w:tcPr>
            <w:tcW w:w="135" w:type="pct"/>
          </w:tcPr>
          <w:p w14:paraId="4F86E576" w14:textId="77777777" w:rsidR="00801BDF" w:rsidRPr="00142C73" w:rsidRDefault="00801BDF" w:rsidP="00923092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contextualSpacing w:val="0"/>
              <w:jc w:val="center"/>
              <w:rPr>
                <w:rFonts w:eastAsia="Arial" w:cstheme="minorHAnsi"/>
                <w:color w:val="000000" w:themeColor="text1"/>
              </w:rPr>
            </w:pPr>
          </w:p>
        </w:tc>
        <w:tc>
          <w:tcPr>
            <w:tcW w:w="1956" w:type="pct"/>
          </w:tcPr>
          <w:p w14:paraId="42397AFE" w14:textId="77777777" w:rsidR="00801BDF" w:rsidRDefault="00801BDF" w:rsidP="00923092">
            <w:pPr>
              <w:spacing w:before="60" w:line="240" w:lineRule="auto"/>
              <w:ind w:left="-5"/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</w:pPr>
            <w:r w:rsidRPr="0085332D"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  <w:t>Strengthen and formalise partnerships with regional organisations</w:t>
            </w:r>
          </w:p>
          <w:p w14:paraId="22601782" w14:textId="647D6055" w:rsidR="00E31CE1" w:rsidRDefault="00E31CE1" w:rsidP="00923092">
            <w:pPr>
              <w:pStyle w:val="Default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Proposed s</w:t>
            </w:r>
            <w:r w:rsidR="006B2234">
              <w:rPr>
                <w:sz w:val="22"/>
                <w:szCs w:val="22"/>
              </w:rPr>
              <w:t xml:space="preserve">teps to be taken: </w:t>
            </w:r>
          </w:p>
          <w:p w14:paraId="08AD05DB" w14:textId="77777777" w:rsidR="00E31CE1" w:rsidRDefault="006B2234" w:rsidP="00923092">
            <w:pPr>
              <w:pStyle w:val="Default"/>
              <w:numPr>
                <w:ilvl w:val="0"/>
                <w:numId w:val="10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Identify potential regional partners (e.g., ASEAN-ISIS, JCLEC, regional universities). </w:t>
            </w:r>
          </w:p>
          <w:p w14:paraId="1B534C1C" w14:textId="77777777" w:rsidR="00E31CE1" w:rsidRDefault="006B2234" w:rsidP="00923092">
            <w:pPr>
              <w:pStyle w:val="Default"/>
              <w:numPr>
                <w:ilvl w:val="0"/>
                <w:numId w:val="10"/>
              </w:numPr>
              <w:spacing w:before="60" w:after="60"/>
              <w:rPr>
                <w:sz w:val="22"/>
                <w:szCs w:val="22"/>
              </w:rPr>
            </w:pPr>
            <w:r w:rsidRPr="00E31CE1">
              <w:rPr>
                <w:sz w:val="22"/>
                <w:szCs w:val="22"/>
              </w:rPr>
              <w:t xml:space="preserve">Initiate discussions. </w:t>
            </w:r>
          </w:p>
          <w:p w14:paraId="7524CDC5" w14:textId="61EA7CDA" w:rsidR="006B2234" w:rsidRPr="00923092" w:rsidRDefault="006B2234" w:rsidP="00923092">
            <w:pPr>
              <w:pStyle w:val="Default"/>
              <w:numPr>
                <w:ilvl w:val="0"/>
                <w:numId w:val="10"/>
              </w:numPr>
              <w:spacing w:before="60" w:after="60"/>
              <w:rPr>
                <w:rFonts w:eastAsia="Arial" w:cstheme="minorHAnsi"/>
                <w:b/>
                <w:bCs/>
                <w:color w:val="000000" w:themeColor="text1"/>
              </w:rPr>
            </w:pPr>
            <w:r w:rsidRPr="00E31CE1">
              <w:rPr>
                <w:sz w:val="22"/>
                <w:szCs w:val="22"/>
              </w:rPr>
              <w:t>Plan for formal agreements and collaboration in the next program phase</w:t>
            </w:r>
            <w:r w:rsidR="009507AE">
              <w:rPr>
                <w:sz w:val="22"/>
                <w:szCs w:val="22"/>
              </w:rPr>
              <w:t>.</w:t>
            </w:r>
          </w:p>
        </w:tc>
        <w:tc>
          <w:tcPr>
            <w:tcW w:w="2246" w:type="pct"/>
          </w:tcPr>
          <w:p w14:paraId="05E62DA5" w14:textId="4748D31A" w:rsidR="00801BDF" w:rsidRDefault="006B2234" w:rsidP="00923092">
            <w:pPr>
              <w:spacing w:before="60" w:line="240" w:lineRule="auto"/>
              <w:rPr>
                <w:rFonts w:eastAsia="Arial" w:cstheme="minorHAnsi"/>
                <w:color w:val="000000" w:themeColor="text1"/>
                <w:lang w:val="en-AU"/>
              </w:rPr>
            </w:pPr>
            <w:r w:rsidRPr="00E31CE1"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  <w:t xml:space="preserve">Noted and </w:t>
            </w:r>
            <w:r w:rsidR="004C43B2"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  <w:t>support-in principle</w:t>
            </w:r>
          </w:p>
          <w:p w14:paraId="05B17BBE" w14:textId="14855A13" w:rsidR="00E21720" w:rsidRDefault="006B2234" w:rsidP="00923092">
            <w:pPr>
              <w:spacing w:before="60" w:line="240" w:lineRule="auto"/>
              <w:rPr>
                <w:rFonts w:eastAsia="Arial" w:cstheme="minorHAnsi"/>
                <w:color w:val="000000" w:themeColor="text1"/>
                <w:lang w:val="en-AU"/>
              </w:rPr>
            </w:pPr>
            <w:r>
              <w:rPr>
                <w:rFonts w:eastAsia="Arial" w:cstheme="minorHAnsi"/>
                <w:color w:val="000000" w:themeColor="text1"/>
                <w:lang w:val="en-AU"/>
              </w:rPr>
              <w:t xml:space="preserve">DFAT takes note of the recommendation and will consider </w:t>
            </w:r>
            <w:r w:rsidR="00232F7E">
              <w:rPr>
                <w:rFonts w:eastAsia="Arial" w:cstheme="minorHAnsi"/>
                <w:color w:val="000000" w:themeColor="text1"/>
                <w:lang w:val="en-AU"/>
              </w:rPr>
              <w:t xml:space="preserve">the </w:t>
            </w:r>
            <w:r w:rsidR="00E2432A">
              <w:rPr>
                <w:rFonts w:eastAsia="Arial" w:cstheme="minorHAnsi"/>
                <w:color w:val="000000" w:themeColor="text1"/>
                <w:lang w:val="en-AU"/>
              </w:rPr>
              <w:t xml:space="preserve">feasibility of the </w:t>
            </w:r>
            <w:r w:rsidR="00232F7E">
              <w:rPr>
                <w:rFonts w:eastAsia="Arial" w:cstheme="minorHAnsi"/>
                <w:color w:val="000000" w:themeColor="text1"/>
                <w:lang w:val="en-AU"/>
              </w:rPr>
              <w:t>approach</w:t>
            </w:r>
            <w:r>
              <w:rPr>
                <w:rFonts w:eastAsia="Arial" w:cstheme="minorHAnsi"/>
                <w:color w:val="000000" w:themeColor="text1"/>
                <w:lang w:val="en-AU"/>
              </w:rPr>
              <w:t xml:space="preserve"> during</w:t>
            </w:r>
            <w:r w:rsidR="00A0593A">
              <w:rPr>
                <w:rFonts w:eastAsia="Arial" w:cstheme="minorHAnsi"/>
                <w:color w:val="000000" w:themeColor="text1"/>
                <w:lang w:val="en-AU"/>
              </w:rPr>
              <w:t xml:space="preserve"> the</w:t>
            </w:r>
            <w:r>
              <w:rPr>
                <w:rFonts w:eastAsia="Arial" w:cstheme="minorHAnsi"/>
                <w:color w:val="000000" w:themeColor="text1"/>
                <w:lang w:val="en-AU"/>
              </w:rPr>
              <w:t xml:space="preserve"> </w:t>
            </w:r>
            <w:r w:rsidR="00BE0A25">
              <w:rPr>
                <w:rFonts w:eastAsia="Arial" w:cstheme="minorHAnsi"/>
                <w:color w:val="000000" w:themeColor="text1"/>
                <w:lang w:val="en-AU"/>
              </w:rPr>
              <w:t>design.</w:t>
            </w:r>
            <w:r w:rsidR="001D02DB">
              <w:rPr>
                <w:rFonts w:eastAsia="Arial" w:cstheme="minorHAnsi"/>
                <w:color w:val="000000" w:themeColor="text1"/>
                <w:lang w:val="en-AU"/>
              </w:rPr>
              <w:t xml:space="preserve"> </w:t>
            </w:r>
            <w:r w:rsidR="003066C1">
              <w:rPr>
                <w:rFonts w:eastAsia="Arial" w:cstheme="minorHAnsi"/>
                <w:color w:val="000000" w:themeColor="text1"/>
                <w:lang w:val="en-AU"/>
              </w:rPr>
              <w:t xml:space="preserve">Further details about the type of partnership and purpose are required for consideration. </w:t>
            </w:r>
          </w:p>
          <w:p w14:paraId="5F23198F" w14:textId="2C8B50CF" w:rsidR="006B2234" w:rsidRPr="006D5ED0" w:rsidRDefault="001D02DB" w:rsidP="00923092">
            <w:pPr>
              <w:spacing w:before="60" w:line="240" w:lineRule="auto"/>
              <w:rPr>
                <w:rFonts w:eastAsia="Arial" w:cstheme="minorHAnsi"/>
                <w:color w:val="000000" w:themeColor="text1"/>
                <w:lang w:val="en-AU"/>
              </w:rPr>
            </w:pPr>
            <w:r>
              <w:rPr>
                <w:rFonts w:eastAsia="Arial" w:cstheme="minorHAnsi"/>
                <w:color w:val="000000" w:themeColor="text1"/>
                <w:lang w:val="en-AU"/>
              </w:rPr>
              <w:t xml:space="preserve">APSP had </w:t>
            </w:r>
            <w:r w:rsidR="00A8016C">
              <w:rPr>
                <w:rFonts w:eastAsia="Arial" w:cstheme="minorHAnsi"/>
                <w:color w:val="000000" w:themeColor="text1"/>
                <w:lang w:val="en-AU"/>
              </w:rPr>
              <w:t xml:space="preserve">previously </w:t>
            </w:r>
            <w:r>
              <w:rPr>
                <w:rFonts w:eastAsia="Arial" w:cstheme="minorHAnsi"/>
                <w:color w:val="000000" w:themeColor="text1"/>
                <w:lang w:val="en-AU"/>
              </w:rPr>
              <w:t xml:space="preserve">engaged </w:t>
            </w:r>
            <w:r w:rsidR="00677660">
              <w:rPr>
                <w:rFonts w:eastAsia="Arial" w:cstheme="minorHAnsi"/>
                <w:color w:val="000000" w:themeColor="text1"/>
                <w:lang w:val="en-AU"/>
              </w:rPr>
              <w:t xml:space="preserve">regional </w:t>
            </w:r>
            <w:r w:rsidR="003E4B98">
              <w:rPr>
                <w:rFonts w:eastAsia="Arial" w:cstheme="minorHAnsi"/>
                <w:color w:val="000000" w:themeColor="text1"/>
                <w:lang w:val="en-AU"/>
              </w:rPr>
              <w:t xml:space="preserve">partners such as </w:t>
            </w:r>
            <w:r w:rsidR="00E2432A" w:rsidRPr="00E2432A">
              <w:rPr>
                <w:rFonts w:eastAsia="Arial" w:cstheme="minorHAnsi"/>
                <w:color w:val="000000" w:themeColor="text1"/>
                <w:lang w:val="en-AU"/>
              </w:rPr>
              <w:t xml:space="preserve">Centre for Strategic and International Studies </w:t>
            </w:r>
            <w:r w:rsidR="00E2432A">
              <w:rPr>
                <w:rFonts w:eastAsia="Arial" w:cstheme="minorHAnsi"/>
                <w:color w:val="000000" w:themeColor="text1"/>
                <w:lang w:val="en-AU"/>
              </w:rPr>
              <w:t>(</w:t>
            </w:r>
            <w:r w:rsidR="00515567">
              <w:rPr>
                <w:rFonts w:eastAsia="Arial" w:cstheme="minorHAnsi"/>
                <w:color w:val="000000" w:themeColor="text1"/>
                <w:lang w:val="en-AU"/>
              </w:rPr>
              <w:t>CSIS</w:t>
            </w:r>
            <w:r w:rsidR="00E2432A">
              <w:rPr>
                <w:rFonts w:eastAsia="Arial" w:cstheme="minorHAnsi"/>
                <w:color w:val="000000" w:themeColor="text1"/>
                <w:lang w:val="en-AU"/>
              </w:rPr>
              <w:t>)</w:t>
            </w:r>
            <w:r w:rsidR="00515567">
              <w:rPr>
                <w:rFonts w:eastAsia="Arial" w:cstheme="minorHAnsi"/>
                <w:color w:val="000000" w:themeColor="text1"/>
                <w:lang w:val="en-AU"/>
              </w:rPr>
              <w:t xml:space="preserve"> </w:t>
            </w:r>
            <w:r w:rsidR="00FE3683">
              <w:rPr>
                <w:rFonts w:eastAsia="Arial" w:cstheme="minorHAnsi"/>
                <w:color w:val="000000" w:themeColor="text1"/>
                <w:lang w:val="en-AU"/>
              </w:rPr>
              <w:t xml:space="preserve">in key activities on </w:t>
            </w:r>
            <w:r w:rsidR="00441008">
              <w:rPr>
                <w:rFonts w:eastAsia="Arial" w:cstheme="minorHAnsi"/>
                <w:color w:val="000000" w:themeColor="text1"/>
                <w:lang w:val="en-AU"/>
              </w:rPr>
              <w:t xml:space="preserve">an </w:t>
            </w:r>
            <w:r w:rsidR="00FE3683">
              <w:rPr>
                <w:rFonts w:eastAsia="Arial" w:cstheme="minorHAnsi"/>
                <w:color w:val="000000" w:themeColor="text1"/>
                <w:lang w:val="en-AU"/>
              </w:rPr>
              <w:t>ad-hoc basi</w:t>
            </w:r>
            <w:r w:rsidR="00E31CE1">
              <w:rPr>
                <w:rFonts w:eastAsia="Arial" w:cstheme="minorHAnsi"/>
                <w:color w:val="000000" w:themeColor="text1"/>
                <w:lang w:val="en-AU"/>
              </w:rPr>
              <w:t xml:space="preserve">s. </w:t>
            </w:r>
          </w:p>
        </w:tc>
        <w:tc>
          <w:tcPr>
            <w:tcW w:w="664" w:type="pct"/>
          </w:tcPr>
          <w:p w14:paraId="357AF36C" w14:textId="7BC49CF2" w:rsidR="00801BDF" w:rsidRPr="006D5ED0" w:rsidRDefault="003812D4" w:rsidP="00923092">
            <w:pPr>
              <w:spacing w:before="60" w:line="240" w:lineRule="auto"/>
              <w:rPr>
                <w:rFonts w:eastAsia="Arial"/>
                <w:color w:val="000000" w:themeColor="text1"/>
                <w:lang w:val="en-AU"/>
              </w:rPr>
            </w:pPr>
            <w:r>
              <w:rPr>
                <w:rFonts w:eastAsia="Arial"/>
                <w:color w:val="000000" w:themeColor="text1"/>
                <w:lang w:val="en-AU"/>
              </w:rPr>
              <w:t xml:space="preserve">September </w:t>
            </w:r>
            <w:r w:rsidR="00ED3544">
              <w:rPr>
                <w:rFonts w:eastAsia="Arial"/>
                <w:color w:val="000000" w:themeColor="text1"/>
                <w:lang w:val="en-AU"/>
              </w:rPr>
              <w:t xml:space="preserve">2025 </w:t>
            </w:r>
          </w:p>
        </w:tc>
      </w:tr>
      <w:tr w:rsidR="0004264D" w:rsidRPr="00142C73" w14:paraId="078A97A9" w14:textId="7C0CF51A" w:rsidTr="00923092">
        <w:trPr>
          <w:cantSplit/>
        </w:trPr>
        <w:tc>
          <w:tcPr>
            <w:tcW w:w="135" w:type="pct"/>
          </w:tcPr>
          <w:p w14:paraId="45589C7C" w14:textId="77777777" w:rsidR="00801BDF" w:rsidRPr="00142C73" w:rsidRDefault="00801BDF" w:rsidP="00923092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contextualSpacing w:val="0"/>
              <w:jc w:val="center"/>
              <w:rPr>
                <w:rFonts w:eastAsia="Arial" w:cstheme="minorHAnsi"/>
                <w:color w:val="000000" w:themeColor="text1"/>
              </w:rPr>
            </w:pPr>
          </w:p>
        </w:tc>
        <w:tc>
          <w:tcPr>
            <w:tcW w:w="1956" w:type="pct"/>
          </w:tcPr>
          <w:p w14:paraId="68D03132" w14:textId="77777777" w:rsidR="00801BDF" w:rsidRPr="00B86123" w:rsidRDefault="00801BDF" w:rsidP="00923092">
            <w:pPr>
              <w:spacing w:before="60" w:line="240" w:lineRule="auto"/>
              <w:ind w:left="-5"/>
              <w:rPr>
                <w:rFonts w:eastAsia="Arial"/>
                <w:b/>
                <w:bCs/>
                <w:color w:val="000000" w:themeColor="text1"/>
                <w:lang w:val="en-AU"/>
              </w:rPr>
            </w:pPr>
            <w:r w:rsidRPr="00B86123">
              <w:rPr>
                <w:rFonts w:eastAsia="Arial"/>
                <w:b/>
                <w:bCs/>
                <w:color w:val="000000" w:themeColor="text1"/>
                <w:lang w:val="en-AU"/>
              </w:rPr>
              <w:t>Further integrate disability inclusion</w:t>
            </w:r>
          </w:p>
          <w:p w14:paraId="2CCB82C5" w14:textId="746783AA" w:rsidR="00BE11F7" w:rsidRPr="00BE11F7" w:rsidRDefault="007314C6" w:rsidP="00923092">
            <w:pPr>
              <w:spacing w:before="60" w:line="240" w:lineRule="auto"/>
              <w:ind w:left="-5"/>
              <w:rPr>
                <w:rFonts w:eastAsia="Arial"/>
                <w:color w:val="000000" w:themeColor="text1"/>
                <w:lang w:val="en-AU"/>
              </w:rPr>
            </w:pPr>
            <w:r>
              <w:rPr>
                <w:rFonts w:eastAsia="Arial"/>
                <w:color w:val="000000" w:themeColor="text1"/>
                <w:lang w:val="en-AU"/>
              </w:rPr>
              <w:t>Proposed s</w:t>
            </w:r>
            <w:r w:rsidR="00BE11F7" w:rsidRPr="00BE11F7">
              <w:rPr>
                <w:rFonts w:eastAsia="Arial"/>
                <w:color w:val="000000" w:themeColor="text1"/>
                <w:lang w:val="en-AU"/>
              </w:rPr>
              <w:t>teps to be taken:</w:t>
            </w:r>
          </w:p>
          <w:p w14:paraId="64A9B218" w14:textId="77777777" w:rsidR="007314C6" w:rsidRDefault="00BE11F7" w:rsidP="00923092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contextualSpacing w:val="0"/>
              <w:rPr>
                <w:rFonts w:eastAsia="Arial"/>
                <w:color w:val="000000" w:themeColor="text1"/>
              </w:rPr>
            </w:pPr>
            <w:r w:rsidRPr="007314C6">
              <w:rPr>
                <w:rFonts w:eastAsia="Arial"/>
                <w:color w:val="000000" w:themeColor="text1"/>
              </w:rPr>
              <w:t>Engage with disability-focused CSOs in ASEAN.</w:t>
            </w:r>
          </w:p>
          <w:p w14:paraId="292D382F" w14:textId="77777777" w:rsidR="007314C6" w:rsidRDefault="00BE11F7" w:rsidP="00923092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contextualSpacing w:val="0"/>
              <w:rPr>
                <w:rFonts w:eastAsia="Arial"/>
                <w:color w:val="000000" w:themeColor="text1"/>
              </w:rPr>
            </w:pPr>
            <w:r w:rsidRPr="007314C6">
              <w:rPr>
                <w:rFonts w:eastAsia="Arial"/>
                <w:color w:val="000000" w:themeColor="text1"/>
              </w:rPr>
              <w:t>Include disability topics and representatives in activities.</w:t>
            </w:r>
          </w:p>
          <w:p w14:paraId="5320810B" w14:textId="4AC49C10" w:rsidR="00BE11F7" w:rsidRPr="007314C6" w:rsidRDefault="00BE11F7" w:rsidP="00923092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contextualSpacing w:val="0"/>
              <w:rPr>
                <w:rFonts w:eastAsia="Arial"/>
                <w:color w:val="000000" w:themeColor="text1"/>
              </w:rPr>
            </w:pPr>
            <w:r w:rsidRPr="007314C6">
              <w:rPr>
                <w:rFonts w:eastAsia="Arial"/>
                <w:color w:val="000000" w:themeColor="text1"/>
              </w:rPr>
              <w:t>Develop initiatives targeting disability inclusion</w:t>
            </w:r>
            <w:r w:rsidR="00AD3BE7">
              <w:rPr>
                <w:rFonts w:eastAsia="Arial"/>
                <w:color w:val="000000" w:themeColor="text1"/>
              </w:rPr>
              <w:t>.</w:t>
            </w:r>
          </w:p>
        </w:tc>
        <w:tc>
          <w:tcPr>
            <w:tcW w:w="2246" w:type="pct"/>
          </w:tcPr>
          <w:p w14:paraId="23D18E2F" w14:textId="1D5A6F69" w:rsidR="00801BDF" w:rsidRPr="00F71F3A" w:rsidRDefault="003E57F8" w:rsidP="00923092">
            <w:pPr>
              <w:spacing w:before="60" w:line="240" w:lineRule="auto"/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</w:pPr>
            <w:r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  <w:t xml:space="preserve">Support </w:t>
            </w:r>
          </w:p>
          <w:p w14:paraId="178940E0" w14:textId="02B0D6A2" w:rsidR="00BE11F7" w:rsidRPr="006D5ED0" w:rsidRDefault="007C2F34" w:rsidP="00923092">
            <w:pPr>
              <w:spacing w:before="60" w:line="240" w:lineRule="auto"/>
              <w:rPr>
                <w:rFonts w:eastAsia="Arial" w:cstheme="minorHAnsi"/>
                <w:color w:val="000000" w:themeColor="text1"/>
                <w:lang w:val="en-AU"/>
              </w:rPr>
            </w:pPr>
            <w:r>
              <w:rPr>
                <w:rFonts w:eastAsia="Arial" w:cstheme="minorHAnsi"/>
                <w:color w:val="000000" w:themeColor="text1"/>
                <w:lang w:val="en-AU"/>
              </w:rPr>
              <w:t>DFAT</w:t>
            </w:r>
            <w:r w:rsidR="009B2692">
              <w:rPr>
                <w:rFonts w:eastAsia="Arial" w:cstheme="minorHAnsi"/>
                <w:color w:val="000000" w:themeColor="text1"/>
                <w:lang w:val="en-AU"/>
              </w:rPr>
              <w:t xml:space="preserve"> support</w:t>
            </w:r>
            <w:r>
              <w:rPr>
                <w:rFonts w:eastAsia="Arial" w:cstheme="minorHAnsi"/>
                <w:color w:val="000000" w:themeColor="text1"/>
                <w:lang w:val="en-AU"/>
              </w:rPr>
              <w:t>s</w:t>
            </w:r>
            <w:r w:rsidR="00B24002">
              <w:rPr>
                <w:rFonts w:eastAsia="Arial" w:cstheme="minorHAnsi"/>
                <w:color w:val="000000" w:themeColor="text1"/>
                <w:lang w:val="en-AU"/>
              </w:rPr>
              <w:t xml:space="preserve"> the</w:t>
            </w:r>
            <w:r w:rsidR="00BE11F7">
              <w:rPr>
                <w:rFonts w:eastAsia="Arial" w:cstheme="minorHAnsi"/>
                <w:color w:val="000000" w:themeColor="text1"/>
                <w:lang w:val="en-AU"/>
              </w:rPr>
              <w:t xml:space="preserve"> recommendation and proposed </w:t>
            </w:r>
            <w:r w:rsidR="00120652">
              <w:rPr>
                <w:rFonts w:eastAsia="Arial" w:cstheme="minorHAnsi"/>
                <w:color w:val="000000" w:themeColor="text1"/>
                <w:lang w:val="en-AU"/>
              </w:rPr>
              <w:t>steps</w:t>
            </w:r>
            <w:r w:rsidR="00BE11F7">
              <w:rPr>
                <w:rFonts w:eastAsia="Arial" w:cstheme="minorHAnsi"/>
                <w:color w:val="000000" w:themeColor="text1"/>
                <w:lang w:val="en-AU"/>
              </w:rPr>
              <w:t xml:space="preserve"> to be taken.</w:t>
            </w:r>
            <w:r w:rsidR="001467A2">
              <w:rPr>
                <w:rFonts w:eastAsia="Arial" w:cstheme="minorHAnsi"/>
                <w:color w:val="000000" w:themeColor="text1"/>
                <w:lang w:val="en-AU"/>
              </w:rPr>
              <w:t xml:space="preserve"> The design will explore ways to further integrate disability inclusion and,</w:t>
            </w:r>
            <w:r w:rsidR="00BE11F7">
              <w:rPr>
                <w:rFonts w:eastAsia="Arial" w:cstheme="minorHAnsi"/>
                <w:color w:val="000000" w:themeColor="text1"/>
                <w:lang w:val="en-AU"/>
              </w:rPr>
              <w:t xml:space="preserve"> </w:t>
            </w:r>
            <w:proofErr w:type="gramStart"/>
            <w:r w:rsidR="001467A2">
              <w:rPr>
                <w:rFonts w:eastAsia="Arial" w:cstheme="minorHAnsi"/>
                <w:color w:val="000000" w:themeColor="text1"/>
                <w:lang w:val="en-AU"/>
              </w:rPr>
              <w:t>s</w:t>
            </w:r>
            <w:r w:rsidR="00BE11F7">
              <w:rPr>
                <w:rFonts w:eastAsia="Arial" w:cstheme="minorHAnsi"/>
                <w:color w:val="000000" w:themeColor="text1"/>
                <w:lang w:val="en-AU"/>
              </w:rPr>
              <w:t>imilar to</w:t>
            </w:r>
            <w:proofErr w:type="gramEnd"/>
            <w:r w:rsidR="00BE11F7">
              <w:rPr>
                <w:rFonts w:eastAsia="Arial" w:cstheme="minorHAnsi"/>
                <w:color w:val="000000" w:themeColor="text1"/>
                <w:lang w:val="en-AU"/>
              </w:rPr>
              <w:t xml:space="preserve"> the first phase of APSP, DFAT will ensure adequate resources allocated for disability inclusion (e.g. </w:t>
            </w:r>
            <w:r w:rsidR="00120652">
              <w:rPr>
                <w:rFonts w:eastAsia="Arial" w:cstheme="minorHAnsi"/>
                <w:color w:val="000000" w:themeColor="text1"/>
                <w:lang w:val="en-AU"/>
              </w:rPr>
              <w:t xml:space="preserve">GEDSI </w:t>
            </w:r>
            <w:r w:rsidR="00BE11F7">
              <w:rPr>
                <w:rFonts w:eastAsia="Arial" w:cstheme="minorHAnsi"/>
                <w:color w:val="000000" w:themeColor="text1"/>
                <w:lang w:val="en-AU"/>
              </w:rPr>
              <w:t>advisor, budget)</w:t>
            </w:r>
            <w:r w:rsidR="0071426D">
              <w:rPr>
                <w:rFonts w:eastAsia="Arial" w:cstheme="minorHAnsi"/>
                <w:color w:val="000000" w:themeColor="text1"/>
                <w:lang w:val="en-AU"/>
              </w:rPr>
              <w:t xml:space="preserve"> for the </w:t>
            </w:r>
            <w:r w:rsidR="00441008">
              <w:rPr>
                <w:rFonts w:eastAsia="Arial" w:cstheme="minorHAnsi"/>
                <w:color w:val="000000" w:themeColor="text1"/>
                <w:lang w:val="en-AU"/>
              </w:rPr>
              <w:t>successor program</w:t>
            </w:r>
            <w:r w:rsidR="0071426D">
              <w:rPr>
                <w:rFonts w:eastAsia="Arial" w:cstheme="minorHAnsi"/>
                <w:color w:val="000000" w:themeColor="text1"/>
                <w:lang w:val="en-AU"/>
              </w:rPr>
              <w:t>.</w:t>
            </w:r>
          </w:p>
        </w:tc>
        <w:tc>
          <w:tcPr>
            <w:tcW w:w="664" w:type="pct"/>
          </w:tcPr>
          <w:p w14:paraId="1823EE85" w14:textId="5526C8E3" w:rsidR="00801BDF" w:rsidRPr="006D5ED0" w:rsidRDefault="003812D4" w:rsidP="00923092">
            <w:pPr>
              <w:spacing w:before="60" w:line="240" w:lineRule="auto"/>
              <w:rPr>
                <w:rFonts w:eastAsia="Arial" w:cstheme="minorHAnsi"/>
                <w:color w:val="000000" w:themeColor="text1"/>
                <w:lang w:val="en-AU"/>
              </w:rPr>
            </w:pPr>
            <w:r>
              <w:rPr>
                <w:rFonts w:eastAsia="Arial" w:cstheme="minorHAnsi"/>
                <w:color w:val="000000" w:themeColor="text1"/>
                <w:lang w:val="en-AU"/>
              </w:rPr>
              <w:t xml:space="preserve">September </w:t>
            </w:r>
            <w:r w:rsidR="00477CCF">
              <w:rPr>
                <w:rFonts w:eastAsia="Arial" w:cstheme="minorHAnsi"/>
                <w:color w:val="000000" w:themeColor="text1"/>
                <w:lang w:val="en-AU"/>
              </w:rPr>
              <w:t xml:space="preserve">2025 </w:t>
            </w:r>
          </w:p>
        </w:tc>
      </w:tr>
      <w:tr w:rsidR="0004264D" w:rsidRPr="00142C73" w14:paraId="7BD1A44A" w14:textId="18315223" w:rsidTr="00923092">
        <w:trPr>
          <w:cantSplit/>
        </w:trPr>
        <w:tc>
          <w:tcPr>
            <w:tcW w:w="135" w:type="pct"/>
          </w:tcPr>
          <w:p w14:paraId="22618FD3" w14:textId="77777777" w:rsidR="00801BDF" w:rsidRPr="00142C73" w:rsidRDefault="00801BDF" w:rsidP="00923092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contextualSpacing w:val="0"/>
              <w:jc w:val="center"/>
              <w:rPr>
                <w:rFonts w:eastAsia="Arial" w:cstheme="minorHAnsi"/>
                <w:color w:val="000000" w:themeColor="text1"/>
              </w:rPr>
            </w:pPr>
          </w:p>
        </w:tc>
        <w:tc>
          <w:tcPr>
            <w:tcW w:w="1956" w:type="pct"/>
          </w:tcPr>
          <w:p w14:paraId="20F1F264" w14:textId="77777777" w:rsidR="00801BDF" w:rsidRDefault="00801BDF" w:rsidP="00923092">
            <w:pPr>
              <w:spacing w:before="60" w:line="240" w:lineRule="auto"/>
              <w:ind w:left="-5"/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</w:pPr>
            <w:r w:rsidRPr="0071426D"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  <w:t>Establish a consultative mechanism for emerging issues</w:t>
            </w:r>
          </w:p>
          <w:p w14:paraId="5911F4AB" w14:textId="4BF5839C" w:rsidR="0071426D" w:rsidRDefault="0071426D" w:rsidP="00923092">
            <w:pPr>
              <w:pStyle w:val="Default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Proposed </w:t>
            </w:r>
            <w:r w:rsidR="0004264D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teps to be taken: </w:t>
            </w:r>
          </w:p>
          <w:p w14:paraId="6FE47398" w14:textId="77777777" w:rsidR="0071426D" w:rsidRDefault="0071426D" w:rsidP="00923092">
            <w:pPr>
              <w:pStyle w:val="Default"/>
              <w:numPr>
                <w:ilvl w:val="0"/>
                <w:numId w:val="13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Propose forming a consultative committee with ASEAN and OGDs. </w:t>
            </w:r>
          </w:p>
          <w:p w14:paraId="46294D4A" w14:textId="77777777" w:rsidR="0071426D" w:rsidRDefault="0071426D" w:rsidP="00923092">
            <w:pPr>
              <w:pStyle w:val="Default"/>
              <w:numPr>
                <w:ilvl w:val="0"/>
                <w:numId w:val="13"/>
              </w:numPr>
              <w:spacing w:before="60" w:after="60"/>
              <w:rPr>
                <w:sz w:val="22"/>
                <w:szCs w:val="22"/>
              </w:rPr>
            </w:pPr>
            <w:r w:rsidRPr="0071426D">
              <w:rPr>
                <w:sz w:val="22"/>
                <w:szCs w:val="22"/>
              </w:rPr>
              <w:t xml:space="preserve">Define mandate, membership, and schedule. </w:t>
            </w:r>
          </w:p>
          <w:p w14:paraId="6AE8F067" w14:textId="24C6CBAB" w:rsidR="0071426D" w:rsidRPr="00923092" w:rsidRDefault="0071426D" w:rsidP="00923092">
            <w:pPr>
              <w:pStyle w:val="Default"/>
              <w:numPr>
                <w:ilvl w:val="0"/>
                <w:numId w:val="13"/>
              </w:numPr>
              <w:spacing w:before="60" w:after="60"/>
              <w:rPr>
                <w:rFonts w:eastAsia="Arial" w:cstheme="minorHAnsi"/>
                <w:b/>
                <w:bCs/>
                <w:color w:val="000000" w:themeColor="text1"/>
              </w:rPr>
            </w:pPr>
            <w:r w:rsidRPr="0071426D">
              <w:rPr>
                <w:sz w:val="22"/>
                <w:szCs w:val="22"/>
              </w:rPr>
              <w:t>Use the committee for planning the future program and identifying emerging issues</w:t>
            </w:r>
            <w:r>
              <w:rPr>
                <w:sz w:val="22"/>
                <w:szCs w:val="22"/>
              </w:rPr>
              <w:t xml:space="preserve">. </w:t>
            </w:r>
            <w:r w:rsidRPr="007142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6" w:type="pct"/>
          </w:tcPr>
          <w:p w14:paraId="3B8F9D1E" w14:textId="3772350E" w:rsidR="00801BDF" w:rsidRPr="009A76ED" w:rsidRDefault="003E57F8" w:rsidP="00923092">
            <w:pPr>
              <w:spacing w:before="60" w:line="240" w:lineRule="auto"/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</w:pPr>
            <w:r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  <w:t>Support</w:t>
            </w:r>
            <w:r w:rsidR="009B5907"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  <w:t xml:space="preserve"> in-principle </w:t>
            </w:r>
          </w:p>
          <w:p w14:paraId="7A8099B3" w14:textId="643D88F6" w:rsidR="00441008" w:rsidRDefault="00441008" w:rsidP="00923092">
            <w:pPr>
              <w:spacing w:before="60" w:line="240" w:lineRule="auto"/>
              <w:rPr>
                <w:rFonts w:eastAsia="Arial" w:cstheme="minorHAnsi"/>
                <w:color w:val="000000" w:themeColor="text1"/>
                <w:lang w:val="en-AU"/>
              </w:rPr>
            </w:pPr>
            <w:r>
              <w:rPr>
                <w:rFonts w:eastAsia="Arial" w:cstheme="minorHAnsi"/>
                <w:color w:val="000000" w:themeColor="text1"/>
                <w:lang w:val="en-AU"/>
              </w:rPr>
              <w:t>The successor program design will consider options for a governance mechanism for engaging Australian Government agencies (see recommendation 2), and a separate mechanism for engaging ASEAN stakeholders on emerging priorities, and activity pipeline management.</w:t>
            </w:r>
          </w:p>
          <w:p w14:paraId="272CC6C1" w14:textId="27BC2BF2" w:rsidR="009E09CD" w:rsidRPr="006D5ED0" w:rsidRDefault="00441008" w:rsidP="00923092">
            <w:pPr>
              <w:spacing w:before="60" w:line="240" w:lineRule="auto"/>
              <w:rPr>
                <w:rFonts w:eastAsia="Arial" w:cstheme="minorHAnsi"/>
                <w:color w:val="000000" w:themeColor="text1"/>
                <w:lang w:val="en-AU"/>
              </w:rPr>
            </w:pPr>
            <w:r>
              <w:rPr>
                <w:rFonts w:eastAsia="Arial" w:cstheme="minorHAnsi"/>
                <w:color w:val="000000" w:themeColor="text1"/>
                <w:lang w:val="en-AU"/>
              </w:rPr>
              <w:t xml:space="preserve">An integrated consultative mechanism, including both Australian agencies and ASEAN stakeholders would </w:t>
            </w:r>
            <w:r w:rsidR="00A057CC">
              <w:rPr>
                <w:rFonts w:eastAsia="Arial" w:cstheme="minorHAnsi"/>
                <w:color w:val="000000" w:themeColor="text1"/>
                <w:lang w:val="en-AU"/>
              </w:rPr>
              <w:t>not be suitable</w:t>
            </w:r>
            <w:r>
              <w:rPr>
                <w:rFonts w:eastAsia="Arial" w:cstheme="minorHAnsi"/>
                <w:color w:val="000000" w:themeColor="text1"/>
                <w:lang w:val="en-AU"/>
              </w:rPr>
              <w:t>, given the size of the program, and the breadth of topics covered.</w:t>
            </w:r>
            <w:r w:rsidR="004A75A8">
              <w:rPr>
                <w:rFonts w:eastAsia="Arial" w:cstheme="minorHAnsi"/>
                <w:color w:val="000000" w:themeColor="text1"/>
                <w:lang w:val="en-AU"/>
              </w:rPr>
              <w:t xml:space="preserve"> </w:t>
            </w:r>
            <w:r w:rsidR="009A76ED">
              <w:rPr>
                <w:rFonts w:eastAsia="Arial" w:cstheme="minorHAnsi"/>
                <w:color w:val="000000" w:themeColor="text1"/>
                <w:lang w:val="en-AU"/>
              </w:rPr>
              <w:t xml:space="preserve"> </w:t>
            </w:r>
          </w:p>
        </w:tc>
        <w:tc>
          <w:tcPr>
            <w:tcW w:w="664" w:type="pct"/>
          </w:tcPr>
          <w:p w14:paraId="3728BBF7" w14:textId="79802A59" w:rsidR="00801BDF" w:rsidRPr="006D5ED0" w:rsidRDefault="003812D4" w:rsidP="00923092">
            <w:pPr>
              <w:spacing w:before="60" w:line="240" w:lineRule="auto"/>
              <w:rPr>
                <w:rFonts w:eastAsia="Arial" w:cstheme="minorHAnsi"/>
                <w:color w:val="000000" w:themeColor="text1"/>
                <w:lang w:val="en-AU"/>
              </w:rPr>
            </w:pPr>
            <w:r>
              <w:rPr>
                <w:rFonts w:eastAsia="Arial" w:cstheme="minorHAnsi"/>
                <w:color w:val="000000" w:themeColor="text1"/>
                <w:lang w:val="en-AU"/>
              </w:rPr>
              <w:t xml:space="preserve">September </w:t>
            </w:r>
            <w:r w:rsidR="00E777BC">
              <w:rPr>
                <w:rFonts w:eastAsia="Arial" w:cstheme="minorHAnsi"/>
                <w:color w:val="000000" w:themeColor="text1"/>
                <w:lang w:val="en-AU"/>
              </w:rPr>
              <w:t xml:space="preserve">2025 </w:t>
            </w:r>
          </w:p>
        </w:tc>
      </w:tr>
      <w:tr w:rsidR="0004264D" w:rsidRPr="00142C73" w14:paraId="66053DE8" w14:textId="1B7D3FF4" w:rsidTr="00923092">
        <w:trPr>
          <w:cantSplit/>
        </w:trPr>
        <w:tc>
          <w:tcPr>
            <w:tcW w:w="135" w:type="pct"/>
          </w:tcPr>
          <w:p w14:paraId="4C70028E" w14:textId="77777777" w:rsidR="00801BDF" w:rsidRPr="00142C73" w:rsidRDefault="00801BDF" w:rsidP="00923092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contextualSpacing w:val="0"/>
              <w:jc w:val="center"/>
              <w:rPr>
                <w:rFonts w:eastAsia="Arial" w:cstheme="minorHAnsi"/>
                <w:color w:val="000000" w:themeColor="text1"/>
              </w:rPr>
            </w:pPr>
          </w:p>
        </w:tc>
        <w:tc>
          <w:tcPr>
            <w:tcW w:w="1956" w:type="pct"/>
          </w:tcPr>
          <w:p w14:paraId="5710AB3E" w14:textId="77777777" w:rsidR="00801BDF" w:rsidRDefault="00801BDF" w:rsidP="00923092">
            <w:pPr>
              <w:spacing w:before="60" w:line="240" w:lineRule="auto"/>
              <w:ind w:left="-5"/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</w:pPr>
            <w:r w:rsidRPr="00953F63"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  <w:t>Continue capacity building for ASEAN institutions</w:t>
            </w:r>
          </w:p>
          <w:p w14:paraId="4C55D0D2" w14:textId="249F9685" w:rsidR="00121094" w:rsidRDefault="00121094" w:rsidP="00923092">
            <w:pPr>
              <w:pStyle w:val="Default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Proposed s</w:t>
            </w:r>
            <w:r w:rsidR="00FC2081">
              <w:rPr>
                <w:sz w:val="22"/>
                <w:szCs w:val="22"/>
              </w:rPr>
              <w:t xml:space="preserve">teps to be taken: </w:t>
            </w:r>
          </w:p>
          <w:p w14:paraId="101491E3" w14:textId="77777777" w:rsidR="00121094" w:rsidRDefault="00FC2081" w:rsidP="00923092">
            <w:pPr>
              <w:pStyle w:val="Default"/>
              <w:numPr>
                <w:ilvl w:val="0"/>
                <w:numId w:val="13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Identify capacity gaps within ASEAN institutions. </w:t>
            </w:r>
          </w:p>
          <w:p w14:paraId="3A657011" w14:textId="77777777" w:rsidR="00121094" w:rsidRDefault="00FC2081" w:rsidP="00923092">
            <w:pPr>
              <w:pStyle w:val="Default"/>
              <w:numPr>
                <w:ilvl w:val="0"/>
                <w:numId w:val="13"/>
              </w:numPr>
              <w:spacing w:before="60" w:after="60"/>
              <w:rPr>
                <w:sz w:val="22"/>
                <w:szCs w:val="22"/>
              </w:rPr>
            </w:pPr>
            <w:r w:rsidRPr="00121094">
              <w:rPr>
                <w:sz w:val="22"/>
                <w:szCs w:val="22"/>
              </w:rPr>
              <w:t xml:space="preserve">Develop targeted capacity-building programs. </w:t>
            </w:r>
          </w:p>
          <w:p w14:paraId="227B9FE1" w14:textId="44E58042" w:rsidR="00FC2081" w:rsidRPr="0004264D" w:rsidRDefault="00FC2081" w:rsidP="00923092">
            <w:pPr>
              <w:pStyle w:val="Default"/>
              <w:numPr>
                <w:ilvl w:val="0"/>
                <w:numId w:val="13"/>
              </w:numPr>
              <w:spacing w:before="60" w:after="60"/>
              <w:rPr>
                <w:rFonts w:eastAsia="Arial" w:cstheme="minorHAnsi"/>
                <w:b/>
                <w:bCs/>
                <w:color w:val="000000" w:themeColor="text1"/>
              </w:rPr>
            </w:pPr>
            <w:r w:rsidRPr="00121094">
              <w:rPr>
                <w:sz w:val="22"/>
                <w:szCs w:val="22"/>
              </w:rPr>
              <w:t xml:space="preserve">Monitor and evaluate impact. </w:t>
            </w:r>
          </w:p>
        </w:tc>
        <w:tc>
          <w:tcPr>
            <w:tcW w:w="2246" w:type="pct"/>
          </w:tcPr>
          <w:p w14:paraId="06974D12" w14:textId="3AAFD9E2" w:rsidR="00801BDF" w:rsidRPr="00931A7E" w:rsidRDefault="00F50CC0" w:rsidP="00923092">
            <w:pPr>
              <w:spacing w:before="60" w:line="240" w:lineRule="auto"/>
              <w:rPr>
                <w:rFonts w:eastAsia="Arial" w:cstheme="minorHAnsi"/>
                <w:b/>
                <w:bCs/>
                <w:color w:val="000000" w:themeColor="text1"/>
              </w:rPr>
            </w:pPr>
            <w:r>
              <w:rPr>
                <w:rFonts w:eastAsia="Arial" w:cstheme="minorHAnsi"/>
                <w:b/>
                <w:bCs/>
                <w:color w:val="000000" w:themeColor="text1"/>
              </w:rPr>
              <w:t xml:space="preserve">Support </w:t>
            </w:r>
          </w:p>
          <w:p w14:paraId="5BB91270" w14:textId="59D250BC" w:rsidR="00DD2F7F" w:rsidRPr="00FC2081" w:rsidRDefault="003812D4" w:rsidP="00923092">
            <w:pPr>
              <w:spacing w:before="60" w:line="240" w:lineRule="auto"/>
              <w:rPr>
                <w:rFonts w:eastAsia="Arial" w:cstheme="minorHAnsi"/>
                <w:color w:val="000000" w:themeColor="text1"/>
              </w:rPr>
            </w:pPr>
            <w:r>
              <w:rPr>
                <w:rFonts w:eastAsia="Arial" w:cstheme="minorHAnsi"/>
                <w:color w:val="000000" w:themeColor="text1"/>
              </w:rPr>
              <w:t xml:space="preserve">In line with Official Development Assistance guidelines, </w:t>
            </w:r>
            <w:r w:rsidR="007C2F34">
              <w:rPr>
                <w:rFonts w:eastAsia="Arial" w:cstheme="minorHAnsi"/>
                <w:color w:val="000000" w:themeColor="text1"/>
              </w:rPr>
              <w:t>DFAT</w:t>
            </w:r>
            <w:r w:rsidR="00F50CC0">
              <w:rPr>
                <w:rFonts w:eastAsia="Arial" w:cstheme="minorHAnsi"/>
                <w:color w:val="000000" w:themeColor="text1"/>
              </w:rPr>
              <w:t xml:space="preserve"> </w:t>
            </w:r>
            <w:r w:rsidR="004C0573">
              <w:rPr>
                <w:rFonts w:eastAsia="Arial" w:cstheme="minorHAnsi"/>
                <w:color w:val="000000" w:themeColor="text1"/>
              </w:rPr>
              <w:t>support</w:t>
            </w:r>
            <w:r w:rsidR="007C2F34">
              <w:rPr>
                <w:rFonts w:eastAsia="Arial" w:cstheme="minorHAnsi"/>
                <w:color w:val="000000" w:themeColor="text1"/>
              </w:rPr>
              <w:t>s</w:t>
            </w:r>
            <w:r w:rsidR="004C0573">
              <w:rPr>
                <w:rFonts w:eastAsia="Arial" w:cstheme="minorHAnsi"/>
                <w:color w:val="000000" w:themeColor="text1"/>
              </w:rPr>
              <w:t xml:space="preserve"> efforts to build the </w:t>
            </w:r>
            <w:r w:rsidR="008372ED">
              <w:rPr>
                <w:rFonts w:eastAsia="Arial" w:cstheme="minorHAnsi"/>
                <w:color w:val="000000" w:themeColor="text1"/>
              </w:rPr>
              <w:t>capacity of ASEAN institutions; however, we place particular emphasis on strengthening the capacity of officials from ASEAN Member States</w:t>
            </w:r>
            <w:r w:rsidR="00441008">
              <w:rPr>
                <w:rFonts w:eastAsia="Arial" w:cstheme="minorHAnsi"/>
                <w:color w:val="000000" w:themeColor="text1"/>
              </w:rPr>
              <w:t xml:space="preserve"> which service ASEAN Sectoral Bodies</w:t>
            </w:r>
            <w:r w:rsidR="008372ED">
              <w:rPr>
                <w:rFonts w:eastAsia="Arial" w:cstheme="minorHAnsi"/>
                <w:color w:val="000000" w:themeColor="text1"/>
              </w:rPr>
              <w:t xml:space="preserve">. The </w:t>
            </w:r>
            <w:r w:rsidR="00F166C0">
              <w:rPr>
                <w:rFonts w:eastAsia="Arial" w:cstheme="minorHAnsi"/>
                <w:color w:val="000000" w:themeColor="text1"/>
              </w:rPr>
              <w:t xml:space="preserve">design will </w:t>
            </w:r>
            <w:r w:rsidR="008372ED">
              <w:rPr>
                <w:rFonts w:eastAsia="Arial" w:cstheme="minorHAnsi"/>
                <w:color w:val="000000" w:themeColor="text1"/>
              </w:rPr>
              <w:t xml:space="preserve">identify mechanisms </w:t>
            </w:r>
            <w:r w:rsidR="00824454">
              <w:rPr>
                <w:rFonts w:eastAsia="Arial" w:cstheme="minorHAnsi"/>
                <w:color w:val="000000" w:themeColor="text1"/>
              </w:rPr>
              <w:t xml:space="preserve">to assess capacity gaps – drawing on </w:t>
            </w:r>
            <w:r w:rsidR="00B04ECE">
              <w:rPr>
                <w:rFonts w:eastAsia="Arial" w:cstheme="minorHAnsi"/>
                <w:color w:val="000000" w:themeColor="text1"/>
              </w:rPr>
              <w:t>recommendations</w:t>
            </w:r>
            <w:r w:rsidR="00824454">
              <w:rPr>
                <w:rFonts w:eastAsia="Arial" w:cstheme="minorHAnsi"/>
                <w:color w:val="000000" w:themeColor="text1"/>
              </w:rPr>
              <w:t xml:space="preserve"> from past activities</w:t>
            </w:r>
            <w:r w:rsidR="00B04ECE">
              <w:rPr>
                <w:rFonts w:eastAsia="Arial" w:cstheme="minorHAnsi"/>
                <w:color w:val="000000" w:themeColor="text1"/>
              </w:rPr>
              <w:t xml:space="preserve"> – and enhance the monitoring and evaluation of outcomes and impact. </w:t>
            </w:r>
          </w:p>
        </w:tc>
        <w:tc>
          <w:tcPr>
            <w:tcW w:w="664" w:type="pct"/>
          </w:tcPr>
          <w:p w14:paraId="2F0B2399" w14:textId="74702678" w:rsidR="00801BDF" w:rsidRPr="006D5ED0" w:rsidRDefault="003812D4" w:rsidP="00923092">
            <w:pPr>
              <w:spacing w:before="60" w:line="240" w:lineRule="auto"/>
              <w:rPr>
                <w:rFonts w:eastAsia="Arial" w:cstheme="minorHAnsi"/>
                <w:color w:val="000000" w:themeColor="text1"/>
                <w:lang w:val="en-AU"/>
              </w:rPr>
            </w:pPr>
            <w:r>
              <w:rPr>
                <w:rFonts w:eastAsia="Arial" w:cstheme="minorHAnsi"/>
                <w:color w:val="000000" w:themeColor="text1"/>
                <w:lang w:val="en-AU"/>
              </w:rPr>
              <w:t xml:space="preserve">September </w:t>
            </w:r>
            <w:r w:rsidR="00441008">
              <w:rPr>
                <w:rFonts w:eastAsia="Arial" w:cstheme="minorHAnsi"/>
                <w:color w:val="000000" w:themeColor="text1"/>
                <w:lang w:val="en-AU"/>
              </w:rPr>
              <w:t>2025</w:t>
            </w:r>
          </w:p>
        </w:tc>
      </w:tr>
      <w:tr w:rsidR="0004264D" w:rsidRPr="00142C73" w14:paraId="7D9E0763" w14:textId="02ABB5A9" w:rsidTr="00923092">
        <w:trPr>
          <w:cantSplit/>
        </w:trPr>
        <w:tc>
          <w:tcPr>
            <w:tcW w:w="135" w:type="pct"/>
          </w:tcPr>
          <w:p w14:paraId="35B2605A" w14:textId="77777777" w:rsidR="00801BDF" w:rsidRPr="00142C73" w:rsidRDefault="00801BDF" w:rsidP="00923092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contextualSpacing w:val="0"/>
              <w:jc w:val="center"/>
              <w:rPr>
                <w:rFonts w:eastAsia="Arial" w:cstheme="minorHAnsi"/>
                <w:color w:val="000000" w:themeColor="text1"/>
              </w:rPr>
            </w:pPr>
          </w:p>
        </w:tc>
        <w:tc>
          <w:tcPr>
            <w:tcW w:w="1956" w:type="pct"/>
          </w:tcPr>
          <w:p w14:paraId="758EA2CF" w14:textId="77777777" w:rsidR="00801BDF" w:rsidRPr="00931A7E" w:rsidRDefault="00801BDF" w:rsidP="00923092">
            <w:pPr>
              <w:spacing w:before="60" w:line="240" w:lineRule="auto"/>
              <w:ind w:left="-5"/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</w:pPr>
            <w:r w:rsidRPr="00931A7E"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  <w:t>Strengthen cross-pillar and cross-sectoral approaches</w:t>
            </w:r>
          </w:p>
          <w:p w14:paraId="728A3020" w14:textId="16578D56" w:rsidR="00931A7E" w:rsidRDefault="00931A7E" w:rsidP="00923092">
            <w:pPr>
              <w:pStyle w:val="Default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Proposed steps to be taken: </w:t>
            </w:r>
          </w:p>
          <w:p w14:paraId="2370923D" w14:textId="77777777" w:rsidR="00931A7E" w:rsidRDefault="00931A7E" w:rsidP="00923092">
            <w:pPr>
              <w:pStyle w:val="Default"/>
              <w:numPr>
                <w:ilvl w:val="0"/>
                <w:numId w:val="17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Design activities involving multiple sectors and pillars. </w:t>
            </w:r>
          </w:p>
          <w:p w14:paraId="25CAD45D" w14:textId="77777777" w:rsidR="00931A7E" w:rsidRDefault="00931A7E" w:rsidP="00923092">
            <w:pPr>
              <w:pStyle w:val="Default"/>
              <w:numPr>
                <w:ilvl w:val="0"/>
                <w:numId w:val="17"/>
              </w:numPr>
              <w:spacing w:before="60" w:after="60"/>
              <w:rPr>
                <w:sz w:val="22"/>
                <w:szCs w:val="22"/>
              </w:rPr>
            </w:pPr>
            <w:r w:rsidRPr="00931A7E">
              <w:rPr>
                <w:sz w:val="22"/>
                <w:szCs w:val="22"/>
              </w:rPr>
              <w:t xml:space="preserve">Encourage diverse stakeholder participation, including civil society and marginalised groups. </w:t>
            </w:r>
          </w:p>
          <w:p w14:paraId="7224EAB5" w14:textId="0D80B232" w:rsidR="00931A7E" w:rsidRPr="00923092" w:rsidRDefault="00931A7E" w:rsidP="00923092">
            <w:pPr>
              <w:pStyle w:val="Default"/>
              <w:numPr>
                <w:ilvl w:val="0"/>
                <w:numId w:val="17"/>
              </w:numPr>
              <w:spacing w:before="60" w:after="60"/>
              <w:rPr>
                <w:rFonts w:eastAsia="Arial" w:cstheme="minorHAnsi"/>
                <w:color w:val="000000" w:themeColor="text1"/>
              </w:rPr>
            </w:pPr>
            <w:r w:rsidRPr="00931A7E">
              <w:rPr>
                <w:sz w:val="22"/>
                <w:szCs w:val="22"/>
              </w:rPr>
              <w:t>Facilitate cross-sector knowledge exchange</w:t>
            </w:r>
            <w:r w:rsidR="00EA6846">
              <w:rPr>
                <w:sz w:val="22"/>
                <w:szCs w:val="22"/>
              </w:rPr>
              <w:t>.</w:t>
            </w:r>
          </w:p>
        </w:tc>
        <w:tc>
          <w:tcPr>
            <w:tcW w:w="2246" w:type="pct"/>
          </w:tcPr>
          <w:p w14:paraId="006E5B40" w14:textId="28224D6E" w:rsidR="00801BDF" w:rsidRPr="00931A7E" w:rsidRDefault="005032A4" w:rsidP="00923092">
            <w:pPr>
              <w:spacing w:before="60" w:line="240" w:lineRule="auto"/>
              <w:rPr>
                <w:rFonts w:eastAsia="Arial" w:cstheme="minorHAnsi"/>
                <w:b/>
                <w:bCs/>
                <w:color w:val="000000" w:themeColor="text1"/>
              </w:rPr>
            </w:pPr>
            <w:r>
              <w:rPr>
                <w:rFonts w:eastAsia="Arial" w:cstheme="minorHAnsi"/>
                <w:b/>
                <w:bCs/>
                <w:color w:val="000000" w:themeColor="text1"/>
              </w:rPr>
              <w:t xml:space="preserve">Support </w:t>
            </w:r>
          </w:p>
          <w:p w14:paraId="637E415A" w14:textId="70242776" w:rsidR="00931A7E" w:rsidRPr="00931A7E" w:rsidRDefault="00923092" w:rsidP="00923092">
            <w:pPr>
              <w:spacing w:before="60" w:line="240" w:lineRule="auto"/>
              <w:rPr>
                <w:rFonts w:eastAsia="Arial" w:cstheme="minorHAnsi"/>
                <w:color w:val="000000" w:themeColor="text1"/>
              </w:rPr>
            </w:pPr>
            <w:r>
              <w:rPr>
                <w:rFonts w:eastAsia="Arial" w:cstheme="minorHAnsi"/>
                <w:color w:val="000000" w:themeColor="text1"/>
              </w:rPr>
              <w:t>DFAT</w:t>
            </w:r>
            <w:r w:rsidR="00E30DF2">
              <w:rPr>
                <w:rFonts w:eastAsia="Arial" w:cstheme="minorHAnsi"/>
                <w:color w:val="000000" w:themeColor="text1"/>
              </w:rPr>
              <w:t xml:space="preserve"> support</w:t>
            </w:r>
            <w:r>
              <w:rPr>
                <w:rFonts w:eastAsia="Arial" w:cstheme="minorHAnsi"/>
                <w:color w:val="000000" w:themeColor="text1"/>
              </w:rPr>
              <w:t>s</w:t>
            </w:r>
            <w:r w:rsidR="00931A7E" w:rsidRPr="00931A7E">
              <w:rPr>
                <w:rFonts w:eastAsia="Arial" w:cstheme="minorHAnsi"/>
                <w:color w:val="000000" w:themeColor="text1"/>
              </w:rPr>
              <w:t xml:space="preserve"> the recommendation and proposed steps to be taken</w:t>
            </w:r>
            <w:r w:rsidR="00702A53">
              <w:rPr>
                <w:rFonts w:eastAsia="Arial" w:cstheme="minorHAnsi"/>
                <w:color w:val="000000" w:themeColor="text1"/>
              </w:rPr>
              <w:t>.</w:t>
            </w:r>
            <w:r w:rsidR="003812D4">
              <w:rPr>
                <w:rFonts w:eastAsia="Arial" w:cstheme="minorHAnsi"/>
                <w:color w:val="000000" w:themeColor="text1"/>
              </w:rPr>
              <w:t xml:space="preserve"> The governance mechanism and stakeholder consultation will be a </w:t>
            </w:r>
            <w:proofErr w:type="gramStart"/>
            <w:r w:rsidR="003812D4">
              <w:rPr>
                <w:rFonts w:eastAsia="Arial" w:cstheme="minorHAnsi"/>
                <w:color w:val="000000" w:themeColor="text1"/>
              </w:rPr>
              <w:t>key way</w:t>
            </w:r>
            <w:proofErr w:type="gramEnd"/>
            <w:r w:rsidR="003812D4">
              <w:rPr>
                <w:rFonts w:eastAsia="Arial" w:cstheme="minorHAnsi"/>
                <w:color w:val="000000" w:themeColor="text1"/>
              </w:rPr>
              <w:t xml:space="preserve"> to facilitate cross-pillar and cross-sectoral approaches. </w:t>
            </w:r>
          </w:p>
        </w:tc>
        <w:tc>
          <w:tcPr>
            <w:tcW w:w="664" w:type="pct"/>
          </w:tcPr>
          <w:p w14:paraId="1064C5DA" w14:textId="1D40F185" w:rsidR="00801BDF" w:rsidRPr="006D5ED0" w:rsidRDefault="003812D4" w:rsidP="00923092">
            <w:pPr>
              <w:spacing w:before="60" w:line="240" w:lineRule="auto"/>
              <w:rPr>
                <w:rFonts w:eastAsia="Arial" w:cstheme="minorHAnsi"/>
                <w:color w:val="000000" w:themeColor="text1"/>
                <w:lang w:val="en-AU"/>
              </w:rPr>
            </w:pPr>
            <w:r>
              <w:rPr>
                <w:rFonts w:eastAsia="Arial" w:cstheme="minorHAnsi"/>
                <w:color w:val="000000" w:themeColor="text1"/>
                <w:lang w:val="en-AU"/>
              </w:rPr>
              <w:t xml:space="preserve">September </w:t>
            </w:r>
            <w:r w:rsidR="009A76ED">
              <w:rPr>
                <w:rFonts w:eastAsia="Arial" w:cstheme="minorHAnsi"/>
                <w:color w:val="000000" w:themeColor="text1"/>
                <w:lang w:val="en-AU"/>
              </w:rPr>
              <w:t xml:space="preserve">2025 </w:t>
            </w:r>
          </w:p>
        </w:tc>
      </w:tr>
      <w:tr w:rsidR="0004264D" w:rsidRPr="00142C73" w14:paraId="3FC00014" w14:textId="3F7E5DC7" w:rsidTr="00923092">
        <w:trPr>
          <w:cantSplit/>
        </w:trPr>
        <w:tc>
          <w:tcPr>
            <w:tcW w:w="135" w:type="pct"/>
          </w:tcPr>
          <w:p w14:paraId="523B2D58" w14:textId="77777777" w:rsidR="00801BDF" w:rsidRPr="00142C73" w:rsidRDefault="00801BDF" w:rsidP="00923092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contextualSpacing w:val="0"/>
              <w:jc w:val="center"/>
              <w:rPr>
                <w:rFonts w:eastAsia="Arial" w:cstheme="minorHAnsi"/>
                <w:color w:val="000000" w:themeColor="text1"/>
              </w:rPr>
            </w:pPr>
          </w:p>
        </w:tc>
        <w:tc>
          <w:tcPr>
            <w:tcW w:w="1956" w:type="pct"/>
          </w:tcPr>
          <w:p w14:paraId="27E851DE" w14:textId="77777777" w:rsidR="00801BDF" w:rsidRDefault="00801BDF" w:rsidP="00923092">
            <w:pPr>
              <w:spacing w:before="60" w:line="240" w:lineRule="auto"/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</w:pPr>
            <w:r w:rsidRPr="00931A7E"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  <w:t>Improve Monitoring and Evaluation (M&amp;E) frameworks</w:t>
            </w:r>
          </w:p>
          <w:p w14:paraId="648E1081" w14:textId="77777777" w:rsidR="00956B8D" w:rsidRDefault="00956B8D" w:rsidP="00923092">
            <w:pPr>
              <w:pStyle w:val="Default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Proposed steps to be taken: </w:t>
            </w:r>
          </w:p>
          <w:p w14:paraId="4BFA101B" w14:textId="77777777" w:rsidR="00956B8D" w:rsidRDefault="00956B8D" w:rsidP="00923092">
            <w:pPr>
              <w:pStyle w:val="Default"/>
              <w:numPr>
                <w:ilvl w:val="0"/>
                <w:numId w:val="20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Enhance M&amp;E frameworks to include qualitative indicators and participant feedback. </w:t>
            </w:r>
          </w:p>
          <w:p w14:paraId="181BEA97" w14:textId="77777777" w:rsidR="00956B8D" w:rsidRDefault="00956B8D" w:rsidP="00923092">
            <w:pPr>
              <w:pStyle w:val="Default"/>
              <w:numPr>
                <w:ilvl w:val="0"/>
                <w:numId w:val="20"/>
              </w:numPr>
              <w:spacing w:before="60" w:after="60"/>
              <w:rPr>
                <w:sz w:val="22"/>
                <w:szCs w:val="22"/>
              </w:rPr>
            </w:pPr>
            <w:r w:rsidRPr="00956B8D">
              <w:rPr>
                <w:sz w:val="22"/>
                <w:szCs w:val="22"/>
              </w:rPr>
              <w:t xml:space="preserve">Collect and analyse data on long-term outcomes. </w:t>
            </w:r>
          </w:p>
          <w:p w14:paraId="29C92E6C" w14:textId="77777777" w:rsidR="00956B8D" w:rsidRDefault="00956B8D" w:rsidP="00923092">
            <w:pPr>
              <w:pStyle w:val="Default"/>
              <w:numPr>
                <w:ilvl w:val="0"/>
                <w:numId w:val="20"/>
              </w:numPr>
              <w:spacing w:before="60" w:after="60"/>
              <w:rPr>
                <w:sz w:val="22"/>
                <w:szCs w:val="22"/>
              </w:rPr>
            </w:pPr>
            <w:r w:rsidRPr="00956B8D">
              <w:rPr>
                <w:sz w:val="22"/>
                <w:szCs w:val="22"/>
              </w:rPr>
              <w:t xml:space="preserve">Use findings to inform adjustments. </w:t>
            </w:r>
          </w:p>
          <w:p w14:paraId="2DA006F0" w14:textId="5F7E4E7C" w:rsidR="00956B8D" w:rsidRPr="00923092" w:rsidRDefault="00956B8D" w:rsidP="00923092">
            <w:pPr>
              <w:pStyle w:val="Default"/>
              <w:numPr>
                <w:ilvl w:val="0"/>
                <w:numId w:val="20"/>
              </w:numPr>
              <w:spacing w:before="60" w:after="60"/>
              <w:rPr>
                <w:rFonts w:eastAsia="Arial" w:cstheme="minorHAnsi"/>
                <w:b/>
                <w:bCs/>
                <w:color w:val="000000" w:themeColor="text1"/>
              </w:rPr>
            </w:pPr>
            <w:r w:rsidRPr="00956B8D">
              <w:rPr>
                <w:sz w:val="22"/>
                <w:szCs w:val="22"/>
              </w:rPr>
              <w:t xml:space="preserve">Incorporate participant suggestions for practical applications and inclusivity. </w:t>
            </w:r>
          </w:p>
        </w:tc>
        <w:tc>
          <w:tcPr>
            <w:tcW w:w="2246" w:type="pct"/>
          </w:tcPr>
          <w:p w14:paraId="61C3DB1C" w14:textId="4B977B86" w:rsidR="00801BDF" w:rsidRDefault="005032A4" w:rsidP="00923092">
            <w:pPr>
              <w:spacing w:before="60" w:line="240" w:lineRule="auto"/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</w:pPr>
            <w:r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  <w:t xml:space="preserve">Support </w:t>
            </w:r>
          </w:p>
          <w:p w14:paraId="28A0E6B9" w14:textId="0B95DCB7" w:rsidR="00DA26BA" w:rsidRPr="00DA26BA" w:rsidRDefault="007C2F34" w:rsidP="00923092">
            <w:pPr>
              <w:spacing w:before="60" w:line="240" w:lineRule="auto"/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</w:pPr>
            <w:r>
              <w:rPr>
                <w:rFonts w:eastAsia="Arial" w:cstheme="minorHAnsi"/>
                <w:color w:val="000000" w:themeColor="text1"/>
              </w:rPr>
              <w:t>DFAT</w:t>
            </w:r>
            <w:r w:rsidR="00E30DF2">
              <w:rPr>
                <w:rFonts w:eastAsia="Arial" w:cstheme="minorHAnsi"/>
                <w:color w:val="000000" w:themeColor="text1"/>
              </w:rPr>
              <w:t xml:space="preserve"> support</w:t>
            </w:r>
            <w:r>
              <w:rPr>
                <w:rFonts w:eastAsia="Arial" w:cstheme="minorHAnsi"/>
                <w:color w:val="000000" w:themeColor="text1"/>
              </w:rPr>
              <w:t>s</w:t>
            </w:r>
            <w:r w:rsidR="00E30DF2">
              <w:rPr>
                <w:rFonts w:eastAsia="Arial" w:cstheme="minorHAnsi"/>
                <w:color w:val="000000" w:themeColor="text1"/>
              </w:rPr>
              <w:t xml:space="preserve"> the</w:t>
            </w:r>
            <w:r w:rsidR="00DA26BA" w:rsidRPr="00931A7E">
              <w:rPr>
                <w:rFonts w:eastAsia="Arial" w:cstheme="minorHAnsi"/>
                <w:color w:val="000000" w:themeColor="text1"/>
              </w:rPr>
              <w:t xml:space="preserve"> recommendation and proposed steps to be taken</w:t>
            </w:r>
            <w:r w:rsidR="00192B87">
              <w:rPr>
                <w:rFonts w:eastAsia="Arial" w:cstheme="minorHAnsi"/>
                <w:color w:val="000000" w:themeColor="text1"/>
              </w:rPr>
              <w:t xml:space="preserve"> to improve the M&amp;E frame</w:t>
            </w:r>
            <w:r w:rsidR="00C24091">
              <w:rPr>
                <w:rFonts w:eastAsia="Arial" w:cstheme="minorHAnsi"/>
                <w:color w:val="000000" w:themeColor="text1"/>
              </w:rPr>
              <w:t xml:space="preserve">works for the next phase of APSP. </w:t>
            </w:r>
          </w:p>
        </w:tc>
        <w:tc>
          <w:tcPr>
            <w:tcW w:w="664" w:type="pct"/>
          </w:tcPr>
          <w:p w14:paraId="6DE07A3A" w14:textId="0F412104" w:rsidR="00801BDF" w:rsidRPr="006D5ED0" w:rsidRDefault="003812D4" w:rsidP="00923092">
            <w:pPr>
              <w:spacing w:before="60" w:line="240" w:lineRule="auto"/>
              <w:rPr>
                <w:rFonts w:eastAsia="Arial" w:cstheme="minorHAnsi"/>
                <w:color w:val="000000" w:themeColor="text1"/>
                <w:lang w:val="en-AU"/>
              </w:rPr>
            </w:pPr>
            <w:r>
              <w:rPr>
                <w:rFonts w:eastAsia="Arial" w:cstheme="minorHAnsi"/>
                <w:color w:val="000000" w:themeColor="text1"/>
                <w:lang w:val="en-AU"/>
              </w:rPr>
              <w:t xml:space="preserve">September </w:t>
            </w:r>
            <w:r w:rsidR="009A76ED">
              <w:rPr>
                <w:rFonts w:eastAsia="Arial" w:cstheme="minorHAnsi"/>
                <w:color w:val="000000" w:themeColor="text1"/>
                <w:lang w:val="en-AU"/>
              </w:rPr>
              <w:t xml:space="preserve">2025 </w:t>
            </w:r>
          </w:p>
        </w:tc>
      </w:tr>
      <w:tr w:rsidR="0004264D" w:rsidRPr="00142C73" w14:paraId="5C88F323" w14:textId="5A6322CB" w:rsidTr="00923092">
        <w:trPr>
          <w:cantSplit/>
        </w:trPr>
        <w:tc>
          <w:tcPr>
            <w:tcW w:w="135" w:type="pct"/>
          </w:tcPr>
          <w:p w14:paraId="43BA3C69" w14:textId="77777777" w:rsidR="00801BDF" w:rsidRPr="00142C73" w:rsidRDefault="00801BDF" w:rsidP="00923092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contextualSpacing w:val="0"/>
              <w:jc w:val="center"/>
              <w:rPr>
                <w:rFonts w:eastAsia="Arial" w:cstheme="minorHAnsi"/>
                <w:color w:val="000000" w:themeColor="text1"/>
              </w:rPr>
            </w:pPr>
          </w:p>
        </w:tc>
        <w:tc>
          <w:tcPr>
            <w:tcW w:w="1956" w:type="pct"/>
          </w:tcPr>
          <w:p w14:paraId="4426F4AE" w14:textId="77777777" w:rsidR="00801BDF" w:rsidRPr="00956B8D" w:rsidRDefault="00FD4286" w:rsidP="00923092">
            <w:pPr>
              <w:spacing w:before="60" w:line="240" w:lineRule="auto"/>
              <w:ind w:left="-5"/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</w:pPr>
            <w:r w:rsidRPr="00956B8D"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  <w:t>O</w:t>
            </w:r>
            <w:r w:rsidR="00801BDF" w:rsidRPr="00956B8D"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  <w:t>ptions for program restructuring to enhance sustainability and effectiveness</w:t>
            </w:r>
          </w:p>
          <w:p w14:paraId="68E11960" w14:textId="77777777" w:rsidR="00956B8D" w:rsidRDefault="00956B8D" w:rsidP="00923092">
            <w:pPr>
              <w:pStyle w:val="Default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Proposed s</w:t>
            </w:r>
            <w:r w:rsidR="00FD4286">
              <w:rPr>
                <w:sz w:val="22"/>
                <w:szCs w:val="22"/>
              </w:rPr>
              <w:t xml:space="preserve">teps to be taken: </w:t>
            </w:r>
          </w:p>
          <w:p w14:paraId="6808E665" w14:textId="216A00A5" w:rsidR="00956B8D" w:rsidRDefault="00FD4286" w:rsidP="00923092">
            <w:pPr>
              <w:pStyle w:val="Default"/>
              <w:numPr>
                <w:ilvl w:val="0"/>
                <w:numId w:val="21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Assess potential benefits and challenges of different program structures (e.g. consortium model, strategic advisory roles for Australian institutions). </w:t>
            </w:r>
          </w:p>
          <w:p w14:paraId="720CB582" w14:textId="77777777" w:rsidR="00DA26BA" w:rsidRDefault="00FD4286" w:rsidP="00923092">
            <w:pPr>
              <w:pStyle w:val="Default"/>
              <w:numPr>
                <w:ilvl w:val="0"/>
                <w:numId w:val="21"/>
              </w:numPr>
              <w:spacing w:before="60" w:after="60"/>
              <w:rPr>
                <w:sz w:val="22"/>
                <w:szCs w:val="22"/>
              </w:rPr>
            </w:pPr>
            <w:r w:rsidRPr="00956B8D">
              <w:rPr>
                <w:sz w:val="22"/>
                <w:szCs w:val="22"/>
              </w:rPr>
              <w:t xml:space="preserve">Consult with key stakeholders, including ASEAN, TAF, Australian institutions, and potential regional partners. </w:t>
            </w:r>
          </w:p>
          <w:p w14:paraId="43CFD3EF" w14:textId="509C4356" w:rsidR="00956B8D" w:rsidRPr="00923092" w:rsidRDefault="00FD4286" w:rsidP="00923092">
            <w:pPr>
              <w:pStyle w:val="Default"/>
              <w:numPr>
                <w:ilvl w:val="0"/>
                <w:numId w:val="21"/>
              </w:numPr>
              <w:spacing w:before="60" w:after="60"/>
              <w:rPr>
                <w:rFonts w:eastAsia="Arial" w:cstheme="minorHAnsi"/>
                <w:color w:val="000000" w:themeColor="text1"/>
              </w:rPr>
            </w:pPr>
            <w:r w:rsidRPr="00956B8D">
              <w:rPr>
                <w:sz w:val="22"/>
                <w:szCs w:val="22"/>
              </w:rPr>
              <w:t xml:space="preserve">Develop a strategic plan outlining the preferred structure for future program phases. </w:t>
            </w:r>
          </w:p>
        </w:tc>
        <w:tc>
          <w:tcPr>
            <w:tcW w:w="2246" w:type="pct"/>
          </w:tcPr>
          <w:p w14:paraId="0621D749" w14:textId="33328CC7" w:rsidR="00801BDF" w:rsidRDefault="005E590F" w:rsidP="00923092">
            <w:pPr>
              <w:spacing w:before="60" w:line="240" w:lineRule="auto"/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</w:pPr>
            <w:r>
              <w:rPr>
                <w:rFonts w:eastAsia="Arial" w:cstheme="minorHAnsi"/>
                <w:b/>
                <w:bCs/>
                <w:color w:val="000000" w:themeColor="text1"/>
                <w:lang w:val="en-AU"/>
              </w:rPr>
              <w:t xml:space="preserve">Support in-principle </w:t>
            </w:r>
          </w:p>
          <w:p w14:paraId="5079679E" w14:textId="32D485B7" w:rsidR="00C24091" w:rsidRPr="00C24091" w:rsidRDefault="00702A53" w:rsidP="00923092">
            <w:pPr>
              <w:spacing w:before="60" w:line="240" w:lineRule="auto"/>
              <w:rPr>
                <w:rFonts w:eastAsia="Arial" w:cstheme="minorHAnsi"/>
                <w:color w:val="000000" w:themeColor="text1"/>
                <w:lang w:val="en-AU"/>
              </w:rPr>
            </w:pPr>
            <w:r>
              <w:rPr>
                <w:rFonts w:eastAsia="Arial" w:cstheme="minorHAnsi"/>
                <w:color w:val="000000" w:themeColor="text1"/>
                <w:lang w:val="en-AU"/>
              </w:rPr>
              <w:t>The design will consider</w:t>
            </w:r>
            <w:r w:rsidR="003812D4">
              <w:rPr>
                <w:rFonts w:eastAsia="Arial" w:cstheme="minorHAnsi"/>
                <w:color w:val="000000" w:themeColor="text1"/>
                <w:lang w:val="en-AU"/>
              </w:rPr>
              <w:t xml:space="preserve"> the various</w:t>
            </w:r>
            <w:r>
              <w:rPr>
                <w:rFonts w:eastAsia="Arial" w:cstheme="minorHAnsi"/>
                <w:color w:val="000000" w:themeColor="text1"/>
                <w:lang w:val="en-AU"/>
              </w:rPr>
              <w:t xml:space="preserve"> o</w:t>
            </w:r>
            <w:r w:rsidR="00C24091" w:rsidRPr="00C24091">
              <w:rPr>
                <w:rFonts w:eastAsia="Arial" w:cstheme="minorHAnsi"/>
                <w:color w:val="000000" w:themeColor="text1"/>
                <w:lang w:val="en-AU"/>
              </w:rPr>
              <w:t xml:space="preserve">ptions for delivery modality. </w:t>
            </w:r>
          </w:p>
        </w:tc>
        <w:tc>
          <w:tcPr>
            <w:tcW w:w="664" w:type="pct"/>
          </w:tcPr>
          <w:p w14:paraId="283AA655" w14:textId="15D00C84" w:rsidR="00801BDF" w:rsidRPr="006D5ED0" w:rsidRDefault="003812D4" w:rsidP="00923092">
            <w:pPr>
              <w:spacing w:before="60" w:line="240" w:lineRule="auto"/>
              <w:rPr>
                <w:rFonts w:eastAsia="Arial" w:cstheme="minorHAnsi"/>
                <w:color w:val="000000" w:themeColor="text1"/>
                <w:lang w:val="en-AU"/>
              </w:rPr>
            </w:pPr>
            <w:r>
              <w:rPr>
                <w:rFonts w:eastAsia="Arial" w:cstheme="minorHAnsi"/>
                <w:color w:val="000000" w:themeColor="text1"/>
                <w:lang w:val="en-AU"/>
              </w:rPr>
              <w:t xml:space="preserve">September </w:t>
            </w:r>
            <w:r w:rsidR="009A76ED">
              <w:rPr>
                <w:rFonts w:eastAsia="Arial" w:cstheme="minorHAnsi"/>
                <w:color w:val="000000" w:themeColor="text1"/>
                <w:lang w:val="en-AU"/>
              </w:rPr>
              <w:t xml:space="preserve">2025 </w:t>
            </w:r>
          </w:p>
        </w:tc>
      </w:tr>
    </w:tbl>
    <w:p w14:paraId="2FEA3277" w14:textId="650B2BAD" w:rsidR="00CE4507" w:rsidRPr="00CA7C2C" w:rsidRDefault="00CE4507" w:rsidP="00CF185B">
      <w:pPr>
        <w:suppressAutoHyphens w:val="0"/>
        <w:spacing w:before="0" w:after="160" w:line="259" w:lineRule="auto"/>
        <w:rPr>
          <w:rFonts w:eastAsia="Arial" w:cstheme="minorHAnsi"/>
          <w:color w:val="000000" w:themeColor="text1"/>
          <w:lang w:val="en-AU"/>
        </w:rPr>
      </w:pPr>
    </w:p>
    <w:sectPr w:rsidR="00CE4507" w:rsidRPr="00CA7C2C" w:rsidSect="00923092">
      <w:headerReference w:type="default" r:id="rId11"/>
      <w:footerReference w:type="default" r:id="rId12"/>
      <w:footerReference w:type="first" r:id="rId13"/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5D39D" w14:textId="77777777" w:rsidR="00F70754" w:rsidRDefault="00F70754" w:rsidP="001B5F0C">
      <w:pPr>
        <w:spacing w:before="0" w:after="0" w:line="240" w:lineRule="auto"/>
      </w:pPr>
      <w:r>
        <w:separator/>
      </w:r>
    </w:p>
  </w:endnote>
  <w:endnote w:type="continuationSeparator" w:id="0">
    <w:p w14:paraId="598CA142" w14:textId="77777777" w:rsidR="00F70754" w:rsidRDefault="00F70754" w:rsidP="001B5F0C">
      <w:pPr>
        <w:spacing w:before="0" w:after="0" w:line="240" w:lineRule="auto"/>
      </w:pPr>
      <w:r>
        <w:continuationSeparator/>
      </w:r>
    </w:p>
  </w:endnote>
  <w:endnote w:type="continuationNotice" w:id="1">
    <w:p w14:paraId="16CC52AF" w14:textId="77777777" w:rsidR="00F70754" w:rsidRDefault="00F7075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utiger Light">
    <w:altName w:val="Calibri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4799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B7564F" w14:textId="2E04EB03" w:rsidR="0004264D" w:rsidRDefault="0004264D" w:rsidP="009230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8404688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52782125" w14:textId="6C16866B" w:rsidR="00EE5993" w:rsidRDefault="00EE5993" w:rsidP="00923092">
        <w:pPr>
          <w:pStyle w:val="Footer"/>
          <w:jc w:val="center"/>
        </w:pPr>
        <w:r w:rsidRPr="00E26702">
          <w:rPr>
            <w:color w:val="auto"/>
          </w:rPr>
          <w:fldChar w:fldCharType="begin"/>
        </w:r>
        <w:r w:rsidRPr="00E26702">
          <w:rPr>
            <w:color w:val="auto"/>
          </w:rPr>
          <w:instrText xml:space="preserve"> PAGE   \* MERGEFORMAT </w:instrText>
        </w:r>
        <w:r w:rsidRPr="00E26702">
          <w:rPr>
            <w:color w:val="auto"/>
          </w:rPr>
          <w:fldChar w:fldCharType="separate"/>
        </w:r>
        <w:r>
          <w:rPr>
            <w:noProof/>
            <w:color w:val="auto"/>
          </w:rPr>
          <w:t>1</w:t>
        </w:r>
        <w:r w:rsidRPr="00E26702">
          <w:rPr>
            <w:noProof/>
            <w:color w:val="auto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21190" w14:textId="77777777" w:rsidR="00EE5993" w:rsidRPr="00A26901" w:rsidRDefault="00EE5993" w:rsidP="00B145BC">
    <w:pPr>
      <w:widowControl w:val="0"/>
      <w:tabs>
        <w:tab w:val="left" w:pos="7380"/>
      </w:tabs>
      <w:autoSpaceDE w:val="0"/>
      <w:autoSpaceDN w:val="0"/>
      <w:adjustRightInd w:val="0"/>
      <w:spacing w:line="280" w:lineRule="exact"/>
      <w:ind w:right="-20"/>
      <w:rPr>
        <w:rFonts w:ascii="Frutiger Light" w:hAnsi="Frutiger Light"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D31BDB2" wp14:editId="084746A9">
          <wp:simplePos x="0" y="0"/>
          <wp:positionH relativeFrom="page">
            <wp:posOffset>720090</wp:posOffset>
          </wp:positionH>
          <wp:positionV relativeFrom="page">
            <wp:posOffset>9652635</wp:posOffset>
          </wp:positionV>
          <wp:extent cx="2311400" cy="580390"/>
          <wp:effectExtent l="19050" t="0" r="0" b="0"/>
          <wp:wrapNone/>
          <wp:docPr id="1" name="Afbeelding 6" descr="SALARC-ENG-Sm-kleu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ALARC-ENG-Sm-kleur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A26901">
      <w:rPr>
        <w:sz w:val="28"/>
        <w:szCs w:val="28"/>
      </w:rPr>
      <w:t>Imagine</w:t>
    </w:r>
    <w:r w:rsidRPr="00A26901">
      <w:rPr>
        <w:spacing w:val="10"/>
        <w:sz w:val="28"/>
        <w:szCs w:val="28"/>
      </w:rPr>
      <w:t xml:space="preserve"> </w:t>
    </w:r>
    <w:r w:rsidRPr="00A26901">
      <w:rPr>
        <w:sz w:val="28"/>
        <w:szCs w:val="28"/>
      </w:rPr>
      <w:t>the</w:t>
    </w:r>
    <w:r w:rsidRPr="00A26901">
      <w:rPr>
        <w:spacing w:val="10"/>
        <w:sz w:val="28"/>
        <w:szCs w:val="28"/>
      </w:rPr>
      <w:t xml:space="preserve"> </w:t>
    </w:r>
    <w:r w:rsidRPr="00A26901">
      <w:rPr>
        <w:spacing w:val="-5"/>
        <w:sz w:val="28"/>
        <w:szCs w:val="28"/>
      </w:rPr>
      <w:t>r</w:t>
    </w:r>
    <w:r w:rsidRPr="00A26901">
      <w:rPr>
        <w:sz w:val="28"/>
        <w:szCs w:val="28"/>
      </w:rPr>
      <w:t>esult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4A716" w14:textId="77777777" w:rsidR="00F70754" w:rsidRDefault="00F70754" w:rsidP="001B5F0C">
      <w:pPr>
        <w:spacing w:before="0" w:after="0" w:line="240" w:lineRule="auto"/>
      </w:pPr>
      <w:r>
        <w:separator/>
      </w:r>
    </w:p>
  </w:footnote>
  <w:footnote w:type="continuationSeparator" w:id="0">
    <w:p w14:paraId="18DB9CD5" w14:textId="77777777" w:rsidR="00F70754" w:rsidRDefault="00F70754" w:rsidP="001B5F0C">
      <w:pPr>
        <w:spacing w:before="0" w:after="0" w:line="240" w:lineRule="auto"/>
      </w:pPr>
      <w:r>
        <w:continuationSeparator/>
      </w:r>
    </w:p>
  </w:footnote>
  <w:footnote w:type="continuationNotice" w:id="1">
    <w:p w14:paraId="24FA7F06" w14:textId="77777777" w:rsidR="00F70754" w:rsidRDefault="00F7075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59FC1" w14:textId="77777777" w:rsidR="00EE5993" w:rsidRDefault="00EE5993" w:rsidP="00B145BC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0016F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B7CF6F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0C7E2F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0254D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2469B0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A527A4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3741A1"/>
    <w:multiLevelType w:val="hybridMultilevel"/>
    <w:tmpl w:val="E576A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3F509B1"/>
    <w:multiLevelType w:val="hybridMultilevel"/>
    <w:tmpl w:val="03B0F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FB2681"/>
    <w:multiLevelType w:val="hybridMultilevel"/>
    <w:tmpl w:val="BBCE5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656A91"/>
    <w:multiLevelType w:val="hybridMultilevel"/>
    <w:tmpl w:val="9BCEC8F4"/>
    <w:lvl w:ilvl="0" w:tplc="0C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871B9D"/>
    <w:multiLevelType w:val="hybridMultilevel"/>
    <w:tmpl w:val="1020D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AA35B4"/>
    <w:multiLevelType w:val="hybridMultilevel"/>
    <w:tmpl w:val="10A61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132FBD"/>
    <w:multiLevelType w:val="hybridMultilevel"/>
    <w:tmpl w:val="383E1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2013E5"/>
    <w:multiLevelType w:val="hybridMultilevel"/>
    <w:tmpl w:val="EA60F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C85FCC"/>
    <w:multiLevelType w:val="hybridMultilevel"/>
    <w:tmpl w:val="C2A82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03442C"/>
    <w:multiLevelType w:val="hybridMultilevel"/>
    <w:tmpl w:val="02028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765FB9"/>
    <w:multiLevelType w:val="hybridMultilevel"/>
    <w:tmpl w:val="201E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542FF"/>
    <w:multiLevelType w:val="hybridMultilevel"/>
    <w:tmpl w:val="C6E60E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56043A"/>
    <w:multiLevelType w:val="multilevel"/>
    <w:tmpl w:val="69AEB596"/>
    <w:numStyleLink w:val="BulletsList"/>
  </w:abstractNum>
  <w:abstractNum w:abstractNumId="19" w15:restartNumberingAfterBreak="0">
    <w:nsid w:val="632668E7"/>
    <w:multiLevelType w:val="hybridMultilevel"/>
    <w:tmpl w:val="588C6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107305"/>
    <w:multiLevelType w:val="multilevel"/>
    <w:tmpl w:val="69AEB596"/>
    <w:styleLink w:val="BulletsList"/>
    <w:lvl w:ilvl="0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5B9BD5" w:themeColor="accent1"/>
      </w:rPr>
    </w:lvl>
    <w:lvl w:ilvl="1">
      <w:start w:val="1"/>
      <w:numFmt w:val="bullet"/>
      <w:pStyle w:val="Bullet2"/>
      <w:lvlText w:val="–"/>
      <w:lvlJc w:val="left"/>
      <w:pPr>
        <w:tabs>
          <w:tab w:val="num" w:pos="568"/>
        </w:tabs>
        <w:ind w:left="568" w:hanging="284"/>
      </w:pPr>
      <w:rPr>
        <w:rFonts w:ascii="Arial" w:hAnsi="Arial" w:hint="default"/>
        <w:color w:val="5B9BD5" w:themeColor="accent1"/>
      </w:rPr>
    </w:lvl>
    <w:lvl w:ilvl="2">
      <w:start w:val="1"/>
      <w:numFmt w:val="bullet"/>
      <w:pStyle w:val="Bullet3"/>
      <w:lvlText w:val="»"/>
      <w:lvlJc w:val="left"/>
      <w:pPr>
        <w:tabs>
          <w:tab w:val="num" w:pos="852"/>
        </w:tabs>
        <w:ind w:left="852" w:hanging="285"/>
      </w:pPr>
      <w:rPr>
        <w:rFonts w:ascii="Arial" w:hAnsi="Arial" w:hint="default"/>
        <w:color w:val="5B9BD5" w:themeColor="accent1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num w:numId="1" w16cid:durableId="1863279202">
    <w:abstractNumId w:val="20"/>
  </w:num>
  <w:num w:numId="2" w16cid:durableId="100613378">
    <w:abstractNumId w:val="18"/>
  </w:num>
  <w:num w:numId="3" w16cid:durableId="1075394386">
    <w:abstractNumId w:val="7"/>
  </w:num>
  <w:num w:numId="4" w16cid:durableId="491414913">
    <w:abstractNumId w:val="9"/>
  </w:num>
  <w:num w:numId="5" w16cid:durableId="1890216137">
    <w:abstractNumId w:val="13"/>
  </w:num>
  <w:num w:numId="6" w16cid:durableId="1036664440">
    <w:abstractNumId w:val="15"/>
  </w:num>
  <w:num w:numId="7" w16cid:durableId="1499886136">
    <w:abstractNumId w:val="11"/>
  </w:num>
  <w:num w:numId="8" w16cid:durableId="300622878">
    <w:abstractNumId w:val="14"/>
  </w:num>
  <w:num w:numId="9" w16cid:durableId="1410342547">
    <w:abstractNumId w:val="2"/>
  </w:num>
  <w:num w:numId="10" w16cid:durableId="76102818">
    <w:abstractNumId w:val="17"/>
  </w:num>
  <w:num w:numId="11" w16cid:durableId="2143646236">
    <w:abstractNumId w:val="19"/>
  </w:num>
  <w:num w:numId="12" w16cid:durableId="2095783305">
    <w:abstractNumId w:val="3"/>
  </w:num>
  <w:num w:numId="13" w16cid:durableId="1503735603">
    <w:abstractNumId w:val="6"/>
  </w:num>
  <w:num w:numId="14" w16cid:durableId="1378968164">
    <w:abstractNumId w:val="1"/>
  </w:num>
  <w:num w:numId="15" w16cid:durableId="920601626">
    <w:abstractNumId w:val="16"/>
  </w:num>
  <w:num w:numId="16" w16cid:durableId="2080865375">
    <w:abstractNumId w:val="5"/>
  </w:num>
  <w:num w:numId="17" w16cid:durableId="1517429575">
    <w:abstractNumId w:val="10"/>
  </w:num>
  <w:num w:numId="18" w16cid:durableId="629477235">
    <w:abstractNumId w:val="4"/>
  </w:num>
  <w:num w:numId="19" w16cid:durableId="207033716">
    <w:abstractNumId w:val="0"/>
  </w:num>
  <w:num w:numId="20" w16cid:durableId="2001886904">
    <w:abstractNumId w:val="8"/>
  </w:num>
  <w:num w:numId="21" w16cid:durableId="137346212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592"/>
    <w:rsid w:val="00003B33"/>
    <w:rsid w:val="0000534D"/>
    <w:rsid w:val="00007077"/>
    <w:rsid w:val="000105F4"/>
    <w:rsid w:val="00011510"/>
    <w:rsid w:val="00011528"/>
    <w:rsid w:val="000117B2"/>
    <w:rsid w:val="000120DC"/>
    <w:rsid w:val="000164A2"/>
    <w:rsid w:val="000166A6"/>
    <w:rsid w:val="00021558"/>
    <w:rsid w:val="00023236"/>
    <w:rsid w:val="00023290"/>
    <w:rsid w:val="0002415A"/>
    <w:rsid w:val="00024BC9"/>
    <w:rsid w:val="0002638F"/>
    <w:rsid w:val="000313EB"/>
    <w:rsid w:val="00032649"/>
    <w:rsid w:val="00032BB8"/>
    <w:rsid w:val="00033B4F"/>
    <w:rsid w:val="00033F52"/>
    <w:rsid w:val="000350C3"/>
    <w:rsid w:val="00041192"/>
    <w:rsid w:val="00041366"/>
    <w:rsid w:val="0004264D"/>
    <w:rsid w:val="0004355B"/>
    <w:rsid w:val="000441D9"/>
    <w:rsid w:val="00044649"/>
    <w:rsid w:val="00045959"/>
    <w:rsid w:val="00047DA7"/>
    <w:rsid w:val="00050214"/>
    <w:rsid w:val="000526C4"/>
    <w:rsid w:val="00053819"/>
    <w:rsid w:val="000541C5"/>
    <w:rsid w:val="0005476E"/>
    <w:rsid w:val="000552B0"/>
    <w:rsid w:val="0005592F"/>
    <w:rsid w:val="0005707A"/>
    <w:rsid w:val="000573EB"/>
    <w:rsid w:val="000636BA"/>
    <w:rsid w:val="000652F7"/>
    <w:rsid w:val="000653D9"/>
    <w:rsid w:val="00067230"/>
    <w:rsid w:val="0006793E"/>
    <w:rsid w:val="0007230F"/>
    <w:rsid w:val="000757A8"/>
    <w:rsid w:val="00076F56"/>
    <w:rsid w:val="00077F18"/>
    <w:rsid w:val="00082E8C"/>
    <w:rsid w:val="00084AFE"/>
    <w:rsid w:val="00090F42"/>
    <w:rsid w:val="00091279"/>
    <w:rsid w:val="0009472D"/>
    <w:rsid w:val="00094C56"/>
    <w:rsid w:val="00096731"/>
    <w:rsid w:val="000A109B"/>
    <w:rsid w:val="000A3131"/>
    <w:rsid w:val="000A485E"/>
    <w:rsid w:val="000A4E10"/>
    <w:rsid w:val="000A7211"/>
    <w:rsid w:val="000B04AA"/>
    <w:rsid w:val="000B0ECF"/>
    <w:rsid w:val="000B1925"/>
    <w:rsid w:val="000B1AFA"/>
    <w:rsid w:val="000B3EAD"/>
    <w:rsid w:val="000B5578"/>
    <w:rsid w:val="000B66DC"/>
    <w:rsid w:val="000B7629"/>
    <w:rsid w:val="000C0429"/>
    <w:rsid w:val="000C1301"/>
    <w:rsid w:val="000C4053"/>
    <w:rsid w:val="000C4420"/>
    <w:rsid w:val="000C7E52"/>
    <w:rsid w:val="000D090D"/>
    <w:rsid w:val="000D413C"/>
    <w:rsid w:val="000D619A"/>
    <w:rsid w:val="000E0BBD"/>
    <w:rsid w:val="000E1C37"/>
    <w:rsid w:val="000E2E72"/>
    <w:rsid w:val="000E4857"/>
    <w:rsid w:val="000E572A"/>
    <w:rsid w:val="000E57E7"/>
    <w:rsid w:val="000E69B6"/>
    <w:rsid w:val="000F14B3"/>
    <w:rsid w:val="000F15F3"/>
    <w:rsid w:val="000F3C51"/>
    <w:rsid w:val="000F4D47"/>
    <w:rsid w:val="00100198"/>
    <w:rsid w:val="00100C78"/>
    <w:rsid w:val="0010142B"/>
    <w:rsid w:val="0010578D"/>
    <w:rsid w:val="0010617B"/>
    <w:rsid w:val="001110D8"/>
    <w:rsid w:val="00111562"/>
    <w:rsid w:val="00111BAE"/>
    <w:rsid w:val="00111DF8"/>
    <w:rsid w:val="00113121"/>
    <w:rsid w:val="001133BB"/>
    <w:rsid w:val="00113BA8"/>
    <w:rsid w:val="001155E2"/>
    <w:rsid w:val="00115683"/>
    <w:rsid w:val="00120652"/>
    <w:rsid w:val="00121094"/>
    <w:rsid w:val="00122C1F"/>
    <w:rsid w:val="00123A4E"/>
    <w:rsid w:val="00124046"/>
    <w:rsid w:val="00125379"/>
    <w:rsid w:val="00125B94"/>
    <w:rsid w:val="00126C28"/>
    <w:rsid w:val="001350A3"/>
    <w:rsid w:val="00135A64"/>
    <w:rsid w:val="00136518"/>
    <w:rsid w:val="00140E84"/>
    <w:rsid w:val="00141A24"/>
    <w:rsid w:val="00142C73"/>
    <w:rsid w:val="00144EE3"/>
    <w:rsid w:val="001467A2"/>
    <w:rsid w:val="0014711E"/>
    <w:rsid w:val="0015030B"/>
    <w:rsid w:val="00151DA7"/>
    <w:rsid w:val="00155CC1"/>
    <w:rsid w:val="00156337"/>
    <w:rsid w:val="00160375"/>
    <w:rsid w:val="001611D0"/>
    <w:rsid w:val="00164152"/>
    <w:rsid w:val="00164D50"/>
    <w:rsid w:val="001657B0"/>
    <w:rsid w:val="00166F9E"/>
    <w:rsid w:val="001670FC"/>
    <w:rsid w:val="0016790F"/>
    <w:rsid w:val="00167DD3"/>
    <w:rsid w:val="00173F64"/>
    <w:rsid w:val="00175A48"/>
    <w:rsid w:val="00181B71"/>
    <w:rsid w:val="00182107"/>
    <w:rsid w:val="00182C3E"/>
    <w:rsid w:val="00183B63"/>
    <w:rsid w:val="00185864"/>
    <w:rsid w:val="00187105"/>
    <w:rsid w:val="00187CDB"/>
    <w:rsid w:val="00190871"/>
    <w:rsid w:val="00191CA5"/>
    <w:rsid w:val="0019296A"/>
    <w:rsid w:val="00192B87"/>
    <w:rsid w:val="001977CA"/>
    <w:rsid w:val="001A06FF"/>
    <w:rsid w:val="001A07E6"/>
    <w:rsid w:val="001A1A11"/>
    <w:rsid w:val="001A1A55"/>
    <w:rsid w:val="001A2358"/>
    <w:rsid w:val="001A290B"/>
    <w:rsid w:val="001A301A"/>
    <w:rsid w:val="001A39F7"/>
    <w:rsid w:val="001A6134"/>
    <w:rsid w:val="001A679D"/>
    <w:rsid w:val="001A71F3"/>
    <w:rsid w:val="001A73C8"/>
    <w:rsid w:val="001A749A"/>
    <w:rsid w:val="001B2BC9"/>
    <w:rsid w:val="001B2EA1"/>
    <w:rsid w:val="001B35E8"/>
    <w:rsid w:val="001B3FA2"/>
    <w:rsid w:val="001B5201"/>
    <w:rsid w:val="001B53B0"/>
    <w:rsid w:val="001B5BA9"/>
    <w:rsid w:val="001B5F0C"/>
    <w:rsid w:val="001C34B9"/>
    <w:rsid w:val="001C3973"/>
    <w:rsid w:val="001C3DE2"/>
    <w:rsid w:val="001C5513"/>
    <w:rsid w:val="001D001F"/>
    <w:rsid w:val="001D02DB"/>
    <w:rsid w:val="001D0596"/>
    <w:rsid w:val="001D0F72"/>
    <w:rsid w:val="001D10EB"/>
    <w:rsid w:val="001D382C"/>
    <w:rsid w:val="001D76EA"/>
    <w:rsid w:val="001E404C"/>
    <w:rsid w:val="001E5610"/>
    <w:rsid w:val="001E6536"/>
    <w:rsid w:val="001E7818"/>
    <w:rsid w:val="001F00B3"/>
    <w:rsid w:val="001F3725"/>
    <w:rsid w:val="001F4DE6"/>
    <w:rsid w:val="001F537C"/>
    <w:rsid w:val="001F7A9E"/>
    <w:rsid w:val="002008E1"/>
    <w:rsid w:val="00200B27"/>
    <w:rsid w:val="00200C06"/>
    <w:rsid w:val="0020131C"/>
    <w:rsid w:val="00206867"/>
    <w:rsid w:val="00210157"/>
    <w:rsid w:val="00210689"/>
    <w:rsid w:val="00210A48"/>
    <w:rsid w:val="00214568"/>
    <w:rsid w:val="00215431"/>
    <w:rsid w:val="0022513C"/>
    <w:rsid w:val="00226982"/>
    <w:rsid w:val="00226F81"/>
    <w:rsid w:val="00232EE9"/>
    <w:rsid w:val="00232F7E"/>
    <w:rsid w:val="00233C69"/>
    <w:rsid w:val="00235E20"/>
    <w:rsid w:val="00236443"/>
    <w:rsid w:val="00243311"/>
    <w:rsid w:val="0024584F"/>
    <w:rsid w:val="00246E33"/>
    <w:rsid w:val="00247555"/>
    <w:rsid w:val="0025524F"/>
    <w:rsid w:val="00257EA7"/>
    <w:rsid w:val="00261516"/>
    <w:rsid w:val="0026401A"/>
    <w:rsid w:val="00264D9B"/>
    <w:rsid w:val="002674E9"/>
    <w:rsid w:val="00270661"/>
    <w:rsid w:val="00270FCF"/>
    <w:rsid w:val="0027359E"/>
    <w:rsid w:val="002742EA"/>
    <w:rsid w:val="0027483C"/>
    <w:rsid w:val="00275625"/>
    <w:rsid w:val="002776E6"/>
    <w:rsid w:val="002809A6"/>
    <w:rsid w:val="0028169C"/>
    <w:rsid w:val="002820E7"/>
    <w:rsid w:val="00282438"/>
    <w:rsid w:val="0028469D"/>
    <w:rsid w:val="002852E6"/>
    <w:rsid w:val="00285875"/>
    <w:rsid w:val="00286770"/>
    <w:rsid w:val="00286FA2"/>
    <w:rsid w:val="002900BF"/>
    <w:rsid w:val="002900F5"/>
    <w:rsid w:val="002902F7"/>
    <w:rsid w:val="00291367"/>
    <w:rsid w:val="0029206E"/>
    <w:rsid w:val="00295725"/>
    <w:rsid w:val="00296EBA"/>
    <w:rsid w:val="00297211"/>
    <w:rsid w:val="002979D2"/>
    <w:rsid w:val="002A07F9"/>
    <w:rsid w:val="002A375E"/>
    <w:rsid w:val="002B3CD1"/>
    <w:rsid w:val="002B5CF8"/>
    <w:rsid w:val="002C1F93"/>
    <w:rsid w:val="002C28D6"/>
    <w:rsid w:val="002C2C9F"/>
    <w:rsid w:val="002C4FF4"/>
    <w:rsid w:val="002C5397"/>
    <w:rsid w:val="002C55FD"/>
    <w:rsid w:val="002C64B3"/>
    <w:rsid w:val="002D029B"/>
    <w:rsid w:val="002D059D"/>
    <w:rsid w:val="002D21F2"/>
    <w:rsid w:val="002D2916"/>
    <w:rsid w:val="002D32EE"/>
    <w:rsid w:val="002D56F5"/>
    <w:rsid w:val="002D5A37"/>
    <w:rsid w:val="002D6DD8"/>
    <w:rsid w:val="002D7879"/>
    <w:rsid w:val="002E33E9"/>
    <w:rsid w:val="002E4083"/>
    <w:rsid w:val="002E46B3"/>
    <w:rsid w:val="002E555C"/>
    <w:rsid w:val="002E7D68"/>
    <w:rsid w:val="002F1CDC"/>
    <w:rsid w:val="002F7647"/>
    <w:rsid w:val="0030524D"/>
    <w:rsid w:val="003066C1"/>
    <w:rsid w:val="00306BF8"/>
    <w:rsid w:val="00306D47"/>
    <w:rsid w:val="00310F2D"/>
    <w:rsid w:val="00311682"/>
    <w:rsid w:val="0031188F"/>
    <w:rsid w:val="00312971"/>
    <w:rsid w:val="00313BFC"/>
    <w:rsid w:val="00315E44"/>
    <w:rsid w:val="0031624B"/>
    <w:rsid w:val="0031636A"/>
    <w:rsid w:val="00320460"/>
    <w:rsid w:val="00320D84"/>
    <w:rsid w:val="00322AEA"/>
    <w:rsid w:val="003252D3"/>
    <w:rsid w:val="003272EB"/>
    <w:rsid w:val="00327C11"/>
    <w:rsid w:val="00327EAB"/>
    <w:rsid w:val="00330AE6"/>
    <w:rsid w:val="003316DD"/>
    <w:rsid w:val="003330B9"/>
    <w:rsid w:val="0033328C"/>
    <w:rsid w:val="00334C4E"/>
    <w:rsid w:val="00335BF7"/>
    <w:rsid w:val="00336D71"/>
    <w:rsid w:val="00342259"/>
    <w:rsid w:val="003428FC"/>
    <w:rsid w:val="00344C92"/>
    <w:rsid w:val="00345166"/>
    <w:rsid w:val="003468DC"/>
    <w:rsid w:val="00352B7F"/>
    <w:rsid w:val="00352FAA"/>
    <w:rsid w:val="00354440"/>
    <w:rsid w:val="00354DBF"/>
    <w:rsid w:val="00354EDE"/>
    <w:rsid w:val="00355500"/>
    <w:rsid w:val="00356E62"/>
    <w:rsid w:val="0035711D"/>
    <w:rsid w:val="0036109E"/>
    <w:rsid w:val="00364A7E"/>
    <w:rsid w:val="00364AFD"/>
    <w:rsid w:val="003708E3"/>
    <w:rsid w:val="00371B2D"/>
    <w:rsid w:val="003727D1"/>
    <w:rsid w:val="0037537C"/>
    <w:rsid w:val="003812D4"/>
    <w:rsid w:val="00383145"/>
    <w:rsid w:val="003831CD"/>
    <w:rsid w:val="00383FE9"/>
    <w:rsid w:val="00384A9E"/>
    <w:rsid w:val="00384BCB"/>
    <w:rsid w:val="003876F3"/>
    <w:rsid w:val="00387F23"/>
    <w:rsid w:val="00387F29"/>
    <w:rsid w:val="00390C2E"/>
    <w:rsid w:val="003932C8"/>
    <w:rsid w:val="00393C5C"/>
    <w:rsid w:val="00394DFA"/>
    <w:rsid w:val="0039633F"/>
    <w:rsid w:val="003964CA"/>
    <w:rsid w:val="00397A0C"/>
    <w:rsid w:val="003A0725"/>
    <w:rsid w:val="003A1B70"/>
    <w:rsid w:val="003A23D9"/>
    <w:rsid w:val="003A38BB"/>
    <w:rsid w:val="003A4FBE"/>
    <w:rsid w:val="003B022A"/>
    <w:rsid w:val="003B1DFA"/>
    <w:rsid w:val="003B217E"/>
    <w:rsid w:val="003B3F3B"/>
    <w:rsid w:val="003B4B3C"/>
    <w:rsid w:val="003B6459"/>
    <w:rsid w:val="003B65C0"/>
    <w:rsid w:val="003B6701"/>
    <w:rsid w:val="003B670D"/>
    <w:rsid w:val="003B7A36"/>
    <w:rsid w:val="003C17D1"/>
    <w:rsid w:val="003C242F"/>
    <w:rsid w:val="003C26EF"/>
    <w:rsid w:val="003C3089"/>
    <w:rsid w:val="003C384C"/>
    <w:rsid w:val="003C7943"/>
    <w:rsid w:val="003C7FDE"/>
    <w:rsid w:val="003D2001"/>
    <w:rsid w:val="003D2571"/>
    <w:rsid w:val="003D3EAC"/>
    <w:rsid w:val="003D3EC4"/>
    <w:rsid w:val="003D4BB8"/>
    <w:rsid w:val="003D756F"/>
    <w:rsid w:val="003E10EF"/>
    <w:rsid w:val="003E2A25"/>
    <w:rsid w:val="003E2D73"/>
    <w:rsid w:val="003E40B9"/>
    <w:rsid w:val="003E4B98"/>
    <w:rsid w:val="003E4E0A"/>
    <w:rsid w:val="003E57F8"/>
    <w:rsid w:val="003E67B5"/>
    <w:rsid w:val="003F01F7"/>
    <w:rsid w:val="003F0BC8"/>
    <w:rsid w:val="003F1660"/>
    <w:rsid w:val="003F1EAB"/>
    <w:rsid w:val="003F23D6"/>
    <w:rsid w:val="003F3572"/>
    <w:rsid w:val="003F76AB"/>
    <w:rsid w:val="00404D57"/>
    <w:rsid w:val="00405B6F"/>
    <w:rsid w:val="00405CE4"/>
    <w:rsid w:val="00410FDB"/>
    <w:rsid w:val="00411198"/>
    <w:rsid w:val="00411AB4"/>
    <w:rsid w:val="004135DB"/>
    <w:rsid w:val="0041376C"/>
    <w:rsid w:val="00421BF2"/>
    <w:rsid w:val="00422E2D"/>
    <w:rsid w:val="00423BC4"/>
    <w:rsid w:val="00427531"/>
    <w:rsid w:val="00431E40"/>
    <w:rsid w:val="0043369C"/>
    <w:rsid w:val="00434F57"/>
    <w:rsid w:val="0043553E"/>
    <w:rsid w:val="00441008"/>
    <w:rsid w:val="0044145C"/>
    <w:rsid w:val="004427DC"/>
    <w:rsid w:val="00443F28"/>
    <w:rsid w:val="00444C41"/>
    <w:rsid w:val="00446CF0"/>
    <w:rsid w:val="004470CB"/>
    <w:rsid w:val="004504E9"/>
    <w:rsid w:val="00450C55"/>
    <w:rsid w:val="00450F74"/>
    <w:rsid w:val="004530E1"/>
    <w:rsid w:val="00453139"/>
    <w:rsid w:val="0045472F"/>
    <w:rsid w:val="00454A78"/>
    <w:rsid w:val="004557C2"/>
    <w:rsid w:val="004602C1"/>
    <w:rsid w:val="00460653"/>
    <w:rsid w:val="00462834"/>
    <w:rsid w:val="004634E7"/>
    <w:rsid w:val="004649C0"/>
    <w:rsid w:val="004668E2"/>
    <w:rsid w:val="004723AE"/>
    <w:rsid w:val="00473944"/>
    <w:rsid w:val="00474134"/>
    <w:rsid w:val="00474A56"/>
    <w:rsid w:val="00474D04"/>
    <w:rsid w:val="00476316"/>
    <w:rsid w:val="00476DD9"/>
    <w:rsid w:val="004772DC"/>
    <w:rsid w:val="00477CBF"/>
    <w:rsid w:val="00477CCF"/>
    <w:rsid w:val="00480501"/>
    <w:rsid w:val="0048154B"/>
    <w:rsid w:val="004824A3"/>
    <w:rsid w:val="00483369"/>
    <w:rsid w:val="0048442F"/>
    <w:rsid w:val="00484E8E"/>
    <w:rsid w:val="004850FC"/>
    <w:rsid w:val="00485688"/>
    <w:rsid w:val="00485E70"/>
    <w:rsid w:val="00485F90"/>
    <w:rsid w:val="004902CF"/>
    <w:rsid w:val="0049184E"/>
    <w:rsid w:val="004931C6"/>
    <w:rsid w:val="004945D5"/>
    <w:rsid w:val="00497081"/>
    <w:rsid w:val="004A2FF7"/>
    <w:rsid w:val="004A3150"/>
    <w:rsid w:val="004A3215"/>
    <w:rsid w:val="004A37D7"/>
    <w:rsid w:val="004A4CEC"/>
    <w:rsid w:val="004A5001"/>
    <w:rsid w:val="004A75A8"/>
    <w:rsid w:val="004B0661"/>
    <w:rsid w:val="004B19C8"/>
    <w:rsid w:val="004B4566"/>
    <w:rsid w:val="004B50EC"/>
    <w:rsid w:val="004B58AC"/>
    <w:rsid w:val="004B7236"/>
    <w:rsid w:val="004B7A0B"/>
    <w:rsid w:val="004C0573"/>
    <w:rsid w:val="004C16E7"/>
    <w:rsid w:val="004C2874"/>
    <w:rsid w:val="004C4329"/>
    <w:rsid w:val="004C43B2"/>
    <w:rsid w:val="004C43C1"/>
    <w:rsid w:val="004C5AF4"/>
    <w:rsid w:val="004D2035"/>
    <w:rsid w:val="004D265E"/>
    <w:rsid w:val="004D4859"/>
    <w:rsid w:val="004D67DE"/>
    <w:rsid w:val="004D6F54"/>
    <w:rsid w:val="004D72D8"/>
    <w:rsid w:val="004D7CFA"/>
    <w:rsid w:val="004D7E27"/>
    <w:rsid w:val="004E1C24"/>
    <w:rsid w:val="004F0E79"/>
    <w:rsid w:val="004F34AA"/>
    <w:rsid w:val="004F3C01"/>
    <w:rsid w:val="004F4B92"/>
    <w:rsid w:val="004F6E41"/>
    <w:rsid w:val="004F722C"/>
    <w:rsid w:val="004F7592"/>
    <w:rsid w:val="004F7FE0"/>
    <w:rsid w:val="005022FF"/>
    <w:rsid w:val="005032A4"/>
    <w:rsid w:val="005032B3"/>
    <w:rsid w:val="00504813"/>
    <w:rsid w:val="0050713A"/>
    <w:rsid w:val="005079FB"/>
    <w:rsid w:val="00511E87"/>
    <w:rsid w:val="00513648"/>
    <w:rsid w:val="0051543D"/>
    <w:rsid w:val="00515567"/>
    <w:rsid w:val="00521F22"/>
    <w:rsid w:val="00527B48"/>
    <w:rsid w:val="00530D4E"/>
    <w:rsid w:val="00532DB9"/>
    <w:rsid w:val="00534455"/>
    <w:rsid w:val="0053492E"/>
    <w:rsid w:val="00535139"/>
    <w:rsid w:val="00535912"/>
    <w:rsid w:val="005363A3"/>
    <w:rsid w:val="00536538"/>
    <w:rsid w:val="00542AF3"/>
    <w:rsid w:val="00543E96"/>
    <w:rsid w:val="00544194"/>
    <w:rsid w:val="00544432"/>
    <w:rsid w:val="005454AD"/>
    <w:rsid w:val="005477F4"/>
    <w:rsid w:val="00553539"/>
    <w:rsid w:val="0055520E"/>
    <w:rsid w:val="0055570B"/>
    <w:rsid w:val="005578E4"/>
    <w:rsid w:val="00561DC8"/>
    <w:rsid w:val="005621F0"/>
    <w:rsid w:val="0056500C"/>
    <w:rsid w:val="00565652"/>
    <w:rsid w:val="00567113"/>
    <w:rsid w:val="00571960"/>
    <w:rsid w:val="005738A3"/>
    <w:rsid w:val="00575567"/>
    <w:rsid w:val="00575D34"/>
    <w:rsid w:val="005765B1"/>
    <w:rsid w:val="0057768C"/>
    <w:rsid w:val="005808D5"/>
    <w:rsid w:val="00581C3A"/>
    <w:rsid w:val="00584B0D"/>
    <w:rsid w:val="00585BAD"/>
    <w:rsid w:val="00586A65"/>
    <w:rsid w:val="00591377"/>
    <w:rsid w:val="00592444"/>
    <w:rsid w:val="005954C6"/>
    <w:rsid w:val="00595A97"/>
    <w:rsid w:val="0059610D"/>
    <w:rsid w:val="00597448"/>
    <w:rsid w:val="005A09F7"/>
    <w:rsid w:val="005A18C3"/>
    <w:rsid w:val="005A1F38"/>
    <w:rsid w:val="005A6078"/>
    <w:rsid w:val="005A7A61"/>
    <w:rsid w:val="005B24FE"/>
    <w:rsid w:val="005B2A2B"/>
    <w:rsid w:val="005B361A"/>
    <w:rsid w:val="005B6140"/>
    <w:rsid w:val="005B6C42"/>
    <w:rsid w:val="005B7EA0"/>
    <w:rsid w:val="005C0907"/>
    <w:rsid w:val="005C2AF2"/>
    <w:rsid w:val="005C3917"/>
    <w:rsid w:val="005C5550"/>
    <w:rsid w:val="005C5C93"/>
    <w:rsid w:val="005D0F85"/>
    <w:rsid w:val="005D2DC5"/>
    <w:rsid w:val="005D59CE"/>
    <w:rsid w:val="005D743F"/>
    <w:rsid w:val="005D744A"/>
    <w:rsid w:val="005D7514"/>
    <w:rsid w:val="005D7803"/>
    <w:rsid w:val="005D7E81"/>
    <w:rsid w:val="005E1250"/>
    <w:rsid w:val="005E2128"/>
    <w:rsid w:val="005E42C1"/>
    <w:rsid w:val="005E481E"/>
    <w:rsid w:val="005E590F"/>
    <w:rsid w:val="005F1098"/>
    <w:rsid w:val="005F43EB"/>
    <w:rsid w:val="005F5D16"/>
    <w:rsid w:val="005F6C57"/>
    <w:rsid w:val="005F72DF"/>
    <w:rsid w:val="005F7B48"/>
    <w:rsid w:val="005F7D22"/>
    <w:rsid w:val="00600090"/>
    <w:rsid w:val="0060035F"/>
    <w:rsid w:val="00602DF2"/>
    <w:rsid w:val="00603581"/>
    <w:rsid w:val="006036C1"/>
    <w:rsid w:val="00605CEB"/>
    <w:rsid w:val="0061029C"/>
    <w:rsid w:val="00610386"/>
    <w:rsid w:val="006104A9"/>
    <w:rsid w:val="0061210C"/>
    <w:rsid w:val="00612F34"/>
    <w:rsid w:val="006134FB"/>
    <w:rsid w:val="00615595"/>
    <w:rsid w:val="0061610E"/>
    <w:rsid w:val="00617445"/>
    <w:rsid w:val="00617AAB"/>
    <w:rsid w:val="0062008D"/>
    <w:rsid w:val="00621697"/>
    <w:rsid w:val="00621B4F"/>
    <w:rsid w:val="00621D60"/>
    <w:rsid w:val="00623994"/>
    <w:rsid w:val="00624134"/>
    <w:rsid w:val="00624BF1"/>
    <w:rsid w:val="00624CF8"/>
    <w:rsid w:val="0062622C"/>
    <w:rsid w:val="00631F7A"/>
    <w:rsid w:val="00632220"/>
    <w:rsid w:val="0063783F"/>
    <w:rsid w:val="00637B51"/>
    <w:rsid w:val="00637B8F"/>
    <w:rsid w:val="00637BF9"/>
    <w:rsid w:val="006424DD"/>
    <w:rsid w:val="00644A3C"/>
    <w:rsid w:val="006456B9"/>
    <w:rsid w:val="006470DA"/>
    <w:rsid w:val="00653D96"/>
    <w:rsid w:val="006554C4"/>
    <w:rsid w:val="0065555E"/>
    <w:rsid w:val="00655D8C"/>
    <w:rsid w:val="006562D8"/>
    <w:rsid w:val="00656FC1"/>
    <w:rsid w:val="0065721D"/>
    <w:rsid w:val="00671739"/>
    <w:rsid w:val="006756BE"/>
    <w:rsid w:val="00675DC8"/>
    <w:rsid w:val="0067732D"/>
    <w:rsid w:val="0067747B"/>
    <w:rsid w:val="00677660"/>
    <w:rsid w:val="00677BAC"/>
    <w:rsid w:val="00677FCE"/>
    <w:rsid w:val="00680AAD"/>
    <w:rsid w:val="00681C31"/>
    <w:rsid w:val="00682324"/>
    <w:rsid w:val="00684E11"/>
    <w:rsid w:val="00686228"/>
    <w:rsid w:val="00687C24"/>
    <w:rsid w:val="00693C60"/>
    <w:rsid w:val="0069777B"/>
    <w:rsid w:val="00697A19"/>
    <w:rsid w:val="00697C6E"/>
    <w:rsid w:val="006A2654"/>
    <w:rsid w:val="006A48E5"/>
    <w:rsid w:val="006A5D15"/>
    <w:rsid w:val="006A6B5C"/>
    <w:rsid w:val="006A75FD"/>
    <w:rsid w:val="006B04D4"/>
    <w:rsid w:val="006B2234"/>
    <w:rsid w:val="006B24A6"/>
    <w:rsid w:val="006B2DA8"/>
    <w:rsid w:val="006B3DFF"/>
    <w:rsid w:val="006B4DAC"/>
    <w:rsid w:val="006B7E42"/>
    <w:rsid w:val="006C1D60"/>
    <w:rsid w:val="006C28D1"/>
    <w:rsid w:val="006C3282"/>
    <w:rsid w:val="006C4462"/>
    <w:rsid w:val="006C5114"/>
    <w:rsid w:val="006C5909"/>
    <w:rsid w:val="006D0EF0"/>
    <w:rsid w:val="006D2278"/>
    <w:rsid w:val="006D571F"/>
    <w:rsid w:val="006D5783"/>
    <w:rsid w:val="006D5ED0"/>
    <w:rsid w:val="006D72E7"/>
    <w:rsid w:val="006D7572"/>
    <w:rsid w:val="006E01DF"/>
    <w:rsid w:val="006E0765"/>
    <w:rsid w:val="006E527B"/>
    <w:rsid w:val="006E5CE0"/>
    <w:rsid w:val="006E5F96"/>
    <w:rsid w:val="006E6348"/>
    <w:rsid w:val="006E7181"/>
    <w:rsid w:val="006F0D21"/>
    <w:rsid w:val="006F1B62"/>
    <w:rsid w:val="006F22AE"/>
    <w:rsid w:val="006F3153"/>
    <w:rsid w:val="006F43F5"/>
    <w:rsid w:val="006F45B8"/>
    <w:rsid w:val="006F5BAC"/>
    <w:rsid w:val="006F5EB1"/>
    <w:rsid w:val="006F77B1"/>
    <w:rsid w:val="006F798D"/>
    <w:rsid w:val="006F7C4C"/>
    <w:rsid w:val="00701502"/>
    <w:rsid w:val="007023A1"/>
    <w:rsid w:val="007024C5"/>
    <w:rsid w:val="00702A53"/>
    <w:rsid w:val="0070397B"/>
    <w:rsid w:val="007043B4"/>
    <w:rsid w:val="00704B90"/>
    <w:rsid w:val="00706AEA"/>
    <w:rsid w:val="0071159F"/>
    <w:rsid w:val="007122A1"/>
    <w:rsid w:val="007123D0"/>
    <w:rsid w:val="00712FBD"/>
    <w:rsid w:val="00713F94"/>
    <w:rsid w:val="0071426D"/>
    <w:rsid w:val="00714283"/>
    <w:rsid w:val="00714658"/>
    <w:rsid w:val="00715507"/>
    <w:rsid w:val="00717C67"/>
    <w:rsid w:val="007244CA"/>
    <w:rsid w:val="007254DD"/>
    <w:rsid w:val="00727004"/>
    <w:rsid w:val="007277E0"/>
    <w:rsid w:val="007304C7"/>
    <w:rsid w:val="007314C6"/>
    <w:rsid w:val="00732020"/>
    <w:rsid w:val="00735539"/>
    <w:rsid w:val="007359F7"/>
    <w:rsid w:val="007368BE"/>
    <w:rsid w:val="00737A3A"/>
    <w:rsid w:val="00740BE9"/>
    <w:rsid w:val="00740C6C"/>
    <w:rsid w:val="0074226B"/>
    <w:rsid w:val="00742728"/>
    <w:rsid w:val="00745B23"/>
    <w:rsid w:val="007504D4"/>
    <w:rsid w:val="00750AFB"/>
    <w:rsid w:val="00750FA9"/>
    <w:rsid w:val="0075129E"/>
    <w:rsid w:val="0075402D"/>
    <w:rsid w:val="00754FB5"/>
    <w:rsid w:val="007563A7"/>
    <w:rsid w:val="007566F9"/>
    <w:rsid w:val="007569D5"/>
    <w:rsid w:val="00756B02"/>
    <w:rsid w:val="00756D47"/>
    <w:rsid w:val="00757661"/>
    <w:rsid w:val="0076010C"/>
    <w:rsid w:val="007612B3"/>
    <w:rsid w:val="007622B6"/>
    <w:rsid w:val="00765100"/>
    <w:rsid w:val="00767BD7"/>
    <w:rsid w:val="00770FAD"/>
    <w:rsid w:val="00772C97"/>
    <w:rsid w:val="00774588"/>
    <w:rsid w:val="0077518A"/>
    <w:rsid w:val="0077746C"/>
    <w:rsid w:val="00777C9C"/>
    <w:rsid w:val="00781B28"/>
    <w:rsid w:val="00781DE9"/>
    <w:rsid w:val="00782B8D"/>
    <w:rsid w:val="0078506A"/>
    <w:rsid w:val="00785517"/>
    <w:rsid w:val="00787BDC"/>
    <w:rsid w:val="00790B34"/>
    <w:rsid w:val="00790BEF"/>
    <w:rsid w:val="00791106"/>
    <w:rsid w:val="00793403"/>
    <w:rsid w:val="0079389E"/>
    <w:rsid w:val="007941E8"/>
    <w:rsid w:val="00794C3C"/>
    <w:rsid w:val="007956BD"/>
    <w:rsid w:val="00796DC2"/>
    <w:rsid w:val="00797B72"/>
    <w:rsid w:val="00797DBF"/>
    <w:rsid w:val="007A1C4D"/>
    <w:rsid w:val="007A1FD3"/>
    <w:rsid w:val="007A2339"/>
    <w:rsid w:val="007A32DE"/>
    <w:rsid w:val="007A595D"/>
    <w:rsid w:val="007A5E1F"/>
    <w:rsid w:val="007B1973"/>
    <w:rsid w:val="007B198D"/>
    <w:rsid w:val="007B4B0E"/>
    <w:rsid w:val="007C0AB9"/>
    <w:rsid w:val="007C13AC"/>
    <w:rsid w:val="007C2F34"/>
    <w:rsid w:val="007C4F9D"/>
    <w:rsid w:val="007D1CD5"/>
    <w:rsid w:val="007D2395"/>
    <w:rsid w:val="007D42EF"/>
    <w:rsid w:val="007E0CAA"/>
    <w:rsid w:val="007E236D"/>
    <w:rsid w:val="007E4FD3"/>
    <w:rsid w:val="007E78FF"/>
    <w:rsid w:val="007F01EA"/>
    <w:rsid w:val="007F05A1"/>
    <w:rsid w:val="007F1C27"/>
    <w:rsid w:val="007F4848"/>
    <w:rsid w:val="007F5200"/>
    <w:rsid w:val="007F5C17"/>
    <w:rsid w:val="00800EE2"/>
    <w:rsid w:val="008011FE"/>
    <w:rsid w:val="00801BDF"/>
    <w:rsid w:val="008023C2"/>
    <w:rsid w:val="00802727"/>
    <w:rsid w:val="00803848"/>
    <w:rsid w:val="00804200"/>
    <w:rsid w:val="00804BA1"/>
    <w:rsid w:val="00807BCA"/>
    <w:rsid w:val="00812CF9"/>
    <w:rsid w:val="00814862"/>
    <w:rsid w:val="00815163"/>
    <w:rsid w:val="00820043"/>
    <w:rsid w:val="008218E2"/>
    <w:rsid w:val="00821E67"/>
    <w:rsid w:val="00824454"/>
    <w:rsid w:val="00826240"/>
    <w:rsid w:val="00826291"/>
    <w:rsid w:val="0082687B"/>
    <w:rsid w:val="008317C2"/>
    <w:rsid w:val="00831C0E"/>
    <w:rsid w:val="008372ED"/>
    <w:rsid w:val="0084016B"/>
    <w:rsid w:val="0084033C"/>
    <w:rsid w:val="00840586"/>
    <w:rsid w:val="00842F4C"/>
    <w:rsid w:val="00843817"/>
    <w:rsid w:val="00843A18"/>
    <w:rsid w:val="00843E9B"/>
    <w:rsid w:val="00844FC8"/>
    <w:rsid w:val="008451CB"/>
    <w:rsid w:val="00845587"/>
    <w:rsid w:val="008458CA"/>
    <w:rsid w:val="00851548"/>
    <w:rsid w:val="008522B5"/>
    <w:rsid w:val="00852E1C"/>
    <w:rsid w:val="00852F72"/>
    <w:rsid w:val="0085332D"/>
    <w:rsid w:val="00857606"/>
    <w:rsid w:val="00857E46"/>
    <w:rsid w:val="00862F95"/>
    <w:rsid w:val="00863484"/>
    <w:rsid w:val="008716C2"/>
    <w:rsid w:val="0087266B"/>
    <w:rsid w:val="00875342"/>
    <w:rsid w:val="008809E5"/>
    <w:rsid w:val="00881294"/>
    <w:rsid w:val="00882DA9"/>
    <w:rsid w:val="008838EF"/>
    <w:rsid w:val="00884966"/>
    <w:rsid w:val="0088531C"/>
    <w:rsid w:val="00885977"/>
    <w:rsid w:val="008915B1"/>
    <w:rsid w:val="00892456"/>
    <w:rsid w:val="008A43CB"/>
    <w:rsid w:val="008A5406"/>
    <w:rsid w:val="008A64B8"/>
    <w:rsid w:val="008A78C6"/>
    <w:rsid w:val="008B0AB8"/>
    <w:rsid w:val="008B204E"/>
    <w:rsid w:val="008B2650"/>
    <w:rsid w:val="008B293B"/>
    <w:rsid w:val="008B3E62"/>
    <w:rsid w:val="008B445E"/>
    <w:rsid w:val="008B5ADC"/>
    <w:rsid w:val="008B6DDE"/>
    <w:rsid w:val="008B7301"/>
    <w:rsid w:val="008C1FF3"/>
    <w:rsid w:val="008C63FE"/>
    <w:rsid w:val="008C7B1C"/>
    <w:rsid w:val="008D061E"/>
    <w:rsid w:val="008D2773"/>
    <w:rsid w:val="008D55E9"/>
    <w:rsid w:val="008D5B33"/>
    <w:rsid w:val="008D5FCC"/>
    <w:rsid w:val="008D7288"/>
    <w:rsid w:val="008E12C7"/>
    <w:rsid w:val="008E3EAD"/>
    <w:rsid w:val="008E449C"/>
    <w:rsid w:val="008E4D22"/>
    <w:rsid w:val="008E66CF"/>
    <w:rsid w:val="008E7590"/>
    <w:rsid w:val="008E7CBC"/>
    <w:rsid w:val="008F058C"/>
    <w:rsid w:val="008F086D"/>
    <w:rsid w:val="008F16BC"/>
    <w:rsid w:val="008F1731"/>
    <w:rsid w:val="008F31D8"/>
    <w:rsid w:val="008F467A"/>
    <w:rsid w:val="008F47FB"/>
    <w:rsid w:val="008F588B"/>
    <w:rsid w:val="008F6602"/>
    <w:rsid w:val="008F6862"/>
    <w:rsid w:val="008F6895"/>
    <w:rsid w:val="008F7588"/>
    <w:rsid w:val="009103CD"/>
    <w:rsid w:val="00910FED"/>
    <w:rsid w:val="00912AB0"/>
    <w:rsid w:val="00913130"/>
    <w:rsid w:val="009145AB"/>
    <w:rsid w:val="009165EB"/>
    <w:rsid w:val="009174CD"/>
    <w:rsid w:val="0091765C"/>
    <w:rsid w:val="00917C94"/>
    <w:rsid w:val="00922372"/>
    <w:rsid w:val="00923092"/>
    <w:rsid w:val="00924700"/>
    <w:rsid w:val="009250F3"/>
    <w:rsid w:val="009251CD"/>
    <w:rsid w:val="00926FF1"/>
    <w:rsid w:val="00927801"/>
    <w:rsid w:val="00927B7E"/>
    <w:rsid w:val="00930354"/>
    <w:rsid w:val="00930B17"/>
    <w:rsid w:val="009313AB"/>
    <w:rsid w:val="00931968"/>
    <w:rsid w:val="00931A7E"/>
    <w:rsid w:val="00933D89"/>
    <w:rsid w:val="00935DCC"/>
    <w:rsid w:val="00937825"/>
    <w:rsid w:val="009379A7"/>
    <w:rsid w:val="0094247C"/>
    <w:rsid w:val="009463E6"/>
    <w:rsid w:val="009507AE"/>
    <w:rsid w:val="00951EFB"/>
    <w:rsid w:val="00953C40"/>
    <w:rsid w:val="00953F63"/>
    <w:rsid w:val="00954AB5"/>
    <w:rsid w:val="00955868"/>
    <w:rsid w:val="00956B8D"/>
    <w:rsid w:val="00957EE5"/>
    <w:rsid w:val="0096212F"/>
    <w:rsid w:val="00963FD5"/>
    <w:rsid w:val="00966126"/>
    <w:rsid w:val="00966AE8"/>
    <w:rsid w:val="0097153B"/>
    <w:rsid w:val="00971AB7"/>
    <w:rsid w:val="00974FA3"/>
    <w:rsid w:val="0097557A"/>
    <w:rsid w:val="00982143"/>
    <w:rsid w:val="009822A0"/>
    <w:rsid w:val="00983450"/>
    <w:rsid w:val="00985216"/>
    <w:rsid w:val="00986D3F"/>
    <w:rsid w:val="00987E5F"/>
    <w:rsid w:val="0099050B"/>
    <w:rsid w:val="00990D2B"/>
    <w:rsid w:val="00990D92"/>
    <w:rsid w:val="0099684F"/>
    <w:rsid w:val="009A6408"/>
    <w:rsid w:val="009A76ED"/>
    <w:rsid w:val="009A770D"/>
    <w:rsid w:val="009B12BF"/>
    <w:rsid w:val="009B2692"/>
    <w:rsid w:val="009B2766"/>
    <w:rsid w:val="009B3050"/>
    <w:rsid w:val="009B32E8"/>
    <w:rsid w:val="009B51D6"/>
    <w:rsid w:val="009B5243"/>
    <w:rsid w:val="009B5354"/>
    <w:rsid w:val="009B5907"/>
    <w:rsid w:val="009B6B3B"/>
    <w:rsid w:val="009B78C5"/>
    <w:rsid w:val="009B7E13"/>
    <w:rsid w:val="009C13F5"/>
    <w:rsid w:val="009C2E89"/>
    <w:rsid w:val="009C5CF8"/>
    <w:rsid w:val="009C6942"/>
    <w:rsid w:val="009C6D5C"/>
    <w:rsid w:val="009D032C"/>
    <w:rsid w:val="009D0748"/>
    <w:rsid w:val="009D2B2B"/>
    <w:rsid w:val="009D2C07"/>
    <w:rsid w:val="009E09CD"/>
    <w:rsid w:val="009E0F8F"/>
    <w:rsid w:val="009E142A"/>
    <w:rsid w:val="009E3C5A"/>
    <w:rsid w:val="009E3DEC"/>
    <w:rsid w:val="009E70AF"/>
    <w:rsid w:val="009E7D0A"/>
    <w:rsid w:val="009F0773"/>
    <w:rsid w:val="009F220D"/>
    <w:rsid w:val="009F2631"/>
    <w:rsid w:val="009F337A"/>
    <w:rsid w:val="00A00350"/>
    <w:rsid w:val="00A00BD8"/>
    <w:rsid w:val="00A0261D"/>
    <w:rsid w:val="00A04158"/>
    <w:rsid w:val="00A044C1"/>
    <w:rsid w:val="00A057CC"/>
    <w:rsid w:val="00A0593A"/>
    <w:rsid w:val="00A10759"/>
    <w:rsid w:val="00A11623"/>
    <w:rsid w:val="00A11DBD"/>
    <w:rsid w:val="00A120F2"/>
    <w:rsid w:val="00A13084"/>
    <w:rsid w:val="00A15870"/>
    <w:rsid w:val="00A1667F"/>
    <w:rsid w:val="00A1697F"/>
    <w:rsid w:val="00A17761"/>
    <w:rsid w:val="00A22CED"/>
    <w:rsid w:val="00A247EC"/>
    <w:rsid w:val="00A255F3"/>
    <w:rsid w:val="00A26981"/>
    <w:rsid w:val="00A32A94"/>
    <w:rsid w:val="00A3456F"/>
    <w:rsid w:val="00A3582A"/>
    <w:rsid w:val="00A35D74"/>
    <w:rsid w:val="00A45B1B"/>
    <w:rsid w:val="00A46E6A"/>
    <w:rsid w:val="00A5060D"/>
    <w:rsid w:val="00A50F29"/>
    <w:rsid w:val="00A6032D"/>
    <w:rsid w:val="00A60946"/>
    <w:rsid w:val="00A62F1E"/>
    <w:rsid w:val="00A6381E"/>
    <w:rsid w:val="00A64F7D"/>
    <w:rsid w:val="00A7207F"/>
    <w:rsid w:val="00A76E5B"/>
    <w:rsid w:val="00A77BE0"/>
    <w:rsid w:val="00A8016C"/>
    <w:rsid w:val="00A8078A"/>
    <w:rsid w:val="00A81447"/>
    <w:rsid w:val="00A81E64"/>
    <w:rsid w:val="00A81ED8"/>
    <w:rsid w:val="00A85815"/>
    <w:rsid w:val="00A86B8B"/>
    <w:rsid w:val="00A87136"/>
    <w:rsid w:val="00A92443"/>
    <w:rsid w:val="00A93F76"/>
    <w:rsid w:val="00A96D6D"/>
    <w:rsid w:val="00A97F0B"/>
    <w:rsid w:val="00AA183D"/>
    <w:rsid w:val="00AA1CB8"/>
    <w:rsid w:val="00AA3A6C"/>
    <w:rsid w:val="00AA4EE1"/>
    <w:rsid w:val="00AA6B04"/>
    <w:rsid w:val="00AB1A62"/>
    <w:rsid w:val="00AB2C14"/>
    <w:rsid w:val="00AB2D5F"/>
    <w:rsid w:val="00AB3326"/>
    <w:rsid w:val="00AB3681"/>
    <w:rsid w:val="00AB5923"/>
    <w:rsid w:val="00AB629A"/>
    <w:rsid w:val="00AC0876"/>
    <w:rsid w:val="00AC12DA"/>
    <w:rsid w:val="00AC174B"/>
    <w:rsid w:val="00AC1847"/>
    <w:rsid w:val="00AC4A79"/>
    <w:rsid w:val="00AD10A1"/>
    <w:rsid w:val="00AD1E95"/>
    <w:rsid w:val="00AD247A"/>
    <w:rsid w:val="00AD24CB"/>
    <w:rsid w:val="00AD3BE7"/>
    <w:rsid w:val="00AD50AD"/>
    <w:rsid w:val="00AD6190"/>
    <w:rsid w:val="00AD6693"/>
    <w:rsid w:val="00AE0A2C"/>
    <w:rsid w:val="00AE29B0"/>
    <w:rsid w:val="00AE2EB2"/>
    <w:rsid w:val="00AE36E2"/>
    <w:rsid w:val="00AE5234"/>
    <w:rsid w:val="00AE6000"/>
    <w:rsid w:val="00AF1AC0"/>
    <w:rsid w:val="00AF2201"/>
    <w:rsid w:val="00AF3ACB"/>
    <w:rsid w:val="00AF5AA0"/>
    <w:rsid w:val="00AF6E12"/>
    <w:rsid w:val="00B02F99"/>
    <w:rsid w:val="00B0333D"/>
    <w:rsid w:val="00B04ECE"/>
    <w:rsid w:val="00B05E0B"/>
    <w:rsid w:val="00B06623"/>
    <w:rsid w:val="00B07B12"/>
    <w:rsid w:val="00B1104C"/>
    <w:rsid w:val="00B15BFC"/>
    <w:rsid w:val="00B15F63"/>
    <w:rsid w:val="00B16B41"/>
    <w:rsid w:val="00B17FA5"/>
    <w:rsid w:val="00B21233"/>
    <w:rsid w:val="00B227B8"/>
    <w:rsid w:val="00B22B2E"/>
    <w:rsid w:val="00B234A3"/>
    <w:rsid w:val="00B23CD5"/>
    <w:rsid w:val="00B24002"/>
    <w:rsid w:val="00B24E5F"/>
    <w:rsid w:val="00B251CE"/>
    <w:rsid w:val="00B301CD"/>
    <w:rsid w:val="00B30D56"/>
    <w:rsid w:val="00B312FA"/>
    <w:rsid w:val="00B3326C"/>
    <w:rsid w:val="00B35691"/>
    <w:rsid w:val="00B37B5C"/>
    <w:rsid w:val="00B40BFC"/>
    <w:rsid w:val="00B41912"/>
    <w:rsid w:val="00B447BC"/>
    <w:rsid w:val="00B45E35"/>
    <w:rsid w:val="00B45EC9"/>
    <w:rsid w:val="00B57FC3"/>
    <w:rsid w:val="00B603DA"/>
    <w:rsid w:val="00B606CB"/>
    <w:rsid w:val="00B628B5"/>
    <w:rsid w:val="00B62E2A"/>
    <w:rsid w:val="00B6365C"/>
    <w:rsid w:val="00B640D3"/>
    <w:rsid w:val="00B643AF"/>
    <w:rsid w:val="00B643B6"/>
    <w:rsid w:val="00B70966"/>
    <w:rsid w:val="00B7704F"/>
    <w:rsid w:val="00B77B9A"/>
    <w:rsid w:val="00B83261"/>
    <w:rsid w:val="00B841F6"/>
    <w:rsid w:val="00B84298"/>
    <w:rsid w:val="00B86123"/>
    <w:rsid w:val="00B87EF1"/>
    <w:rsid w:val="00B908B0"/>
    <w:rsid w:val="00B93370"/>
    <w:rsid w:val="00B93B11"/>
    <w:rsid w:val="00B975FA"/>
    <w:rsid w:val="00BA1748"/>
    <w:rsid w:val="00BA26CB"/>
    <w:rsid w:val="00BA2F61"/>
    <w:rsid w:val="00BA77A0"/>
    <w:rsid w:val="00BB10D8"/>
    <w:rsid w:val="00BB2AA4"/>
    <w:rsid w:val="00BB3C3C"/>
    <w:rsid w:val="00BB4DD7"/>
    <w:rsid w:val="00BB7DE0"/>
    <w:rsid w:val="00BC1B53"/>
    <w:rsid w:val="00BC1DAD"/>
    <w:rsid w:val="00BC5206"/>
    <w:rsid w:val="00BC6128"/>
    <w:rsid w:val="00BC672F"/>
    <w:rsid w:val="00BC754D"/>
    <w:rsid w:val="00BC7AE7"/>
    <w:rsid w:val="00BD3546"/>
    <w:rsid w:val="00BD4B1A"/>
    <w:rsid w:val="00BD606B"/>
    <w:rsid w:val="00BE0A25"/>
    <w:rsid w:val="00BE11F7"/>
    <w:rsid w:val="00BE154B"/>
    <w:rsid w:val="00BE21CB"/>
    <w:rsid w:val="00BE3CF4"/>
    <w:rsid w:val="00BE3DA0"/>
    <w:rsid w:val="00BE4D4D"/>
    <w:rsid w:val="00BE5FE2"/>
    <w:rsid w:val="00BE6C4F"/>
    <w:rsid w:val="00BE75FD"/>
    <w:rsid w:val="00BF02C7"/>
    <w:rsid w:val="00BF0AE7"/>
    <w:rsid w:val="00BF533F"/>
    <w:rsid w:val="00C01227"/>
    <w:rsid w:val="00C014B7"/>
    <w:rsid w:val="00C03680"/>
    <w:rsid w:val="00C038E6"/>
    <w:rsid w:val="00C048F5"/>
    <w:rsid w:val="00C04D5E"/>
    <w:rsid w:val="00C06368"/>
    <w:rsid w:val="00C07022"/>
    <w:rsid w:val="00C12ECC"/>
    <w:rsid w:val="00C13003"/>
    <w:rsid w:val="00C21993"/>
    <w:rsid w:val="00C22E4E"/>
    <w:rsid w:val="00C23FAA"/>
    <w:rsid w:val="00C24091"/>
    <w:rsid w:val="00C26E3B"/>
    <w:rsid w:val="00C33632"/>
    <w:rsid w:val="00C35299"/>
    <w:rsid w:val="00C35BE7"/>
    <w:rsid w:val="00C35DD4"/>
    <w:rsid w:val="00C36038"/>
    <w:rsid w:val="00C4007A"/>
    <w:rsid w:val="00C44D57"/>
    <w:rsid w:val="00C4580C"/>
    <w:rsid w:val="00C45EA6"/>
    <w:rsid w:val="00C4619B"/>
    <w:rsid w:val="00C46984"/>
    <w:rsid w:val="00C51233"/>
    <w:rsid w:val="00C533B1"/>
    <w:rsid w:val="00C55A8D"/>
    <w:rsid w:val="00C57AC4"/>
    <w:rsid w:val="00C61499"/>
    <w:rsid w:val="00C617B3"/>
    <w:rsid w:val="00C62B4C"/>
    <w:rsid w:val="00C63B63"/>
    <w:rsid w:val="00C655CF"/>
    <w:rsid w:val="00C6567B"/>
    <w:rsid w:val="00C657EB"/>
    <w:rsid w:val="00C66008"/>
    <w:rsid w:val="00C703CB"/>
    <w:rsid w:val="00C76F0A"/>
    <w:rsid w:val="00C80D90"/>
    <w:rsid w:val="00C81EC0"/>
    <w:rsid w:val="00C84E80"/>
    <w:rsid w:val="00C854C6"/>
    <w:rsid w:val="00C855D7"/>
    <w:rsid w:val="00C86D9F"/>
    <w:rsid w:val="00C918AD"/>
    <w:rsid w:val="00C92F24"/>
    <w:rsid w:val="00C93BF2"/>
    <w:rsid w:val="00C96AF7"/>
    <w:rsid w:val="00C97169"/>
    <w:rsid w:val="00CA145E"/>
    <w:rsid w:val="00CA4469"/>
    <w:rsid w:val="00CA5393"/>
    <w:rsid w:val="00CA7C2C"/>
    <w:rsid w:val="00CB056C"/>
    <w:rsid w:val="00CB0DC7"/>
    <w:rsid w:val="00CB1E91"/>
    <w:rsid w:val="00CB2B64"/>
    <w:rsid w:val="00CB2D81"/>
    <w:rsid w:val="00CB546D"/>
    <w:rsid w:val="00CB5E8C"/>
    <w:rsid w:val="00CC0953"/>
    <w:rsid w:val="00CC38FE"/>
    <w:rsid w:val="00CC7F25"/>
    <w:rsid w:val="00CD10DE"/>
    <w:rsid w:val="00CD1433"/>
    <w:rsid w:val="00CD4200"/>
    <w:rsid w:val="00CE1E3A"/>
    <w:rsid w:val="00CE4507"/>
    <w:rsid w:val="00CE457C"/>
    <w:rsid w:val="00CE5CDA"/>
    <w:rsid w:val="00CE6B20"/>
    <w:rsid w:val="00CE6B70"/>
    <w:rsid w:val="00CF1266"/>
    <w:rsid w:val="00CF185B"/>
    <w:rsid w:val="00CF7C78"/>
    <w:rsid w:val="00D0032D"/>
    <w:rsid w:val="00D01BDD"/>
    <w:rsid w:val="00D0230B"/>
    <w:rsid w:val="00D04675"/>
    <w:rsid w:val="00D04F21"/>
    <w:rsid w:val="00D0559B"/>
    <w:rsid w:val="00D105C0"/>
    <w:rsid w:val="00D11D25"/>
    <w:rsid w:val="00D13CBA"/>
    <w:rsid w:val="00D14CDA"/>
    <w:rsid w:val="00D16038"/>
    <w:rsid w:val="00D16C49"/>
    <w:rsid w:val="00D17520"/>
    <w:rsid w:val="00D242B5"/>
    <w:rsid w:val="00D24F24"/>
    <w:rsid w:val="00D2537D"/>
    <w:rsid w:val="00D26C70"/>
    <w:rsid w:val="00D27B53"/>
    <w:rsid w:val="00D3164F"/>
    <w:rsid w:val="00D34ACA"/>
    <w:rsid w:val="00D35346"/>
    <w:rsid w:val="00D3659A"/>
    <w:rsid w:val="00D42046"/>
    <w:rsid w:val="00D42FF3"/>
    <w:rsid w:val="00D438B3"/>
    <w:rsid w:val="00D44395"/>
    <w:rsid w:val="00D446C7"/>
    <w:rsid w:val="00D44EB5"/>
    <w:rsid w:val="00D4502C"/>
    <w:rsid w:val="00D45395"/>
    <w:rsid w:val="00D458D2"/>
    <w:rsid w:val="00D465CA"/>
    <w:rsid w:val="00D46BFB"/>
    <w:rsid w:val="00D5048B"/>
    <w:rsid w:val="00D51067"/>
    <w:rsid w:val="00D51181"/>
    <w:rsid w:val="00D51410"/>
    <w:rsid w:val="00D52BB6"/>
    <w:rsid w:val="00D55239"/>
    <w:rsid w:val="00D563B2"/>
    <w:rsid w:val="00D57658"/>
    <w:rsid w:val="00D60497"/>
    <w:rsid w:val="00D614F5"/>
    <w:rsid w:val="00D61CD8"/>
    <w:rsid w:val="00D63A16"/>
    <w:rsid w:val="00D652CC"/>
    <w:rsid w:val="00D66062"/>
    <w:rsid w:val="00D666BD"/>
    <w:rsid w:val="00D673F2"/>
    <w:rsid w:val="00D7222A"/>
    <w:rsid w:val="00D72E60"/>
    <w:rsid w:val="00D73450"/>
    <w:rsid w:val="00D73A23"/>
    <w:rsid w:val="00D75577"/>
    <w:rsid w:val="00D7741F"/>
    <w:rsid w:val="00D8136C"/>
    <w:rsid w:val="00D8529F"/>
    <w:rsid w:val="00D85931"/>
    <w:rsid w:val="00D87F69"/>
    <w:rsid w:val="00D92171"/>
    <w:rsid w:val="00D92B84"/>
    <w:rsid w:val="00D93E7B"/>
    <w:rsid w:val="00D94BA7"/>
    <w:rsid w:val="00D953AC"/>
    <w:rsid w:val="00D95F2B"/>
    <w:rsid w:val="00D96424"/>
    <w:rsid w:val="00D9673A"/>
    <w:rsid w:val="00D97A82"/>
    <w:rsid w:val="00DA2686"/>
    <w:rsid w:val="00DA26BA"/>
    <w:rsid w:val="00DA278C"/>
    <w:rsid w:val="00DA2F2F"/>
    <w:rsid w:val="00DA2FE4"/>
    <w:rsid w:val="00DA4648"/>
    <w:rsid w:val="00DA575C"/>
    <w:rsid w:val="00DA6835"/>
    <w:rsid w:val="00DB0458"/>
    <w:rsid w:val="00DB275C"/>
    <w:rsid w:val="00DB3C25"/>
    <w:rsid w:val="00DB4A6E"/>
    <w:rsid w:val="00DB538E"/>
    <w:rsid w:val="00DB54D1"/>
    <w:rsid w:val="00DB59A7"/>
    <w:rsid w:val="00DC07CB"/>
    <w:rsid w:val="00DC11AB"/>
    <w:rsid w:val="00DC129A"/>
    <w:rsid w:val="00DC1FA9"/>
    <w:rsid w:val="00DC7033"/>
    <w:rsid w:val="00DC7EAD"/>
    <w:rsid w:val="00DD1B42"/>
    <w:rsid w:val="00DD26C2"/>
    <w:rsid w:val="00DD2F7F"/>
    <w:rsid w:val="00DD628C"/>
    <w:rsid w:val="00DD6718"/>
    <w:rsid w:val="00DD675D"/>
    <w:rsid w:val="00DD7CEE"/>
    <w:rsid w:val="00DE2706"/>
    <w:rsid w:val="00DE3292"/>
    <w:rsid w:val="00DE5AB0"/>
    <w:rsid w:val="00DE6B5C"/>
    <w:rsid w:val="00DE7044"/>
    <w:rsid w:val="00DF00A1"/>
    <w:rsid w:val="00DF15EF"/>
    <w:rsid w:val="00DF72B3"/>
    <w:rsid w:val="00E002F9"/>
    <w:rsid w:val="00E005F4"/>
    <w:rsid w:val="00E0200D"/>
    <w:rsid w:val="00E0218A"/>
    <w:rsid w:val="00E0230F"/>
    <w:rsid w:val="00E02D11"/>
    <w:rsid w:val="00E039AB"/>
    <w:rsid w:val="00E04689"/>
    <w:rsid w:val="00E04D24"/>
    <w:rsid w:val="00E0573C"/>
    <w:rsid w:val="00E068BC"/>
    <w:rsid w:val="00E10F48"/>
    <w:rsid w:val="00E13274"/>
    <w:rsid w:val="00E1566A"/>
    <w:rsid w:val="00E174C4"/>
    <w:rsid w:val="00E17AEB"/>
    <w:rsid w:val="00E21720"/>
    <w:rsid w:val="00E2256B"/>
    <w:rsid w:val="00E22736"/>
    <w:rsid w:val="00E2432A"/>
    <w:rsid w:val="00E27A2C"/>
    <w:rsid w:val="00E27D6D"/>
    <w:rsid w:val="00E27E38"/>
    <w:rsid w:val="00E3089F"/>
    <w:rsid w:val="00E30DF2"/>
    <w:rsid w:val="00E31CE1"/>
    <w:rsid w:val="00E32CA3"/>
    <w:rsid w:val="00E3432D"/>
    <w:rsid w:val="00E35059"/>
    <w:rsid w:val="00E36291"/>
    <w:rsid w:val="00E3734A"/>
    <w:rsid w:val="00E378AE"/>
    <w:rsid w:val="00E3797B"/>
    <w:rsid w:val="00E37E10"/>
    <w:rsid w:val="00E43C33"/>
    <w:rsid w:val="00E4555A"/>
    <w:rsid w:val="00E45CC2"/>
    <w:rsid w:val="00E4604E"/>
    <w:rsid w:val="00E46123"/>
    <w:rsid w:val="00E465D2"/>
    <w:rsid w:val="00E47D0B"/>
    <w:rsid w:val="00E514BF"/>
    <w:rsid w:val="00E5220A"/>
    <w:rsid w:val="00E54357"/>
    <w:rsid w:val="00E563C1"/>
    <w:rsid w:val="00E57DAE"/>
    <w:rsid w:val="00E6432F"/>
    <w:rsid w:val="00E647BA"/>
    <w:rsid w:val="00E650E0"/>
    <w:rsid w:val="00E65344"/>
    <w:rsid w:val="00E658A4"/>
    <w:rsid w:val="00E66B4F"/>
    <w:rsid w:val="00E713B4"/>
    <w:rsid w:val="00E74AD3"/>
    <w:rsid w:val="00E75DD8"/>
    <w:rsid w:val="00E777BC"/>
    <w:rsid w:val="00E77A9C"/>
    <w:rsid w:val="00E812B3"/>
    <w:rsid w:val="00E825A3"/>
    <w:rsid w:val="00E82770"/>
    <w:rsid w:val="00E94BDE"/>
    <w:rsid w:val="00EA2A01"/>
    <w:rsid w:val="00EA6846"/>
    <w:rsid w:val="00EB07C0"/>
    <w:rsid w:val="00EB0CC6"/>
    <w:rsid w:val="00EB1265"/>
    <w:rsid w:val="00EB1519"/>
    <w:rsid w:val="00EB65A0"/>
    <w:rsid w:val="00EC007A"/>
    <w:rsid w:val="00EC09BB"/>
    <w:rsid w:val="00EC17C5"/>
    <w:rsid w:val="00EC23AF"/>
    <w:rsid w:val="00EC3333"/>
    <w:rsid w:val="00EC5B37"/>
    <w:rsid w:val="00ED16EF"/>
    <w:rsid w:val="00ED3371"/>
    <w:rsid w:val="00ED3544"/>
    <w:rsid w:val="00ED3896"/>
    <w:rsid w:val="00ED442A"/>
    <w:rsid w:val="00ED4BC9"/>
    <w:rsid w:val="00ED7C0C"/>
    <w:rsid w:val="00EE0202"/>
    <w:rsid w:val="00EE124E"/>
    <w:rsid w:val="00EE1BA0"/>
    <w:rsid w:val="00EE2AC2"/>
    <w:rsid w:val="00EE49BF"/>
    <w:rsid w:val="00EE5993"/>
    <w:rsid w:val="00EE5C82"/>
    <w:rsid w:val="00EE63CE"/>
    <w:rsid w:val="00EE6595"/>
    <w:rsid w:val="00EF0841"/>
    <w:rsid w:val="00EF1F7E"/>
    <w:rsid w:val="00EF562D"/>
    <w:rsid w:val="00EF7298"/>
    <w:rsid w:val="00EF7839"/>
    <w:rsid w:val="00F02F00"/>
    <w:rsid w:val="00F03CF1"/>
    <w:rsid w:val="00F04422"/>
    <w:rsid w:val="00F0541B"/>
    <w:rsid w:val="00F062A2"/>
    <w:rsid w:val="00F06D78"/>
    <w:rsid w:val="00F07AB4"/>
    <w:rsid w:val="00F1135A"/>
    <w:rsid w:val="00F12957"/>
    <w:rsid w:val="00F12EC2"/>
    <w:rsid w:val="00F1399F"/>
    <w:rsid w:val="00F166C0"/>
    <w:rsid w:val="00F16B48"/>
    <w:rsid w:val="00F16E09"/>
    <w:rsid w:val="00F216A4"/>
    <w:rsid w:val="00F24DE4"/>
    <w:rsid w:val="00F27C1C"/>
    <w:rsid w:val="00F27D55"/>
    <w:rsid w:val="00F31751"/>
    <w:rsid w:val="00F33683"/>
    <w:rsid w:val="00F363B6"/>
    <w:rsid w:val="00F42438"/>
    <w:rsid w:val="00F425E8"/>
    <w:rsid w:val="00F42F25"/>
    <w:rsid w:val="00F430E1"/>
    <w:rsid w:val="00F44D63"/>
    <w:rsid w:val="00F454F8"/>
    <w:rsid w:val="00F45887"/>
    <w:rsid w:val="00F45AD6"/>
    <w:rsid w:val="00F47611"/>
    <w:rsid w:val="00F47CA4"/>
    <w:rsid w:val="00F47E5C"/>
    <w:rsid w:val="00F5006C"/>
    <w:rsid w:val="00F50CC0"/>
    <w:rsid w:val="00F5287A"/>
    <w:rsid w:val="00F531EA"/>
    <w:rsid w:val="00F55A26"/>
    <w:rsid w:val="00F56426"/>
    <w:rsid w:val="00F6013E"/>
    <w:rsid w:val="00F66A3D"/>
    <w:rsid w:val="00F67EC9"/>
    <w:rsid w:val="00F70754"/>
    <w:rsid w:val="00F70FF5"/>
    <w:rsid w:val="00F71F3A"/>
    <w:rsid w:val="00F737B8"/>
    <w:rsid w:val="00F738B9"/>
    <w:rsid w:val="00F7421E"/>
    <w:rsid w:val="00F746B7"/>
    <w:rsid w:val="00F74A91"/>
    <w:rsid w:val="00F74ABF"/>
    <w:rsid w:val="00F7620A"/>
    <w:rsid w:val="00F77698"/>
    <w:rsid w:val="00F822A3"/>
    <w:rsid w:val="00F83223"/>
    <w:rsid w:val="00F83895"/>
    <w:rsid w:val="00F8590F"/>
    <w:rsid w:val="00F86061"/>
    <w:rsid w:val="00F8739F"/>
    <w:rsid w:val="00F92146"/>
    <w:rsid w:val="00F93C65"/>
    <w:rsid w:val="00F946B2"/>
    <w:rsid w:val="00F95E27"/>
    <w:rsid w:val="00FA170D"/>
    <w:rsid w:val="00FA194F"/>
    <w:rsid w:val="00FA3F39"/>
    <w:rsid w:val="00FA4523"/>
    <w:rsid w:val="00FA488B"/>
    <w:rsid w:val="00FA55D0"/>
    <w:rsid w:val="00FA5AA4"/>
    <w:rsid w:val="00FA5EB7"/>
    <w:rsid w:val="00FA6410"/>
    <w:rsid w:val="00FB3A2C"/>
    <w:rsid w:val="00FB6284"/>
    <w:rsid w:val="00FB71B4"/>
    <w:rsid w:val="00FC2081"/>
    <w:rsid w:val="00FC34C2"/>
    <w:rsid w:val="00FC38DE"/>
    <w:rsid w:val="00FC48A2"/>
    <w:rsid w:val="00FC4960"/>
    <w:rsid w:val="00FC5736"/>
    <w:rsid w:val="00FC74EA"/>
    <w:rsid w:val="00FD0A81"/>
    <w:rsid w:val="00FD1336"/>
    <w:rsid w:val="00FD2B45"/>
    <w:rsid w:val="00FD4286"/>
    <w:rsid w:val="00FD4F48"/>
    <w:rsid w:val="00FD70BA"/>
    <w:rsid w:val="00FD7189"/>
    <w:rsid w:val="00FE0353"/>
    <w:rsid w:val="00FE14EE"/>
    <w:rsid w:val="00FE3683"/>
    <w:rsid w:val="00FE402B"/>
    <w:rsid w:val="00FE65BF"/>
    <w:rsid w:val="00FE6767"/>
    <w:rsid w:val="00FF0478"/>
    <w:rsid w:val="00FF07A8"/>
    <w:rsid w:val="00FF3AAE"/>
    <w:rsid w:val="00FF6AEC"/>
    <w:rsid w:val="0210A060"/>
    <w:rsid w:val="025DD234"/>
    <w:rsid w:val="02CD9B80"/>
    <w:rsid w:val="031AD289"/>
    <w:rsid w:val="046E0491"/>
    <w:rsid w:val="0634902E"/>
    <w:rsid w:val="0935A5B2"/>
    <w:rsid w:val="0A434C18"/>
    <w:rsid w:val="0AD66ADE"/>
    <w:rsid w:val="0AD744A0"/>
    <w:rsid w:val="0B0CBC11"/>
    <w:rsid w:val="0B15235A"/>
    <w:rsid w:val="0BB03E0B"/>
    <w:rsid w:val="0BCBD260"/>
    <w:rsid w:val="0C2F16F1"/>
    <w:rsid w:val="0C6D4674"/>
    <w:rsid w:val="0C7DC52F"/>
    <w:rsid w:val="0D1BE2A4"/>
    <w:rsid w:val="0D55F7CC"/>
    <w:rsid w:val="0DDD29C4"/>
    <w:rsid w:val="0E12F8DB"/>
    <w:rsid w:val="0E70D250"/>
    <w:rsid w:val="0E768019"/>
    <w:rsid w:val="0E86857D"/>
    <w:rsid w:val="0EEAAEA9"/>
    <w:rsid w:val="0F585745"/>
    <w:rsid w:val="10497980"/>
    <w:rsid w:val="10538366"/>
    <w:rsid w:val="10689C9E"/>
    <w:rsid w:val="112D5DC7"/>
    <w:rsid w:val="1140B797"/>
    <w:rsid w:val="11563807"/>
    <w:rsid w:val="1160E77E"/>
    <w:rsid w:val="11F47DCB"/>
    <w:rsid w:val="12202D55"/>
    <w:rsid w:val="124FA821"/>
    <w:rsid w:val="12A43657"/>
    <w:rsid w:val="12BE7BCA"/>
    <w:rsid w:val="12EB765A"/>
    <w:rsid w:val="1322480F"/>
    <w:rsid w:val="13371DFC"/>
    <w:rsid w:val="13B3A0EC"/>
    <w:rsid w:val="14AE0B7C"/>
    <w:rsid w:val="14F14C0E"/>
    <w:rsid w:val="15574C2F"/>
    <w:rsid w:val="156E5E8D"/>
    <w:rsid w:val="15CC95FE"/>
    <w:rsid w:val="160E194A"/>
    <w:rsid w:val="161428BA"/>
    <w:rsid w:val="166A5BE2"/>
    <w:rsid w:val="16B22F10"/>
    <w:rsid w:val="17C66952"/>
    <w:rsid w:val="1819412F"/>
    <w:rsid w:val="186E8C12"/>
    <w:rsid w:val="18E3BF15"/>
    <w:rsid w:val="196864AD"/>
    <w:rsid w:val="19B431B4"/>
    <w:rsid w:val="19BA6A11"/>
    <w:rsid w:val="1A1EA33D"/>
    <w:rsid w:val="1A9FD194"/>
    <w:rsid w:val="1AE799DD"/>
    <w:rsid w:val="1B19A50F"/>
    <w:rsid w:val="1B1D94E2"/>
    <w:rsid w:val="1B2F5056"/>
    <w:rsid w:val="1B86E174"/>
    <w:rsid w:val="1C1E9A4A"/>
    <w:rsid w:val="1C299E35"/>
    <w:rsid w:val="1C531BB0"/>
    <w:rsid w:val="1C5C273A"/>
    <w:rsid w:val="1C6FBE59"/>
    <w:rsid w:val="1CD25C48"/>
    <w:rsid w:val="1D743FE4"/>
    <w:rsid w:val="1DC228DD"/>
    <w:rsid w:val="1E40B368"/>
    <w:rsid w:val="202CE4B9"/>
    <w:rsid w:val="204BEF6D"/>
    <w:rsid w:val="208086C9"/>
    <w:rsid w:val="2100D3D6"/>
    <w:rsid w:val="21B65F08"/>
    <w:rsid w:val="21F36E11"/>
    <w:rsid w:val="221C572A"/>
    <w:rsid w:val="22AD9A1B"/>
    <w:rsid w:val="22E12493"/>
    <w:rsid w:val="2352A822"/>
    <w:rsid w:val="2405C911"/>
    <w:rsid w:val="24CE766B"/>
    <w:rsid w:val="25901F8D"/>
    <w:rsid w:val="2617308D"/>
    <w:rsid w:val="265BACC8"/>
    <w:rsid w:val="2669368F"/>
    <w:rsid w:val="276CC866"/>
    <w:rsid w:val="27BAB09B"/>
    <w:rsid w:val="27CD59F5"/>
    <w:rsid w:val="28C8CD4E"/>
    <w:rsid w:val="2926FE5D"/>
    <w:rsid w:val="29654D9F"/>
    <w:rsid w:val="297C8637"/>
    <w:rsid w:val="29A0D694"/>
    <w:rsid w:val="29FF66F2"/>
    <w:rsid w:val="2A150179"/>
    <w:rsid w:val="2AA9F55E"/>
    <w:rsid w:val="2B4EDD3E"/>
    <w:rsid w:val="2C59E8D2"/>
    <w:rsid w:val="2CDCFE6F"/>
    <w:rsid w:val="2D39950D"/>
    <w:rsid w:val="2DB5E3AE"/>
    <w:rsid w:val="2DC2338B"/>
    <w:rsid w:val="2DF5B933"/>
    <w:rsid w:val="2E30FBB1"/>
    <w:rsid w:val="3136F92E"/>
    <w:rsid w:val="313F4A2E"/>
    <w:rsid w:val="316DB510"/>
    <w:rsid w:val="318F2553"/>
    <w:rsid w:val="31FB2477"/>
    <w:rsid w:val="32A8E23D"/>
    <w:rsid w:val="32DD0D94"/>
    <w:rsid w:val="32F6C03A"/>
    <w:rsid w:val="330DB6D8"/>
    <w:rsid w:val="33194D68"/>
    <w:rsid w:val="33F8EF2C"/>
    <w:rsid w:val="34A986DA"/>
    <w:rsid w:val="34BDEA00"/>
    <w:rsid w:val="35CDD4AD"/>
    <w:rsid w:val="3677AD4E"/>
    <w:rsid w:val="368E7F50"/>
    <w:rsid w:val="36A1F16D"/>
    <w:rsid w:val="37B85AA4"/>
    <w:rsid w:val="37E086AD"/>
    <w:rsid w:val="390D8C74"/>
    <w:rsid w:val="3952FFB6"/>
    <w:rsid w:val="399527FA"/>
    <w:rsid w:val="399B95D4"/>
    <w:rsid w:val="3A6F0AAB"/>
    <w:rsid w:val="3A8A89DA"/>
    <w:rsid w:val="3A95DF2A"/>
    <w:rsid w:val="3BA64E96"/>
    <w:rsid w:val="3BB3CD81"/>
    <w:rsid w:val="3CCC27B1"/>
    <w:rsid w:val="3D651475"/>
    <w:rsid w:val="3D7EE01E"/>
    <w:rsid w:val="3E13E3AB"/>
    <w:rsid w:val="3EE4A0B7"/>
    <w:rsid w:val="3F8079E7"/>
    <w:rsid w:val="3F86C22C"/>
    <w:rsid w:val="3FEDA9D8"/>
    <w:rsid w:val="40C9DAB0"/>
    <w:rsid w:val="41F462C2"/>
    <w:rsid w:val="43024C35"/>
    <w:rsid w:val="4461F8B0"/>
    <w:rsid w:val="455DB8D4"/>
    <w:rsid w:val="4589F203"/>
    <w:rsid w:val="45BE6AC4"/>
    <w:rsid w:val="45EE49FA"/>
    <w:rsid w:val="462B67A6"/>
    <w:rsid w:val="4658E13A"/>
    <w:rsid w:val="46C0F28A"/>
    <w:rsid w:val="47B387EE"/>
    <w:rsid w:val="48139C12"/>
    <w:rsid w:val="48589439"/>
    <w:rsid w:val="49A1289E"/>
    <w:rsid w:val="4A6F8CD4"/>
    <w:rsid w:val="4AC88F14"/>
    <w:rsid w:val="4B403B3D"/>
    <w:rsid w:val="4B786F26"/>
    <w:rsid w:val="4B929F4A"/>
    <w:rsid w:val="4BCC81FD"/>
    <w:rsid w:val="4C159F46"/>
    <w:rsid w:val="4C876870"/>
    <w:rsid w:val="4D9C9531"/>
    <w:rsid w:val="4E405E60"/>
    <w:rsid w:val="4EEA94BF"/>
    <w:rsid w:val="4EF07DDD"/>
    <w:rsid w:val="4EFDD67A"/>
    <w:rsid w:val="4F427CA6"/>
    <w:rsid w:val="4F60911E"/>
    <w:rsid w:val="51050EA2"/>
    <w:rsid w:val="511439A4"/>
    <w:rsid w:val="512A91AD"/>
    <w:rsid w:val="51565E44"/>
    <w:rsid w:val="5198B042"/>
    <w:rsid w:val="51D2D94A"/>
    <w:rsid w:val="52CDECAB"/>
    <w:rsid w:val="53266E32"/>
    <w:rsid w:val="5365062C"/>
    <w:rsid w:val="540310D2"/>
    <w:rsid w:val="544D1DC7"/>
    <w:rsid w:val="545CE917"/>
    <w:rsid w:val="54F84F85"/>
    <w:rsid w:val="551CE81F"/>
    <w:rsid w:val="55571441"/>
    <w:rsid w:val="55B1D7DB"/>
    <w:rsid w:val="5674E1D6"/>
    <w:rsid w:val="56AF8A4B"/>
    <w:rsid w:val="56E007CE"/>
    <w:rsid w:val="579449CB"/>
    <w:rsid w:val="57F13F84"/>
    <w:rsid w:val="5810B237"/>
    <w:rsid w:val="58FBFD3D"/>
    <w:rsid w:val="59AC8298"/>
    <w:rsid w:val="59C5A25F"/>
    <w:rsid w:val="5A3AC694"/>
    <w:rsid w:val="5A505194"/>
    <w:rsid w:val="5ABCB22C"/>
    <w:rsid w:val="5AC37F7B"/>
    <w:rsid w:val="5AF681F8"/>
    <w:rsid w:val="5B24FCEB"/>
    <w:rsid w:val="5B4DB41D"/>
    <w:rsid w:val="5B4E2186"/>
    <w:rsid w:val="5BDAE702"/>
    <w:rsid w:val="5CB04C8A"/>
    <w:rsid w:val="5CC67A3D"/>
    <w:rsid w:val="5CE4235A"/>
    <w:rsid w:val="5DB2AFED"/>
    <w:rsid w:val="5DC311F7"/>
    <w:rsid w:val="5DEB1CF8"/>
    <w:rsid w:val="5E818BF4"/>
    <w:rsid w:val="5E99E29C"/>
    <w:rsid w:val="5ED49E09"/>
    <w:rsid w:val="5F1F9BEA"/>
    <w:rsid w:val="5F678BCF"/>
    <w:rsid w:val="60099C44"/>
    <w:rsid w:val="601BC41C"/>
    <w:rsid w:val="602F60E9"/>
    <w:rsid w:val="61E349C2"/>
    <w:rsid w:val="6228FFD5"/>
    <w:rsid w:val="629E77F0"/>
    <w:rsid w:val="6354E229"/>
    <w:rsid w:val="639E4A30"/>
    <w:rsid w:val="63C52D7C"/>
    <w:rsid w:val="63EA20DB"/>
    <w:rsid w:val="64103537"/>
    <w:rsid w:val="6467756D"/>
    <w:rsid w:val="654B9120"/>
    <w:rsid w:val="65F8B676"/>
    <w:rsid w:val="6669B5E6"/>
    <w:rsid w:val="668B05A0"/>
    <w:rsid w:val="66D06026"/>
    <w:rsid w:val="67B85B4B"/>
    <w:rsid w:val="67BF6672"/>
    <w:rsid w:val="6853E094"/>
    <w:rsid w:val="6887B4D7"/>
    <w:rsid w:val="692139FF"/>
    <w:rsid w:val="693774E0"/>
    <w:rsid w:val="69C2A662"/>
    <w:rsid w:val="69D65073"/>
    <w:rsid w:val="6A728196"/>
    <w:rsid w:val="6AA64C36"/>
    <w:rsid w:val="6B2E1A22"/>
    <w:rsid w:val="6B5E76C3"/>
    <w:rsid w:val="6C4D0DFF"/>
    <w:rsid w:val="6CA06712"/>
    <w:rsid w:val="6CE7D5A7"/>
    <w:rsid w:val="6D075EAE"/>
    <w:rsid w:val="6DBFC2ED"/>
    <w:rsid w:val="6EA24B20"/>
    <w:rsid w:val="6F324B40"/>
    <w:rsid w:val="6F5B934E"/>
    <w:rsid w:val="6F5E2343"/>
    <w:rsid w:val="6F895011"/>
    <w:rsid w:val="6FC80C55"/>
    <w:rsid w:val="6FEAF0EC"/>
    <w:rsid w:val="6FEEACB3"/>
    <w:rsid w:val="706A22F4"/>
    <w:rsid w:val="7164E50D"/>
    <w:rsid w:val="71D23A6A"/>
    <w:rsid w:val="7340A6E7"/>
    <w:rsid w:val="73DB76F3"/>
    <w:rsid w:val="74DE5CE5"/>
    <w:rsid w:val="750A652B"/>
    <w:rsid w:val="75A94BF2"/>
    <w:rsid w:val="75CAD4D2"/>
    <w:rsid w:val="76909C2B"/>
    <w:rsid w:val="76A916F0"/>
    <w:rsid w:val="77F7E824"/>
    <w:rsid w:val="7826D9D3"/>
    <w:rsid w:val="7876204D"/>
    <w:rsid w:val="79787337"/>
    <w:rsid w:val="7990A2D9"/>
    <w:rsid w:val="79C7E283"/>
    <w:rsid w:val="7A44692C"/>
    <w:rsid w:val="7B2F7E65"/>
    <w:rsid w:val="7B34F557"/>
    <w:rsid w:val="7C3F5E0F"/>
    <w:rsid w:val="7C4B2F74"/>
    <w:rsid w:val="7C828B2F"/>
    <w:rsid w:val="7CCE9BCA"/>
    <w:rsid w:val="7D1FE5D4"/>
    <w:rsid w:val="7D4369CE"/>
    <w:rsid w:val="7D821E35"/>
    <w:rsid w:val="7E83D253"/>
    <w:rsid w:val="7EDDF194"/>
    <w:rsid w:val="7EDF3A2F"/>
    <w:rsid w:val="7F815698"/>
    <w:rsid w:val="7F89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6839D"/>
  <w15:docId w15:val="{023C5C5B-4EE9-4F75-B82A-3CBD3D3A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592"/>
    <w:pPr>
      <w:suppressAutoHyphens/>
      <w:spacing w:before="120" w:after="60" w:line="260" w:lineRule="atLeast"/>
    </w:pPr>
    <w:rPr>
      <w:color w:val="44546A" w:themeColor="text2"/>
      <w:lang w:val="en-GB"/>
    </w:rPr>
  </w:style>
  <w:style w:type="paragraph" w:styleId="Heading1">
    <w:name w:val="heading 1"/>
    <w:basedOn w:val="Normal"/>
    <w:next w:val="Normal"/>
    <w:link w:val="Heading1Char"/>
    <w:qFormat/>
    <w:rsid w:val="001A06FF"/>
    <w:pPr>
      <w:keepNext/>
      <w:keepLines/>
      <w:spacing w:after="120" w:line="360" w:lineRule="auto"/>
      <w:contextualSpacing/>
      <w:outlineLvl w:val="0"/>
    </w:pPr>
    <w:rPr>
      <w:rFonts w:ascii="Calibri" w:eastAsiaTheme="majorEastAsia" w:hAnsi="Calibri" w:cstheme="majorBidi"/>
      <w:b/>
      <w:bCs/>
      <w:caps/>
      <w:color w:val="1F3864" w:themeColor="accent5" w:themeShade="8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21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F7592"/>
    <w:pPr>
      <w:spacing w:before="480" w:after="120" w:line="360" w:lineRule="atLeast"/>
      <w:contextualSpacing/>
      <w:outlineLvl w:val="2"/>
    </w:pPr>
    <w:rPr>
      <w:bCs/>
      <w:color w:val="44546A" w:themeColor="text2"/>
      <w:sz w:val="3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06FF"/>
    <w:rPr>
      <w:rFonts w:ascii="Calibri" w:eastAsiaTheme="majorEastAsia" w:hAnsi="Calibri" w:cstheme="majorBidi"/>
      <w:b/>
      <w:bCs/>
      <w:caps/>
      <w:color w:val="1F3864" w:themeColor="accent5" w:themeShade="80"/>
      <w:sz w:val="36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4F7592"/>
    <w:rPr>
      <w:rFonts w:asciiTheme="majorHAnsi" w:eastAsiaTheme="majorEastAsia" w:hAnsiTheme="majorHAnsi" w:cstheme="majorBidi"/>
      <w:bCs/>
      <w:color w:val="44546A" w:themeColor="text2"/>
      <w:sz w:val="30"/>
      <w:szCs w:val="26"/>
    </w:rPr>
  </w:style>
  <w:style w:type="paragraph" w:customStyle="1" w:styleId="Bullet1">
    <w:name w:val="Bullet 1"/>
    <w:basedOn w:val="Normal"/>
    <w:qFormat/>
    <w:rsid w:val="004F7592"/>
    <w:pPr>
      <w:numPr>
        <w:numId w:val="2"/>
      </w:numPr>
      <w:tabs>
        <w:tab w:val="left" w:pos="567"/>
      </w:tabs>
      <w:spacing w:before="60"/>
    </w:pPr>
  </w:style>
  <w:style w:type="paragraph" w:customStyle="1" w:styleId="Bullet2">
    <w:name w:val="Bullet 2"/>
    <w:basedOn w:val="Bullet1"/>
    <w:qFormat/>
    <w:rsid w:val="004F7592"/>
    <w:pPr>
      <w:numPr>
        <w:ilvl w:val="1"/>
      </w:numPr>
      <w:tabs>
        <w:tab w:val="clear" w:pos="568"/>
        <w:tab w:val="left" w:pos="851"/>
      </w:tabs>
    </w:pPr>
  </w:style>
  <w:style w:type="paragraph" w:customStyle="1" w:styleId="Bullet3">
    <w:name w:val="Bullet 3"/>
    <w:basedOn w:val="Bullet2"/>
    <w:qFormat/>
    <w:rsid w:val="004F7592"/>
    <w:pPr>
      <w:numPr>
        <w:ilvl w:val="2"/>
      </w:numPr>
      <w:tabs>
        <w:tab w:val="clear" w:pos="852"/>
        <w:tab w:val="left" w:pos="1134"/>
      </w:tabs>
    </w:pPr>
  </w:style>
  <w:style w:type="numbering" w:customStyle="1" w:styleId="BulletsList">
    <w:name w:val="Bullets List"/>
    <w:uiPriority w:val="99"/>
    <w:rsid w:val="004F7592"/>
    <w:pPr>
      <w:numPr>
        <w:numId w:val="1"/>
      </w:numPr>
    </w:pPr>
  </w:style>
  <w:style w:type="paragraph" w:customStyle="1" w:styleId="TableHeaderRow">
    <w:name w:val="Table Header Row"/>
    <w:basedOn w:val="Normal"/>
    <w:qFormat/>
    <w:rsid w:val="004F7592"/>
    <w:pPr>
      <w:spacing w:before="60"/>
    </w:pPr>
    <w:rPr>
      <w:rFonts w:ascii="Calibri" w:hAnsi="Calibri"/>
      <w:b/>
      <w:color w:val="FFFFFF" w:themeColor="background1"/>
      <w:szCs w:val="21"/>
    </w:rPr>
  </w:style>
  <w:style w:type="table" w:customStyle="1" w:styleId="DFATTable1">
    <w:name w:val="DFAT Table 1"/>
    <w:basedOn w:val="TableNormal"/>
    <w:uiPriority w:val="99"/>
    <w:rsid w:val="004F7592"/>
    <w:pPr>
      <w:spacing w:before="60" w:after="60" w:line="260" w:lineRule="atLeast"/>
    </w:pPr>
    <w:rPr>
      <w:rFonts w:ascii="Calibri" w:hAnsi="Calibri"/>
      <w:color w:val="44546A" w:themeColor="text2"/>
    </w:rPr>
    <w:tblPr>
      <w:tblStyleRowBandSize w:val="1"/>
      <w:tblStyleColBandSize w:val="1"/>
      <w:tblBorders>
        <w:top w:val="single" w:sz="4" w:space="0" w:color="44546A" w:themeColor="text2"/>
        <w:bottom w:val="single" w:sz="4" w:space="0" w:color="44546A" w:themeColor="text2"/>
        <w:insideH w:val="single" w:sz="4" w:space="0" w:color="44546A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rPr>
        <w:tblHeader/>
      </w:trPr>
      <w:tcPr>
        <w:tcBorders>
          <w:top w:val="single" w:sz="4" w:space="0" w:color="5B9BD5" w:themeColor="accent1"/>
          <w:bottom w:val="single" w:sz="4" w:space="0" w:color="5B9BD5" w:themeColor="accent1"/>
          <w:insideH w:val="single" w:sz="4" w:space="0" w:color="5B9BD5" w:themeColor="accent1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shd w:val="clear" w:color="auto" w:fill="44546A" w:themeFill="text2"/>
      </w:tcPr>
    </w:tblStylePr>
    <w:tblStylePr w:type="firstCol">
      <w:tblPr/>
      <w:tcPr>
        <w:shd w:val="clear" w:color="auto" w:fill="E7E6E6" w:themeFill="background2"/>
      </w:tcPr>
    </w:tblStylePr>
    <w:tblStylePr w:type="lastCol">
      <w:tblPr/>
      <w:tcPr>
        <w:shd w:val="clear" w:color="auto" w:fill="E7E6E6" w:themeFill="background2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2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DEEAF6" w:themeFill="accent1" w:themeFillTint="33"/>
      </w:tcPr>
    </w:tblStylePr>
    <w:tblStylePr w:type="band2Horz">
      <w:tblPr/>
      <w:tcPr>
        <w:shd w:val="clear" w:color="auto" w:fill="BDD6EE" w:themeFill="accent1" w:themeFillTint="66"/>
      </w:tcPr>
    </w:tblStylePr>
  </w:style>
  <w:style w:type="paragraph" w:styleId="BodyText">
    <w:name w:val="Body Text"/>
    <w:basedOn w:val="Normal"/>
    <w:link w:val="BodyTextChar"/>
    <w:uiPriority w:val="99"/>
    <w:unhideWhenUsed/>
    <w:qFormat/>
    <w:rsid w:val="004F7592"/>
  </w:style>
  <w:style w:type="character" w:customStyle="1" w:styleId="BodyTextChar">
    <w:name w:val="Body Text Char"/>
    <w:basedOn w:val="DefaultParagraphFont"/>
    <w:link w:val="BodyText"/>
    <w:uiPriority w:val="99"/>
    <w:rsid w:val="004F7592"/>
    <w:rPr>
      <w:color w:val="44546A" w:themeColor="text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D21F2"/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C672F"/>
    <w:pPr>
      <w:suppressAutoHyphens w:val="0"/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BC6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aliases w:val="List Paragraph1,List Paragraph11,List Paragraph2,Bulit List -  Paragraph,Main numbered paragraph,Numbered List Paragraph,bullet 1,Recommendation,L,List Paragraph111,F5 List Paragraph,Dot pt,CV text,Numbered Paragraph,Bulleted Para,列出段落,列"/>
    <w:basedOn w:val="Normal"/>
    <w:link w:val="ListParagraphChar"/>
    <w:uiPriority w:val="1"/>
    <w:qFormat/>
    <w:rsid w:val="00ED4BC9"/>
    <w:pPr>
      <w:suppressAutoHyphens w:val="0"/>
      <w:spacing w:before="0" w:after="160" w:line="259" w:lineRule="auto"/>
      <w:ind w:left="720"/>
      <w:contextualSpacing/>
    </w:pPr>
    <w:rPr>
      <w:color w:val="auto"/>
      <w:lang w:val="en-AU"/>
    </w:rPr>
  </w:style>
  <w:style w:type="character" w:customStyle="1" w:styleId="ListParagraphChar">
    <w:name w:val="List Paragraph Char"/>
    <w:aliases w:val="List Paragraph1 Char,List Paragraph11 Char,List Paragraph2 Char,Bulit List -  Paragraph Char,Main numbered paragraph Char,Numbered List Paragraph Char,bullet 1 Char,Recommendation Char,L Char,List Paragraph111 Char,Dot pt Char,列 Char"/>
    <w:basedOn w:val="DefaultParagraphFont"/>
    <w:link w:val="ListParagraph"/>
    <w:uiPriority w:val="34"/>
    <w:qFormat/>
    <w:locked/>
    <w:rsid w:val="00ED4BC9"/>
  </w:style>
  <w:style w:type="table" w:styleId="GridTable4-Accent5">
    <w:name w:val="Grid Table 4 Accent 5"/>
    <w:basedOn w:val="TableNormal"/>
    <w:uiPriority w:val="49"/>
    <w:rsid w:val="0012537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46E6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E6A"/>
    <w:rPr>
      <w:color w:val="44546A" w:themeColor="text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46E6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E6A"/>
    <w:rPr>
      <w:color w:val="44546A" w:themeColor="text2"/>
      <w:lang w:val="en-GB"/>
    </w:rPr>
  </w:style>
  <w:style w:type="table" w:styleId="TableGrid">
    <w:name w:val="Table Grid"/>
    <w:basedOn w:val="TableNormal"/>
    <w:uiPriority w:val="39"/>
    <w:rsid w:val="00821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5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5E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5EB1"/>
    <w:rPr>
      <w:color w:val="44546A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EB1"/>
    <w:rPr>
      <w:b/>
      <w:bCs/>
      <w:color w:val="44546A" w:themeColor="text2"/>
      <w:sz w:val="20"/>
      <w:szCs w:val="20"/>
      <w:lang w:val="en-GB"/>
    </w:rPr>
  </w:style>
  <w:style w:type="paragraph" w:customStyle="1" w:styleId="Default">
    <w:name w:val="Default"/>
    <w:rsid w:val="000947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27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72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3A2C"/>
    <w:pPr>
      <w:spacing w:after="0" w:line="240" w:lineRule="auto"/>
    </w:pPr>
    <w:rPr>
      <w:color w:val="44546A" w:themeColor="text2"/>
      <w:lang w:val="en-GB"/>
    </w:rPr>
  </w:style>
  <w:style w:type="character" w:styleId="Emphasis">
    <w:name w:val="Emphasis"/>
    <w:basedOn w:val="DefaultParagraphFont"/>
    <w:uiPriority w:val="20"/>
    <w:qFormat/>
    <w:rsid w:val="006470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52AF08EF54743B6A9A7912E2C3EF6" ma:contentTypeVersion="14" ma:contentTypeDescription="Create a new document." ma:contentTypeScope="" ma:versionID="b455e37d54cfed31acd413b37a90db85">
  <xsd:schema xmlns:xsd="http://www.w3.org/2001/XMLSchema" xmlns:xs="http://www.w3.org/2001/XMLSchema" xmlns:p="http://schemas.microsoft.com/office/2006/metadata/properties" xmlns:ns2="416d98e1-ff00-40e2-a2c0-d475b3a7e942" xmlns:ns3="fdf53c1d-3426-4032-9bdb-84c3ea6fc01e" targetNamespace="http://schemas.microsoft.com/office/2006/metadata/properties" ma:root="true" ma:fieldsID="68d141b31feff5955b968fab5841ef34" ns2:_="" ns3:_="">
    <xsd:import namespace="416d98e1-ff00-40e2-a2c0-d475b3a7e942"/>
    <xsd:import namespace="fdf53c1d-3426-4032-9bdb-84c3ea6fc0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d98e1-ff00-40e2-a2c0-d475b3a7e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53c1d-3426-4032-9bdb-84c3ea6fc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1dafab1-059f-491e-8fba-74eb1acdd239}" ma:internalName="TaxCatchAll" ma:showField="CatchAllData" ma:web="fdf53c1d-3426-4032-9bdb-84c3ea6fc0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f53c1d-3426-4032-9bdb-84c3ea6fc01e" xsi:nil="true"/>
    <lcf76f155ced4ddcb4097134ff3c332f xmlns="416d98e1-ff00-40e2-a2c0-d475b3a7e9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864ADB-8529-4CD1-BC88-DF364BE5D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d98e1-ff00-40e2-a2c0-d475b3a7e942"/>
    <ds:schemaRef ds:uri="fdf53c1d-3426-4032-9bdb-84c3ea6fc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D72943-9758-4DA2-BF30-E50EBD5A0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2B41D-F0B9-47FE-BCB7-1011BBB7290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416d98e1-ff00-40e2-a2c0-d475b3a7e942"/>
    <ds:schemaRef ds:uri="http://schemas.microsoft.com/office/infopath/2007/PartnerControls"/>
    <ds:schemaRef ds:uri="fdf53c1d-3426-4032-9bdb-84c3ea6fc0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1331</Words>
  <Characters>8656</Characters>
  <Application>Microsoft Office Word</Application>
  <DocSecurity>0</DocSecurity>
  <Lines>224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ASEAN-Australia political-security partnership (APSP) end-of-program evaluation management response</vt:lpstr>
    </vt:vector>
  </TitlesOfParts>
  <Company>Department of Foreign Affairs and Trade</Company>
  <LinksUpToDate>false</LinksUpToDate>
  <CharactersWithSpaces>9995</CharactersWithSpaces>
  <SharedDoc>false</SharedDoc>
  <HLinks>
    <vt:vector size="6" baseType="variant">
      <vt:variant>
        <vt:i4>5963779</vt:i4>
      </vt:variant>
      <vt:variant>
        <vt:i4>0</vt:i4>
      </vt:variant>
      <vt:variant>
        <vt:i4>0</vt:i4>
      </vt:variant>
      <vt:variant>
        <vt:i4>5</vt:i4>
      </vt:variant>
      <vt:variant>
        <vt:lpwstr>https://www.ilo.org/projects-and-partnerships/projects/triangle-asean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ASEAN-Australia political-security partnership (APSP) end-of-program evaluation management response</dc:title>
  <dc:subject/>
  <dc:creator>Australian Government Department of Foreign Affairs and Trade</dc:creator>
  <cp:keywords>[SEC=OFFICIAL]</cp:keywords>
  <dc:description/>
  <cp:lastModifiedBy>Patrick Baggoley</cp:lastModifiedBy>
  <cp:revision>3</cp:revision>
  <cp:lastPrinted>2025-08-15T05:17:00Z</cp:lastPrinted>
  <dcterms:created xsi:type="dcterms:W3CDTF">2025-08-21T00:33:00Z</dcterms:created>
  <dcterms:modified xsi:type="dcterms:W3CDTF">2025-08-21T00:33:00Z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1e20c23c-1b5c-4a59-870d-8e9bee43dce3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PM_ProtectiveMarkingImage_Header">
    <vt:lpwstr>C:\Program Files\Common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43725329B1784CDDA67333E027A2DBAD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E5329D78ADFF18985C404F3A4015F7B7C209C4C5</vt:lpwstr>
  </property>
  <property fmtid="{D5CDD505-2E9C-101B-9397-08002B2CF9AE}" pid="14" name="PM_OriginationTimeStamp">
    <vt:lpwstr>2023-02-08T06:47:27Z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Footer">
    <vt:lpwstr>C:\Program Files\Common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Display">
    <vt:lpwstr>OFFICIAL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E0F710F40BF30D900A5D656B8FDAC449</vt:lpwstr>
  </property>
  <property fmtid="{D5CDD505-2E9C-101B-9397-08002B2CF9AE}" pid="25" name="PM_Hash_Salt">
    <vt:lpwstr>C56292E5F6E98A807444E17596708593</vt:lpwstr>
  </property>
  <property fmtid="{D5CDD505-2E9C-101B-9397-08002B2CF9AE}" pid="26" name="PM_Hash_SHA1">
    <vt:lpwstr>565772E92BE99CF0EC25C447CA6C17AEA808EFDE</vt:lpwstr>
  </property>
  <property fmtid="{D5CDD505-2E9C-101B-9397-08002B2CF9AE}" pid="27" name="PM_OriginatorUserAccountName_SHA256">
    <vt:lpwstr>C427463A240001568B1E728057080C091949066E05DD342FA6B5B9F6FF33F8D6</vt:lpwstr>
  </property>
  <property fmtid="{D5CDD505-2E9C-101B-9397-08002B2CF9AE}" pid="28" name="PM_OriginatorDomainName_SHA256">
    <vt:lpwstr>6F3591835F3B2A8A025B00B5BA6418010DA3A17C9C26EA9C049FFD28039489A2</vt:lpwstr>
  </property>
  <property fmtid="{D5CDD505-2E9C-101B-9397-08002B2CF9AE}" pid="29" name="PM_SecurityClassification_Prev">
    <vt:lpwstr>OFFICIAL</vt:lpwstr>
  </property>
  <property fmtid="{D5CDD505-2E9C-101B-9397-08002B2CF9AE}" pid="30" name="PM_Qualifier_Prev">
    <vt:lpwstr/>
  </property>
  <property fmtid="{D5CDD505-2E9C-101B-9397-08002B2CF9AE}" pid="31" name="ContentTypeId">
    <vt:lpwstr>0x01010037952AF08EF54743B6A9A7912E2C3EF6</vt:lpwstr>
  </property>
  <property fmtid="{D5CDD505-2E9C-101B-9397-08002B2CF9AE}" pid="32" name="MediaServiceImageTags">
    <vt:lpwstr/>
  </property>
  <property fmtid="{D5CDD505-2E9C-101B-9397-08002B2CF9AE}" pid="33" name="PMHMAC">
    <vt:lpwstr>v=2022.1;a=SHA256;h=5D47F0F76B7DBCBC9F4C7ADC75E6445D656883540F480C518A81E8DBBC919B49</vt:lpwstr>
  </property>
</Properties>
</file>