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C38A" w14:textId="394352EA" w:rsidR="001E115E" w:rsidRDefault="001E115E" w:rsidP="00345C43">
      <w:pPr>
        <w:pStyle w:val="Heading1"/>
        <w:spacing w:before="240" w:line="259" w:lineRule="auto"/>
        <w:jc w:val="center"/>
      </w:pPr>
      <w:bookmarkStart w:id="0" w:name="_GoBack"/>
      <w:bookmarkEnd w:id="0"/>
      <w:r>
        <w:t xml:space="preserve">Summary of </w:t>
      </w:r>
      <w:r w:rsidR="006728E0">
        <w:t xml:space="preserve">key </w:t>
      </w:r>
      <w:r>
        <w:t xml:space="preserve">questions raised and </w:t>
      </w:r>
      <w:r w:rsidR="006728E0">
        <w:t>responses</w:t>
      </w:r>
      <w:r>
        <w:t xml:space="preserve"> provided during the </w:t>
      </w:r>
      <w:r w:rsidR="00C13FAF">
        <w:t xml:space="preserve">draft </w:t>
      </w:r>
      <w:r>
        <w:t>design briefing for the Australia</w:t>
      </w:r>
      <w:r w:rsidR="00C656DE">
        <w:t xml:space="preserve"> Pacific Security College</w:t>
      </w:r>
    </w:p>
    <w:p w14:paraId="63B2345B" w14:textId="03FAD2BF" w:rsidR="006804DF" w:rsidRDefault="001E115E" w:rsidP="00345C43">
      <w:pPr>
        <w:pStyle w:val="Heading1"/>
        <w:spacing w:before="240" w:line="259" w:lineRule="auto"/>
        <w:jc w:val="center"/>
      </w:pPr>
      <w:r>
        <w:t>2 August 2018</w:t>
      </w:r>
      <w:r w:rsidR="00C656DE">
        <w:t xml:space="preserve"> </w:t>
      </w:r>
    </w:p>
    <w:p w14:paraId="2623D2F9" w14:textId="21E189D6" w:rsidR="00366400" w:rsidRDefault="00E927DF" w:rsidP="00345C43">
      <w:r>
        <w:rPr>
          <w:rFonts w:ascii="Calibri Light" w:eastAsia="Calibri Light" w:hAnsi="Calibri Light"/>
          <w:noProof/>
          <w:color w:val="2E74B5" w:themeColor="accent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2FDF2" wp14:editId="2A5AF0E5">
                <wp:simplePos x="0" y="0"/>
                <wp:positionH relativeFrom="margin">
                  <wp:posOffset>219075</wp:posOffset>
                </wp:positionH>
                <wp:positionV relativeFrom="paragraph">
                  <wp:posOffset>272415</wp:posOffset>
                </wp:positionV>
                <wp:extent cx="5362575" cy="885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F699" w14:textId="7A37D5DC" w:rsidR="006804DF" w:rsidRPr="00345C43" w:rsidRDefault="006804DF" w:rsidP="00345C43">
                            <w:pPr>
                              <w:suppressAutoHyphens/>
                              <w:spacing w:before="120" w:after="60" w:line="260" w:lineRule="atLeast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</w:pP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This summary is provided to inform Industry of the </w:t>
                            </w:r>
                            <w:r w:rsidR="006728E0"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key </w:t>
                            </w: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questions raised and answers provided during the </w:t>
                            </w:r>
                            <w:r w:rsidR="00E927DF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draft </w:t>
                            </w: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design briefing.  Readers </w:t>
                            </w:r>
                            <w:r w:rsidR="008A50CD"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>must</w:t>
                            </w: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 note</w:t>
                            </w:r>
                            <w:r w:rsidR="00706206"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 </w:t>
                            </w: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the design process is still underway and as such these answers should be read as indicative only and </w:t>
                            </w:r>
                            <w:r w:rsidR="008A50CD"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>will</w:t>
                            </w:r>
                            <w:r w:rsidRPr="00345C43">
                              <w:rPr>
                                <w:rFonts w:asciiTheme="minorHAnsi" w:eastAsiaTheme="minorHAnsi" w:hAnsiTheme="minorHAnsi" w:cstheme="minorBidi"/>
                                <w:color w:val="44546A" w:themeColor="text2"/>
                                <w:lang w:val="en-GB" w:eastAsia="en-US"/>
                              </w:rPr>
                              <w:t xml:space="preserve"> be subject to change in the final design.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F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21.45pt;width:422.2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">
                <v:textbox>
                  <w:txbxContent>
                    <w:p w14:paraId="01D4F699" w14:textId="7A37D5DC" w:rsidR="006804DF" w:rsidRPr="00345C43" w:rsidRDefault="006804DF" w:rsidP="00345C43">
                      <w:pPr>
                        <w:suppressAutoHyphens/>
                        <w:spacing w:before="120" w:after="60" w:line="260" w:lineRule="atLeast"/>
                        <w:jc w:val="center"/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</w:pP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This summary is provided to inform Industry of the </w:t>
                      </w:r>
                      <w:r w:rsidR="006728E0"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key </w:t>
                      </w: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questions raised and answers provided during the </w:t>
                      </w:r>
                      <w:r w:rsidR="00E927DF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draft </w:t>
                      </w: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design briefing.  Readers </w:t>
                      </w:r>
                      <w:r w:rsidR="008A50CD"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>must</w:t>
                      </w: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 note</w:t>
                      </w:r>
                      <w:r w:rsidR="00706206"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 </w:t>
                      </w: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the design process is still underway and as such these answers should be read as indicative only and </w:t>
                      </w:r>
                      <w:r w:rsidR="008A50CD"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>will</w:t>
                      </w:r>
                      <w:r w:rsidRPr="00345C43">
                        <w:rPr>
                          <w:rFonts w:asciiTheme="minorHAnsi" w:eastAsiaTheme="minorHAnsi" w:hAnsiTheme="minorHAnsi" w:cstheme="minorBidi"/>
                          <w:color w:val="44546A" w:themeColor="text2"/>
                          <w:lang w:val="en-GB" w:eastAsia="en-US"/>
                        </w:rPr>
                        <w:t xml:space="preserve"> be subject to change in the final design.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EDC91" w14:textId="77777777" w:rsidR="00366400" w:rsidRPr="00366400" w:rsidRDefault="00366400" w:rsidP="00345C43"/>
    <w:p w14:paraId="2CD7E9BD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>Q: Would it be possible to leverage off the facilities of the Australia-Pacific Technical College</w:t>
      </w:r>
      <w:r w:rsidR="008A50CD">
        <w:rPr>
          <w:b/>
        </w:rPr>
        <w:t xml:space="preserve"> (APTC)</w:t>
      </w:r>
      <w:r>
        <w:rPr>
          <w:b/>
        </w:rPr>
        <w:t xml:space="preserve">? </w:t>
      </w:r>
    </w:p>
    <w:p w14:paraId="722ECB21" w14:textId="358982DA" w:rsidR="000F2705" w:rsidRDefault="00C656DE">
      <w:pPr>
        <w:spacing w:after="160" w:line="259" w:lineRule="auto"/>
      </w:pPr>
      <w:r>
        <w:t xml:space="preserve">A: </w:t>
      </w:r>
      <w:r w:rsidR="008A50CD">
        <w:t>T</w:t>
      </w:r>
      <w:r w:rsidR="007A7CA4">
        <w:t xml:space="preserve">he APTC </w:t>
      </w:r>
      <w:r>
        <w:t xml:space="preserve">provides vocational training, whereas </w:t>
      </w:r>
      <w:r w:rsidR="008A50CD">
        <w:t xml:space="preserve">the </w:t>
      </w:r>
      <w:r w:rsidR="00C13FAF">
        <w:t xml:space="preserve">Australia Pacific </w:t>
      </w:r>
      <w:r w:rsidR="008A50CD">
        <w:t>Security College (APSC) will</w:t>
      </w:r>
      <w:r>
        <w:t xml:space="preserve"> provide high level, strategic training for senior officials. While it </w:t>
      </w:r>
      <w:r w:rsidR="00D3649B">
        <w:t xml:space="preserve">may </w:t>
      </w:r>
      <w:r>
        <w:t xml:space="preserve">be </w:t>
      </w:r>
      <w:r w:rsidR="00D3649B">
        <w:t xml:space="preserve">possible for the APSC </w:t>
      </w:r>
      <w:r>
        <w:t xml:space="preserve">to use </w:t>
      </w:r>
      <w:r w:rsidR="00D3649B">
        <w:t xml:space="preserve">APTC </w:t>
      </w:r>
      <w:r>
        <w:t xml:space="preserve">facilities, </w:t>
      </w:r>
      <w:r w:rsidR="00D3649B">
        <w:t xml:space="preserve">it would first be </w:t>
      </w:r>
      <w:r w:rsidR="00220A87">
        <w:t>necessary</w:t>
      </w:r>
      <w:r>
        <w:t xml:space="preserve"> to ensure the training and learning environment were appropriate for </w:t>
      </w:r>
      <w:r w:rsidR="001F720A">
        <w:t>senior</w:t>
      </w:r>
      <w:r>
        <w:t xml:space="preserve"> attendees. </w:t>
      </w:r>
    </w:p>
    <w:p w14:paraId="0833982B" w14:textId="776DB8F6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Does the budget for the APSC include the cost of transport and travel logistics for students’ travel? </w:t>
      </w:r>
    </w:p>
    <w:p w14:paraId="3E6161BE" w14:textId="475DB86B" w:rsidR="001F720A" w:rsidRDefault="00C656DE">
      <w:pPr>
        <w:spacing w:after="160" w:line="259" w:lineRule="auto"/>
        <w:rPr>
          <w:b/>
        </w:rPr>
      </w:pPr>
      <w:r>
        <w:t>A: Yes.  Managing the</w:t>
      </w:r>
      <w:r w:rsidR="008A50CD">
        <w:t xml:space="preserve"> students travel</w:t>
      </w:r>
      <w:r>
        <w:t xml:space="preserve"> logistic</w:t>
      </w:r>
      <w:r w:rsidR="008A50CD">
        <w:t xml:space="preserve">s </w:t>
      </w:r>
      <w:r>
        <w:t xml:space="preserve">will be a significant part of </w:t>
      </w:r>
      <w:r w:rsidR="006728E0">
        <w:t xml:space="preserve">the </w:t>
      </w:r>
      <w:r w:rsidR="0013521E">
        <w:t>APSC</w:t>
      </w:r>
      <w:r>
        <w:t xml:space="preserve">’s work.  </w:t>
      </w:r>
    </w:p>
    <w:p w14:paraId="38EF91BD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If the APSC is facilitating courses for other agencies, how would the funding work? </w:t>
      </w:r>
    </w:p>
    <w:p w14:paraId="59B6BFB9" w14:textId="01D52C49" w:rsidR="000F2705" w:rsidRDefault="00C656DE">
      <w:pPr>
        <w:spacing w:after="160" w:line="259" w:lineRule="auto"/>
      </w:pPr>
      <w:r>
        <w:t xml:space="preserve">A: The </w:t>
      </w:r>
      <w:r w:rsidR="00A60BA3">
        <w:t>APSC</w:t>
      </w:r>
      <w:r>
        <w:t xml:space="preserve"> will have an annual work plan.  Ideally, courses run by other agencies would be notified in advance and incorporated in the work plan, and, therefore, the </w:t>
      </w:r>
      <w:r w:rsidR="00A60BA3">
        <w:t>APSC</w:t>
      </w:r>
      <w:r>
        <w:t xml:space="preserve"> would </w:t>
      </w:r>
      <w:r w:rsidR="00C07F86">
        <w:t xml:space="preserve">either </w:t>
      </w:r>
      <w:r>
        <w:t>fund</w:t>
      </w:r>
      <w:r w:rsidR="00266DF6">
        <w:t xml:space="preserve"> </w:t>
      </w:r>
      <w:r w:rsidR="008A50CD">
        <w:t xml:space="preserve">(within the existing contract limit) </w:t>
      </w:r>
      <w:r w:rsidR="00266DF6">
        <w:t>and deliver</w:t>
      </w:r>
      <w:r>
        <w:t xml:space="preserve"> them</w:t>
      </w:r>
      <w:r w:rsidR="001E115E">
        <w:t xml:space="preserve"> or would provide logistical support</w:t>
      </w:r>
      <w:r>
        <w:t xml:space="preserve">.  </w:t>
      </w:r>
      <w:r w:rsidR="00220A87">
        <w:t xml:space="preserve">It is expected that </w:t>
      </w:r>
      <w:r w:rsidR="007D3D8A">
        <w:t>some flexibility</w:t>
      </w:r>
      <w:r w:rsidR="00952388">
        <w:t xml:space="preserve"> </w:t>
      </w:r>
      <w:r w:rsidR="00220A87">
        <w:t xml:space="preserve">may be </w:t>
      </w:r>
      <w:r w:rsidR="007D3D8A">
        <w:t>incorporated in</w:t>
      </w:r>
      <w:r w:rsidR="00220A87">
        <w:t xml:space="preserve"> </w:t>
      </w:r>
      <w:r w:rsidR="00952388">
        <w:t>APSC annual workplan</w:t>
      </w:r>
      <w:r w:rsidR="007D3D8A">
        <w:t>s to respond</w:t>
      </w:r>
      <w:r w:rsidR="00952388">
        <w:t xml:space="preserve"> to unanticipated needs</w:t>
      </w:r>
      <w:r w:rsidR="008A50CD">
        <w:t xml:space="preserve"> (within the Contract limit)</w:t>
      </w:r>
      <w:r w:rsidR="00952388">
        <w:t>.</w:t>
      </w:r>
    </w:p>
    <w:p w14:paraId="52E601A9" w14:textId="77777777" w:rsidR="000F2705" w:rsidRDefault="00C656DE">
      <w:pPr>
        <w:spacing w:after="160" w:line="259" w:lineRule="auto"/>
        <w:rPr>
          <w:rFonts w:ascii="Arial" w:eastAsia="Arial" w:hAnsi="Arial"/>
          <w:sz w:val="20"/>
          <w:szCs w:val="20"/>
        </w:rPr>
      </w:pPr>
      <w:r>
        <w:rPr>
          <w:b/>
        </w:rPr>
        <w:t>Q: Will APSC be responsible for implementing the Biketawa Plus Declaration?</w:t>
      </w:r>
    </w:p>
    <w:p w14:paraId="5CDA87FC" w14:textId="17C8F9FD" w:rsidR="000F2705" w:rsidRDefault="00C656DE">
      <w:pPr>
        <w:spacing w:after="160" w:line="259" w:lineRule="auto"/>
      </w:pPr>
      <w:r>
        <w:t xml:space="preserve">A: Implementation of Biketawa Plus would be managed by the Pacific Islands Forum Secretariat (PIFS), </w:t>
      </w:r>
      <w:r w:rsidR="008A50CD">
        <w:t xml:space="preserve">however, </w:t>
      </w:r>
      <w:r>
        <w:t xml:space="preserve">the APSC would need to demonstrate how it has supported PIFS in implementing the declaration.  </w:t>
      </w:r>
    </w:p>
    <w:p w14:paraId="3EF368B0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Will the </w:t>
      </w:r>
      <w:r w:rsidR="00A60BA3">
        <w:rPr>
          <w:b/>
        </w:rPr>
        <w:t>APSC</w:t>
      </w:r>
      <w:r>
        <w:rPr>
          <w:b/>
        </w:rPr>
        <w:t xml:space="preserve"> seek to enhance domestic law enforcement? Does security include internal security, or is it limited to external security? </w:t>
      </w:r>
    </w:p>
    <w:p w14:paraId="1B0410C4" w14:textId="08E461E1" w:rsidR="000F2705" w:rsidRDefault="00C656DE">
      <w:pPr>
        <w:spacing w:after="160" w:line="259" w:lineRule="auto"/>
      </w:pPr>
      <w:r>
        <w:t>A</w:t>
      </w:r>
      <w:r w:rsidR="008A50CD">
        <w:t>T: The</w:t>
      </w:r>
      <w:r w:rsidR="00952388">
        <w:t xml:space="preserve"> </w:t>
      </w:r>
      <w:r>
        <w:t xml:space="preserve">APSC will </w:t>
      </w:r>
      <w:r w:rsidR="00355A6A">
        <w:t>cover</w:t>
      </w:r>
      <w:r w:rsidR="008A50CD">
        <w:t xml:space="preserve"> d</w:t>
      </w:r>
      <w:r w:rsidR="006728E0">
        <w:t>o</w:t>
      </w:r>
      <w:r w:rsidR="008A50CD">
        <w:t>m</w:t>
      </w:r>
      <w:r w:rsidR="006728E0">
        <w:t>e</w:t>
      </w:r>
      <w:r w:rsidR="008A50CD">
        <w:t xml:space="preserve">stic </w:t>
      </w:r>
      <w:r>
        <w:t xml:space="preserve">security.  </w:t>
      </w:r>
      <w:r w:rsidR="001F720A">
        <w:t xml:space="preserve">Australia </w:t>
      </w:r>
      <w:r>
        <w:t xml:space="preserve">has </w:t>
      </w:r>
      <w:r w:rsidR="001F720A">
        <w:t xml:space="preserve">a strong record of working </w:t>
      </w:r>
      <w:r>
        <w:t xml:space="preserve">with Pacific countries to strengthen their internal security.  </w:t>
      </w:r>
      <w:r w:rsidR="001F720A">
        <w:t xml:space="preserve">In addition to leadership training, </w:t>
      </w:r>
      <w:r>
        <w:t xml:space="preserve">APSC </w:t>
      </w:r>
      <w:r w:rsidR="008A50CD">
        <w:t xml:space="preserve">will </w:t>
      </w:r>
      <w:r>
        <w:t xml:space="preserve">support Pacific countries to develop and implement their National Security Strategies, which would also include internal security.  </w:t>
      </w:r>
    </w:p>
    <w:p w14:paraId="0603E71A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The College will be Australia-led, but you also mentioned a relationship with New Zealand and the United States. How will that work? </w:t>
      </w:r>
    </w:p>
    <w:p w14:paraId="5EC59740" w14:textId="56ACA189" w:rsidR="000F2705" w:rsidRDefault="00C656DE">
      <w:pPr>
        <w:spacing w:after="160" w:line="259" w:lineRule="auto"/>
      </w:pPr>
      <w:r>
        <w:lastRenderedPageBreak/>
        <w:t xml:space="preserve">A: Australia and NZ are both PIF members and work closely together in the Pacific.  The </w:t>
      </w:r>
      <w:r w:rsidR="00743C9A">
        <w:t>APSC</w:t>
      </w:r>
      <w:r>
        <w:t xml:space="preserve"> is Australia</w:t>
      </w:r>
      <w:r w:rsidR="001F720A">
        <w:t>n</w:t>
      </w:r>
      <w:r>
        <w:t xml:space="preserve">-led and funded.  However, there is interest from </w:t>
      </w:r>
      <w:r w:rsidR="001F720A">
        <w:t>several</w:t>
      </w:r>
      <w:r>
        <w:t xml:space="preserve"> partners</w:t>
      </w:r>
      <w:r w:rsidR="001F720A">
        <w:t>,</w:t>
      </w:r>
      <w:r>
        <w:t xml:space="preserve"> including NZ</w:t>
      </w:r>
      <w:r w:rsidR="001F720A">
        <w:t xml:space="preserve">, </w:t>
      </w:r>
      <w:r w:rsidR="009103CE">
        <w:t xml:space="preserve">which </w:t>
      </w:r>
      <w:r>
        <w:t xml:space="preserve">could, for example, contribute technical expertise and courses.  </w:t>
      </w:r>
      <w:r w:rsidR="006728E0">
        <w:t xml:space="preserve">The </w:t>
      </w:r>
      <w:r>
        <w:t xml:space="preserve">APSC should benefit from engagement with likeminded partners in the Pacific. </w:t>
      </w:r>
    </w:p>
    <w:p w14:paraId="5D48650A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>Q: During your regional consultations, how much interest have you seen in countering corruption and money laundering, and how should this interact with APSC’s work?</w:t>
      </w:r>
    </w:p>
    <w:p w14:paraId="3D5914F6" w14:textId="77777777" w:rsidR="000F2705" w:rsidRDefault="00C656DE">
      <w:pPr>
        <w:spacing w:after="160" w:line="259" w:lineRule="auto"/>
      </w:pPr>
      <w:r>
        <w:t xml:space="preserve">A: </w:t>
      </w:r>
      <w:r w:rsidR="001F720A">
        <w:t xml:space="preserve">Like our Pacific partners, </w:t>
      </w:r>
      <w:r>
        <w:t xml:space="preserve">Australia sees </w:t>
      </w:r>
      <w:r w:rsidR="009103CE">
        <w:t xml:space="preserve">effective </w:t>
      </w:r>
      <w:r w:rsidR="001F720A">
        <w:t xml:space="preserve">governance and </w:t>
      </w:r>
      <w:r w:rsidR="009103CE">
        <w:t>anti-</w:t>
      </w:r>
      <w:r w:rsidR="001F720A">
        <w:t xml:space="preserve">corruption </w:t>
      </w:r>
      <w:r>
        <w:t>as critical issue</w:t>
      </w:r>
      <w:r w:rsidR="001F720A">
        <w:t>s. W</w:t>
      </w:r>
      <w:r>
        <w:t xml:space="preserve">e would be pleased to see </w:t>
      </w:r>
      <w:r w:rsidR="001F720A">
        <w:t xml:space="preserve">coverage of these issues </w:t>
      </w:r>
      <w:r>
        <w:t xml:space="preserve">in the course curriculum. </w:t>
      </w:r>
    </w:p>
    <w:p w14:paraId="1D860387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>Q: What is the role of the Advisory Board, and who will make decisions a</w:t>
      </w:r>
      <w:r w:rsidR="00743C9A">
        <w:rPr>
          <w:b/>
        </w:rPr>
        <w:t>bout</w:t>
      </w:r>
      <w:r>
        <w:rPr>
          <w:b/>
        </w:rPr>
        <w:t xml:space="preserve"> how the courses are delivered? Will DFAT be the ultimate decision maker? </w:t>
      </w:r>
    </w:p>
    <w:p w14:paraId="39420392" w14:textId="2D5361F4" w:rsidR="000F2705" w:rsidRDefault="00C656DE">
      <w:pPr>
        <w:spacing w:after="160" w:line="259" w:lineRule="auto"/>
      </w:pPr>
      <w:r>
        <w:t xml:space="preserve">A: </w:t>
      </w:r>
      <w:r w:rsidR="008A50CD">
        <w:t xml:space="preserve">The final design will have more detail on this. </w:t>
      </w:r>
      <w:r>
        <w:t xml:space="preserve">We anticipate there will be two kinds of courses APSC provides: those facilitated by other Australian government agencies, and bespoke APSC developed courses tailored to Pacific needs.  The Advisory Board </w:t>
      </w:r>
      <w:r w:rsidR="001F720A">
        <w:t>will</w:t>
      </w:r>
      <w:r>
        <w:t xml:space="preserve"> provide </w:t>
      </w:r>
      <w:r w:rsidR="009103CE">
        <w:t>high level oversight</w:t>
      </w:r>
      <w:r>
        <w:t>.</w:t>
      </w:r>
    </w:p>
    <w:p w14:paraId="348FD45A" w14:textId="77777777" w:rsidR="00807827" w:rsidRDefault="00C656DE">
      <w:pPr>
        <w:spacing w:after="160" w:line="259" w:lineRule="auto"/>
      </w:pPr>
      <w:r>
        <w:t xml:space="preserve">APSC must be responsive to the needs of the Pacific.  To ensure this, DFAT will work with APSC to develop a work plan each year.  We will </w:t>
      </w:r>
      <w:r w:rsidR="009103CE">
        <w:t xml:space="preserve">jointly </w:t>
      </w:r>
      <w:r>
        <w:t>identify issues and gaps</w:t>
      </w:r>
      <w:r w:rsidR="001F720A">
        <w:t>,</w:t>
      </w:r>
      <w:r>
        <w:t xml:space="preserve"> in consultation with Pacific countries</w:t>
      </w:r>
      <w:r w:rsidR="001F720A">
        <w:t>,</w:t>
      </w:r>
      <w:r>
        <w:t xml:space="preserve"> and address priorities identified in their respective National Security Strategies.</w:t>
      </w:r>
      <w:r w:rsidR="00807827" w:rsidRPr="00807827">
        <w:t xml:space="preserve"> </w:t>
      </w:r>
    </w:p>
    <w:p w14:paraId="0CD25225" w14:textId="77777777" w:rsidR="000F2705" w:rsidRDefault="00807827">
      <w:pPr>
        <w:spacing w:after="160" w:line="259" w:lineRule="auto"/>
      </w:pPr>
      <w:r>
        <w:t xml:space="preserve">DFAT will not be involved in the day-to-day running of APSC.  </w:t>
      </w:r>
    </w:p>
    <w:p w14:paraId="7BA619EC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>Q: How final will the consortia be? Will you mandate that organisation A partners with organisation B?</w:t>
      </w:r>
    </w:p>
    <w:p w14:paraId="2E3D73B0" w14:textId="347F81EA" w:rsidR="000F2705" w:rsidRDefault="00C656DE">
      <w:pPr>
        <w:spacing w:after="160" w:line="259" w:lineRule="auto"/>
      </w:pPr>
      <w:r>
        <w:t xml:space="preserve">A: No, it will be up to individual organisations to decide </w:t>
      </w:r>
      <w:r w:rsidR="009103CE">
        <w:t xml:space="preserve">which organisations </w:t>
      </w:r>
      <w:r>
        <w:t xml:space="preserve">they wish to partner with.  DFAT will </w:t>
      </w:r>
      <w:r w:rsidR="009103CE">
        <w:t>support this process though making</w:t>
      </w:r>
      <w:r>
        <w:t xml:space="preserve"> the register of interested organisations available to those organ</w:t>
      </w:r>
      <w:r w:rsidR="00743C9A">
        <w:t>isations short</w:t>
      </w:r>
      <w:r>
        <w:t>listed to progress to the tender stage.</w:t>
      </w:r>
    </w:p>
    <w:p w14:paraId="4A3D8635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How will the requirement for security clearances work? </w:t>
      </w:r>
    </w:p>
    <w:p w14:paraId="35526E87" w14:textId="0AC3C194" w:rsidR="000F2705" w:rsidRDefault="00C656DE">
      <w:pPr>
        <w:spacing w:after="160" w:line="259" w:lineRule="auto"/>
      </w:pPr>
      <w:r>
        <w:t xml:space="preserve">A: This is a requirement for </w:t>
      </w:r>
      <w:r w:rsidR="00743C9A">
        <w:t>one</w:t>
      </w:r>
      <w:r>
        <w:t xml:space="preserve"> or </w:t>
      </w:r>
      <w:r w:rsidR="00743C9A">
        <w:t>two</w:t>
      </w:r>
      <w:r>
        <w:t xml:space="preserve"> key </w:t>
      </w:r>
      <w:r w:rsidR="00807827">
        <w:t xml:space="preserve">APSC personnel </w:t>
      </w:r>
      <w:r>
        <w:t xml:space="preserve">to be able to obtain NV2 security </w:t>
      </w:r>
      <w:r w:rsidR="00807827">
        <w:t>clearances</w:t>
      </w:r>
      <w:r>
        <w:t xml:space="preserve">.  </w:t>
      </w:r>
      <w:r w:rsidR="001F720A">
        <w:t xml:space="preserve">This </w:t>
      </w:r>
      <w:r>
        <w:t xml:space="preserve">is to ensure </w:t>
      </w:r>
      <w:r w:rsidR="001F720A">
        <w:t>APSC</w:t>
      </w:r>
      <w:r>
        <w:t xml:space="preserve"> personnel can </w:t>
      </w:r>
      <w:r w:rsidR="00E12B35">
        <w:t>access government</w:t>
      </w:r>
      <w:r>
        <w:t xml:space="preserve"> meetings about the </w:t>
      </w:r>
      <w:r w:rsidR="001F720A">
        <w:t xml:space="preserve">regional </w:t>
      </w:r>
      <w:r>
        <w:t xml:space="preserve">security landscape. </w:t>
      </w:r>
    </w:p>
    <w:p w14:paraId="6D242C7A" w14:textId="0818AF05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What will be the role of other government agencies already involved in providing external training? </w:t>
      </w:r>
    </w:p>
    <w:p w14:paraId="1FCB3444" w14:textId="77777777" w:rsidR="000F2705" w:rsidRDefault="00C656DE">
      <w:pPr>
        <w:spacing w:after="160" w:line="259" w:lineRule="auto"/>
      </w:pPr>
      <w:r>
        <w:t>A: APSC should make use of existing networks as a way to find course attendees, and begin to establish its own alumni network of Pacific security decision makers.</w:t>
      </w:r>
      <w:r w:rsidR="00E12B35">
        <w:t xml:space="preserve"> </w:t>
      </w:r>
      <w:r w:rsidR="00807827">
        <w:t xml:space="preserve">We are interested in APSC also working with other government agencies to seek technical input and deliver training.  </w:t>
      </w:r>
    </w:p>
    <w:p w14:paraId="51A0D690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Are you looking for short courses and face-to-face contact? </w:t>
      </w:r>
    </w:p>
    <w:p w14:paraId="2254458E" w14:textId="35FF132E" w:rsidR="000F2705" w:rsidRDefault="00C656DE">
      <w:pPr>
        <w:spacing w:after="160" w:line="259" w:lineRule="auto"/>
      </w:pPr>
      <w:r>
        <w:t xml:space="preserve">A: </w:t>
      </w:r>
      <w:r w:rsidR="006D5B1D">
        <w:t>Both</w:t>
      </w:r>
      <w:r>
        <w:t xml:space="preserve">.  We want the </w:t>
      </w:r>
      <w:r w:rsidR="00743C9A">
        <w:t>APSC</w:t>
      </w:r>
      <w:r>
        <w:t xml:space="preserve"> to address capacity gaps</w:t>
      </w:r>
      <w:r w:rsidR="00E12B35">
        <w:t>,</w:t>
      </w:r>
      <w:r>
        <w:t xml:space="preserve"> including those </w:t>
      </w:r>
      <w:r w:rsidR="00E12B35">
        <w:t>i</w:t>
      </w:r>
      <w:r>
        <w:t xml:space="preserve">dentified in the National Security Strategies of Pacific countries. </w:t>
      </w:r>
    </w:p>
    <w:p w14:paraId="15FD1A00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 xml:space="preserve">Q: What is the location for the Secretariat? </w:t>
      </w:r>
    </w:p>
    <w:p w14:paraId="29DB3B6E" w14:textId="6CC328B1" w:rsidR="000F2705" w:rsidRDefault="00C656DE">
      <w:pPr>
        <w:spacing w:after="160" w:line="259" w:lineRule="auto"/>
      </w:pPr>
      <w:r>
        <w:t xml:space="preserve">A: The Secretariat will be located in Australia.  </w:t>
      </w:r>
      <w:r w:rsidR="00CD3298">
        <w:t>DFAT</w:t>
      </w:r>
      <w:r>
        <w:t xml:space="preserve"> expect</w:t>
      </w:r>
      <w:r w:rsidR="00CD3298">
        <w:t>s</w:t>
      </w:r>
      <w:r>
        <w:t xml:space="preserve"> the Secretariat to liaise </w:t>
      </w:r>
      <w:r w:rsidR="00266DF6">
        <w:t xml:space="preserve">effectively </w:t>
      </w:r>
      <w:r>
        <w:t>with DFAT and other relevant government agencies</w:t>
      </w:r>
      <w:r w:rsidR="006D5B1D">
        <w:t>, which are largely Canberra-based</w:t>
      </w:r>
      <w:r>
        <w:t>.  Canberra would be a convenient location</w:t>
      </w:r>
      <w:r w:rsidR="00CD3298">
        <w:t>;</w:t>
      </w:r>
      <w:r>
        <w:t xml:space="preserve"> </w:t>
      </w:r>
      <w:r w:rsidR="00CD3298">
        <w:t>however,</w:t>
      </w:r>
      <w:r>
        <w:t xml:space="preserve"> </w:t>
      </w:r>
      <w:r w:rsidR="006D5B1D">
        <w:t xml:space="preserve">the Secretariat </w:t>
      </w:r>
      <w:r>
        <w:t xml:space="preserve">does not have to be </w:t>
      </w:r>
      <w:r w:rsidR="006D5B1D">
        <w:t>located in</w:t>
      </w:r>
      <w:r w:rsidR="00266DF6">
        <w:t xml:space="preserve"> Canberra.  </w:t>
      </w:r>
      <w:r w:rsidR="00E02B26">
        <w:t xml:space="preserve">In Step </w:t>
      </w:r>
      <w:r w:rsidR="00E02B26">
        <w:lastRenderedPageBreak/>
        <w:t>2 (the RFT)</w:t>
      </w:r>
      <w:r w:rsidR="00CD3298">
        <w:t>,</w:t>
      </w:r>
      <w:r w:rsidR="00146BD5">
        <w:t xml:space="preserve"> </w:t>
      </w:r>
      <w:r w:rsidR="00E02B26">
        <w:t>T</w:t>
      </w:r>
      <w:r w:rsidR="00807827">
        <w:t>enderers</w:t>
      </w:r>
      <w:r w:rsidR="00266DF6">
        <w:t xml:space="preserve"> will</w:t>
      </w:r>
      <w:r>
        <w:t xml:space="preserve"> need to demonstrate </w:t>
      </w:r>
      <w:r w:rsidR="00266DF6">
        <w:t>how the Secretariat</w:t>
      </w:r>
      <w:r w:rsidR="00E02B26">
        <w:t xml:space="preserve"> would</w:t>
      </w:r>
      <w:r>
        <w:t xml:space="preserve"> work effectively with Austral</w:t>
      </w:r>
      <w:r w:rsidR="00743C9A">
        <w:t>ian</w:t>
      </w:r>
      <w:r>
        <w:t xml:space="preserve"> government agencies. </w:t>
      </w:r>
    </w:p>
    <w:p w14:paraId="5A83C519" w14:textId="77777777" w:rsidR="000F2705" w:rsidRDefault="00C656DE">
      <w:pPr>
        <w:spacing w:after="160" w:line="259" w:lineRule="auto"/>
        <w:rPr>
          <w:b/>
        </w:rPr>
      </w:pPr>
      <w:r>
        <w:rPr>
          <w:b/>
        </w:rPr>
        <w:t>Q: Is there</w:t>
      </w:r>
      <w:r>
        <w:t xml:space="preserve"> </w:t>
      </w:r>
      <w:r>
        <w:rPr>
          <w:b/>
        </w:rPr>
        <w:t xml:space="preserve">capacity to leverage existing structures, such as DFAT’s learning management systems? </w:t>
      </w:r>
    </w:p>
    <w:p w14:paraId="0C2D3DA1" w14:textId="716D3FC2" w:rsidR="000F2705" w:rsidRDefault="00C656DE">
      <w:pPr>
        <w:spacing w:after="160" w:line="259" w:lineRule="auto"/>
      </w:pPr>
      <w:r>
        <w:t xml:space="preserve">A: We are open to </w:t>
      </w:r>
      <w:r w:rsidR="00266DF6">
        <w:t>exploring this idea</w:t>
      </w:r>
      <w:r w:rsidR="00E12B35">
        <w:t>, where feasible</w:t>
      </w:r>
      <w:r>
        <w:t xml:space="preserve">.  Our consultations in the region </w:t>
      </w:r>
      <w:r w:rsidR="00E12B35">
        <w:t xml:space="preserve">have </w:t>
      </w:r>
      <w:r>
        <w:t xml:space="preserve">highlighted that many Pacific countries do not have access to the same information (databases, journals) we are able to access.  A stock of online resources would be valuable, if it was specific to the Pacific. </w:t>
      </w:r>
    </w:p>
    <w:p w14:paraId="6063C993" w14:textId="77777777" w:rsidR="00520EAA" w:rsidRDefault="00520EAA">
      <w:pPr>
        <w:spacing w:after="160" w:line="259" w:lineRule="auto"/>
        <w:rPr>
          <w:sz w:val="28"/>
          <w:szCs w:val="28"/>
        </w:rPr>
      </w:pPr>
    </w:p>
    <w:p w14:paraId="6AA87C6A" w14:textId="629099A9" w:rsidR="00807827" w:rsidRPr="00520EAA" w:rsidRDefault="00807827">
      <w:pPr>
        <w:spacing w:after="160" w:line="259" w:lineRule="auto"/>
        <w:rPr>
          <w:sz w:val="28"/>
          <w:szCs w:val="28"/>
        </w:rPr>
      </w:pPr>
      <w:r w:rsidRPr="00520EAA">
        <w:rPr>
          <w:sz w:val="28"/>
          <w:szCs w:val="28"/>
        </w:rPr>
        <w:t>Note other questions were raised and will feed into considerations during the design process for APSC.</w:t>
      </w:r>
    </w:p>
    <w:p w14:paraId="604D56AC" w14:textId="77777777" w:rsidR="000F2705" w:rsidRDefault="000F2705">
      <w:pPr>
        <w:spacing w:after="160" w:line="259" w:lineRule="auto"/>
      </w:pPr>
    </w:p>
    <w:sectPr w:rsidR="000F2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9FD9" w14:textId="77777777" w:rsidR="001E115E" w:rsidRDefault="001E115E" w:rsidP="001E115E">
      <w:r>
        <w:separator/>
      </w:r>
    </w:p>
  </w:endnote>
  <w:endnote w:type="continuationSeparator" w:id="0">
    <w:p w14:paraId="2130210E" w14:textId="77777777" w:rsidR="001E115E" w:rsidRDefault="001E115E" w:rsidP="001E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C7C2" w14:textId="77777777" w:rsidR="00A96D4F" w:rsidRDefault="00A96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3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CF3714E" w14:textId="088AF578" w:rsidR="001E115E" w:rsidRDefault="001E11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D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D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E9A2D" w14:textId="77777777" w:rsidR="001E115E" w:rsidRDefault="001E1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90BF" w14:textId="77777777" w:rsidR="00A96D4F" w:rsidRDefault="00A96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A534" w14:textId="77777777" w:rsidR="001E115E" w:rsidRDefault="001E115E" w:rsidP="001E115E">
      <w:r>
        <w:separator/>
      </w:r>
    </w:p>
  </w:footnote>
  <w:footnote w:type="continuationSeparator" w:id="0">
    <w:p w14:paraId="48A838DD" w14:textId="77777777" w:rsidR="001E115E" w:rsidRDefault="001E115E" w:rsidP="001E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AEA4" w14:textId="77777777" w:rsidR="00A96D4F" w:rsidRDefault="00A96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AD25" w14:textId="77777777" w:rsidR="00A96D4F" w:rsidRDefault="00A96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3DFF" w14:textId="77777777" w:rsidR="00A96D4F" w:rsidRDefault="00A96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5"/>
    <w:rsid w:val="000F2705"/>
    <w:rsid w:val="0013521E"/>
    <w:rsid w:val="00146BD5"/>
    <w:rsid w:val="001E115E"/>
    <w:rsid w:val="001F720A"/>
    <w:rsid w:val="00220A87"/>
    <w:rsid w:val="00266DF6"/>
    <w:rsid w:val="00345C43"/>
    <w:rsid w:val="00355A6A"/>
    <w:rsid w:val="00366400"/>
    <w:rsid w:val="00520EAA"/>
    <w:rsid w:val="00591770"/>
    <w:rsid w:val="006728E0"/>
    <w:rsid w:val="006804DF"/>
    <w:rsid w:val="006D5B1D"/>
    <w:rsid w:val="00706206"/>
    <w:rsid w:val="00743C9A"/>
    <w:rsid w:val="007A7CA4"/>
    <w:rsid w:val="007D3D8A"/>
    <w:rsid w:val="00807827"/>
    <w:rsid w:val="00843E71"/>
    <w:rsid w:val="008A50CD"/>
    <w:rsid w:val="009103CE"/>
    <w:rsid w:val="00952388"/>
    <w:rsid w:val="00A60BA3"/>
    <w:rsid w:val="00A8430C"/>
    <w:rsid w:val="00A96D4F"/>
    <w:rsid w:val="00C07F86"/>
    <w:rsid w:val="00C13FAF"/>
    <w:rsid w:val="00C656DE"/>
    <w:rsid w:val="00CD3298"/>
    <w:rsid w:val="00D3649B"/>
    <w:rsid w:val="00E02B26"/>
    <w:rsid w:val="00E12B35"/>
    <w:rsid w:val="00E927D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51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7"/>
    <w:qFormat/>
    <w:pPr>
      <w:keepNext/>
      <w:keepLines/>
      <w:outlineLvl w:val="0"/>
    </w:pPr>
    <w:rPr>
      <w:rFonts w:ascii="Calibri Light" w:eastAsia="Calibri Light" w:hAnsi="Calibri Light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outlineLvl w:val="1"/>
    </w:pPr>
    <w:rPr>
      <w:rFonts w:ascii="Calibri Light" w:eastAsia="Calibri Light" w:hAnsi="Calibri Light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Calibri Light" w:hAnsi="Calibri Light"/>
      <w:color w:val="2E74B5" w:themeColor="accent1" w:themeShade="BF"/>
      <w:w w:val="100"/>
      <w:sz w:val="32"/>
      <w:szCs w:val="32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Calibri Light" w:hAnsi="Calibri Light"/>
      <w:color w:val="2E74B5" w:themeColor="accent1" w:themeShade="BF"/>
      <w:w w:val="100"/>
      <w:sz w:val="26"/>
      <w:szCs w:val="26"/>
      <w:shd w:val="clear" w:color="auto" w:fill="auto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/>
      <w:w w:val="100"/>
      <w:sz w:val="18"/>
      <w:szCs w:val="18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1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5E"/>
  </w:style>
  <w:style w:type="paragraph" w:styleId="Footer">
    <w:name w:val="footer"/>
    <w:basedOn w:val="Normal"/>
    <w:link w:val="FooterChar"/>
    <w:uiPriority w:val="99"/>
    <w:unhideWhenUsed/>
    <w:rsid w:val="001E1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D96B5-CEA2-4C41-81A3-2458901E0DC6}"/>
</file>

<file path=customXml/itemProps2.xml><?xml version="1.0" encoding="utf-8"?>
<ds:datastoreItem xmlns:ds="http://schemas.openxmlformats.org/officeDocument/2006/customXml" ds:itemID="{7A51D62C-F47A-443D-8319-2CDD0185EDD3}"/>
</file>

<file path=customXml/itemProps3.xml><?xml version="1.0" encoding="utf-8"?>
<ds:datastoreItem xmlns:ds="http://schemas.openxmlformats.org/officeDocument/2006/customXml" ds:itemID="{53DBFE10-490C-4180-98FC-5DC44A9B6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4990</Characters>
  <Application>Microsoft Office Word</Application>
  <DocSecurity>4</DocSecurity>
  <Lines>97</Lines>
  <Paragraphs>48</Paragraphs>
  <ScaleCrop>false</ScaleCrop>
  <Company/>
  <LinksUpToDate>false</LinksUpToDate>
  <CharactersWithSpaces>5862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2018-08-08T22:49:00Z</dcterms:created>
  <dcterms:modified xsi:type="dcterms:W3CDTF">2018-08-08T22:49:00Z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c6b42d6a-437d-408d-bd4e-a680659596d8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