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9.xml" ContentType="application/vnd.openxmlformats-officedocument.wordprocessingml.footer+xml"/>
  <Override PartName="/word/header13.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20.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8F" w:rsidRDefault="000E2C8F" w:rsidP="000E2C8F">
      <w:pPr>
        <w:spacing w:after="200" w:line="276" w:lineRule="auto"/>
        <w:ind w:left="3402"/>
      </w:pPr>
      <w:r>
        <w:rPr>
          <w:noProof/>
          <w:color w:val="000000"/>
          <w:lang w:val="en-CA" w:eastAsia="en-CA"/>
        </w:rPr>
        <w:drawing>
          <wp:inline distT="0" distB="0" distL="0" distR="0" wp14:anchorId="1CFEF91F" wp14:editId="7CA7E3EA">
            <wp:extent cx="2200910" cy="542290"/>
            <wp:effectExtent l="0" t="0" r="8890" b="0"/>
            <wp:docPr id="18" name="Picture 18" descr="Australian Government Logo. AusAID." title="Australian Government Logo. AusAID."/>
            <wp:cNvGraphicFramePr/>
            <a:graphic xmlns:a="http://schemas.openxmlformats.org/drawingml/2006/main">
              <a:graphicData uri="http://schemas.openxmlformats.org/drawingml/2006/picture">
                <pic:pic xmlns:pic="http://schemas.openxmlformats.org/drawingml/2006/picture">
                  <pic:nvPicPr>
                    <pic:cNvPr id="11" name="Picture 11" descr="Australian Government Logo. AusAID." title="Australian Government Logo. AusAI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539115"/>
                    </a:xfrm>
                    <a:prstGeom prst="rect">
                      <a:avLst/>
                    </a:prstGeom>
                    <a:noFill/>
                    <a:ln>
                      <a:noFill/>
                    </a:ln>
                  </pic:spPr>
                </pic:pic>
              </a:graphicData>
            </a:graphic>
          </wp:inline>
        </w:drawing>
      </w:r>
    </w:p>
    <w:p w:rsidR="000E2C8F" w:rsidRDefault="000E2C8F" w:rsidP="002D07FC">
      <w:pPr>
        <w:pStyle w:val="Title"/>
      </w:pPr>
      <w:r>
        <w:t>Annual program performance report for the Philippines 2007–08</w:t>
      </w:r>
    </w:p>
    <w:p w:rsidR="000E2C8F" w:rsidRPr="002D07FC" w:rsidRDefault="000E2C8F" w:rsidP="002D07FC">
      <w:pPr>
        <w:pStyle w:val="Subtitle"/>
      </w:pPr>
      <w:r>
        <w:t>NOVEMBER 2008</w:t>
      </w:r>
    </w:p>
    <w:p w:rsidR="000E2C8F" w:rsidRDefault="008E0683" w:rsidP="002D07FC">
      <w:pPr>
        <w:pStyle w:val="CoverLink"/>
      </w:pPr>
      <w:hyperlink r:id="rId9" w:history="1">
        <w:r w:rsidR="000E2C8F">
          <w:rPr>
            <w:rStyle w:val="Hyperlink"/>
          </w:rPr>
          <w:t>www.ausaid.gov.au</w:t>
        </w:r>
      </w:hyperlink>
    </w:p>
    <w:p w:rsidR="00C762EF" w:rsidRPr="00EA190F" w:rsidRDefault="00C762EF">
      <w:pPr>
        <w:pStyle w:val="BodyText"/>
        <w:spacing w:before="0"/>
        <w:rPr>
          <w:color w:val="000000"/>
        </w:rPr>
        <w:sectPr w:rsidR="00C762EF" w:rsidRPr="00EA190F">
          <w:headerReference w:type="default" r:id="rId10"/>
          <w:footerReference w:type="even" r:id="rId11"/>
          <w:footerReference w:type="default" r:id="rId12"/>
          <w:type w:val="oddPage"/>
          <w:pgSz w:w="11907" w:h="16840" w:code="9"/>
          <w:pgMar w:top="0" w:right="6" w:bottom="0" w:left="0" w:header="0" w:footer="0" w:gutter="0"/>
          <w:cols w:space="720"/>
        </w:sectPr>
      </w:pPr>
    </w:p>
    <w:p w:rsidR="00C762EF" w:rsidRPr="00EA190F" w:rsidRDefault="00C762EF" w:rsidP="00F0526B">
      <w:pPr>
        <w:pStyle w:val="BodyText"/>
        <w:spacing w:before="1600"/>
        <w:rPr>
          <w:color w:val="000000"/>
        </w:rPr>
      </w:pPr>
      <w:r w:rsidRPr="00EA190F">
        <w:rPr>
          <w:color w:val="000000"/>
        </w:rPr>
        <w:lastRenderedPageBreak/>
        <w:t xml:space="preserve">© Commonwealth of Australia </w:t>
      </w:r>
      <w:r w:rsidRPr="00EA190F">
        <w:rPr>
          <w:color w:val="000000"/>
        </w:rPr>
        <w:fldChar w:fldCharType="begin"/>
      </w:r>
      <w:r w:rsidRPr="00EA190F">
        <w:rPr>
          <w:color w:val="000000"/>
        </w:rPr>
        <w:instrText xml:space="preserve"> DATE \@ "yyyy" \* MERGEFORMAT </w:instrText>
      </w:r>
      <w:r w:rsidRPr="00EA190F">
        <w:rPr>
          <w:color w:val="000000"/>
        </w:rPr>
        <w:fldChar w:fldCharType="separate"/>
      </w:r>
      <w:r w:rsidR="004B30D6">
        <w:rPr>
          <w:noProof/>
          <w:color w:val="000000"/>
        </w:rPr>
        <w:t>2013</w:t>
      </w:r>
      <w:r w:rsidRPr="00EA190F">
        <w:rPr>
          <w:color w:val="000000"/>
        </w:rPr>
        <w:fldChar w:fldCharType="end"/>
      </w:r>
    </w:p>
    <w:p w:rsidR="005973FC" w:rsidRPr="00EA190F" w:rsidRDefault="005973FC" w:rsidP="00CB1CDA">
      <w:pPr>
        <w:pStyle w:val="BodyText"/>
        <w:spacing w:before="80"/>
        <w:ind w:right="-143"/>
        <w:rPr>
          <w:color w:val="000000"/>
        </w:rPr>
      </w:pPr>
      <w:r w:rsidRPr="00EA190F">
        <w:rPr>
          <w:color w:val="000000"/>
        </w:rPr>
        <w:t xml:space="preserve">This work is copyright. You may download, display, print and reproduce this material in unaltered form only (retaining this notice) for your personal, non-commercial use or use within your organisation. Apart from any use as permitted under the </w:t>
      </w:r>
      <w:r w:rsidRPr="00EA190F">
        <w:rPr>
          <w:i/>
          <w:color w:val="000000"/>
        </w:rPr>
        <w:t>Copyright Act 1968</w:t>
      </w:r>
      <w:r w:rsidR="00001CBB" w:rsidRPr="00EA190F">
        <w:rPr>
          <w:color w:val="000000"/>
        </w:rPr>
        <w:t>, all </w:t>
      </w:r>
      <w:r w:rsidRPr="00EA190F">
        <w:rPr>
          <w:color w:val="000000"/>
        </w:rPr>
        <w:t xml:space="preserve">other rights are reserved. Requests and inquiries concerning reproduction and rights should be addressed to Commonwealth Copyright Administration, Attorney General’s Department, Robert Garran Offices, National Circuit, Barton ACT 2600 or posted at </w:t>
      </w:r>
      <w:hyperlink r:id="rId13" w:history="1">
        <w:r w:rsidRPr="00EA190F">
          <w:rPr>
            <w:color w:val="000000"/>
          </w:rPr>
          <w:t>http://www.ag.gov.au/cca</w:t>
        </w:r>
      </w:hyperlink>
    </w:p>
    <w:p w:rsidR="00C762EF" w:rsidRPr="00EA190F" w:rsidRDefault="00C762EF">
      <w:pPr>
        <w:pStyle w:val="BodyText"/>
        <w:rPr>
          <w:color w:val="000000"/>
        </w:rPr>
      </w:pPr>
      <w:r w:rsidRPr="00EA190F">
        <w:rPr>
          <w:color w:val="000000"/>
        </w:rPr>
        <w:t xml:space="preserve">ISBN </w:t>
      </w:r>
      <w:r w:rsidR="007122E9" w:rsidRPr="00EA190F">
        <w:rPr>
          <w:color w:val="000000"/>
        </w:rPr>
        <w:t>978 1 921285 42 4</w:t>
      </w:r>
    </w:p>
    <w:p w:rsidR="00C762EF" w:rsidRPr="00EA190F" w:rsidRDefault="00C762EF">
      <w:pPr>
        <w:pStyle w:val="BodyText"/>
        <w:rPr>
          <w:color w:val="000000"/>
        </w:rPr>
      </w:pPr>
      <w:r w:rsidRPr="00EA190F">
        <w:rPr>
          <w:color w:val="000000"/>
        </w:rPr>
        <w:t xml:space="preserve">Published by the Australian Agency for International Development (AusAID), </w:t>
      </w:r>
      <w:smartTag w:uri="urn:schemas-microsoft-com:office:smarttags" w:element="City">
        <w:smartTag w:uri="urn:schemas-microsoft-com:office:smarttags" w:element="place">
          <w:r w:rsidRPr="00EA190F">
            <w:rPr>
              <w:color w:val="000000"/>
            </w:rPr>
            <w:t>Canberra</w:t>
          </w:r>
        </w:smartTag>
      </w:smartTag>
      <w:r w:rsidRPr="00EA190F">
        <w:rPr>
          <w:color w:val="000000"/>
        </w:rPr>
        <w:t xml:space="preserve">, </w:t>
      </w:r>
      <w:proofErr w:type="gramStart"/>
      <w:r w:rsidR="00001CBB" w:rsidRPr="00EA190F">
        <w:rPr>
          <w:color w:val="000000"/>
        </w:rPr>
        <w:t>November</w:t>
      </w:r>
      <w:proofErr w:type="gramEnd"/>
      <w:r w:rsidR="005973FC" w:rsidRPr="00EA190F">
        <w:rPr>
          <w:color w:val="000000"/>
        </w:rPr>
        <w:t xml:space="preserve"> 2008</w:t>
      </w:r>
      <w:r w:rsidRPr="00EA190F">
        <w:rPr>
          <w:color w:val="000000"/>
        </w:rPr>
        <w:t>.</w:t>
      </w:r>
    </w:p>
    <w:p w:rsidR="00001CBB" w:rsidRPr="00EA190F" w:rsidRDefault="00001CBB" w:rsidP="00001CBB">
      <w:pPr>
        <w:pStyle w:val="BodyText"/>
        <w:rPr>
          <w:color w:val="000000"/>
        </w:rPr>
      </w:pPr>
      <w:r w:rsidRPr="00EA190F">
        <w:rPr>
          <w:color w:val="000000"/>
        </w:rPr>
        <w:t xml:space="preserve">Annual Program Performance Reports are prepared in accordance with </w:t>
      </w:r>
      <w:proofErr w:type="spellStart"/>
      <w:r w:rsidRPr="00EA190F">
        <w:rPr>
          <w:color w:val="000000"/>
        </w:rPr>
        <w:t>AusAID’s</w:t>
      </w:r>
      <w:proofErr w:type="spellEnd"/>
      <w:r w:rsidRPr="00EA190F">
        <w:rPr>
          <w:color w:val="000000"/>
        </w:rPr>
        <w:t xml:space="preserve"> Performance Assessment and Evaluation Policy. The reports are self-assessments and represent the views of program areas.</w:t>
      </w:r>
    </w:p>
    <w:p w:rsidR="00C762EF" w:rsidRPr="00EA190F" w:rsidRDefault="00C762EF">
      <w:pPr>
        <w:pStyle w:val="BodyText"/>
        <w:rPr>
          <w:color w:val="000000"/>
        </w:rPr>
      </w:pPr>
      <w:r w:rsidRPr="00EA190F">
        <w:rPr>
          <w:color w:val="000000"/>
        </w:rPr>
        <w:t xml:space="preserve">This document is online at </w:t>
      </w:r>
      <w:hyperlink r:id="rId14" w:history="1">
        <w:r w:rsidRPr="00EA190F">
          <w:rPr>
            <w:color w:val="000000"/>
          </w:rPr>
          <w:t>www.ausaid.gov.au/publications</w:t>
        </w:r>
      </w:hyperlink>
    </w:p>
    <w:p w:rsidR="00001CBB" w:rsidRPr="00EA190F" w:rsidRDefault="00001CBB" w:rsidP="00001CBB">
      <w:pPr>
        <w:pStyle w:val="BodyText"/>
        <w:spacing w:before="720"/>
        <w:rPr>
          <w:color w:val="000000"/>
        </w:rPr>
      </w:pPr>
      <w:r w:rsidRPr="00EA190F">
        <w:rPr>
          <w:color w:val="000000"/>
        </w:rPr>
        <w:t>For further more information about the Australian Government’s international development program, contact:</w:t>
      </w:r>
    </w:p>
    <w:p w:rsidR="00001CBB" w:rsidRPr="00EA190F" w:rsidRDefault="00001CBB" w:rsidP="00001CBB">
      <w:pPr>
        <w:pStyle w:val="BodyText"/>
        <w:spacing w:before="60"/>
        <w:rPr>
          <w:color w:val="000000"/>
        </w:rPr>
      </w:pPr>
      <w:r w:rsidRPr="00EA190F">
        <w:rPr>
          <w:color w:val="000000"/>
        </w:rPr>
        <w:t>Communications Section</w:t>
      </w:r>
    </w:p>
    <w:p w:rsidR="00C762EF" w:rsidRPr="00EA190F" w:rsidRDefault="00C762EF">
      <w:pPr>
        <w:pStyle w:val="BodyText"/>
        <w:spacing w:before="0"/>
        <w:rPr>
          <w:color w:val="000000"/>
        </w:rPr>
      </w:pPr>
      <w:r w:rsidRPr="00EA190F">
        <w:rPr>
          <w:color w:val="000000"/>
        </w:rPr>
        <w:t>AusAID</w:t>
      </w:r>
    </w:p>
    <w:p w:rsidR="00C762EF" w:rsidRPr="00EA190F" w:rsidRDefault="00C762EF">
      <w:pPr>
        <w:pStyle w:val="BodyText"/>
        <w:spacing w:before="0"/>
        <w:rPr>
          <w:color w:val="000000"/>
        </w:rPr>
      </w:pPr>
      <w:r w:rsidRPr="00EA190F">
        <w:rPr>
          <w:color w:val="000000"/>
        </w:rPr>
        <w:t xml:space="preserve">GPO </w:t>
      </w:r>
      <w:smartTag w:uri="urn:schemas-microsoft-com:office:smarttags" w:element="Street">
        <w:smartTag w:uri="urn:schemas-microsoft-com:office:smarttags" w:element="address">
          <w:r w:rsidRPr="00EA190F">
            <w:rPr>
              <w:color w:val="000000"/>
            </w:rPr>
            <w:t>Box</w:t>
          </w:r>
        </w:smartTag>
        <w:r w:rsidRPr="00EA190F">
          <w:rPr>
            <w:color w:val="000000"/>
          </w:rPr>
          <w:t xml:space="preserve"> 887</w:t>
        </w:r>
      </w:smartTag>
    </w:p>
    <w:p w:rsidR="00C762EF" w:rsidRPr="00EA190F" w:rsidRDefault="00C762EF">
      <w:pPr>
        <w:pStyle w:val="BodyText"/>
        <w:spacing w:before="0"/>
        <w:rPr>
          <w:color w:val="000000"/>
        </w:rPr>
      </w:pPr>
      <w:smartTag w:uri="urn:schemas-microsoft-com:office:smarttags" w:element="City">
        <w:smartTag w:uri="urn:schemas-microsoft-com:office:smarttags" w:element="place">
          <w:r w:rsidRPr="00EA190F">
            <w:rPr>
              <w:color w:val="000000"/>
            </w:rPr>
            <w:t>Canberra</w:t>
          </w:r>
        </w:smartTag>
      </w:smartTag>
      <w:r w:rsidRPr="00EA190F">
        <w:rPr>
          <w:color w:val="000000"/>
        </w:rPr>
        <w:t xml:space="preserve"> ACT 2601</w:t>
      </w:r>
    </w:p>
    <w:p w:rsidR="00C762EF" w:rsidRPr="00EA190F" w:rsidRDefault="00C762EF">
      <w:pPr>
        <w:pStyle w:val="BodyText"/>
        <w:tabs>
          <w:tab w:val="left" w:pos="741"/>
        </w:tabs>
        <w:spacing w:before="60"/>
        <w:rPr>
          <w:color w:val="000000"/>
        </w:rPr>
      </w:pPr>
      <w:proofErr w:type="gramStart"/>
      <w:r w:rsidRPr="00EA190F">
        <w:rPr>
          <w:color w:val="000000"/>
        </w:rPr>
        <w:t>Phone</w:t>
      </w:r>
      <w:proofErr w:type="gramEnd"/>
      <w:r w:rsidRPr="00EA190F">
        <w:rPr>
          <w:color w:val="000000"/>
        </w:rPr>
        <w:t> </w:t>
      </w:r>
      <w:r w:rsidRPr="00EA190F">
        <w:rPr>
          <w:color w:val="000000"/>
        </w:rPr>
        <w:t>(02) 6206 4000</w:t>
      </w:r>
    </w:p>
    <w:p w:rsidR="00C762EF" w:rsidRPr="00EA190F" w:rsidRDefault="00C762EF">
      <w:pPr>
        <w:pStyle w:val="BodyText"/>
        <w:tabs>
          <w:tab w:val="left" w:pos="741"/>
        </w:tabs>
        <w:spacing w:before="0"/>
        <w:rPr>
          <w:color w:val="000000"/>
        </w:rPr>
      </w:pPr>
      <w:proofErr w:type="gramStart"/>
      <w:r w:rsidRPr="00EA190F">
        <w:rPr>
          <w:color w:val="000000"/>
        </w:rPr>
        <w:t>Facsimile</w:t>
      </w:r>
      <w:proofErr w:type="gramEnd"/>
      <w:r w:rsidRPr="00EA190F">
        <w:rPr>
          <w:color w:val="000000"/>
        </w:rPr>
        <w:t> </w:t>
      </w:r>
      <w:r w:rsidRPr="00EA190F">
        <w:rPr>
          <w:color w:val="000000"/>
        </w:rPr>
        <w:t>(02) 6206 4695</w:t>
      </w:r>
    </w:p>
    <w:p w:rsidR="00C762EF" w:rsidRPr="00EA190F" w:rsidRDefault="00C762EF">
      <w:pPr>
        <w:pStyle w:val="BodyText"/>
        <w:tabs>
          <w:tab w:val="left" w:pos="741"/>
        </w:tabs>
        <w:spacing w:before="0"/>
        <w:rPr>
          <w:color w:val="000000"/>
        </w:rPr>
      </w:pPr>
      <w:r w:rsidRPr="00EA190F">
        <w:rPr>
          <w:color w:val="000000"/>
        </w:rPr>
        <w:t>Internet</w:t>
      </w:r>
      <w:r w:rsidRPr="00EA190F">
        <w:rPr>
          <w:color w:val="000000"/>
        </w:rPr>
        <w:t> </w:t>
      </w:r>
      <w:hyperlink r:id="rId15" w:history="1">
        <w:r w:rsidRPr="00EA190F">
          <w:rPr>
            <w:color w:val="000000"/>
          </w:rPr>
          <w:t>www.</w:t>
        </w:r>
        <w:bookmarkStart w:id="0" w:name="_Hlt536343294"/>
        <w:r w:rsidRPr="00EA190F">
          <w:rPr>
            <w:color w:val="000000"/>
          </w:rPr>
          <w:t>a</w:t>
        </w:r>
        <w:bookmarkEnd w:id="0"/>
        <w:r w:rsidRPr="00EA190F">
          <w:rPr>
            <w:color w:val="000000"/>
          </w:rPr>
          <w:t>u</w:t>
        </w:r>
        <w:bookmarkStart w:id="1" w:name="_Hlt536343388"/>
        <w:r w:rsidRPr="00EA190F">
          <w:rPr>
            <w:color w:val="000000"/>
          </w:rPr>
          <w:t>s</w:t>
        </w:r>
        <w:bookmarkStart w:id="2" w:name="_Hlt536343250"/>
        <w:bookmarkEnd w:id="1"/>
        <w:r w:rsidRPr="00EA190F">
          <w:rPr>
            <w:color w:val="000000"/>
          </w:rPr>
          <w:t>a</w:t>
        </w:r>
        <w:bookmarkStart w:id="3" w:name="_Hlt536343212"/>
        <w:bookmarkEnd w:id="2"/>
        <w:r w:rsidRPr="00EA190F">
          <w:rPr>
            <w:color w:val="000000"/>
          </w:rPr>
          <w:t>i</w:t>
        </w:r>
        <w:bookmarkStart w:id="4" w:name="_Hlt536343325"/>
        <w:bookmarkEnd w:id="3"/>
        <w:r w:rsidRPr="00EA190F">
          <w:rPr>
            <w:color w:val="000000"/>
          </w:rPr>
          <w:t>d</w:t>
        </w:r>
        <w:bookmarkEnd w:id="4"/>
        <w:r w:rsidRPr="00EA190F">
          <w:rPr>
            <w:color w:val="000000"/>
          </w:rPr>
          <w:t>.go</w:t>
        </w:r>
        <w:bookmarkStart w:id="5" w:name="_Hlt86200017"/>
        <w:r w:rsidRPr="00EA190F">
          <w:rPr>
            <w:color w:val="000000"/>
          </w:rPr>
          <w:t>v</w:t>
        </w:r>
        <w:bookmarkEnd w:id="5"/>
        <w:r w:rsidRPr="00EA190F">
          <w:rPr>
            <w:color w:val="000000"/>
          </w:rPr>
          <w:t>.au</w:t>
        </w:r>
      </w:hyperlink>
    </w:p>
    <w:p w:rsidR="00C762EF" w:rsidRPr="00EA190F" w:rsidRDefault="00C762EF">
      <w:pPr>
        <w:pStyle w:val="TOC1"/>
        <w:rPr>
          <w:color w:val="000000"/>
        </w:rPr>
        <w:sectPr w:rsidR="00C762EF" w:rsidRPr="00EA190F" w:rsidSect="004979BF">
          <w:headerReference w:type="even" r:id="rId16"/>
          <w:headerReference w:type="default" r:id="rId17"/>
          <w:footerReference w:type="even" r:id="rId18"/>
          <w:footerReference w:type="default" r:id="rId19"/>
          <w:pgSz w:w="11907" w:h="16840" w:code="9"/>
          <w:pgMar w:top="2268" w:right="1985" w:bottom="1247" w:left="1985" w:header="567" w:footer="567" w:gutter="0"/>
          <w:cols w:space="720"/>
        </w:sectPr>
      </w:pPr>
    </w:p>
    <w:p w:rsidR="00673522" w:rsidRDefault="00673522" w:rsidP="00673522">
      <w:pPr>
        <w:pStyle w:val="H1"/>
        <w:spacing w:before="240"/>
        <w:ind w:left="567"/>
      </w:pPr>
      <w:r>
        <w:lastRenderedPageBreak/>
        <w:t>Contents</w:t>
      </w:r>
    </w:p>
    <w:p w:rsidR="004B30D6" w:rsidRDefault="004B30D6" w:rsidP="004B30D6">
      <w:pPr>
        <w:pStyle w:val="TOC1"/>
        <w:ind w:left="851"/>
        <w:rPr>
          <w:rFonts w:asciiTheme="minorHAnsi" w:eastAsiaTheme="minorEastAsia" w:hAnsiTheme="minorHAnsi" w:cstheme="minorBidi"/>
          <w:b w:val="0"/>
          <w:caps w:val="0"/>
          <w:noProof/>
          <w:sz w:val="22"/>
          <w:szCs w:val="22"/>
          <w:lang w:val="en-CA" w:eastAsia="en-CA"/>
        </w:rPr>
      </w:pPr>
      <w:r>
        <w:rPr>
          <w:b w:val="0"/>
          <w:caps w:val="0"/>
          <w:color w:val="000000"/>
        </w:rPr>
        <w:fldChar w:fldCharType="begin"/>
      </w:r>
      <w:r>
        <w:rPr>
          <w:b w:val="0"/>
          <w:caps w:val="0"/>
          <w:color w:val="000000"/>
        </w:rPr>
        <w:instrText xml:space="preserve"> TOC \o "2-2" \h \z \t "Heading 1,1,Heading 2,2,Heading 7,1,Heading 1 (no number),1,Heading 2 (no number),2" </w:instrText>
      </w:r>
      <w:r>
        <w:rPr>
          <w:b w:val="0"/>
          <w:caps w:val="0"/>
          <w:color w:val="000000"/>
        </w:rPr>
        <w:fldChar w:fldCharType="separate"/>
      </w:r>
      <w:hyperlink w:anchor="_Toc360805249" w:history="1">
        <w:r w:rsidRPr="00131836">
          <w:rPr>
            <w:rStyle w:val="Hyperlink"/>
            <w:noProof/>
          </w:rPr>
          <w:t>Abbreviations</w:t>
        </w:r>
        <w:r>
          <w:rPr>
            <w:noProof/>
            <w:webHidden/>
          </w:rPr>
          <w:tab/>
        </w:r>
        <w:r>
          <w:rPr>
            <w:noProof/>
            <w:webHidden/>
          </w:rPr>
          <w:fldChar w:fldCharType="begin"/>
        </w:r>
        <w:r>
          <w:rPr>
            <w:noProof/>
            <w:webHidden/>
          </w:rPr>
          <w:instrText xml:space="preserve"> PAGEREF _Toc360805249 \h </w:instrText>
        </w:r>
        <w:r>
          <w:rPr>
            <w:noProof/>
            <w:webHidden/>
          </w:rPr>
        </w:r>
        <w:r>
          <w:rPr>
            <w:noProof/>
            <w:webHidden/>
          </w:rPr>
          <w:fldChar w:fldCharType="separate"/>
        </w:r>
        <w:r>
          <w:rPr>
            <w:noProof/>
            <w:webHidden/>
          </w:rPr>
          <w:t>4</w:t>
        </w:r>
        <w:r>
          <w:rPr>
            <w:noProof/>
            <w:webHidden/>
          </w:rPr>
          <w:fldChar w:fldCharType="end"/>
        </w:r>
      </w:hyperlink>
    </w:p>
    <w:p w:rsidR="004B30D6" w:rsidRDefault="004B30D6" w:rsidP="004B30D6">
      <w:pPr>
        <w:pStyle w:val="TOC1"/>
        <w:ind w:left="851"/>
        <w:rPr>
          <w:rFonts w:asciiTheme="minorHAnsi" w:eastAsiaTheme="minorEastAsia" w:hAnsiTheme="minorHAnsi" w:cstheme="minorBidi"/>
          <w:b w:val="0"/>
          <w:caps w:val="0"/>
          <w:noProof/>
          <w:sz w:val="22"/>
          <w:szCs w:val="22"/>
          <w:lang w:val="en-CA" w:eastAsia="en-CA"/>
        </w:rPr>
      </w:pPr>
      <w:hyperlink w:anchor="_Toc360805250" w:history="1">
        <w:r w:rsidRPr="00131836">
          <w:rPr>
            <w:rStyle w:val="Hyperlink"/>
            <w:noProof/>
          </w:rPr>
          <w:t>Summary</w:t>
        </w:r>
        <w:r>
          <w:rPr>
            <w:noProof/>
            <w:webHidden/>
          </w:rPr>
          <w:tab/>
        </w:r>
        <w:r>
          <w:rPr>
            <w:noProof/>
            <w:webHidden/>
          </w:rPr>
          <w:fldChar w:fldCharType="begin"/>
        </w:r>
        <w:r>
          <w:rPr>
            <w:noProof/>
            <w:webHidden/>
          </w:rPr>
          <w:instrText xml:space="preserve"> PAGEREF _Toc360805250 \h </w:instrText>
        </w:r>
        <w:r>
          <w:rPr>
            <w:noProof/>
            <w:webHidden/>
          </w:rPr>
        </w:r>
        <w:r>
          <w:rPr>
            <w:noProof/>
            <w:webHidden/>
          </w:rPr>
          <w:fldChar w:fldCharType="separate"/>
        </w:r>
        <w:r>
          <w:rPr>
            <w:noProof/>
            <w:webHidden/>
          </w:rPr>
          <w:t>5</w:t>
        </w:r>
        <w:r>
          <w:rPr>
            <w:noProof/>
            <w:webHidden/>
          </w:rPr>
          <w:fldChar w:fldCharType="end"/>
        </w:r>
      </w:hyperlink>
    </w:p>
    <w:p w:rsidR="004B30D6" w:rsidRDefault="004B30D6" w:rsidP="004B30D6">
      <w:pPr>
        <w:pStyle w:val="TOC2"/>
        <w:ind w:left="851"/>
        <w:rPr>
          <w:rFonts w:asciiTheme="minorHAnsi" w:eastAsiaTheme="minorEastAsia" w:hAnsiTheme="minorHAnsi" w:cstheme="minorBidi"/>
          <w:noProof/>
          <w:sz w:val="22"/>
          <w:szCs w:val="22"/>
          <w:lang w:val="en-CA" w:eastAsia="en-CA"/>
        </w:rPr>
      </w:pPr>
      <w:hyperlink w:anchor="_Toc360805251" w:history="1">
        <w:r w:rsidRPr="00131836">
          <w:rPr>
            <w:rStyle w:val="Hyperlink"/>
            <w:noProof/>
          </w:rPr>
          <w:t>Overview</w:t>
        </w:r>
        <w:r>
          <w:rPr>
            <w:noProof/>
            <w:webHidden/>
          </w:rPr>
          <w:tab/>
        </w:r>
        <w:r>
          <w:rPr>
            <w:noProof/>
            <w:webHidden/>
          </w:rPr>
          <w:fldChar w:fldCharType="begin"/>
        </w:r>
        <w:r>
          <w:rPr>
            <w:noProof/>
            <w:webHidden/>
          </w:rPr>
          <w:instrText xml:space="preserve"> PAGEREF _Toc360805251 \h </w:instrText>
        </w:r>
        <w:r>
          <w:rPr>
            <w:noProof/>
            <w:webHidden/>
          </w:rPr>
        </w:r>
        <w:r>
          <w:rPr>
            <w:noProof/>
            <w:webHidden/>
          </w:rPr>
          <w:fldChar w:fldCharType="separate"/>
        </w:r>
        <w:r>
          <w:rPr>
            <w:noProof/>
            <w:webHidden/>
          </w:rPr>
          <w:t>5</w:t>
        </w:r>
        <w:r>
          <w:rPr>
            <w:noProof/>
            <w:webHidden/>
          </w:rPr>
          <w:fldChar w:fldCharType="end"/>
        </w:r>
      </w:hyperlink>
    </w:p>
    <w:p w:rsidR="004B30D6" w:rsidRDefault="004B30D6" w:rsidP="004B30D6">
      <w:pPr>
        <w:pStyle w:val="TOC2"/>
        <w:ind w:left="851"/>
        <w:rPr>
          <w:rFonts w:asciiTheme="minorHAnsi" w:eastAsiaTheme="minorEastAsia" w:hAnsiTheme="minorHAnsi" w:cstheme="minorBidi"/>
          <w:noProof/>
          <w:sz w:val="22"/>
          <w:szCs w:val="22"/>
          <w:lang w:val="en-CA" w:eastAsia="en-CA"/>
        </w:rPr>
      </w:pPr>
      <w:hyperlink w:anchor="_Toc360805252" w:history="1">
        <w:r w:rsidRPr="00131836">
          <w:rPr>
            <w:rStyle w:val="Hyperlink"/>
            <w:noProof/>
          </w:rPr>
          <w:t>Major results</w:t>
        </w:r>
        <w:r>
          <w:rPr>
            <w:noProof/>
            <w:webHidden/>
          </w:rPr>
          <w:tab/>
        </w:r>
        <w:r>
          <w:rPr>
            <w:noProof/>
            <w:webHidden/>
          </w:rPr>
          <w:fldChar w:fldCharType="begin"/>
        </w:r>
        <w:r>
          <w:rPr>
            <w:noProof/>
            <w:webHidden/>
          </w:rPr>
          <w:instrText xml:space="preserve"> PAGEREF _Toc360805252 \h </w:instrText>
        </w:r>
        <w:r>
          <w:rPr>
            <w:noProof/>
            <w:webHidden/>
          </w:rPr>
        </w:r>
        <w:r>
          <w:rPr>
            <w:noProof/>
            <w:webHidden/>
          </w:rPr>
          <w:fldChar w:fldCharType="separate"/>
        </w:r>
        <w:r>
          <w:rPr>
            <w:noProof/>
            <w:webHidden/>
          </w:rPr>
          <w:t>5</w:t>
        </w:r>
        <w:r>
          <w:rPr>
            <w:noProof/>
            <w:webHidden/>
          </w:rPr>
          <w:fldChar w:fldCharType="end"/>
        </w:r>
      </w:hyperlink>
    </w:p>
    <w:p w:rsidR="004B30D6" w:rsidRDefault="004B30D6" w:rsidP="004B30D6">
      <w:pPr>
        <w:pStyle w:val="TOC2"/>
        <w:ind w:left="851"/>
        <w:rPr>
          <w:rFonts w:asciiTheme="minorHAnsi" w:eastAsiaTheme="minorEastAsia" w:hAnsiTheme="minorHAnsi" w:cstheme="minorBidi"/>
          <w:noProof/>
          <w:sz w:val="22"/>
          <w:szCs w:val="22"/>
          <w:lang w:val="en-CA" w:eastAsia="en-CA"/>
        </w:rPr>
      </w:pPr>
      <w:hyperlink w:anchor="_Toc360805253" w:history="1">
        <w:r w:rsidRPr="00131836">
          <w:rPr>
            <w:rStyle w:val="Hyperlink"/>
            <w:noProof/>
          </w:rPr>
          <w:t>Major challenges</w:t>
        </w:r>
        <w:r>
          <w:rPr>
            <w:noProof/>
            <w:webHidden/>
          </w:rPr>
          <w:tab/>
        </w:r>
        <w:r>
          <w:rPr>
            <w:noProof/>
            <w:webHidden/>
          </w:rPr>
          <w:fldChar w:fldCharType="begin"/>
        </w:r>
        <w:r>
          <w:rPr>
            <w:noProof/>
            <w:webHidden/>
          </w:rPr>
          <w:instrText xml:space="preserve"> PAGEREF _Toc360805253 \h </w:instrText>
        </w:r>
        <w:r>
          <w:rPr>
            <w:noProof/>
            <w:webHidden/>
          </w:rPr>
        </w:r>
        <w:r>
          <w:rPr>
            <w:noProof/>
            <w:webHidden/>
          </w:rPr>
          <w:fldChar w:fldCharType="separate"/>
        </w:r>
        <w:r>
          <w:rPr>
            <w:noProof/>
            <w:webHidden/>
          </w:rPr>
          <w:t>7</w:t>
        </w:r>
        <w:r>
          <w:rPr>
            <w:noProof/>
            <w:webHidden/>
          </w:rPr>
          <w:fldChar w:fldCharType="end"/>
        </w:r>
      </w:hyperlink>
    </w:p>
    <w:p w:rsidR="004B30D6" w:rsidRDefault="004B30D6" w:rsidP="004B30D6">
      <w:pPr>
        <w:pStyle w:val="TOC1"/>
        <w:ind w:left="851"/>
        <w:rPr>
          <w:rFonts w:asciiTheme="minorHAnsi" w:eastAsiaTheme="minorEastAsia" w:hAnsiTheme="minorHAnsi" w:cstheme="minorBidi"/>
          <w:b w:val="0"/>
          <w:caps w:val="0"/>
          <w:noProof/>
          <w:sz w:val="22"/>
          <w:szCs w:val="22"/>
          <w:lang w:val="en-CA" w:eastAsia="en-CA"/>
        </w:rPr>
      </w:pPr>
      <w:hyperlink w:anchor="_Toc360805254" w:history="1">
        <w:r w:rsidRPr="00131836">
          <w:rPr>
            <w:rStyle w:val="Hyperlink"/>
            <w:noProof/>
          </w:rPr>
          <w:t>Country performance</w:t>
        </w:r>
        <w:r>
          <w:rPr>
            <w:noProof/>
            <w:webHidden/>
          </w:rPr>
          <w:tab/>
        </w:r>
        <w:r>
          <w:rPr>
            <w:noProof/>
            <w:webHidden/>
          </w:rPr>
          <w:fldChar w:fldCharType="begin"/>
        </w:r>
        <w:r>
          <w:rPr>
            <w:noProof/>
            <w:webHidden/>
          </w:rPr>
          <w:instrText xml:space="preserve"> PAGEREF _Toc360805254 \h </w:instrText>
        </w:r>
        <w:r>
          <w:rPr>
            <w:noProof/>
            <w:webHidden/>
          </w:rPr>
        </w:r>
        <w:r>
          <w:rPr>
            <w:noProof/>
            <w:webHidden/>
          </w:rPr>
          <w:fldChar w:fldCharType="separate"/>
        </w:r>
        <w:r>
          <w:rPr>
            <w:noProof/>
            <w:webHidden/>
          </w:rPr>
          <w:t>8</w:t>
        </w:r>
        <w:r>
          <w:rPr>
            <w:noProof/>
            <w:webHidden/>
          </w:rPr>
          <w:fldChar w:fldCharType="end"/>
        </w:r>
      </w:hyperlink>
    </w:p>
    <w:p w:rsidR="004B30D6" w:rsidRDefault="004B30D6" w:rsidP="004B30D6">
      <w:pPr>
        <w:pStyle w:val="TOC1"/>
        <w:ind w:left="851"/>
        <w:rPr>
          <w:rFonts w:asciiTheme="minorHAnsi" w:eastAsiaTheme="minorEastAsia" w:hAnsiTheme="minorHAnsi" w:cstheme="minorBidi"/>
          <w:b w:val="0"/>
          <w:caps w:val="0"/>
          <w:noProof/>
          <w:sz w:val="22"/>
          <w:szCs w:val="22"/>
          <w:lang w:val="en-CA" w:eastAsia="en-CA"/>
        </w:rPr>
      </w:pPr>
      <w:hyperlink w:anchor="_Toc360805255" w:history="1">
        <w:r w:rsidRPr="00131836">
          <w:rPr>
            <w:rStyle w:val="Hyperlink"/>
            <w:noProof/>
          </w:rPr>
          <w:t>What are the results of the Australia–Philippines aid program?</w:t>
        </w:r>
        <w:r>
          <w:rPr>
            <w:noProof/>
            <w:webHidden/>
          </w:rPr>
          <w:tab/>
        </w:r>
        <w:r>
          <w:rPr>
            <w:noProof/>
            <w:webHidden/>
          </w:rPr>
          <w:fldChar w:fldCharType="begin"/>
        </w:r>
        <w:r>
          <w:rPr>
            <w:noProof/>
            <w:webHidden/>
          </w:rPr>
          <w:instrText xml:space="preserve"> PAGEREF _Toc360805255 \h </w:instrText>
        </w:r>
        <w:r>
          <w:rPr>
            <w:noProof/>
            <w:webHidden/>
          </w:rPr>
        </w:r>
        <w:r>
          <w:rPr>
            <w:noProof/>
            <w:webHidden/>
          </w:rPr>
          <w:fldChar w:fldCharType="separate"/>
        </w:r>
        <w:r>
          <w:rPr>
            <w:noProof/>
            <w:webHidden/>
          </w:rPr>
          <w:t>11</w:t>
        </w:r>
        <w:r>
          <w:rPr>
            <w:noProof/>
            <w:webHidden/>
          </w:rPr>
          <w:fldChar w:fldCharType="end"/>
        </w:r>
      </w:hyperlink>
    </w:p>
    <w:p w:rsidR="004B30D6" w:rsidRDefault="004B30D6" w:rsidP="004B30D6">
      <w:pPr>
        <w:pStyle w:val="TOC2"/>
        <w:ind w:left="851"/>
        <w:rPr>
          <w:rFonts w:asciiTheme="minorHAnsi" w:eastAsiaTheme="minorEastAsia" w:hAnsiTheme="minorHAnsi" w:cstheme="minorBidi"/>
          <w:noProof/>
          <w:sz w:val="22"/>
          <w:szCs w:val="22"/>
          <w:lang w:val="en-CA" w:eastAsia="en-CA"/>
        </w:rPr>
      </w:pPr>
      <w:hyperlink w:anchor="_Toc360805256" w:history="1">
        <w:r w:rsidRPr="00131836">
          <w:rPr>
            <w:rStyle w:val="Hyperlink"/>
            <w:noProof/>
          </w:rPr>
          <w:t>Objective:  Government agencies are better able to implement transparent and efficient budgets</w:t>
        </w:r>
        <w:bookmarkStart w:id="6" w:name="_GoBack"/>
        <w:bookmarkEnd w:id="6"/>
        <w:r>
          <w:rPr>
            <w:noProof/>
            <w:webHidden/>
          </w:rPr>
          <w:tab/>
        </w:r>
        <w:r>
          <w:rPr>
            <w:noProof/>
            <w:webHidden/>
          </w:rPr>
          <w:fldChar w:fldCharType="begin"/>
        </w:r>
        <w:r>
          <w:rPr>
            <w:noProof/>
            <w:webHidden/>
          </w:rPr>
          <w:instrText xml:space="preserve"> PAGEREF _Toc360805256 \h </w:instrText>
        </w:r>
        <w:r>
          <w:rPr>
            <w:noProof/>
            <w:webHidden/>
          </w:rPr>
        </w:r>
        <w:r>
          <w:rPr>
            <w:noProof/>
            <w:webHidden/>
          </w:rPr>
          <w:fldChar w:fldCharType="separate"/>
        </w:r>
        <w:r>
          <w:rPr>
            <w:noProof/>
            <w:webHidden/>
          </w:rPr>
          <w:t>11</w:t>
        </w:r>
        <w:r>
          <w:rPr>
            <w:noProof/>
            <w:webHidden/>
          </w:rPr>
          <w:fldChar w:fldCharType="end"/>
        </w:r>
      </w:hyperlink>
    </w:p>
    <w:p w:rsidR="004B30D6" w:rsidRDefault="004B30D6" w:rsidP="004B30D6">
      <w:pPr>
        <w:pStyle w:val="TOC2"/>
        <w:ind w:left="851"/>
        <w:rPr>
          <w:rFonts w:asciiTheme="minorHAnsi" w:eastAsiaTheme="minorEastAsia" w:hAnsiTheme="minorHAnsi" w:cstheme="minorBidi"/>
          <w:noProof/>
          <w:sz w:val="22"/>
          <w:szCs w:val="22"/>
          <w:lang w:val="en-CA" w:eastAsia="en-CA"/>
        </w:rPr>
      </w:pPr>
      <w:hyperlink w:anchor="_Toc360805257" w:history="1">
        <w:r w:rsidRPr="00131836">
          <w:rPr>
            <w:rStyle w:val="Hyperlink"/>
            <w:noProof/>
          </w:rPr>
          <w:t>Objective: Improved accountability, transparency and management of investments in transport infrastructure</w:t>
        </w:r>
        <w:r>
          <w:rPr>
            <w:noProof/>
            <w:webHidden/>
          </w:rPr>
          <w:tab/>
        </w:r>
        <w:r>
          <w:rPr>
            <w:noProof/>
            <w:webHidden/>
          </w:rPr>
          <w:fldChar w:fldCharType="begin"/>
        </w:r>
        <w:r>
          <w:rPr>
            <w:noProof/>
            <w:webHidden/>
          </w:rPr>
          <w:instrText xml:space="preserve"> PAGEREF _Toc360805257 \h </w:instrText>
        </w:r>
        <w:r>
          <w:rPr>
            <w:noProof/>
            <w:webHidden/>
          </w:rPr>
        </w:r>
        <w:r>
          <w:rPr>
            <w:noProof/>
            <w:webHidden/>
          </w:rPr>
          <w:fldChar w:fldCharType="separate"/>
        </w:r>
        <w:r>
          <w:rPr>
            <w:noProof/>
            <w:webHidden/>
          </w:rPr>
          <w:t>14</w:t>
        </w:r>
        <w:r>
          <w:rPr>
            <w:noProof/>
            <w:webHidden/>
          </w:rPr>
          <w:fldChar w:fldCharType="end"/>
        </w:r>
      </w:hyperlink>
    </w:p>
    <w:p w:rsidR="004B30D6" w:rsidRDefault="004B30D6" w:rsidP="004B30D6">
      <w:pPr>
        <w:pStyle w:val="TOC2"/>
        <w:ind w:left="851"/>
        <w:rPr>
          <w:rFonts w:asciiTheme="minorHAnsi" w:eastAsiaTheme="minorEastAsia" w:hAnsiTheme="minorHAnsi" w:cstheme="minorBidi"/>
          <w:noProof/>
          <w:sz w:val="22"/>
          <w:szCs w:val="22"/>
          <w:lang w:val="en-CA" w:eastAsia="en-CA"/>
        </w:rPr>
      </w:pPr>
      <w:hyperlink w:anchor="_Toc360805258" w:history="1">
        <w:r w:rsidRPr="00131836">
          <w:rPr>
            <w:rStyle w:val="Hyperlink"/>
            <w:noProof/>
          </w:rPr>
          <w:t>Objective: Improved economic opportunity for rural people through increases in productivity, access to markets, better infrastructure, and growth of small–medium enterprises in targeted provinces</w:t>
        </w:r>
        <w:r>
          <w:rPr>
            <w:noProof/>
            <w:webHidden/>
          </w:rPr>
          <w:tab/>
        </w:r>
        <w:r>
          <w:rPr>
            <w:noProof/>
            <w:webHidden/>
          </w:rPr>
          <w:fldChar w:fldCharType="begin"/>
        </w:r>
        <w:r>
          <w:rPr>
            <w:noProof/>
            <w:webHidden/>
          </w:rPr>
          <w:instrText xml:space="preserve"> PAGEREF _Toc360805258 \h </w:instrText>
        </w:r>
        <w:r>
          <w:rPr>
            <w:noProof/>
            <w:webHidden/>
          </w:rPr>
        </w:r>
        <w:r>
          <w:rPr>
            <w:noProof/>
            <w:webHidden/>
          </w:rPr>
          <w:fldChar w:fldCharType="separate"/>
        </w:r>
        <w:r>
          <w:rPr>
            <w:noProof/>
            <w:webHidden/>
          </w:rPr>
          <w:t>16</w:t>
        </w:r>
        <w:r>
          <w:rPr>
            <w:noProof/>
            <w:webHidden/>
          </w:rPr>
          <w:fldChar w:fldCharType="end"/>
        </w:r>
      </w:hyperlink>
    </w:p>
    <w:p w:rsidR="004B30D6" w:rsidRDefault="004B30D6" w:rsidP="004B30D6">
      <w:pPr>
        <w:pStyle w:val="TOC2"/>
        <w:ind w:left="851"/>
        <w:rPr>
          <w:rFonts w:asciiTheme="minorHAnsi" w:eastAsiaTheme="minorEastAsia" w:hAnsiTheme="minorHAnsi" w:cstheme="minorBidi"/>
          <w:noProof/>
          <w:sz w:val="22"/>
          <w:szCs w:val="22"/>
          <w:lang w:val="en-CA" w:eastAsia="en-CA"/>
        </w:rPr>
      </w:pPr>
      <w:hyperlink w:anchor="_Toc360805259" w:history="1">
        <w:r w:rsidRPr="00131836">
          <w:rPr>
            <w:rStyle w:val="Hyperlink"/>
            <w:noProof/>
          </w:rPr>
          <w:t>Objective: The Department of Education is better able to manage its resources to support schools and teachers</w:t>
        </w:r>
        <w:r>
          <w:rPr>
            <w:noProof/>
            <w:webHidden/>
          </w:rPr>
          <w:tab/>
        </w:r>
        <w:r>
          <w:rPr>
            <w:noProof/>
            <w:webHidden/>
          </w:rPr>
          <w:fldChar w:fldCharType="begin"/>
        </w:r>
        <w:r>
          <w:rPr>
            <w:noProof/>
            <w:webHidden/>
          </w:rPr>
          <w:instrText xml:space="preserve"> PAGEREF _Toc360805259 \h </w:instrText>
        </w:r>
        <w:r>
          <w:rPr>
            <w:noProof/>
            <w:webHidden/>
          </w:rPr>
        </w:r>
        <w:r>
          <w:rPr>
            <w:noProof/>
            <w:webHidden/>
          </w:rPr>
          <w:fldChar w:fldCharType="separate"/>
        </w:r>
        <w:r>
          <w:rPr>
            <w:noProof/>
            <w:webHidden/>
          </w:rPr>
          <w:t>18</w:t>
        </w:r>
        <w:r>
          <w:rPr>
            <w:noProof/>
            <w:webHidden/>
          </w:rPr>
          <w:fldChar w:fldCharType="end"/>
        </w:r>
      </w:hyperlink>
    </w:p>
    <w:p w:rsidR="004B30D6" w:rsidRDefault="004B30D6" w:rsidP="004B30D6">
      <w:pPr>
        <w:pStyle w:val="TOC2"/>
        <w:ind w:left="851"/>
        <w:rPr>
          <w:rFonts w:asciiTheme="minorHAnsi" w:eastAsiaTheme="minorEastAsia" w:hAnsiTheme="minorHAnsi" w:cstheme="minorBidi"/>
          <w:noProof/>
          <w:sz w:val="22"/>
          <w:szCs w:val="22"/>
          <w:lang w:val="en-CA" w:eastAsia="en-CA"/>
        </w:rPr>
      </w:pPr>
      <w:hyperlink w:anchor="_Toc360805260" w:history="1">
        <w:r w:rsidRPr="00131836">
          <w:rPr>
            <w:rStyle w:val="Hyperlink"/>
            <w:noProof/>
          </w:rPr>
          <w:t>Objective: Improved education opportunities for boys and girls in targeted areas</w:t>
        </w:r>
        <w:r>
          <w:rPr>
            <w:noProof/>
            <w:webHidden/>
          </w:rPr>
          <w:tab/>
        </w:r>
        <w:r>
          <w:rPr>
            <w:noProof/>
            <w:webHidden/>
          </w:rPr>
          <w:fldChar w:fldCharType="begin"/>
        </w:r>
        <w:r>
          <w:rPr>
            <w:noProof/>
            <w:webHidden/>
          </w:rPr>
          <w:instrText xml:space="preserve"> PAGEREF _Toc360805260 \h </w:instrText>
        </w:r>
        <w:r>
          <w:rPr>
            <w:noProof/>
            <w:webHidden/>
          </w:rPr>
        </w:r>
        <w:r>
          <w:rPr>
            <w:noProof/>
            <w:webHidden/>
          </w:rPr>
          <w:fldChar w:fldCharType="separate"/>
        </w:r>
        <w:r>
          <w:rPr>
            <w:noProof/>
            <w:webHidden/>
          </w:rPr>
          <w:t>20</w:t>
        </w:r>
        <w:r>
          <w:rPr>
            <w:noProof/>
            <w:webHidden/>
          </w:rPr>
          <w:fldChar w:fldCharType="end"/>
        </w:r>
      </w:hyperlink>
    </w:p>
    <w:p w:rsidR="004B30D6" w:rsidRDefault="004B30D6" w:rsidP="004B30D6">
      <w:pPr>
        <w:pStyle w:val="TOC2"/>
        <w:ind w:left="851"/>
        <w:rPr>
          <w:rFonts w:asciiTheme="minorHAnsi" w:eastAsiaTheme="minorEastAsia" w:hAnsiTheme="minorHAnsi" w:cstheme="minorBidi"/>
          <w:noProof/>
          <w:sz w:val="22"/>
          <w:szCs w:val="22"/>
          <w:lang w:val="en-CA" w:eastAsia="en-CA"/>
        </w:rPr>
      </w:pPr>
      <w:hyperlink w:anchor="_Toc360805261" w:history="1">
        <w:r w:rsidRPr="00131836">
          <w:rPr>
            <w:rStyle w:val="Hyperlink"/>
            <w:noProof/>
          </w:rPr>
          <w:t>Objective: Mindanao peace processes are reinforced through more effective participation by communities and institutions</w:t>
        </w:r>
        <w:r>
          <w:rPr>
            <w:noProof/>
            <w:webHidden/>
          </w:rPr>
          <w:tab/>
        </w:r>
        <w:r>
          <w:rPr>
            <w:noProof/>
            <w:webHidden/>
          </w:rPr>
          <w:fldChar w:fldCharType="begin"/>
        </w:r>
        <w:r>
          <w:rPr>
            <w:noProof/>
            <w:webHidden/>
          </w:rPr>
          <w:instrText xml:space="preserve"> PAGEREF _Toc360805261 \h </w:instrText>
        </w:r>
        <w:r>
          <w:rPr>
            <w:noProof/>
            <w:webHidden/>
          </w:rPr>
        </w:r>
        <w:r>
          <w:rPr>
            <w:noProof/>
            <w:webHidden/>
          </w:rPr>
          <w:fldChar w:fldCharType="separate"/>
        </w:r>
        <w:r>
          <w:rPr>
            <w:noProof/>
            <w:webHidden/>
          </w:rPr>
          <w:t>22</w:t>
        </w:r>
        <w:r>
          <w:rPr>
            <w:noProof/>
            <w:webHidden/>
          </w:rPr>
          <w:fldChar w:fldCharType="end"/>
        </w:r>
      </w:hyperlink>
    </w:p>
    <w:p w:rsidR="004B30D6" w:rsidRDefault="004B30D6" w:rsidP="004B30D6">
      <w:pPr>
        <w:pStyle w:val="TOC2"/>
        <w:ind w:left="851"/>
        <w:rPr>
          <w:rFonts w:asciiTheme="minorHAnsi" w:eastAsiaTheme="minorEastAsia" w:hAnsiTheme="minorHAnsi" w:cstheme="minorBidi"/>
          <w:noProof/>
          <w:sz w:val="22"/>
          <w:szCs w:val="22"/>
          <w:lang w:val="en-CA" w:eastAsia="en-CA"/>
        </w:rPr>
      </w:pPr>
      <w:hyperlink w:anchor="_Toc360805262" w:history="1">
        <w:r w:rsidRPr="00131836">
          <w:rPr>
            <w:rStyle w:val="Hyperlink"/>
            <w:noProof/>
          </w:rPr>
          <w:t>Objective: Enhanced basic services and livelihoods in conflict-affected communities</w:t>
        </w:r>
        <w:r>
          <w:rPr>
            <w:noProof/>
            <w:webHidden/>
          </w:rPr>
          <w:tab/>
        </w:r>
        <w:r>
          <w:rPr>
            <w:noProof/>
            <w:webHidden/>
          </w:rPr>
          <w:fldChar w:fldCharType="begin"/>
        </w:r>
        <w:r>
          <w:rPr>
            <w:noProof/>
            <w:webHidden/>
          </w:rPr>
          <w:instrText xml:space="preserve"> PAGEREF _Toc360805262 \h </w:instrText>
        </w:r>
        <w:r>
          <w:rPr>
            <w:noProof/>
            <w:webHidden/>
          </w:rPr>
        </w:r>
        <w:r>
          <w:rPr>
            <w:noProof/>
            <w:webHidden/>
          </w:rPr>
          <w:fldChar w:fldCharType="separate"/>
        </w:r>
        <w:r>
          <w:rPr>
            <w:noProof/>
            <w:webHidden/>
          </w:rPr>
          <w:t>24</w:t>
        </w:r>
        <w:r>
          <w:rPr>
            <w:noProof/>
            <w:webHidden/>
          </w:rPr>
          <w:fldChar w:fldCharType="end"/>
        </w:r>
      </w:hyperlink>
    </w:p>
    <w:p w:rsidR="004B30D6" w:rsidRDefault="004B30D6" w:rsidP="004B30D6">
      <w:pPr>
        <w:pStyle w:val="TOC2"/>
        <w:ind w:left="851"/>
        <w:rPr>
          <w:rFonts w:asciiTheme="minorHAnsi" w:eastAsiaTheme="minorEastAsia" w:hAnsiTheme="minorHAnsi" w:cstheme="minorBidi"/>
          <w:noProof/>
          <w:sz w:val="22"/>
          <w:szCs w:val="22"/>
          <w:lang w:val="en-CA" w:eastAsia="en-CA"/>
        </w:rPr>
      </w:pPr>
      <w:hyperlink w:anchor="_Toc360805263" w:history="1">
        <w:r w:rsidRPr="00131836">
          <w:rPr>
            <w:rStyle w:val="Hyperlink"/>
            <w:noProof/>
          </w:rPr>
          <w:t>Objective: Improved capability of law and justice institutions, particularly to counter threats from transnational crime, including terrorism</w:t>
        </w:r>
        <w:r>
          <w:rPr>
            <w:noProof/>
            <w:webHidden/>
          </w:rPr>
          <w:tab/>
        </w:r>
        <w:r>
          <w:rPr>
            <w:noProof/>
            <w:webHidden/>
          </w:rPr>
          <w:fldChar w:fldCharType="begin"/>
        </w:r>
        <w:r>
          <w:rPr>
            <w:noProof/>
            <w:webHidden/>
          </w:rPr>
          <w:instrText xml:space="preserve"> PAGEREF _Toc360805263 \h </w:instrText>
        </w:r>
        <w:r>
          <w:rPr>
            <w:noProof/>
            <w:webHidden/>
          </w:rPr>
        </w:r>
        <w:r>
          <w:rPr>
            <w:noProof/>
            <w:webHidden/>
          </w:rPr>
          <w:fldChar w:fldCharType="separate"/>
        </w:r>
        <w:r>
          <w:rPr>
            <w:noProof/>
            <w:webHidden/>
          </w:rPr>
          <w:t>25</w:t>
        </w:r>
        <w:r>
          <w:rPr>
            <w:noProof/>
            <w:webHidden/>
          </w:rPr>
          <w:fldChar w:fldCharType="end"/>
        </w:r>
      </w:hyperlink>
    </w:p>
    <w:p w:rsidR="004B30D6" w:rsidRDefault="004B30D6" w:rsidP="004B30D6">
      <w:pPr>
        <w:pStyle w:val="TOC2"/>
        <w:ind w:left="851"/>
        <w:rPr>
          <w:rFonts w:asciiTheme="minorHAnsi" w:eastAsiaTheme="minorEastAsia" w:hAnsiTheme="minorHAnsi" w:cstheme="minorBidi"/>
          <w:noProof/>
          <w:sz w:val="22"/>
          <w:szCs w:val="22"/>
          <w:lang w:val="en-CA" w:eastAsia="en-CA"/>
        </w:rPr>
      </w:pPr>
      <w:hyperlink w:anchor="_Toc360805264" w:history="1">
        <w:r w:rsidRPr="00131836">
          <w:rPr>
            <w:rStyle w:val="Hyperlink"/>
            <w:noProof/>
          </w:rPr>
          <w:t>Objective: Women’s and children’s health services more widely available in targeted regions</w:t>
        </w:r>
        <w:r>
          <w:rPr>
            <w:noProof/>
            <w:webHidden/>
          </w:rPr>
          <w:tab/>
        </w:r>
        <w:r>
          <w:rPr>
            <w:noProof/>
            <w:webHidden/>
          </w:rPr>
          <w:fldChar w:fldCharType="begin"/>
        </w:r>
        <w:r>
          <w:rPr>
            <w:noProof/>
            <w:webHidden/>
          </w:rPr>
          <w:instrText xml:space="preserve"> PAGEREF _Toc360805264 \h </w:instrText>
        </w:r>
        <w:r>
          <w:rPr>
            <w:noProof/>
            <w:webHidden/>
          </w:rPr>
        </w:r>
        <w:r>
          <w:rPr>
            <w:noProof/>
            <w:webHidden/>
          </w:rPr>
          <w:fldChar w:fldCharType="separate"/>
        </w:r>
        <w:r>
          <w:rPr>
            <w:noProof/>
            <w:webHidden/>
          </w:rPr>
          <w:t>26</w:t>
        </w:r>
        <w:r>
          <w:rPr>
            <w:noProof/>
            <w:webHidden/>
          </w:rPr>
          <w:fldChar w:fldCharType="end"/>
        </w:r>
      </w:hyperlink>
    </w:p>
    <w:p w:rsidR="004B30D6" w:rsidRDefault="004B30D6" w:rsidP="004B30D6">
      <w:pPr>
        <w:pStyle w:val="TOC2"/>
        <w:ind w:left="851"/>
        <w:rPr>
          <w:rFonts w:asciiTheme="minorHAnsi" w:eastAsiaTheme="minorEastAsia" w:hAnsiTheme="minorHAnsi" w:cstheme="minorBidi"/>
          <w:noProof/>
          <w:sz w:val="22"/>
          <w:szCs w:val="22"/>
          <w:lang w:val="en-CA" w:eastAsia="en-CA"/>
        </w:rPr>
      </w:pPr>
      <w:hyperlink w:anchor="_Toc360805265" w:history="1">
        <w:r w:rsidRPr="00131836">
          <w:rPr>
            <w:rStyle w:val="Hyperlink"/>
            <w:noProof/>
          </w:rPr>
          <w:t>Objective: The population is better prepared and protected from natural disasters, including the avian influenza pandemic</w:t>
        </w:r>
        <w:r>
          <w:rPr>
            <w:noProof/>
            <w:webHidden/>
          </w:rPr>
          <w:tab/>
        </w:r>
        <w:r>
          <w:rPr>
            <w:noProof/>
            <w:webHidden/>
          </w:rPr>
          <w:fldChar w:fldCharType="begin"/>
        </w:r>
        <w:r>
          <w:rPr>
            <w:noProof/>
            <w:webHidden/>
          </w:rPr>
          <w:instrText xml:space="preserve"> PAGEREF _Toc360805265 \h </w:instrText>
        </w:r>
        <w:r>
          <w:rPr>
            <w:noProof/>
            <w:webHidden/>
          </w:rPr>
        </w:r>
        <w:r>
          <w:rPr>
            <w:noProof/>
            <w:webHidden/>
          </w:rPr>
          <w:fldChar w:fldCharType="separate"/>
        </w:r>
        <w:r>
          <w:rPr>
            <w:noProof/>
            <w:webHidden/>
          </w:rPr>
          <w:t>29</w:t>
        </w:r>
        <w:r>
          <w:rPr>
            <w:noProof/>
            <w:webHidden/>
          </w:rPr>
          <w:fldChar w:fldCharType="end"/>
        </w:r>
      </w:hyperlink>
    </w:p>
    <w:p w:rsidR="004B30D6" w:rsidRDefault="004B30D6" w:rsidP="004B30D6">
      <w:pPr>
        <w:pStyle w:val="TOC1"/>
        <w:ind w:left="851"/>
        <w:rPr>
          <w:rFonts w:asciiTheme="minorHAnsi" w:eastAsiaTheme="minorEastAsia" w:hAnsiTheme="minorHAnsi" w:cstheme="minorBidi"/>
          <w:b w:val="0"/>
          <w:caps w:val="0"/>
          <w:noProof/>
          <w:sz w:val="22"/>
          <w:szCs w:val="22"/>
          <w:lang w:val="en-CA" w:eastAsia="en-CA"/>
        </w:rPr>
      </w:pPr>
      <w:hyperlink w:anchor="_Toc360805266" w:history="1">
        <w:r w:rsidRPr="00131836">
          <w:rPr>
            <w:rStyle w:val="Hyperlink"/>
            <w:noProof/>
          </w:rPr>
          <w:t>What is the quality of AusAID activities in the Philippines?</w:t>
        </w:r>
        <w:r>
          <w:rPr>
            <w:noProof/>
            <w:webHidden/>
          </w:rPr>
          <w:tab/>
        </w:r>
        <w:r>
          <w:rPr>
            <w:noProof/>
            <w:webHidden/>
          </w:rPr>
          <w:fldChar w:fldCharType="begin"/>
        </w:r>
        <w:r>
          <w:rPr>
            <w:noProof/>
            <w:webHidden/>
          </w:rPr>
          <w:instrText xml:space="preserve"> PAGEREF _Toc360805266 \h </w:instrText>
        </w:r>
        <w:r>
          <w:rPr>
            <w:noProof/>
            <w:webHidden/>
          </w:rPr>
        </w:r>
        <w:r>
          <w:rPr>
            <w:noProof/>
            <w:webHidden/>
          </w:rPr>
          <w:fldChar w:fldCharType="separate"/>
        </w:r>
        <w:r>
          <w:rPr>
            <w:noProof/>
            <w:webHidden/>
          </w:rPr>
          <w:t>30</w:t>
        </w:r>
        <w:r>
          <w:rPr>
            <w:noProof/>
            <w:webHidden/>
          </w:rPr>
          <w:fldChar w:fldCharType="end"/>
        </w:r>
      </w:hyperlink>
    </w:p>
    <w:p w:rsidR="004B30D6" w:rsidRDefault="004B30D6" w:rsidP="004B30D6">
      <w:pPr>
        <w:pStyle w:val="TOC2"/>
        <w:ind w:left="851"/>
        <w:rPr>
          <w:rFonts w:asciiTheme="minorHAnsi" w:eastAsiaTheme="minorEastAsia" w:hAnsiTheme="minorHAnsi" w:cstheme="minorBidi"/>
          <w:noProof/>
          <w:sz w:val="22"/>
          <w:szCs w:val="22"/>
          <w:lang w:val="en-CA" w:eastAsia="en-CA"/>
        </w:rPr>
      </w:pPr>
      <w:hyperlink w:anchor="_Toc360805267" w:history="1">
        <w:r w:rsidRPr="00131836">
          <w:rPr>
            <w:rStyle w:val="Hyperlink"/>
            <w:noProof/>
          </w:rPr>
          <w:t>Implementation progress</w:t>
        </w:r>
        <w:r>
          <w:rPr>
            <w:noProof/>
            <w:webHidden/>
          </w:rPr>
          <w:tab/>
        </w:r>
        <w:r>
          <w:rPr>
            <w:noProof/>
            <w:webHidden/>
          </w:rPr>
          <w:fldChar w:fldCharType="begin"/>
        </w:r>
        <w:r>
          <w:rPr>
            <w:noProof/>
            <w:webHidden/>
          </w:rPr>
          <w:instrText xml:space="preserve"> PAGEREF _Toc360805267 \h </w:instrText>
        </w:r>
        <w:r>
          <w:rPr>
            <w:noProof/>
            <w:webHidden/>
          </w:rPr>
        </w:r>
        <w:r>
          <w:rPr>
            <w:noProof/>
            <w:webHidden/>
          </w:rPr>
          <w:fldChar w:fldCharType="separate"/>
        </w:r>
        <w:r>
          <w:rPr>
            <w:noProof/>
            <w:webHidden/>
          </w:rPr>
          <w:t>30</w:t>
        </w:r>
        <w:r>
          <w:rPr>
            <w:noProof/>
            <w:webHidden/>
          </w:rPr>
          <w:fldChar w:fldCharType="end"/>
        </w:r>
      </w:hyperlink>
    </w:p>
    <w:p w:rsidR="004B30D6" w:rsidRDefault="004B30D6" w:rsidP="004B30D6">
      <w:pPr>
        <w:pStyle w:val="TOC2"/>
        <w:ind w:left="851"/>
        <w:rPr>
          <w:rFonts w:asciiTheme="minorHAnsi" w:eastAsiaTheme="minorEastAsia" w:hAnsiTheme="minorHAnsi" w:cstheme="minorBidi"/>
          <w:noProof/>
          <w:sz w:val="22"/>
          <w:szCs w:val="22"/>
          <w:lang w:val="en-CA" w:eastAsia="en-CA"/>
        </w:rPr>
      </w:pPr>
      <w:hyperlink w:anchor="_Toc360805268" w:history="1">
        <w:r w:rsidRPr="00131836">
          <w:rPr>
            <w:rStyle w:val="Hyperlink"/>
            <w:noProof/>
          </w:rPr>
          <w:t>Monitoring and evaluation</w:t>
        </w:r>
        <w:r>
          <w:rPr>
            <w:noProof/>
            <w:webHidden/>
          </w:rPr>
          <w:tab/>
        </w:r>
        <w:r>
          <w:rPr>
            <w:noProof/>
            <w:webHidden/>
          </w:rPr>
          <w:fldChar w:fldCharType="begin"/>
        </w:r>
        <w:r>
          <w:rPr>
            <w:noProof/>
            <w:webHidden/>
          </w:rPr>
          <w:instrText xml:space="preserve"> PAGEREF _Toc360805268 \h </w:instrText>
        </w:r>
        <w:r>
          <w:rPr>
            <w:noProof/>
            <w:webHidden/>
          </w:rPr>
        </w:r>
        <w:r>
          <w:rPr>
            <w:noProof/>
            <w:webHidden/>
          </w:rPr>
          <w:fldChar w:fldCharType="separate"/>
        </w:r>
        <w:r>
          <w:rPr>
            <w:noProof/>
            <w:webHidden/>
          </w:rPr>
          <w:t>32</w:t>
        </w:r>
        <w:r>
          <w:rPr>
            <w:noProof/>
            <w:webHidden/>
          </w:rPr>
          <w:fldChar w:fldCharType="end"/>
        </w:r>
      </w:hyperlink>
    </w:p>
    <w:p w:rsidR="004B30D6" w:rsidRDefault="004B30D6" w:rsidP="004B30D6">
      <w:pPr>
        <w:pStyle w:val="TOC2"/>
        <w:ind w:left="851"/>
        <w:rPr>
          <w:rFonts w:asciiTheme="minorHAnsi" w:eastAsiaTheme="minorEastAsia" w:hAnsiTheme="minorHAnsi" w:cstheme="minorBidi"/>
          <w:noProof/>
          <w:sz w:val="22"/>
          <w:szCs w:val="22"/>
          <w:lang w:val="en-CA" w:eastAsia="en-CA"/>
        </w:rPr>
      </w:pPr>
      <w:hyperlink w:anchor="_Toc360805269" w:history="1">
        <w:r w:rsidRPr="00131836">
          <w:rPr>
            <w:rStyle w:val="Hyperlink"/>
            <w:noProof/>
          </w:rPr>
          <w:t>Sustainability</w:t>
        </w:r>
        <w:r>
          <w:rPr>
            <w:noProof/>
            <w:webHidden/>
          </w:rPr>
          <w:tab/>
        </w:r>
        <w:r>
          <w:rPr>
            <w:noProof/>
            <w:webHidden/>
          </w:rPr>
          <w:fldChar w:fldCharType="begin"/>
        </w:r>
        <w:r>
          <w:rPr>
            <w:noProof/>
            <w:webHidden/>
          </w:rPr>
          <w:instrText xml:space="preserve"> PAGEREF _Toc360805269 \h </w:instrText>
        </w:r>
        <w:r>
          <w:rPr>
            <w:noProof/>
            <w:webHidden/>
          </w:rPr>
        </w:r>
        <w:r>
          <w:rPr>
            <w:noProof/>
            <w:webHidden/>
          </w:rPr>
          <w:fldChar w:fldCharType="separate"/>
        </w:r>
        <w:r>
          <w:rPr>
            <w:noProof/>
            <w:webHidden/>
          </w:rPr>
          <w:t>33</w:t>
        </w:r>
        <w:r>
          <w:rPr>
            <w:noProof/>
            <w:webHidden/>
          </w:rPr>
          <w:fldChar w:fldCharType="end"/>
        </w:r>
      </w:hyperlink>
    </w:p>
    <w:p w:rsidR="004B30D6" w:rsidRDefault="004B30D6" w:rsidP="004B30D6">
      <w:pPr>
        <w:pStyle w:val="TOC2"/>
        <w:ind w:left="851"/>
        <w:rPr>
          <w:rFonts w:asciiTheme="minorHAnsi" w:eastAsiaTheme="minorEastAsia" w:hAnsiTheme="minorHAnsi" w:cstheme="minorBidi"/>
          <w:noProof/>
          <w:sz w:val="22"/>
          <w:szCs w:val="22"/>
          <w:lang w:val="en-CA" w:eastAsia="en-CA"/>
        </w:rPr>
      </w:pPr>
      <w:hyperlink w:anchor="_Toc360805270" w:history="1">
        <w:r w:rsidRPr="00131836">
          <w:rPr>
            <w:rStyle w:val="Hyperlink"/>
            <w:noProof/>
          </w:rPr>
          <w:t>Risks</w:t>
        </w:r>
        <w:r>
          <w:rPr>
            <w:noProof/>
            <w:webHidden/>
          </w:rPr>
          <w:tab/>
        </w:r>
        <w:r>
          <w:rPr>
            <w:noProof/>
            <w:webHidden/>
          </w:rPr>
          <w:fldChar w:fldCharType="begin"/>
        </w:r>
        <w:r>
          <w:rPr>
            <w:noProof/>
            <w:webHidden/>
          </w:rPr>
          <w:instrText xml:space="preserve"> PAGEREF _Toc360805270 \h </w:instrText>
        </w:r>
        <w:r>
          <w:rPr>
            <w:noProof/>
            <w:webHidden/>
          </w:rPr>
        </w:r>
        <w:r>
          <w:rPr>
            <w:noProof/>
            <w:webHidden/>
          </w:rPr>
          <w:fldChar w:fldCharType="separate"/>
        </w:r>
        <w:r>
          <w:rPr>
            <w:noProof/>
            <w:webHidden/>
          </w:rPr>
          <w:t>33</w:t>
        </w:r>
        <w:r>
          <w:rPr>
            <w:noProof/>
            <w:webHidden/>
          </w:rPr>
          <w:fldChar w:fldCharType="end"/>
        </w:r>
      </w:hyperlink>
    </w:p>
    <w:p w:rsidR="004B30D6" w:rsidRDefault="004B30D6" w:rsidP="004B30D6">
      <w:pPr>
        <w:pStyle w:val="TOC2"/>
        <w:ind w:left="851"/>
        <w:rPr>
          <w:rFonts w:asciiTheme="minorHAnsi" w:eastAsiaTheme="minorEastAsia" w:hAnsiTheme="minorHAnsi" w:cstheme="minorBidi"/>
          <w:noProof/>
          <w:sz w:val="22"/>
          <w:szCs w:val="22"/>
          <w:lang w:val="en-CA" w:eastAsia="en-CA"/>
        </w:rPr>
      </w:pPr>
      <w:hyperlink w:anchor="_Toc360805271" w:history="1">
        <w:r w:rsidRPr="00131836">
          <w:rPr>
            <w:rStyle w:val="Hyperlink"/>
            <w:noProof/>
          </w:rPr>
          <w:t>Crosscutting issues and challenges</w:t>
        </w:r>
        <w:r>
          <w:rPr>
            <w:noProof/>
            <w:webHidden/>
          </w:rPr>
          <w:tab/>
        </w:r>
        <w:r>
          <w:rPr>
            <w:noProof/>
            <w:webHidden/>
          </w:rPr>
          <w:fldChar w:fldCharType="begin"/>
        </w:r>
        <w:r>
          <w:rPr>
            <w:noProof/>
            <w:webHidden/>
          </w:rPr>
          <w:instrText xml:space="preserve"> PAGEREF _Toc360805271 \h </w:instrText>
        </w:r>
        <w:r>
          <w:rPr>
            <w:noProof/>
            <w:webHidden/>
          </w:rPr>
        </w:r>
        <w:r>
          <w:rPr>
            <w:noProof/>
            <w:webHidden/>
          </w:rPr>
          <w:fldChar w:fldCharType="separate"/>
        </w:r>
        <w:r>
          <w:rPr>
            <w:noProof/>
            <w:webHidden/>
          </w:rPr>
          <w:t>34</w:t>
        </w:r>
        <w:r>
          <w:rPr>
            <w:noProof/>
            <w:webHidden/>
          </w:rPr>
          <w:fldChar w:fldCharType="end"/>
        </w:r>
      </w:hyperlink>
    </w:p>
    <w:p w:rsidR="00240762" w:rsidRPr="00EA190F" w:rsidRDefault="004B30D6" w:rsidP="009C09C4">
      <w:pPr>
        <w:pStyle w:val="BodyText"/>
        <w:rPr>
          <w:color w:val="000000"/>
        </w:rPr>
        <w:sectPr w:rsidR="00240762" w:rsidRPr="00EA190F" w:rsidSect="009C09C4">
          <w:headerReference w:type="even" r:id="rId20"/>
          <w:headerReference w:type="default" r:id="rId21"/>
          <w:footerReference w:type="even" r:id="rId22"/>
          <w:footerReference w:type="default" r:id="rId23"/>
          <w:pgSz w:w="11907" w:h="16840" w:code="9"/>
          <w:pgMar w:top="2268" w:right="1985" w:bottom="1247" w:left="1985" w:header="567" w:footer="567" w:gutter="0"/>
          <w:cols w:space="720"/>
        </w:sectPr>
      </w:pPr>
      <w:r>
        <w:rPr>
          <w:rFonts w:ascii="Arial Narrow" w:hAnsi="Arial Narrow"/>
          <w:b/>
          <w:caps/>
          <w:color w:val="000000"/>
          <w:sz w:val="20"/>
        </w:rPr>
        <w:fldChar w:fldCharType="end"/>
      </w:r>
    </w:p>
    <w:p w:rsidR="00240762" w:rsidRPr="00EA190F" w:rsidRDefault="00B30D4B" w:rsidP="009C09C4">
      <w:pPr>
        <w:pStyle w:val="Heading1nonumber"/>
        <w:rPr>
          <w:color w:val="000000"/>
        </w:rPr>
      </w:pPr>
      <w:bookmarkStart w:id="7" w:name="_Toc360805249"/>
      <w:r w:rsidRPr="00EA190F">
        <w:rPr>
          <w:color w:val="000000"/>
        </w:rPr>
        <w:lastRenderedPageBreak/>
        <w:t>Abbreviations</w:t>
      </w:r>
      <w:bookmarkEnd w:id="7"/>
    </w:p>
    <w:p w:rsidR="00240762" w:rsidRPr="00EA190F" w:rsidRDefault="00240762" w:rsidP="008C0BD7">
      <w:pPr>
        <w:pStyle w:val="1stpara"/>
        <w:tabs>
          <w:tab w:val="left" w:pos="1701"/>
        </w:tabs>
        <w:rPr>
          <w:color w:val="000000"/>
        </w:rPr>
      </w:pPr>
      <w:r w:rsidRPr="00EA190F">
        <w:rPr>
          <w:color w:val="000000"/>
        </w:rPr>
        <w:t>ARMM</w:t>
      </w:r>
      <w:r w:rsidRPr="00EA190F">
        <w:rPr>
          <w:color w:val="000000"/>
        </w:rPr>
        <w:tab/>
        <w:t xml:space="preserve">Autonomous Region </w:t>
      </w:r>
      <w:r w:rsidR="001B4B81" w:rsidRPr="00EA190F">
        <w:rPr>
          <w:color w:val="000000"/>
        </w:rPr>
        <w:t>of</w:t>
      </w:r>
      <w:r w:rsidRPr="00EA190F">
        <w:rPr>
          <w:color w:val="000000"/>
        </w:rPr>
        <w:t xml:space="preserve"> Muslim </w:t>
      </w:r>
      <w:smartTag w:uri="urn:schemas-microsoft-com:office:smarttags" w:element="place">
        <w:r w:rsidRPr="00EA190F">
          <w:rPr>
            <w:color w:val="000000"/>
          </w:rPr>
          <w:t>Mindanao</w:t>
        </w:r>
      </w:smartTag>
    </w:p>
    <w:p w:rsidR="00240762" w:rsidRPr="00EA190F" w:rsidRDefault="00240762" w:rsidP="008C0BD7">
      <w:pPr>
        <w:pStyle w:val="BodyText"/>
        <w:tabs>
          <w:tab w:val="left" w:pos="1701"/>
        </w:tabs>
        <w:rPr>
          <w:color w:val="000000"/>
        </w:rPr>
      </w:pPr>
      <w:r w:rsidRPr="00EA190F">
        <w:rPr>
          <w:color w:val="000000"/>
        </w:rPr>
        <w:t>ASEAN</w:t>
      </w:r>
      <w:r w:rsidRPr="00EA190F">
        <w:rPr>
          <w:color w:val="000000"/>
        </w:rPr>
        <w:tab/>
        <w:t>Association of Southeast Asian Nations</w:t>
      </w:r>
    </w:p>
    <w:p w:rsidR="00240762" w:rsidRPr="00EA190F" w:rsidRDefault="00240762" w:rsidP="008C0BD7">
      <w:pPr>
        <w:pStyle w:val="BodyText"/>
        <w:tabs>
          <w:tab w:val="left" w:pos="1701"/>
        </w:tabs>
        <w:rPr>
          <w:color w:val="000000"/>
        </w:rPr>
      </w:pPr>
      <w:r w:rsidRPr="00EA190F">
        <w:rPr>
          <w:color w:val="000000"/>
        </w:rPr>
        <w:t>AusAID</w:t>
      </w:r>
      <w:r w:rsidRPr="00EA190F">
        <w:rPr>
          <w:color w:val="000000"/>
        </w:rPr>
        <w:tab/>
        <w:t>Australian Agency for International Development</w:t>
      </w:r>
    </w:p>
    <w:p w:rsidR="007A695D" w:rsidRPr="00EA190F" w:rsidRDefault="007A695D" w:rsidP="00562C1E">
      <w:pPr>
        <w:pStyle w:val="BodyText"/>
        <w:tabs>
          <w:tab w:val="left" w:pos="1701"/>
        </w:tabs>
        <w:ind w:left="1701" w:hanging="1701"/>
        <w:rPr>
          <w:color w:val="000000"/>
        </w:rPr>
      </w:pPr>
      <w:r w:rsidRPr="00EA190F">
        <w:rPr>
          <w:color w:val="000000"/>
        </w:rPr>
        <w:t>BEAM</w:t>
      </w:r>
      <w:r w:rsidRPr="00EA190F">
        <w:rPr>
          <w:color w:val="000000"/>
        </w:rPr>
        <w:tab/>
        <w:t>Basic Edu</w:t>
      </w:r>
      <w:r w:rsidR="005E554D" w:rsidRPr="00EA190F">
        <w:rPr>
          <w:color w:val="000000"/>
        </w:rPr>
        <w:t xml:space="preserve">cation Assistance </w:t>
      </w:r>
      <w:r w:rsidR="003C212A" w:rsidRPr="00EA190F">
        <w:rPr>
          <w:color w:val="000000"/>
        </w:rPr>
        <w:t>for</w:t>
      </w:r>
      <w:r w:rsidR="005E554D" w:rsidRPr="00EA190F">
        <w:rPr>
          <w:color w:val="000000"/>
        </w:rPr>
        <w:t xml:space="preserve"> </w:t>
      </w:r>
      <w:smartTag w:uri="urn:schemas-microsoft-com:office:smarttags" w:element="place">
        <w:r w:rsidR="005E554D" w:rsidRPr="00EA190F">
          <w:rPr>
            <w:color w:val="000000"/>
          </w:rPr>
          <w:t>Mindanao</w:t>
        </w:r>
      </w:smartTag>
    </w:p>
    <w:p w:rsidR="00240762" w:rsidRPr="00EA190F" w:rsidRDefault="00240762" w:rsidP="008C0BD7">
      <w:pPr>
        <w:pStyle w:val="BodyText"/>
        <w:tabs>
          <w:tab w:val="left" w:pos="1701"/>
        </w:tabs>
        <w:rPr>
          <w:color w:val="000000"/>
        </w:rPr>
      </w:pPr>
      <w:r w:rsidRPr="00EA190F">
        <w:rPr>
          <w:color w:val="000000"/>
        </w:rPr>
        <w:t>BESRA</w:t>
      </w:r>
      <w:r w:rsidRPr="00EA190F">
        <w:rPr>
          <w:color w:val="000000"/>
        </w:rPr>
        <w:tab/>
        <w:t>Basic Education Sector Reform Agenda</w:t>
      </w:r>
    </w:p>
    <w:p w:rsidR="00240762" w:rsidRPr="00EA190F" w:rsidRDefault="00240762" w:rsidP="008C0BD7">
      <w:pPr>
        <w:pStyle w:val="BodyText"/>
        <w:tabs>
          <w:tab w:val="left" w:pos="1701"/>
        </w:tabs>
        <w:rPr>
          <w:color w:val="000000"/>
        </w:rPr>
      </w:pPr>
      <w:r w:rsidRPr="00EA190F">
        <w:rPr>
          <w:color w:val="000000"/>
        </w:rPr>
        <w:t>LGU</w:t>
      </w:r>
      <w:r w:rsidRPr="00EA190F">
        <w:rPr>
          <w:color w:val="000000"/>
        </w:rPr>
        <w:tab/>
        <w:t>local government unit</w:t>
      </w:r>
    </w:p>
    <w:p w:rsidR="00392969" w:rsidRPr="00EA190F" w:rsidRDefault="00392969" w:rsidP="008C0BD7">
      <w:pPr>
        <w:pStyle w:val="BodyText"/>
        <w:tabs>
          <w:tab w:val="left" w:pos="1701"/>
        </w:tabs>
        <w:rPr>
          <w:color w:val="000000"/>
        </w:rPr>
      </w:pPr>
      <w:r w:rsidRPr="00EA190F">
        <w:rPr>
          <w:color w:val="000000"/>
        </w:rPr>
        <w:t>M&amp;E</w:t>
      </w:r>
      <w:r w:rsidRPr="00EA190F">
        <w:rPr>
          <w:color w:val="000000"/>
        </w:rPr>
        <w:tab/>
        <w:t>monitoring and evaluation</w:t>
      </w:r>
    </w:p>
    <w:p w:rsidR="00DE5594" w:rsidRPr="00EA190F" w:rsidRDefault="00DE5594" w:rsidP="008C0BD7">
      <w:pPr>
        <w:pStyle w:val="BodyText"/>
        <w:tabs>
          <w:tab w:val="left" w:pos="1701"/>
        </w:tabs>
        <w:rPr>
          <w:color w:val="000000"/>
        </w:rPr>
      </w:pPr>
      <w:smartTag w:uri="urn:schemas-microsoft-com:office:smarttags" w:element="Street">
        <w:smartTag w:uri="urn:schemas-microsoft-com:office:smarttags" w:element="address">
          <w:r w:rsidRPr="00EA190F">
            <w:rPr>
              <w:color w:val="000000"/>
            </w:rPr>
            <w:t>NRIMP</w:t>
          </w:r>
          <w:r w:rsidRPr="00EA190F">
            <w:rPr>
              <w:color w:val="000000"/>
            </w:rPr>
            <w:tab/>
          </w:r>
          <w:r w:rsidRPr="00EA190F">
            <w:rPr>
              <w:bCs/>
              <w:iCs/>
              <w:color w:val="000000"/>
            </w:rPr>
            <w:t>National Road</w:t>
          </w:r>
        </w:smartTag>
      </w:smartTag>
      <w:r w:rsidRPr="00EA190F">
        <w:rPr>
          <w:bCs/>
          <w:iCs/>
          <w:color w:val="000000"/>
        </w:rPr>
        <w:t xml:space="preserve"> Improvement Management Plan</w:t>
      </w:r>
    </w:p>
    <w:p w:rsidR="00240762" w:rsidRPr="00EA190F" w:rsidRDefault="00240762" w:rsidP="008C0BD7">
      <w:pPr>
        <w:pStyle w:val="BodyText"/>
        <w:tabs>
          <w:tab w:val="left" w:pos="1701"/>
        </w:tabs>
        <w:rPr>
          <w:color w:val="000000"/>
        </w:rPr>
      </w:pPr>
      <w:r w:rsidRPr="00EA190F">
        <w:rPr>
          <w:color w:val="000000"/>
        </w:rPr>
        <w:t>PACAP</w:t>
      </w:r>
      <w:r w:rsidRPr="00EA190F">
        <w:rPr>
          <w:color w:val="000000"/>
        </w:rPr>
        <w:tab/>
        <w:t>Philippines–Australia Community Assistance Program</w:t>
      </w:r>
    </w:p>
    <w:p w:rsidR="00EF0A44" w:rsidRPr="00EA190F" w:rsidRDefault="00EF0A44" w:rsidP="008C0BD7">
      <w:pPr>
        <w:pStyle w:val="BodyText"/>
        <w:tabs>
          <w:tab w:val="left" w:pos="1701"/>
        </w:tabs>
        <w:rPr>
          <w:color w:val="000000"/>
        </w:rPr>
      </w:pPr>
      <w:r w:rsidRPr="00EA190F">
        <w:rPr>
          <w:color w:val="000000"/>
        </w:rPr>
        <w:t>PAF</w:t>
      </w:r>
      <w:r w:rsidRPr="00EA190F">
        <w:rPr>
          <w:color w:val="000000"/>
        </w:rPr>
        <w:tab/>
      </w:r>
      <w:proofErr w:type="spellStart"/>
      <w:r w:rsidRPr="00EA190F">
        <w:rPr>
          <w:color w:val="000000"/>
        </w:rPr>
        <w:t>AusAID’s</w:t>
      </w:r>
      <w:proofErr w:type="spellEnd"/>
      <w:r w:rsidRPr="00EA190F">
        <w:rPr>
          <w:color w:val="000000"/>
        </w:rPr>
        <w:t xml:space="preserve"> Philippines Performance Assessment Framework</w:t>
      </w:r>
    </w:p>
    <w:p w:rsidR="00EF0A44" w:rsidRPr="00EA190F" w:rsidRDefault="00EF0A44" w:rsidP="008C0BD7">
      <w:pPr>
        <w:pStyle w:val="BodyText"/>
        <w:tabs>
          <w:tab w:val="left" w:pos="1701"/>
        </w:tabs>
        <w:rPr>
          <w:color w:val="000000"/>
        </w:rPr>
      </w:pPr>
      <w:r w:rsidRPr="00EA190F">
        <w:rPr>
          <w:color w:val="000000"/>
        </w:rPr>
        <w:t>PALS program</w:t>
      </w:r>
      <w:r w:rsidRPr="00EA190F">
        <w:rPr>
          <w:color w:val="000000"/>
        </w:rPr>
        <w:tab/>
        <w:t xml:space="preserve">Philippines–Australia Local Sustainability Program </w:t>
      </w:r>
    </w:p>
    <w:p w:rsidR="00392969" w:rsidRPr="00EA190F" w:rsidRDefault="00392969" w:rsidP="008C0BD7">
      <w:pPr>
        <w:pStyle w:val="BodyText"/>
        <w:tabs>
          <w:tab w:val="left" w:pos="1701"/>
        </w:tabs>
        <w:rPr>
          <w:color w:val="000000"/>
        </w:rPr>
      </w:pPr>
      <w:r w:rsidRPr="00EA190F">
        <w:rPr>
          <w:rFonts w:cs="Arial"/>
          <w:color w:val="000000"/>
          <w:szCs w:val="20"/>
        </w:rPr>
        <w:t>QAI</w:t>
      </w:r>
      <w:r w:rsidRPr="00EA190F">
        <w:rPr>
          <w:rFonts w:cs="Arial"/>
          <w:color w:val="000000"/>
          <w:szCs w:val="20"/>
        </w:rPr>
        <w:tab/>
        <w:t>quality at implementation</w:t>
      </w:r>
    </w:p>
    <w:p w:rsidR="00240762" w:rsidRPr="00EA190F" w:rsidRDefault="00240762" w:rsidP="008C0BD7">
      <w:pPr>
        <w:pStyle w:val="BodyText"/>
        <w:tabs>
          <w:tab w:val="left" w:pos="1701"/>
        </w:tabs>
        <w:rPr>
          <w:color w:val="000000"/>
        </w:rPr>
      </w:pPr>
      <w:r w:rsidRPr="00EA190F">
        <w:rPr>
          <w:color w:val="000000"/>
        </w:rPr>
        <w:t>RAMSE</w:t>
      </w:r>
      <w:r w:rsidRPr="00EA190F">
        <w:rPr>
          <w:color w:val="000000"/>
        </w:rPr>
        <w:tab/>
      </w:r>
      <w:r w:rsidR="00DA78C3" w:rsidRPr="00EA190F">
        <w:rPr>
          <w:color w:val="000000"/>
        </w:rPr>
        <w:t>Regio</w:t>
      </w:r>
      <w:r w:rsidR="001B4B81" w:rsidRPr="00EA190F">
        <w:rPr>
          <w:color w:val="000000"/>
        </w:rPr>
        <w:t>n-wide</w:t>
      </w:r>
      <w:r w:rsidR="00DA78C3" w:rsidRPr="00EA190F">
        <w:rPr>
          <w:color w:val="000000"/>
        </w:rPr>
        <w:t xml:space="preserve"> Assessment in Mathematics, Science and English</w:t>
      </w:r>
    </w:p>
    <w:p w:rsidR="0022329A" w:rsidRPr="00EA190F" w:rsidRDefault="0022329A" w:rsidP="008C0BD7">
      <w:pPr>
        <w:pStyle w:val="BodyText"/>
        <w:tabs>
          <w:tab w:val="left" w:pos="1701"/>
        </w:tabs>
        <w:rPr>
          <w:color w:val="000000"/>
        </w:rPr>
      </w:pPr>
      <w:r w:rsidRPr="00EA190F">
        <w:rPr>
          <w:color w:val="000000"/>
        </w:rPr>
        <w:t>STRIVE</w:t>
      </w:r>
      <w:r w:rsidRPr="00EA190F">
        <w:rPr>
          <w:color w:val="000000"/>
        </w:rPr>
        <w:tab/>
        <w:t xml:space="preserve">Strengthening Implementation of </w:t>
      </w:r>
      <w:proofErr w:type="spellStart"/>
      <w:r w:rsidRPr="00EA190F">
        <w:rPr>
          <w:color w:val="000000"/>
        </w:rPr>
        <w:t>Visayas</w:t>
      </w:r>
      <w:proofErr w:type="spellEnd"/>
      <w:r w:rsidRPr="00EA190F">
        <w:rPr>
          <w:color w:val="000000"/>
        </w:rPr>
        <w:t xml:space="preserve"> Education </w:t>
      </w:r>
    </w:p>
    <w:p w:rsidR="007443AC" w:rsidRPr="00EA190F" w:rsidRDefault="007443AC" w:rsidP="008C0BD7">
      <w:pPr>
        <w:pStyle w:val="BodyText"/>
        <w:tabs>
          <w:tab w:val="left" w:pos="1701"/>
        </w:tabs>
        <w:rPr>
          <w:color w:val="000000"/>
        </w:rPr>
      </w:pPr>
      <w:r w:rsidRPr="00EA190F">
        <w:rPr>
          <w:color w:val="000000"/>
        </w:rPr>
        <w:t>UNFPA</w:t>
      </w:r>
      <w:r w:rsidRPr="00EA190F">
        <w:rPr>
          <w:color w:val="000000"/>
        </w:rPr>
        <w:tab/>
        <w:t>United Nations Population Fund</w:t>
      </w:r>
    </w:p>
    <w:p w:rsidR="00240762" w:rsidRPr="00EA190F" w:rsidRDefault="00240762" w:rsidP="008C0BD7">
      <w:pPr>
        <w:pStyle w:val="BodyText"/>
        <w:tabs>
          <w:tab w:val="left" w:pos="1701"/>
        </w:tabs>
        <w:rPr>
          <w:color w:val="000000"/>
        </w:rPr>
      </w:pPr>
      <w:r w:rsidRPr="00EA190F">
        <w:rPr>
          <w:color w:val="000000"/>
        </w:rPr>
        <w:t>UNICEF</w:t>
      </w:r>
      <w:r w:rsidRPr="00EA190F">
        <w:rPr>
          <w:color w:val="000000"/>
        </w:rPr>
        <w:tab/>
        <w:t>United Nations Children’s Fund</w:t>
      </w:r>
    </w:p>
    <w:p w:rsidR="007443AC" w:rsidRPr="00EA190F" w:rsidRDefault="007443AC" w:rsidP="008C0BD7">
      <w:pPr>
        <w:pStyle w:val="BodyText"/>
        <w:tabs>
          <w:tab w:val="left" w:pos="1701"/>
        </w:tabs>
        <w:rPr>
          <w:color w:val="000000"/>
        </w:rPr>
      </w:pPr>
      <w:proofErr w:type="gramStart"/>
      <w:r w:rsidRPr="00EA190F">
        <w:rPr>
          <w:color w:val="000000"/>
        </w:rPr>
        <w:t>WHO</w:t>
      </w:r>
      <w:proofErr w:type="gramEnd"/>
      <w:r w:rsidRPr="00EA190F">
        <w:rPr>
          <w:color w:val="000000"/>
        </w:rPr>
        <w:tab/>
        <w:t>World Health Organization</w:t>
      </w:r>
    </w:p>
    <w:p w:rsidR="00265FA5" w:rsidRPr="00EA190F" w:rsidRDefault="00265FA5">
      <w:pPr>
        <w:pStyle w:val="TableofFigures"/>
        <w:rPr>
          <w:color w:val="000000"/>
        </w:rPr>
        <w:sectPr w:rsidR="00265FA5" w:rsidRPr="00EA190F" w:rsidSect="00BE4655">
          <w:headerReference w:type="even" r:id="rId24"/>
          <w:headerReference w:type="default" r:id="rId25"/>
          <w:footerReference w:type="even" r:id="rId26"/>
          <w:footerReference w:type="default" r:id="rId27"/>
          <w:pgSz w:w="11907" w:h="16840" w:code="9"/>
          <w:pgMar w:top="2268" w:right="1985" w:bottom="1247" w:left="1985" w:header="567" w:footer="567" w:gutter="0"/>
          <w:cols w:space="720"/>
        </w:sectPr>
      </w:pPr>
    </w:p>
    <w:p w:rsidR="00DC6501" w:rsidRPr="00EA190F" w:rsidRDefault="005973FC" w:rsidP="005973FC">
      <w:pPr>
        <w:pStyle w:val="Heading1nonumber"/>
        <w:rPr>
          <w:color w:val="000000"/>
        </w:rPr>
      </w:pPr>
      <w:bookmarkStart w:id="8" w:name="_Toc360805250"/>
      <w:r w:rsidRPr="00EA190F">
        <w:rPr>
          <w:color w:val="000000"/>
        </w:rPr>
        <w:lastRenderedPageBreak/>
        <w:t>Summary</w:t>
      </w:r>
      <w:bookmarkEnd w:id="8"/>
    </w:p>
    <w:p w:rsidR="005973FC" w:rsidRPr="00EA190F" w:rsidRDefault="005973FC" w:rsidP="005973FC">
      <w:pPr>
        <w:pStyle w:val="Heading2nonumber"/>
        <w:rPr>
          <w:color w:val="000000"/>
        </w:rPr>
      </w:pPr>
      <w:bookmarkStart w:id="9" w:name="_Toc204488385"/>
      <w:bookmarkStart w:id="10" w:name="_Toc204488441"/>
      <w:bookmarkStart w:id="11" w:name="_Toc204749298"/>
      <w:bookmarkStart w:id="12" w:name="_Toc204766260"/>
      <w:bookmarkStart w:id="13" w:name="_Toc205610883"/>
      <w:bookmarkStart w:id="14" w:name="_Toc208289158"/>
      <w:bookmarkStart w:id="15" w:name="_Toc210792994"/>
      <w:bookmarkStart w:id="16" w:name="_Toc215306770"/>
      <w:bookmarkStart w:id="17" w:name="_Toc360805251"/>
      <w:r w:rsidRPr="00EA190F">
        <w:rPr>
          <w:color w:val="000000"/>
        </w:rPr>
        <w:t>Overview</w:t>
      </w:r>
      <w:bookmarkEnd w:id="9"/>
      <w:bookmarkEnd w:id="10"/>
      <w:bookmarkEnd w:id="11"/>
      <w:bookmarkEnd w:id="12"/>
      <w:bookmarkEnd w:id="13"/>
      <w:bookmarkEnd w:id="14"/>
      <w:bookmarkEnd w:id="15"/>
      <w:bookmarkEnd w:id="16"/>
      <w:bookmarkEnd w:id="17"/>
    </w:p>
    <w:p w:rsidR="005973FC" w:rsidRPr="00EA190F" w:rsidRDefault="005973FC" w:rsidP="005973FC">
      <w:pPr>
        <w:pStyle w:val="BodyText"/>
        <w:rPr>
          <w:color w:val="000000"/>
        </w:rPr>
      </w:pPr>
      <w:r w:rsidRPr="00EA190F">
        <w:rPr>
          <w:color w:val="000000"/>
        </w:rPr>
        <w:t xml:space="preserve">Through the </w:t>
      </w:r>
      <w:r w:rsidR="008F6566" w:rsidRPr="00EA190F">
        <w:rPr>
          <w:color w:val="000000"/>
        </w:rPr>
        <w:t>2004–</w:t>
      </w:r>
      <w:r w:rsidRPr="00EA190F">
        <w:rPr>
          <w:color w:val="000000"/>
        </w:rPr>
        <w:t xml:space="preserve">10, the Government </w:t>
      </w:r>
      <w:r w:rsidR="00FA31C4" w:rsidRPr="00EA190F">
        <w:rPr>
          <w:color w:val="000000"/>
        </w:rPr>
        <w:t xml:space="preserve">of the </w:t>
      </w:r>
      <w:smartTag w:uri="urn:schemas-microsoft-com:office:smarttags" w:element="country-region">
        <w:smartTag w:uri="urn:schemas-microsoft-com:office:smarttags" w:element="place">
          <w:r w:rsidR="00FA31C4" w:rsidRPr="00EA190F">
            <w:rPr>
              <w:color w:val="000000"/>
            </w:rPr>
            <w:t>Philippines</w:t>
          </w:r>
        </w:smartTag>
      </w:smartTag>
      <w:r w:rsidR="00FA31C4" w:rsidRPr="00EA190F">
        <w:rPr>
          <w:color w:val="000000"/>
        </w:rPr>
        <w:t xml:space="preserve"> </w:t>
      </w:r>
      <w:r w:rsidRPr="00EA190F">
        <w:rPr>
          <w:color w:val="000000"/>
        </w:rPr>
        <w:t>stated it is committed to policy and institutional changes that assist the poor and sustain</w:t>
      </w:r>
      <w:r w:rsidR="008F6566" w:rsidRPr="00EA190F">
        <w:rPr>
          <w:color w:val="000000"/>
        </w:rPr>
        <w:t xml:space="preserve"> economic growth. The </w:t>
      </w:r>
      <w:r w:rsidR="008F6566" w:rsidRPr="00EA190F">
        <w:rPr>
          <w:i/>
          <w:color w:val="000000"/>
        </w:rPr>
        <w:t>Australia–</w:t>
      </w:r>
      <w:r w:rsidRPr="00EA190F">
        <w:rPr>
          <w:i/>
          <w:color w:val="000000"/>
        </w:rPr>
        <w:t>Philippines Development Assistance Strategy 2</w:t>
      </w:r>
      <w:r w:rsidR="008F6566" w:rsidRPr="00EA190F">
        <w:rPr>
          <w:i/>
          <w:color w:val="000000"/>
        </w:rPr>
        <w:t>007–</w:t>
      </w:r>
      <w:r w:rsidRPr="00EA190F">
        <w:rPr>
          <w:i/>
          <w:color w:val="000000"/>
        </w:rPr>
        <w:t>11</w:t>
      </w:r>
      <w:r w:rsidRPr="00EA190F">
        <w:rPr>
          <w:color w:val="000000"/>
        </w:rPr>
        <w:t xml:space="preserve"> supports the </w:t>
      </w:r>
      <w:r w:rsidR="00651694" w:rsidRPr="00EA190F">
        <w:rPr>
          <w:color w:val="000000"/>
        </w:rPr>
        <w:t xml:space="preserve">development plan </w:t>
      </w:r>
      <w:r w:rsidRPr="00EA190F">
        <w:rPr>
          <w:color w:val="000000"/>
        </w:rPr>
        <w:t>with the overarching objective to contribute to improving the prospects for economic growth, poverty reduction and national stability. Priority areas of support are programs contributing to economic growth, education</w:t>
      </w:r>
      <w:r w:rsidR="00651694" w:rsidRPr="00EA190F">
        <w:rPr>
          <w:color w:val="000000"/>
        </w:rPr>
        <w:t>,</w:t>
      </w:r>
      <w:r w:rsidRPr="00EA190F">
        <w:rPr>
          <w:color w:val="000000"/>
        </w:rPr>
        <w:t xml:space="preserve"> national sta</w:t>
      </w:r>
      <w:r w:rsidR="008F6566" w:rsidRPr="00EA190F">
        <w:rPr>
          <w:color w:val="000000"/>
        </w:rPr>
        <w:t>bility and human security. 2007–</w:t>
      </w:r>
      <w:r w:rsidRPr="00EA190F">
        <w:rPr>
          <w:color w:val="000000"/>
        </w:rPr>
        <w:t xml:space="preserve">08 is the first assessment year for the new strategy. </w:t>
      </w:r>
    </w:p>
    <w:p w:rsidR="00562C1E" w:rsidRPr="00EA190F" w:rsidRDefault="00562C1E" w:rsidP="00562C1E">
      <w:pPr>
        <w:pStyle w:val="Heading2nonumber"/>
        <w:rPr>
          <w:color w:val="000000"/>
        </w:rPr>
      </w:pPr>
      <w:bookmarkStart w:id="18" w:name="_Toc204488386"/>
      <w:bookmarkStart w:id="19" w:name="_Toc204488442"/>
      <w:bookmarkStart w:id="20" w:name="_Toc204749299"/>
      <w:bookmarkStart w:id="21" w:name="_Toc204766261"/>
      <w:bookmarkStart w:id="22" w:name="_Toc205610884"/>
      <w:bookmarkStart w:id="23" w:name="_Toc208289159"/>
      <w:bookmarkStart w:id="24" w:name="_Toc210792995"/>
      <w:bookmarkStart w:id="25" w:name="_Toc215306771"/>
      <w:bookmarkStart w:id="26" w:name="_Toc360805252"/>
      <w:r w:rsidRPr="00EA190F">
        <w:rPr>
          <w:color w:val="000000"/>
        </w:rPr>
        <w:t>Major results</w:t>
      </w:r>
      <w:bookmarkEnd w:id="18"/>
      <w:bookmarkEnd w:id="19"/>
      <w:bookmarkEnd w:id="20"/>
      <w:bookmarkEnd w:id="21"/>
      <w:bookmarkEnd w:id="22"/>
      <w:bookmarkEnd w:id="23"/>
      <w:bookmarkEnd w:id="24"/>
      <w:bookmarkEnd w:id="25"/>
      <w:bookmarkEnd w:id="26"/>
      <w:r w:rsidRPr="00EA190F">
        <w:rPr>
          <w:color w:val="000000"/>
        </w:rPr>
        <w:t xml:space="preserve"> </w:t>
      </w:r>
    </w:p>
    <w:p w:rsidR="00562C1E" w:rsidRPr="00EA190F" w:rsidRDefault="00562C1E" w:rsidP="007F2422">
      <w:pPr>
        <w:pStyle w:val="ListBullet"/>
      </w:pPr>
      <w:r w:rsidRPr="00EA190F">
        <w:t xml:space="preserve">The Government </w:t>
      </w:r>
      <w:r w:rsidR="00FA31C4" w:rsidRPr="00EA190F">
        <w:t xml:space="preserve">of the Philippines </w:t>
      </w:r>
      <w:r w:rsidRPr="00EA190F">
        <w:t xml:space="preserve">used performance-based instruments/frameworks for preparing the 2007 and 2008 national budgets with AusAID technical assistance. This should result in more appropriate revenue allocations and efficient delivery of public services. </w:t>
      </w:r>
    </w:p>
    <w:p w:rsidR="005973FC" w:rsidRPr="00EA190F" w:rsidRDefault="005973FC" w:rsidP="00651694">
      <w:pPr>
        <w:pStyle w:val="Caption"/>
        <w:ind w:left="0" w:firstLine="0"/>
        <w:rPr>
          <w:color w:val="000000"/>
        </w:rPr>
      </w:pPr>
      <w:r w:rsidRPr="00EA190F">
        <w:rPr>
          <w:color w:val="000000"/>
        </w:rPr>
        <w:t>Ratings</w:t>
      </w:r>
      <w:r w:rsidR="00651694" w:rsidRPr="00EA190F">
        <w:rPr>
          <w:color w:val="000000"/>
        </w:rPr>
        <w:t xml:space="preserve"> of the </w:t>
      </w:r>
      <w:smartTag w:uri="urn:schemas-microsoft-com:office:smarttags" w:element="country-region">
        <w:smartTag w:uri="urn:schemas-microsoft-com:office:smarttags" w:element="place">
          <w:r w:rsidR="00651694" w:rsidRPr="00EA190F">
            <w:rPr>
              <w:color w:val="000000"/>
            </w:rPr>
            <w:t>Philippines</w:t>
          </w:r>
        </w:smartTag>
      </w:smartTag>
      <w:r w:rsidR="00651694" w:rsidRPr="00EA190F">
        <w:rPr>
          <w:color w:val="000000"/>
        </w:rPr>
        <w:t xml:space="preserve"> program in achieving the objectives of the assistance strategy 2007–11</w:t>
      </w:r>
    </w:p>
    <w:tbl>
      <w:tblPr>
        <w:tblW w:w="0" w:type="auto"/>
        <w:tblInd w:w="57" w:type="dxa"/>
        <w:tblCellMar>
          <w:left w:w="56" w:type="dxa"/>
          <w:right w:w="56" w:type="dxa"/>
        </w:tblCellMar>
        <w:tblLook w:val="01E0" w:firstRow="1" w:lastRow="1" w:firstColumn="1" w:lastColumn="1" w:noHBand="0" w:noVBand="0"/>
      </w:tblPr>
      <w:tblGrid>
        <w:gridCol w:w="4787"/>
        <w:gridCol w:w="1077"/>
        <w:gridCol w:w="2073"/>
      </w:tblGrid>
      <w:tr w:rsidR="007F2422" w:rsidRPr="00EA190F" w:rsidTr="007F2422">
        <w:trPr>
          <w:cantSplit/>
          <w:trHeight w:val="62"/>
          <w:tblHeader/>
        </w:trPr>
        <w:tc>
          <w:tcPr>
            <w:tcW w:w="4787" w:type="dxa"/>
            <w:tcBorders>
              <w:top w:val="single" w:sz="4" w:space="0" w:color="auto"/>
              <w:bottom w:val="single" w:sz="4" w:space="0" w:color="auto"/>
            </w:tcBorders>
          </w:tcPr>
          <w:p w:rsidR="007F2422" w:rsidRPr="00EA190F" w:rsidRDefault="007F2422" w:rsidP="00710408">
            <w:pPr>
              <w:pStyle w:val="Tablecolumnheadings"/>
              <w:jc w:val="left"/>
              <w:rPr>
                <w:color w:val="000000"/>
              </w:rPr>
            </w:pPr>
            <w:r w:rsidRPr="00EA190F">
              <w:rPr>
                <w:color w:val="000000"/>
              </w:rPr>
              <w:t>Objective</w:t>
            </w:r>
          </w:p>
        </w:tc>
        <w:tc>
          <w:tcPr>
            <w:tcW w:w="1077" w:type="dxa"/>
            <w:tcBorders>
              <w:top w:val="single" w:sz="4" w:space="0" w:color="auto"/>
              <w:bottom w:val="single" w:sz="4" w:space="0" w:color="auto"/>
            </w:tcBorders>
          </w:tcPr>
          <w:p w:rsidR="007F2422" w:rsidRPr="00EA190F" w:rsidRDefault="007F2422" w:rsidP="00710408">
            <w:pPr>
              <w:pStyle w:val="Tablecolumnheadings"/>
              <w:ind w:right="170"/>
              <w:rPr>
                <w:color w:val="000000"/>
              </w:rPr>
            </w:pPr>
            <w:r w:rsidRPr="00EA190F">
              <w:rPr>
                <w:color w:val="000000"/>
              </w:rPr>
              <w:t>Rating</w:t>
            </w:r>
          </w:p>
        </w:tc>
        <w:tc>
          <w:tcPr>
            <w:tcW w:w="2073" w:type="dxa"/>
            <w:tcBorders>
              <w:top w:val="single" w:sz="4" w:space="0" w:color="auto"/>
              <w:bottom w:val="single" w:sz="4" w:space="0" w:color="auto"/>
            </w:tcBorders>
          </w:tcPr>
          <w:p w:rsidR="007F2422" w:rsidRPr="00EA190F" w:rsidRDefault="007F2422" w:rsidP="00710408">
            <w:pPr>
              <w:pStyle w:val="Tablecolumnheadings"/>
              <w:rPr>
                <w:color w:val="000000"/>
              </w:rPr>
            </w:pPr>
            <w:r w:rsidRPr="00EA190F">
              <w:rPr>
                <w:color w:val="000000"/>
              </w:rPr>
              <w:t>Relative to previous rating</w:t>
            </w:r>
          </w:p>
        </w:tc>
      </w:tr>
      <w:tr w:rsidR="007F2422" w:rsidRPr="00EA190F" w:rsidTr="007F2422">
        <w:trPr>
          <w:cantSplit/>
          <w:trHeight w:val="62"/>
        </w:trPr>
        <w:tc>
          <w:tcPr>
            <w:tcW w:w="4787" w:type="dxa"/>
            <w:tcBorders>
              <w:top w:val="single" w:sz="4" w:space="0" w:color="auto"/>
            </w:tcBorders>
          </w:tcPr>
          <w:p w:rsidR="007F2422" w:rsidRPr="00EA190F" w:rsidRDefault="007F2422" w:rsidP="00E34EE5">
            <w:pPr>
              <w:pStyle w:val="Tablebody"/>
              <w:jc w:val="left"/>
              <w:rPr>
                <w:rFonts w:cs="Arial"/>
                <w:color w:val="000000"/>
              </w:rPr>
            </w:pPr>
            <w:r w:rsidRPr="00EA190F">
              <w:rPr>
                <w:color w:val="000000"/>
              </w:rPr>
              <w:t>Government agencies are better able to implement transparent and efficient budgets</w:t>
            </w:r>
          </w:p>
        </w:tc>
        <w:tc>
          <w:tcPr>
            <w:tcW w:w="1077" w:type="dxa"/>
            <w:tcBorders>
              <w:top w:val="single" w:sz="4" w:space="0" w:color="auto"/>
            </w:tcBorders>
          </w:tcPr>
          <w:p w:rsidR="007F2422" w:rsidRPr="009B473C" w:rsidRDefault="007F2422" w:rsidP="00E34EE5">
            <w:pPr>
              <w:pStyle w:val="Tablebody"/>
              <w:spacing w:after="0"/>
              <w:jc w:val="center"/>
              <w:rPr>
                <w:color w:val="00FF00"/>
                <w:sz w:val="24"/>
                <w:szCs w:val="24"/>
              </w:rPr>
            </w:pPr>
            <w:r w:rsidRPr="009B473C">
              <w:rPr>
                <w:color w:val="00FF00"/>
                <w:sz w:val="24"/>
                <w:szCs w:val="24"/>
              </w:rPr>
              <w:sym w:font="Wingdings" w:char="F06E"/>
            </w:r>
          </w:p>
          <w:p w:rsidR="007F2422" w:rsidRPr="00EA190F" w:rsidRDefault="007F2422" w:rsidP="00E34EE5">
            <w:pPr>
              <w:pStyle w:val="Tablebody"/>
              <w:spacing w:before="0"/>
              <w:jc w:val="center"/>
              <w:rPr>
                <w:color w:val="000000"/>
              </w:rPr>
            </w:pPr>
            <w:r w:rsidRPr="00EA190F">
              <w:rPr>
                <w:color w:val="000000"/>
              </w:rPr>
              <w:t>(green)</w:t>
            </w:r>
          </w:p>
        </w:tc>
        <w:tc>
          <w:tcPr>
            <w:tcW w:w="2073" w:type="dxa"/>
            <w:tcBorders>
              <w:top w:val="single" w:sz="4" w:space="0" w:color="auto"/>
            </w:tcBorders>
          </w:tcPr>
          <w:p w:rsidR="007F2422" w:rsidRPr="00EA190F" w:rsidRDefault="007F2422" w:rsidP="00E34EE5">
            <w:pPr>
              <w:pStyle w:val="Tablebody"/>
              <w:ind w:left="196"/>
              <w:jc w:val="center"/>
              <w:rPr>
                <w:iCs/>
                <w:color w:val="000000"/>
              </w:rPr>
            </w:pPr>
            <w:r w:rsidRPr="00EA190F">
              <w:rPr>
                <w:iCs/>
                <w:color w:val="000000"/>
              </w:rPr>
              <w:t>Improved</w:t>
            </w:r>
          </w:p>
        </w:tc>
      </w:tr>
      <w:tr w:rsidR="007F2422" w:rsidRPr="00EA190F" w:rsidTr="007F2422">
        <w:trPr>
          <w:cantSplit/>
          <w:trHeight w:val="62"/>
        </w:trPr>
        <w:tc>
          <w:tcPr>
            <w:tcW w:w="4787" w:type="dxa"/>
          </w:tcPr>
          <w:p w:rsidR="007F2422" w:rsidRPr="00EA190F" w:rsidRDefault="007F2422" w:rsidP="00E34EE5">
            <w:pPr>
              <w:pStyle w:val="Tablebody"/>
              <w:jc w:val="left"/>
              <w:rPr>
                <w:i/>
                <w:color w:val="000000"/>
              </w:rPr>
            </w:pPr>
            <w:r w:rsidRPr="00EA190F">
              <w:rPr>
                <w:color w:val="000000"/>
              </w:rPr>
              <w:t>Improved accountability, transparency and management of investments in transport infrastructure</w:t>
            </w:r>
          </w:p>
        </w:tc>
        <w:tc>
          <w:tcPr>
            <w:tcW w:w="1077" w:type="dxa"/>
          </w:tcPr>
          <w:p w:rsidR="007F2422" w:rsidRPr="009B473C" w:rsidRDefault="007F2422" w:rsidP="00E34EE5">
            <w:pPr>
              <w:pStyle w:val="Tablebody"/>
              <w:spacing w:after="0"/>
              <w:jc w:val="center"/>
              <w:rPr>
                <w:color w:val="FF9900"/>
              </w:rPr>
            </w:pPr>
            <w:r w:rsidRPr="009B473C">
              <w:rPr>
                <w:color w:val="FF9900"/>
                <w:sz w:val="24"/>
                <w:szCs w:val="24"/>
              </w:rPr>
              <w:sym w:font="Wingdings" w:char="F06E"/>
            </w:r>
          </w:p>
          <w:p w:rsidR="007F2422" w:rsidRPr="00EA190F" w:rsidRDefault="007F2422" w:rsidP="00E34EE5">
            <w:pPr>
              <w:pStyle w:val="Tablebody"/>
              <w:spacing w:before="0"/>
              <w:jc w:val="center"/>
              <w:rPr>
                <w:color w:val="000000"/>
              </w:rPr>
            </w:pPr>
            <w:r w:rsidRPr="00EA190F">
              <w:rPr>
                <w:color w:val="000000"/>
              </w:rPr>
              <w:t>(amber)</w:t>
            </w:r>
          </w:p>
        </w:tc>
        <w:tc>
          <w:tcPr>
            <w:tcW w:w="2073" w:type="dxa"/>
          </w:tcPr>
          <w:p w:rsidR="007F2422" w:rsidRPr="00EA190F" w:rsidRDefault="007F2422" w:rsidP="00E34EE5">
            <w:pPr>
              <w:pStyle w:val="Tablebody"/>
              <w:ind w:left="196"/>
              <w:jc w:val="center"/>
              <w:rPr>
                <w:i/>
                <w:color w:val="000000"/>
              </w:rPr>
            </w:pPr>
            <w:r w:rsidRPr="00EA190F">
              <w:rPr>
                <w:iCs/>
                <w:color w:val="000000"/>
              </w:rPr>
              <w:t>Unchanged</w:t>
            </w:r>
          </w:p>
        </w:tc>
      </w:tr>
      <w:tr w:rsidR="007F2422" w:rsidRPr="00EA190F" w:rsidTr="007F2422">
        <w:trPr>
          <w:cantSplit/>
          <w:trHeight w:val="62"/>
        </w:trPr>
        <w:tc>
          <w:tcPr>
            <w:tcW w:w="4787" w:type="dxa"/>
          </w:tcPr>
          <w:p w:rsidR="007F2422" w:rsidRPr="00EA190F" w:rsidRDefault="007F2422" w:rsidP="00E34EE5">
            <w:pPr>
              <w:pStyle w:val="Tablebody"/>
              <w:jc w:val="left"/>
              <w:rPr>
                <w:color w:val="000000"/>
              </w:rPr>
            </w:pPr>
            <w:r w:rsidRPr="00EA190F">
              <w:rPr>
                <w:color w:val="000000"/>
              </w:rPr>
              <w:t>Improved economic opportunity for rural people through increases in productivity, access to markets, better infrastructure, and growth of small–medium enterprises in targeted provinces</w:t>
            </w:r>
          </w:p>
        </w:tc>
        <w:tc>
          <w:tcPr>
            <w:tcW w:w="1077" w:type="dxa"/>
          </w:tcPr>
          <w:p w:rsidR="007F2422" w:rsidRPr="009B473C" w:rsidRDefault="007F2422" w:rsidP="00E34EE5">
            <w:pPr>
              <w:pStyle w:val="Tablebody"/>
              <w:spacing w:after="0"/>
              <w:jc w:val="center"/>
              <w:rPr>
                <w:color w:val="FF9900"/>
              </w:rPr>
            </w:pPr>
            <w:r w:rsidRPr="009B473C">
              <w:rPr>
                <w:color w:val="FF9900"/>
                <w:sz w:val="24"/>
                <w:szCs w:val="24"/>
              </w:rPr>
              <w:sym w:font="Wingdings" w:char="F06E"/>
            </w:r>
          </w:p>
          <w:p w:rsidR="007F2422" w:rsidRPr="00EA190F" w:rsidRDefault="007F2422" w:rsidP="00E34EE5">
            <w:pPr>
              <w:pStyle w:val="Tablebody"/>
              <w:spacing w:before="0"/>
              <w:jc w:val="center"/>
              <w:rPr>
                <w:color w:val="000000"/>
              </w:rPr>
            </w:pPr>
            <w:r w:rsidRPr="00EA190F">
              <w:rPr>
                <w:color w:val="000000"/>
              </w:rPr>
              <w:t>(amber)</w:t>
            </w:r>
          </w:p>
        </w:tc>
        <w:tc>
          <w:tcPr>
            <w:tcW w:w="2073" w:type="dxa"/>
          </w:tcPr>
          <w:p w:rsidR="007F2422" w:rsidRPr="00EA190F" w:rsidRDefault="007F2422" w:rsidP="00E34EE5">
            <w:pPr>
              <w:pStyle w:val="Tablebody"/>
              <w:ind w:left="196"/>
              <w:jc w:val="center"/>
              <w:rPr>
                <w:i/>
                <w:color w:val="000000"/>
              </w:rPr>
            </w:pPr>
            <w:r w:rsidRPr="00EA190F">
              <w:rPr>
                <w:iCs/>
                <w:color w:val="000000"/>
              </w:rPr>
              <w:t>Unchanged</w:t>
            </w:r>
          </w:p>
        </w:tc>
      </w:tr>
      <w:tr w:rsidR="007F2422" w:rsidRPr="00EA190F" w:rsidTr="007F2422">
        <w:trPr>
          <w:cantSplit/>
          <w:trHeight w:val="62"/>
        </w:trPr>
        <w:tc>
          <w:tcPr>
            <w:tcW w:w="4787" w:type="dxa"/>
          </w:tcPr>
          <w:p w:rsidR="007F2422" w:rsidRPr="00EA190F" w:rsidRDefault="007F2422" w:rsidP="00E34EE5">
            <w:pPr>
              <w:pStyle w:val="Tablebody"/>
              <w:jc w:val="left"/>
              <w:rPr>
                <w:color w:val="000000"/>
              </w:rPr>
            </w:pPr>
            <w:r w:rsidRPr="00EA190F">
              <w:rPr>
                <w:color w:val="000000"/>
              </w:rPr>
              <w:t>The Department of Education is better able to manage its resources to support schools and teachers</w:t>
            </w:r>
          </w:p>
        </w:tc>
        <w:tc>
          <w:tcPr>
            <w:tcW w:w="1077" w:type="dxa"/>
          </w:tcPr>
          <w:p w:rsidR="007F2422" w:rsidRPr="009B473C" w:rsidRDefault="007F2422" w:rsidP="00E34EE5">
            <w:pPr>
              <w:pStyle w:val="Tablebody"/>
              <w:spacing w:after="0"/>
              <w:jc w:val="center"/>
              <w:rPr>
                <w:color w:val="00FF00"/>
                <w:sz w:val="24"/>
                <w:szCs w:val="24"/>
              </w:rPr>
            </w:pPr>
            <w:r w:rsidRPr="009B473C">
              <w:rPr>
                <w:color w:val="00FF00"/>
                <w:sz w:val="24"/>
                <w:szCs w:val="24"/>
              </w:rPr>
              <w:sym w:font="Wingdings" w:char="F06E"/>
            </w:r>
          </w:p>
          <w:p w:rsidR="007F2422" w:rsidRPr="00EA190F" w:rsidRDefault="007F2422" w:rsidP="00E34EE5">
            <w:pPr>
              <w:pStyle w:val="Tablebody"/>
              <w:spacing w:before="0"/>
              <w:jc w:val="center"/>
              <w:rPr>
                <w:color w:val="000000"/>
              </w:rPr>
            </w:pPr>
            <w:r w:rsidRPr="00EA190F">
              <w:rPr>
                <w:color w:val="000000"/>
              </w:rPr>
              <w:t>(green)</w:t>
            </w:r>
          </w:p>
        </w:tc>
        <w:tc>
          <w:tcPr>
            <w:tcW w:w="2073" w:type="dxa"/>
          </w:tcPr>
          <w:p w:rsidR="007F2422" w:rsidRPr="00EA190F" w:rsidRDefault="007F2422" w:rsidP="00E34EE5">
            <w:pPr>
              <w:pStyle w:val="Tablebody"/>
              <w:ind w:left="196"/>
              <w:jc w:val="center"/>
              <w:rPr>
                <w:iCs/>
                <w:color w:val="000000"/>
              </w:rPr>
            </w:pPr>
            <w:r w:rsidRPr="00EA190F">
              <w:rPr>
                <w:iCs/>
                <w:color w:val="000000"/>
              </w:rPr>
              <w:t>Unchanged</w:t>
            </w:r>
          </w:p>
        </w:tc>
      </w:tr>
      <w:tr w:rsidR="007F2422" w:rsidRPr="00EA190F" w:rsidTr="007F2422">
        <w:trPr>
          <w:cantSplit/>
          <w:trHeight w:val="62"/>
        </w:trPr>
        <w:tc>
          <w:tcPr>
            <w:tcW w:w="4787" w:type="dxa"/>
          </w:tcPr>
          <w:p w:rsidR="007F2422" w:rsidRPr="00EA190F" w:rsidRDefault="007F2422" w:rsidP="00E34EE5">
            <w:pPr>
              <w:pStyle w:val="Tablebody"/>
              <w:jc w:val="left"/>
              <w:rPr>
                <w:rFonts w:cs="Arial"/>
                <w:bCs/>
                <w:color w:val="000000"/>
              </w:rPr>
            </w:pPr>
            <w:r w:rsidRPr="00EA190F">
              <w:rPr>
                <w:color w:val="000000"/>
              </w:rPr>
              <w:t>Improved education opportunities for boys and girls in targeted areas</w:t>
            </w:r>
          </w:p>
        </w:tc>
        <w:tc>
          <w:tcPr>
            <w:tcW w:w="1077" w:type="dxa"/>
          </w:tcPr>
          <w:p w:rsidR="007F2422" w:rsidRPr="009B473C" w:rsidRDefault="007F2422" w:rsidP="00E34EE5">
            <w:pPr>
              <w:pStyle w:val="Tablebody"/>
              <w:spacing w:after="0"/>
              <w:jc w:val="center"/>
              <w:rPr>
                <w:color w:val="FF9900"/>
              </w:rPr>
            </w:pPr>
            <w:r w:rsidRPr="009B473C">
              <w:rPr>
                <w:color w:val="FF9900"/>
                <w:sz w:val="24"/>
                <w:szCs w:val="24"/>
              </w:rPr>
              <w:sym w:font="Wingdings" w:char="F06E"/>
            </w:r>
          </w:p>
          <w:p w:rsidR="007F2422" w:rsidRPr="00EA190F" w:rsidRDefault="007F2422" w:rsidP="00E34EE5">
            <w:pPr>
              <w:pStyle w:val="Tablebody"/>
              <w:spacing w:before="0"/>
              <w:jc w:val="center"/>
              <w:rPr>
                <w:color w:val="000000"/>
              </w:rPr>
            </w:pPr>
            <w:r w:rsidRPr="00EA190F">
              <w:rPr>
                <w:color w:val="000000"/>
              </w:rPr>
              <w:t>(amber)</w:t>
            </w:r>
          </w:p>
        </w:tc>
        <w:tc>
          <w:tcPr>
            <w:tcW w:w="2073" w:type="dxa"/>
          </w:tcPr>
          <w:p w:rsidR="007F2422" w:rsidRPr="00EA190F" w:rsidRDefault="007F2422" w:rsidP="00E34EE5">
            <w:pPr>
              <w:pStyle w:val="Tablebody"/>
              <w:ind w:left="196"/>
              <w:jc w:val="center"/>
              <w:rPr>
                <w:i/>
                <w:color w:val="000000"/>
              </w:rPr>
            </w:pPr>
            <w:r w:rsidRPr="00EA190F">
              <w:rPr>
                <w:iCs/>
                <w:color w:val="000000"/>
              </w:rPr>
              <w:t>Unchanged</w:t>
            </w:r>
          </w:p>
        </w:tc>
      </w:tr>
      <w:tr w:rsidR="007F2422" w:rsidRPr="00EA190F" w:rsidTr="007F2422">
        <w:trPr>
          <w:cantSplit/>
          <w:trHeight w:val="62"/>
        </w:trPr>
        <w:tc>
          <w:tcPr>
            <w:tcW w:w="4787" w:type="dxa"/>
          </w:tcPr>
          <w:p w:rsidR="007F2422" w:rsidRPr="00EA190F" w:rsidRDefault="007F2422" w:rsidP="00E34EE5">
            <w:pPr>
              <w:pStyle w:val="Tablebody"/>
              <w:jc w:val="left"/>
              <w:rPr>
                <w:iCs/>
                <w:color w:val="000000"/>
              </w:rPr>
            </w:pPr>
            <w:smartTag w:uri="urn:schemas-microsoft-com:office:smarttags" w:element="place">
              <w:r w:rsidRPr="00EA190F">
                <w:rPr>
                  <w:color w:val="000000"/>
                </w:rPr>
                <w:t>Mindanao</w:t>
              </w:r>
            </w:smartTag>
            <w:r w:rsidRPr="00EA190F">
              <w:rPr>
                <w:color w:val="000000"/>
              </w:rPr>
              <w:t xml:space="preserve"> peace processes are reinforced through more effective participation by communities and institutions</w:t>
            </w:r>
          </w:p>
        </w:tc>
        <w:tc>
          <w:tcPr>
            <w:tcW w:w="1077" w:type="dxa"/>
          </w:tcPr>
          <w:p w:rsidR="007F2422" w:rsidRPr="009B473C" w:rsidRDefault="007F2422" w:rsidP="00E34EE5">
            <w:pPr>
              <w:pStyle w:val="Tablebody"/>
              <w:spacing w:after="0"/>
              <w:jc w:val="center"/>
              <w:rPr>
                <w:color w:val="FF9900"/>
              </w:rPr>
            </w:pPr>
            <w:r w:rsidRPr="009B473C">
              <w:rPr>
                <w:color w:val="FF9900"/>
                <w:sz w:val="24"/>
                <w:szCs w:val="24"/>
              </w:rPr>
              <w:sym w:font="Wingdings" w:char="F06E"/>
            </w:r>
          </w:p>
          <w:p w:rsidR="007F2422" w:rsidRPr="00EA190F" w:rsidRDefault="007F2422" w:rsidP="00E34EE5">
            <w:pPr>
              <w:pStyle w:val="Tablebody"/>
              <w:spacing w:before="0"/>
              <w:jc w:val="center"/>
              <w:rPr>
                <w:color w:val="000000"/>
              </w:rPr>
            </w:pPr>
            <w:r w:rsidRPr="00EA190F">
              <w:rPr>
                <w:color w:val="000000"/>
              </w:rPr>
              <w:t>(amber)</w:t>
            </w:r>
          </w:p>
        </w:tc>
        <w:tc>
          <w:tcPr>
            <w:tcW w:w="2073" w:type="dxa"/>
          </w:tcPr>
          <w:p w:rsidR="007F2422" w:rsidRPr="00EA190F" w:rsidRDefault="007F2422" w:rsidP="00E34EE5">
            <w:pPr>
              <w:pStyle w:val="Tablebody"/>
              <w:ind w:left="196"/>
              <w:jc w:val="center"/>
              <w:rPr>
                <w:i/>
                <w:color w:val="000000"/>
              </w:rPr>
            </w:pPr>
            <w:r w:rsidRPr="00EA190F">
              <w:rPr>
                <w:iCs/>
                <w:color w:val="000000"/>
              </w:rPr>
              <w:t>Unchanged</w:t>
            </w:r>
          </w:p>
        </w:tc>
      </w:tr>
      <w:tr w:rsidR="007F2422" w:rsidRPr="00EA190F" w:rsidTr="007F2422">
        <w:trPr>
          <w:cantSplit/>
          <w:trHeight w:val="62"/>
        </w:trPr>
        <w:tc>
          <w:tcPr>
            <w:tcW w:w="4787" w:type="dxa"/>
          </w:tcPr>
          <w:p w:rsidR="007F2422" w:rsidRPr="00EA190F" w:rsidRDefault="007F2422" w:rsidP="00E34EE5">
            <w:pPr>
              <w:pStyle w:val="Tablebody"/>
              <w:jc w:val="left"/>
              <w:rPr>
                <w:iCs/>
                <w:color w:val="000000"/>
              </w:rPr>
            </w:pPr>
            <w:r w:rsidRPr="00EA190F">
              <w:rPr>
                <w:color w:val="000000"/>
              </w:rPr>
              <w:t>Enhanced basic services and livelihoods in conflict-affected communities</w:t>
            </w:r>
          </w:p>
        </w:tc>
        <w:tc>
          <w:tcPr>
            <w:tcW w:w="1077" w:type="dxa"/>
          </w:tcPr>
          <w:p w:rsidR="007F2422" w:rsidRPr="009B473C" w:rsidRDefault="007F2422" w:rsidP="00E34EE5">
            <w:pPr>
              <w:pStyle w:val="Tablebody"/>
              <w:spacing w:after="0"/>
              <w:jc w:val="center"/>
              <w:rPr>
                <w:color w:val="FF9900"/>
              </w:rPr>
            </w:pPr>
            <w:r w:rsidRPr="009B473C">
              <w:rPr>
                <w:color w:val="FF9900"/>
                <w:sz w:val="24"/>
                <w:szCs w:val="24"/>
              </w:rPr>
              <w:sym w:font="Wingdings" w:char="F06E"/>
            </w:r>
          </w:p>
          <w:p w:rsidR="007F2422" w:rsidRPr="00EA190F" w:rsidRDefault="007F2422" w:rsidP="00E34EE5">
            <w:pPr>
              <w:pStyle w:val="Tablebody"/>
              <w:spacing w:before="0"/>
              <w:jc w:val="center"/>
              <w:rPr>
                <w:color w:val="000000"/>
              </w:rPr>
            </w:pPr>
            <w:r w:rsidRPr="00EA190F">
              <w:rPr>
                <w:color w:val="000000"/>
              </w:rPr>
              <w:t>(amber)</w:t>
            </w:r>
          </w:p>
        </w:tc>
        <w:tc>
          <w:tcPr>
            <w:tcW w:w="2073" w:type="dxa"/>
          </w:tcPr>
          <w:p w:rsidR="007F2422" w:rsidRPr="00EA190F" w:rsidRDefault="007F2422" w:rsidP="00E34EE5">
            <w:pPr>
              <w:pStyle w:val="Tablebody"/>
              <w:ind w:left="196"/>
              <w:jc w:val="center"/>
              <w:rPr>
                <w:i/>
                <w:color w:val="000000"/>
              </w:rPr>
            </w:pPr>
            <w:r w:rsidRPr="00EA190F">
              <w:rPr>
                <w:iCs/>
                <w:color w:val="000000"/>
              </w:rPr>
              <w:t>Unchanged</w:t>
            </w:r>
          </w:p>
        </w:tc>
      </w:tr>
      <w:tr w:rsidR="007F2422" w:rsidRPr="00EA190F" w:rsidTr="007F2422">
        <w:trPr>
          <w:cantSplit/>
          <w:trHeight w:val="62"/>
        </w:trPr>
        <w:tc>
          <w:tcPr>
            <w:tcW w:w="4787" w:type="dxa"/>
          </w:tcPr>
          <w:p w:rsidR="007F2422" w:rsidRPr="00EA190F" w:rsidRDefault="007F2422" w:rsidP="005973FC">
            <w:pPr>
              <w:pStyle w:val="Tablebody"/>
              <w:jc w:val="left"/>
              <w:rPr>
                <w:rFonts w:cs="Arial"/>
                <w:bCs/>
                <w:color w:val="000000"/>
              </w:rPr>
            </w:pPr>
            <w:r w:rsidRPr="00EA190F">
              <w:rPr>
                <w:color w:val="000000"/>
              </w:rPr>
              <w:t>Improved capability of law and justice institutions, particularly to counter threats from transnational crime, including terrorism</w:t>
            </w:r>
          </w:p>
        </w:tc>
        <w:tc>
          <w:tcPr>
            <w:tcW w:w="1077" w:type="dxa"/>
          </w:tcPr>
          <w:p w:rsidR="007F2422" w:rsidRPr="009B473C" w:rsidRDefault="007F2422" w:rsidP="00E34EE5">
            <w:pPr>
              <w:pStyle w:val="Tablebody"/>
              <w:spacing w:after="0"/>
              <w:jc w:val="center"/>
              <w:rPr>
                <w:color w:val="FF0000"/>
              </w:rPr>
            </w:pPr>
            <w:r w:rsidRPr="009B473C">
              <w:rPr>
                <w:color w:val="FF0000"/>
                <w:sz w:val="24"/>
                <w:szCs w:val="24"/>
              </w:rPr>
              <w:sym w:font="Wingdings" w:char="F06E"/>
            </w:r>
          </w:p>
          <w:p w:rsidR="007F2422" w:rsidRPr="00EA190F" w:rsidRDefault="007F2422" w:rsidP="00E34EE5">
            <w:pPr>
              <w:pStyle w:val="Tablebody"/>
              <w:spacing w:before="0"/>
              <w:ind w:left="170" w:right="170"/>
              <w:jc w:val="center"/>
              <w:rPr>
                <w:color w:val="000000"/>
              </w:rPr>
            </w:pPr>
            <w:r w:rsidRPr="00EA190F">
              <w:rPr>
                <w:color w:val="000000"/>
              </w:rPr>
              <w:t>(red)</w:t>
            </w:r>
          </w:p>
        </w:tc>
        <w:tc>
          <w:tcPr>
            <w:tcW w:w="2073" w:type="dxa"/>
          </w:tcPr>
          <w:p w:rsidR="007F2422" w:rsidRPr="00EA190F" w:rsidRDefault="007F2422" w:rsidP="00565EEF">
            <w:pPr>
              <w:pStyle w:val="Tablebody"/>
              <w:ind w:left="196"/>
              <w:jc w:val="center"/>
              <w:rPr>
                <w:i/>
                <w:color w:val="000000"/>
              </w:rPr>
            </w:pPr>
            <w:r w:rsidRPr="00EA190F">
              <w:rPr>
                <w:iCs/>
                <w:color w:val="000000"/>
              </w:rPr>
              <w:t>Declined</w:t>
            </w:r>
          </w:p>
        </w:tc>
      </w:tr>
      <w:tr w:rsidR="007F2422" w:rsidRPr="00EA190F" w:rsidTr="007F2422">
        <w:trPr>
          <w:cantSplit/>
          <w:trHeight w:val="62"/>
        </w:trPr>
        <w:tc>
          <w:tcPr>
            <w:tcW w:w="4787" w:type="dxa"/>
          </w:tcPr>
          <w:p w:rsidR="007F2422" w:rsidRPr="00EA190F" w:rsidRDefault="007F2422" w:rsidP="00E34EE5">
            <w:pPr>
              <w:pStyle w:val="Tablebody"/>
              <w:jc w:val="left"/>
              <w:rPr>
                <w:iCs/>
                <w:color w:val="000000"/>
              </w:rPr>
            </w:pPr>
            <w:r w:rsidRPr="00EA190F">
              <w:rPr>
                <w:color w:val="000000"/>
              </w:rPr>
              <w:t>Women’s and children’s health services more widely available in targeted regions</w:t>
            </w:r>
          </w:p>
        </w:tc>
        <w:tc>
          <w:tcPr>
            <w:tcW w:w="1077" w:type="dxa"/>
          </w:tcPr>
          <w:p w:rsidR="007F2422" w:rsidRPr="009B473C" w:rsidRDefault="007F2422" w:rsidP="00E34EE5">
            <w:pPr>
              <w:pStyle w:val="Tablebody"/>
              <w:spacing w:after="0"/>
              <w:jc w:val="center"/>
              <w:rPr>
                <w:color w:val="FF9900"/>
              </w:rPr>
            </w:pPr>
            <w:r w:rsidRPr="009B473C">
              <w:rPr>
                <w:color w:val="FF9900"/>
                <w:sz w:val="24"/>
                <w:szCs w:val="24"/>
              </w:rPr>
              <w:sym w:font="Wingdings" w:char="F06E"/>
            </w:r>
          </w:p>
          <w:p w:rsidR="007F2422" w:rsidRPr="00EA190F" w:rsidRDefault="007F2422" w:rsidP="00E34EE5">
            <w:pPr>
              <w:pStyle w:val="Tablebody"/>
              <w:spacing w:before="0"/>
              <w:jc w:val="center"/>
              <w:rPr>
                <w:color w:val="000000"/>
              </w:rPr>
            </w:pPr>
            <w:r w:rsidRPr="00EA190F">
              <w:rPr>
                <w:color w:val="000000"/>
              </w:rPr>
              <w:t>(amber)</w:t>
            </w:r>
          </w:p>
        </w:tc>
        <w:tc>
          <w:tcPr>
            <w:tcW w:w="2073" w:type="dxa"/>
          </w:tcPr>
          <w:p w:rsidR="007F2422" w:rsidRPr="00EA190F" w:rsidRDefault="007F2422" w:rsidP="00E34EE5">
            <w:pPr>
              <w:pStyle w:val="Tablebody"/>
              <w:ind w:left="196"/>
              <w:jc w:val="center"/>
              <w:rPr>
                <w:i/>
                <w:color w:val="000000"/>
              </w:rPr>
            </w:pPr>
            <w:r w:rsidRPr="00EA190F">
              <w:rPr>
                <w:iCs/>
                <w:color w:val="000000"/>
              </w:rPr>
              <w:t>Unchanged</w:t>
            </w:r>
          </w:p>
        </w:tc>
      </w:tr>
      <w:tr w:rsidR="007F2422" w:rsidRPr="00EA190F" w:rsidTr="007F2422">
        <w:trPr>
          <w:cantSplit/>
          <w:trHeight w:val="62"/>
        </w:trPr>
        <w:tc>
          <w:tcPr>
            <w:tcW w:w="4787" w:type="dxa"/>
            <w:tcBorders>
              <w:bottom w:val="single" w:sz="4" w:space="0" w:color="auto"/>
            </w:tcBorders>
          </w:tcPr>
          <w:p w:rsidR="007F2422" w:rsidRPr="00EA190F" w:rsidRDefault="007F2422" w:rsidP="00E34EE5">
            <w:pPr>
              <w:pStyle w:val="Tablebody"/>
              <w:jc w:val="left"/>
              <w:rPr>
                <w:rFonts w:cs="Arial"/>
                <w:bCs/>
                <w:color w:val="000000"/>
              </w:rPr>
            </w:pPr>
            <w:r w:rsidRPr="00EA190F">
              <w:rPr>
                <w:color w:val="000000"/>
              </w:rPr>
              <w:t>The population is better prepared and protected from natural disasters including the avian influenza pandemic</w:t>
            </w:r>
          </w:p>
        </w:tc>
        <w:tc>
          <w:tcPr>
            <w:tcW w:w="1077" w:type="dxa"/>
            <w:tcBorders>
              <w:bottom w:val="single" w:sz="4" w:space="0" w:color="auto"/>
            </w:tcBorders>
          </w:tcPr>
          <w:p w:rsidR="007F2422" w:rsidRPr="009B473C" w:rsidRDefault="007F2422" w:rsidP="00E34EE5">
            <w:pPr>
              <w:pStyle w:val="Tablebody"/>
              <w:spacing w:after="0"/>
              <w:jc w:val="center"/>
              <w:rPr>
                <w:color w:val="FF9900"/>
              </w:rPr>
            </w:pPr>
            <w:r w:rsidRPr="009B473C">
              <w:rPr>
                <w:color w:val="FF9900"/>
                <w:sz w:val="24"/>
                <w:szCs w:val="24"/>
              </w:rPr>
              <w:sym w:font="Wingdings" w:char="F06E"/>
            </w:r>
          </w:p>
          <w:p w:rsidR="007F2422" w:rsidRPr="00EA190F" w:rsidRDefault="007F2422" w:rsidP="00E34EE5">
            <w:pPr>
              <w:pStyle w:val="Tablebody"/>
              <w:spacing w:before="0"/>
              <w:jc w:val="center"/>
              <w:rPr>
                <w:color w:val="000000"/>
              </w:rPr>
            </w:pPr>
            <w:r w:rsidRPr="00EA190F">
              <w:rPr>
                <w:color w:val="000000"/>
              </w:rPr>
              <w:t>(amber)</w:t>
            </w:r>
          </w:p>
        </w:tc>
        <w:tc>
          <w:tcPr>
            <w:tcW w:w="2073" w:type="dxa"/>
            <w:tcBorders>
              <w:bottom w:val="single" w:sz="4" w:space="0" w:color="auto"/>
            </w:tcBorders>
          </w:tcPr>
          <w:p w:rsidR="007F2422" w:rsidRPr="00EA190F" w:rsidRDefault="007F2422" w:rsidP="00E34EE5">
            <w:pPr>
              <w:pStyle w:val="Tablebody"/>
              <w:ind w:left="196"/>
              <w:jc w:val="center"/>
              <w:rPr>
                <w:i/>
                <w:color w:val="000000"/>
              </w:rPr>
            </w:pPr>
            <w:r w:rsidRPr="00EA190F">
              <w:rPr>
                <w:iCs/>
                <w:color w:val="000000"/>
              </w:rPr>
              <w:t>Unchanged</w:t>
            </w:r>
          </w:p>
        </w:tc>
      </w:tr>
    </w:tbl>
    <w:p w:rsidR="006B3776" w:rsidRPr="00EA190F" w:rsidRDefault="00F35BFF" w:rsidP="006B3776">
      <w:pPr>
        <w:pStyle w:val="Note"/>
        <w:keepNext w:val="0"/>
        <w:rPr>
          <w:color w:val="000000"/>
        </w:rPr>
      </w:pPr>
      <w:r w:rsidRPr="00EA190F">
        <w:rPr>
          <w:b/>
          <w:color w:val="000000"/>
        </w:rPr>
        <w:t>Note:</w:t>
      </w:r>
      <w:r w:rsidRPr="00EA190F">
        <w:rPr>
          <w:color w:val="000000"/>
        </w:rPr>
        <w:t xml:space="preserve"> </w:t>
      </w:r>
      <w:r w:rsidR="006B3776" w:rsidRPr="00EA190F">
        <w:rPr>
          <w:b/>
          <w:color w:val="000000"/>
        </w:rPr>
        <w:t>Note:</w:t>
      </w:r>
      <w:r w:rsidR="006B3776" w:rsidRPr="00EA190F">
        <w:rPr>
          <w:color w:val="000000"/>
        </w:rPr>
        <w:t xml:space="preserve"> </w:t>
      </w:r>
      <w:r w:rsidR="006B3776" w:rsidRPr="009B473C">
        <w:rPr>
          <w:color w:val="00FF00"/>
          <w:szCs w:val="14"/>
        </w:rPr>
        <w:sym w:font="Wingdings" w:char="F06E"/>
      </w:r>
      <w:r w:rsidR="006B3776" w:rsidRPr="00EA190F">
        <w:rPr>
          <w:color w:val="000000"/>
        </w:rPr>
        <w:t xml:space="preserve"> </w:t>
      </w:r>
      <w:r w:rsidR="00EA190F" w:rsidRPr="00EA190F">
        <w:rPr>
          <w:color w:val="000000"/>
        </w:rPr>
        <w:t xml:space="preserve">(green) </w:t>
      </w:r>
      <w:r w:rsidR="006B3776" w:rsidRPr="00EA190F">
        <w:rPr>
          <w:color w:val="000000"/>
        </w:rPr>
        <w:t xml:space="preserve">denotes the objective is on track to be fully achieved within the timeframe. </w:t>
      </w:r>
      <w:r w:rsidR="006B3776" w:rsidRPr="009B473C">
        <w:rPr>
          <w:color w:val="FF9900"/>
          <w:szCs w:val="14"/>
        </w:rPr>
        <w:sym w:font="Wingdings" w:char="F06E"/>
      </w:r>
      <w:r w:rsidR="006B3776" w:rsidRPr="009B473C">
        <w:rPr>
          <w:color w:val="FF9900"/>
        </w:rPr>
        <w:t xml:space="preserve"> </w:t>
      </w:r>
      <w:r w:rsidR="00EA190F" w:rsidRPr="00EA190F">
        <w:rPr>
          <w:color w:val="000000"/>
        </w:rPr>
        <w:t>(</w:t>
      </w:r>
      <w:proofErr w:type="gramStart"/>
      <w:r w:rsidR="00EA190F" w:rsidRPr="00EA190F">
        <w:rPr>
          <w:color w:val="000000"/>
        </w:rPr>
        <w:t>amber</w:t>
      </w:r>
      <w:proofErr w:type="gramEnd"/>
      <w:r w:rsidR="00EA190F" w:rsidRPr="00EA190F">
        <w:rPr>
          <w:color w:val="000000"/>
        </w:rPr>
        <w:t xml:space="preserve">) </w:t>
      </w:r>
      <w:r w:rsidR="006B3776" w:rsidRPr="00EA190F">
        <w:rPr>
          <w:color w:val="000000"/>
        </w:rPr>
        <w:t xml:space="preserve">denotes the objective will be partly achieved within the timeframe. </w:t>
      </w:r>
      <w:r w:rsidR="006B3776" w:rsidRPr="009B473C">
        <w:rPr>
          <w:color w:val="FF0000"/>
          <w:szCs w:val="14"/>
        </w:rPr>
        <w:sym w:font="Wingdings" w:char="F06E"/>
      </w:r>
      <w:r w:rsidR="006B3776" w:rsidRPr="00EA190F">
        <w:rPr>
          <w:color w:val="000000"/>
        </w:rPr>
        <w:t xml:space="preserve"> </w:t>
      </w:r>
      <w:r w:rsidR="00EA190F" w:rsidRPr="00EA190F">
        <w:rPr>
          <w:color w:val="000000"/>
        </w:rPr>
        <w:t>(</w:t>
      </w:r>
      <w:proofErr w:type="gramStart"/>
      <w:r w:rsidR="00EA190F" w:rsidRPr="00EA190F">
        <w:rPr>
          <w:color w:val="000000"/>
        </w:rPr>
        <w:t>red</w:t>
      </w:r>
      <w:proofErr w:type="gramEnd"/>
      <w:r w:rsidR="00EA190F" w:rsidRPr="00EA190F">
        <w:rPr>
          <w:color w:val="000000"/>
        </w:rPr>
        <w:t xml:space="preserve">) </w:t>
      </w:r>
      <w:r w:rsidR="006B3776" w:rsidRPr="00EA190F">
        <w:rPr>
          <w:color w:val="000000"/>
        </w:rPr>
        <w:t>denotes the objective is unlikely to be achieved within the timeframe.</w:t>
      </w:r>
    </w:p>
    <w:p w:rsidR="005973FC" w:rsidRPr="00EA190F" w:rsidRDefault="005973FC" w:rsidP="007F2422">
      <w:pPr>
        <w:pStyle w:val="ListBullet"/>
      </w:pPr>
      <w:r w:rsidRPr="00EA190F">
        <w:lastRenderedPageBreak/>
        <w:t xml:space="preserve">AusAID technical assistance has led to the development of national guidelines on </w:t>
      </w:r>
      <w:r w:rsidR="00562C1E" w:rsidRPr="00EA190F">
        <w:t xml:space="preserve">internal control systems and internal audit </w:t>
      </w:r>
      <w:r w:rsidRPr="00EA190F">
        <w:t>to assist with budget execution</w:t>
      </w:r>
      <w:r w:rsidR="00FB5E0F" w:rsidRPr="00EA190F">
        <w:t>.</w:t>
      </w:r>
      <w:r w:rsidRPr="00EA190F">
        <w:t xml:space="preserve"> </w:t>
      </w:r>
      <w:r w:rsidR="00FB5E0F" w:rsidRPr="00EA190F">
        <w:t>T</w:t>
      </w:r>
      <w:r w:rsidRPr="00EA190F">
        <w:t>hese will be piloted in the Department of Education and the Department of Public Works and Highways</w:t>
      </w:r>
      <w:r w:rsidR="00FB5E0F" w:rsidRPr="00EA190F">
        <w:t>—</w:t>
      </w:r>
      <w:r w:rsidRPr="00EA190F">
        <w:t>two key partner institutions for Australian aid</w:t>
      </w:r>
      <w:r w:rsidR="00FB5E0F" w:rsidRPr="00EA190F">
        <w:t>—</w:t>
      </w:r>
      <w:r w:rsidRPr="00EA190F">
        <w:t xml:space="preserve">to ensure the efficient management of departmental resources. </w:t>
      </w:r>
    </w:p>
    <w:p w:rsidR="005973FC" w:rsidRPr="00EA190F" w:rsidRDefault="005973FC" w:rsidP="007F2422">
      <w:pPr>
        <w:pStyle w:val="ListBullet"/>
      </w:pPr>
      <w:r w:rsidRPr="00EA190F">
        <w:t xml:space="preserve">Support by AusAID programs facilitated a policy, regulatory and institutional framework for </w:t>
      </w:r>
      <w:r w:rsidR="00FB5E0F" w:rsidRPr="00EA190F">
        <w:t>public–private partnerships</w:t>
      </w:r>
      <w:r w:rsidRPr="00EA190F">
        <w:t xml:space="preserve"> in the transport sector. The framework outlines the key accountabilities and transparent processes that have been developed for piloting by </w:t>
      </w:r>
      <w:r w:rsidR="00FB5E0F" w:rsidRPr="00EA190F">
        <w:t xml:space="preserve">the Government </w:t>
      </w:r>
      <w:r w:rsidR="00FA31C4" w:rsidRPr="00EA190F">
        <w:t xml:space="preserve">of the </w:t>
      </w:r>
      <w:smartTag w:uri="urn:schemas-microsoft-com:office:smarttags" w:element="country-region">
        <w:smartTag w:uri="urn:schemas-microsoft-com:office:smarttags" w:element="place">
          <w:r w:rsidR="00FA31C4" w:rsidRPr="00EA190F">
            <w:t>Philippines</w:t>
          </w:r>
        </w:smartTag>
      </w:smartTag>
      <w:r w:rsidR="00FA31C4" w:rsidRPr="00EA190F">
        <w:t xml:space="preserve"> </w:t>
      </w:r>
      <w:r w:rsidRPr="00EA190F">
        <w:t xml:space="preserve">and will be used in preparing tender documents for the </w:t>
      </w:r>
      <w:proofErr w:type="spellStart"/>
      <w:r w:rsidRPr="00EA190F">
        <w:t>Panguil</w:t>
      </w:r>
      <w:proofErr w:type="spellEnd"/>
      <w:r w:rsidRPr="00EA190F">
        <w:t xml:space="preserve"> Bay Bridge Project.</w:t>
      </w:r>
    </w:p>
    <w:p w:rsidR="005973FC" w:rsidRPr="00EA190F" w:rsidRDefault="005973FC" w:rsidP="007F2422">
      <w:pPr>
        <w:pStyle w:val="ListBullet"/>
      </w:pPr>
      <w:r w:rsidRPr="00EA190F">
        <w:t xml:space="preserve">Through pilots in </w:t>
      </w:r>
      <w:smartTag w:uri="urn:schemas-microsoft-com:office:smarttags" w:element="place">
        <w:r w:rsidRPr="00EA190F">
          <w:t>Mindanao</w:t>
        </w:r>
      </w:smartTag>
      <w:r w:rsidRPr="00EA190F">
        <w:t xml:space="preserve"> and the </w:t>
      </w:r>
      <w:proofErr w:type="spellStart"/>
      <w:r w:rsidRPr="00EA190F">
        <w:t>Visayas</w:t>
      </w:r>
      <w:proofErr w:type="spellEnd"/>
      <w:r w:rsidRPr="00EA190F">
        <w:t xml:space="preserve"> and targeted technical assistance at the national level, AusAID has supported </w:t>
      </w:r>
      <w:r w:rsidR="00FB5E0F" w:rsidRPr="00EA190F">
        <w:t xml:space="preserve">the Department of Education </w:t>
      </w:r>
      <w:r w:rsidRPr="00EA190F">
        <w:t xml:space="preserve">to pilot </w:t>
      </w:r>
      <w:r w:rsidR="00FB5E0F" w:rsidRPr="00EA190F">
        <w:t xml:space="preserve">school-based management </w:t>
      </w:r>
      <w:r w:rsidRPr="00EA190F">
        <w:t>in 8000 schools</w:t>
      </w:r>
      <w:r w:rsidR="00FB5E0F" w:rsidRPr="00EA190F">
        <w:t>,</w:t>
      </w:r>
      <w:r w:rsidRPr="00EA190F">
        <w:t xml:space="preserve"> </w:t>
      </w:r>
      <w:r w:rsidR="00FB5E0F" w:rsidRPr="00EA190F">
        <w:t xml:space="preserve">which </w:t>
      </w:r>
      <w:r w:rsidRPr="00EA190F">
        <w:t>has led to improved community/parent involvement and enabled school principals to manage resources to best suit the community</w:t>
      </w:r>
      <w:r w:rsidR="00FB5E0F" w:rsidRPr="00EA190F">
        <w:t>,</w:t>
      </w:r>
      <w:r w:rsidRPr="00EA190F">
        <w:t xml:space="preserve"> especially in ethnically diverse areas. </w:t>
      </w:r>
    </w:p>
    <w:p w:rsidR="005973FC" w:rsidRPr="00EA190F" w:rsidRDefault="005973FC" w:rsidP="007F2422">
      <w:pPr>
        <w:pStyle w:val="ListBullet"/>
      </w:pPr>
      <w:r w:rsidRPr="00EA190F">
        <w:t xml:space="preserve">Student learning improved as demonstrated by the results of the </w:t>
      </w:r>
      <w:r w:rsidR="00DA78C3" w:rsidRPr="00EA190F">
        <w:t>Region</w:t>
      </w:r>
      <w:r w:rsidR="001B4B81" w:rsidRPr="00EA190F">
        <w:t>-wide</w:t>
      </w:r>
      <w:r w:rsidR="00DA78C3" w:rsidRPr="00EA190F">
        <w:t xml:space="preserve"> Assessment in Mathematics, Science and English </w:t>
      </w:r>
      <w:r w:rsidRPr="00EA190F">
        <w:t xml:space="preserve">(RAMSE). Using the 2004 RAMSE </w:t>
      </w:r>
      <w:r w:rsidR="00FB5E0F" w:rsidRPr="00EA190F">
        <w:t xml:space="preserve">results </w:t>
      </w:r>
      <w:r w:rsidRPr="00EA190F">
        <w:t xml:space="preserve">as a baseline, students across </w:t>
      </w:r>
      <w:r w:rsidR="00FB5E0F" w:rsidRPr="00EA190F">
        <w:t xml:space="preserve">regions </w:t>
      </w:r>
      <w:r w:rsidRPr="00EA190F">
        <w:t xml:space="preserve">XI, XII and </w:t>
      </w:r>
      <w:r w:rsidR="0065489B" w:rsidRPr="00EA190F">
        <w:t xml:space="preserve">the Autonomous Region </w:t>
      </w:r>
      <w:r w:rsidR="001B4B81" w:rsidRPr="00EA190F">
        <w:t>of</w:t>
      </w:r>
      <w:r w:rsidR="0065489B" w:rsidRPr="00EA190F">
        <w:t xml:space="preserve"> Muslim </w:t>
      </w:r>
      <w:r w:rsidRPr="00EA190F">
        <w:t>Mindanao demonstrated significantly higher achievement in the three subject areas tested in 2007, with an increase in the mean percentage score to 47 (from a baseline of 28) for grade</w:t>
      </w:r>
      <w:r w:rsidR="00ED4507" w:rsidRPr="00EA190F">
        <w:t xml:space="preserve"> </w:t>
      </w:r>
      <w:r w:rsidRPr="00EA190F">
        <w:t>4 and an increase to 42 (from a baseline of 36) for grade</w:t>
      </w:r>
      <w:r w:rsidR="00ED4507" w:rsidRPr="00EA190F">
        <w:t> </w:t>
      </w:r>
      <w:r w:rsidRPr="00EA190F">
        <w:t>2.</w:t>
      </w:r>
      <w:r w:rsidR="00FB5E0F" w:rsidRPr="00EA190F">
        <w:t xml:space="preserve"> </w:t>
      </w:r>
      <w:r w:rsidRPr="00EA190F">
        <w:t xml:space="preserve">RAMSE also showed that students whose teachers attended in-service training </w:t>
      </w:r>
      <w:r w:rsidR="001B4B81" w:rsidRPr="00EA190F">
        <w:t xml:space="preserve">supported </w:t>
      </w:r>
      <w:r w:rsidR="00D42D3D" w:rsidRPr="00EA190F">
        <w:t xml:space="preserve">through </w:t>
      </w:r>
      <w:r w:rsidR="001B4B81" w:rsidRPr="00EA190F">
        <w:t xml:space="preserve">the </w:t>
      </w:r>
      <w:r w:rsidR="00D42D3D" w:rsidRPr="00EA190F">
        <w:t xml:space="preserve">Basic Education Assistance </w:t>
      </w:r>
      <w:r w:rsidR="003C212A" w:rsidRPr="00EA190F">
        <w:t>for</w:t>
      </w:r>
      <w:r w:rsidR="00D42D3D" w:rsidRPr="00EA190F">
        <w:t xml:space="preserve"> </w:t>
      </w:r>
      <w:smartTag w:uri="urn:schemas-microsoft-com:office:smarttags" w:element="place">
        <w:r w:rsidR="00D42D3D" w:rsidRPr="00EA190F">
          <w:t>Mindanao</w:t>
        </w:r>
      </w:smartTag>
      <w:r w:rsidR="00D42D3D" w:rsidRPr="00EA190F">
        <w:t xml:space="preserve"> </w:t>
      </w:r>
      <w:r w:rsidR="001B4B81" w:rsidRPr="00EA190F">
        <w:t xml:space="preserve">project </w:t>
      </w:r>
      <w:r w:rsidRPr="00EA190F">
        <w:t>achieved higher results.</w:t>
      </w:r>
    </w:p>
    <w:p w:rsidR="005973FC" w:rsidRPr="00EA190F" w:rsidRDefault="005973FC" w:rsidP="007F2422">
      <w:pPr>
        <w:pStyle w:val="ListBullet"/>
      </w:pPr>
      <w:r w:rsidRPr="00EA190F">
        <w:t xml:space="preserve">The </w:t>
      </w:r>
      <w:r w:rsidR="00D42D3D" w:rsidRPr="00EA190F">
        <w:t>Australia–Philippines</w:t>
      </w:r>
      <w:r w:rsidRPr="00EA190F">
        <w:t xml:space="preserve"> </w:t>
      </w:r>
      <w:r w:rsidR="00A75774" w:rsidRPr="00EA190F">
        <w:t xml:space="preserve">aid </w:t>
      </w:r>
      <w:r w:rsidRPr="00EA190F">
        <w:t xml:space="preserve">partnership has strengthened the </w:t>
      </w:r>
      <w:r w:rsidR="0065489B" w:rsidRPr="00EA190F">
        <w:t xml:space="preserve">capacity of the </w:t>
      </w:r>
      <w:r w:rsidRPr="00EA190F">
        <w:t>Department of Education to implement the Basic Education Sector Reform Agenda in a decentrali</w:t>
      </w:r>
      <w:r w:rsidR="0065489B" w:rsidRPr="00EA190F">
        <w:t>s</w:t>
      </w:r>
      <w:r w:rsidRPr="00EA190F">
        <w:t xml:space="preserve">ed environment. </w:t>
      </w:r>
    </w:p>
    <w:p w:rsidR="005973FC" w:rsidRPr="00EA190F" w:rsidRDefault="0065489B" w:rsidP="007F2422">
      <w:pPr>
        <w:pStyle w:val="ListBullet"/>
      </w:pPr>
      <w:r w:rsidRPr="00EA190F">
        <w:t xml:space="preserve">UNICEF’s Sixth Country Programme for Children </w:t>
      </w:r>
      <w:r w:rsidR="005973FC" w:rsidRPr="00EA190F">
        <w:t>has fully immuni</w:t>
      </w:r>
      <w:r w:rsidRPr="00EA190F">
        <w:t>s</w:t>
      </w:r>
      <w:r w:rsidR="005973FC" w:rsidRPr="00EA190F">
        <w:t>ed 82</w:t>
      </w:r>
      <w:r w:rsidRPr="00EA190F">
        <w:t> </w:t>
      </w:r>
      <w:r w:rsidR="005973FC" w:rsidRPr="00EA190F">
        <w:t>per cent of children (213</w:t>
      </w:r>
      <w:r w:rsidRPr="00EA190F">
        <w:t> </w:t>
      </w:r>
      <w:r w:rsidR="005973FC" w:rsidRPr="00EA190F">
        <w:t>059 aged 0</w:t>
      </w:r>
      <w:r w:rsidRPr="00EA190F">
        <w:t>–</w:t>
      </w:r>
      <w:r w:rsidR="005973FC" w:rsidRPr="00EA190F">
        <w:t>11 months) in AusAID</w:t>
      </w:r>
      <w:r w:rsidRPr="00EA190F">
        <w:t>-</w:t>
      </w:r>
      <w:r w:rsidR="005973FC" w:rsidRPr="00EA190F">
        <w:t xml:space="preserve">supported provinces </w:t>
      </w:r>
      <w:r w:rsidRPr="00EA190F">
        <w:t xml:space="preserve">against </w:t>
      </w:r>
      <w:r w:rsidR="005973FC" w:rsidRPr="00EA190F">
        <w:t>vaccine-preventable diseases, and around 700</w:t>
      </w:r>
      <w:r w:rsidRPr="00EA190F">
        <w:t> </w:t>
      </w:r>
      <w:r w:rsidR="005973FC" w:rsidRPr="00EA190F">
        <w:t>000 children in high</w:t>
      </w:r>
      <w:r w:rsidRPr="00EA190F">
        <w:t>-</w:t>
      </w:r>
      <w:r w:rsidR="005973FC" w:rsidRPr="00EA190F">
        <w:t xml:space="preserve">risk areas of </w:t>
      </w:r>
      <w:proofErr w:type="spellStart"/>
      <w:r w:rsidR="005973FC" w:rsidRPr="00EA190F">
        <w:t>Zamboanga</w:t>
      </w:r>
      <w:proofErr w:type="spellEnd"/>
      <w:r w:rsidR="005973FC" w:rsidRPr="00EA190F">
        <w:t xml:space="preserve"> </w:t>
      </w:r>
      <w:proofErr w:type="gramStart"/>
      <w:r w:rsidR="005973FC" w:rsidRPr="00EA190F">
        <w:t>del</w:t>
      </w:r>
      <w:proofErr w:type="gramEnd"/>
      <w:r w:rsidR="005973FC" w:rsidRPr="00EA190F">
        <w:t xml:space="preserve"> Sur and the </w:t>
      </w:r>
      <w:r w:rsidRPr="00EA190F">
        <w:t xml:space="preserve">Autonomous Region </w:t>
      </w:r>
      <w:r w:rsidR="001B4B81" w:rsidRPr="00EA190F">
        <w:t>of</w:t>
      </w:r>
      <w:r w:rsidRPr="00EA190F">
        <w:t xml:space="preserve"> Muslim Mindanao</w:t>
      </w:r>
      <w:r w:rsidR="005973FC" w:rsidRPr="00EA190F">
        <w:t xml:space="preserve"> have received inoculations. This means targeted regions avoided the importation of the wild polio virus from </w:t>
      </w:r>
      <w:smartTag w:uri="urn:schemas-microsoft-com:office:smarttags" w:element="country-region">
        <w:smartTag w:uri="urn:schemas-microsoft-com:office:smarttags" w:element="place">
          <w:r w:rsidR="005973FC" w:rsidRPr="00EA190F">
            <w:t>Indonesia</w:t>
          </w:r>
        </w:smartTag>
      </w:smartTag>
      <w:r w:rsidR="005973FC" w:rsidRPr="00EA190F">
        <w:t xml:space="preserve">. </w:t>
      </w:r>
    </w:p>
    <w:p w:rsidR="005973FC" w:rsidRPr="00EA190F" w:rsidRDefault="005973FC" w:rsidP="007F2422">
      <w:pPr>
        <w:pStyle w:val="ListBullet"/>
      </w:pPr>
      <w:r w:rsidRPr="00EA190F">
        <w:t>Community</w:t>
      </w:r>
      <w:r w:rsidR="0065489B" w:rsidRPr="00EA190F">
        <w:t>-</w:t>
      </w:r>
      <w:r w:rsidRPr="00EA190F">
        <w:t>driven development interventions through the Philippines</w:t>
      </w:r>
      <w:r w:rsidR="0065489B" w:rsidRPr="00EA190F">
        <w:t>–</w:t>
      </w:r>
      <w:r w:rsidRPr="00EA190F">
        <w:t>Australia Community Assistance Program have resulted in an 86</w:t>
      </w:r>
      <w:r w:rsidR="00AF322A" w:rsidRPr="00EA190F">
        <w:t> </w:t>
      </w:r>
      <w:r w:rsidR="008F6566" w:rsidRPr="00EA190F">
        <w:t>per cent</w:t>
      </w:r>
      <w:r w:rsidRPr="00EA190F">
        <w:t xml:space="preserve"> improvement in household incomes in targeted areas. This has had a significant impact on poverty reduction among recipient households.</w:t>
      </w:r>
    </w:p>
    <w:p w:rsidR="005973FC" w:rsidRPr="00EA190F" w:rsidRDefault="005973FC" w:rsidP="007F2422">
      <w:pPr>
        <w:pStyle w:val="ListBullet"/>
      </w:pPr>
      <w:r w:rsidRPr="00EA190F">
        <w:t>AusAID support enabled the training of more than 2100 Muslim teachers (</w:t>
      </w:r>
      <w:proofErr w:type="spellStart"/>
      <w:r w:rsidRPr="00EA190F">
        <w:t>Asatidz</w:t>
      </w:r>
      <w:proofErr w:type="spellEnd"/>
      <w:r w:rsidRPr="00EA190F">
        <w:t>).</w:t>
      </w:r>
      <w:r w:rsidR="008F6566" w:rsidRPr="00EA190F">
        <w:t xml:space="preserve"> </w:t>
      </w:r>
      <w:r w:rsidRPr="00EA190F">
        <w:t xml:space="preserve">Over 300 have graduated with a degree in elementary education with specialisation in Islamic studies and Arabic values to teach in public schools. AusAID has also assisted 36 </w:t>
      </w:r>
      <w:proofErr w:type="spellStart"/>
      <w:r w:rsidRPr="00EA190F">
        <w:t>madaris</w:t>
      </w:r>
      <w:proofErr w:type="spellEnd"/>
      <w:r w:rsidRPr="00EA190F">
        <w:t xml:space="preserve"> in </w:t>
      </w:r>
      <w:smartTag w:uri="urn:schemas-microsoft-com:office:smarttags" w:element="place">
        <w:r w:rsidRPr="00EA190F">
          <w:t>Mindanao</w:t>
        </w:r>
      </w:smartTag>
      <w:r w:rsidRPr="00EA190F">
        <w:t xml:space="preserve"> to earn permits </w:t>
      </w:r>
      <w:r w:rsidR="00AF322A" w:rsidRPr="00EA190F">
        <w:t xml:space="preserve">from the Department of Education </w:t>
      </w:r>
      <w:r w:rsidRPr="00EA190F">
        <w:t xml:space="preserve">to operate </w:t>
      </w:r>
      <w:r w:rsidRPr="00EA190F">
        <w:lastRenderedPageBreak/>
        <w:t xml:space="preserve">as private </w:t>
      </w:r>
      <w:proofErr w:type="spellStart"/>
      <w:r w:rsidRPr="00EA190F">
        <w:t>madaris</w:t>
      </w:r>
      <w:proofErr w:type="spellEnd"/>
      <w:r w:rsidRPr="00EA190F">
        <w:t>, and access government funding. This addresses one of the underlining drivers of conflict by including Muslim groups in the mainstream.</w:t>
      </w:r>
    </w:p>
    <w:p w:rsidR="005973FC" w:rsidRPr="00EA190F" w:rsidRDefault="005973FC" w:rsidP="007F2422">
      <w:pPr>
        <w:pStyle w:val="ListBullet"/>
      </w:pPr>
      <w:r w:rsidRPr="00EA190F">
        <w:t xml:space="preserve">The formulation of a </w:t>
      </w:r>
      <w:smartTag w:uri="urn:schemas-microsoft-com:office:smarttags" w:element="country-region">
        <w:smartTag w:uri="urn:schemas-microsoft-com:office:smarttags" w:element="place">
          <w:r w:rsidRPr="00EA190F">
            <w:t>Philippines</w:t>
          </w:r>
        </w:smartTag>
      </w:smartTag>
      <w:r w:rsidRPr="00EA190F">
        <w:t xml:space="preserve"> </w:t>
      </w:r>
      <w:r w:rsidR="00FA31C4" w:rsidRPr="00EA190F">
        <w:t xml:space="preserve">country strategy </w:t>
      </w:r>
      <w:r w:rsidRPr="00EA190F">
        <w:t xml:space="preserve">Anti-Corruption Plan was achieved. The </w:t>
      </w:r>
      <w:r w:rsidR="00AF322A" w:rsidRPr="00EA190F">
        <w:t xml:space="preserve">plan’s </w:t>
      </w:r>
      <w:r w:rsidRPr="00EA190F">
        <w:t xml:space="preserve">purpose is to guide the mainstreaming of anticorruption across the </w:t>
      </w:r>
      <w:smartTag w:uri="urn:schemas-microsoft-com:office:smarttags" w:element="country-region">
        <w:smartTag w:uri="urn:schemas-microsoft-com:office:smarttags" w:element="place">
          <w:r w:rsidRPr="00EA190F">
            <w:t>Philippines</w:t>
          </w:r>
        </w:smartTag>
      </w:smartTag>
      <w:r w:rsidRPr="00EA190F">
        <w:t xml:space="preserve"> </w:t>
      </w:r>
      <w:r w:rsidR="00AF322A" w:rsidRPr="00EA190F">
        <w:t xml:space="preserve">program </w:t>
      </w:r>
      <w:r w:rsidRPr="00EA190F">
        <w:t>and prioritise specific opportunities to address corruption.</w:t>
      </w:r>
      <w:r w:rsidR="008F6566" w:rsidRPr="00EA190F">
        <w:t xml:space="preserve"> </w:t>
      </w:r>
    </w:p>
    <w:p w:rsidR="005973FC" w:rsidRPr="00EA190F" w:rsidRDefault="005973FC" w:rsidP="005973FC">
      <w:pPr>
        <w:pStyle w:val="Heading2nonumber"/>
        <w:rPr>
          <w:color w:val="000000"/>
        </w:rPr>
      </w:pPr>
      <w:bookmarkStart w:id="27" w:name="_Toc204488387"/>
      <w:bookmarkStart w:id="28" w:name="_Toc204488443"/>
      <w:bookmarkStart w:id="29" w:name="_Toc204749300"/>
      <w:bookmarkStart w:id="30" w:name="_Toc204766262"/>
      <w:bookmarkStart w:id="31" w:name="_Toc205610885"/>
      <w:bookmarkStart w:id="32" w:name="_Toc208289160"/>
      <w:bookmarkStart w:id="33" w:name="_Toc210792996"/>
      <w:bookmarkStart w:id="34" w:name="_Toc215306772"/>
      <w:bookmarkStart w:id="35" w:name="_Toc360805253"/>
      <w:r w:rsidRPr="00EA190F">
        <w:rPr>
          <w:color w:val="000000"/>
        </w:rPr>
        <w:t>Major challenges</w:t>
      </w:r>
      <w:bookmarkEnd w:id="27"/>
      <w:bookmarkEnd w:id="28"/>
      <w:bookmarkEnd w:id="29"/>
      <w:bookmarkEnd w:id="30"/>
      <w:bookmarkEnd w:id="31"/>
      <w:bookmarkEnd w:id="32"/>
      <w:bookmarkEnd w:id="33"/>
      <w:bookmarkEnd w:id="34"/>
      <w:bookmarkEnd w:id="35"/>
    </w:p>
    <w:p w:rsidR="005973FC" w:rsidRPr="00EA190F" w:rsidRDefault="005973FC" w:rsidP="007F2422">
      <w:pPr>
        <w:pStyle w:val="ListBullet"/>
      </w:pPr>
      <w:r w:rsidRPr="00EA190F">
        <w:t xml:space="preserve">The </w:t>
      </w:r>
      <w:r w:rsidR="00AF322A" w:rsidRPr="00EA190F">
        <w:t xml:space="preserve">Government </w:t>
      </w:r>
      <w:r w:rsidR="00FA31C4" w:rsidRPr="00EA190F">
        <w:t xml:space="preserve">of the </w:t>
      </w:r>
      <w:smartTag w:uri="urn:schemas-microsoft-com:office:smarttags" w:element="country-region">
        <w:smartTag w:uri="urn:schemas-microsoft-com:office:smarttags" w:element="place">
          <w:r w:rsidR="00FA31C4" w:rsidRPr="00EA190F">
            <w:t>Philippines</w:t>
          </w:r>
        </w:smartTag>
      </w:smartTag>
      <w:r w:rsidR="00FA31C4" w:rsidRPr="00EA190F">
        <w:t xml:space="preserve"> </w:t>
      </w:r>
      <w:r w:rsidRPr="00EA190F">
        <w:t xml:space="preserve">will need to significantly improve its revenue collection to meet </w:t>
      </w:r>
      <w:r w:rsidR="00AF322A" w:rsidRPr="00EA190F">
        <w:t xml:space="preserve">the </w:t>
      </w:r>
      <w:r w:rsidRPr="00EA190F">
        <w:t>growing need</w:t>
      </w:r>
      <w:r w:rsidR="00AF322A" w:rsidRPr="00EA190F">
        <w:t xml:space="preserve"> to develop</w:t>
      </w:r>
      <w:r w:rsidRPr="00EA190F">
        <w:t xml:space="preserve"> basic services and infrastructure and </w:t>
      </w:r>
      <w:r w:rsidR="00AF322A" w:rsidRPr="00EA190F">
        <w:t>to</w:t>
      </w:r>
      <w:r w:rsidRPr="00EA190F">
        <w:t xml:space="preserve"> implement appropriate social safety nets in view of rising food and oil prices. </w:t>
      </w:r>
    </w:p>
    <w:p w:rsidR="005973FC" w:rsidRPr="00EA190F" w:rsidRDefault="005973FC" w:rsidP="007F2422">
      <w:pPr>
        <w:pStyle w:val="ListBullet"/>
      </w:pPr>
      <w:r w:rsidRPr="00EA190F">
        <w:t>The lead</w:t>
      </w:r>
      <w:r w:rsidR="00807B9D" w:rsidRPr="00EA190F">
        <w:t>-</w:t>
      </w:r>
      <w:r w:rsidRPr="00EA190F">
        <w:t xml:space="preserve">up to the 2010 election may </w:t>
      </w:r>
      <w:r w:rsidR="00562C1E" w:rsidRPr="00EA190F">
        <w:t>affect</w:t>
      </w:r>
      <w:r w:rsidRPr="00EA190F">
        <w:t xml:space="preserve"> the willingness of the </w:t>
      </w:r>
      <w:r w:rsidR="00807B9D" w:rsidRPr="00EA190F">
        <w:t xml:space="preserve">government </w:t>
      </w:r>
      <w:r w:rsidRPr="00EA190F">
        <w:t>to pursue significant reform.</w:t>
      </w:r>
    </w:p>
    <w:p w:rsidR="005973FC" w:rsidRPr="00EA190F" w:rsidRDefault="005973FC" w:rsidP="007F2422">
      <w:pPr>
        <w:pStyle w:val="ListBullet"/>
      </w:pPr>
      <w:r w:rsidRPr="00EA190F">
        <w:t xml:space="preserve">The </w:t>
      </w:r>
      <w:r w:rsidR="00807B9D" w:rsidRPr="00EA190F">
        <w:t xml:space="preserve">government’s </w:t>
      </w:r>
      <w:r w:rsidRPr="00EA190F">
        <w:t xml:space="preserve">capacity </w:t>
      </w:r>
      <w:r w:rsidR="00807B9D" w:rsidRPr="00EA190F">
        <w:t xml:space="preserve">may </w:t>
      </w:r>
      <w:r w:rsidR="00A75774" w:rsidRPr="00EA190F">
        <w:t>influence</w:t>
      </w:r>
      <w:r w:rsidR="00807B9D" w:rsidRPr="00EA190F">
        <w:t xml:space="preserve"> its ability </w:t>
      </w:r>
      <w:r w:rsidRPr="00EA190F">
        <w:t xml:space="preserve">to absorb the organisational change needed to support the devolution of funding and increased responsibility among line agencies. </w:t>
      </w:r>
    </w:p>
    <w:p w:rsidR="005973FC" w:rsidRPr="00EA190F" w:rsidRDefault="00807B9D" w:rsidP="007F2422">
      <w:pPr>
        <w:pStyle w:val="ListBullet"/>
      </w:pPr>
      <w:r w:rsidRPr="00EA190F">
        <w:t>The l</w:t>
      </w:r>
      <w:r w:rsidR="005973FC" w:rsidRPr="00EA190F">
        <w:t>ack of substantive progress in peace negotiations is problematic</w:t>
      </w:r>
      <w:r w:rsidRPr="00EA190F">
        <w:t>,</w:t>
      </w:r>
      <w:r w:rsidR="005973FC" w:rsidRPr="00EA190F">
        <w:t xml:space="preserve"> with possible impacts on </w:t>
      </w:r>
      <w:r w:rsidR="00562C1E" w:rsidRPr="00EA190F">
        <w:t>AusAID</w:t>
      </w:r>
      <w:r w:rsidR="005973FC" w:rsidRPr="00EA190F">
        <w:t xml:space="preserve"> programs in the south. Talks have stalled between the Government </w:t>
      </w:r>
      <w:r w:rsidR="00FA31C4" w:rsidRPr="00EA190F">
        <w:t xml:space="preserve">of the </w:t>
      </w:r>
      <w:smartTag w:uri="urn:schemas-microsoft-com:office:smarttags" w:element="country-region">
        <w:r w:rsidR="00FA31C4" w:rsidRPr="00EA190F">
          <w:t>Philippines</w:t>
        </w:r>
      </w:smartTag>
      <w:r w:rsidR="00FA31C4" w:rsidRPr="00EA190F">
        <w:t xml:space="preserve"> </w:t>
      </w:r>
      <w:r w:rsidR="005973FC" w:rsidRPr="00EA190F">
        <w:t>and the Moro Islamic Liberation Front, and there are conflicting perceptions on the status of the implementation of the 1996 G</w:t>
      </w:r>
      <w:r w:rsidR="0031403F" w:rsidRPr="00EA190F">
        <w:t xml:space="preserve">overnment of the </w:t>
      </w:r>
      <w:r w:rsidR="005973FC" w:rsidRPr="00EA190F">
        <w:t>R</w:t>
      </w:r>
      <w:r w:rsidR="0031403F" w:rsidRPr="00EA190F">
        <w:t xml:space="preserve">epublic of the </w:t>
      </w:r>
      <w:smartTag w:uri="urn:schemas-microsoft-com:office:smarttags" w:element="country-region">
        <w:smartTag w:uri="urn:schemas-microsoft-com:office:smarttags" w:element="place">
          <w:r w:rsidR="005973FC" w:rsidRPr="00EA190F">
            <w:t>P</w:t>
          </w:r>
          <w:r w:rsidR="0031403F" w:rsidRPr="00EA190F">
            <w:t>hilippines</w:t>
          </w:r>
        </w:smartTag>
      </w:smartTag>
      <w:r w:rsidR="00FA31C4" w:rsidRPr="00EA190F">
        <w:rPr>
          <w:rFonts w:ascii="Arial Unicode MS" w:eastAsia="Arial Unicode MS" w:hAnsi="Arial Unicode MS" w:cs="Arial Unicode MS" w:hint="eastAsia"/>
        </w:rPr>
        <w:t> </w:t>
      </w:r>
      <w:r w:rsidRPr="00EA190F">
        <w:t>–</w:t>
      </w:r>
      <w:r w:rsidR="00FA31C4" w:rsidRPr="00EA190F">
        <w:rPr>
          <w:rFonts w:ascii="Arial Unicode MS" w:eastAsia="Arial Unicode MS" w:hAnsi="Arial Unicode MS" w:cs="Arial Unicode MS" w:hint="eastAsia"/>
        </w:rPr>
        <w:t> </w:t>
      </w:r>
      <w:r w:rsidR="005973FC" w:rsidRPr="00EA190F">
        <w:t>Moro Nation</w:t>
      </w:r>
      <w:r w:rsidR="00C476D9" w:rsidRPr="00EA190F">
        <w:t>al Liberation Front Final Peace </w:t>
      </w:r>
      <w:r w:rsidR="005973FC" w:rsidRPr="00EA190F">
        <w:t xml:space="preserve">Agreement. </w:t>
      </w:r>
    </w:p>
    <w:p w:rsidR="005973FC" w:rsidRPr="00EA190F" w:rsidRDefault="00ED4507" w:rsidP="007F2422">
      <w:pPr>
        <w:pStyle w:val="ListBullet"/>
      </w:pPr>
      <w:r w:rsidRPr="00EA190F">
        <w:t>The g</w:t>
      </w:r>
      <w:r w:rsidR="005973FC" w:rsidRPr="00EA190F">
        <w:t xml:space="preserve">lobal economic downturn and rising food and oil prices could affect </w:t>
      </w:r>
      <w:r w:rsidRPr="00EA190F">
        <w:t xml:space="preserve">the government’s </w:t>
      </w:r>
      <w:r w:rsidR="005973FC" w:rsidRPr="00EA190F">
        <w:t xml:space="preserve">macroeconomic management and encourage spending that could jeopardise recent improvements in expenditure allocation. </w:t>
      </w:r>
    </w:p>
    <w:p w:rsidR="005973FC" w:rsidRPr="00EA190F" w:rsidRDefault="005973FC" w:rsidP="00CB1CDA">
      <w:pPr>
        <w:pStyle w:val="BodyText"/>
        <w:rPr>
          <w:color w:val="000000"/>
        </w:rPr>
        <w:sectPr w:rsidR="005973FC" w:rsidRPr="00EA190F" w:rsidSect="00CB1CDA">
          <w:headerReference w:type="even" r:id="rId28"/>
          <w:headerReference w:type="default" r:id="rId29"/>
          <w:footerReference w:type="even" r:id="rId30"/>
          <w:footerReference w:type="default" r:id="rId31"/>
          <w:pgSz w:w="11907" w:h="16840" w:code="9"/>
          <w:pgMar w:top="2268" w:right="1985" w:bottom="1247" w:left="1985" w:header="567" w:footer="567" w:gutter="0"/>
          <w:cols w:space="720"/>
        </w:sectPr>
      </w:pPr>
    </w:p>
    <w:p w:rsidR="005973FC" w:rsidRPr="00EA190F" w:rsidRDefault="005973FC" w:rsidP="00A87DA8">
      <w:pPr>
        <w:pStyle w:val="Heading1nonumber"/>
        <w:rPr>
          <w:color w:val="000000"/>
        </w:rPr>
      </w:pPr>
      <w:bookmarkStart w:id="36" w:name="_Toc360805254"/>
      <w:r w:rsidRPr="00EA190F">
        <w:rPr>
          <w:color w:val="000000"/>
        </w:rPr>
        <w:lastRenderedPageBreak/>
        <w:t>Country performance</w:t>
      </w:r>
      <w:bookmarkEnd w:id="36"/>
    </w:p>
    <w:p w:rsidR="005973FC" w:rsidRPr="00EA190F" w:rsidRDefault="005973FC" w:rsidP="005973FC">
      <w:pPr>
        <w:pStyle w:val="1stpara"/>
        <w:rPr>
          <w:color w:val="000000"/>
        </w:rPr>
      </w:pPr>
      <w:r w:rsidRPr="00EA190F">
        <w:rPr>
          <w:color w:val="000000"/>
        </w:rPr>
        <w:t xml:space="preserve">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economic growth and fiscal balance was healthier in 2007 than it had been for several decades. The key challenge for 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is to maintain that growth and to actively translate sustained economic growth to poverty reduction.</w:t>
      </w:r>
    </w:p>
    <w:p w:rsidR="005973FC" w:rsidRPr="00EA190F" w:rsidRDefault="005973FC" w:rsidP="005973FC">
      <w:pPr>
        <w:pStyle w:val="BodyText"/>
        <w:rPr>
          <w:color w:val="000000"/>
        </w:rPr>
      </w:pPr>
      <w:r w:rsidRPr="00EA190F">
        <w:rPr>
          <w:color w:val="000000"/>
        </w:rPr>
        <w:t xml:space="preserve">In 2007 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w:t>
      </w:r>
      <w:r w:rsidR="00D20ECD" w:rsidRPr="00EA190F">
        <w:rPr>
          <w:color w:val="000000"/>
        </w:rPr>
        <w:t xml:space="preserve">gross domestic product </w:t>
      </w:r>
      <w:r w:rsidRPr="00EA190F">
        <w:rPr>
          <w:color w:val="000000"/>
        </w:rPr>
        <w:t>expanded by 7.</w:t>
      </w:r>
      <w:r w:rsidR="005E266D" w:rsidRPr="00EA190F">
        <w:rPr>
          <w:color w:val="000000"/>
        </w:rPr>
        <w:t>2</w:t>
      </w:r>
      <w:r w:rsidR="008F6566" w:rsidRPr="00EA190F">
        <w:rPr>
          <w:color w:val="000000"/>
        </w:rPr>
        <w:t> per cent</w:t>
      </w:r>
      <w:r w:rsidRPr="00EA190F">
        <w:rPr>
          <w:color w:val="000000"/>
        </w:rPr>
        <w:t xml:space="preserve">, the highest </w:t>
      </w:r>
      <w:r w:rsidR="00D20ECD" w:rsidRPr="00EA190F">
        <w:rPr>
          <w:color w:val="000000"/>
        </w:rPr>
        <w:t xml:space="preserve">rate </w:t>
      </w:r>
      <w:r w:rsidRPr="00EA190F">
        <w:rPr>
          <w:color w:val="000000"/>
        </w:rPr>
        <w:t>in 30 years. Sixty</w:t>
      </w:r>
      <w:r w:rsidR="005E266D" w:rsidRPr="00EA190F">
        <w:rPr>
          <w:color w:val="000000"/>
        </w:rPr>
        <w:t>-four</w:t>
      </w:r>
      <w:r w:rsidR="00D20ECD" w:rsidRPr="00EA190F">
        <w:rPr>
          <w:color w:val="000000"/>
        </w:rPr>
        <w:t> </w:t>
      </w:r>
      <w:r w:rsidRPr="00EA190F">
        <w:rPr>
          <w:color w:val="000000"/>
        </w:rPr>
        <w:t>per</w:t>
      </w:r>
      <w:r w:rsidR="00D20ECD" w:rsidRPr="00EA190F">
        <w:rPr>
          <w:color w:val="000000"/>
        </w:rPr>
        <w:t xml:space="preserve"> </w:t>
      </w:r>
      <w:r w:rsidRPr="00EA190F">
        <w:rPr>
          <w:color w:val="000000"/>
        </w:rPr>
        <w:t xml:space="preserve">cent of that growth was driven by private consumption, supported by </w:t>
      </w:r>
      <w:r w:rsidR="00D20ECD" w:rsidRPr="00EA190F">
        <w:rPr>
          <w:color w:val="000000"/>
        </w:rPr>
        <w:t xml:space="preserve">overseas </w:t>
      </w:r>
      <w:r w:rsidR="00562C1E" w:rsidRPr="00EA190F">
        <w:rPr>
          <w:color w:val="000000"/>
        </w:rPr>
        <w:t>Philippine</w:t>
      </w:r>
      <w:r w:rsidRPr="00EA190F">
        <w:rPr>
          <w:color w:val="000000"/>
        </w:rPr>
        <w:t xml:space="preserve"> </w:t>
      </w:r>
      <w:r w:rsidR="00D20ECD" w:rsidRPr="00EA190F">
        <w:rPr>
          <w:color w:val="000000"/>
        </w:rPr>
        <w:t xml:space="preserve">workers’ </w:t>
      </w:r>
      <w:r w:rsidRPr="00EA190F">
        <w:rPr>
          <w:color w:val="000000"/>
        </w:rPr>
        <w:t xml:space="preserve">remittances. However, latest government data reveal that between 2003 and 2006 </w:t>
      </w:r>
      <w:r w:rsidR="00D20ECD" w:rsidRPr="00EA190F">
        <w:rPr>
          <w:color w:val="000000"/>
        </w:rPr>
        <w:t xml:space="preserve">the proportion of the population living in </w:t>
      </w:r>
      <w:r w:rsidRPr="00EA190F">
        <w:rPr>
          <w:color w:val="000000"/>
        </w:rPr>
        <w:t>poverty increased from 30</w:t>
      </w:r>
      <w:r w:rsidR="008F6566" w:rsidRPr="00EA190F">
        <w:rPr>
          <w:color w:val="000000"/>
        </w:rPr>
        <w:t> per cent</w:t>
      </w:r>
      <w:r w:rsidRPr="00EA190F">
        <w:rPr>
          <w:color w:val="000000"/>
        </w:rPr>
        <w:t xml:space="preserve"> to 32.9</w:t>
      </w:r>
      <w:r w:rsidR="008F6566" w:rsidRPr="00EA190F">
        <w:rPr>
          <w:color w:val="000000"/>
        </w:rPr>
        <w:t> per cent</w:t>
      </w:r>
      <w:r w:rsidRPr="00EA190F">
        <w:rPr>
          <w:color w:val="000000"/>
        </w:rPr>
        <w:t>. According to international data, 44</w:t>
      </w:r>
      <w:r w:rsidR="008F6566" w:rsidRPr="00EA190F">
        <w:rPr>
          <w:color w:val="000000"/>
        </w:rPr>
        <w:t> per cent</w:t>
      </w:r>
      <w:r w:rsidRPr="00EA190F">
        <w:rPr>
          <w:color w:val="000000"/>
        </w:rPr>
        <w:t xml:space="preserve"> of the population of approx</w:t>
      </w:r>
      <w:r w:rsidR="00D20ECD" w:rsidRPr="00EA190F">
        <w:rPr>
          <w:color w:val="000000"/>
        </w:rPr>
        <w:t>imately</w:t>
      </w:r>
      <w:r w:rsidRPr="00EA190F">
        <w:rPr>
          <w:color w:val="000000"/>
        </w:rPr>
        <w:t xml:space="preserve"> 90</w:t>
      </w:r>
      <w:r w:rsidR="00D20ECD" w:rsidRPr="00EA190F">
        <w:rPr>
          <w:color w:val="000000"/>
        </w:rPr>
        <w:t> </w:t>
      </w:r>
      <w:r w:rsidRPr="00EA190F">
        <w:rPr>
          <w:color w:val="000000"/>
        </w:rPr>
        <w:t>million live on less than US$2 a day.</w:t>
      </w:r>
    </w:p>
    <w:p w:rsidR="005973FC" w:rsidRPr="00EA190F" w:rsidRDefault="005973FC" w:rsidP="005973FC">
      <w:pPr>
        <w:pStyle w:val="BodyText"/>
        <w:rPr>
          <w:color w:val="000000"/>
        </w:rPr>
      </w:pPr>
      <w:r w:rsidRPr="00EA190F">
        <w:rPr>
          <w:color w:val="000000"/>
        </w:rPr>
        <w:t xml:space="preserve">The </w:t>
      </w:r>
      <w:r w:rsidR="00D20ECD" w:rsidRPr="00EA190F">
        <w:rPr>
          <w:color w:val="000000"/>
        </w:rPr>
        <w:t xml:space="preserve">government </w:t>
      </w:r>
      <w:r w:rsidRPr="00EA190F">
        <w:rPr>
          <w:color w:val="000000"/>
        </w:rPr>
        <w:t>exceeded its budget def</w:t>
      </w:r>
      <w:r w:rsidR="008F6566" w:rsidRPr="00EA190F">
        <w:rPr>
          <w:color w:val="000000"/>
        </w:rPr>
        <w:t xml:space="preserve">icit target in 2007, </w:t>
      </w:r>
      <w:r w:rsidR="00D20ECD" w:rsidRPr="00EA190F">
        <w:rPr>
          <w:color w:val="000000"/>
        </w:rPr>
        <w:t xml:space="preserve">the deficit being </w:t>
      </w:r>
      <w:r w:rsidR="008F6566" w:rsidRPr="00EA190F">
        <w:rPr>
          <w:color w:val="000000"/>
        </w:rPr>
        <w:t>0.1 per cent</w:t>
      </w:r>
      <w:r w:rsidRPr="00EA190F">
        <w:rPr>
          <w:color w:val="000000"/>
        </w:rPr>
        <w:t xml:space="preserve"> of </w:t>
      </w:r>
      <w:r w:rsidR="00D20ECD" w:rsidRPr="00EA190F">
        <w:rPr>
          <w:color w:val="000000"/>
        </w:rPr>
        <w:t>gross domestic product</w:t>
      </w:r>
      <w:r w:rsidRPr="00EA190F">
        <w:rPr>
          <w:color w:val="000000"/>
        </w:rPr>
        <w:t>, primarily achieved through one-off privatisation revenues. This is a significant recovery from the -4.6</w:t>
      </w:r>
      <w:r w:rsidR="008F6566" w:rsidRPr="00EA190F">
        <w:rPr>
          <w:color w:val="000000"/>
        </w:rPr>
        <w:t> per cent</w:t>
      </w:r>
      <w:r w:rsidRPr="00EA190F">
        <w:rPr>
          <w:color w:val="000000"/>
        </w:rPr>
        <w:t xml:space="preserve"> deficit in 2003. However, significant challenges remain in improving tax revenues. For example, government tax revenue was 14</w:t>
      </w:r>
      <w:r w:rsidR="008F6566" w:rsidRPr="00EA190F">
        <w:rPr>
          <w:color w:val="000000"/>
        </w:rPr>
        <w:t> per cent</w:t>
      </w:r>
      <w:r w:rsidRPr="00EA190F">
        <w:rPr>
          <w:color w:val="000000"/>
        </w:rPr>
        <w:t xml:space="preserve"> of </w:t>
      </w:r>
      <w:r w:rsidR="00D20ECD" w:rsidRPr="00EA190F">
        <w:rPr>
          <w:color w:val="000000"/>
        </w:rPr>
        <w:t xml:space="preserve">gross domestic product </w:t>
      </w:r>
      <w:r w:rsidRPr="00EA190F">
        <w:rPr>
          <w:color w:val="000000"/>
        </w:rPr>
        <w:t>in 2007, below the 14.3</w:t>
      </w:r>
      <w:r w:rsidR="008F6566" w:rsidRPr="00EA190F">
        <w:rPr>
          <w:color w:val="000000"/>
        </w:rPr>
        <w:t> per cent</w:t>
      </w:r>
      <w:r w:rsidRPr="00EA190F">
        <w:rPr>
          <w:color w:val="000000"/>
        </w:rPr>
        <w:t xml:space="preserve"> recorded in 2006 and low by </w:t>
      </w:r>
      <w:r w:rsidR="00D20ECD" w:rsidRPr="00EA190F">
        <w:rPr>
          <w:color w:val="000000"/>
        </w:rPr>
        <w:t xml:space="preserve">the </w:t>
      </w:r>
      <w:r w:rsidRPr="00EA190F">
        <w:rPr>
          <w:color w:val="000000"/>
        </w:rPr>
        <w:t>standards</w:t>
      </w:r>
      <w:r w:rsidR="00D20ECD" w:rsidRPr="00EA190F">
        <w:rPr>
          <w:color w:val="000000"/>
        </w:rPr>
        <w:t xml:space="preserve"> of the Association of Southeast Asian Nations (ASEAN)</w:t>
      </w:r>
      <w:r w:rsidRPr="00EA190F">
        <w:rPr>
          <w:color w:val="000000"/>
        </w:rPr>
        <w:t>. Social sector spending has been significantly increased in the last two national budgets, from a very low base; however</w:t>
      </w:r>
      <w:r w:rsidR="00D20ECD" w:rsidRPr="00EA190F">
        <w:rPr>
          <w:color w:val="000000"/>
        </w:rPr>
        <w:t>,</w:t>
      </w:r>
      <w:r w:rsidRPr="00EA190F">
        <w:rPr>
          <w:color w:val="000000"/>
        </w:rPr>
        <w:t xml:space="preserve"> there will need to be further increases in coming years to have any impact on poverty. </w:t>
      </w:r>
    </w:p>
    <w:p w:rsidR="005973FC" w:rsidRPr="00EA190F" w:rsidRDefault="005973FC" w:rsidP="005973FC">
      <w:pPr>
        <w:pStyle w:val="BodyText"/>
        <w:rPr>
          <w:color w:val="000000"/>
        </w:rPr>
      </w:pPr>
      <w:r w:rsidRPr="00EA190F">
        <w:rPr>
          <w:color w:val="000000"/>
        </w:rPr>
        <w:t xml:space="preserve">The country ranks 71 out of 131 countries in the Global Competitiveness Index, lagging behind both </w:t>
      </w:r>
      <w:smartTag w:uri="urn:schemas-microsoft-com:office:smarttags" w:element="country-region">
        <w:r w:rsidRPr="00EA190F">
          <w:rPr>
            <w:color w:val="000000"/>
          </w:rPr>
          <w:t>Indonesia</w:t>
        </w:r>
      </w:smartTag>
      <w:r w:rsidRPr="00EA190F">
        <w:rPr>
          <w:color w:val="000000"/>
        </w:rPr>
        <w:t xml:space="preserve"> and </w:t>
      </w:r>
      <w:smartTag w:uri="urn:schemas-microsoft-com:office:smarttags" w:element="country-region">
        <w:smartTag w:uri="urn:schemas-microsoft-com:office:smarttags" w:element="place">
          <w:r w:rsidRPr="00EA190F">
            <w:rPr>
              <w:color w:val="000000"/>
            </w:rPr>
            <w:t>Thailand</w:t>
          </w:r>
        </w:smartTag>
      </w:smartTag>
      <w:r w:rsidRPr="00EA190F">
        <w:rPr>
          <w:color w:val="000000"/>
        </w:rPr>
        <w:t xml:space="preserve"> due to weak institutions, poor transport infrastructure and perceptions of policy instability. The </w:t>
      </w:r>
      <w:r w:rsidR="00FA1BD0" w:rsidRPr="00EA190F">
        <w:rPr>
          <w:color w:val="000000"/>
        </w:rPr>
        <w:t xml:space="preserve">Government </w:t>
      </w:r>
      <w:r w:rsidR="00FA31C4" w:rsidRPr="00EA190F">
        <w:rPr>
          <w:color w:val="000000"/>
        </w:rPr>
        <w:t xml:space="preserve">of the </w:t>
      </w:r>
      <w:smartTag w:uri="urn:schemas-microsoft-com:office:smarttags" w:element="country-region">
        <w:smartTag w:uri="urn:schemas-microsoft-com:office:smarttags" w:element="place">
          <w:r w:rsidR="00FA31C4" w:rsidRPr="00EA190F">
            <w:rPr>
              <w:color w:val="000000"/>
            </w:rPr>
            <w:t>Philippines</w:t>
          </w:r>
        </w:smartTag>
      </w:smartTag>
      <w:r w:rsidR="00FA31C4" w:rsidRPr="00EA190F">
        <w:rPr>
          <w:color w:val="000000"/>
        </w:rPr>
        <w:t xml:space="preserve"> </w:t>
      </w:r>
      <w:r w:rsidRPr="00EA190F">
        <w:rPr>
          <w:color w:val="000000"/>
        </w:rPr>
        <w:t xml:space="preserve">has made infrastructure a priority, </w:t>
      </w:r>
      <w:r w:rsidRPr="00EA190F">
        <w:rPr>
          <w:color w:val="000000"/>
          <w:szCs w:val="20"/>
        </w:rPr>
        <w:t xml:space="preserve">increasing expenditure </w:t>
      </w:r>
      <w:r w:rsidRPr="00EA190F">
        <w:rPr>
          <w:color w:val="000000"/>
        </w:rPr>
        <w:t>i</w:t>
      </w:r>
      <w:r w:rsidRPr="00EA190F">
        <w:rPr>
          <w:color w:val="000000"/>
          <w:szCs w:val="20"/>
        </w:rPr>
        <w:t>n 2007, and committing to further increases in 2008</w:t>
      </w:r>
      <w:r w:rsidRPr="00EA190F">
        <w:rPr>
          <w:color w:val="000000"/>
        </w:rPr>
        <w:t>. However, to bring infrastructure investment up to the World Bank benchmark of 5</w:t>
      </w:r>
      <w:r w:rsidR="008F6566" w:rsidRPr="00EA190F">
        <w:rPr>
          <w:color w:val="000000"/>
        </w:rPr>
        <w:t> per cent</w:t>
      </w:r>
      <w:r w:rsidRPr="00EA190F">
        <w:rPr>
          <w:color w:val="000000"/>
        </w:rPr>
        <w:t xml:space="preserve"> of </w:t>
      </w:r>
      <w:r w:rsidR="00240762" w:rsidRPr="00EA190F">
        <w:rPr>
          <w:color w:val="000000"/>
        </w:rPr>
        <w:t>gross domestic product</w:t>
      </w:r>
      <w:r w:rsidRPr="00EA190F">
        <w:rPr>
          <w:color w:val="000000"/>
        </w:rPr>
        <w:t xml:space="preserve">, the </w:t>
      </w:r>
      <w:r w:rsidR="00FA1BD0" w:rsidRPr="00EA190F">
        <w:rPr>
          <w:color w:val="000000"/>
        </w:rPr>
        <w:t xml:space="preserve">government </w:t>
      </w:r>
      <w:r w:rsidRPr="00EA190F">
        <w:rPr>
          <w:color w:val="000000"/>
        </w:rPr>
        <w:t>will need to restore market confidence for investors and predictability of infrastructure planning</w:t>
      </w:r>
      <w:r w:rsidR="00FA1BD0" w:rsidRPr="00EA190F">
        <w:rPr>
          <w:color w:val="000000"/>
        </w:rPr>
        <w:t>,</w:t>
      </w:r>
      <w:r w:rsidRPr="00EA190F">
        <w:rPr>
          <w:color w:val="000000"/>
        </w:rPr>
        <w:t xml:space="preserve"> and develop quality projects to take to the market. </w:t>
      </w:r>
    </w:p>
    <w:p w:rsidR="005973FC" w:rsidRPr="00EA190F" w:rsidRDefault="005973FC" w:rsidP="005973FC">
      <w:pPr>
        <w:pStyle w:val="BodyText"/>
        <w:rPr>
          <w:color w:val="000000"/>
        </w:rPr>
      </w:pPr>
      <w:r w:rsidRPr="00EA190F">
        <w:rPr>
          <w:color w:val="000000"/>
        </w:rPr>
        <w:t xml:space="preserve">Most governance indicators in the Philippines have fallen substantially over the </w:t>
      </w:r>
      <w:r w:rsidR="00FA1BD0" w:rsidRPr="00EA190F">
        <w:rPr>
          <w:color w:val="000000"/>
        </w:rPr>
        <w:t>p</w:t>
      </w:r>
      <w:r w:rsidRPr="00EA190F">
        <w:rPr>
          <w:color w:val="000000"/>
        </w:rPr>
        <w:t>ast decade and are lower than the average for middle</w:t>
      </w:r>
      <w:r w:rsidR="00FA1BD0" w:rsidRPr="00EA190F">
        <w:rPr>
          <w:color w:val="000000"/>
        </w:rPr>
        <w:t>-</w:t>
      </w:r>
      <w:r w:rsidRPr="00EA190F">
        <w:rPr>
          <w:color w:val="000000"/>
        </w:rPr>
        <w:t>income East Asian economies</w:t>
      </w:r>
      <w:r w:rsidR="00FA1BD0" w:rsidRPr="00EA190F">
        <w:rPr>
          <w:color w:val="000000"/>
        </w:rPr>
        <w:t>,</w:t>
      </w:r>
      <w:r w:rsidRPr="00EA190F">
        <w:rPr>
          <w:color w:val="000000"/>
        </w:rPr>
        <w:t xml:space="preserve"> despite a strong civil society presence (but are on par with other major recipients of Australian aid), an open media, and some highly capable individuals working in public administration. For 2007, Transparency International’s Corruption Perception Index placed 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at 131 out of 179 countries. However</w:t>
      </w:r>
      <w:r w:rsidR="00FA1BD0" w:rsidRPr="00EA190F">
        <w:rPr>
          <w:color w:val="000000"/>
        </w:rPr>
        <w:t>,</w:t>
      </w:r>
      <w:r w:rsidRPr="00EA190F">
        <w:rPr>
          <w:color w:val="000000"/>
        </w:rPr>
        <w:t xml:space="preserve"> 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w:t>
      </w:r>
      <w:proofErr w:type="gramStart"/>
      <w:r w:rsidRPr="00EA190F">
        <w:rPr>
          <w:color w:val="000000"/>
        </w:rPr>
        <w:t>has</w:t>
      </w:r>
      <w:proofErr w:type="gramEnd"/>
      <w:r w:rsidRPr="00EA190F">
        <w:rPr>
          <w:color w:val="000000"/>
        </w:rPr>
        <w:t xml:space="preserve"> made exceptional progress in closing the gender gap; it is rated 6th in the world</w:t>
      </w:r>
      <w:r w:rsidR="00562C1E" w:rsidRPr="00EA190F">
        <w:rPr>
          <w:color w:val="000000"/>
        </w:rPr>
        <w:t>.</w:t>
      </w:r>
      <w:r w:rsidRPr="00EA190F">
        <w:rPr>
          <w:rStyle w:val="FootnoteReference"/>
          <w:rFonts w:cs="Arial"/>
          <w:color w:val="000000"/>
        </w:rPr>
        <w:footnoteReference w:id="1"/>
      </w:r>
      <w:r w:rsidRPr="00EA190F">
        <w:rPr>
          <w:color w:val="000000"/>
        </w:rPr>
        <w:t xml:space="preserve"> It is the only country in </w:t>
      </w:r>
      <w:smartTag w:uri="urn:schemas-microsoft-com:office:smarttags" w:element="place">
        <w:r w:rsidRPr="00EA190F">
          <w:rPr>
            <w:color w:val="000000"/>
          </w:rPr>
          <w:t>Asia</w:t>
        </w:r>
      </w:smartTag>
      <w:r w:rsidRPr="00EA190F">
        <w:rPr>
          <w:color w:val="000000"/>
        </w:rPr>
        <w:t xml:space="preserve"> to have closed the gender gap on both education and health.</w:t>
      </w:r>
      <w:r w:rsidR="008F6566" w:rsidRPr="00EA190F">
        <w:rPr>
          <w:color w:val="000000"/>
        </w:rPr>
        <w:t xml:space="preserve"> </w:t>
      </w:r>
      <w:r w:rsidRPr="00EA190F">
        <w:rPr>
          <w:color w:val="000000"/>
        </w:rPr>
        <w:t xml:space="preserve">The </w:t>
      </w:r>
      <w:smartTag w:uri="urn:schemas-microsoft-com:office:smarttags" w:element="country-region">
        <w:smartTag w:uri="urn:schemas-microsoft-com:office:smarttags" w:element="place">
          <w:r w:rsidRPr="00EA190F">
            <w:rPr>
              <w:color w:val="000000"/>
            </w:rPr>
            <w:lastRenderedPageBreak/>
            <w:t>Philippines</w:t>
          </w:r>
        </w:smartTag>
      </w:smartTag>
      <w:r w:rsidR="000C07F2" w:rsidRPr="00EA190F">
        <w:rPr>
          <w:color w:val="000000"/>
        </w:rPr>
        <w:t>’</w:t>
      </w:r>
      <w:r w:rsidRPr="00EA190F">
        <w:rPr>
          <w:color w:val="000000"/>
        </w:rPr>
        <w:t xml:space="preserve"> scores on political empowerment improved, as did some of its economic indicators such as estimated income, and income equality for similar work.</w:t>
      </w:r>
    </w:p>
    <w:p w:rsidR="005973FC" w:rsidRPr="00EA190F" w:rsidRDefault="005973FC" w:rsidP="005973FC">
      <w:pPr>
        <w:pStyle w:val="BodyText"/>
        <w:rPr>
          <w:color w:val="000000"/>
        </w:rPr>
      </w:pPr>
      <w:r w:rsidRPr="00EA190F">
        <w:rPr>
          <w:color w:val="000000"/>
        </w:rPr>
        <w:t>Wealth concentration, high population growth rates, the influence of powerful vested interests and rising inflation all pose considerable challenges for the immediate future.</w:t>
      </w:r>
      <w:r w:rsidR="008F6566" w:rsidRPr="00EA190F">
        <w:rPr>
          <w:color w:val="000000"/>
        </w:rPr>
        <w:t xml:space="preserve"> </w:t>
      </w:r>
      <w:r w:rsidRPr="00EA190F">
        <w:rPr>
          <w:color w:val="000000"/>
        </w:rPr>
        <w:t xml:space="preserve">Key development issues include </w:t>
      </w:r>
      <w:r w:rsidR="00FA1BD0" w:rsidRPr="00EA190F">
        <w:rPr>
          <w:color w:val="000000"/>
        </w:rPr>
        <w:t xml:space="preserve">the </w:t>
      </w:r>
      <w:r w:rsidRPr="00EA190F">
        <w:rPr>
          <w:color w:val="000000"/>
        </w:rPr>
        <w:t>lack of economic development in regional areas</w:t>
      </w:r>
      <w:r w:rsidR="00FA1BD0" w:rsidRPr="00EA190F">
        <w:rPr>
          <w:color w:val="000000"/>
        </w:rPr>
        <w:t>,</w:t>
      </w:r>
      <w:r w:rsidRPr="00EA190F">
        <w:rPr>
          <w:color w:val="000000"/>
        </w:rPr>
        <w:t xml:space="preserve"> a poor governance and regulatory environment</w:t>
      </w:r>
      <w:r w:rsidR="00FA1BD0" w:rsidRPr="00EA190F">
        <w:rPr>
          <w:color w:val="000000"/>
        </w:rPr>
        <w:t>,</w:t>
      </w:r>
      <w:r w:rsidRPr="00EA190F">
        <w:rPr>
          <w:color w:val="000000"/>
        </w:rPr>
        <w:t xml:space="preserve"> and vulnerability of the poor to shocks such as climate change, natural disasters and increasing food prices.</w:t>
      </w:r>
    </w:p>
    <w:p w:rsidR="005973FC" w:rsidRPr="00EA190F" w:rsidRDefault="005973FC" w:rsidP="005973FC">
      <w:pPr>
        <w:pStyle w:val="BodyText"/>
        <w:rPr>
          <w:color w:val="000000"/>
        </w:rPr>
      </w:pPr>
      <w:r w:rsidRPr="00EA190F">
        <w:rPr>
          <w:color w:val="000000"/>
        </w:rPr>
        <w:t>Subnational governments</w:t>
      </w:r>
      <w:r w:rsidR="00FA1BD0" w:rsidRPr="00EA190F">
        <w:rPr>
          <w:color w:val="000000"/>
        </w:rPr>
        <w:t>,</w:t>
      </w:r>
      <w:r w:rsidRPr="00EA190F">
        <w:rPr>
          <w:color w:val="000000"/>
        </w:rPr>
        <w:t xml:space="preserve"> particularly in rural areas</w:t>
      </w:r>
      <w:r w:rsidR="00FA1BD0" w:rsidRPr="00EA190F">
        <w:rPr>
          <w:color w:val="000000"/>
        </w:rPr>
        <w:t>,</w:t>
      </w:r>
      <w:r w:rsidRPr="00EA190F">
        <w:rPr>
          <w:color w:val="000000"/>
        </w:rPr>
        <w:t xml:space="preserve"> do not have sufficient funding or administrative capacity to meet their service delivery obligations. This is partly a result of insufficient transfers from the national level and partly from a lack of power and incentive to raise their own revenues. Agricultural production is geographically dispersed, with highly location-specific problems, exacerbated by the cost of transport through the archipelago. Rural poverty accounts for approximately 70</w:t>
      </w:r>
      <w:r w:rsidR="008F6566" w:rsidRPr="00EA190F">
        <w:rPr>
          <w:color w:val="000000"/>
        </w:rPr>
        <w:t> per cent</w:t>
      </w:r>
      <w:r w:rsidRPr="00EA190F">
        <w:rPr>
          <w:color w:val="000000"/>
        </w:rPr>
        <w:t xml:space="preserve"> of national poverty. A</w:t>
      </w:r>
      <w:r w:rsidR="00A75774" w:rsidRPr="00EA190F">
        <w:rPr>
          <w:color w:val="000000"/>
        </w:rPr>
        <w:t>n</w:t>
      </w:r>
      <w:r w:rsidRPr="00EA190F">
        <w:rPr>
          <w:color w:val="000000"/>
        </w:rPr>
        <w:t xml:space="preserve"> </w:t>
      </w:r>
      <w:r w:rsidR="00A75774" w:rsidRPr="00EA190F">
        <w:rPr>
          <w:color w:val="000000"/>
        </w:rPr>
        <w:t xml:space="preserve">inappropriate </w:t>
      </w:r>
      <w:r w:rsidRPr="00EA190F">
        <w:rPr>
          <w:color w:val="000000"/>
        </w:rPr>
        <w:t xml:space="preserve">pursuit of </w:t>
      </w:r>
      <w:r w:rsidR="005E266D" w:rsidRPr="00EA190F">
        <w:rPr>
          <w:color w:val="000000"/>
        </w:rPr>
        <w:t>rice</w:t>
      </w:r>
      <w:r w:rsidRPr="00EA190F">
        <w:rPr>
          <w:color w:val="000000"/>
        </w:rPr>
        <w:t xml:space="preserve"> self</w:t>
      </w:r>
      <w:r w:rsidR="00670E2D" w:rsidRPr="00EA190F">
        <w:rPr>
          <w:color w:val="000000"/>
        </w:rPr>
        <w:t>-</w:t>
      </w:r>
      <w:r w:rsidRPr="00EA190F">
        <w:rPr>
          <w:color w:val="000000"/>
        </w:rPr>
        <w:t xml:space="preserve">sufficiency, poor credit </w:t>
      </w:r>
      <w:r w:rsidR="005E266D" w:rsidRPr="00EA190F">
        <w:rPr>
          <w:color w:val="000000"/>
        </w:rPr>
        <w:t>access</w:t>
      </w:r>
      <w:r w:rsidRPr="00EA190F">
        <w:rPr>
          <w:color w:val="000000"/>
        </w:rPr>
        <w:t xml:space="preserve">, </w:t>
      </w:r>
      <w:r w:rsidR="005E266D" w:rsidRPr="00EA190F">
        <w:rPr>
          <w:color w:val="000000"/>
        </w:rPr>
        <w:t>fragmented</w:t>
      </w:r>
      <w:r w:rsidRPr="00EA190F">
        <w:rPr>
          <w:color w:val="000000"/>
        </w:rPr>
        <w:t xml:space="preserve"> extension services, a lack of certainty in land management, administration, distribution and ownership</w:t>
      </w:r>
      <w:r w:rsidR="00670E2D" w:rsidRPr="00EA190F">
        <w:rPr>
          <w:color w:val="000000"/>
        </w:rPr>
        <w:t>,</w:t>
      </w:r>
      <w:r w:rsidRPr="00EA190F">
        <w:rPr>
          <w:color w:val="000000"/>
        </w:rPr>
        <w:t xml:space="preserve"> coupled with an increasing landless population</w:t>
      </w:r>
      <w:r w:rsidR="00670E2D" w:rsidRPr="00EA190F">
        <w:rPr>
          <w:color w:val="000000"/>
        </w:rPr>
        <w:t>,</w:t>
      </w:r>
      <w:r w:rsidRPr="00EA190F">
        <w:rPr>
          <w:color w:val="000000"/>
        </w:rPr>
        <w:t xml:space="preserve"> impede growth in the rural sector.</w:t>
      </w:r>
      <w:r w:rsidR="008F6566" w:rsidRPr="00EA190F">
        <w:rPr>
          <w:color w:val="000000"/>
        </w:rPr>
        <w:t xml:space="preserve"> </w:t>
      </w:r>
    </w:p>
    <w:p w:rsidR="005973FC" w:rsidRPr="00EA190F" w:rsidRDefault="005973FC" w:rsidP="005973FC">
      <w:pPr>
        <w:pStyle w:val="BodyText"/>
        <w:rPr>
          <w:color w:val="000000"/>
        </w:rPr>
      </w:pPr>
      <w:r w:rsidRPr="00EA190F">
        <w:rPr>
          <w:color w:val="000000"/>
        </w:rPr>
        <w:t>While government performance and management</w:t>
      </w:r>
      <w:r w:rsidR="00C95450" w:rsidRPr="00EA190F">
        <w:rPr>
          <w:color w:val="000000"/>
        </w:rPr>
        <w:t>,</w:t>
      </w:r>
      <w:r w:rsidRPr="00EA190F">
        <w:rPr>
          <w:color w:val="000000"/>
        </w:rPr>
        <w:t xml:space="preserve"> particularly in the macroeconomic field, ha</w:t>
      </w:r>
      <w:r w:rsidR="00C95450" w:rsidRPr="00EA190F">
        <w:rPr>
          <w:color w:val="000000"/>
        </w:rPr>
        <w:t>ve</w:t>
      </w:r>
      <w:r w:rsidRPr="00EA190F">
        <w:rPr>
          <w:color w:val="000000"/>
        </w:rPr>
        <w:t xml:space="preserve"> improved dramatically over the </w:t>
      </w:r>
      <w:r w:rsidR="00C95450" w:rsidRPr="00EA190F">
        <w:rPr>
          <w:color w:val="000000"/>
        </w:rPr>
        <w:t>p</w:t>
      </w:r>
      <w:r w:rsidRPr="00EA190F">
        <w:rPr>
          <w:color w:val="000000"/>
        </w:rPr>
        <w:t xml:space="preserve">ast two years, </w:t>
      </w:r>
      <w:r w:rsidR="00C95450" w:rsidRPr="00EA190F">
        <w:rPr>
          <w:color w:val="000000"/>
        </w:rPr>
        <w:t xml:space="preserve">the government’s </w:t>
      </w:r>
      <w:r w:rsidRPr="00EA190F">
        <w:rPr>
          <w:color w:val="000000"/>
        </w:rPr>
        <w:t xml:space="preserve">capacity and willingness to follow through on major reforms may diminish as </w:t>
      </w:r>
      <w:r w:rsidR="00C95450" w:rsidRPr="00EA190F">
        <w:rPr>
          <w:color w:val="000000"/>
        </w:rPr>
        <w:t xml:space="preserve">the country </w:t>
      </w:r>
      <w:r w:rsidRPr="00EA190F">
        <w:rPr>
          <w:color w:val="000000"/>
        </w:rPr>
        <w:t>enter</w:t>
      </w:r>
      <w:r w:rsidR="00C95450" w:rsidRPr="00EA190F">
        <w:rPr>
          <w:color w:val="000000"/>
        </w:rPr>
        <w:t>s</w:t>
      </w:r>
      <w:r w:rsidRPr="00EA190F">
        <w:rPr>
          <w:color w:val="000000"/>
        </w:rPr>
        <w:t xml:space="preserve"> the </w:t>
      </w:r>
      <w:r w:rsidR="00C95450" w:rsidRPr="00EA190F">
        <w:rPr>
          <w:color w:val="000000"/>
        </w:rPr>
        <w:t xml:space="preserve">presidential </w:t>
      </w:r>
      <w:r w:rsidRPr="00EA190F">
        <w:rPr>
          <w:color w:val="000000"/>
        </w:rPr>
        <w:t>election cycle for 2010.</w:t>
      </w:r>
      <w:r w:rsidR="008F6566" w:rsidRPr="00EA190F">
        <w:rPr>
          <w:color w:val="000000"/>
        </w:rPr>
        <w:t xml:space="preserve"> </w:t>
      </w:r>
      <w:r w:rsidRPr="00EA190F">
        <w:rPr>
          <w:color w:val="000000"/>
        </w:rPr>
        <w:t xml:space="preserve">At the Philippines Development Forum held in March </w:t>
      </w:r>
      <w:r w:rsidR="00C95450" w:rsidRPr="00EA190F">
        <w:rPr>
          <w:color w:val="000000"/>
        </w:rPr>
        <w:t>2008</w:t>
      </w:r>
      <w:r w:rsidRPr="00EA190F">
        <w:rPr>
          <w:color w:val="000000"/>
        </w:rPr>
        <w:t xml:space="preserve">, donors and </w:t>
      </w:r>
      <w:r w:rsidR="00C95450" w:rsidRPr="00EA190F">
        <w:rPr>
          <w:color w:val="000000"/>
        </w:rPr>
        <w:t xml:space="preserve">the </w:t>
      </w:r>
      <w:r w:rsidRPr="00EA190F">
        <w:rPr>
          <w:color w:val="000000"/>
        </w:rPr>
        <w:t xml:space="preserve">government discussed the key reform challenges and critiqued </w:t>
      </w:r>
      <w:r w:rsidR="00C95450" w:rsidRPr="00EA190F">
        <w:rPr>
          <w:color w:val="000000"/>
        </w:rPr>
        <w:t xml:space="preserve">the </w:t>
      </w:r>
      <w:r w:rsidRPr="00EA190F">
        <w:rPr>
          <w:color w:val="000000"/>
        </w:rPr>
        <w:t>performance of the government across key sectors.</w:t>
      </w:r>
      <w:r w:rsidR="008F6566" w:rsidRPr="00EA190F">
        <w:rPr>
          <w:color w:val="000000"/>
        </w:rPr>
        <w:t xml:space="preserve"> </w:t>
      </w:r>
      <w:r w:rsidRPr="00EA190F">
        <w:rPr>
          <w:color w:val="000000"/>
        </w:rPr>
        <w:t xml:space="preserve">The World Bank co-chair, speaking on behalf of donors, identified three main areas where improved performance </w:t>
      </w:r>
      <w:r w:rsidR="00C95450" w:rsidRPr="00EA190F">
        <w:rPr>
          <w:color w:val="000000"/>
        </w:rPr>
        <w:t xml:space="preserve">by the </w:t>
      </w:r>
      <w:r w:rsidR="00FA31C4" w:rsidRPr="00EA190F">
        <w:rPr>
          <w:color w:val="000000"/>
        </w:rPr>
        <w:t xml:space="preserve">Government of the </w:t>
      </w:r>
      <w:smartTag w:uri="urn:schemas-microsoft-com:office:smarttags" w:element="country-region">
        <w:smartTag w:uri="urn:schemas-microsoft-com:office:smarttags" w:element="place">
          <w:r w:rsidR="00FA31C4" w:rsidRPr="00EA190F">
            <w:rPr>
              <w:color w:val="000000"/>
            </w:rPr>
            <w:t>Philippines</w:t>
          </w:r>
        </w:smartTag>
      </w:smartTag>
      <w:r w:rsidR="00FA31C4" w:rsidRPr="00EA190F">
        <w:rPr>
          <w:color w:val="000000"/>
        </w:rPr>
        <w:t xml:space="preserve"> </w:t>
      </w:r>
      <w:r w:rsidRPr="00EA190F">
        <w:rPr>
          <w:color w:val="000000"/>
        </w:rPr>
        <w:t>is required: to sustain economic growth</w:t>
      </w:r>
      <w:r w:rsidR="00C95450" w:rsidRPr="00EA190F">
        <w:rPr>
          <w:color w:val="000000"/>
        </w:rPr>
        <w:t>,</w:t>
      </w:r>
      <w:r w:rsidRPr="00EA190F">
        <w:rPr>
          <w:color w:val="000000"/>
        </w:rPr>
        <w:t xml:space="preserve"> support inclusive growth and strengthen governance.</w:t>
      </w:r>
      <w:r w:rsidR="008F6566" w:rsidRPr="00EA190F">
        <w:rPr>
          <w:color w:val="000000"/>
        </w:rPr>
        <w:t xml:space="preserve"> </w:t>
      </w:r>
      <w:r w:rsidRPr="00EA190F">
        <w:rPr>
          <w:color w:val="000000"/>
        </w:rPr>
        <w:t xml:space="preserve">There was open discussion and recognition of issues such a legislative delays, poor capacity at </w:t>
      </w:r>
      <w:r w:rsidR="00C95450" w:rsidRPr="00EA190F">
        <w:rPr>
          <w:color w:val="000000"/>
        </w:rPr>
        <w:t xml:space="preserve">the </w:t>
      </w:r>
      <w:r w:rsidRPr="00EA190F">
        <w:rPr>
          <w:color w:val="000000"/>
        </w:rPr>
        <w:t xml:space="preserve">national </w:t>
      </w:r>
      <w:r w:rsidR="00C95450" w:rsidRPr="00EA190F">
        <w:rPr>
          <w:color w:val="000000"/>
        </w:rPr>
        <w:t xml:space="preserve">level </w:t>
      </w:r>
      <w:r w:rsidRPr="00EA190F">
        <w:rPr>
          <w:color w:val="000000"/>
        </w:rPr>
        <w:t>and subnational level</w:t>
      </w:r>
      <w:r w:rsidR="00C95450" w:rsidRPr="00EA190F">
        <w:rPr>
          <w:color w:val="000000"/>
        </w:rPr>
        <w:t>s,</w:t>
      </w:r>
      <w:r w:rsidRPr="00EA190F">
        <w:rPr>
          <w:color w:val="000000"/>
        </w:rPr>
        <w:t xml:space="preserve"> the need to improve accountability in the use of public moneys and the need to control corruption and </w:t>
      </w:r>
      <w:r w:rsidR="00C95450" w:rsidRPr="00EA190F">
        <w:rPr>
          <w:color w:val="000000"/>
        </w:rPr>
        <w:t xml:space="preserve">to </w:t>
      </w:r>
      <w:r w:rsidRPr="00EA190F">
        <w:rPr>
          <w:color w:val="000000"/>
        </w:rPr>
        <w:t xml:space="preserve">strengthen the rule of law. </w:t>
      </w:r>
    </w:p>
    <w:p w:rsidR="00944A6F" w:rsidRPr="00EA190F" w:rsidRDefault="005973FC" w:rsidP="005973FC">
      <w:pPr>
        <w:pStyle w:val="BodyText"/>
        <w:rPr>
          <w:color w:val="000000"/>
        </w:rPr>
      </w:pPr>
      <w:r w:rsidRPr="00EA190F">
        <w:rPr>
          <w:color w:val="000000"/>
        </w:rPr>
        <w:t xml:space="preserve">The peace process in </w:t>
      </w:r>
      <w:smartTag w:uri="urn:schemas-microsoft-com:office:smarttags" w:element="place">
        <w:r w:rsidRPr="00EA190F">
          <w:rPr>
            <w:color w:val="000000"/>
          </w:rPr>
          <w:t>Mindanao</w:t>
        </w:r>
      </w:smartTag>
      <w:r w:rsidRPr="00EA190F">
        <w:rPr>
          <w:color w:val="000000"/>
        </w:rPr>
        <w:t xml:space="preserve"> is heading into uncertain territory.</w:t>
      </w:r>
      <w:r w:rsidR="008F6566" w:rsidRPr="00EA190F">
        <w:rPr>
          <w:color w:val="000000"/>
        </w:rPr>
        <w:t xml:space="preserve"> </w:t>
      </w:r>
      <w:r w:rsidRPr="00EA190F">
        <w:rPr>
          <w:color w:val="000000"/>
        </w:rPr>
        <w:t>The security environment may deteriorate and the operating environment remains complex and multilayered.</w:t>
      </w:r>
      <w:r w:rsidR="008F6566" w:rsidRPr="00EA190F">
        <w:rPr>
          <w:color w:val="000000"/>
        </w:rPr>
        <w:t xml:space="preserve"> </w:t>
      </w:r>
      <w:r w:rsidRPr="00EA190F">
        <w:rPr>
          <w:color w:val="000000"/>
        </w:rPr>
        <w:t xml:space="preserve">The peace process with the Moro Islamic Liberation Front appears stalled and may not be resolved by 2010 in line with the </w:t>
      </w:r>
      <w:r w:rsidR="00C95450" w:rsidRPr="00EA190F">
        <w:rPr>
          <w:color w:val="000000"/>
        </w:rPr>
        <w:t xml:space="preserve">government’s </w:t>
      </w:r>
      <w:r w:rsidRPr="00EA190F">
        <w:rPr>
          <w:color w:val="000000"/>
        </w:rPr>
        <w:t>plan</w:t>
      </w:r>
      <w:r w:rsidR="00C95450" w:rsidRPr="00EA190F">
        <w:rPr>
          <w:color w:val="000000"/>
        </w:rPr>
        <w:t>,</w:t>
      </w:r>
      <w:r w:rsidRPr="00EA190F">
        <w:rPr>
          <w:color w:val="000000"/>
        </w:rPr>
        <w:t xml:space="preserve"> while disunity and factionalism in the Moro National Liberation Front threaten to undermine ongoing collaboration on peace dividends derived from the peace agreement signed in 1996 with </w:t>
      </w:r>
      <w:r w:rsidR="00C95450" w:rsidRPr="00EA190F">
        <w:rPr>
          <w:color w:val="000000"/>
        </w:rPr>
        <w:t>the government</w:t>
      </w:r>
      <w:r w:rsidRPr="00EA190F">
        <w:rPr>
          <w:color w:val="000000"/>
        </w:rPr>
        <w:t>.</w:t>
      </w:r>
      <w:r w:rsidR="008F6566" w:rsidRPr="00EA190F">
        <w:rPr>
          <w:color w:val="000000"/>
        </w:rPr>
        <w:t xml:space="preserve"> </w:t>
      </w:r>
      <w:r w:rsidRPr="00EA190F">
        <w:rPr>
          <w:color w:val="000000"/>
        </w:rPr>
        <w:t xml:space="preserve">These are further complicated by </w:t>
      </w:r>
      <w:r w:rsidR="00C95450" w:rsidRPr="00EA190F">
        <w:rPr>
          <w:color w:val="000000"/>
        </w:rPr>
        <w:t>clan conflict (</w:t>
      </w:r>
      <w:proofErr w:type="spellStart"/>
      <w:r w:rsidRPr="00EA190F">
        <w:rPr>
          <w:i/>
          <w:color w:val="000000"/>
        </w:rPr>
        <w:t>rido</w:t>
      </w:r>
      <w:proofErr w:type="spellEnd"/>
      <w:r w:rsidR="00C95450" w:rsidRPr="00EA190F">
        <w:rPr>
          <w:color w:val="000000"/>
        </w:rPr>
        <w:t>)</w:t>
      </w:r>
      <w:r w:rsidRPr="00EA190F">
        <w:rPr>
          <w:color w:val="000000"/>
        </w:rPr>
        <w:t xml:space="preserve"> as well as weak institutions to work with</w:t>
      </w:r>
      <w:r w:rsidR="00C95450" w:rsidRPr="00EA190F">
        <w:rPr>
          <w:color w:val="000000"/>
        </w:rPr>
        <w:t>,</w:t>
      </w:r>
      <w:r w:rsidRPr="00EA190F">
        <w:rPr>
          <w:color w:val="000000"/>
        </w:rPr>
        <w:t xml:space="preserve"> including</w:t>
      </w:r>
      <w:r w:rsidR="00C95450" w:rsidRPr="00EA190F">
        <w:rPr>
          <w:color w:val="000000"/>
        </w:rPr>
        <w:t xml:space="preserve"> local government units</w:t>
      </w:r>
      <w:r w:rsidRPr="00EA190F">
        <w:rPr>
          <w:color w:val="000000"/>
        </w:rPr>
        <w:t xml:space="preserve"> </w:t>
      </w:r>
      <w:r w:rsidR="00C95450" w:rsidRPr="00EA190F">
        <w:rPr>
          <w:color w:val="000000"/>
        </w:rPr>
        <w:t>(</w:t>
      </w:r>
      <w:r w:rsidRPr="00EA190F">
        <w:rPr>
          <w:color w:val="000000"/>
        </w:rPr>
        <w:t>LGUs</w:t>
      </w:r>
      <w:r w:rsidR="00C95450" w:rsidRPr="00EA190F">
        <w:rPr>
          <w:color w:val="000000"/>
        </w:rPr>
        <w:t>)</w:t>
      </w:r>
      <w:r w:rsidRPr="00EA190F">
        <w:rPr>
          <w:color w:val="000000"/>
        </w:rPr>
        <w:t xml:space="preserve"> and the Autonomous Region </w:t>
      </w:r>
      <w:r w:rsidR="00DE65C6" w:rsidRPr="00EA190F">
        <w:rPr>
          <w:color w:val="000000"/>
        </w:rPr>
        <w:t>of</w:t>
      </w:r>
      <w:r w:rsidRPr="00EA190F">
        <w:rPr>
          <w:color w:val="000000"/>
        </w:rPr>
        <w:t xml:space="preserve"> Muslim Mindanao (ARMM).</w:t>
      </w:r>
      <w:r w:rsidR="008F6566" w:rsidRPr="00EA190F">
        <w:rPr>
          <w:color w:val="000000"/>
        </w:rPr>
        <w:t xml:space="preserve"> </w:t>
      </w:r>
      <w:r w:rsidRPr="00EA190F">
        <w:rPr>
          <w:color w:val="000000"/>
        </w:rPr>
        <w:t xml:space="preserve">Though local governments have the responsibility to provide </w:t>
      </w:r>
      <w:r w:rsidR="00A75774" w:rsidRPr="00EA190F">
        <w:rPr>
          <w:color w:val="000000"/>
        </w:rPr>
        <w:t>basic</w:t>
      </w:r>
      <w:r w:rsidRPr="00EA190F">
        <w:rPr>
          <w:color w:val="000000"/>
        </w:rPr>
        <w:t xml:space="preserve"> services</w:t>
      </w:r>
      <w:r w:rsidR="00A75774" w:rsidRPr="00EA190F">
        <w:rPr>
          <w:color w:val="000000"/>
        </w:rPr>
        <w:t xml:space="preserve"> such as health</w:t>
      </w:r>
      <w:r w:rsidR="002E7621" w:rsidRPr="00EA190F">
        <w:rPr>
          <w:color w:val="000000"/>
        </w:rPr>
        <w:t xml:space="preserve"> </w:t>
      </w:r>
      <w:r w:rsidR="00A75774" w:rsidRPr="00EA190F">
        <w:rPr>
          <w:color w:val="000000"/>
        </w:rPr>
        <w:t>care</w:t>
      </w:r>
      <w:r w:rsidRPr="00EA190F">
        <w:rPr>
          <w:color w:val="000000"/>
        </w:rPr>
        <w:t xml:space="preserve"> in conflict-affected areas, they are either absent or have limited capacity to deliver services.</w:t>
      </w:r>
      <w:r w:rsidR="008F6566" w:rsidRPr="00EA190F">
        <w:rPr>
          <w:color w:val="000000"/>
        </w:rPr>
        <w:t xml:space="preserve"> </w:t>
      </w:r>
      <w:r w:rsidRPr="00EA190F">
        <w:rPr>
          <w:color w:val="000000"/>
        </w:rPr>
        <w:t>Civil society organisations have temporarily taken on the role of these local governments while helping to enhance local government capacities.</w:t>
      </w:r>
      <w:r w:rsidR="008F6566" w:rsidRPr="00EA190F">
        <w:rPr>
          <w:color w:val="000000"/>
        </w:rPr>
        <w:t xml:space="preserve"> </w:t>
      </w:r>
    </w:p>
    <w:p w:rsidR="005973FC" w:rsidRPr="00EA190F" w:rsidRDefault="005973FC" w:rsidP="005973FC">
      <w:pPr>
        <w:pStyle w:val="BodyText"/>
        <w:rPr>
          <w:color w:val="000000"/>
        </w:rPr>
      </w:pPr>
      <w:r w:rsidRPr="00EA190F">
        <w:rPr>
          <w:color w:val="000000"/>
        </w:rPr>
        <w:lastRenderedPageBreak/>
        <w:t>Conflict-affected areas</w:t>
      </w:r>
      <w:r w:rsidR="00944A6F" w:rsidRPr="00EA190F">
        <w:rPr>
          <w:color w:val="000000"/>
        </w:rPr>
        <w:t>,</w:t>
      </w:r>
      <w:r w:rsidRPr="00EA190F">
        <w:rPr>
          <w:color w:val="000000"/>
        </w:rPr>
        <w:t xml:space="preserve"> particularly ARMM</w:t>
      </w:r>
      <w:r w:rsidR="00944A6F" w:rsidRPr="00EA190F">
        <w:rPr>
          <w:color w:val="000000"/>
        </w:rPr>
        <w:t>,</w:t>
      </w:r>
      <w:r w:rsidRPr="00EA190F">
        <w:rPr>
          <w:color w:val="000000"/>
        </w:rPr>
        <w:t xml:space="preserve"> have received huge amounts of international assistance but these areas continue to be the poorest in the country.</w:t>
      </w:r>
      <w:r w:rsidR="008F6566" w:rsidRPr="00EA190F">
        <w:rPr>
          <w:color w:val="000000"/>
        </w:rPr>
        <w:t xml:space="preserve"> </w:t>
      </w:r>
      <w:r w:rsidR="00944A6F" w:rsidRPr="00EA190F">
        <w:rPr>
          <w:color w:val="000000"/>
        </w:rPr>
        <w:t>Increases in the p</w:t>
      </w:r>
      <w:r w:rsidRPr="00EA190F">
        <w:rPr>
          <w:color w:val="000000"/>
        </w:rPr>
        <w:t xml:space="preserve">overty rate in the context of </w:t>
      </w:r>
      <w:r w:rsidR="00944A6F" w:rsidRPr="00EA190F">
        <w:rPr>
          <w:color w:val="000000"/>
        </w:rPr>
        <w:t xml:space="preserve">more than </w:t>
      </w:r>
      <w:r w:rsidRPr="00EA190F">
        <w:rPr>
          <w:color w:val="000000"/>
        </w:rPr>
        <w:t>a decade of no war</w:t>
      </w:r>
      <w:r w:rsidR="000C07F2" w:rsidRPr="00EA190F">
        <w:rPr>
          <w:rFonts w:ascii="Arial Unicode MS" w:eastAsia="Arial Unicode MS" w:hAnsi="Arial Unicode MS" w:cs="Arial Unicode MS" w:hint="eastAsia"/>
          <w:color w:val="000000"/>
        </w:rPr>
        <w:t> </w:t>
      </w:r>
      <w:r w:rsidR="00944A6F" w:rsidRPr="00EA190F">
        <w:rPr>
          <w:color w:val="000000"/>
        </w:rPr>
        <w:t>–</w:t>
      </w:r>
      <w:r w:rsidR="000C07F2" w:rsidRPr="00EA190F">
        <w:rPr>
          <w:rFonts w:ascii="Arial Unicode MS" w:eastAsia="Arial Unicode MS" w:hAnsi="Arial Unicode MS" w:cs="Arial Unicode MS" w:hint="eastAsia"/>
          <w:color w:val="000000"/>
        </w:rPr>
        <w:t> </w:t>
      </w:r>
      <w:r w:rsidRPr="00EA190F">
        <w:rPr>
          <w:color w:val="000000"/>
        </w:rPr>
        <w:t>no peace raise some important questions on the impact of government and donor support in conflict</w:t>
      </w:r>
      <w:r w:rsidR="00944A6F" w:rsidRPr="00EA190F">
        <w:rPr>
          <w:color w:val="000000"/>
        </w:rPr>
        <w:t>-</w:t>
      </w:r>
      <w:r w:rsidRPr="00EA190F">
        <w:rPr>
          <w:color w:val="000000"/>
        </w:rPr>
        <w:t>affected</w:t>
      </w:r>
      <w:r w:rsidR="000C07F2" w:rsidRPr="00EA190F">
        <w:rPr>
          <w:color w:val="000000"/>
        </w:rPr>
        <w:t> </w:t>
      </w:r>
      <w:r w:rsidRPr="00EA190F">
        <w:rPr>
          <w:color w:val="000000"/>
        </w:rPr>
        <w:t>areas.</w:t>
      </w:r>
    </w:p>
    <w:p w:rsidR="005973FC" w:rsidRPr="00EA190F" w:rsidRDefault="005973FC" w:rsidP="005973FC">
      <w:pPr>
        <w:pStyle w:val="BodyText"/>
        <w:rPr>
          <w:rFonts w:cs="Arial"/>
          <w:b/>
          <w:color w:val="000000"/>
        </w:rPr>
      </w:pPr>
      <w:r w:rsidRPr="00EA190F">
        <w:rPr>
          <w:color w:val="000000"/>
        </w:rPr>
        <w:t xml:space="preserve">Currently, donor support to 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is approximately $600 million </w:t>
      </w:r>
      <w:r w:rsidR="00944A6F" w:rsidRPr="00EA190F">
        <w:rPr>
          <w:color w:val="000000"/>
        </w:rPr>
        <w:t>a year</w:t>
      </w:r>
      <w:r w:rsidRPr="00EA190F">
        <w:rPr>
          <w:color w:val="000000"/>
        </w:rPr>
        <w:t xml:space="preserve">. </w:t>
      </w:r>
      <w:smartTag w:uri="urn:schemas-microsoft-com:office:smarttags" w:element="country-region">
        <w:smartTag w:uri="urn:schemas-microsoft-com:office:smarttags" w:element="place">
          <w:r w:rsidRPr="00EA190F">
            <w:rPr>
              <w:color w:val="000000"/>
            </w:rPr>
            <w:t>Australia</w:t>
          </w:r>
        </w:smartTag>
      </w:smartTag>
      <w:r w:rsidR="00944A6F" w:rsidRPr="00EA190F">
        <w:rPr>
          <w:color w:val="000000"/>
        </w:rPr>
        <w:t>’s</w:t>
      </w:r>
      <w:r w:rsidRPr="00EA190F">
        <w:rPr>
          <w:color w:val="000000"/>
        </w:rPr>
        <w:t xml:space="preserve"> </w:t>
      </w:r>
      <w:r w:rsidR="00944A6F" w:rsidRPr="00EA190F">
        <w:rPr>
          <w:color w:val="000000"/>
        </w:rPr>
        <w:t xml:space="preserve">official development assistance </w:t>
      </w:r>
      <w:r w:rsidRPr="00EA190F">
        <w:rPr>
          <w:color w:val="000000"/>
        </w:rPr>
        <w:t>in 2007</w:t>
      </w:r>
      <w:r w:rsidR="00944A6F" w:rsidRPr="00EA190F">
        <w:rPr>
          <w:color w:val="000000"/>
        </w:rPr>
        <w:t>–</w:t>
      </w:r>
      <w:r w:rsidRPr="00EA190F">
        <w:rPr>
          <w:color w:val="000000"/>
        </w:rPr>
        <w:t xml:space="preserve">08 </w:t>
      </w:r>
      <w:r w:rsidR="00944A6F" w:rsidRPr="00EA190F">
        <w:rPr>
          <w:color w:val="000000"/>
        </w:rPr>
        <w:t xml:space="preserve">totalled </w:t>
      </w:r>
      <w:r w:rsidRPr="00EA190F">
        <w:rPr>
          <w:color w:val="000000"/>
        </w:rPr>
        <w:t xml:space="preserve">$102.3 million, with bilateral flows estimated at $91.5 million. </w:t>
      </w:r>
      <w:r w:rsidR="00944A6F" w:rsidRPr="00EA190F">
        <w:rPr>
          <w:color w:val="000000"/>
        </w:rPr>
        <w:t xml:space="preserve">The official development assistance </w:t>
      </w:r>
      <w:r w:rsidRPr="00EA190F">
        <w:rPr>
          <w:color w:val="000000"/>
        </w:rPr>
        <w:t>is less than 0.5</w:t>
      </w:r>
      <w:r w:rsidR="008F6566" w:rsidRPr="00EA190F">
        <w:rPr>
          <w:color w:val="000000"/>
        </w:rPr>
        <w:t> per cent</w:t>
      </w:r>
      <w:r w:rsidRPr="00EA190F">
        <w:rPr>
          <w:color w:val="000000"/>
        </w:rPr>
        <w:t xml:space="preserve"> of </w:t>
      </w:r>
      <w:r w:rsidR="00944A6F" w:rsidRPr="00EA190F">
        <w:rPr>
          <w:color w:val="000000"/>
        </w:rPr>
        <w:t xml:space="preserve">the </w:t>
      </w:r>
      <w:smartTag w:uri="urn:schemas-microsoft-com:office:smarttags" w:element="country-region">
        <w:smartTag w:uri="urn:schemas-microsoft-com:office:smarttags" w:element="place">
          <w:r w:rsidRPr="00EA190F">
            <w:rPr>
              <w:color w:val="000000"/>
            </w:rPr>
            <w:t>Philippines</w:t>
          </w:r>
        </w:smartTag>
      </w:smartTag>
      <w:r w:rsidR="00944A6F" w:rsidRPr="00EA190F">
        <w:rPr>
          <w:color w:val="000000"/>
        </w:rPr>
        <w:t>’</w:t>
      </w:r>
      <w:r w:rsidRPr="00EA190F">
        <w:rPr>
          <w:color w:val="000000"/>
        </w:rPr>
        <w:t xml:space="preserve"> </w:t>
      </w:r>
      <w:r w:rsidR="00944A6F" w:rsidRPr="00EA190F">
        <w:rPr>
          <w:color w:val="000000"/>
        </w:rPr>
        <w:t>gross national income</w:t>
      </w:r>
      <w:r w:rsidRPr="00EA190F">
        <w:rPr>
          <w:color w:val="000000"/>
        </w:rPr>
        <w:t>. The donor community in the Philippines is small</w:t>
      </w:r>
      <w:r w:rsidR="00944A6F" w:rsidRPr="00EA190F">
        <w:rPr>
          <w:color w:val="000000"/>
        </w:rPr>
        <w:t>,</w:t>
      </w:r>
      <w:r w:rsidRPr="00EA190F">
        <w:rPr>
          <w:color w:val="000000"/>
        </w:rPr>
        <w:t xml:space="preserve"> with Japan, </w:t>
      </w:r>
      <w:r w:rsidR="00944A6F" w:rsidRPr="00EA190F">
        <w:rPr>
          <w:color w:val="000000"/>
        </w:rPr>
        <w:t>Australia</w:t>
      </w:r>
      <w:r w:rsidRPr="00EA190F">
        <w:rPr>
          <w:color w:val="000000"/>
        </w:rPr>
        <w:t xml:space="preserve">, </w:t>
      </w:r>
      <w:r w:rsidR="00944A6F" w:rsidRPr="00EA190F">
        <w:rPr>
          <w:color w:val="000000"/>
        </w:rPr>
        <w:t>the United States</w:t>
      </w:r>
      <w:r w:rsidRPr="00EA190F">
        <w:rPr>
          <w:color w:val="000000"/>
        </w:rPr>
        <w:t xml:space="preserve">, the </w:t>
      </w:r>
      <w:r w:rsidR="00944A6F" w:rsidRPr="00EA190F">
        <w:rPr>
          <w:color w:val="000000"/>
        </w:rPr>
        <w:t>World Bank</w:t>
      </w:r>
      <w:r w:rsidRPr="00EA190F">
        <w:rPr>
          <w:color w:val="000000"/>
        </w:rPr>
        <w:t xml:space="preserve">, </w:t>
      </w:r>
      <w:r w:rsidR="00944A6F" w:rsidRPr="00EA190F">
        <w:rPr>
          <w:color w:val="000000"/>
        </w:rPr>
        <w:t xml:space="preserve">the European Union </w:t>
      </w:r>
      <w:r w:rsidRPr="00EA190F">
        <w:rPr>
          <w:color w:val="000000"/>
        </w:rPr>
        <w:t xml:space="preserve">and the </w:t>
      </w:r>
      <w:r w:rsidR="00944A6F" w:rsidRPr="00EA190F">
        <w:rPr>
          <w:color w:val="000000"/>
        </w:rPr>
        <w:t xml:space="preserve">Asian Development Bank </w:t>
      </w:r>
      <w:r w:rsidRPr="00EA190F">
        <w:rPr>
          <w:color w:val="000000"/>
        </w:rPr>
        <w:t xml:space="preserve">the dominant partners. Increasingly, donors are partnering on interventions </w:t>
      </w:r>
      <w:r w:rsidR="00944A6F" w:rsidRPr="00EA190F">
        <w:rPr>
          <w:color w:val="000000"/>
        </w:rPr>
        <w:t xml:space="preserve">that </w:t>
      </w:r>
      <w:r w:rsidRPr="00EA190F">
        <w:rPr>
          <w:color w:val="000000"/>
        </w:rPr>
        <w:t>will be essential if the necessary reforms are to have an influence in a challenging environment.</w:t>
      </w:r>
      <w:r w:rsidR="008F6566" w:rsidRPr="00EA190F">
        <w:rPr>
          <w:color w:val="000000"/>
        </w:rPr>
        <w:t xml:space="preserve"> </w:t>
      </w:r>
    </w:p>
    <w:p w:rsidR="005973FC" w:rsidRPr="00EA190F" w:rsidRDefault="005973FC" w:rsidP="00CB1CDA">
      <w:pPr>
        <w:pStyle w:val="BodyText"/>
        <w:rPr>
          <w:color w:val="000000"/>
        </w:rPr>
        <w:sectPr w:rsidR="005973FC" w:rsidRPr="00EA190F" w:rsidSect="00CB1CDA">
          <w:headerReference w:type="even" r:id="rId32"/>
          <w:headerReference w:type="default" r:id="rId33"/>
          <w:footerReference w:type="even" r:id="rId34"/>
          <w:footerReference w:type="default" r:id="rId35"/>
          <w:pgSz w:w="11907" w:h="16840" w:code="9"/>
          <w:pgMar w:top="2268" w:right="1985" w:bottom="1247" w:left="1985" w:header="567" w:footer="567" w:gutter="0"/>
          <w:cols w:space="720"/>
        </w:sectPr>
      </w:pPr>
    </w:p>
    <w:p w:rsidR="005973FC" w:rsidRPr="00EA190F" w:rsidRDefault="005973FC" w:rsidP="00A87DA8">
      <w:pPr>
        <w:pStyle w:val="Heading1nonumber"/>
        <w:spacing w:before="120" w:after="60" w:line="440" w:lineRule="exact"/>
        <w:rPr>
          <w:color w:val="000000"/>
        </w:rPr>
      </w:pPr>
      <w:bookmarkStart w:id="37" w:name="_Toc360805255"/>
      <w:r w:rsidRPr="00EA190F">
        <w:rPr>
          <w:color w:val="000000"/>
        </w:rPr>
        <w:lastRenderedPageBreak/>
        <w:t xml:space="preserve">What are the results of </w:t>
      </w:r>
      <w:r w:rsidR="00C54BF6" w:rsidRPr="00EA190F">
        <w:rPr>
          <w:color w:val="000000"/>
        </w:rPr>
        <w:t xml:space="preserve">the </w:t>
      </w:r>
      <w:r w:rsidR="003C3D9B" w:rsidRPr="00EA190F">
        <w:rPr>
          <w:color w:val="000000"/>
        </w:rPr>
        <w:t xml:space="preserve">Australia–Philippines </w:t>
      </w:r>
      <w:r w:rsidRPr="00EA190F">
        <w:rPr>
          <w:color w:val="000000"/>
        </w:rPr>
        <w:t>aid</w:t>
      </w:r>
      <w:r w:rsidR="003C3D9B" w:rsidRPr="00EA190F">
        <w:rPr>
          <w:color w:val="000000"/>
        </w:rPr>
        <w:t> </w:t>
      </w:r>
      <w:r w:rsidRPr="00EA190F">
        <w:rPr>
          <w:color w:val="000000"/>
        </w:rPr>
        <w:t>program?</w:t>
      </w:r>
      <w:bookmarkEnd w:id="37"/>
    </w:p>
    <w:p w:rsidR="00CB1CDA" w:rsidRPr="00EA190F" w:rsidRDefault="00CB1CDA" w:rsidP="00CB1CDA">
      <w:pPr>
        <w:pStyle w:val="Heading2nonumber"/>
        <w:rPr>
          <w:color w:val="000000"/>
        </w:rPr>
      </w:pPr>
      <w:bookmarkStart w:id="38" w:name="_Toc360805256"/>
      <w:r w:rsidRPr="00EA190F">
        <w:rPr>
          <w:color w:val="000000"/>
        </w:rPr>
        <w:t xml:space="preserve">Objective: </w:t>
      </w:r>
      <w:r w:rsidR="00A935E6" w:rsidRPr="00EA190F">
        <w:rPr>
          <w:color w:val="000000"/>
        </w:rPr>
        <w:br/>
      </w:r>
      <w:r w:rsidRPr="00EA190F">
        <w:rPr>
          <w:color w:val="000000"/>
        </w:rPr>
        <w:t>Government agencies are better able to implement transparent and efficient budgets</w:t>
      </w:r>
      <w:bookmarkEnd w:id="38"/>
    </w:p>
    <w:p w:rsidR="00CB1CDA" w:rsidRPr="00EA190F" w:rsidRDefault="00CB1CDA" w:rsidP="00A935E6">
      <w:pPr>
        <w:pStyle w:val="Heading3nonumber"/>
        <w:rPr>
          <w:color w:val="000000"/>
        </w:rPr>
      </w:pPr>
      <w:r w:rsidRPr="00EA190F">
        <w:rPr>
          <w:color w:val="000000"/>
        </w:rPr>
        <w:t>Rating</w:t>
      </w:r>
    </w:p>
    <w:p w:rsidR="00CB1CDA" w:rsidRPr="00EA190F" w:rsidRDefault="00EA190F" w:rsidP="00A935E6">
      <w:pPr>
        <w:pStyle w:val="HighlightBulletGreen"/>
        <w:numPr>
          <w:ilvl w:val="0"/>
          <w:numId w:val="19"/>
        </w:numPr>
        <w:rPr>
          <w:color w:val="000000"/>
        </w:rPr>
      </w:pPr>
      <w:r w:rsidRPr="00EA190F">
        <w:rPr>
          <w:color w:val="000000"/>
        </w:rPr>
        <w:t xml:space="preserve">(green) </w:t>
      </w:r>
      <w:r w:rsidR="00CB1CDA" w:rsidRPr="00EA190F">
        <w:rPr>
          <w:color w:val="000000"/>
        </w:rPr>
        <w:t>The objective is on track to be fully achieved within the timeframe</w:t>
      </w:r>
      <w:r w:rsidR="00665541" w:rsidRPr="00EA190F">
        <w:rPr>
          <w:color w:val="000000"/>
        </w:rPr>
        <w:t>.</w:t>
      </w:r>
    </w:p>
    <w:p w:rsidR="00F67D52" w:rsidRPr="00EA190F" w:rsidRDefault="00F67D52" w:rsidP="00F67D52">
      <w:pPr>
        <w:pStyle w:val="Heading3nonumber"/>
        <w:rPr>
          <w:color w:val="000000"/>
        </w:rPr>
      </w:pPr>
      <w:r w:rsidRPr="00EA190F">
        <w:rPr>
          <w:color w:val="000000"/>
        </w:rPr>
        <w:t xml:space="preserve">Contributing programs </w:t>
      </w:r>
    </w:p>
    <w:p w:rsidR="00F67D52" w:rsidRPr="00EA190F" w:rsidRDefault="00F67D52" w:rsidP="007F2422">
      <w:pPr>
        <w:pStyle w:val="ListBullet"/>
      </w:pPr>
      <w:r w:rsidRPr="00EA190F">
        <w:t>Partnership for Economic Growth and Reform</w:t>
      </w:r>
    </w:p>
    <w:p w:rsidR="00F67D52" w:rsidRPr="00EA190F" w:rsidRDefault="00F67D52" w:rsidP="007F2422">
      <w:pPr>
        <w:pStyle w:val="ListBullet"/>
      </w:pPr>
      <w:r w:rsidRPr="00EA190F">
        <w:t>Philippines–Australia Human Resources Development Facility</w:t>
      </w:r>
    </w:p>
    <w:p w:rsidR="00CB1CDA" w:rsidRPr="00EA190F" w:rsidRDefault="00CB1CDA" w:rsidP="00A935E6">
      <w:pPr>
        <w:pStyle w:val="Heading3nonumber"/>
        <w:rPr>
          <w:color w:val="000000"/>
        </w:rPr>
      </w:pPr>
      <w:r w:rsidRPr="00EA190F">
        <w:rPr>
          <w:color w:val="000000"/>
        </w:rPr>
        <w:t>Assessment of results and performance</w:t>
      </w:r>
    </w:p>
    <w:p w:rsidR="00CB1CDA" w:rsidRPr="00EA190F" w:rsidRDefault="00CB1CDA" w:rsidP="00F67D52">
      <w:pPr>
        <w:pStyle w:val="Heading4"/>
        <w:rPr>
          <w:color w:val="000000"/>
        </w:rPr>
      </w:pPr>
      <w:bookmarkStart w:id="39" w:name="OLE_LINK3"/>
      <w:bookmarkStart w:id="40" w:name="OLE_LINK4"/>
      <w:r w:rsidRPr="00EA190F">
        <w:rPr>
          <w:color w:val="000000"/>
        </w:rPr>
        <w:t xml:space="preserve">Key </w:t>
      </w:r>
      <w:r w:rsidR="00F67D52" w:rsidRPr="00EA190F">
        <w:rPr>
          <w:color w:val="000000"/>
        </w:rPr>
        <w:t>results</w:t>
      </w:r>
    </w:p>
    <w:p w:rsidR="00CB1CDA" w:rsidRPr="00EA190F" w:rsidRDefault="00CB1CDA" w:rsidP="00F67D52">
      <w:pPr>
        <w:pStyle w:val="Heading5"/>
        <w:tabs>
          <w:tab w:val="clear" w:pos="454"/>
        </w:tabs>
        <w:ind w:left="0" w:firstLine="0"/>
        <w:rPr>
          <w:color w:val="000000"/>
        </w:rPr>
      </w:pPr>
      <w:r w:rsidRPr="00EA190F">
        <w:rPr>
          <w:color w:val="000000"/>
        </w:rPr>
        <w:t xml:space="preserve">Budget </w:t>
      </w:r>
      <w:r w:rsidR="00A935E6" w:rsidRPr="00EA190F">
        <w:rPr>
          <w:color w:val="000000"/>
        </w:rPr>
        <w:t>planning</w:t>
      </w:r>
    </w:p>
    <w:p w:rsidR="00CB1CDA" w:rsidRPr="00EA190F" w:rsidRDefault="00CB1CDA" w:rsidP="00A935E6">
      <w:pPr>
        <w:pStyle w:val="BodyText"/>
        <w:rPr>
          <w:color w:val="000000"/>
        </w:rPr>
      </w:pPr>
      <w:r w:rsidRPr="00EA190F">
        <w:rPr>
          <w:color w:val="000000"/>
        </w:rPr>
        <w:t xml:space="preserve">The </w:t>
      </w:r>
      <w:r w:rsidR="00076B4C" w:rsidRPr="00EA190F">
        <w:rPr>
          <w:color w:val="000000"/>
        </w:rPr>
        <w:t xml:space="preserve">Government </w:t>
      </w:r>
      <w:r w:rsidR="00FA31C4" w:rsidRPr="00EA190F">
        <w:rPr>
          <w:color w:val="000000"/>
        </w:rPr>
        <w:t xml:space="preserve">of the </w:t>
      </w:r>
      <w:smartTag w:uri="urn:schemas-microsoft-com:office:smarttags" w:element="country-region">
        <w:smartTag w:uri="urn:schemas-microsoft-com:office:smarttags" w:element="place">
          <w:r w:rsidR="00FA31C4" w:rsidRPr="00EA190F">
            <w:rPr>
              <w:color w:val="000000"/>
            </w:rPr>
            <w:t>Philippines</w:t>
          </w:r>
        </w:smartTag>
      </w:smartTag>
      <w:r w:rsidR="00FA31C4" w:rsidRPr="00EA190F">
        <w:rPr>
          <w:color w:val="000000"/>
        </w:rPr>
        <w:t xml:space="preserve"> </w:t>
      </w:r>
      <w:r w:rsidRPr="00EA190F">
        <w:rPr>
          <w:color w:val="000000"/>
        </w:rPr>
        <w:t>has initiated changes in the way it frames its annual budgets, adopting, as a first step, the use of performance indicators and forward year estimates.</w:t>
      </w:r>
      <w:r w:rsidR="008F6566" w:rsidRPr="00EA190F">
        <w:rPr>
          <w:color w:val="000000"/>
        </w:rPr>
        <w:t xml:space="preserve"> </w:t>
      </w:r>
      <w:r w:rsidRPr="00EA190F">
        <w:rPr>
          <w:color w:val="000000"/>
        </w:rPr>
        <w:t xml:space="preserve">This is evidenced in the use of performance-based instruments (e.g. Mid Term Expenditure Frameworks, Organisational Performance Information Frameworks, </w:t>
      </w:r>
      <w:r w:rsidR="000C07F2" w:rsidRPr="00EA190F">
        <w:rPr>
          <w:color w:val="000000"/>
        </w:rPr>
        <w:t xml:space="preserve">and </w:t>
      </w:r>
      <w:r w:rsidRPr="00EA190F">
        <w:rPr>
          <w:color w:val="000000"/>
        </w:rPr>
        <w:t xml:space="preserve">Forward Estimates) for the preparation of the 2007 and 2008 </w:t>
      </w:r>
      <w:r w:rsidR="00076B4C" w:rsidRPr="00EA190F">
        <w:rPr>
          <w:color w:val="000000"/>
        </w:rPr>
        <w:t xml:space="preserve">national </w:t>
      </w:r>
      <w:r w:rsidR="000C07F2" w:rsidRPr="00EA190F">
        <w:rPr>
          <w:color w:val="000000"/>
        </w:rPr>
        <w:t>budgets</w:t>
      </w:r>
      <w:r w:rsidRPr="00EA190F">
        <w:rPr>
          <w:color w:val="000000"/>
        </w:rPr>
        <w:t xml:space="preserve">. </w:t>
      </w:r>
      <w:proofErr w:type="spellStart"/>
      <w:r w:rsidRPr="00EA190F">
        <w:rPr>
          <w:color w:val="000000"/>
        </w:rPr>
        <w:t>AusAID’s</w:t>
      </w:r>
      <w:proofErr w:type="spellEnd"/>
      <w:r w:rsidRPr="00EA190F">
        <w:rPr>
          <w:color w:val="000000"/>
        </w:rPr>
        <w:t xml:space="preserve"> Philippines Performance Assessment Framework (PAF) indicators on the introduction of Forward Estimates for 20 departments, </w:t>
      </w:r>
      <w:r w:rsidR="00076B4C" w:rsidRPr="00EA190F">
        <w:rPr>
          <w:color w:val="000000"/>
        </w:rPr>
        <w:t xml:space="preserve">the </w:t>
      </w:r>
      <w:r w:rsidRPr="00EA190F">
        <w:rPr>
          <w:color w:val="000000"/>
        </w:rPr>
        <w:t>coverage of Organisational Performance Information Frameworks for 90</w:t>
      </w:r>
      <w:r w:rsidR="008F6566" w:rsidRPr="00EA190F">
        <w:rPr>
          <w:color w:val="000000"/>
        </w:rPr>
        <w:t> per cent</w:t>
      </w:r>
      <w:r w:rsidRPr="00EA190F">
        <w:rPr>
          <w:color w:val="000000"/>
        </w:rPr>
        <w:t xml:space="preserve"> of the Budget and the use of a </w:t>
      </w:r>
      <w:r w:rsidR="00076B4C" w:rsidRPr="00EA190F">
        <w:rPr>
          <w:color w:val="000000"/>
        </w:rPr>
        <w:t xml:space="preserve">paper on budget strategy for budget </w:t>
      </w:r>
      <w:r w:rsidRPr="00EA190F">
        <w:rPr>
          <w:color w:val="000000"/>
        </w:rPr>
        <w:t xml:space="preserve">preparations have all been achieved, indicating </w:t>
      </w:r>
      <w:r w:rsidR="00076B4C" w:rsidRPr="00EA190F">
        <w:rPr>
          <w:color w:val="000000"/>
        </w:rPr>
        <w:t xml:space="preserve">a </w:t>
      </w:r>
      <w:r w:rsidRPr="00EA190F">
        <w:rPr>
          <w:color w:val="000000"/>
        </w:rPr>
        <w:t xml:space="preserve">positive uptake of </w:t>
      </w:r>
      <w:proofErr w:type="spellStart"/>
      <w:r w:rsidRPr="00EA190F">
        <w:rPr>
          <w:color w:val="000000"/>
        </w:rPr>
        <w:t>AusAID’s</w:t>
      </w:r>
      <w:proofErr w:type="spellEnd"/>
      <w:r w:rsidRPr="00EA190F">
        <w:rPr>
          <w:color w:val="000000"/>
        </w:rPr>
        <w:t xml:space="preserve"> assistance. Technical assistance activities on performance budgeting reforms expanded to </w:t>
      </w:r>
      <w:r w:rsidR="00076B4C" w:rsidRPr="00EA190F">
        <w:rPr>
          <w:color w:val="000000"/>
        </w:rPr>
        <w:t xml:space="preserve">fiscally autonomous agencies </w:t>
      </w:r>
      <w:r w:rsidRPr="00EA190F">
        <w:rPr>
          <w:color w:val="000000"/>
        </w:rPr>
        <w:t>(16 engaged in 2007</w:t>
      </w:r>
      <w:r w:rsidR="00076B4C" w:rsidRPr="00EA190F">
        <w:rPr>
          <w:color w:val="000000"/>
        </w:rPr>
        <w:t>–</w:t>
      </w:r>
      <w:r w:rsidRPr="00EA190F">
        <w:rPr>
          <w:color w:val="000000"/>
        </w:rPr>
        <w:t>08)</w:t>
      </w:r>
      <w:r w:rsidR="00076B4C" w:rsidRPr="00EA190F">
        <w:rPr>
          <w:color w:val="000000"/>
        </w:rPr>
        <w:t xml:space="preserve"> and</w:t>
      </w:r>
      <w:r w:rsidRPr="00EA190F">
        <w:rPr>
          <w:color w:val="000000"/>
        </w:rPr>
        <w:t xml:space="preserve"> </w:t>
      </w:r>
      <w:r w:rsidR="00076B4C" w:rsidRPr="00EA190F">
        <w:rPr>
          <w:color w:val="000000"/>
        </w:rPr>
        <w:t xml:space="preserve">state universities and colleges </w:t>
      </w:r>
      <w:r w:rsidRPr="00EA190F">
        <w:rPr>
          <w:color w:val="000000"/>
        </w:rPr>
        <w:t>(114 engaged in 2007</w:t>
      </w:r>
      <w:r w:rsidR="00076B4C" w:rsidRPr="00EA190F">
        <w:rPr>
          <w:color w:val="000000"/>
        </w:rPr>
        <w:t>–</w:t>
      </w:r>
      <w:r w:rsidRPr="00EA190F">
        <w:rPr>
          <w:color w:val="000000"/>
        </w:rPr>
        <w:t xml:space="preserve">08), </w:t>
      </w:r>
      <w:r w:rsidR="00076B4C" w:rsidRPr="00EA190F">
        <w:rPr>
          <w:color w:val="000000"/>
        </w:rPr>
        <w:t>and</w:t>
      </w:r>
      <w:r w:rsidRPr="00EA190F">
        <w:rPr>
          <w:color w:val="000000"/>
        </w:rPr>
        <w:t xml:space="preserve"> develop</w:t>
      </w:r>
      <w:r w:rsidR="00076B4C" w:rsidRPr="00EA190F">
        <w:rPr>
          <w:color w:val="000000"/>
        </w:rPr>
        <w:t>ed</w:t>
      </w:r>
      <w:r w:rsidRPr="00EA190F">
        <w:rPr>
          <w:color w:val="000000"/>
        </w:rPr>
        <w:t xml:space="preserve"> a strategy for the Department of Budget Management to engage Congress.</w:t>
      </w:r>
    </w:p>
    <w:p w:rsidR="00CB1CDA" w:rsidRPr="00EA190F" w:rsidRDefault="00CB1CDA" w:rsidP="00A935E6">
      <w:pPr>
        <w:pStyle w:val="BodyText"/>
        <w:rPr>
          <w:color w:val="000000"/>
        </w:rPr>
      </w:pPr>
      <w:r w:rsidRPr="00EA190F">
        <w:rPr>
          <w:color w:val="000000"/>
        </w:rPr>
        <w:t xml:space="preserve">It is still too early to tell if these reforms will be sustained; however, there is strong ownership from senior members of the bureaucracy for the reform program and support for continuing the practice in subsequent </w:t>
      </w:r>
      <w:r w:rsidR="000C07F2" w:rsidRPr="00EA190F">
        <w:rPr>
          <w:color w:val="000000"/>
        </w:rPr>
        <w:t>budgets</w:t>
      </w:r>
      <w:r w:rsidRPr="00EA190F">
        <w:rPr>
          <w:color w:val="000000"/>
        </w:rPr>
        <w:t>. Support to these programs will be a priority in 2008</w:t>
      </w:r>
      <w:r w:rsidR="00076B4C" w:rsidRPr="00EA190F">
        <w:rPr>
          <w:color w:val="000000"/>
        </w:rPr>
        <w:t>–</w:t>
      </w:r>
      <w:r w:rsidRPr="00EA190F">
        <w:rPr>
          <w:color w:val="000000"/>
        </w:rPr>
        <w:t xml:space="preserve">09, </w:t>
      </w:r>
      <w:r w:rsidR="00076B4C" w:rsidRPr="00EA190F">
        <w:rPr>
          <w:color w:val="000000"/>
        </w:rPr>
        <w:t xml:space="preserve">given that </w:t>
      </w:r>
      <w:r w:rsidRPr="00EA190F">
        <w:rPr>
          <w:color w:val="000000"/>
        </w:rPr>
        <w:t xml:space="preserve">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rated poorly in budget execution areas in the most recent </w:t>
      </w:r>
      <w:r w:rsidR="00076B4C" w:rsidRPr="00EA190F">
        <w:rPr>
          <w:color w:val="000000"/>
        </w:rPr>
        <w:t xml:space="preserve">study of public expenditure and financial accountability </w:t>
      </w:r>
      <w:r w:rsidRPr="00EA190F">
        <w:rPr>
          <w:color w:val="000000"/>
        </w:rPr>
        <w:t xml:space="preserve">undertaken by the </w:t>
      </w:r>
      <w:r w:rsidR="00076B4C" w:rsidRPr="00EA190F">
        <w:rPr>
          <w:color w:val="000000"/>
        </w:rPr>
        <w:t>World Bank</w:t>
      </w:r>
      <w:r w:rsidRPr="00EA190F">
        <w:rPr>
          <w:color w:val="000000"/>
        </w:rPr>
        <w:t xml:space="preserve">. </w:t>
      </w:r>
    </w:p>
    <w:p w:rsidR="00CB1CDA" w:rsidRPr="00EA190F" w:rsidRDefault="00CB1CDA" w:rsidP="00A935E6">
      <w:pPr>
        <w:pStyle w:val="BodyText"/>
        <w:rPr>
          <w:color w:val="000000"/>
        </w:rPr>
      </w:pPr>
      <w:r w:rsidRPr="00EA190F">
        <w:rPr>
          <w:color w:val="000000"/>
        </w:rPr>
        <w:lastRenderedPageBreak/>
        <w:t xml:space="preserve">At the regional level, LGU participatory planning reviews </w:t>
      </w:r>
      <w:r w:rsidR="00537944" w:rsidRPr="00EA190F">
        <w:rPr>
          <w:color w:val="000000"/>
        </w:rPr>
        <w:t xml:space="preserve">initiated by the Philippines–Australia Local Sustainability (PALS) Program </w:t>
      </w:r>
      <w:r w:rsidRPr="00EA190F">
        <w:rPr>
          <w:color w:val="000000"/>
        </w:rPr>
        <w:t>informed the Local Government Performance Management System and the LGU annual budget process.</w:t>
      </w:r>
      <w:r w:rsidR="00537944" w:rsidRPr="00EA190F">
        <w:rPr>
          <w:color w:val="000000"/>
        </w:rPr>
        <w:t xml:space="preserve"> </w:t>
      </w:r>
      <w:r w:rsidRPr="00EA190F">
        <w:rPr>
          <w:color w:val="000000"/>
        </w:rPr>
        <w:t>Results of the reviews provide information on the performance of LGUs in mobilising funds and efficiency in public spending.</w:t>
      </w:r>
      <w:r w:rsidR="00975524" w:rsidRPr="00EA190F">
        <w:rPr>
          <w:color w:val="000000"/>
        </w:rPr>
        <w:t xml:space="preserve"> </w:t>
      </w:r>
      <w:r w:rsidRPr="00EA190F">
        <w:rPr>
          <w:color w:val="000000"/>
        </w:rPr>
        <w:t>The LGUs</w:t>
      </w:r>
      <w:r w:rsidR="00975524" w:rsidRPr="00EA190F">
        <w:rPr>
          <w:color w:val="000000"/>
        </w:rPr>
        <w:t>’</w:t>
      </w:r>
      <w:r w:rsidRPr="00EA190F">
        <w:rPr>
          <w:color w:val="000000"/>
        </w:rPr>
        <w:t xml:space="preserve"> appreciation of the review results has helped them </w:t>
      </w:r>
      <w:r w:rsidR="00975524" w:rsidRPr="00EA190F">
        <w:rPr>
          <w:color w:val="000000"/>
        </w:rPr>
        <w:t xml:space="preserve">to </w:t>
      </w:r>
      <w:r w:rsidRPr="00EA190F">
        <w:rPr>
          <w:color w:val="000000"/>
        </w:rPr>
        <w:t>identify the need for strategies to increase local revenue and improve public spending according to development priorities.</w:t>
      </w:r>
    </w:p>
    <w:p w:rsidR="00CB1CDA" w:rsidRPr="00EA190F" w:rsidRDefault="00CB1CDA" w:rsidP="00F67D52">
      <w:pPr>
        <w:pStyle w:val="Heading5"/>
        <w:tabs>
          <w:tab w:val="clear" w:pos="454"/>
        </w:tabs>
        <w:ind w:left="0" w:firstLine="0"/>
        <w:rPr>
          <w:color w:val="000000"/>
        </w:rPr>
      </w:pPr>
      <w:r w:rsidRPr="00EA190F">
        <w:rPr>
          <w:color w:val="000000"/>
        </w:rPr>
        <w:t xml:space="preserve">Budget </w:t>
      </w:r>
      <w:r w:rsidR="00A935E6" w:rsidRPr="00EA190F">
        <w:rPr>
          <w:color w:val="000000"/>
        </w:rPr>
        <w:t>execution and anticorruption</w:t>
      </w:r>
    </w:p>
    <w:p w:rsidR="00CB1CDA" w:rsidRPr="00EA190F" w:rsidRDefault="00CB1CDA" w:rsidP="00A935E6">
      <w:pPr>
        <w:pStyle w:val="BodyText"/>
        <w:rPr>
          <w:color w:val="000000"/>
        </w:rPr>
      </w:pPr>
      <w:r w:rsidRPr="00EA190F">
        <w:rPr>
          <w:color w:val="000000"/>
        </w:rPr>
        <w:t xml:space="preserve">A key requirement for the execution of government budgets is a strong </w:t>
      </w:r>
      <w:r w:rsidR="00975524" w:rsidRPr="00EA190F">
        <w:rPr>
          <w:color w:val="000000"/>
        </w:rPr>
        <w:t xml:space="preserve">internal control system and internal audit </w:t>
      </w:r>
      <w:r w:rsidRPr="00EA190F">
        <w:rPr>
          <w:color w:val="000000"/>
        </w:rPr>
        <w:t xml:space="preserve">mechanism in agencies. </w:t>
      </w:r>
      <w:smartTag w:uri="urn:schemas-microsoft-com:office:smarttags" w:element="country-region">
        <w:smartTag w:uri="urn:schemas-microsoft-com:office:smarttags" w:element="place">
          <w:r w:rsidRPr="00EA190F">
            <w:rPr>
              <w:color w:val="000000"/>
            </w:rPr>
            <w:t>Australia</w:t>
          </w:r>
        </w:smartTag>
      </w:smartTag>
      <w:r w:rsidRPr="00EA190F">
        <w:rPr>
          <w:color w:val="000000"/>
        </w:rPr>
        <w:t xml:space="preserve"> is providing assistance to develop national guidelines on </w:t>
      </w:r>
      <w:r w:rsidR="00975524" w:rsidRPr="00EA190F">
        <w:rPr>
          <w:color w:val="000000"/>
        </w:rPr>
        <w:t>internal control and internal audit,</w:t>
      </w:r>
      <w:r w:rsidRPr="00EA190F">
        <w:rPr>
          <w:color w:val="000000"/>
        </w:rPr>
        <w:t xml:space="preserve"> which will be piloted in the oversight agency responsible for its implementation and rollout to government agencies. This work with the agencies contributes to the PAF indicator on government departments completing full internal audit procedures. The guidelines </w:t>
      </w:r>
      <w:r w:rsidR="00E15F39" w:rsidRPr="00EA190F">
        <w:rPr>
          <w:color w:val="000000"/>
        </w:rPr>
        <w:t>are now r</w:t>
      </w:r>
      <w:r w:rsidRPr="00EA190F">
        <w:rPr>
          <w:color w:val="000000"/>
        </w:rPr>
        <w:t>eady and rollouts to the larger spending agencies are planned for 2008</w:t>
      </w:r>
      <w:r w:rsidR="00975524" w:rsidRPr="00EA190F">
        <w:rPr>
          <w:color w:val="000000"/>
        </w:rPr>
        <w:t>–</w:t>
      </w:r>
      <w:r w:rsidRPr="00EA190F">
        <w:rPr>
          <w:color w:val="000000"/>
        </w:rPr>
        <w:t xml:space="preserve">09. The Department of Education and the </w:t>
      </w:r>
      <w:r w:rsidR="00975524" w:rsidRPr="00EA190F">
        <w:rPr>
          <w:color w:val="000000"/>
        </w:rPr>
        <w:t>Department of Public Works and Highways</w:t>
      </w:r>
      <w:r w:rsidRPr="00EA190F">
        <w:rPr>
          <w:color w:val="000000"/>
        </w:rPr>
        <w:t xml:space="preserve">, two agencies receiving major assistance </w:t>
      </w:r>
      <w:r w:rsidR="00A53B3A" w:rsidRPr="00EA190F">
        <w:rPr>
          <w:color w:val="000000"/>
        </w:rPr>
        <w:t xml:space="preserve">through </w:t>
      </w:r>
      <w:r w:rsidRPr="00EA190F">
        <w:rPr>
          <w:color w:val="000000"/>
        </w:rPr>
        <w:t>AusAID, will be the first two agencies targeted for the rollouts.</w:t>
      </w:r>
    </w:p>
    <w:p w:rsidR="00CB1CDA" w:rsidRPr="00EA190F" w:rsidRDefault="00CB1CDA" w:rsidP="00A935E6">
      <w:pPr>
        <w:pStyle w:val="BodyText"/>
        <w:rPr>
          <w:color w:val="000000"/>
        </w:rPr>
      </w:pPr>
      <w:r w:rsidRPr="00EA190F">
        <w:rPr>
          <w:color w:val="000000"/>
        </w:rPr>
        <w:t xml:space="preserve">At the subnational level, assessments of selected </w:t>
      </w:r>
      <w:r w:rsidR="00A53B3A" w:rsidRPr="00EA190F">
        <w:rPr>
          <w:color w:val="000000"/>
        </w:rPr>
        <w:t xml:space="preserve">provincial governments’ </w:t>
      </w:r>
      <w:r w:rsidRPr="00EA190F">
        <w:rPr>
          <w:color w:val="000000"/>
        </w:rPr>
        <w:t xml:space="preserve">planning and budget systems </w:t>
      </w:r>
      <w:r w:rsidR="000C07F2" w:rsidRPr="00EA190F">
        <w:rPr>
          <w:color w:val="000000"/>
        </w:rPr>
        <w:t xml:space="preserve">are </w:t>
      </w:r>
      <w:r w:rsidRPr="00EA190F">
        <w:rPr>
          <w:color w:val="000000"/>
        </w:rPr>
        <w:t>being undertaken in preparation for the proposed Philippines Roads Maintenance Program.</w:t>
      </w:r>
      <w:r w:rsidR="008F6566" w:rsidRPr="00EA190F">
        <w:rPr>
          <w:color w:val="000000"/>
        </w:rPr>
        <w:t xml:space="preserve"> </w:t>
      </w:r>
      <w:r w:rsidRPr="00EA190F">
        <w:rPr>
          <w:color w:val="000000"/>
        </w:rPr>
        <w:t xml:space="preserve">Apart from improving subnational infrastructure management, the program will contribute to building the capacity of local governments to implement transparent and efficient budgets. The program should </w:t>
      </w:r>
      <w:r w:rsidR="00A53B3A" w:rsidRPr="00EA190F">
        <w:rPr>
          <w:color w:val="000000"/>
        </w:rPr>
        <w:t xml:space="preserve">be </w:t>
      </w:r>
      <w:r w:rsidRPr="00EA190F">
        <w:rPr>
          <w:color w:val="000000"/>
        </w:rPr>
        <w:t>mobilise</w:t>
      </w:r>
      <w:r w:rsidR="00A53B3A" w:rsidRPr="00EA190F">
        <w:rPr>
          <w:color w:val="000000"/>
        </w:rPr>
        <w:t>d</w:t>
      </w:r>
      <w:r w:rsidRPr="00EA190F">
        <w:rPr>
          <w:color w:val="000000"/>
        </w:rPr>
        <w:t xml:space="preserve"> in early 2009. The assessments will provide essential baseline indicators and measures against which changes in the governance structures of LGUs can be assessed. This has been absent in past work AusAID has done with provincial government units.</w:t>
      </w:r>
    </w:p>
    <w:p w:rsidR="00CB1CDA" w:rsidRPr="00EA190F" w:rsidRDefault="00CB1CDA" w:rsidP="00F67D52">
      <w:pPr>
        <w:pStyle w:val="Heading5"/>
        <w:tabs>
          <w:tab w:val="clear" w:pos="454"/>
        </w:tabs>
        <w:ind w:left="0" w:firstLine="0"/>
        <w:rPr>
          <w:color w:val="000000"/>
        </w:rPr>
      </w:pPr>
      <w:r w:rsidRPr="00EA190F">
        <w:rPr>
          <w:color w:val="000000"/>
        </w:rPr>
        <w:t xml:space="preserve">Efficient </w:t>
      </w:r>
      <w:r w:rsidR="00A935E6" w:rsidRPr="00EA190F">
        <w:rPr>
          <w:color w:val="000000"/>
        </w:rPr>
        <w:t>government management</w:t>
      </w:r>
    </w:p>
    <w:p w:rsidR="004862BD" w:rsidRPr="00EA190F" w:rsidRDefault="00CB1CDA" w:rsidP="00A935E6">
      <w:pPr>
        <w:pStyle w:val="BodyText"/>
        <w:rPr>
          <w:color w:val="000000"/>
        </w:rPr>
      </w:pPr>
      <w:r w:rsidRPr="00EA190F">
        <w:rPr>
          <w:color w:val="000000"/>
        </w:rPr>
        <w:t xml:space="preserve">Government </w:t>
      </w:r>
      <w:r w:rsidR="00A53B3A" w:rsidRPr="00EA190F">
        <w:rPr>
          <w:color w:val="000000"/>
        </w:rPr>
        <w:t xml:space="preserve">owned and controlled corporations </w:t>
      </w:r>
      <w:r w:rsidRPr="00EA190F">
        <w:rPr>
          <w:color w:val="000000"/>
        </w:rPr>
        <w:t xml:space="preserve">cost the </w:t>
      </w:r>
      <w:r w:rsidR="00A53B3A" w:rsidRPr="00EA190F">
        <w:rPr>
          <w:color w:val="000000"/>
        </w:rPr>
        <w:t xml:space="preserve">Government </w:t>
      </w:r>
      <w:r w:rsidR="00FA31C4" w:rsidRPr="00EA190F">
        <w:rPr>
          <w:color w:val="000000"/>
        </w:rPr>
        <w:t xml:space="preserve">of the </w:t>
      </w:r>
      <w:smartTag w:uri="urn:schemas-microsoft-com:office:smarttags" w:element="country-region">
        <w:smartTag w:uri="urn:schemas-microsoft-com:office:smarttags" w:element="place">
          <w:r w:rsidR="00FA31C4" w:rsidRPr="00EA190F">
            <w:rPr>
              <w:color w:val="000000"/>
            </w:rPr>
            <w:t>Philippines</w:t>
          </w:r>
        </w:smartTag>
      </w:smartTag>
      <w:r w:rsidR="00FA31C4" w:rsidRPr="00EA190F">
        <w:rPr>
          <w:color w:val="000000"/>
        </w:rPr>
        <w:t xml:space="preserve"> </w:t>
      </w:r>
      <w:r w:rsidRPr="00EA190F">
        <w:rPr>
          <w:color w:val="000000"/>
        </w:rPr>
        <w:t xml:space="preserve">millions of pesos </w:t>
      </w:r>
      <w:r w:rsidR="00A53B3A" w:rsidRPr="00EA190F">
        <w:rPr>
          <w:color w:val="000000"/>
        </w:rPr>
        <w:t>a year</w:t>
      </w:r>
      <w:r w:rsidRPr="00EA190F">
        <w:rPr>
          <w:color w:val="000000"/>
        </w:rPr>
        <w:t xml:space="preserve"> through uneconomical operations. Analytical work assessing the largest loss</w:t>
      </w:r>
      <w:r w:rsidR="00A53B3A" w:rsidRPr="00EA190F">
        <w:rPr>
          <w:color w:val="000000"/>
        </w:rPr>
        <w:t>-</w:t>
      </w:r>
      <w:r w:rsidRPr="00EA190F">
        <w:rPr>
          <w:color w:val="000000"/>
        </w:rPr>
        <w:t xml:space="preserve">making corporation, the National Food Authority, was undertaken by consultants through </w:t>
      </w:r>
      <w:r w:rsidR="00CD597D" w:rsidRPr="00EA190F">
        <w:rPr>
          <w:color w:val="000000"/>
        </w:rPr>
        <w:t>the Partnership for Economic Growth and Reform</w:t>
      </w:r>
      <w:r w:rsidRPr="00EA190F">
        <w:rPr>
          <w:color w:val="000000"/>
        </w:rPr>
        <w:t xml:space="preserve">. Their report found that any meaningful support to improve performance and reduce financial losses was reliant on the </w:t>
      </w:r>
      <w:r w:rsidR="00960B8B" w:rsidRPr="00EA190F">
        <w:rPr>
          <w:color w:val="000000"/>
        </w:rPr>
        <w:t xml:space="preserve">Government </w:t>
      </w:r>
      <w:r w:rsidR="00FA31C4" w:rsidRPr="00EA190F">
        <w:rPr>
          <w:color w:val="000000"/>
        </w:rPr>
        <w:t xml:space="preserve">of the </w:t>
      </w:r>
      <w:smartTag w:uri="urn:schemas-microsoft-com:office:smarttags" w:element="country-region">
        <w:smartTag w:uri="urn:schemas-microsoft-com:office:smarttags" w:element="place">
          <w:r w:rsidR="00FA31C4" w:rsidRPr="00EA190F">
            <w:rPr>
              <w:color w:val="000000"/>
            </w:rPr>
            <w:t>Philippines</w:t>
          </w:r>
        </w:smartTag>
      </w:smartTag>
      <w:r w:rsidR="00FA31C4" w:rsidRPr="00EA190F">
        <w:rPr>
          <w:color w:val="000000"/>
        </w:rPr>
        <w:t xml:space="preserve"> </w:t>
      </w:r>
      <w:r w:rsidRPr="00EA190F">
        <w:rPr>
          <w:color w:val="000000"/>
        </w:rPr>
        <w:t>implementing policy changes.</w:t>
      </w:r>
      <w:r w:rsidR="008F6566" w:rsidRPr="00EA190F">
        <w:rPr>
          <w:color w:val="000000"/>
        </w:rPr>
        <w:t xml:space="preserve"> </w:t>
      </w:r>
      <w:r w:rsidRPr="00EA190F">
        <w:rPr>
          <w:color w:val="000000"/>
        </w:rPr>
        <w:t xml:space="preserve">The report was commissioned by the </w:t>
      </w:r>
      <w:r w:rsidR="00960B8B" w:rsidRPr="00EA190F">
        <w:rPr>
          <w:color w:val="000000"/>
        </w:rPr>
        <w:t xml:space="preserve">Philippines </w:t>
      </w:r>
      <w:r w:rsidRPr="00EA190F">
        <w:rPr>
          <w:color w:val="000000"/>
        </w:rPr>
        <w:t xml:space="preserve">Department of Finance and shared with the World </w:t>
      </w:r>
      <w:r w:rsidR="00EF0A44" w:rsidRPr="00EA190F">
        <w:rPr>
          <w:color w:val="000000"/>
        </w:rPr>
        <w:t>B</w:t>
      </w:r>
      <w:r w:rsidRPr="00EA190F">
        <w:rPr>
          <w:color w:val="000000"/>
        </w:rPr>
        <w:t xml:space="preserve">ank, but it has not been released to the public. </w:t>
      </w:r>
    </w:p>
    <w:p w:rsidR="00CB1CDA" w:rsidRPr="00EA190F" w:rsidRDefault="00CB1CDA" w:rsidP="004862BD">
      <w:pPr>
        <w:pStyle w:val="BodyText"/>
        <w:keepLines/>
        <w:rPr>
          <w:color w:val="000000"/>
        </w:rPr>
      </w:pPr>
      <w:r w:rsidRPr="00EA190F">
        <w:rPr>
          <w:color w:val="000000"/>
        </w:rPr>
        <w:lastRenderedPageBreak/>
        <w:t xml:space="preserve">The public debate on a possible policy shift continues; however, with the current crises in food prices internationally, </w:t>
      </w:r>
      <w:r w:rsidR="000C07F2" w:rsidRPr="00EA190F">
        <w:rPr>
          <w:color w:val="000000"/>
        </w:rPr>
        <w:t xml:space="preserve">there is unlikely to be </w:t>
      </w:r>
      <w:r w:rsidRPr="00EA190F">
        <w:rPr>
          <w:color w:val="000000"/>
        </w:rPr>
        <w:t xml:space="preserve">any reform in the short term. AusAID has chosen to </w:t>
      </w:r>
      <w:r w:rsidR="000C07F2" w:rsidRPr="00EA190F">
        <w:rPr>
          <w:color w:val="000000"/>
        </w:rPr>
        <w:t xml:space="preserve">put on </w:t>
      </w:r>
      <w:r w:rsidRPr="00EA190F">
        <w:rPr>
          <w:color w:val="000000"/>
        </w:rPr>
        <w:t xml:space="preserve">hold further work on </w:t>
      </w:r>
      <w:r w:rsidR="00960B8B" w:rsidRPr="00EA190F">
        <w:rPr>
          <w:color w:val="000000"/>
        </w:rPr>
        <w:t xml:space="preserve">the National Food Authority </w:t>
      </w:r>
      <w:r w:rsidRPr="00EA190F">
        <w:rPr>
          <w:color w:val="000000"/>
        </w:rPr>
        <w:t xml:space="preserve">until the </w:t>
      </w:r>
      <w:r w:rsidR="00960B8B" w:rsidRPr="00EA190F">
        <w:rPr>
          <w:color w:val="000000"/>
        </w:rPr>
        <w:t xml:space="preserve">Government </w:t>
      </w:r>
      <w:r w:rsidR="00FA31C4" w:rsidRPr="00EA190F">
        <w:rPr>
          <w:color w:val="000000"/>
        </w:rPr>
        <w:t xml:space="preserve">of the </w:t>
      </w:r>
      <w:smartTag w:uri="urn:schemas-microsoft-com:office:smarttags" w:element="country-region">
        <w:smartTag w:uri="urn:schemas-microsoft-com:office:smarttags" w:element="place">
          <w:r w:rsidR="00FA31C4" w:rsidRPr="00EA190F">
            <w:rPr>
              <w:color w:val="000000"/>
            </w:rPr>
            <w:t>Philippines</w:t>
          </w:r>
        </w:smartTag>
      </w:smartTag>
      <w:r w:rsidR="00FA31C4" w:rsidRPr="00EA190F">
        <w:rPr>
          <w:color w:val="000000"/>
        </w:rPr>
        <w:t xml:space="preserve"> </w:t>
      </w:r>
      <w:r w:rsidRPr="00EA190F">
        <w:rPr>
          <w:color w:val="000000"/>
        </w:rPr>
        <w:t xml:space="preserve">addresses the policy environment. A study of a second </w:t>
      </w:r>
      <w:r w:rsidR="00960B8B" w:rsidRPr="00EA190F">
        <w:rPr>
          <w:color w:val="000000"/>
        </w:rPr>
        <w:t>government owned and controlled corporation</w:t>
      </w:r>
      <w:r w:rsidRPr="00EA190F">
        <w:rPr>
          <w:color w:val="000000"/>
        </w:rPr>
        <w:t>, the National Electricity Administration</w:t>
      </w:r>
      <w:r w:rsidR="00960B8B" w:rsidRPr="00EA190F">
        <w:rPr>
          <w:color w:val="000000"/>
        </w:rPr>
        <w:t>,</w:t>
      </w:r>
      <w:r w:rsidRPr="00EA190F">
        <w:rPr>
          <w:color w:val="000000"/>
        </w:rPr>
        <w:t xml:space="preserve"> has been initiated following the initial commitment to four reviews.</w:t>
      </w:r>
      <w:r w:rsidR="008F6566" w:rsidRPr="00EA190F">
        <w:rPr>
          <w:color w:val="000000"/>
        </w:rPr>
        <w:t xml:space="preserve"> </w:t>
      </w:r>
      <w:r w:rsidRPr="00EA190F">
        <w:rPr>
          <w:color w:val="000000"/>
        </w:rPr>
        <w:t xml:space="preserve">An undertaking by AusAID to review a further two </w:t>
      </w:r>
      <w:r w:rsidR="00960B8B" w:rsidRPr="00EA190F">
        <w:rPr>
          <w:color w:val="000000"/>
        </w:rPr>
        <w:t xml:space="preserve">such corporations </w:t>
      </w:r>
      <w:r w:rsidRPr="00EA190F">
        <w:rPr>
          <w:color w:val="000000"/>
        </w:rPr>
        <w:t xml:space="preserve">beyond the </w:t>
      </w:r>
      <w:r w:rsidR="00960B8B" w:rsidRPr="00EA190F">
        <w:rPr>
          <w:color w:val="000000"/>
        </w:rPr>
        <w:t xml:space="preserve">National Electricity Administration </w:t>
      </w:r>
      <w:r w:rsidRPr="00EA190F">
        <w:rPr>
          <w:color w:val="000000"/>
        </w:rPr>
        <w:t>will be put on hold and the value of these assessments reviewed before the commitment is complete</w:t>
      </w:r>
      <w:r w:rsidR="000C07F2" w:rsidRPr="00EA190F">
        <w:rPr>
          <w:color w:val="000000"/>
        </w:rPr>
        <w:t>d</w:t>
      </w:r>
      <w:r w:rsidRPr="00EA190F">
        <w:rPr>
          <w:color w:val="000000"/>
        </w:rPr>
        <w:t xml:space="preserve">. </w:t>
      </w:r>
    </w:p>
    <w:p w:rsidR="00A935E6" w:rsidRPr="00EA190F" w:rsidRDefault="00CB1CDA" w:rsidP="00F67D52">
      <w:pPr>
        <w:pStyle w:val="Heading4"/>
        <w:rPr>
          <w:color w:val="000000"/>
        </w:rPr>
      </w:pPr>
      <w:r w:rsidRPr="00EA190F">
        <w:rPr>
          <w:color w:val="000000"/>
        </w:rPr>
        <w:t>Key factors</w:t>
      </w:r>
      <w:r w:rsidR="008F6566" w:rsidRPr="00EA190F">
        <w:rPr>
          <w:color w:val="000000"/>
        </w:rPr>
        <w:t xml:space="preserve"> </w:t>
      </w:r>
      <w:r w:rsidR="00A935E6" w:rsidRPr="00EA190F">
        <w:rPr>
          <w:color w:val="000000"/>
        </w:rPr>
        <w:t>contributing</w:t>
      </w:r>
    </w:p>
    <w:p w:rsidR="00CB1CDA" w:rsidRPr="00EA190F" w:rsidRDefault="00CB1CDA" w:rsidP="00A935E6">
      <w:pPr>
        <w:pStyle w:val="BodyText"/>
        <w:rPr>
          <w:color w:val="000000"/>
        </w:rPr>
      </w:pPr>
      <w:r w:rsidRPr="00EA190F">
        <w:rPr>
          <w:color w:val="000000"/>
        </w:rPr>
        <w:t xml:space="preserve">Reform champions at very senior levels in </w:t>
      </w:r>
      <w:r w:rsidR="00960B8B" w:rsidRPr="00EA190F">
        <w:rPr>
          <w:color w:val="000000"/>
        </w:rPr>
        <w:t xml:space="preserve">budget and planning </w:t>
      </w:r>
      <w:r w:rsidRPr="00EA190F">
        <w:rPr>
          <w:color w:val="000000"/>
        </w:rPr>
        <w:t>departments and buy-in from the President ha</w:t>
      </w:r>
      <w:r w:rsidR="00960B8B" w:rsidRPr="00EA190F">
        <w:rPr>
          <w:color w:val="000000"/>
        </w:rPr>
        <w:t>ve</w:t>
      </w:r>
      <w:r w:rsidRPr="00EA190F">
        <w:rPr>
          <w:color w:val="000000"/>
        </w:rPr>
        <w:t xml:space="preserve"> given political will to the implementation of budget reforms. There is now a strong partnership and coordination between AusAID and </w:t>
      </w:r>
      <w:r w:rsidR="00960B8B" w:rsidRPr="00EA190F">
        <w:rPr>
          <w:color w:val="000000"/>
        </w:rPr>
        <w:t xml:space="preserve">the </w:t>
      </w:r>
      <w:r w:rsidRPr="00EA190F">
        <w:rPr>
          <w:color w:val="000000"/>
        </w:rPr>
        <w:t>World Bank in coordinating assistance in public expenditure reforms and in broad donor recognition that improving national and subnational fiscal management and execution is essential to improve the service delivery and poverty alleviation efforts</w:t>
      </w:r>
      <w:r w:rsidR="00960B8B" w:rsidRPr="00EA190F">
        <w:rPr>
          <w:color w:val="000000"/>
        </w:rPr>
        <w:t xml:space="preserve"> of the Government</w:t>
      </w:r>
      <w:r w:rsidR="00FA31C4" w:rsidRPr="00EA190F">
        <w:rPr>
          <w:color w:val="000000"/>
        </w:rPr>
        <w:t xml:space="preserve"> of the </w:t>
      </w:r>
      <w:smartTag w:uri="urn:schemas-microsoft-com:office:smarttags" w:element="country-region">
        <w:smartTag w:uri="urn:schemas-microsoft-com:office:smarttags" w:element="place">
          <w:r w:rsidR="00FA31C4" w:rsidRPr="00EA190F">
            <w:rPr>
              <w:color w:val="000000"/>
            </w:rPr>
            <w:t>Philippines</w:t>
          </w:r>
        </w:smartTag>
      </w:smartTag>
      <w:r w:rsidRPr="00EA190F">
        <w:rPr>
          <w:color w:val="000000"/>
        </w:rPr>
        <w:t>.</w:t>
      </w:r>
    </w:p>
    <w:p w:rsidR="00A935E6" w:rsidRPr="00EA190F" w:rsidRDefault="00CB1CDA" w:rsidP="00F67D52">
      <w:pPr>
        <w:pStyle w:val="Heading4"/>
        <w:rPr>
          <w:color w:val="000000"/>
        </w:rPr>
      </w:pPr>
      <w:r w:rsidRPr="00EA190F">
        <w:rPr>
          <w:color w:val="000000"/>
        </w:rPr>
        <w:t>Key factors</w:t>
      </w:r>
      <w:r w:rsidR="008F6566" w:rsidRPr="00EA190F">
        <w:rPr>
          <w:color w:val="000000"/>
        </w:rPr>
        <w:t xml:space="preserve"> </w:t>
      </w:r>
      <w:r w:rsidR="00A935E6" w:rsidRPr="00EA190F">
        <w:rPr>
          <w:color w:val="000000"/>
        </w:rPr>
        <w:t>hindering</w:t>
      </w:r>
    </w:p>
    <w:p w:rsidR="00CB1CDA" w:rsidRPr="00EA190F" w:rsidRDefault="00CB1CDA" w:rsidP="00A935E6">
      <w:pPr>
        <w:pStyle w:val="BodyText"/>
        <w:rPr>
          <w:color w:val="000000"/>
        </w:rPr>
      </w:pPr>
      <w:r w:rsidRPr="00EA190F">
        <w:rPr>
          <w:color w:val="000000"/>
        </w:rPr>
        <w:t xml:space="preserve">Improvement in service delivery from better expenditure management would be facilitated by better </w:t>
      </w:r>
      <w:r w:rsidR="00960B8B" w:rsidRPr="00EA190F">
        <w:rPr>
          <w:color w:val="000000"/>
        </w:rPr>
        <w:t xml:space="preserve">government </w:t>
      </w:r>
      <w:r w:rsidRPr="00EA190F">
        <w:rPr>
          <w:color w:val="000000"/>
        </w:rPr>
        <w:t xml:space="preserve">funding </w:t>
      </w:r>
      <w:r w:rsidR="00960B8B" w:rsidRPr="00EA190F">
        <w:rPr>
          <w:color w:val="000000"/>
        </w:rPr>
        <w:t xml:space="preserve">of </w:t>
      </w:r>
      <w:r w:rsidRPr="00EA190F">
        <w:rPr>
          <w:color w:val="000000"/>
        </w:rPr>
        <w:t>core sectors. The utility of an improved budget is also undermined by difficulties in passage through Congress and the Executive’s discretion over budget execution. The capacity and willingness of the oversight institution</w:t>
      </w:r>
      <w:r w:rsidR="00960B8B" w:rsidRPr="00EA190F">
        <w:rPr>
          <w:color w:val="000000"/>
        </w:rPr>
        <w:t>, the</w:t>
      </w:r>
      <w:r w:rsidRPr="00EA190F">
        <w:rPr>
          <w:color w:val="000000"/>
        </w:rPr>
        <w:t xml:space="preserve"> Department of Budget Management</w:t>
      </w:r>
      <w:r w:rsidR="00960B8B" w:rsidRPr="00EA190F">
        <w:rPr>
          <w:color w:val="000000"/>
        </w:rPr>
        <w:t>,</w:t>
      </w:r>
      <w:r w:rsidR="004862BD" w:rsidRPr="00EA190F">
        <w:rPr>
          <w:color w:val="000000"/>
        </w:rPr>
        <w:t xml:space="preserve"> to reform</w:t>
      </w:r>
      <w:r w:rsidRPr="00EA190F">
        <w:rPr>
          <w:color w:val="000000"/>
        </w:rPr>
        <w:t xml:space="preserve"> ha</w:t>
      </w:r>
      <w:r w:rsidR="000C07F2" w:rsidRPr="00EA190F">
        <w:rPr>
          <w:color w:val="000000"/>
        </w:rPr>
        <w:t>ve</w:t>
      </w:r>
      <w:r w:rsidRPr="00EA190F">
        <w:rPr>
          <w:color w:val="000000"/>
        </w:rPr>
        <w:t xml:space="preserve"> </w:t>
      </w:r>
      <w:r w:rsidR="000C07F2" w:rsidRPr="00EA190F">
        <w:rPr>
          <w:color w:val="000000"/>
        </w:rPr>
        <w:t xml:space="preserve">been </w:t>
      </w:r>
      <w:r w:rsidRPr="00EA190F">
        <w:rPr>
          <w:color w:val="000000"/>
        </w:rPr>
        <w:t xml:space="preserve">stretched as it concurrently implements numerous budget reform activities on top of its normal work in managing the </w:t>
      </w:r>
      <w:r w:rsidR="00960B8B" w:rsidRPr="00EA190F">
        <w:rPr>
          <w:color w:val="000000"/>
        </w:rPr>
        <w:t xml:space="preserve">budget </w:t>
      </w:r>
      <w:r w:rsidRPr="00EA190F">
        <w:rPr>
          <w:color w:val="000000"/>
        </w:rPr>
        <w:t xml:space="preserve">process. Line agency take-up of reforms in public expenditure management and </w:t>
      </w:r>
      <w:r w:rsidR="004862BD" w:rsidRPr="00EA190F">
        <w:rPr>
          <w:color w:val="000000"/>
        </w:rPr>
        <w:t xml:space="preserve">in internal control and internal audit </w:t>
      </w:r>
      <w:r w:rsidRPr="00EA190F">
        <w:rPr>
          <w:color w:val="000000"/>
        </w:rPr>
        <w:t xml:space="preserve">may also be problematic if regulations are not clear and incentives for compliance are not well targeted. Public financial management </w:t>
      </w:r>
      <w:r w:rsidR="004862BD" w:rsidRPr="00EA190F">
        <w:rPr>
          <w:color w:val="000000"/>
        </w:rPr>
        <w:t>by</w:t>
      </w:r>
      <w:r w:rsidRPr="00EA190F">
        <w:rPr>
          <w:color w:val="000000"/>
        </w:rPr>
        <w:t xml:space="preserve"> LGU</w:t>
      </w:r>
      <w:r w:rsidR="004862BD" w:rsidRPr="00EA190F">
        <w:rPr>
          <w:color w:val="000000"/>
        </w:rPr>
        <w:t>s</w:t>
      </w:r>
      <w:r w:rsidRPr="00EA190F">
        <w:rPr>
          <w:color w:val="000000"/>
        </w:rPr>
        <w:t xml:space="preserve"> is hampered by an </w:t>
      </w:r>
      <w:proofErr w:type="spellStart"/>
      <w:r w:rsidRPr="00EA190F">
        <w:rPr>
          <w:color w:val="000000"/>
        </w:rPr>
        <w:t>outdated</w:t>
      </w:r>
      <w:proofErr w:type="spellEnd"/>
      <w:r w:rsidRPr="00EA190F">
        <w:rPr>
          <w:color w:val="000000"/>
        </w:rPr>
        <w:t xml:space="preserve"> Local Government Code</w:t>
      </w:r>
      <w:r w:rsidR="004862BD" w:rsidRPr="00EA190F">
        <w:rPr>
          <w:color w:val="000000"/>
        </w:rPr>
        <w:t>,</w:t>
      </w:r>
      <w:r w:rsidRPr="00EA190F">
        <w:rPr>
          <w:color w:val="000000"/>
        </w:rPr>
        <w:t xml:space="preserve"> which limits fiscal autonomy and promotes heavy reliance on the national government. </w:t>
      </w:r>
    </w:p>
    <w:bookmarkEnd w:id="39"/>
    <w:bookmarkEnd w:id="40"/>
    <w:p w:rsidR="00CB1CDA" w:rsidRPr="00EA190F" w:rsidRDefault="004862BD" w:rsidP="00A935E6">
      <w:pPr>
        <w:pStyle w:val="Heading2nonumber"/>
        <w:rPr>
          <w:color w:val="000000"/>
        </w:rPr>
      </w:pPr>
      <w:r w:rsidRPr="00EA190F">
        <w:rPr>
          <w:color w:val="000000"/>
        </w:rPr>
        <w:br w:type="page"/>
      </w:r>
      <w:bookmarkStart w:id="41" w:name="_Toc360805257"/>
      <w:r w:rsidR="00CB1CDA" w:rsidRPr="00EA190F">
        <w:rPr>
          <w:color w:val="000000"/>
        </w:rPr>
        <w:lastRenderedPageBreak/>
        <w:t>Objective</w:t>
      </w:r>
      <w:proofErr w:type="gramStart"/>
      <w:r w:rsidR="00A935E6" w:rsidRPr="00EA190F">
        <w:rPr>
          <w:color w:val="000000"/>
        </w:rPr>
        <w:t>:</w:t>
      </w:r>
      <w:proofErr w:type="gramEnd"/>
      <w:r w:rsidR="00A935E6" w:rsidRPr="00EA190F">
        <w:rPr>
          <w:color w:val="000000"/>
        </w:rPr>
        <w:br/>
      </w:r>
      <w:r w:rsidR="00CB1CDA" w:rsidRPr="00EA190F">
        <w:rPr>
          <w:color w:val="000000"/>
        </w:rPr>
        <w:t>Improved accountability, transparency and managem</w:t>
      </w:r>
      <w:r w:rsidR="003C1A76" w:rsidRPr="00EA190F">
        <w:rPr>
          <w:color w:val="000000"/>
        </w:rPr>
        <w:t>ent of investments in transport i</w:t>
      </w:r>
      <w:r w:rsidR="00CB1CDA" w:rsidRPr="00EA190F">
        <w:rPr>
          <w:color w:val="000000"/>
        </w:rPr>
        <w:t>nfrastructure</w:t>
      </w:r>
      <w:bookmarkEnd w:id="41"/>
    </w:p>
    <w:p w:rsidR="00CB1CDA" w:rsidRPr="00EA190F" w:rsidRDefault="00A935E6" w:rsidP="00A935E6">
      <w:pPr>
        <w:pStyle w:val="Heading3nonumber"/>
        <w:rPr>
          <w:color w:val="000000"/>
        </w:rPr>
      </w:pPr>
      <w:r w:rsidRPr="00EA190F">
        <w:rPr>
          <w:color w:val="000000"/>
        </w:rPr>
        <w:t>Rating</w:t>
      </w:r>
    </w:p>
    <w:p w:rsidR="00CB1CDA" w:rsidRPr="00EA190F" w:rsidRDefault="00EA190F" w:rsidP="00A935E6">
      <w:pPr>
        <w:pStyle w:val="HighlightBulletOrange"/>
        <w:rPr>
          <w:color w:val="000000"/>
        </w:rPr>
      </w:pPr>
      <w:r w:rsidRPr="00EA190F">
        <w:rPr>
          <w:color w:val="000000"/>
        </w:rPr>
        <w:t xml:space="preserve">(amber) </w:t>
      </w:r>
      <w:r w:rsidR="00CB1CDA" w:rsidRPr="00EA190F">
        <w:rPr>
          <w:color w:val="000000"/>
        </w:rPr>
        <w:t>The objective will be partly achieved within the timeframe</w:t>
      </w:r>
      <w:r w:rsidR="00A935E6" w:rsidRPr="00EA190F">
        <w:rPr>
          <w:color w:val="000000"/>
        </w:rPr>
        <w:t>.</w:t>
      </w:r>
    </w:p>
    <w:p w:rsidR="00F67D52" w:rsidRPr="00EA190F" w:rsidRDefault="00F67D52" w:rsidP="00F67D52">
      <w:pPr>
        <w:pStyle w:val="Heading3nonumber"/>
        <w:rPr>
          <w:color w:val="000000"/>
        </w:rPr>
      </w:pPr>
      <w:r w:rsidRPr="00EA190F">
        <w:rPr>
          <w:color w:val="000000"/>
        </w:rPr>
        <w:t>Contributing programs</w:t>
      </w:r>
    </w:p>
    <w:p w:rsidR="00F67D52" w:rsidRPr="00EA190F" w:rsidRDefault="00F67D52" w:rsidP="007F2422">
      <w:pPr>
        <w:pStyle w:val="ListBullet"/>
      </w:pPr>
      <w:r w:rsidRPr="00EA190F">
        <w:t>Partnership for Economic Growth and Reform</w:t>
      </w:r>
    </w:p>
    <w:p w:rsidR="00F67D52" w:rsidRPr="00EA190F" w:rsidRDefault="00F67D52" w:rsidP="007F2422">
      <w:pPr>
        <w:pStyle w:val="ListBullet"/>
      </w:pPr>
      <w:r w:rsidRPr="00EA190F">
        <w:t>Philippines</w:t>
      </w:r>
      <w:r w:rsidR="00A528B8" w:rsidRPr="00EA190F">
        <w:t>–</w:t>
      </w:r>
      <w:r w:rsidRPr="00EA190F">
        <w:t>Australia Local Sustainability Program</w:t>
      </w:r>
    </w:p>
    <w:p w:rsidR="00CB1CDA" w:rsidRPr="00EA190F" w:rsidRDefault="00CB1CDA" w:rsidP="00A935E6">
      <w:pPr>
        <w:pStyle w:val="Heading3nonumber"/>
        <w:rPr>
          <w:color w:val="000000"/>
        </w:rPr>
      </w:pPr>
      <w:r w:rsidRPr="00EA190F">
        <w:rPr>
          <w:color w:val="000000"/>
        </w:rPr>
        <w:t>Assessment of results and performance</w:t>
      </w:r>
    </w:p>
    <w:p w:rsidR="00CB1CDA" w:rsidRPr="00EA190F" w:rsidRDefault="00CB1CDA" w:rsidP="00F67D52">
      <w:pPr>
        <w:pStyle w:val="Heading4"/>
        <w:rPr>
          <w:color w:val="000000"/>
        </w:rPr>
      </w:pPr>
      <w:r w:rsidRPr="00EA190F">
        <w:rPr>
          <w:color w:val="000000"/>
        </w:rPr>
        <w:t xml:space="preserve">Key </w:t>
      </w:r>
      <w:r w:rsidR="00F67D52" w:rsidRPr="00EA190F">
        <w:rPr>
          <w:color w:val="000000"/>
        </w:rPr>
        <w:t>result</w:t>
      </w:r>
      <w:r w:rsidRPr="00EA190F">
        <w:rPr>
          <w:color w:val="000000"/>
        </w:rPr>
        <w:t>s</w:t>
      </w:r>
    </w:p>
    <w:p w:rsidR="00CB1CDA" w:rsidRPr="00EA190F" w:rsidRDefault="00CB1CDA" w:rsidP="00F67D52">
      <w:pPr>
        <w:pStyle w:val="BodyText"/>
        <w:rPr>
          <w:color w:val="000000"/>
        </w:rPr>
      </w:pPr>
      <w:r w:rsidRPr="00EA190F">
        <w:rPr>
          <w:color w:val="000000"/>
        </w:rPr>
        <w:t xml:space="preserve">The </w:t>
      </w:r>
      <w:r w:rsidR="00A528B8" w:rsidRPr="00EA190F">
        <w:rPr>
          <w:color w:val="000000"/>
        </w:rPr>
        <w:t xml:space="preserve">Government of the </w:t>
      </w:r>
      <w:smartTag w:uri="urn:schemas-microsoft-com:office:smarttags" w:element="country-region">
        <w:smartTag w:uri="urn:schemas-microsoft-com:office:smarttags" w:element="place">
          <w:r w:rsidR="00A528B8" w:rsidRPr="00EA190F">
            <w:rPr>
              <w:color w:val="000000"/>
            </w:rPr>
            <w:t>Philippines</w:t>
          </w:r>
        </w:smartTag>
      </w:smartTag>
      <w:r w:rsidR="00A528B8" w:rsidRPr="00EA190F">
        <w:rPr>
          <w:color w:val="000000"/>
        </w:rPr>
        <w:t xml:space="preserve"> </w:t>
      </w:r>
      <w:r w:rsidRPr="00EA190F">
        <w:rPr>
          <w:color w:val="000000"/>
        </w:rPr>
        <w:t>has recogni</w:t>
      </w:r>
      <w:r w:rsidR="00A528B8" w:rsidRPr="00EA190F">
        <w:rPr>
          <w:color w:val="000000"/>
        </w:rPr>
        <w:t>s</w:t>
      </w:r>
      <w:r w:rsidRPr="00EA190F">
        <w:rPr>
          <w:color w:val="000000"/>
        </w:rPr>
        <w:t>ed the importance of private sector participation in the management and maintenance of transport infrastructure</w:t>
      </w:r>
      <w:r w:rsidR="00617D92" w:rsidRPr="00EA190F">
        <w:rPr>
          <w:color w:val="000000"/>
        </w:rPr>
        <w:t>,</w:t>
      </w:r>
      <w:r w:rsidRPr="00EA190F">
        <w:rPr>
          <w:color w:val="000000"/>
        </w:rPr>
        <w:t xml:space="preserve"> as demonstrated by the passage of the Build, Operate and Transfer Law in 1994. The building blocks for better accountability, competition and transparency in </w:t>
      </w:r>
      <w:r w:rsidR="00617D92" w:rsidRPr="00EA190F">
        <w:rPr>
          <w:color w:val="000000"/>
        </w:rPr>
        <w:t xml:space="preserve">investment in </w:t>
      </w:r>
      <w:r w:rsidRPr="00EA190F">
        <w:rPr>
          <w:color w:val="000000"/>
        </w:rPr>
        <w:t xml:space="preserve">transport infrastructure have been supported and strengthened by Australian technical assistance. The PAF indicator on the publication of road sector report cards is expected to be a key tool in exacting accountability and transparency in the transport sector. </w:t>
      </w:r>
      <w:smartTag w:uri="urn:schemas-microsoft-com:office:smarttags" w:element="country-region">
        <w:smartTag w:uri="urn:schemas-microsoft-com:office:smarttags" w:element="place">
          <w:r w:rsidRPr="00EA190F">
            <w:rPr>
              <w:color w:val="000000"/>
            </w:rPr>
            <w:t>Australia</w:t>
          </w:r>
        </w:smartTag>
      </w:smartTag>
      <w:r w:rsidRPr="00EA190F">
        <w:rPr>
          <w:color w:val="000000"/>
        </w:rPr>
        <w:t xml:space="preserve"> is funding the independent civil society group Road Watch</w:t>
      </w:r>
      <w:r w:rsidR="00A225B1" w:rsidRPr="00EA190F">
        <w:rPr>
          <w:color w:val="000000"/>
        </w:rPr>
        <w:t>,</w:t>
      </w:r>
      <w:r w:rsidRPr="00EA190F">
        <w:rPr>
          <w:color w:val="000000"/>
        </w:rPr>
        <w:t xml:space="preserve"> </w:t>
      </w:r>
      <w:r w:rsidR="00A225B1" w:rsidRPr="00EA190F">
        <w:rPr>
          <w:color w:val="000000"/>
        </w:rPr>
        <w:t xml:space="preserve">which </w:t>
      </w:r>
      <w:r w:rsidRPr="00EA190F">
        <w:rPr>
          <w:color w:val="000000"/>
        </w:rPr>
        <w:t>will be publishing these report cards. The first of these reports will be available in January 2009.</w:t>
      </w:r>
    </w:p>
    <w:p w:rsidR="00CB1CDA" w:rsidRPr="00EA190F" w:rsidRDefault="00CB1CDA" w:rsidP="00F67D52">
      <w:pPr>
        <w:pStyle w:val="BodyText"/>
        <w:rPr>
          <w:color w:val="000000"/>
        </w:rPr>
      </w:pPr>
      <w:r w:rsidRPr="00EA190F">
        <w:rPr>
          <w:color w:val="000000"/>
        </w:rPr>
        <w:t xml:space="preserve">A policy, regulatory and institutional framework for </w:t>
      </w:r>
      <w:r w:rsidR="00A225B1" w:rsidRPr="00EA190F">
        <w:rPr>
          <w:color w:val="000000"/>
        </w:rPr>
        <w:t xml:space="preserve">public–private partnerships </w:t>
      </w:r>
      <w:r w:rsidRPr="00EA190F">
        <w:rPr>
          <w:color w:val="000000"/>
        </w:rPr>
        <w:t xml:space="preserve">has been developed for the transport sector. This framework was developed using technical assistance from </w:t>
      </w:r>
      <w:smartTag w:uri="urn:schemas-microsoft-com:office:smarttags" w:element="country-region">
        <w:smartTag w:uri="urn:schemas-microsoft-com:office:smarttags" w:element="place">
          <w:r w:rsidRPr="00EA190F">
            <w:rPr>
              <w:color w:val="000000"/>
            </w:rPr>
            <w:t>Australia</w:t>
          </w:r>
        </w:smartTag>
      </w:smartTag>
      <w:r w:rsidRPr="00EA190F">
        <w:rPr>
          <w:color w:val="000000"/>
        </w:rPr>
        <w:t xml:space="preserve"> working with the </w:t>
      </w:r>
      <w:r w:rsidR="00975524" w:rsidRPr="00EA190F">
        <w:rPr>
          <w:color w:val="000000"/>
        </w:rPr>
        <w:t>Department of Public Works and Highways</w:t>
      </w:r>
      <w:r w:rsidRPr="00EA190F">
        <w:rPr>
          <w:color w:val="000000"/>
        </w:rPr>
        <w:t>.</w:t>
      </w:r>
      <w:r w:rsidR="008F6566" w:rsidRPr="00EA190F">
        <w:rPr>
          <w:color w:val="000000"/>
        </w:rPr>
        <w:t xml:space="preserve"> </w:t>
      </w:r>
      <w:r w:rsidRPr="00EA190F">
        <w:rPr>
          <w:color w:val="000000"/>
        </w:rPr>
        <w:t>It has been adopted in</w:t>
      </w:r>
      <w:r w:rsidR="00975524" w:rsidRPr="00EA190F">
        <w:rPr>
          <w:color w:val="000000"/>
        </w:rPr>
        <w:t xml:space="preserve"> </w:t>
      </w:r>
      <w:r w:rsidRPr="00EA190F">
        <w:rPr>
          <w:color w:val="000000"/>
        </w:rPr>
        <w:t xml:space="preserve">principle by oversight agencies </w:t>
      </w:r>
      <w:r w:rsidR="00975524" w:rsidRPr="00EA190F">
        <w:rPr>
          <w:color w:val="000000"/>
        </w:rPr>
        <w:t>of the Government</w:t>
      </w:r>
      <w:r w:rsidR="00FA31C4" w:rsidRPr="00EA190F">
        <w:rPr>
          <w:color w:val="000000"/>
        </w:rPr>
        <w:t xml:space="preserve"> of the </w:t>
      </w:r>
      <w:smartTag w:uri="urn:schemas-microsoft-com:office:smarttags" w:element="country-region">
        <w:smartTag w:uri="urn:schemas-microsoft-com:office:smarttags" w:element="place">
          <w:r w:rsidR="00FA31C4" w:rsidRPr="00EA190F">
            <w:rPr>
              <w:color w:val="000000"/>
            </w:rPr>
            <w:t>Philippines</w:t>
          </w:r>
        </w:smartTag>
      </w:smartTag>
      <w:r w:rsidR="00FA31C4" w:rsidRPr="00EA190F">
        <w:rPr>
          <w:color w:val="000000"/>
        </w:rPr>
        <w:t xml:space="preserve"> </w:t>
      </w:r>
      <w:r w:rsidRPr="00EA190F">
        <w:rPr>
          <w:color w:val="000000"/>
        </w:rPr>
        <w:t xml:space="preserve">and has received broad donor support. To demonstrate the applicability of the framework, the </w:t>
      </w:r>
      <w:r w:rsidR="00975524" w:rsidRPr="00EA190F">
        <w:rPr>
          <w:color w:val="000000"/>
        </w:rPr>
        <w:t xml:space="preserve">department </w:t>
      </w:r>
      <w:r w:rsidRPr="00EA190F">
        <w:rPr>
          <w:color w:val="000000"/>
        </w:rPr>
        <w:t xml:space="preserve">is working on a pilot project using principles of the framework, which aligns with the second PAF indicator on increasing efficiency and effectiveness in getting projects to market. The framework contributed to </w:t>
      </w:r>
      <w:r w:rsidR="00A225B1" w:rsidRPr="00EA190F">
        <w:rPr>
          <w:color w:val="000000"/>
        </w:rPr>
        <w:t xml:space="preserve">the </w:t>
      </w:r>
      <w:r w:rsidRPr="00EA190F">
        <w:rPr>
          <w:color w:val="000000"/>
        </w:rPr>
        <w:t>streamlining of government functions, as an Executive Order issued in 2007 reflected changes proposed in the framework</w:t>
      </w:r>
      <w:r w:rsidR="00A225B1" w:rsidRPr="00EA190F">
        <w:rPr>
          <w:color w:val="000000"/>
        </w:rPr>
        <w:t xml:space="preserve">—that is, </w:t>
      </w:r>
      <w:r w:rsidRPr="00EA190F">
        <w:rPr>
          <w:color w:val="000000"/>
        </w:rPr>
        <w:t xml:space="preserve">focusing the Toll Regulatory Board’s role on its regulatory mandate and limiting the sole entry point for toll roads projects to </w:t>
      </w:r>
      <w:r w:rsidR="00975524" w:rsidRPr="00EA190F">
        <w:rPr>
          <w:color w:val="000000"/>
        </w:rPr>
        <w:t>the Department of Public Works and Highways</w:t>
      </w:r>
      <w:r w:rsidRPr="00EA190F">
        <w:rPr>
          <w:color w:val="000000"/>
        </w:rPr>
        <w:t xml:space="preserve">. The mobilisation of a suitable pilot project took longer than expected and there is still concern that </w:t>
      </w:r>
      <w:r w:rsidR="00A225B1" w:rsidRPr="00EA190F">
        <w:rPr>
          <w:color w:val="000000"/>
        </w:rPr>
        <w:t xml:space="preserve">public–private partnerships </w:t>
      </w:r>
      <w:r w:rsidRPr="00EA190F">
        <w:rPr>
          <w:color w:val="000000"/>
        </w:rPr>
        <w:t xml:space="preserve">will not be viable in the current poor </w:t>
      </w:r>
      <w:r w:rsidR="00A225B1" w:rsidRPr="00EA190F">
        <w:rPr>
          <w:color w:val="000000"/>
        </w:rPr>
        <w:t>climate for foreign direct investment</w:t>
      </w:r>
      <w:r w:rsidRPr="00EA190F">
        <w:rPr>
          <w:color w:val="000000"/>
        </w:rPr>
        <w:t xml:space="preserve">. </w:t>
      </w:r>
      <w:smartTag w:uri="urn:schemas-microsoft-com:office:smarttags" w:element="country-region">
        <w:r w:rsidR="000C07F2" w:rsidRPr="00EA190F">
          <w:rPr>
            <w:color w:val="000000"/>
          </w:rPr>
          <w:t>Australia</w:t>
        </w:r>
      </w:smartTag>
      <w:r w:rsidR="000C07F2" w:rsidRPr="00EA190F">
        <w:rPr>
          <w:color w:val="000000"/>
        </w:rPr>
        <w:t xml:space="preserve"> is </w:t>
      </w:r>
      <w:r w:rsidRPr="00EA190F">
        <w:rPr>
          <w:color w:val="000000"/>
        </w:rPr>
        <w:t>commit</w:t>
      </w:r>
      <w:r w:rsidR="000C07F2" w:rsidRPr="00EA190F">
        <w:rPr>
          <w:color w:val="000000"/>
        </w:rPr>
        <w:t>ted</w:t>
      </w:r>
      <w:r w:rsidRPr="00EA190F">
        <w:rPr>
          <w:color w:val="000000"/>
        </w:rPr>
        <w:t xml:space="preserve"> to provid</w:t>
      </w:r>
      <w:r w:rsidR="000C07F2" w:rsidRPr="00EA190F">
        <w:rPr>
          <w:color w:val="000000"/>
        </w:rPr>
        <w:t>ing</w:t>
      </w:r>
      <w:r w:rsidRPr="00EA190F">
        <w:rPr>
          <w:color w:val="000000"/>
        </w:rPr>
        <w:t xml:space="preserve"> technical assistance to prepare </w:t>
      </w:r>
      <w:r w:rsidR="00A225B1" w:rsidRPr="00EA190F">
        <w:rPr>
          <w:color w:val="000000"/>
        </w:rPr>
        <w:t xml:space="preserve">the Government </w:t>
      </w:r>
      <w:r w:rsidR="00FA31C4" w:rsidRPr="00EA190F">
        <w:rPr>
          <w:color w:val="000000"/>
        </w:rPr>
        <w:t xml:space="preserve">of the </w:t>
      </w:r>
      <w:smartTag w:uri="urn:schemas-microsoft-com:office:smarttags" w:element="country-region">
        <w:r w:rsidR="00FA31C4" w:rsidRPr="00EA190F">
          <w:rPr>
            <w:color w:val="000000"/>
          </w:rPr>
          <w:lastRenderedPageBreak/>
          <w:t>Philippines</w:t>
        </w:r>
      </w:smartTag>
      <w:r w:rsidR="00FA31C4" w:rsidRPr="00EA190F">
        <w:rPr>
          <w:color w:val="000000"/>
        </w:rPr>
        <w:t xml:space="preserve"> </w:t>
      </w:r>
      <w:r w:rsidRPr="00EA190F">
        <w:rPr>
          <w:color w:val="000000"/>
        </w:rPr>
        <w:t xml:space="preserve">to develop </w:t>
      </w:r>
      <w:r w:rsidR="00A225B1" w:rsidRPr="00EA190F">
        <w:rPr>
          <w:color w:val="000000"/>
        </w:rPr>
        <w:t xml:space="preserve">public–private partnership </w:t>
      </w:r>
      <w:r w:rsidRPr="00EA190F">
        <w:rPr>
          <w:color w:val="000000"/>
        </w:rPr>
        <w:t xml:space="preserve">arrangements for the </w:t>
      </w:r>
      <w:proofErr w:type="spellStart"/>
      <w:smartTag w:uri="urn:schemas-microsoft-com:office:smarttags" w:element="PlaceName">
        <w:smartTag w:uri="urn:schemas-microsoft-com:office:smarttags" w:element="place">
          <w:r w:rsidRPr="00EA190F">
            <w:rPr>
              <w:color w:val="000000"/>
            </w:rPr>
            <w:t>Panguil</w:t>
          </w:r>
        </w:smartTag>
        <w:proofErr w:type="spellEnd"/>
        <w:r w:rsidRPr="00EA190F">
          <w:rPr>
            <w:color w:val="000000"/>
          </w:rPr>
          <w:t xml:space="preserve"> </w:t>
        </w:r>
        <w:smartTag w:uri="urn:schemas-microsoft-com:office:smarttags" w:element="PlaceType">
          <w:r w:rsidRPr="00EA190F">
            <w:rPr>
              <w:color w:val="000000"/>
            </w:rPr>
            <w:t>Bay</w:t>
          </w:r>
        </w:smartTag>
        <w:r w:rsidRPr="00EA190F">
          <w:rPr>
            <w:color w:val="000000"/>
          </w:rPr>
          <w:t xml:space="preserve"> </w:t>
        </w:r>
        <w:smartTag w:uri="urn:schemas-microsoft-com:office:smarttags" w:element="PlaceType">
          <w:r w:rsidRPr="00EA190F">
            <w:rPr>
              <w:color w:val="000000"/>
            </w:rPr>
            <w:t>Bridge</w:t>
          </w:r>
        </w:smartTag>
      </w:smartTag>
      <w:r w:rsidRPr="00EA190F">
        <w:rPr>
          <w:color w:val="000000"/>
        </w:rPr>
        <w:t xml:space="preserve"> project to be put to tender in 2008. </w:t>
      </w:r>
    </w:p>
    <w:p w:rsidR="00CB1CDA" w:rsidRPr="00EA190F" w:rsidRDefault="00CB1CDA" w:rsidP="00F67D52">
      <w:pPr>
        <w:pStyle w:val="BodyText"/>
        <w:rPr>
          <w:rFonts w:cs="Arial"/>
          <w:color w:val="000000"/>
        </w:rPr>
      </w:pPr>
      <w:r w:rsidRPr="00EA190F">
        <w:rPr>
          <w:color w:val="000000"/>
        </w:rPr>
        <w:t xml:space="preserve">Assistance to LGUs on local-level infrastructure has not yet begun as the subnational infrastructure program is still being designed. Hence, no progress can be reported on PAF indicators relating to </w:t>
      </w:r>
      <w:r w:rsidRPr="00EA190F">
        <w:rPr>
          <w:rFonts w:cs="Arial"/>
          <w:color w:val="000000"/>
        </w:rPr>
        <w:t>subnational infrastructure.</w:t>
      </w:r>
    </w:p>
    <w:p w:rsidR="00F67D52" w:rsidRPr="00EA190F" w:rsidRDefault="00CB1CDA" w:rsidP="00F67D52">
      <w:pPr>
        <w:pStyle w:val="Heading4"/>
        <w:rPr>
          <w:color w:val="000000"/>
        </w:rPr>
      </w:pPr>
      <w:bookmarkStart w:id="42" w:name="OLE_LINK1"/>
      <w:r w:rsidRPr="00EA190F">
        <w:rPr>
          <w:color w:val="000000"/>
        </w:rPr>
        <w:t>Key factors</w:t>
      </w:r>
      <w:r w:rsidR="008F6566" w:rsidRPr="00EA190F">
        <w:rPr>
          <w:color w:val="000000"/>
        </w:rPr>
        <w:t xml:space="preserve"> </w:t>
      </w:r>
      <w:r w:rsidR="00F67D52" w:rsidRPr="00EA190F">
        <w:rPr>
          <w:color w:val="000000"/>
        </w:rPr>
        <w:t>contributing</w:t>
      </w:r>
    </w:p>
    <w:p w:rsidR="00CB1CDA" w:rsidRPr="00EA190F" w:rsidRDefault="00CB1CDA" w:rsidP="00F67D52">
      <w:pPr>
        <w:pStyle w:val="BodyText"/>
        <w:rPr>
          <w:color w:val="000000"/>
          <w:spacing w:val="-2"/>
        </w:rPr>
      </w:pPr>
      <w:r w:rsidRPr="00EA190F">
        <w:rPr>
          <w:color w:val="000000"/>
          <w:spacing w:val="-2"/>
        </w:rPr>
        <w:t xml:space="preserve">The creation of a Working Group on Infrastructure in the March 2008 </w:t>
      </w:r>
      <w:smartTag w:uri="urn:schemas-microsoft-com:office:smarttags" w:element="country-region">
        <w:r w:rsidRPr="00EA190F">
          <w:rPr>
            <w:color w:val="000000"/>
            <w:spacing w:val="-2"/>
          </w:rPr>
          <w:t>Philippines</w:t>
        </w:r>
      </w:smartTag>
      <w:r w:rsidRPr="00EA190F">
        <w:rPr>
          <w:color w:val="000000"/>
          <w:spacing w:val="-2"/>
        </w:rPr>
        <w:t xml:space="preserve"> Development Forum</w:t>
      </w:r>
      <w:r w:rsidR="00E0619D" w:rsidRPr="00EA190F">
        <w:rPr>
          <w:color w:val="000000"/>
          <w:spacing w:val="-2"/>
        </w:rPr>
        <w:t xml:space="preserve"> </w:t>
      </w:r>
      <w:r w:rsidRPr="00EA190F">
        <w:rPr>
          <w:color w:val="000000"/>
          <w:spacing w:val="-2"/>
        </w:rPr>
        <w:t xml:space="preserve">was the result of joint lobbying by the World Bank, </w:t>
      </w:r>
      <w:smartTag w:uri="urn:schemas-microsoft-com:office:smarttags" w:element="country-region">
        <w:smartTag w:uri="urn:schemas-microsoft-com:office:smarttags" w:element="place">
          <w:r w:rsidRPr="00EA190F">
            <w:rPr>
              <w:color w:val="000000"/>
              <w:spacing w:val="-2"/>
            </w:rPr>
            <w:t>Japan</w:t>
          </w:r>
        </w:smartTag>
      </w:smartTag>
      <w:r w:rsidRPr="00EA190F">
        <w:rPr>
          <w:color w:val="000000"/>
          <w:spacing w:val="-2"/>
        </w:rPr>
        <w:t xml:space="preserve"> and AusAID. The </w:t>
      </w:r>
      <w:r w:rsidR="00FE13C4" w:rsidRPr="00EA190F">
        <w:rPr>
          <w:color w:val="000000"/>
          <w:spacing w:val="-2"/>
        </w:rPr>
        <w:t xml:space="preserve">World Bank </w:t>
      </w:r>
      <w:r w:rsidRPr="00EA190F">
        <w:rPr>
          <w:color w:val="000000"/>
          <w:spacing w:val="-2"/>
        </w:rPr>
        <w:t xml:space="preserve">is assessing the suitability of the </w:t>
      </w:r>
      <w:r w:rsidR="00FE13C4" w:rsidRPr="00EA190F">
        <w:rPr>
          <w:color w:val="000000"/>
          <w:spacing w:val="-2"/>
        </w:rPr>
        <w:t xml:space="preserve">public–private partnerships </w:t>
      </w:r>
      <w:r w:rsidRPr="00EA190F">
        <w:rPr>
          <w:color w:val="000000"/>
          <w:spacing w:val="-2"/>
        </w:rPr>
        <w:t xml:space="preserve">framework </w:t>
      </w:r>
      <w:r w:rsidR="00A75774" w:rsidRPr="00EA190F">
        <w:rPr>
          <w:color w:val="000000"/>
          <w:spacing w:val="-2"/>
        </w:rPr>
        <w:t xml:space="preserve">developed by AusAID </w:t>
      </w:r>
      <w:r w:rsidRPr="00EA190F">
        <w:rPr>
          <w:color w:val="000000"/>
          <w:spacing w:val="-2"/>
        </w:rPr>
        <w:t>for use in other sectors such as rail and possibly water.</w:t>
      </w:r>
    </w:p>
    <w:p w:rsidR="0074177D" w:rsidRPr="00EA190F" w:rsidRDefault="00BC38E5" w:rsidP="00F67D52">
      <w:pPr>
        <w:pStyle w:val="BodyText"/>
        <w:rPr>
          <w:rFonts w:cs="Arial"/>
          <w:bCs/>
          <w:iCs/>
          <w:color w:val="000000"/>
        </w:rPr>
      </w:pPr>
      <w:r w:rsidRPr="00EA190F">
        <w:rPr>
          <w:color w:val="000000"/>
        </w:rPr>
        <w:t>Providing s</w:t>
      </w:r>
      <w:r w:rsidR="00CB1CDA" w:rsidRPr="00EA190F">
        <w:rPr>
          <w:color w:val="000000"/>
        </w:rPr>
        <w:t xml:space="preserve">upport to the infrastructure sector is new to the </w:t>
      </w:r>
      <w:smartTag w:uri="urn:schemas-microsoft-com:office:smarttags" w:element="country-region">
        <w:smartTag w:uri="urn:schemas-microsoft-com:office:smarttags" w:element="place">
          <w:r w:rsidR="00CB1CDA" w:rsidRPr="00EA190F">
            <w:rPr>
              <w:color w:val="000000"/>
            </w:rPr>
            <w:t>Philippines</w:t>
          </w:r>
        </w:smartTag>
      </w:smartTag>
      <w:r w:rsidR="00CB1CDA" w:rsidRPr="00EA190F">
        <w:rPr>
          <w:color w:val="000000"/>
        </w:rPr>
        <w:t xml:space="preserve"> program.</w:t>
      </w:r>
      <w:r w:rsidR="008F6566" w:rsidRPr="00EA190F">
        <w:rPr>
          <w:color w:val="000000"/>
        </w:rPr>
        <w:t xml:space="preserve"> </w:t>
      </w:r>
      <w:r w:rsidR="00CB1CDA" w:rsidRPr="00EA190F">
        <w:rPr>
          <w:color w:val="000000"/>
        </w:rPr>
        <w:t xml:space="preserve">Ensuring national and subnational infrastructure programs are operational is the key deliverable for </w:t>
      </w:r>
      <w:r w:rsidR="001654DB" w:rsidRPr="00EA190F">
        <w:rPr>
          <w:color w:val="000000"/>
        </w:rPr>
        <w:t>2007</w:t>
      </w:r>
      <w:r w:rsidR="002E7621" w:rsidRPr="00EA190F">
        <w:rPr>
          <w:color w:val="000000"/>
        </w:rPr>
        <w:t>–</w:t>
      </w:r>
      <w:r w:rsidR="001654DB" w:rsidRPr="00EA190F">
        <w:rPr>
          <w:color w:val="000000"/>
        </w:rPr>
        <w:t xml:space="preserve">08. </w:t>
      </w:r>
      <w:r w:rsidR="00CB1CDA" w:rsidRPr="00EA190F">
        <w:rPr>
          <w:bCs/>
          <w:iCs/>
          <w:color w:val="000000"/>
        </w:rPr>
        <w:t xml:space="preserve">The introduction of an infrastructure focus also required the program to develop a close working relationship with the World Bank to leverage and complement its resources available for infrastructure. A positive relationship has been developed and has helped manage the problems and risks brought about by the delays in approval of </w:t>
      </w:r>
      <w:r w:rsidR="001654DB" w:rsidRPr="00EA190F">
        <w:rPr>
          <w:bCs/>
          <w:iCs/>
          <w:color w:val="000000"/>
        </w:rPr>
        <w:t xml:space="preserve">the </w:t>
      </w:r>
      <w:r w:rsidR="00CB1CDA" w:rsidRPr="00EA190F">
        <w:rPr>
          <w:bCs/>
          <w:iCs/>
          <w:color w:val="000000"/>
        </w:rPr>
        <w:t>National Road Improvement Management Plan</w:t>
      </w:r>
      <w:r w:rsidR="000B0D2F" w:rsidRPr="00EA190F">
        <w:rPr>
          <w:bCs/>
          <w:iCs/>
          <w:color w:val="000000"/>
        </w:rPr>
        <w:t> </w:t>
      </w:r>
      <w:r w:rsidR="00CB1CDA" w:rsidRPr="00EA190F">
        <w:rPr>
          <w:bCs/>
          <w:iCs/>
          <w:color w:val="000000"/>
        </w:rPr>
        <w:t>2</w:t>
      </w:r>
      <w:r w:rsidR="001654DB" w:rsidRPr="00EA190F">
        <w:rPr>
          <w:bCs/>
          <w:iCs/>
          <w:color w:val="000000"/>
        </w:rPr>
        <w:t xml:space="preserve"> (NRIMP</w:t>
      </w:r>
      <w:r w:rsidR="004F6FE8" w:rsidRPr="00EA190F">
        <w:rPr>
          <w:bCs/>
          <w:iCs/>
          <w:color w:val="000000"/>
        </w:rPr>
        <w:t> </w:t>
      </w:r>
      <w:r w:rsidR="001654DB" w:rsidRPr="00EA190F">
        <w:rPr>
          <w:bCs/>
          <w:iCs/>
          <w:color w:val="000000"/>
        </w:rPr>
        <w:t>2)</w:t>
      </w:r>
      <w:r w:rsidR="00CB1CDA" w:rsidRPr="00EA190F">
        <w:rPr>
          <w:bCs/>
          <w:iCs/>
          <w:color w:val="000000"/>
        </w:rPr>
        <w:t xml:space="preserve">. It has also illustrated the challenges of operating jointly and the difficulties of working under the protocols of multilateral organisations. This issue, and </w:t>
      </w:r>
      <w:proofErr w:type="spellStart"/>
      <w:r w:rsidR="00CB1CDA" w:rsidRPr="00EA190F">
        <w:rPr>
          <w:bCs/>
          <w:iCs/>
          <w:color w:val="000000"/>
        </w:rPr>
        <w:t>AusAID’s</w:t>
      </w:r>
      <w:proofErr w:type="spellEnd"/>
      <w:r w:rsidR="00CB1CDA" w:rsidRPr="00EA190F">
        <w:rPr>
          <w:bCs/>
          <w:iCs/>
          <w:color w:val="000000"/>
        </w:rPr>
        <w:t xml:space="preserve"> response, will be important to the success of the program as it moves to new delivery modalities. </w:t>
      </w:r>
    </w:p>
    <w:p w:rsidR="00CB1CDA" w:rsidRPr="00EA190F" w:rsidRDefault="00CB1CDA" w:rsidP="00F67D52">
      <w:pPr>
        <w:pStyle w:val="BodyText"/>
        <w:rPr>
          <w:rFonts w:cs="Arial"/>
          <w:color w:val="000000"/>
        </w:rPr>
      </w:pPr>
      <w:r w:rsidRPr="00EA190F">
        <w:rPr>
          <w:rFonts w:cs="Arial"/>
          <w:bCs/>
          <w:iCs/>
          <w:color w:val="000000"/>
        </w:rPr>
        <w:t xml:space="preserve">The </w:t>
      </w:r>
      <w:r w:rsidR="000B0D2F" w:rsidRPr="00EA190F">
        <w:rPr>
          <w:rFonts w:cs="Arial"/>
          <w:bCs/>
          <w:iCs/>
          <w:color w:val="000000"/>
        </w:rPr>
        <w:t xml:space="preserve">World Bank </w:t>
      </w:r>
      <w:r w:rsidRPr="00EA190F">
        <w:rPr>
          <w:rFonts w:cs="Arial"/>
          <w:bCs/>
          <w:iCs/>
          <w:color w:val="000000"/>
        </w:rPr>
        <w:t>Board recently approved th</w:t>
      </w:r>
      <w:r w:rsidR="00BC38E5" w:rsidRPr="00EA190F">
        <w:rPr>
          <w:rFonts w:cs="Arial"/>
          <w:bCs/>
          <w:iCs/>
          <w:color w:val="000000"/>
        </w:rPr>
        <w:t>e</w:t>
      </w:r>
      <w:r w:rsidRPr="00EA190F">
        <w:rPr>
          <w:rFonts w:cs="Arial"/>
          <w:bCs/>
          <w:iCs/>
          <w:color w:val="000000"/>
        </w:rPr>
        <w:t xml:space="preserve"> loan</w:t>
      </w:r>
      <w:r w:rsidR="00BC38E5" w:rsidRPr="00EA190F">
        <w:rPr>
          <w:rFonts w:cs="Arial"/>
          <w:bCs/>
          <w:iCs/>
          <w:color w:val="000000"/>
        </w:rPr>
        <w:t xml:space="preserve"> for </w:t>
      </w:r>
      <w:r w:rsidR="001654DB" w:rsidRPr="00EA190F">
        <w:rPr>
          <w:rFonts w:cs="Arial"/>
          <w:bCs/>
          <w:iCs/>
          <w:color w:val="000000"/>
        </w:rPr>
        <w:t>NRIMP</w:t>
      </w:r>
      <w:r w:rsidR="004F6FE8" w:rsidRPr="00EA190F">
        <w:rPr>
          <w:rFonts w:cs="Arial"/>
          <w:bCs/>
          <w:iCs/>
          <w:color w:val="000000"/>
        </w:rPr>
        <w:t> </w:t>
      </w:r>
      <w:r w:rsidR="001654DB" w:rsidRPr="00EA190F">
        <w:rPr>
          <w:rFonts w:cs="Arial"/>
          <w:bCs/>
          <w:iCs/>
          <w:color w:val="000000"/>
        </w:rPr>
        <w:t>2</w:t>
      </w:r>
      <w:r w:rsidRPr="00EA190F">
        <w:rPr>
          <w:rFonts w:cs="Arial"/>
          <w:bCs/>
          <w:iCs/>
          <w:color w:val="000000"/>
        </w:rPr>
        <w:t xml:space="preserve"> with special mention made at the </w:t>
      </w:r>
      <w:r w:rsidR="0074177D" w:rsidRPr="00EA190F">
        <w:rPr>
          <w:rFonts w:cs="Arial"/>
          <w:bCs/>
          <w:iCs/>
          <w:color w:val="000000"/>
        </w:rPr>
        <w:t xml:space="preserve">board </w:t>
      </w:r>
      <w:r w:rsidRPr="00EA190F">
        <w:rPr>
          <w:rFonts w:cs="Arial"/>
          <w:bCs/>
          <w:iCs/>
          <w:color w:val="000000"/>
        </w:rPr>
        <w:t>meeting of the work undertaken by AusAID Manila to improve the quality of the proposal, especially in the area of transparency and anticorruption measures. There have also been efforts to engage with the bank in making designs more inclusive. This has brought gender to the attention of the implementation team and it has been part of the design process for the rural program.</w:t>
      </w:r>
    </w:p>
    <w:p w:rsidR="00F67D52" w:rsidRPr="00EA190F" w:rsidRDefault="00CB1CDA" w:rsidP="00F67D52">
      <w:pPr>
        <w:pStyle w:val="Heading4"/>
        <w:rPr>
          <w:color w:val="000000"/>
        </w:rPr>
      </w:pPr>
      <w:r w:rsidRPr="00EA190F">
        <w:rPr>
          <w:color w:val="000000"/>
        </w:rPr>
        <w:t>Key factors</w:t>
      </w:r>
      <w:r w:rsidR="008F6566" w:rsidRPr="00EA190F">
        <w:rPr>
          <w:color w:val="000000"/>
        </w:rPr>
        <w:t xml:space="preserve"> </w:t>
      </w:r>
      <w:r w:rsidR="00F67D52" w:rsidRPr="00EA190F">
        <w:rPr>
          <w:color w:val="000000"/>
        </w:rPr>
        <w:t>hindering</w:t>
      </w:r>
    </w:p>
    <w:p w:rsidR="00CB1CDA" w:rsidRPr="00EA190F" w:rsidRDefault="00CB1CDA" w:rsidP="00F67D52">
      <w:pPr>
        <w:pStyle w:val="BodyText"/>
        <w:rPr>
          <w:color w:val="000000"/>
        </w:rPr>
      </w:pPr>
      <w:r w:rsidRPr="00EA190F">
        <w:rPr>
          <w:color w:val="000000"/>
        </w:rPr>
        <w:t xml:space="preserve">The procurement practices and other cumbersome business rules of the </w:t>
      </w:r>
      <w:r w:rsidR="0074177D" w:rsidRPr="00EA190F">
        <w:rPr>
          <w:color w:val="000000"/>
        </w:rPr>
        <w:t>Government</w:t>
      </w:r>
      <w:r w:rsidR="00FA31C4" w:rsidRPr="00EA190F">
        <w:rPr>
          <w:color w:val="000000"/>
        </w:rPr>
        <w:t xml:space="preserve"> of the </w:t>
      </w:r>
      <w:smartTag w:uri="urn:schemas-microsoft-com:office:smarttags" w:element="country-region">
        <w:r w:rsidR="00FA31C4" w:rsidRPr="00EA190F">
          <w:rPr>
            <w:color w:val="000000"/>
          </w:rPr>
          <w:t>Philippines</w:t>
        </w:r>
      </w:smartTag>
      <w:r w:rsidRPr="00EA190F">
        <w:rPr>
          <w:color w:val="000000"/>
        </w:rPr>
        <w:t xml:space="preserve">, such as </w:t>
      </w:r>
      <w:r w:rsidR="0074177D" w:rsidRPr="00EA190F">
        <w:rPr>
          <w:color w:val="000000"/>
        </w:rPr>
        <w:t xml:space="preserve">a </w:t>
      </w:r>
      <w:r w:rsidRPr="00EA190F">
        <w:rPr>
          <w:color w:val="000000"/>
        </w:rPr>
        <w:t xml:space="preserve">lack of transparency, </w:t>
      </w:r>
      <w:r w:rsidR="0074177D" w:rsidRPr="00EA190F">
        <w:rPr>
          <w:color w:val="000000"/>
        </w:rPr>
        <w:t xml:space="preserve">the </w:t>
      </w:r>
      <w:r w:rsidRPr="00EA190F">
        <w:rPr>
          <w:color w:val="000000"/>
        </w:rPr>
        <w:t xml:space="preserve">accommodation of unsolicited bids and </w:t>
      </w:r>
      <w:r w:rsidR="0074177D" w:rsidRPr="00EA190F">
        <w:rPr>
          <w:color w:val="000000"/>
        </w:rPr>
        <w:t xml:space="preserve">the </w:t>
      </w:r>
      <w:r w:rsidRPr="00EA190F">
        <w:rPr>
          <w:color w:val="000000"/>
        </w:rPr>
        <w:t xml:space="preserve">poor legal framework to resolve contract issues, continue to erode investor confidence in 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and overshadow ongoing reform efforts in the sector. Corruption issues in </w:t>
      </w:r>
      <w:r w:rsidR="00163311" w:rsidRPr="00EA190F">
        <w:rPr>
          <w:color w:val="000000"/>
        </w:rPr>
        <w:t xml:space="preserve">the </w:t>
      </w:r>
      <w:r w:rsidR="00CF448F" w:rsidRPr="00EA190F">
        <w:rPr>
          <w:color w:val="000000"/>
        </w:rPr>
        <w:t>previous W</w:t>
      </w:r>
      <w:r w:rsidR="00DE5594" w:rsidRPr="00EA190F">
        <w:rPr>
          <w:color w:val="000000"/>
        </w:rPr>
        <w:t>orld Bank funded program (NRIMP </w:t>
      </w:r>
      <w:r w:rsidR="00CF448F" w:rsidRPr="00EA190F">
        <w:rPr>
          <w:color w:val="000000"/>
        </w:rPr>
        <w:t xml:space="preserve">1) </w:t>
      </w:r>
      <w:r w:rsidRPr="00EA190F">
        <w:rPr>
          <w:color w:val="000000"/>
        </w:rPr>
        <w:t xml:space="preserve">delayed </w:t>
      </w:r>
      <w:r w:rsidR="0074177D" w:rsidRPr="00EA190F">
        <w:rPr>
          <w:color w:val="000000"/>
        </w:rPr>
        <w:t xml:space="preserve">World Bank </w:t>
      </w:r>
      <w:r w:rsidRPr="00EA190F">
        <w:rPr>
          <w:color w:val="000000"/>
        </w:rPr>
        <w:t xml:space="preserve">Board approval of </w:t>
      </w:r>
      <w:r w:rsidR="001654DB" w:rsidRPr="00EA190F">
        <w:rPr>
          <w:bCs/>
          <w:iCs/>
          <w:color w:val="000000"/>
        </w:rPr>
        <w:t>NRIMP</w:t>
      </w:r>
      <w:r w:rsidR="0074177D" w:rsidRPr="00EA190F">
        <w:rPr>
          <w:bCs/>
          <w:iCs/>
          <w:color w:val="000000"/>
        </w:rPr>
        <w:t xml:space="preserve"> 2 </w:t>
      </w:r>
      <w:r w:rsidRPr="00EA190F">
        <w:rPr>
          <w:color w:val="000000"/>
        </w:rPr>
        <w:t xml:space="preserve">(co-financed by the </w:t>
      </w:r>
      <w:r w:rsidR="0074177D" w:rsidRPr="00EA190F">
        <w:rPr>
          <w:color w:val="000000"/>
        </w:rPr>
        <w:t xml:space="preserve">World Bank </w:t>
      </w:r>
      <w:r w:rsidRPr="00EA190F">
        <w:rPr>
          <w:color w:val="000000"/>
        </w:rPr>
        <w:t>and AusAID).</w:t>
      </w:r>
      <w:r w:rsidR="008F6566" w:rsidRPr="00EA190F">
        <w:rPr>
          <w:color w:val="000000"/>
        </w:rPr>
        <w:t xml:space="preserve"> </w:t>
      </w:r>
      <w:r w:rsidRPr="00EA190F">
        <w:rPr>
          <w:color w:val="000000"/>
        </w:rPr>
        <w:t xml:space="preserve">Political imperatives, such as completion times that match election cycles, can undermine market principles followed in </w:t>
      </w:r>
      <w:r w:rsidR="0074177D" w:rsidRPr="00EA190F">
        <w:rPr>
          <w:color w:val="000000"/>
        </w:rPr>
        <w:t>public–private partnerships</w:t>
      </w:r>
      <w:r w:rsidRPr="00EA190F">
        <w:rPr>
          <w:color w:val="000000"/>
        </w:rPr>
        <w:t>.</w:t>
      </w:r>
      <w:r w:rsidR="008F6566" w:rsidRPr="00EA190F">
        <w:rPr>
          <w:bCs/>
          <w:iCs/>
          <w:color w:val="000000"/>
        </w:rPr>
        <w:t xml:space="preserve"> </w:t>
      </w:r>
    </w:p>
    <w:p w:rsidR="00CB1CDA" w:rsidRPr="00EA190F" w:rsidRDefault="00CB1CDA" w:rsidP="004862BD">
      <w:pPr>
        <w:pStyle w:val="Heading2nonumber"/>
        <w:keepLines/>
        <w:rPr>
          <w:color w:val="000000"/>
        </w:rPr>
      </w:pPr>
      <w:bookmarkStart w:id="43" w:name="_Toc360805258"/>
      <w:bookmarkEnd w:id="42"/>
      <w:r w:rsidRPr="00EA190F">
        <w:rPr>
          <w:color w:val="000000"/>
        </w:rPr>
        <w:lastRenderedPageBreak/>
        <w:t>Objective:</w:t>
      </w:r>
      <w:r w:rsidR="00F67D52" w:rsidRPr="00EA190F">
        <w:rPr>
          <w:color w:val="000000"/>
        </w:rPr>
        <w:br/>
      </w:r>
      <w:r w:rsidRPr="00EA190F">
        <w:rPr>
          <w:color w:val="000000"/>
        </w:rPr>
        <w:t>Improved economic opportunity for rural people through increases in productivity, access to markets, better infrastructure, and growth of small</w:t>
      </w:r>
      <w:r w:rsidR="005E2AB8" w:rsidRPr="00EA190F">
        <w:rPr>
          <w:color w:val="000000"/>
        </w:rPr>
        <w:t>–</w:t>
      </w:r>
      <w:r w:rsidR="003C1A76" w:rsidRPr="00EA190F">
        <w:rPr>
          <w:color w:val="000000"/>
        </w:rPr>
        <w:t>medium enterprises in targeted </w:t>
      </w:r>
      <w:r w:rsidRPr="00EA190F">
        <w:rPr>
          <w:color w:val="000000"/>
        </w:rPr>
        <w:t>provinces</w:t>
      </w:r>
      <w:bookmarkEnd w:id="43"/>
    </w:p>
    <w:p w:rsidR="00CB1CDA" w:rsidRPr="00EA190F" w:rsidRDefault="00F67D52" w:rsidP="00F67D52">
      <w:pPr>
        <w:pStyle w:val="Heading3nonumber"/>
        <w:rPr>
          <w:color w:val="000000"/>
        </w:rPr>
      </w:pPr>
      <w:r w:rsidRPr="00EA190F">
        <w:rPr>
          <w:color w:val="000000"/>
        </w:rPr>
        <w:t>Rating</w:t>
      </w:r>
    </w:p>
    <w:p w:rsidR="00CB1CDA" w:rsidRPr="00EA190F" w:rsidRDefault="00EA190F" w:rsidP="00F67D52">
      <w:pPr>
        <w:pStyle w:val="HighlightBulletOrange"/>
        <w:rPr>
          <w:color w:val="000000"/>
        </w:rPr>
      </w:pPr>
      <w:r w:rsidRPr="00EA190F">
        <w:rPr>
          <w:color w:val="000000"/>
        </w:rPr>
        <w:t xml:space="preserve">(amber) </w:t>
      </w:r>
      <w:r w:rsidR="00CB1CDA" w:rsidRPr="00EA190F">
        <w:rPr>
          <w:color w:val="000000"/>
        </w:rPr>
        <w:t>The objective will be partly achieved within the timeframe</w:t>
      </w:r>
      <w:r w:rsidR="00786217" w:rsidRPr="00EA190F">
        <w:rPr>
          <w:color w:val="000000"/>
        </w:rPr>
        <w:t>.</w:t>
      </w:r>
    </w:p>
    <w:p w:rsidR="00F67D52" w:rsidRPr="00EA190F" w:rsidRDefault="00F67D52" w:rsidP="00F67D52">
      <w:pPr>
        <w:pStyle w:val="Heading3nonumber"/>
        <w:rPr>
          <w:color w:val="000000"/>
        </w:rPr>
      </w:pPr>
      <w:r w:rsidRPr="00EA190F">
        <w:rPr>
          <w:color w:val="000000"/>
        </w:rPr>
        <w:t xml:space="preserve">Contributing programs </w:t>
      </w:r>
    </w:p>
    <w:p w:rsidR="00F67D52" w:rsidRPr="00EA190F" w:rsidRDefault="00F67D52" w:rsidP="007F2422">
      <w:pPr>
        <w:pStyle w:val="ListBullet"/>
      </w:pPr>
      <w:r w:rsidRPr="00EA190F">
        <w:t>Philippines–Australia Community Assistance Program</w:t>
      </w:r>
    </w:p>
    <w:p w:rsidR="00F67D52" w:rsidRPr="00EA190F" w:rsidRDefault="00F67D52" w:rsidP="007F2422">
      <w:pPr>
        <w:pStyle w:val="ListBullet"/>
      </w:pPr>
      <w:r w:rsidRPr="00EA190F">
        <w:t>Philippines–Australia Local Sustainability Program</w:t>
      </w:r>
    </w:p>
    <w:p w:rsidR="00F67D52" w:rsidRPr="00EA190F" w:rsidRDefault="00F67D52" w:rsidP="007F2422">
      <w:pPr>
        <w:pStyle w:val="ListBullet"/>
      </w:pPr>
      <w:r w:rsidRPr="00EA190F">
        <w:t>Land Administration and</w:t>
      </w:r>
      <w:r w:rsidR="008F6566" w:rsidRPr="00EA190F">
        <w:t xml:space="preserve"> </w:t>
      </w:r>
      <w:r w:rsidRPr="00EA190F">
        <w:t>Management Project</w:t>
      </w:r>
    </w:p>
    <w:p w:rsidR="00F67D52" w:rsidRPr="00EA190F" w:rsidRDefault="00F67D52" w:rsidP="007F2422">
      <w:pPr>
        <w:pStyle w:val="ListBullet"/>
        <w:rPr>
          <w:u w:val="single"/>
        </w:rPr>
      </w:pPr>
      <w:r w:rsidRPr="00EA190F">
        <w:t>Local Governance Development Program</w:t>
      </w:r>
    </w:p>
    <w:p w:rsidR="00CB1CDA" w:rsidRPr="00EA190F" w:rsidRDefault="00CB1CDA" w:rsidP="00F67D52">
      <w:pPr>
        <w:pStyle w:val="Heading3nonumber"/>
        <w:rPr>
          <w:color w:val="000000"/>
        </w:rPr>
      </w:pPr>
      <w:r w:rsidRPr="00EA190F">
        <w:rPr>
          <w:color w:val="000000"/>
        </w:rPr>
        <w:t>Assessment of results and performance</w:t>
      </w:r>
    </w:p>
    <w:p w:rsidR="00CB1CDA" w:rsidRPr="00EA190F" w:rsidRDefault="00CB1CDA" w:rsidP="00F67D52">
      <w:pPr>
        <w:pStyle w:val="Heading4"/>
        <w:rPr>
          <w:color w:val="000000"/>
        </w:rPr>
      </w:pPr>
      <w:r w:rsidRPr="00EA190F">
        <w:rPr>
          <w:color w:val="000000"/>
        </w:rPr>
        <w:t xml:space="preserve">Key </w:t>
      </w:r>
      <w:r w:rsidR="00F67D52" w:rsidRPr="00EA190F">
        <w:rPr>
          <w:color w:val="000000"/>
        </w:rPr>
        <w:t>results</w:t>
      </w:r>
    </w:p>
    <w:p w:rsidR="00CB1CDA" w:rsidRPr="00EA190F" w:rsidRDefault="00CB1CDA" w:rsidP="00F67D52">
      <w:pPr>
        <w:pStyle w:val="BodyText"/>
        <w:rPr>
          <w:color w:val="000000"/>
        </w:rPr>
      </w:pPr>
      <w:smartTag w:uri="urn:schemas-microsoft-com:office:smarttags" w:element="country-region">
        <w:smartTag w:uri="urn:schemas-microsoft-com:office:smarttags" w:element="place">
          <w:r w:rsidRPr="00EA190F">
            <w:rPr>
              <w:color w:val="000000"/>
            </w:rPr>
            <w:t>Australia</w:t>
          </w:r>
        </w:smartTag>
      </w:smartTag>
      <w:r w:rsidRPr="00EA190F">
        <w:rPr>
          <w:color w:val="000000"/>
        </w:rPr>
        <w:t>’s contribution toward improved economic opportunity for rural people involves project</w:t>
      </w:r>
      <w:r w:rsidR="00786217" w:rsidRPr="00EA190F">
        <w:rPr>
          <w:color w:val="000000"/>
        </w:rPr>
        <w:t>-</w:t>
      </w:r>
      <w:r w:rsidRPr="00EA190F">
        <w:rPr>
          <w:color w:val="000000"/>
        </w:rPr>
        <w:t xml:space="preserve">based support in specific regions. </w:t>
      </w:r>
      <w:r w:rsidR="00786217" w:rsidRPr="00EA190F">
        <w:rPr>
          <w:color w:val="000000"/>
        </w:rPr>
        <w:t xml:space="preserve">Using a </w:t>
      </w:r>
      <w:r w:rsidRPr="00EA190F">
        <w:rPr>
          <w:color w:val="000000"/>
        </w:rPr>
        <w:t>project approach as the primary mod</w:t>
      </w:r>
      <w:r w:rsidR="005E2AB8" w:rsidRPr="00EA190F">
        <w:rPr>
          <w:color w:val="000000"/>
        </w:rPr>
        <w:t>e</w:t>
      </w:r>
      <w:r w:rsidRPr="00EA190F">
        <w:rPr>
          <w:color w:val="000000"/>
        </w:rPr>
        <w:t xml:space="preserve"> of support does not fully enable a strategic response to this objective</w:t>
      </w:r>
      <w:r w:rsidR="00786217" w:rsidRPr="00EA190F">
        <w:rPr>
          <w:color w:val="000000"/>
        </w:rPr>
        <w:t>,</w:t>
      </w:r>
      <w:r w:rsidRPr="00EA190F">
        <w:rPr>
          <w:color w:val="000000"/>
        </w:rPr>
        <w:t xml:space="preserve"> and progress on a broad scale against PAF indicators cannot be reported at present. The focus has been to realign these projects where possible to fit the economic growth emphasis of the new </w:t>
      </w:r>
      <w:r w:rsidR="00786217" w:rsidRPr="00EA190F">
        <w:rPr>
          <w:color w:val="000000"/>
        </w:rPr>
        <w:t>country strategy</w:t>
      </w:r>
      <w:r w:rsidRPr="00EA190F">
        <w:rPr>
          <w:color w:val="000000"/>
        </w:rPr>
        <w:t xml:space="preserve">. These projects are legacy activities and predate the </w:t>
      </w:r>
      <w:r w:rsidR="00786217" w:rsidRPr="00EA190F">
        <w:rPr>
          <w:color w:val="000000"/>
        </w:rPr>
        <w:t xml:space="preserve">strategy </w:t>
      </w:r>
      <w:r w:rsidRPr="00EA190F">
        <w:rPr>
          <w:color w:val="000000"/>
        </w:rPr>
        <w:t xml:space="preserve">but offer valuable lessons for operating in a complex environment. These lessons will help </w:t>
      </w:r>
      <w:r w:rsidR="005E2AB8" w:rsidRPr="00EA190F">
        <w:rPr>
          <w:color w:val="000000"/>
        </w:rPr>
        <w:t xml:space="preserve">to </w:t>
      </w:r>
      <w:r w:rsidRPr="00EA190F">
        <w:rPr>
          <w:color w:val="000000"/>
        </w:rPr>
        <w:t>inform the design of a more coherent Rural-Growth and Private Sector Development Program</w:t>
      </w:r>
      <w:r w:rsidR="00786217" w:rsidRPr="00EA190F">
        <w:rPr>
          <w:color w:val="000000"/>
        </w:rPr>
        <w:t>,</w:t>
      </w:r>
      <w:r w:rsidRPr="00EA190F">
        <w:rPr>
          <w:color w:val="000000"/>
        </w:rPr>
        <w:t xml:space="preserve"> which is an agreed component of the new </w:t>
      </w:r>
      <w:r w:rsidR="00786217" w:rsidRPr="00EA190F">
        <w:rPr>
          <w:color w:val="000000"/>
        </w:rPr>
        <w:t>strategy</w:t>
      </w:r>
      <w:r w:rsidRPr="00EA190F">
        <w:rPr>
          <w:color w:val="000000"/>
        </w:rPr>
        <w:t>.</w:t>
      </w:r>
    </w:p>
    <w:p w:rsidR="00CB1CDA" w:rsidRPr="00EA190F" w:rsidRDefault="00CB1CDA" w:rsidP="00F67D52">
      <w:pPr>
        <w:pStyle w:val="BodyText"/>
        <w:rPr>
          <w:color w:val="000000"/>
        </w:rPr>
      </w:pPr>
      <w:r w:rsidRPr="00EA190F">
        <w:rPr>
          <w:color w:val="000000"/>
        </w:rPr>
        <w:t>Results in land administration management and tenure security involve the ‘</w:t>
      </w:r>
      <w:r w:rsidR="00786217" w:rsidRPr="00EA190F">
        <w:rPr>
          <w:color w:val="000000"/>
        </w:rPr>
        <w:t>one-stop</w:t>
      </w:r>
      <w:r w:rsidR="00F06B8E" w:rsidRPr="00EA190F">
        <w:rPr>
          <w:color w:val="000000"/>
        </w:rPr>
        <w:t xml:space="preserve"> </w:t>
      </w:r>
      <w:r w:rsidR="00786217" w:rsidRPr="00EA190F">
        <w:rPr>
          <w:color w:val="000000"/>
        </w:rPr>
        <w:t xml:space="preserve">shop’ </w:t>
      </w:r>
      <w:r w:rsidR="00F06B8E" w:rsidRPr="00EA190F">
        <w:rPr>
          <w:color w:val="000000"/>
        </w:rPr>
        <w:t xml:space="preserve">approach </w:t>
      </w:r>
      <w:r w:rsidRPr="00EA190F">
        <w:rPr>
          <w:color w:val="000000"/>
        </w:rPr>
        <w:t>in Leyte Province</w:t>
      </w:r>
      <w:r w:rsidR="00F06B8E" w:rsidRPr="00EA190F">
        <w:rPr>
          <w:color w:val="000000"/>
        </w:rPr>
        <w:t>,</w:t>
      </w:r>
      <w:r w:rsidRPr="00EA190F">
        <w:rPr>
          <w:color w:val="000000"/>
        </w:rPr>
        <w:t xml:space="preserve"> which integrates service delivery agencies and provides streamlined land administration services in</w:t>
      </w:r>
      <w:r w:rsidR="008F6566" w:rsidRPr="00EA190F">
        <w:rPr>
          <w:color w:val="000000"/>
        </w:rPr>
        <w:t xml:space="preserve"> </w:t>
      </w:r>
      <w:r w:rsidRPr="00EA190F">
        <w:rPr>
          <w:color w:val="000000"/>
        </w:rPr>
        <w:t>one office</w:t>
      </w:r>
      <w:r w:rsidR="005E2AB8" w:rsidRPr="00EA190F">
        <w:rPr>
          <w:color w:val="000000"/>
        </w:rPr>
        <w:t>,</w:t>
      </w:r>
      <w:r w:rsidRPr="00EA190F">
        <w:rPr>
          <w:color w:val="000000"/>
        </w:rPr>
        <w:t xml:space="preserve"> enabling the issue of</w:t>
      </w:r>
      <w:r w:rsidR="008F6566" w:rsidRPr="00EA190F">
        <w:rPr>
          <w:color w:val="000000"/>
        </w:rPr>
        <w:t xml:space="preserve"> </w:t>
      </w:r>
      <w:r w:rsidRPr="00EA190F">
        <w:rPr>
          <w:color w:val="000000"/>
        </w:rPr>
        <w:t>almost 3000 land titles during 2007. This approach has increased accessibility and efficiency and has promoted formal land administration services and transactions</w:t>
      </w:r>
      <w:r w:rsidR="008F6566" w:rsidRPr="00EA190F">
        <w:rPr>
          <w:color w:val="000000"/>
        </w:rPr>
        <w:t>—</w:t>
      </w:r>
      <w:r w:rsidRPr="00EA190F">
        <w:rPr>
          <w:color w:val="000000"/>
        </w:rPr>
        <w:t xml:space="preserve">working toward a more functional land market where all land transactions are formally registered and land ownership is protected. </w:t>
      </w:r>
    </w:p>
    <w:p w:rsidR="00CB1CDA" w:rsidRPr="00EA190F" w:rsidRDefault="00CB1CDA" w:rsidP="00F67D52">
      <w:pPr>
        <w:pStyle w:val="BodyText"/>
        <w:rPr>
          <w:color w:val="000000"/>
          <w:spacing w:val="-2"/>
        </w:rPr>
      </w:pPr>
      <w:r w:rsidRPr="00EA190F">
        <w:rPr>
          <w:color w:val="000000"/>
          <w:spacing w:val="-2"/>
        </w:rPr>
        <w:t>Community</w:t>
      </w:r>
      <w:r w:rsidR="00F31B0A" w:rsidRPr="00EA190F">
        <w:rPr>
          <w:color w:val="000000"/>
          <w:spacing w:val="-2"/>
        </w:rPr>
        <w:t>-</w:t>
      </w:r>
      <w:r w:rsidRPr="00EA190F">
        <w:rPr>
          <w:color w:val="000000"/>
          <w:spacing w:val="-2"/>
        </w:rPr>
        <w:t xml:space="preserve">driven development interventions </w:t>
      </w:r>
      <w:r w:rsidRPr="00EA190F">
        <w:rPr>
          <w:color w:val="000000"/>
        </w:rPr>
        <w:t>through the Philippines</w:t>
      </w:r>
      <w:r w:rsidR="00FD510A" w:rsidRPr="00EA190F">
        <w:rPr>
          <w:color w:val="000000"/>
        </w:rPr>
        <w:t>–</w:t>
      </w:r>
      <w:r w:rsidRPr="00EA190F">
        <w:rPr>
          <w:color w:val="000000"/>
        </w:rPr>
        <w:t xml:space="preserve">Australia Community Assistance Program (PACAP) </w:t>
      </w:r>
      <w:r w:rsidRPr="00EA190F">
        <w:rPr>
          <w:color w:val="000000"/>
          <w:spacing w:val="-2"/>
        </w:rPr>
        <w:t>have been assessed</w:t>
      </w:r>
      <w:r w:rsidRPr="00EA190F">
        <w:rPr>
          <w:rStyle w:val="FootnoteReference"/>
          <w:rFonts w:cs="Arial"/>
          <w:color w:val="000000"/>
          <w:spacing w:val="-2"/>
        </w:rPr>
        <w:footnoteReference w:id="2"/>
      </w:r>
      <w:r w:rsidRPr="00EA190F">
        <w:rPr>
          <w:color w:val="000000"/>
          <w:spacing w:val="-2"/>
        </w:rPr>
        <w:t xml:space="preserve"> to strengthen capacity for research and technical assistance for the agricultur</w:t>
      </w:r>
      <w:r w:rsidR="00F31B0A" w:rsidRPr="00EA190F">
        <w:rPr>
          <w:color w:val="000000"/>
          <w:spacing w:val="-2"/>
        </w:rPr>
        <w:t>al</w:t>
      </w:r>
      <w:r w:rsidRPr="00EA190F">
        <w:rPr>
          <w:color w:val="000000"/>
          <w:spacing w:val="-2"/>
        </w:rPr>
        <w:t xml:space="preserve"> sector and ha</w:t>
      </w:r>
      <w:r w:rsidR="00A12F87" w:rsidRPr="00EA190F">
        <w:rPr>
          <w:color w:val="000000"/>
          <w:spacing w:val="-2"/>
        </w:rPr>
        <w:t>ve</w:t>
      </w:r>
      <w:r w:rsidRPr="00EA190F">
        <w:rPr>
          <w:color w:val="000000"/>
          <w:spacing w:val="-2"/>
        </w:rPr>
        <w:t xml:space="preserve"> resulted in improved </w:t>
      </w:r>
      <w:r w:rsidR="00F31B0A" w:rsidRPr="00EA190F">
        <w:rPr>
          <w:color w:val="000000"/>
          <w:spacing w:val="-2"/>
        </w:rPr>
        <w:t xml:space="preserve">incomes for </w:t>
      </w:r>
      <w:r w:rsidRPr="00EA190F">
        <w:rPr>
          <w:color w:val="000000"/>
          <w:spacing w:val="-2"/>
        </w:rPr>
        <w:t>household</w:t>
      </w:r>
      <w:r w:rsidR="00F31B0A" w:rsidRPr="00EA190F">
        <w:rPr>
          <w:color w:val="000000"/>
          <w:spacing w:val="-2"/>
        </w:rPr>
        <w:t>s</w:t>
      </w:r>
      <w:r w:rsidRPr="00EA190F">
        <w:rPr>
          <w:color w:val="000000"/>
          <w:spacing w:val="-2"/>
        </w:rPr>
        <w:t xml:space="preserve"> and small enterprises. Evidence of this is demonstrated by </w:t>
      </w:r>
      <w:r w:rsidR="005E2AB8" w:rsidRPr="00EA190F">
        <w:rPr>
          <w:color w:val="000000"/>
          <w:spacing w:val="-2"/>
        </w:rPr>
        <w:t xml:space="preserve">the </w:t>
      </w:r>
      <w:r w:rsidRPr="00EA190F">
        <w:rPr>
          <w:color w:val="000000"/>
          <w:spacing w:val="-2"/>
        </w:rPr>
        <w:lastRenderedPageBreak/>
        <w:t>average income increase of 11</w:t>
      </w:r>
      <w:r w:rsidR="00F31B0A" w:rsidRPr="00EA190F">
        <w:rPr>
          <w:color w:val="000000"/>
          <w:spacing w:val="-2"/>
        </w:rPr>
        <w:t> </w:t>
      </w:r>
      <w:r w:rsidRPr="00EA190F">
        <w:rPr>
          <w:color w:val="000000"/>
          <w:spacing w:val="-2"/>
        </w:rPr>
        <w:t xml:space="preserve">464 </w:t>
      </w:r>
      <w:r w:rsidR="0085043F" w:rsidRPr="00EA190F">
        <w:rPr>
          <w:color w:val="000000"/>
          <w:spacing w:val="-2"/>
        </w:rPr>
        <w:t xml:space="preserve">pesos </w:t>
      </w:r>
      <w:r w:rsidRPr="00EA190F">
        <w:rPr>
          <w:color w:val="000000"/>
          <w:spacing w:val="-2"/>
        </w:rPr>
        <w:t>to 24</w:t>
      </w:r>
      <w:r w:rsidR="00F31B0A" w:rsidRPr="00EA190F">
        <w:rPr>
          <w:color w:val="000000"/>
          <w:spacing w:val="-2"/>
        </w:rPr>
        <w:t> </w:t>
      </w:r>
      <w:r w:rsidRPr="00EA190F">
        <w:rPr>
          <w:color w:val="000000"/>
          <w:spacing w:val="-2"/>
        </w:rPr>
        <w:t xml:space="preserve">707 </w:t>
      </w:r>
      <w:r w:rsidR="005E2AB8" w:rsidRPr="00EA190F">
        <w:rPr>
          <w:color w:val="000000"/>
          <w:spacing w:val="-2"/>
        </w:rPr>
        <w:t xml:space="preserve">pesos </w:t>
      </w:r>
      <w:r w:rsidR="00F31B0A" w:rsidRPr="00EA190F">
        <w:rPr>
          <w:color w:val="000000"/>
          <w:spacing w:val="-2"/>
        </w:rPr>
        <w:t xml:space="preserve">a </w:t>
      </w:r>
      <w:r w:rsidRPr="00EA190F">
        <w:rPr>
          <w:color w:val="000000"/>
          <w:spacing w:val="-2"/>
        </w:rPr>
        <w:t>month through support to agricultural production</w:t>
      </w:r>
      <w:r w:rsidR="009425B6" w:rsidRPr="00EA190F">
        <w:rPr>
          <w:color w:val="000000"/>
          <w:spacing w:val="-2"/>
        </w:rPr>
        <w:t>,</w:t>
      </w:r>
      <w:r w:rsidRPr="00EA190F">
        <w:rPr>
          <w:color w:val="000000"/>
          <w:spacing w:val="-2"/>
        </w:rPr>
        <w:t xml:space="preserve"> increas</w:t>
      </w:r>
      <w:r w:rsidR="009425B6" w:rsidRPr="00EA190F">
        <w:rPr>
          <w:color w:val="000000"/>
          <w:spacing w:val="-2"/>
        </w:rPr>
        <w:t>es in</w:t>
      </w:r>
      <w:r w:rsidRPr="00EA190F">
        <w:rPr>
          <w:color w:val="000000"/>
          <w:spacing w:val="-2"/>
        </w:rPr>
        <w:t xml:space="preserve"> average enterprise income of 8367 </w:t>
      </w:r>
      <w:r w:rsidR="005E2AB8" w:rsidRPr="00EA190F">
        <w:rPr>
          <w:color w:val="000000"/>
          <w:spacing w:val="-2"/>
        </w:rPr>
        <w:t xml:space="preserve">pesos </w:t>
      </w:r>
      <w:r w:rsidR="00F31B0A" w:rsidRPr="00EA190F">
        <w:rPr>
          <w:color w:val="000000"/>
          <w:spacing w:val="-2"/>
        </w:rPr>
        <w:t xml:space="preserve">a </w:t>
      </w:r>
      <w:r w:rsidRPr="00EA190F">
        <w:rPr>
          <w:color w:val="000000"/>
          <w:spacing w:val="-2"/>
        </w:rPr>
        <w:t>month through support to small enterprise development</w:t>
      </w:r>
      <w:r w:rsidR="009425B6" w:rsidRPr="00EA190F">
        <w:rPr>
          <w:color w:val="000000"/>
          <w:spacing w:val="-2"/>
        </w:rPr>
        <w:t>,</w:t>
      </w:r>
      <w:r w:rsidRPr="00EA190F">
        <w:rPr>
          <w:color w:val="000000"/>
          <w:spacing w:val="-2"/>
        </w:rPr>
        <w:t xml:space="preserve"> and 6</w:t>
      </w:r>
      <w:r w:rsidR="005E2AB8" w:rsidRPr="00EA190F">
        <w:rPr>
          <w:color w:val="000000"/>
          <w:spacing w:val="-2"/>
        </w:rPr>
        <w:t>5</w:t>
      </w:r>
      <w:r w:rsidR="008F6566" w:rsidRPr="00EA190F">
        <w:rPr>
          <w:color w:val="000000"/>
          <w:spacing w:val="-2"/>
        </w:rPr>
        <w:t> per cent</w:t>
      </w:r>
      <w:r w:rsidRPr="00EA190F">
        <w:rPr>
          <w:color w:val="000000"/>
          <w:spacing w:val="-2"/>
        </w:rPr>
        <w:t xml:space="preserve"> of enterprise development projects leading to </w:t>
      </w:r>
      <w:r w:rsidR="005E2AB8" w:rsidRPr="00EA190F">
        <w:rPr>
          <w:color w:val="000000"/>
          <w:spacing w:val="-2"/>
        </w:rPr>
        <w:t xml:space="preserve">the </w:t>
      </w:r>
      <w:r w:rsidRPr="00EA190F">
        <w:rPr>
          <w:color w:val="000000"/>
          <w:spacing w:val="-2"/>
        </w:rPr>
        <w:t>development and marketing of new products</w:t>
      </w:r>
      <w:r w:rsidR="009425B6" w:rsidRPr="00EA190F">
        <w:rPr>
          <w:color w:val="000000"/>
          <w:spacing w:val="-2"/>
        </w:rPr>
        <w:t>.</w:t>
      </w:r>
      <w:r w:rsidRPr="00EA190F">
        <w:rPr>
          <w:rStyle w:val="FootnoteReference"/>
          <w:color w:val="000000"/>
          <w:spacing w:val="-2"/>
        </w:rPr>
        <w:footnoteReference w:id="3"/>
      </w:r>
    </w:p>
    <w:p w:rsidR="00CB1CDA" w:rsidRPr="00EA190F" w:rsidRDefault="00CB1CDA" w:rsidP="00F67D52">
      <w:pPr>
        <w:pStyle w:val="BodyText"/>
        <w:rPr>
          <w:color w:val="000000"/>
        </w:rPr>
      </w:pPr>
      <w:r w:rsidRPr="00EA190F">
        <w:rPr>
          <w:color w:val="000000"/>
        </w:rPr>
        <w:t>In addition to the economic benefits, PACAP promotes gender equality and empowerment of women through projects that deal with violence against women and children, gender-fair governance at the LGU level, economic empowerment of women, and the role of women in environmental protection and conservation. The recent PACAP performance report acknowledged the inclusive nature of the program</w:t>
      </w:r>
      <w:r w:rsidR="000D01EC" w:rsidRPr="00EA190F">
        <w:rPr>
          <w:color w:val="000000"/>
        </w:rPr>
        <w:t>,</w:t>
      </w:r>
      <w:r w:rsidRPr="00EA190F">
        <w:rPr>
          <w:color w:val="000000"/>
        </w:rPr>
        <w:t xml:space="preserve"> with almost 63</w:t>
      </w:r>
      <w:r w:rsidR="008F6566" w:rsidRPr="00EA190F">
        <w:rPr>
          <w:color w:val="000000"/>
        </w:rPr>
        <w:t> per cent</w:t>
      </w:r>
      <w:r w:rsidRPr="00EA190F">
        <w:rPr>
          <w:color w:val="000000"/>
        </w:rPr>
        <w:t xml:space="preserve"> of PACAP beneficiaries being women, and one in ten activities ‘exclusively benefiting women’. </w:t>
      </w:r>
      <w:r w:rsidR="000D01EC" w:rsidRPr="00EA190F">
        <w:rPr>
          <w:color w:val="000000"/>
        </w:rPr>
        <w:t xml:space="preserve">Almost </w:t>
      </w:r>
      <w:r w:rsidRPr="00EA190F">
        <w:rPr>
          <w:color w:val="000000"/>
        </w:rPr>
        <w:t xml:space="preserve">three-quarters </w:t>
      </w:r>
      <w:r w:rsidR="000D01EC" w:rsidRPr="00EA190F">
        <w:rPr>
          <w:color w:val="000000"/>
        </w:rPr>
        <w:t xml:space="preserve">of activities </w:t>
      </w:r>
      <w:r w:rsidRPr="00EA190F">
        <w:rPr>
          <w:color w:val="000000"/>
        </w:rPr>
        <w:t xml:space="preserve">have made a contribution to </w:t>
      </w:r>
      <w:r w:rsidR="000D01EC" w:rsidRPr="00EA190F">
        <w:rPr>
          <w:color w:val="000000"/>
        </w:rPr>
        <w:t>Millennium Development Goal 3—</w:t>
      </w:r>
      <w:r w:rsidR="00B51872" w:rsidRPr="00EA190F">
        <w:rPr>
          <w:color w:val="000000"/>
        </w:rPr>
        <w:t>promote gender equality and empowe</w:t>
      </w:r>
      <w:r w:rsidR="00555CF1" w:rsidRPr="00EA190F">
        <w:rPr>
          <w:color w:val="000000"/>
        </w:rPr>
        <w:t>r women</w:t>
      </w:r>
      <w:r w:rsidRPr="00EA190F">
        <w:rPr>
          <w:color w:val="000000"/>
        </w:rPr>
        <w:t xml:space="preserve">. </w:t>
      </w:r>
    </w:p>
    <w:p w:rsidR="00CB1CDA" w:rsidRPr="00EA190F" w:rsidRDefault="00CB1CDA" w:rsidP="00F67D52">
      <w:pPr>
        <w:pStyle w:val="BodyText"/>
        <w:rPr>
          <w:color w:val="000000"/>
        </w:rPr>
      </w:pPr>
      <w:r w:rsidRPr="00EA190F">
        <w:rPr>
          <w:color w:val="000000"/>
        </w:rPr>
        <w:t xml:space="preserve">Progress through the PALS program based in the southern province of </w:t>
      </w:r>
      <w:proofErr w:type="spellStart"/>
      <w:r w:rsidRPr="00EA190F">
        <w:rPr>
          <w:color w:val="000000"/>
        </w:rPr>
        <w:t>Misamis</w:t>
      </w:r>
      <w:proofErr w:type="spellEnd"/>
      <w:r w:rsidRPr="00EA190F">
        <w:rPr>
          <w:color w:val="000000"/>
        </w:rPr>
        <w:t xml:space="preserve"> Occidental has increased planning capacity in local government</w:t>
      </w:r>
      <w:r w:rsidR="000D01EC" w:rsidRPr="00EA190F">
        <w:rPr>
          <w:color w:val="000000"/>
        </w:rPr>
        <w:t>,</w:t>
      </w:r>
      <w:r w:rsidRPr="00EA190F">
        <w:rPr>
          <w:color w:val="000000"/>
        </w:rPr>
        <w:t xml:space="preserve"> resulting in 93</w:t>
      </w:r>
      <w:r w:rsidR="008F6566" w:rsidRPr="00EA190F">
        <w:rPr>
          <w:color w:val="000000"/>
        </w:rPr>
        <w:t> per cent</w:t>
      </w:r>
      <w:r w:rsidRPr="00EA190F">
        <w:rPr>
          <w:color w:val="000000"/>
        </w:rPr>
        <w:t xml:space="preserve"> of </w:t>
      </w:r>
      <w:r w:rsidR="000D01EC" w:rsidRPr="00EA190F">
        <w:rPr>
          <w:color w:val="000000"/>
        </w:rPr>
        <w:t>village</w:t>
      </w:r>
      <w:r w:rsidRPr="00EA190F">
        <w:rPr>
          <w:color w:val="000000"/>
        </w:rPr>
        <w:t xml:space="preserve"> (</w:t>
      </w:r>
      <w:r w:rsidR="000D01EC" w:rsidRPr="00EA190F">
        <w:rPr>
          <w:color w:val="000000"/>
        </w:rPr>
        <w:t>Barangay</w:t>
      </w:r>
      <w:r w:rsidRPr="00EA190F">
        <w:rPr>
          <w:color w:val="000000"/>
        </w:rPr>
        <w:t>) projects and 63</w:t>
      </w:r>
      <w:r w:rsidR="008F6566" w:rsidRPr="00EA190F">
        <w:rPr>
          <w:color w:val="000000"/>
        </w:rPr>
        <w:t> per cent</w:t>
      </w:r>
      <w:r w:rsidRPr="00EA190F">
        <w:rPr>
          <w:color w:val="000000"/>
        </w:rPr>
        <w:t xml:space="preserve"> of </w:t>
      </w:r>
      <w:r w:rsidR="000D64CE" w:rsidRPr="00EA190F">
        <w:rPr>
          <w:color w:val="000000"/>
        </w:rPr>
        <w:t xml:space="preserve">development projects at the municipal </w:t>
      </w:r>
      <w:r w:rsidRPr="00EA190F">
        <w:rPr>
          <w:color w:val="000000"/>
        </w:rPr>
        <w:t>level receiving funding from the I</w:t>
      </w:r>
      <w:r w:rsidR="00E0619D" w:rsidRPr="00EA190F">
        <w:rPr>
          <w:color w:val="000000"/>
        </w:rPr>
        <w:t xml:space="preserve">nternal </w:t>
      </w:r>
      <w:r w:rsidRPr="00EA190F">
        <w:rPr>
          <w:color w:val="000000"/>
        </w:rPr>
        <w:t>R</w:t>
      </w:r>
      <w:r w:rsidR="00E0619D" w:rsidRPr="00EA190F">
        <w:rPr>
          <w:color w:val="000000"/>
        </w:rPr>
        <w:t xml:space="preserve">evenue </w:t>
      </w:r>
      <w:r w:rsidRPr="00EA190F">
        <w:rPr>
          <w:color w:val="000000"/>
        </w:rPr>
        <w:t>A</w:t>
      </w:r>
      <w:r w:rsidR="00E0619D" w:rsidRPr="00EA190F">
        <w:rPr>
          <w:color w:val="000000"/>
        </w:rPr>
        <w:t>llotment</w:t>
      </w:r>
      <w:r w:rsidRPr="00EA190F">
        <w:rPr>
          <w:color w:val="000000"/>
        </w:rPr>
        <w:t xml:space="preserve"> and external donor sources</w:t>
      </w:r>
      <w:r w:rsidR="000D64CE" w:rsidRPr="00EA190F">
        <w:rPr>
          <w:color w:val="000000"/>
        </w:rPr>
        <w:t>,</w:t>
      </w:r>
      <w:r w:rsidRPr="00EA190F">
        <w:rPr>
          <w:color w:val="000000"/>
        </w:rPr>
        <w:t xml:space="preserve"> and over 100 small</w:t>
      </w:r>
      <w:r w:rsidR="000D64CE" w:rsidRPr="00EA190F">
        <w:rPr>
          <w:color w:val="000000"/>
        </w:rPr>
        <w:t>-</w:t>
      </w:r>
      <w:r w:rsidRPr="00EA190F">
        <w:rPr>
          <w:color w:val="000000"/>
        </w:rPr>
        <w:t>scale infrastructure projects being funded and implemented to benefit 16</w:t>
      </w:r>
      <w:r w:rsidR="000D64CE" w:rsidRPr="00EA190F">
        <w:rPr>
          <w:color w:val="000000"/>
        </w:rPr>
        <w:t> </w:t>
      </w:r>
      <w:r w:rsidRPr="00EA190F">
        <w:rPr>
          <w:color w:val="000000"/>
        </w:rPr>
        <w:t>000 households. This shows that</w:t>
      </w:r>
      <w:r w:rsidR="000D64CE" w:rsidRPr="00EA190F">
        <w:rPr>
          <w:color w:val="000000"/>
        </w:rPr>
        <w:t>,</w:t>
      </w:r>
      <w:r w:rsidRPr="00EA190F">
        <w:rPr>
          <w:color w:val="000000"/>
        </w:rPr>
        <w:t xml:space="preserve"> with effective planning, LGUs are able to access development revenues. Through the PALS program, m</w:t>
      </w:r>
      <w:r w:rsidRPr="00EA190F">
        <w:rPr>
          <w:rFonts w:cs="Arial"/>
          <w:color w:val="000000"/>
        </w:rPr>
        <w:t>ore than 3000 women have increased their overall income through livelihood support, and evaluation results show that these women spent the additional income on sending children to school, improving their houses, and providing sufficient food for the family.</w:t>
      </w:r>
      <w:r w:rsidRPr="00EA190F">
        <w:rPr>
          <w:color w:val="000000"/>
        </w:rPr>
        <w:t xml:space="preserve"> Similarly, work targeting planning capacity and partnerships between local governments through the Local Government Development Program has been ‘successful in implementing a demand driven, decentralised initiative that was well-appreciated by program partners and stakeholders’.</w:t>
      </w:r>
      <w:r w:rsidRPr="00EA190F">
        <w:rPr>
          <w:rStyle w:val="FootnoteReference"/>
          <w:color w:val="000000"/>
        </w:rPr>
        <w:footnoteReference w:id="4"/>
      </w:r>
      <w:r w:rsidRPr="00EA190F">
        <w:rPr>
          <w:color w:val="000000"/>
        </w:rPr>
        <w:t xml:space="preserve"> The program, despite its short term (15</w:t>
      </w:r>
      <w:r w:rsidR="000D64CE" w:rsidRPr="00EA190F">
        <w:rPr>
          <w:color w:val="000000"/>
        </w:rPr>
        <w:t> </w:t>
      </w:r>
      <w:r w:rsidRPr="00EA190F">
        <w:rPr>
          <w:color w:val="000000"/>
        </w:rPr>
        <w:t>months), achieved planning instruments including an integrated master plan for water</w:t>
      </w:r>
      <w:r w:rsidR="00EF21D7" w:rsidRPr="00EA190F">
        <w:rPr>
          <w:color w:val="000000"/>
        </w:rPr>
        <w:t>,</w:t>
      </w:r>
      <w:r w:rsidRPr="00EA190F">
        <w:rPr>
          <w:color w:val="000000"/>
        </w:rPr>
        <w:t xml:space="preserve"> an agricultural value chain study for </w:t>
      </w:r>
      <w:smartTag w:uri="urn:schemas-microsoft-com:office:smarttags" w:element="PlaceName">
        <w:r w:rsidRPr="00EA190F">
          <w:rPr>
            <w:color w:val="000000"/>
          </w:rPr>
          <w:t>Bohol</w:t>
        </w:r>
      </w:smartTag>
      <w:r w:rsidRPr="00EA190F">
        <w:rPr>
          <w:color w:val="000000"/>
        </w:rPr>
        <w:t xml:space="preserve"> </w:t>
      </w:r>
      <w:smartTag w:uri="urn:schemas-microsoft-com:office:smarttags" w:element="PlaceType">
        <w:r w:rsidRPr="00EA190F">
          <w:rPr>
            <w:color w:val="000000"/>
          </w:rPr>
          <w:t>Province</w:t>
        </w:r>
      </w:smartTag>
      <w:r w:rsidRPr="00EA190F">
        <w:rPr>
          <w:color w:val="000000"/>
        </w:rPr>
        <w:t xml:space="preserve"> and an integrated urban infrastructure plan for the surrounding towns and city of </w:t>
      </w:r>
      <w:smartTag w:uri="urn:schemas-microsoft-com:office:smarttags" w:element="City">
        <w:r w:rsidRPr="00EA190F">
          <w:rPr>
            <w:color w:val="000000"/>
          </w:rPr>
          <w:t>Metro Iloilo</w:t>
        </w:r>
      </w:smartTag>
      <w:r w:rsidRPr="00EA190F">
        <w:rPr>
          <w:color w:val="000000"/>
        </w:rPr>
        <w:t xml:space="preserve"> and </w:t>
      </w:r>
      <w:proofErr w:type="spellStart"/>
      <w:smartTag w:uri="urn:schemas-microsoft-com:office:smarttags" w:element="PlaceName">
        <w:smartTag w:uri="urn:schemas-microsoft-com:office:smarttags" w:element="place">
          <w:r w:rsidRPr="00EA190F">
            <w:rPr>
              <w:color w:val="000000"/>
            </w:rPr>
            <w:t>Guimaras</w:t>
          </w:r>
        </w:smartTag>
        <w:proofErr w:type="spellEnd"/>
        <w:r w:rsidRPr="00EA190F">
          <w:rPr>
            <w:color w:val="000000"/>
          </w:rPr>
          <w:t xml:space="preserve"> </w:t>
        </w:r>
        <w:smartTag w:uri="urn:schemas-microsoft-com:office:smarttags" w:element="PlaceType">
          <w:r w:rsidRPr="00EA190F">
            <w:rPr>
              <w:color w:val="000000"/>
            </w:rPr>
            <w:t>Province</w:t>
          </w:r>
        </w:smartTag>
      </w:smartTag>
      <w:r w:rsidRPr="00EA190F">
        <w:rPr>
          <w:color w:val="000000"/>
        </w:rPr>
        <w:t>.</w:t>
      </w:r>
    </w:p>
    <w:p w:rsidR="00F67D52" w:rsidRPr="00EA190F" w:rsidRDefault="00CB1CDA" w:rsidP="00F67D52">
      <w:pPr>
        <w:pStyle w:val="Heading4"/>
        <w:rPr>
          <w:color w:val="000000"/>
        </w:rPr>
      </w:pPr>
      <w:r w:rsidRPr="00EA190F">
        <w:rPr>
          <w:color w:val="000000"/>
        </w:rPr>
        <w:t>Key factors</w:t>
      </w:r>
      <w:r w:rsidR="008F6566" w:rsidRPr="00EA190F">
        <w:rPr>
          <w:color w:val="000000"/>
        </w:rPr>
        <w:t xml:space="preserve"> </w:t>
      </w:r>
      <w:r w:rsidR="00F67D52" w:rsidRPr="00EA190F">
        <w:rPr>
          <w:color w:val="000000"/>
        </w:rPr>
        <w:t>contributing</w:t>
      </w:r>
    </w:p>
    <w:p w:rsidR="00CB1CDA" w:rsidRPr="00EA190F" w:rsidRDefault="00CB1CDA" w:rsidP="00F67D52">
      <w:pPr>
        <w:pStyle w:val="BodyText"/>
        <w:rPr>
          <w:color w:val="000000"/>
        </w:rPr>
      </w:pPr>
      <w:r w:rsidRPr="00EA190F">
        <w:rPr>
          <w:color w:val="000000"/>
        </w:rPr>
        <w:t>Current projects now reflect the new country strategy and valuable lessons on partnerships</w:t>
      </w:r>
      <w:r w:rsidR="000D64CE" w:rsidRPr="00EA190F">
        <w:rPr>
          <w:color w:val="000000"/>
        </w:rPr>
        <w:t>,</w:t>
      </w:r>
      <w:r w:rsidRPr="00EA190F">
        <w:rPr>
          <w:color w:val="000000"/>
        </w:rPr>
        <w:t xml:space="preserve"> and shared service arrangements between local governments are captured in studies from the </w:t>
      </w:r>
      <w:r w:rsidR="000D64CE" w:rsidRPr="00EA190F">
        <w:rPr>
          <w:color w:val="000000"/>
        </w:rPr>
        <w:t>Local Government Development Program</w:t>
      </w:r>
      <w:r w:rsidRPr="00EA190F">
        <w:rPr>
          <w:color w:val="000000"/>
        </w:rPr>
        <w:t>.</w:t>
      </w:r>
    </w:p>
    <w:p w:rsidR="00F67D52" w:rsidRPr="00EA190F" w:rsidRDefault="00CB1CDA" w:rsidP="00F67D52">
      <w:pPr>
        <w:pStyle w:val="Heading4"/>
        <w:rPr>
          <w:color w:val="000000"/>
        </w:rPr>
      </w:pPr>
      <w:r w:rsidRPr="00EA190F">
        <w:rPr>
          <w:color w:val="000000"/>
        </w:rPr>
        <w:lastRenderedPageBreak/>
        <w:t>Key factors</w:t>
      </w:r>
      <w:r w:rsidR="008F6566" w:rsidRPr="00EA190F">
        <w:rPr>
          <w:color w:val="000000"/>
        </w:rPr>
        <w:t xml:space="preserve"> </w:t>
      </w:r>
      <w:r w:rsidR="00F67D52" w:rsidRPr="00EA190F">
        <w:rPr>
          <w:color w:val="000000"/>
        </w:rPr>
        <w:t>hindering</w:t>
      </w:r>
    </w:p>
    <w:p w:rsidR="00CB1CDA" w:rsidRPr="00EA190F" w:rsidRDefault="00CB1CDA" w:rsidP="00FD510A">
      <w:pPr>
        <w:pStyle w:val="BodyText"/>
        <w:keepLines/>
        <w:rPr>
          <w:color w:val="000000"/>
        </w:rPr>
      </w:pPr>
      <w:r w:rsidRPr="00EA190F">
        <w:rPr>
          <w:color w:val="000000"/>
        </w:rPr>
        <w:t xml:space="preserve">The new country strategy required significant resources </w:t>
      </w:r>
      <w:r w:rsidR="000D64CE" w:rsidRPr="00EA190F">
        <w:rPr>
          <w:color w:val="000000"/>
        </w:rPr>
        <w:t xml:space="preserve">to be </w:t>
      </w:r>
      <w:r w:rsidRPr="00EA190F">
        <w:rPr>
          <w:color w:val="000000"/>
        </w:rPr>
        <w:t xml:space="preserve">directed to </w:t>
      </w:r>
      <w:r w:rsidR="00EF21D7" w:rsidRPr="00EA190F">
        <w:rPr>
          <w:color w:val="000000"/>
        </w:rPr>
        <w:t xml:space="preserve">the </w:t>
      </w:r>
      <w:r w:rsidR="00C476D9" w:rsidRPr="00EA190F">
        <w:rPr>
          <w:color w:val="000000"/>
        </w:rPr>
        <w:t>transition of </w:t>
      </w:r>
      <w:r w:rsidRPr="00EA190F">
        <w:rPr>
          <w:color w:val="000000"/>
        </w:rPr>
        <w:t xml:space="preserve">legacy initiatives. Preparation for the new rural sector strategy is being further complicated by uncertain policy directions of the </w:t>
      </w:r>
      <w:r w:rsidR="000D64CE" w:rsidRPr="00EA190F">
        <w:rPr>
          <w:color w:val="000000"/>
        </w:rPr>
        <w:t>Government</w:t>
      </w:r>
      <w:r w:rsidR="00AE79C6" w:rsidRPr="00EA190F">
        <w:rPr>
          <w:color w:val="000000"/>
        </w:rPr>
        <w:t xml:space="preserve"> of the </w:t>
      </w:r>
      <w:smartTag w:uri="urn:schemas-microsoft-com:office:smarttags" w:element="country-region">
        <w:smartTag w:uri="urn:schemas-microsoft-com:office:smarttags" w:element="place">
          <w:r w:rsidR="00AE79C6" w:rsidRPr="00EA190F">
            <w:rPr>
              <w:color w:val="000000"/>
            </w:rPr>
            <w:t>Philippines</w:t>
          </w:r>
        </w:smartTag>
      </w:smartTag>
      <w:r w:rsidR="00AE79C6" w:rsidRPr="00EA190F">
        <w:rPr>
          <w:color w:val="000000"/>
        </w:rPr>
        <w:t xml:space="preserve"> </w:t>
      </w:r>
      <w:r w:rsidRPr="00EA190F">
        <w:rPr>
          <w:color w:val="000000"/>
        </w:rPr>
        <w:t>regarding agricultural policy and other pro-poor measures in</w:t>
      </w:r>
      <w:r w:rsidR="000D64CE" w:rsidRPr="00EA190F">
        <w:rPr>
          <w:color w:val="000000"/>
        </w:rPr>
        <w:t xml:space="preserve"> the</w:t>
      </w:r>
      <w:r w:rsidRPr="00EA190F">
        <w:rPr>
          <w:color w:val="000000"/>
        </w:rPr>
        <w:t xml:space="preserve"> light of current food security concerns.</w:t>
      </w:r>
      <w:r w:rsidR="008F6566" w:rsidRPr="00EA190F">
        <w:rPr>
          <w:color w:val="000000"/>
        </w:rPr>
        <w:t xml:space="preserve"> </w:t>
      </w:r>
      <w:r w:rsidRPr="00EA190F">
        <w:rPr>
          <w:color w:val="000000"/>
        </w:rPr>
        <w:t>Resolving property rights, land admini</w:t>
      </w:r>
      <w:r w:rsidR="00C476D9" w:rsidRPr="00EA190F">
        <w:rPr>
          <w:color w:val="000000"/>
        </w:rPr>
        <w:t>stration and performance of the </w:t>
      </w:r>
      <w:r w:rsidR="00F31B0A" w:rsidRPr="00EA190F">
        <w:rPr>
          <w:color w:val="000000"/>
        </w:rPr>
        <w:t>agricultural sector</w:t>
      </w:r>
      <w:r w:rsidRPr="00EA190F">
        <w:rPr>
          <w:color w:val="000000"/>
        </w:rPr>
        <w:t xml:space="preserve"> remain among the most challenging issues for all donors.</w:t>
      </w:r>
      <w:r w:rsidR="008F6566" w:rsidRPr="00EA190F">
        <w:rPr>
          <w:color w:val="000000"/>
        </w:rPr>
        <w:t xml:space="preserve"> </w:t>
      </w:r>
    </w:p>
    <w:p w:rsidR="00CB1CDA" w:rsidRPr="00EA190F" w:rsidRDefault="00CB1CDA" w:rsidP="00F67D52">
      <w:pPr>
        <w:pStyle w:val="Heading2nonumber"/>
        <w:rPr>
          <w:color w:val="000000"/>
        </w:rPr>
      </w:pPr>
      <w:bookmarkStart w:id="44" w:name="_Toc360805259"/>
      <w:r w:rsidRPr="00EA190F">
        <w:rPr>
          <w:color w:val="000000"/>
        </w:rPr>
        <w:t>Objective</w:t>
      </w:r>
      <w:proofErr w:type="gramStart"/>
      <w:r w:rsidRPr="00EA190F">
        <w:rPr>
          <w:color w:val="000000"/>
        </w:rPr>
        <w:t>:</w:t>
      </w:r>
      <w:proofErr w:type="gramEnd"/>
      <w:r w:rsidR="00F67D52" w:rsidRPr="00EA190F">
        <w:rPr>
          <w:color w:val="000000"/>
        </w:rPr>
        <w:br/>
      </w:r>
      <w:r w:rsidRPr="00EA190F">
        <w:rPr>
          <w:color w:val="000000"/>
        </w:rPr>
        <w:t xml:space="preserve">The Department of Education </w:t>
      </w:r>
      <w:r w:rsidR="00EF21D7" w:rsidRPr="00EA190F">
        <w:rPr>
          <w:color w:val="000000"/>
        </w:rPr>
        <w:t xml:space="preserve">is </w:t>
      </w:r>
      <w:r w:rsidRPr="00EA190F">
        <w:rPr>
          <w:color w:val="000000"/>
        </w:rPr>
        <w:t xml:space="preserve">better able to manage its resources to </w:t>
      </w:r>
      <w:smartTag w:uri="urn:schemas-microsoft-com:office:smarttags" w:element="PlaceName">
        <w:smartTag w:uri="urn:schemas-microsoft-com:office:smarttags" w:element="place">
          <w:r w:rsidRPr="00EA190F">
            <w:rPr>
              <w:color w:val="000000"/>
            </w:rPr>
            <w:t>support</w:t>
          </w:r>
        </w:smartTag>
        <w:r w:rsidRPr="00EA190F">
          <w:rPr>
            <w:color w:val="000000"/>
          </w:rPr>
          <w:t xml:space="preserve"> </w:t>
        </w:r>
        <w:smartTag w:uri="urn:schemas-microsoft-com:office:smarttags" w:element="PlaceType">
          <w:r w:rsidRPr="00EA190F">
            <w:rPr>
              <w:color w:val="000000"/>
            </w:rPr>
            <w:t>schools</w:t>
          </w:r>
        </w:smartTag>
      </w:smartTag>
      <w:r w:rsidRPr="00EA190F">
        <w:rPr>
          <w:color w:val="000000"/>
        </w:rPr>
        <w:t xml:space="preserve"> and teachers</w:t>
      </w:r>
      <w:bookmarkEnd w:id="44"/>
    </w:p>
    <w:p w:rsidR="00CB1CDA" w:rsidRPr="00EA190F" w:rsidRDefault="00F67D52" w:rsidP="00F67D52">
      <w:pPr>
        <w:pStyle w:val="Heading3nonumber"/>
        <w:rPr>
          <w:color w:val="000000"/>
        </w:rPr>
      </w:pPr>
      <w:r w:rsidRPr="00EA190F">
        <w:rPr>
          <w:color w:val="000000"/>
        </w:rPr>
        <w:t>Rating</w:t>
      </w:r>
    </w:p>
    <w:p w:rsidR="00CB1CDA" w:rsidRPr="00EA190F" w:rsidRDefault="00EA190F" w:rsidP="00F67D52">
      <w:pPr>
        <w:pStyle w:val="HighlightBulletGreen"/>
        <w:numPr>
          <w:ilvl w:val="0"/>
          <w:numId w:val="19"/>
        </w:numPr>
        <w:rPr>
          <w:color w:val="000000"/>
        </w:rPr>
      </w:pPr>
      <w:r w:rsidRPr="00EA190F">
        <w:rPr>
          <w:color w:val="000000"/>
        </w:rPr>
        <w:t xml:space="preserve">(green) </w:t>
      </w:r>
      <w:r w:rsidR="00CB1CDA" w:rsidRPr="00EA190F">
        <w:rPr>
          <w:color w:val="000000"/>
        </w:rPr>
        <w:t>The objective is on track to be fully achieved within the timeframe</w:t>
      </w:r>
      <w:r w:rsidR="00EF21D7" w:rsidRPr="00EA190F">
        <w:rPr>
          <w:color w:val="000000"/>
        </w:rPr>
        <w:t>.</w:t>
      </w:r>
    </w:p>
    <w:p w:rsidR="00F67D52" w:rsidRPr="00EA190F" w:rsidRDefault="00F67D52" w:rsidP="00F67D52">
      <w:pPr>
        <w:pStyle w:val="Heading3nonumber"/>
        <w:rPr>
          <w:color w:val="000000"/>
        </w:rPr>
      </w:pPr>
      <w:r w:rsidRPr="00EA190F">
        <w:rPr>
          <w:color w:val="000000"/>
        </w:rPr>
        <w:t xml:space="preserve">Contributing programs </w:t>
      </w:r>
    </w:p>
    <w:p w:rsidR="00F67D52" w:rsidRPr="00EA190F" w:rsidRDefault="00F67D52" w:rsidP="007F2422">
      <w:pPr>
        <w:pStyle w:val="ListBullet"/>
      </w:pPr>
      <w:r w:rsidRPr="00EA190F">
        <w:t xml:space="preserve">Support </w:t>
      </w:r>
      <w:r w:rsidR="00BC7183" w:rsidRPr="00EA190F">
        <w:t xml:space="preserve">for </w:t>
      </w:r>
      <w:smartTag w:uri="urn:schemas-microsoft-com:office:smarttags" w:element="country-region">
        <w:smartTag w:uri="urn:schemas-microsoft-com:office:smarttags" w:element="place">
          <w:r w:rsidRPr="00EA190F">
            <w:t>Philippines</w:t>
          </w:r>
        </w:smartTag>
      </w:smartTag>
      <w:r w:rsidRPr="00EA190F">
        <w:t xml:space="preserve"> Basic Education Reforms (SPHERE Trust Fund)</w:t>
      </w:r>
    </w:p>
    <w:p w:rsidR="00F67D52" w:rsidRPr="00EA190F" w:rsidRDefault="00F67D52" w:rsidP="007F2422">
      <w:pPr>
        <w:pStyle w:val="ListBullet"/>
      </w:pPr>
      <w:r w:rsidRPr="00EA190F">
        <w:t xml:space="preserve">Basic Education Assistance </w:t>
      </w:r>
      <w:r w:rsidR="003C212A" w:rsidRPr="00EA190F">
        <w:t>for</w:t>
      </w:r>
      <w:r w:rsidRPr="00EA190F">
        <w:t xml:space="preserve"> </w:t>
      </w:r>
      <w:smartTag w:uri="urn:schemas-microsoft-com:office:smarttags" w:element="place">
        <w:r w:rsidRPr="00EA190F">
          <w:t>Mindanao</w:t>
        </w:r>
      </w:smartTag>
      <w:r w:rsidRPr="00EA190F">
        <w:t xml:space="preserve"> II (BEAM)</w:t>
      </w:r>
    </w:p>
    <w:p w:rsidR="00F67D52" w:rsidRPr="00EA190F" w:rsidRDefault="00F67D52" w:rsidP="007F2422">
      <w:pPr>
        <w:pStyle w:val="ListBullet"/>
      </w:pPr>
      <w:r w:rsidRPr="00EA190F">
        <w:t xml:space="preserve">Strengthening Implementation of </w:t>
      </w:r>
      <w:proofErr w:type="spellStart"/>
      <w:r w:rsidRPr="00EA190F">
        <w:t>Visayas</w:t>
      </w:r>
      <w:proofErr w:type="spellEnd"/>
      <w:r w:rsidRPr="00EA190F">
        <w:t xml:space="preserve"> Education (STRIVE II)</w:t>
      </w:r>
    </w:p>
    <w:p w:rsidR="00F67D52" w:rsidRPr="00EA190F" w:rsidRDefault="00F67D52" w:rsidP="007F2422">
      <w:pPr>
        <w:pStyle w:val="ListBullet"/>
      </w:pPr>
      <w:r w:rsidRPr="00EA190F">
        <w:t>Performance Incentives.</w:t>
      </w:r>
    </w:p>
    <w:p w:rsidR="00CB1CDA" w:rsidRPr="00EA190F" w:rsidRDefault="00CB1CDA" w:rsidP="00F67D52">
      <w:pPr>
        <w:pStyle w:val="Heading3nonumber"/>
        <w:rPr>
          <w:color w:val="000000"/>
        </w:rPr>
      </w:pPr>
      <w:r w:rsidRPr="00EA190F">
        <w:rPr>
          <w:color w:val="000000"/>
        </w:rPr>
        <w:t>Assessment of results and performance</w:t>
      </w:r>
    </w:p>
    <w:p w:rsidR="00CB1CDA" w:rsidRPr="00EA190F" w:rsidRDefault="00CB1CDA" w:rsidP="00F67D52">
      <w:pPr>
        <w:pStyle w:val="Heading4"/>
        <w:rPr>
          <w:color w:val="000000"/>
        </w:rPr>
      </w:pPr>
      <w:r w:rsidRPr="00EA190F">
        <w:rPr>
          <w:color w:val="000000"/>
        </w:rPr>
        <w:t xml:space="preserve">Key </w:t>
      </w:r>
      <w:r w:rsidR="00F67D52" w:rsidRPr="00EA190F">
        <w:rPr>
          <w:color w:val="000000"/>
        </w:rPr>
        <w:t>results</w:t>
      </w:r>
    </w:p>
    <w:p w:rsidR="00CB1CDA" w:rsidRPr="00EA190F" w:rsidRDefault="00CB1CDA" w:rsidP="00F67D52">
      <w:pPr>
        <w:pStyle w:val="BodyText"/>
        <w:rPr>
          <w:color w:val="000000"/>
        </w:rPr>
      </w:pPr>
      <w:r w:rsidRPr="00EA190F">
        <w:rPr>
          <w:color w:val="000000"/>
        </w:rPr>
        <w:t xml:space="preserve">A key to the </w:t>
      </w:r>
      <w:r w:rsidR="00BC7183" w:rsidRPr="00EA190F">
        <w:rPr>
          <w:color w:val="000000"/>
        </w:rPr>
        <w:t xml:space="preserve">Department of Education </w:t>
      </w:r>
      <w:r w:rsidRPr="00EA190F">
        <w:rPr>
          <w:color w:val="000000"/>
        </w:rPr>
        <w:t xml:space="preserve">achieving </w:t>
      </w:r>
      <w:r w:rsidR="00BC7183" w:rsidRPr="00EA190F">
        <w:rPr>
          <w:color w:val="000000"/>
        </w:rPr>
        <w:t xml:space="preserve">better </w:t>
      </w:r>
      <w:r w:rsidRPr="00EA190F">
        <w:rPr>
          <w:color w:val="000000"/>
        </w:rPr>
        <w:t xml:space="preserve">education outcomes for boys and girls in 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is its ability to better manage allocated resources and systems devolution for increased funds to the regions, division and schools.</w:t>
      </w:r>
      <w:r w:rsidR="008F6566" w:rsidRPr="00EA190F">
        <w:rPr>
          <w:color w:val="000000"/>
        </w:rPr>
        <w:t xml:space="preserve"> </w:t>
      </w:r>
      <w:r w:rsidRPr="00EA190F">
        <w:rPr>
          <w:color w:val="000000"/>
        </w:rPr>
        <w:t xml:space="preserve">AusAID has supported a range of reforms to assist the </w:t>
      </w:r>
      <w:r w:rsidR="00BC7183" w:rsidRPr="00EA190F">
        <w:rPr>
          <w:color w:val="000000"/>
        </w:rPr>
        <w:t>Department of Education</w:t>
      </w:r>
      <w:r w:rsidRPr="00EA190F">
        <w:rPr>
          <w:color w:val="000000"/>
        </w:rPr>
        <w:t xml:space="preserve"> </w:t>
      </w:r>
      <w:r w:rsidR="00BC7183" w:rsidRPr="00EA190F">
        <w:rPr>
          <w:color w:val="000000"/>
        </w:rPr>
        <w:t xml:space="preserve">to </w:t>
      </w:r>
      <w:r w:rsidRPr="00EA190F">
        <w:rPr>
          <w:color w:val="000000"/>
        </w:rPr>
        <w:t>improve its management of resources to support schools and teachers.</w:t>
      </w:r>
    </w:p>
    <w:p w:rsidR="00CB1CDA" w:rsidRPr="00EA190F" w:rsidRDefault="00CB1CDA" w:rsidP="00F67D52">
      <w:pPr>
        <w:pStyle w:val="BodyText"/>
        <w:rPr>
          <w:rFonts w:cs="Arial"/>
          <w:color w:val="000000"/>
        </w:rPr>
      </w:pPr>
      <w:r w:rsidRPr="00EA190F">
        <w:rPr>
          <w:color w:val="000000"/>
        </w:rPr>
        <w:t xml:space="preserve">AusAID has supported progress on </w:t>
      </w:r>
      <w:r w:rsidR="00BC7183" w:rsidRPr="00EA190F">
        <w:rPr>
          <w:color w:val="000000"/>
        </w:rPr>
        <w:t xml:space="preserve">school-based management </w:t>
      </w:r>
      <w:r w:rsidRPr="00EA190F">
        <w:rPr>
          <w:color w:val="000000"/>
        </w:rPr>
        <w:t xml:space="preserve">reform at the regional and national levels. </w:t>
      </w:r>
      <w:r w:rsidR="00BC7183" w:rsidRPr="00EA190F">
        <w:rPr>
          <w:color w:val="000000"/>
        </w:rPr>
        <w:t xml:space="preserve">Such reform </w:t>
      </w:r>
      <w:r w:rsidRPr="00EA190F">
        <w:rPr>
          <w:color w:val="000000"/>
        </w:rPr>
        <w:t xml:space="preserve">promotes improved participatory planning and community engagement for achieving improved student learning outcomes. Through pilots in Mindanao and the </w:t>
      </w:r>
      <w:proofErr w:type="spellStart"/>
      <w:r w:rsidRPr="00EA190F">
        <w:rPr>
          <w:color w:val="000000"/>
        </w:rPr>
        <w:t>Visayas</w:t>
      </w:r>
      <w:proofErr w:type="spellEnd"/>
      <w:r w:rsidRPr="00EA190F">
        <w:rPr>
          <w:color w:val="000000"/>
        </w:rPr>
        <w:t xml:space="preserve"> and targeted technical assistance at the national level AusAID has supported </w:t>
      </w:r>
      <w:r w:rsidR="00BC7183" w:rsidRPr="00EA190F">
        <w:rPr>
          <w:color w:val="000000"/>
        </w:rPr>
        <w:t>the Department of Education</w:t>
      </w:r>
      <w:r w:rsidRPr="00EA190F">
        <w:rPr>
          <w:color w:val="000000"/>
        </w:rPr>
        <w:t xml:space="preserve"> to pilot projects across 8000 schools </w:t>
      </w:r>
      <w:r w:rsidRPr="00EA190F">
        <w:rPr>
          <w:rFonts w:cs="Arial"/>
          <w:color w:val="000000"/>
        </w:rPr>
        <w:t xml:space="preserve">where </w:t>
      </w:r>
      <w:r w:rsidR="00BC7183" w:rsidRPr="00EA190F">
        <w:rPr>
          <w:color w:val="000000"/>
        </w:rPr>
        <w:t xml:space="preserve">school-based management </w:t>
      </w:r>
      <w:r w:rsidRPr="00EA190F">
        <w:rPr>
          <w:rFonts w:cs="Arial"/>
          <w:color w:val="000000"/>
        </w:rPr>
        <w:t>has led to improved community</w:t>
      </w:r>
      <w:r w:rsidR="00BC7183" w:rsidRPr="00EA190F">
        <w:rPr>
          <w:rFonts w:cs="Arial"/>
          <w:color w:val="000000"/>
        </w:rPr>
        <w:t xml:space="preserve"> and </w:t>
      </w:r>
      <w:r w:rsidRPr="00EA190F">
        <w:rPr>
          <w:rFonts w:cs="Arial"/>
          <w:color w:val="000000"/>
        </w:rPr>
        <w:t>parent involvement and enabled school principals to manage resources to best suit the community</w:t>
      </w:r>
      <w:r w:rsidR="00BC7183" w:rsidRPr="00EA190F">
        <w:rPr>
          <w:rFonts w:cs="Arial"/>
          <w:color w:val="000000"/>
        </w:rPr>
        <w:t>,</w:t>
      </w:r>
      <w:r w:rsidRPr="00EA190F">
        <w:rPr>
          <w:rFonts w:cs="Arial"/>
          <w:color w:val="000000"/>
        </w:rPr>
        <w:t xml:space="preserve"> especially in ethnically diverse areas. A recent joint </w:t>
      </w:r>
      <w:r w:rsidR="00BC7183" w:rsidRPr="00EA190F">
        <w:rPr>
          <w:rFonts w:cs="Arial"/>
          <w:color w:val="000000"/>
        </w:rPr>
        <w:t xml:space="preserve">World Bank and </w:t>
      </w:r>
      <w:r w:rsidRPr="00EA190F">
        <w:rPr>
          <w:rFonts w:cs="Arial"/>
          <w:color w:val="000000"/>
        </w:rPr>
        <w:t xml:space="preserve">AusAID implementation review of BESRA found that education projects (BEAM, </w:t>
      </w:r>
      <w:r w:rsidRPr="00EA190F">
        <w:rPr>
          <w:rFonts w:cs="Arial"/>
          <w:color w:val="000000"/>
        </w:rPr>
        <w:lastRenderedPageBreak/>
        <w:t xml:space="preserve">STRIVE) improved the enabling environment for </w:t>
      </w:r>
      <w:r w:rsidR="00BC7183" w:rsidRPr="00EA190F">
        <w:rPr>
          <w:color w:val="000000"/>
        </w:rPr>
        <w:t xml:space="preserve">school-based management </w:t>
      </w:r>
      <w:r w:rsidRPr="00EA190F">
        <w:rPr>
          <w:rFonts w:cs="Arial"/>
          <w:color w:val="000000"/>
        </w:rPr>
        <w:t>practices to</w:t>
      </w:r>
      <w:r w:rsidR="00C476D9" w:rsidRPr="00EA190F">
        <w:rPr>
          <w:rFonts w:cs="Arial"/>
          <w:color w:val="000000"/>
        </w:rPr>
        <w:t> </w:t>
      </w:r>
      <w:r w:rsidRPr="00EA190F">
        <w:rPr>
          <w:rFonts w:cs="Arial"/>
          <w:color w:val="000000"/>
        </w:rPr>
        <w:t xml:space="preserve">be embedded in </w:t>
      </w:r>
      <w:r w:rsidR="00BC7183" w:rsidRPr="00EA190F">
        <w:rPr>
          <w:rFonts w:cs="Arial"/>
          <w:color w:val="000000"/>
        </w:rPr>
        <w:t xml:space="preserve">regional and divisional </w:t>
      </w:r>
      <w:r w:rsidRPr="00EA190F">
        <w:rPr>
          <w:rFonts w:cs="Arial"/>
          <w:color w:val="000000"/>
        </w:rPr>
        <w:t>organisational frameworks.</w:t>
      </w:r>
      <w:r w:rsidR="008F6566" w:rsidRPr="00EA190F">
        <w:rPr>
          <w:rFonts w:cs="Arial"/>
          <w:color w:val="000000"/>
        </w:rPr>
        <w:t xml:space="preserve"> </w:t>
      </w:r>
      <w:r w:rsidRPr="00EA190F">
        <w:rPr>
          <w:rFonts w:cs="Arial"/>
          <w:color w:val="000000"/>
        </w:rPr>
        <w:t>Anecdotal evidence collected in the same review shows positive changes in the mindset of personnel involved in implement</w:t>
      </w:r>
      <w:r w:rsidR="00BC7183" w:rsidRPr="00EA190F">
        <w:rPr>
          <w:rFonts w:cs="Arial"/>
          <w:color w:val="000000"/>
        </w:rPr>
        <w:t xml:space="preserve">ing </w:t>
      </w:r>
      <w:r w:rsidR="00BC7183" w:rsidRPr="00EA190F">
        <w:rPr>
          <w:color w:val="000000"/>
        </w:rPr>
        <w:t>school-based management</w:t>
      </w:r>
      <w:r w:rsidRPr="00EA190F">
        <w:rPr>
          <w:rFonts w:cs="Arial"/>
          <w:color w:val="000000"/>
        </w:rPr>
        <w:t>.</w:t>
      </w:r>
    </w:p>
    <w:p w:rsidR="00CB1CDA" w:rsidRPr="00EA190F" w:rsidRDefault="00CB1CDA" w:rsidP="00F67D52">
      <w:pPr>
        <w:pStyle w:val="BodyText"/>
        <w:rPr>
          <w:color w:val="000000"/>
          <w:spacing w:val="-2"/>
        </w:rPr>
      </w:pPr>
      <w:r w:rsidRPr="00EA190F">
        <w:rPr>
          <w:color w:val="000000"/>
          <w:spacing w:val="-2"/>
        </w:rPr>
        <w:t xml:space="preserve">Reform </w:t>
      </w:r>
      <w:r w:rsidR="00EF21D7" w:rsidRPr="00EA190F">
        <w:rPr>
          <w:color w:val="000000"/>
          <w:spacing w:val="-2"/>
        </w:rPr>
        <w:t xml:space="preserve">of </w:t>
      </w:r>
      <w:r w:rsidRPr="00EA190F">
        <w:rPr>
          <w:color w:val="000000"/>
          <w:spacing w:val="-2"/>
        </w:rPr>
        <w:t>the current per capita school</w:t>
      </w:r>
      <w:r w:rsidR="00BC7183" w:rsidRPr="00EA190F">
        <w:rPr>
          <w:color w:val="000000"/>
          <w:spacing w:val="-2"/>
        </w:rPr>
        <w:t>-</w:t>
      </w:r>
      <w:r w:rsidRPr="00EA190F">
        <w:rPr>
          <w:color w:val="000000"/>
          <w:spacing w:val="-2"/>
        </w:rPr>
        <w:t>funding formula would enable schools in poorer areas with relatively low community financial support to receive sufficient funding to compensate for their lack of resources. AusAID supported a detailed study of the issues around the pro-poor school</w:t>
      </w:r>
      <w:r w:rsidR="00BC7183" w:rsidRPr="00EA190F">
        <w:rPr>
          <w:color w:val="000000"/>
          <w:spacing w:val="-2"/>
        </w:rPr>
        <w:t>-</w:t>
      </w:r>
      <w:r w:rsidRPr="00EA190F">
        <w:rPr>
          <w:color w:val="000000"/>
          <w:spacing w:val="-2"/>
        </w:rPr>
        <w:t xml:space="preserve">funding </w:t>
      </w:r>
      <w:r w:rsidR="00BC7183" w:rsidRPr="00EA190F">
        <w:rPr>
          <w:color w:val="000000"/>
          <w:spacing w:val="-2"/>
        </w:rPr>
        <w:t>system for maintenance and other operating expenses</w:t>
      </w:r>
      <w:r w:rsidRPr="00EA190F">
        <w:rPr>
          <w:color w:val="000000"/>
          <w:spacing w:val="-2"/>
        </w:rPr>
        <w:t>.</w:t>
      </w:r>
      <w:r w:rsidR="008F6566" w:rsidRPr="00EA190F">
        <w:rPr>
          <w:color w:val="000000"/>
          <w:spacing w:val="-2"/>
        </w:rPr>
        <w:t xml:space="preserve"> </w:t>
      </w:r>
      <w:r w:rsidRPr="00EA190F">
        <w:rPr>
          <w:color w:val="000000"/>
          <w:spacing w:val="-2"/>
        </w:rPr>
        <w:t xml:space="preserve">A draft report of the study </w:t>
      </w:r>
      <w:r w:rsidR="00BC7183" w:rsidRPr="00EA190F">
        <w:rPr>
          <w:color w:val="000000"/>
          <w:spacing w:val="-2"/>
        </w:rPr>
        <w:t>was</w:t>
      </w:r>
      <w:r w:rsidRPr="00EA190F">
        <w:rPr>
          <w:color w:val="000000"/>
          <w:spacing w:val="-2"/>
        </w:rPr>
        <w:t xml:space="preserve"> presented in June 2008 following a </w:t>
      </w:r>
      <w:r w:rsidR="00BC7183" w:rsidRPr="00EA190F">
        <w:rPr>
          <w:color w:val="000000"/>
          <w:spacing w:val="-2"/>
        </w:rPr>
        <w:t xml:space="preserve">review of </w:t>
      </w:r>
      <w:r w:rsidRPr="00EA190F">
        <w:rPr>
          <w:color w:val="000000"/>
          <w:spacing w:val="-2"/>
        </w:rPr>
        <w:t>policy</w:t>
      </w:r>
      <w:r w:rsidR="00BC7183" w:rsidRPr="00EA190F">
        <w:rPr>
          <w:color w:val="000000"/>
          <w:spacing w:val="-2"/>
        </w:rPr>
        <w:t>,</w:t>
      </w:r>
      <w:r w:rsidRPr="00EA190F">
        <w:rPr>
          <w:color w:val="000000"/>
          <w:spacing w:val="-2"/>
        </w:rPr>
        <w:t xml:space="preserve"> process</w:t>
      </w:r>
      <w:r w:rsidR="00BC7183" w:rsidRPr="00EA190F">
        <w:rPr>
          <w:color w:val="000000"/>
          <w:spacing w:val="-2"/>
        </w:rPr>
        <w:t xml:space="preserve"> and </w:t>
      </w:r>
      <w:r w:rsidRPr="00EA190F">
        <w:rPr>
          <w:color w:val="000000"/>
          <w:spacing w:val="-2"/>
        </w:rPr>
        <w:t>data and detailed consultations with central, regional, divisional and school officials.</w:t>
      </w:r>
      <w:r w:rsidR="008F6566" w:rsidRPr="00EA190F">
        <w:rPr>
          <w:color w:val="000000"/>
          <w:spacing w:val="-2"/>
        </w:rPr>
        <w:t xml:space="preserve"> </w:t>
      </w:r>
      <w:r w:rsidR="002A4E93" w:rsidRPr="00EA190F">
        <w:rPr>
          <w:color w:val="000000"/>
          <w:spacing w:val="-2"/>
        </w:rPr>
        <w:t xml:space="preserve">The next </w:t>
      </w:r>
      <w:r w:rsidR="00EF21D7" w:rsidRPr="00EA190F">
        <w:rPr>
          <w:color w:val="000000"/>
          <w:spacing w:val="-2"/>
        </w:rPr>
        <w:t xml:space="preserve">step </w:t>
      </w:r>
      <w:r w:rsidR="002A4E93" w:rsidRPr="00EA190F">
        <w:rPr>
          <w:color w:val="000000"/>
          <w:spacing w:val="-2"/>
        </w:rPr>
        <w:t xml:space="preserve">is </w:t>
      </w:r>
      <w:r w:rsidRPr="00EA190F">
        <w:rPr>
          <w:color w:val="000000"/>
          <w:spacing w:val="-2"/>
        </w:rPr>
        <w:t>a validation process</w:t>
      </w:r>
      <w:r w:rsidR="002A4E93" w:rsidRPr="00EA190F">
        <w:rPr>
          <w:color w:val="000000"/>
          <w:spacing w:val="-2"/>
        </w:rPr>
        <w:t>,</w:t>
      </w:r>
      <w:r w:rsidRPr="00EA190F">
        <w:rPr>
          <w:color w:val="000000"/>
          <w:spacing w:val="-2"/>
        </w:rPr>
        <w:t xml:space="preserve"> including follow-up consultations with relevant </w:t>
      </w:r>
      <w:r w:rsidR="002A4E93" w:rsidRPr="00EA190F">
        <w:rPr>
          <w:color w:val="000000"/>
          <w:spacing w:val="-2"/>
        </w:rPr>
        <w:t xml:space="preserve">officials of the Department of Education </w:t>
      </w:r>
      <w:r w:rsidRPr="00EA190F">
        <w:rPr>
          <w:color w:val="000000"/>
          <w:spacing w:val="-2"/>
        </w:rPr>
        <w:t>and oversight agency officials.</w:t>
      </w:r>
      <w:r w:rsidR="008F6566" w:rsidRPr="00EA190F">
        <w:rPr>
          <w:color w:val="000000"/>
          <w:spacing w:val="-2"/>
        </w:rPr>
        <w:t xml:space="preserve"> </w:t>
      </w:r>
      <w:r w:rsidRPr="00EA190F">
        <w:rPr>
          <w:color w:val="000000"/>
          <w:spacing w:val="-2"/>
        </w:rPr>
        <w:t xml:space="preserve">The final equitable allocation formula for </w:t>
      </w:r>
      <w:r w:rsidR="004866A1" w:rsidRPr="00EA190F">
        <w:rPr>
          <w:color w:val="000000"/>
          <w:spacing w:val="-2"/>
        </w:rPr>
        <w:t>maintenance and other operating expenses</w:t>
      </w:r>
      <w:r w:rsidRPr="00EA190F">
        <w:rPr>
          <w:color w:val="000000"/>
          <w:spacing w:val="-2"/>
        </w:rPr>
        <w:t xml:space="preserve">, a transition plan </w:t>
      </w:r>
      <w:r w:rsidR="004866A1" w:rsidRPr="00EA190F">
        <w:rPr>
          <w:color w:val="000000"/>
          <w:spacing w:val="-2"/>
        </w:rPr>
        <w:t xml:space="preserve">that </w:t>
      </w:r>
      <w:r w:rsidRPr="00EA190F">
        <w:rPr>
          <w:color w:val="000000"/>
          <w:spacing w:val="-2"/>
        </w:rPr>
        <w:t>address</w:t>
      </w:r>
      <w:r w:rsidR="004866A1" w:rsidRPr="00EA190F">
        <w:rPr>
          <w:color w:val="000000"/>
          <w:spacing w:val="-2"/>
        </w:rPr>
        <w:t>es</w:t>
      </w:r>
      <w:r w:rsidRPr="00EA190F">
        <w:rPr>
          <w:color w:val="000000"/>
          <w:spacing w:val="-2"/>
        </w:rPr>
        <w:t xml:space="preserve"> necessary structural adjustment, a capacity</w:t>
      </w:r>
      <w:r w:rsidR="004866A1" w:rsidRPr="00EA190F">
        <w:rPr>
          <w:color w:val="000000"/>
          <w:spacing w:val="-2"/>
        </w:rPr>
        <w:t>-</w:t>
      </w:r>
      <w:r w:rsidRPr="00EA190F">
        <w:rPr>
          <w:color w:val="000000"/>
          <w:spacing w:val="-2"/>
        </w:rPr>
        <w:t xml:space="preserve">building program and advocacy for wider dissemination of the new allocation system </w:t>
      </w:r>
      <w:r w:rsidR="004866A1" w:rsidRPr="00EA190F">
        <w:rPr>
          <w:color w:val="000000"/>
          <w:spacing w:val="-2"/>
        </w:rPr>
        <w:t xml:space="preserve">for meeting maintenance and other operating expenses </w:t>
      </w:r>
      <w:r w:rsidRPr="00EA190F">
        <w:rPr>
          <w:color w:val="000000"/>
          <w:spacing w:val="-2"/>
        </w:rPr>
        <w:t>will be completed in September 2008.</w:t>
      </w:r>
    </w:p>
    <w:p w:rsidR="00CB1CDA" w:rsidRPr="00EA190F" w:rsidRDefault="00CB1CDA" w:rsidP="00F67D52">
      <w:pPr>
        <w:pStyle w:val="BodyText"/>
        <w:rPr>
          <w:color w:val="000000"/>
        </w:rPr>
      </w:pPr>
      <w:r w:rsidRPr="00EA190F">
        <w:rPr>
          <w:color w:val="000000"/>
        </w:rPr>
        <w:t xml:space="preserve">A further reform supported by AusAID is the rollout of the Human Resource Information System in </w:t>
      </w:r>
      <w:r w:rsidR="00C14209" w:rsidRPr="00EA190F">
        <w:rPr>
          <w:color w:val="000000"/>
        </w:rPr>
        <w:t>the Department of Education</w:t>
      </w:r>
      <w:r w:rsidRPr="00EA190F">
        <w:rPr>
          <w:color w:val="000000"/>
        </w:rPr>
        <w:t>.</w:t>
      </w:r>
      <w:r w:rsidR="008F6566" w:rsidRPr="00EA190F">
        <w:rPr>
          <w:color w:val="000000"/>
        </w:rPr>
        <w:t xml:space="preserve"> </w:t>
      </w:r>
      <w:r w:rsidRPr="00EA190F">
        <w:rPr>
          <w:color w:val="000000"/>
        </w:rPr>
        <w:t xml:space="preserve">A comprehensive </w:t>
      </w:r>
      <w:r w:rsidR="00C14209" w:rsidRPr="00EA190F">
        <w:rPr>
          <w:color w:val="000000"/>
        </w:rPr>
        <w:t xml:space="preserve">system </w:t>
      </w:r>
      <w:r w:rsidRPr="00EA190F">
        <w:rPr>
          <w:color w:val="000000"/>
        </w:rPr>
        <w:t xml:space="preserve">is important </w:t>
      </w:r>
      <w:r w:rsidR="00C14209" w:rsidRPr="00EA190F">
        <w:rPr>
          <w:color w:val="000000"/>
        </w:rPr>
        <w:t>for</w:t>
      </w:r>
      <w:r w:rsidRPr="00EA190F">
        <w:rPr>
          <w:color w:val="000000"/>
        </w:rPr>
        <w:t xml:space="preserve"> effective</w:t>
      </w:r>
      <w:r w:rsidR="00C14209" w:rsidRPr="00EA190F">
        <w:rPr>
          <w:color w:val="000000"/>
        </w:rPr>
        <w:t>ly</w:t>
      </w:r>
      <w:r w:rsidRPr="00EA190F">
        <w:rPr>
          <w:color w:val="000000"/>
        </w:rPr>
        <w:t xml:space="preserve"> manag</w:t>
      </w:r>
      <w:r w:rsidR="00C14209" w:rsidRPr="00EA190F">
        <w:rPr>
          <w:color w:val="000000"/>
        </w:rPr>
        <w:t>ing</w:t>
      </w:r>
      <w:r w:rsidRPr="00EA190F">
        <w:rPr>
          <w:color w:val="000000"/>
        </w:rPr>
        <w:t xml:space="preserve"> the large teaching and non-teaching staff of over 500</w:t>
      </w:r>
      <w:r w:rsidR="00C14209" w:rsidRPr="00EA190F">
        <w:rPr>
          <w:color w:val="000000"/>
        </w:rPr>
        <w:t> </w:t>
      </w:r>
      <w:r w:rsidRPr="00EA190F">
        <w:rPr>
          <w:color w:val="000000"/>
        </w:rPr>
        <w:t xml:space="preserve">000 across 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and addresses issues such as skills development and management of entitlements.</w:t>
      </w:r>
      <w:r w:rsidR="008F6566" w:rsidRPr="00EA190F">
        <w:rPr>
          <w:color w:val="000000"/>
        </w:rPr>
        <w:t xml:space="preserve"> </w:t>
      </w:r>
      <w:r w:rsidRPr="00EA190F">
        <w:rPr>
          <w:color w:val="000000"/>
        </w:rPr>
        <w:t xml:space="preserve">The BEAM-developed </w:t>
      </w:r>
      <w:r w:rsidR="00C14209" w:rsidRPr="00EA190F">
        <w:rPr>
          <w:color w:val="000000"/>
        </w:rPr>
        <w:t xml:space="preserve">Human Resource Information System </w:t>
      </w:r>
      <w:r w:rsidRPr="00EA190F">
        <w:rPr>
          <w:color w:val="000000"/>
        </w:rPr>
        <w:t xml:space="preserve">was effective in supporting schools within its mandate to manage and plan their teaching resources effectively. This encouraged </w:t>
      </w:r>
      <w:r w:rsidR="00C14209" w:rsidRPr="00EA190F">
        <w:rPr>
          <w:color w:val="000000"/>
        </w:rPr>
        <w:t xml:space="preserve">the Department of Education </w:t>
      </w:r>
      <w:r w:rsidRPr="00EA190F">
        <w:rPr>
          <w:color w:val="000000"/>
        </w:rPr>
        <w:t xml:space="preserve">to support a system at the national level. AusAID funded an audit of the national requirements </w:t>
      </w:r>
      <w:r w:rsidR="00C14209" w:rsidRPr="00EA190F">
        <w:rPr>
          <w:color w:val="000000"/>
        </w:rPr>
        <w:t xml:space="preserve">of the </w:t>
      </w:r>
      <w:r w:rsidR="00EF21D7" w:rsidRPr="00EA190F">
        <w:rPr>
          <w:color w:val="000000"/>
        </w:rPr>
        <w:t xml:space="preserve">information system </w:t>
      </w:r>
      <w:r w:rsidRPr="00EA190F">
        <w:rPr>
          <w:color w:val="000000"/>
        </w:rPr>
        <w:t>to ensure reforms could be adopted.</w:t>
      </w:r>
      <w:r w:rsidR="008F6566" w:rsidRPr="00EA190F">
        <w:rPr>
          <w:color w:val="000000"/>
        </w:rPr>
        <w:t xml:space="preserve"> </w:t>
      </w:r>
      <w:r w:rsidRPr="00EA190F">
        <w:rPr>
          <w:color w:val="000000"/>
        </w:rPr>
        <w:t xml:space="preserve">This identified areas of the system </w:t>
      </w:r>
      <w:r w:rsidR="00C14209" w:rsidRPr="00EA190F">
        <w:rPr>
          <w:color w:val="000000"/>
        </w:rPr>
        <w:t xml:space="preserve">that </w:t>
      </w:r>
      <w:r w:rsidRPr="00EA190F">
        <w:rPr>
          <w:color w:val="000000"/>
        </w:rPr>
        <w:t>needed enhancement so that a national pilot system can be rolled out in 2008</w:t>
      </w:r>
      <w:r w:rsidR="00C14209" w:rsidRPr="00EA190F">
        <w:rPr>
          <w:color w:val="000000"/>
        </w:rPr>
        <w:t>–</w:t>
      </w:r>
      <w:r w:rsidRPr="00EA190F">
        <w:rPr>
          <w:color w:val="000000"/>
        </w:rPr>
        <w:t>09.</w:t>
      </w:r>
      <w:r w:rsidR="008F6566" w:rsidRPr="00EA190F">
        <w:rPr>
          <w:color w:val="000000"/>
        </w:rPr>
        <w:t xml:space="preserve"> </w:t>
      </w:r>
      <w:r w:rsidRPr="00EA190F">
        <w:rPr>
          <w:color w:val="000000"/>
        </w:rPr>
        <w:t xml:space="preserve">Orientation programs and data encoding have commenced in preparation for piloting in four regions. </w:t>
      </w:r>
    </w:p>
    <w:p w:rsidR="00CB1CDA" w:rsidRPr="00EA190F" w:rsidRDefault="00CB1CDA" w:rsidP="00F67D52">
      <w:pPr>
        <w:pStyle w:val="BodyText"/>
        <w:rPr>
          <w:color w:val="000000"/>
        </w:rPr>
      </w:pPr>
      <w:r w:rsidRPr="00EA190F">
        <w:rPr>
          <w:color w:val="000000"/>
        </w:rPr>
        <w:t xml:space="preserve">Both the development of the </w:t>
      </w:r>
      <w:r w:rsidR="00C14209" w:rsidRPr="00EA190F">
        <w:rPr>
          <w:color w:val="000000"/>
          <w:spacing w:val="-2"/>
        </w:rPr>
        <w:t xml:space="preserve">school-funding system for maintenance and other operating expenses </w:t>
      </w:r>
      <w:r w:rsidRPr="00EA190F">
        <w:rPr>
          <w:color w:val="000000"/>
        </w:rPr>
        <w:t xml:space="preserve">and the </w:t>
      </w:r>
      <w:r w:rsidR="00C14209" w:rsidRPr="00EA190F">
        <w:rPr>
          <w:color w:val="000000"/>
        </w:rPr>
        <w:t xml:space="preserve">Human Resource Information System </w:t>
      </w:r>
      <w:r w:rsidRPr="00EA190F">
        <w:rPr>
          <w:color w:val="000000"/>
        </w:rPr>
        <w:t>are benchmarks/triggers for performance incentive payments.</w:t>
      </w:r>
      <w:r w:rsidR="008F6566" w:rsidRPr="00EA190F">
        <w:rPr>
          <w:color w:val="000000"/>
        </w:rPr>
        <w:t xml:space="preserve"> </w:t>
      </w:r>
      <w:r w:rsidRPr="00EA190F">
        <w:rPr>
          <w:color w:val="000000"/>
        </w:rPr>
        <w:t>Achievement of these benchmarks has been delayed</w:t>
      </w:r>
      <w:r w:rsidR="00B607E1" w:rsidRPr="00EA190F">
        <w:rPr>
          <w:color w:val="000000"/>
        </w:rPr>
        <w:t>,</w:t>
      </w:r>
      <w:r w:rsidRPr="00EA190F">
        <w:rPr>
          <w:color w:val="000000"/>
        </w:rPr>
        <w:t xml:space="preserve"> although significant progress has been made.</w:t>
      </w:r>
      <w:r w:rsidR="008F6566" w:rsidRPr="00EA190F">
        <w:rPr>
          <w:color w:val="000000"/>
        </w:rPr>
        <w:t xml:space="preserve"> </w:t>
      </w:r>
      <w:r w:rsidRPr="00EA190F">
        <w:rPr>
          <w:color w:val="000000"/>
        </w:rPr>
        <w:t>Part payment of the agreed incentives amount has been approved.</w:t>
      </w:r>
    </w:p>
    <w:p w:rsidR="00BA0E8D" w:rsidRPr="00EA190F" w:rsidRDefault="00CB1CDA" w:rsidP="00BA0E8D">
      <w:pPr>
        <w:pStyle w:val="Heading4"/>
        <w:rPr>
          <w:color w:val="000000"/>
        </w:rPr>
      </w:pPr>
      <w:r w:rsidRPr="00EA190F">
        <w:rPr>
          <w:color w:val="000000"/>
        </w:rPr>
        <w:t>Key factors</w:t>
      </w:r>
      <w:r w:rsidR="008F6566" w:rsidRPr="00EA190F">
        <w:rPr>
          <w:color w:val="000000"/>
        </w:rPr>
        <w:t xml:space="preserve"> </w:t>
      </w:r>
      <w:r w:rsidR="00BA0E8D" w:rsidRPr="00EA190F">
        <w:rPr>
          <w:color w:val="000000"/>
        </w:rPr>
        <w:t>contributing</w:t>
      </w:r>
    </w:p>
    <w:p w:rsidR="00CB1CDA" w:rsidRPr="00EA190F" w:rsidRDefault="00CB1CDA" w:rsidP="00BA0E8D">
      <w:pPr>
        <w:pStyle w:val="BodyText"/>
        <w:rPr>
          <w:color w:val="000000"/>
        </w:rPr>
      </w:pPr>
      <w:r w:rsidRPr="00EA190F">
        <w:rPr>
          <w:color w:val="000000"/>
        </w:rPr>
        <w:t>E</w:t>
      </w:r>
      <w:r w:rsidRPr="00EA190F">
        <w:rPr>
          <w:iCs/>
          <w:color w:val="000000"/>
        </w:rPr>
        <w:t xml:space="preserve">xisting AusAID initiatives such as BEAM and STRIVE have been flexible in supporting the </w:t>
      </w:r>
      <w:r w:rsidRPr="00EA190F">
        <w:rPr>
          <w:color w:val="000000"/>
        </w:rPr>
        <w:t xml:space="preserve">BESRA </w:t>
      </w:r>
      <w:r w:rsidR="009C09C4" w:rsidRPr="00EA190F">
        <w:rPr>
          <w:color w:val="000000"/>
        </w:rPr>
        <w:t xml:space="preserve">technical working groups, </w:t>
      </w:r>
      <w:r w:rsidRPr="00EA190F">
        <w:rPr>
          <w:color w:val="000000"/>
        </w:rPr>
        <w:t xml:space="preserve">which were reconstituted by </w:t>
      </w:r>
      <w:r w:rsidR="00EF21D7" w:rsidRPr="00EA190F">
        <w:rPr>
          <w:color w:val="000000"/>
        </w:rPr>
        <w:t xml:space="preserve">the </w:t>
      </w:r>
      <w:r w:rsidR="009C09C4" w:rsidRPr="00EA190F">
        <w:rPr>
          <w:color w:val="000000"/>
        </w:rPr>
        <w:t xml:space="preserve">World Bank </w:t>
      </w:r>
      <w:r w:rsidRPr="00EA190F">
        <w:rPr>
          <w:color w:val="000000"/>
        </w:rPr>
        <w:t>in late 2007. AusAID engaged a full</w:t>
      </w:r>
      <w:r w:rsidR="009C09C4" w:rsidRPr="00EA190F">
        <w:rPr>
          <w:color w:val="000000"/>
        </w:rPr>
        <w:t>-</w:t>
      </w:r>
      <w:r w:rsidRPr="00EA190F">
        <w:rPr>
          <w:color w:val="000000"/>
        </w:rPr>
        <w:t xml:space="preserve">time </w:t>
      </w:r>
      <w:r w:rsidR="009C09C4" w:rsidRPr="00EA190F">
        <w:rPr>
          <w:color w:val="000000"/>
        </w:rPr>
        <w:t>education advis</w:t>
      </w:r>
      <w:r w:rsidR="00360758" w:rsidRPr="00EA190F">
        <w:rPr>
          <w:color w:val="000000"/>
        </w:rPr>
        <w:t>e</w:t>
      </w:r>
      <w:r w:rsidR="009C09C4" w:rsidRPr="00EA190F">
        <w:rPr>
          <w:color w:val="000000"/>
        </w:rPr>
        <w:t xml:space="preserve">r </w:t>
      </w:r>
      <w:r w:rsidRPr="00EA190F">
        <w:rPr>
          <w:color w:val="000000"/>
        </w:rPr>
        <w:t xml:space="preserve">for </w:t>
      </w:r>
      <w:r w:rsidR="009C09C4" w:rsidRPr="00EA190F">
        <w:rPr>
          <w:color w:val="000000"/>
        </w:rPr>
        <w:t>its</w:t>
      </w:r>
      <w:r w:rsidRPr="00EA190F">
        <w:rPr>
          <w:color w:val="000000"/>
        </w:rPr>
        <w:t xml:space="preserve"> office in </w:t>
      </w:r>
      <w:smartTag w:uri="urn:schemas-microsoft-com:office:smarttags" w:element="City">
        <w:smartTag w:uri="urn:schemas-microsoft-com:office:smarttags" w:element="place">
          <w:r w:rsidRPr="00EA190F">
            <w:rPr>
              <w:color w:val="000000"/>
            </w:rPr>
            <w:t>Manila</w:t>
          </w:r>
        </w:smartTag>
      </w:smartTag>
      <w:r w:rsidRPr="00EA190F">
        <w:rPr>
          <w:color w:val="000000"/>
        </w:rPr>
        <w:t xml:space="preserve"> to provide technical support on issues </w:t>
      </w:r>
      <w:r w:rsidR="009C09C4" w:rsidRPr="00EA190F">
        <w:rPr>
          <w:color w:val="000000"/>
        </w:rPr>
        <w:t xml:space="preserve">in, for example, </w:t>
      </w:r>
      <w:r w:rsidRPr="00EA190F">
        <w:rPr>
          <w:color w:val="000000"/>
        </w:rPr>
        <w:t xml:space="preserve">the </w:t>
      </w:r>
      <w:r w:rsidR="009C09C4" w:rsidRPr="00EA190F">
        <w:rPr>
          <w:color w:val="000000"/>
          <w:spacing w:val="-2"/>
        </w:rPr>
        <w:t xml:space="preserve">allocation system for meeting maintenance and other operating expenses, </w:t>
      </w:r>
      <w:r w:rsidRPr="00EA190F">
        <w:rPr>
          <w:color w:val="000000"/>
        </w:rPr>
        <w:t xml:space="preserve">and technical linkages with </w:t>
      </w:r>
      <w:r w:rsidR="009C09C4" w:rsidRPr="00EA190F">
        <w:rPr>
          <w:color w:val="000000"/>
        </w:rPr>
        <w:t xml:space="preserve">the </w:t>
      </w:r>
      <w:r w:rsidR="00EF21D7" w:rsidRPr="00EA190F">
        <w:rPr>
          <w:color w:val="000000"/>
        </w:rPr>
        <w:t xml:space="preserve">Department of Education </w:t>
      </w:r>
      <w:r w:rsidRPr="00EA190F">
        <w:rPr>
          <w:color w:val="000000"/>
        </w:rPr>
        <w:t>and other partners.</w:t>
      </w:r>
    </w:p>
    <w:p w:rsidR="00BA0E8D" w:rsidRPr="00EA190F" w:rsidRDefault="00CB1CDA" w:rsidP="00BA0E8D">
      <w:pPr>
        <w:pStyle w:val="Heading4"/>
        <w:rPr>
          <w:color w:val="000000"/>
        </w:rPr>
      </w:pPr>
      <w:r w:rsidRPr="00EA190F">
        <w:rPr>
          <w:color w:val="000000"/>
        </w:rPr>
        <w:lastRenderedPageBreak/>
        <w:t>Key factors</w:t>
      </w:r>
      <w:r w:rsidR="008F6566" w:rsidRPr="00EA190F">
        <w:rPr>
          <w:color w:val="000000"/>
        </w:rPr>
        <w:t xml:space="preserve"> </w:t>
      </w:r>
      <w:r w:rsidR="00BA0E8D" w:rsidRPr="00EA190F">
        <w:rPr>
          <w:color w:val="000000"/>
        </w:rPr>
        <w:t>hindering</w:t>
      </w:r>
    </w:p>
    <w:p w:rsidR="00CB1CDA" w:rsidRPr="00EA190F" w:rsidRDefault="00CB1CDA" w:rsidP="00BA0E8D">
      <w:pPr>
        <w:pStyle w:val="BodyText"/>
        <w:rPr>
          <w:color w:val="000000"/>
        </w:rPr>
      </w:pPr>
      <w:r w:rsidRPr="00EA190F">
        <w:rPr>
          <w:color w:val="000000"/>
        </w:rPr>
        <w:t xml:space="preserve">AusAID established a </w:t>
      </w:r>
      <w:r w:rsidR="009C09C4" w:rsidRPr="00EA190F">
        <w:rPr>
          <w:color w:val="000000"/>
        </w:rPr>
        <w:t xml:space="preserve">trust fund </w:t>
      </w:r>
      <w:r w:rsidRPr="00EA190F">
        <w:rPr>
          <w:color w:val="000000"/>
        </w:rPr>
        <w:t xml:space="preserve">with the </w:t>
      </w:r>
      <w:r w:rsidR="009C09C4" w:rsidRPr="00EA190F">
        <w:rPr>
          <w:color w:val="000000"/>
        </w:rPr>
        <w:t xml:space="preserve">World Bank </w:t>
      </w:r>
      <w:r w:rsidRPr="00EA190F">
        <w:rPr>
          <w:color w:val="000000"/>
        </w:rPr>
        <w:t>to support BESRA.</w:t>
      </w:r>
      <w:r w:rsidR="008F6566" w:rsidRPr="00EA190F">
        <w:rPr>
          <w:color w:val="000000"/>
        </w:rPr>
        <w:t xml:space="preserve"> </w:t>
      </w:r>
      <w:r w:rsidRPr="00EA190F">
        <w:rPr>
          <w:color w:val="000000"/>
        </w:rPr>
        <w:t xml:space="preserve">The </w:t>
      </w:r>
      <w:r w:rsidR="009C09C4" w:rsidRPr="00EA190F">
        <w:rPr>
          <w:color w:val="000000"/>
        </w:rPr>
        <w:t xml:space="preserve">World Bank </w:t>
      </w:r>
      <w:r w:rsidRPr="00EA190F">
        <w:rPr>
          <w:color w:val="000000"/>
        </w:rPr>
        <w:t>applied a series of preconditions</w:t>
      </w:r>
      <w:r w:rsidR="009C09C4" w:rsidRPr="00EA190F">
        <w:rPr>
          <w:color w:val="000000"/>
        </w:rPr>
        <w:t>,</w:t>
      </w:r>
      <w:r w:rsidRPr="00EA190F">
        <w:rPr>
          <w:color w:val="000000"/>
        </w:rPr>
        <w:t xml:space="preserve"> which the </w:t>
      </w:r>
      <w:r w:rsidR="009C09C4" w:rsidRPr="00EA190F">
        <w:rPr>
          <w:color w:val="000000"/>
        </w:rPr>
        <w:t xml:space="preserve">Government </w:t>
      </w:r>
      <w:r w:rsidR="00AE79C6" w:rsidRPr="00EA190F">
        <w:rPr>
          <w:color w:val="000000"/>
        </w:rPr>
        <w:t xml:space="preserve">of the </w:t>
      </w:r>
      <w:smartTag w:uri="urn:schemas-microsoft-com:office:smarttags" w:element="country-region">
        <w:smartTag w:uri="urn:schemas-microsoft-com:office:smarttags" w:element="place">
          <w:r w:rsidR="00AE79C6" w:rsidRPr="00EA190F">
            <w:rPr>
              <w:color w:val="000000"/>
            </w:rPr>
            <w:t>Philippines</w:t>
          </w:r>
        </w:smartTag>
      </w:smartTag>
      <w:r w:rsidR="00AE79C6" w:rsidRPr="00EA190F">
        <w:rPr>
          <w:color w:val="000000"/>
        </w:rPr>
        <w:t xml:space="preserve"> </w:t>
      </w:r>
      <w:r w:rsidRPr="00EA190F">
        <w:rPr>
          <w:color w:val="000000"/>
        </w:rPr>
        <w:t>ha</w:t>
      </w:r>
      <w:r w:rsidR="00EF21D7" w:rsidRPr="00EA190F">
        <w:rPr>
          <w:color w:val="000000"/>
        </w:rPr>
        <w:t>ve</w:t>
      </w:r>
      <w:r w:rsidRPr="00EA190F">
        <w:rPr>
          <w:color w:val="000000"/>
        </w:rPr>
        <w:t xml:space="preserve"> not met.</w:t>
      </w:r>
      <w:r w:rsidR="008F6566" w:rsidRPr="00EA190F">
        <w:rPr>
          <w:color w:val="000000"/>
        </w:rPr>
        <w:t xml:space="preserve"> </w:t>
      </w:r>
      <w:r w:rsidRPr="00EA190F">
        <w:rPr>
          <w:color w:val="000000"/>
        </w:rPr>
        <w:t xml:space="preserve">A delay in mobilising funds from the </w:t>
      </w:r>
      <w:r w:rsidR="009C09C4" w:rsidRPr="00EA190F">
        <w:rPr>
          <w:color w:val="000000"/>
        </w:rPr>
        <w:t xml:space="preserve">trust fund </w:t>
      </w:r>
      <w:r w:rsidRPr="00EA190F">
        <w:rPr>
          <w:color w:val="000000"/>
        </w:rPr>
        <w:t xml:space="preserve">has created inefficiencies in </w:t>
      </w:r>
      <w:r w:rsidR="009C09C4" w:rsidRPr="00EA190F">
        <w:rPr>
          <w:color w:val="000000"/>
        </w:rPr>
        <w:t xml:space="preserve">the </w:t>
      </w:r>
      <w:r w:rsidRPr="00EA190F">
        <w:rPr>
          <w:color w:val="000000"/>
        </w:rPr>
        <w:t>support of BESRA.</w:t>
      </w:r>
    </w:p>
    <w:p w:rsidR="00CB1CDA" w:rsidRPr="00EA190F" w:rsidRDefault="00CB1CDA" w:rsidP="00BA0E8D">
      <w:pPr>
        <w:pStyle w:val="BodyText"/>
        <w:rPr>
          <w:color w:val="000000"/>
        </w:rPr>
      </w:pPr>
      <w:r w:rsidRPr="00EA190F">
        <w:rPr>
          <w:color w:val="000000"/>
        </w:rPr>
        <w:t xml:space="preserve">The </w:t>
      </w:r>
      <w:r w:rsidR="009C09C4" w:rsidRPr="00EA190F">
        <w:rPr>
          <w:color w:val="000000"/>
        </w:rPr>
        <w:t xml:space="preserve">technical working groups </w:t>
      </w:r>
      <w:r w:rsidRPr="00EA190F">
        <w:rPr>
          <w:color w:val="000000"/>
        </w:rPr>
        <w:t xml:space="preserve">required additional resources from </w:t>
      </w:r>
      <w:r w:rsidR="009C09C4" w:rsidRPr="00EA190F">
        <w:rPr>
          <w:color w:val="000000"/>
        </w:rPr>
        <w:t>the Department of Education</w:t>
      </w:r>
      <w:r w:rsidRPr="00EA190F">
        <w:rPr>
          <w:color w:val="000000"/>
        </w:rPr>
        <w:t xml:space="preserve">. There has been a delay in the </w:t>
      </w:r>
      <w:r w:rsidR="009C09C4" w:rsidRPr="00EA190F">
        <w:rPr>
          <w:color w:val="000000"/>
        </w:rPr>
        <w:t xml:space="preserve">groups </w:t>
      </w:r>
      <w:r w:rsidRPr="00EA190F">
        <w:rPr>
          <w:color w:val="000000"/>
        </w:rPr>
        <w:t>developing costed work plans, which has been reflected in a lack of progress in some key reform areas</w:t>
      </w:r>
      <w:r w:rsidR="009C09C4" w:rsidRPr="00EA190F">
        <w:rPr>
          <w:color w:val="000000"/>
        </w:rPr>
        <w:t>,</w:t>
      </w:r>
      <w:r w:rsidRPr="00EA190F">
        <w:rPr>
          <w:color w:val="000000"/>
        </w:rPr>
        <w:t xml:space="preserve"> such as quality assurance for </w:t>
      </w:r>
      <w:r w:rsidR="009C09C4" w:rsidRPr="00EA190F">
        <w:rPr>
          <w:color w:val="000000"/>
        </w:rPr>
        <w:t xml:space="preserve">performance data of the </w:t>
      </w:r>
      <w:r w:rsidRPr="00EA190F">
        <w:rPr>
          <w:color w:val="000000"/>
        </w:rPr>
        <w:t>education sector.</w:t>
      </w:r>
    </w:p>
    <w:p w:rsidR="00CB1CDA" w:rsidRPr="00EA190F" w:rsidRDefault="00CB1CDA" w:rsidP="00BA0E8D">
      <w:pPr>
        <w:pStyle w:val="Heading2nonumber"/>
        <w:rPr>
          <w:color w:val="000000"/>
        </w:rPr>
      </w:pPr>
      <w:bookmarkStart w:id="45" w:name="_Toc360805260"/>
      <w:r w:rsidRPr="00EA190F">
        <w:rPr>
          <w:color w:val="000000"/>
        </w:rPr>
        <w:t>Objective</w:t>
      </w:r>
      <w:proofErr w:type="gramStart"/>
      <w:r w:rsidRPr="00EA190F">
        <w:rPr>
          <w:color w:val="000000"/>
        </w:rPr>
        <w:t>:</w:t>
      </w:r>
      <w:proofErr w:type="gramEnd"/>
      <w:r w:rsidR="00BA0E8D" w:rsidRPr="00EA190F">
        <w:rPr>
          <w:color w:val="000000"/>
        </w:rPr>
        <w:br/>
      </w:r>
      <w:r w:rsidRPr="00EA190F">
        <w:rPr>
          <w:color w:val="000000"/>
        </w:rPr>
        <w:t>Improved education opportunities for boys and girls in targeted areas</w:t>
      </w:r>
      <w:bookmarkEnd w:id="45"/>
      <w:r w:rsidRPr="00EA190F">
        <w:rPr>
          <w:color w:val="000000"/>
        </w:rPr>
        <w:t xml:space="preserve"> </w:t>
      </w:r>
    </w:p>
    <w:p w:rsidR="00CB1CDA" w:rsidRPr="00EA190F" w:rsidRDefault="00BA0E8D" w:rsidP="00BA0E8D">
      <w:pPr>
        <w:pStyle w:val="Heading3nonumber"/>
        <w:rPr>
          <w:color w:val="000000"/>
        </w:rPr>
      </w:pPr>
      <w:r w:rsidRPr="00EA190F">
        <w:rPr>
          <w:color w:val="000000"/>
        </w:rPr>
        <w:t>Rating</w:t>
      </w:r>
    </w:p>
    <w:p w:rsidR="00CB1CDA" w:rsidRPr="00EA190F" w:rsidRDefault="00EA190F" w:rsidP="00842019">
      <w:pPr>
        <w:pStyle w:val="HighlightBulletOrange"/>
        <w:rPr>
          <w:color w:val="000000"/>
        </w:rPr>
      </w:pPr>
      <w:r w:rsidRPr="00EA190F">
        <w:rPr>
          <w:color w:val="000000"/>
        </w:rPr>
        <w:t xml:space="preserve">(amber) </w:t>
      </w:r>
      <w:r w:rsidR="00CB1CDA" w:rsidRPr="00EA190F">
        <w:rPr>
          <w:color w:val="000000"/>
        </w:rPr>
        <w:t>The objective will be partly achieved within the timeframe</w:t>
      </w:r>
      <w:r w:rsidR="00203985" w:rsidRPr="00EA190F">
        <w:rPr>
          <w:color w:val="000000"/>
        </w:rPr>
        <w:t>.</w:t>
      </w:r>
    </w:p>
    <w:p w:rsidR="00842019" w:rsidRPr="00EA190F" w:rsidRDefault="00842019" w:rsidP="00842019">
      <w:pPr>
        <w:pStyle w:val="Heading3nonumber"/>
        <w:rPr>
          <w:color w:val="000000"/>
        </w:rPr>
      </w:pPr>
      <w:r w:rsidRPr="00EA190F">
        <w:rPr>
          <w:color w:val="000000"/>
        </w:rPr>
        <w:t xml:space="preserve">Contributing programs </w:t>
      </w:r>
    </w:p>
    <w:p w:rsidR="00203985" w:rsidRPr="00EA190F" w:rsidRDefault="00203985" w:rsidP="007F2422">
      <w:pPr>
        <w:pStyle w:val="ListBullet"/>
      </w:pPr>
      <w:r w:rsidRPr="00EA190F">
        <w:t xml:space="preserve">Basic Education Assistance </w:t>
      </w:r>
      <w:r w:rsidR="003C212A" w:rsidRPr="00EA190F">
        <w:t>for</w:t>
      </w:r>
      <w:r w:rsidRPr="00EA190F">
        <w:t xml:space="preserve"> </w:t>
      </w:r>
      <w:smartTag w:uri="urn:schemas-microsoft-com:office:smarttags" w:element="place">
        <w:r w:rsidRPr="00EA190F">
          <w:t>Mindanao</w:t>
        </w:r>
      </w:smartTag>
      <w:r w:rsidRPr="00EA190F">
        <w:t xml:space="preserve"> II</w:t>
      </w:r>
    </w:p>
    <w:p w:rsidR="00203985" w:rsidRPr="00EA190F" w:rsidRDefault="00203985" w:rsidP="007F2422">
      <w:pPr>
        <w:pStyle w:val="ListBullet"/>
      </w:pPr>
      <w:r w:rsidRPr="00EA190F">
        <w:t xml:space="preserve">Strengthening Implementation of </w:t>
      </w:r>
      <w:proofErr w:type="spellStart"/>
      <w:r w:rsidRPr="00EA190F">
        <w:t>Visayas</w:t>
      </w:r>
      <w:proofErr w:type="spellEnd"/>
      <w:r w:rsidRPr="00EA190F">
        <w:t xml:space="preserve"> Education</w:t>
      </w:r>
    </w:p>
    <w:p w:rsidR="00CB1CDA" w:rsidRPr="00EA190F" w:rsidRDefault="00CB1CDA" w:rsidP="00842019">
      <w:pPr>
        <w:pStyle w:val="Heading3nonumber"/>
        <w:rPr>
          <w:color w:val="000000"/>
        </w:rPr>
      </w:pPr>
      <w:r w:rsidRPr="00EA190F">
        <w:rPr>
          <w:color w:val="000000"/>
        </w:rPr>
        <w:t>Assessment of results and performance</w:t>
      </w:r>
    </w:p>
    <w:p w:rsidR="00CB1CDA" w:rsidRPr="00EA190F" w:rsidRDefault="00CB1CDA" w:rsidP="00842019">
      <w:pPr>
        <w:pStyle w:val="Heading4"/>
        <w:rPr>
          <w:color w:val="000000"/>
        </w:rPr>
      </w:pPr>
      <w:r w:rsidRPr="00EA190F">
        <w:rPr>
          <w:color w:val="000000"/>
        </w:rPr>
        <w:t xml:space="preserve">Key </w:t>
      </w:r>
      <w:r w:rsidR="00842019" w:rsidRPr="00EA190F">
        <w:rPr>
          <w:color w:val="000000"/>
        </w:rPr>
        <w:t>results</w:t>
      </w:r>
    </w:p>
    <w:p w:rsidR="00CB1CDA" w:rsidRPr="00EA190F" w:rsidRDefault="00CB1CDA" w:rsidP="00842019">
      <w:pPr>
        <w:pStyle w:val="BodyText"/>
        <w:rPr>
          <w:color w:val="000000"/>
        </w:rPr>
      </w:pPr>
      <w:r w:rsidRPr="00EA190F">
        <w:rPr>
          <w:color w:val="000000"/>
        </w:rPr>
        <w:t xml:space="preserve">The two main goals under this objective are to improve service delivery and increase access for Muslims and </w:t>
      </w:r>
      <w:r w:rsidR="002413B3" w:rsidRPr="00EA190F">
        <w:rPr>
          <w:color w:val="000000"/>
        </w:rPr>
        <w:t xml:space="preserve">indigenous </w:t>
      </w:r>
      <w:r w:rsidRPr="00EA190F">
        <w:rPr>
          <w:color w:val="000000"/>
        </w:rPr>
        <w:t xml:space="preserve">people to appropriate education services. </w:t>
      </w:r>
    </w:p>
    <w:p w:rsidR="00CB1CDA" w:rsidRPr="00EA190F" w:rsidRDefault="00CB1CDA" w:rsidP="00842019">
      <w:pPr>
        <w:pStyle w:val="BodyText"/>
        <w:rPr>
          <w:color w:val="000000"/>
        </w:rPr>
      </w:pPr>
      <w:r w:rsidRPr="00EA190F">
        <w:rPr>
          <w:color w:val="000000"/>
        </w:rPr>
        <w:t xml:space="preserve">Service delivery has improved in three regions in </w:t>
      </w:r>
      <w:smartTag w:uri="urn:schemas-microsoft-com:office:smarttags" w:element="place">
        <w:r w:rsidRPr="00EA190F">
          <w:rPr>
            <w:color w:val="000000"/>
          </w:rPr>
          <w:t>Mindanao</w:t>
        </w:r>
      </w:smartTag>
      <w:r w:rsidRPr="00EA190F">
        <w:rPr>
          <w:color w:val="000000"/>
        </w:rPr>
        <w:t xml:space="preserve"> through enhanced quality of in-service teacher training</w:t>
      </w:r>
      <w:r w:rsidR="002413B3" w:rsidRPr="00EA190F">
        <w:rPr>
          <w:color w:val="000000"/>
        </w:rPr>
        <w:t>,</w:t>
      </w:r>
      <w:r w:rsidRPr="00EA190F">
        <w:rPr>
          <w:color w:val="000000"/>
        </w:rPr>
        <w:t xml:space="preserve"> which has improved teachers’ lesson planning and in</w:t>
      </w:r>
      <w:r w:rsidR="002413B3" w:rsidRPr="00EA190F">
        <w:rPr>
          <w:color w:val="000000"/>
        </w:rPr>
        <w:t>-</w:t>
      </w:r>
      <w:r w:rsidRPr="00EA190F">
        <w:rPr>
          <w:color w:val="000000"/>
        </w:rPr>
        <w:t>class skills. Over 42</w:t>
      </w:r>
      <w:r w:rsidR="002413B3" w:rsidRPr="00EA190F">
        <w:rPr>
          <w:color w:val="000000"/>
        </w:rPr>
        <w:t> </w:t>
      </w:r>
      <w:r w:rsidRPr="00EA190F">
        <w:rPr>
          <w:color w:val="000000"/>
        </w:rPr>
        <w:t xml:space="preserve">000 teachers have access to a wide range of teaching strategies to develop students’ critical thinking and active learning skills. The BEAM-developed teaching and learning materials, including the learning guides, are widely available and used in schools in </w:t>
      </w:r>
      <w:smartTag w:uri="urn:schemas-microsoft-com:office:smarttags" w:element="place">
        <w:r w:rsidRPr="00EA190F">
          <w:rPr>
            <w:color w:val="000000"/>
          </w:rPr>
          <w:t>Mindanao</w:t>
        </w:r>
      </w:smartTag>
      <w:r w:rsidRPr="00EA190F">
        <w:rPr>
          <w:color w:val="000000"/>
        </w:rPr>
        <w:t xml:space="preserve"> and can be accessed online in other parts of the country to improve teaching practices. </w:t>
      </w:r>
    </w:p>
    <w:p w:rsidR="00CB1CDA" w:rsidRPr="00EA190F" w:rsidRDefault="00CB1CDA" w:rsidP="00842019">
      <w:pPr>
        <w:pStyle w:val="BodyText"/>
        <w:rPr>
          <w:color w:val="000000"/>
        </w:rPr>
      </w:pPr>
      <w:r w:rsidRPr="00EA190F">
        <w:rPr>
          <w:color w:val="000000"/>
        </w:rPr>
        <w:t xml:space="preserve">The impact on student learning is demonstrated by the Regional Assessment in Mathematics, Science and English across </w:t>
      </w:r>
      <w:r w:rsidR="00DA78C3" w:rsidRPr="00EA190F">
        <w:rPr>
          <w:color w:val="000000"/>
        </w:rPr>
        <w:t>the</w:t>
      </w:r>
      <w:r w:rsidRPr="00EA190F">
        <w:rPr>
          <w:color w:val="000000"/>
        </w:rPr>
        <w:t xml:space="preserve"> </w:t>
      </w:r>
      <w:r w:rsidR="00DA78C3" w:rsidRPr="00EA190F">
        <w:rPr>
          <w:color w:val="000000"/>
        </w:rPr>
        <w:t xml:space="preserve">three </w:t>
      </w:r>
      <w:r w:rsidRPr="00EA190F">
        <w:rPr>
          <w:color w:val="000000"/>
        </w:rPr>
        <w:t>regions in which BEAM is implemented.</w:t>
      </w:r>
      <w:r w:rsidR="008F6566" w:rsidRPr="00EA190F">
        <w:rPr>
          <w:color w:val="000000"/>
        </w:rPr>
        <w:t xml:space="preserve"> </w:t>
      </w:r>
      <w:r w:rsidRPr="00EA190F">
        <w:rPr>
          <w:color w:val="000000"/>
        </w:rPr>
        <w:t>Specifically, from 2004 to 2007 there were significant increases in students’ scores</w:t>
      </w:r>
      <w:r w:rsidR="00DA78C3" w:rsidRPr="00EA190F">
        <w:rPr>
          <w:color w:val="000000"/>
        </w:rPr>
        <w:t>,</w:t>
      </w:r>
      <w:r w:rsidRPr="00EA190F">
        <w:rPr>
          <w:color w:val="000000"/>
        </w:rPr>
        <w:t xml:space="preserve"> with an increase in the mean percentage score to 47 (from a baseline of 28) for grade</w:t>
      </w:r>
      <w:r w:rsidR="00DA78C3" w:rsidRPr="00EA190F">
        <w:rPr>
          <w:color w:val="000000"/>
        </w:rPr>
        <w:t> </w:t>
      </w:r>
      <w:r w:rsidRPr="00EA190F">
        <w:rPr>
          <w:color w:val="000000"/>
        </w:rPr>
        <w:t xml:space="preserve">4 and an increase to 42 (from a baseline of 36) for </w:t>
      </w:r>
      <w:r w:rsidR="00DA78C3" w:rsidRPr="00EA190F">
        <w:rPr>
          <w:color w:val="000000"/>
        </w:rPr>
        <w:t>grade </w:t>
      </w:r>
      <w:r w:rsidRPr="00EA190F">
        <w:rPr>
          <w:color w:val="000000"/>
        </w:rPr>
        <w:t xml:space="preserve">2 in the three subject </w:t>
      </w:r>
      <w:r w:rsidRPr="00EA190F">
        <w:rPr>
          <w:color w:val="000000"/>
        </w:rPr>
        <w:lastRenderedPageBreak/>
        <w:t>areas tested.</w:t>
      </w:r>
      <w:r w:rsidR="008F6566" w:rsidRPr="00EA190F">
        <w:rPr>
          <w:color w:val="000000"/>
        </w:rPr>
        <w:t xml:space="preserve"> </w:t>
      </w:r>
      <w:r w:rsidRPr="00EA190F">
        <w:rPr>
          <w:color w:val="000000"/>
        </w:rPr>
        <w:t xml:space="preserve">Students whose teachers had attended BEAM training achieved higher scores </w:t>
      </w:r>
      <w:r w:rsidR="00DA78C3" w:rsidRPr="00EA190F">
        <w:rPr>
          <w:color w:val="000000"/>
        </w:rPr>
        <w:t>than</w:t>
      </w:r>
      <w:r w:rsidRPr="00EA190F">
        <w:rPr>
          <w:color w:val="000000"/>
        </w:rPr>
        <w:t xml:space="preserve"> students whose teachers had not received BEAM training. </w:t>
      </w:r>
    </w:p>
    <w:p w:rsidR="00CB1CDA" w:rsidRPr="00EA190F" w:rsidRDefault="00CB1CDA" w:rsidP="00842019">
      <w:pPr>
        <w:pStyle w:val="BodyText"/>
        <w:rPr>
          <w:color w:val="000000"/>
        </w:rPr>
      </w:pPr>
      <w:r w:rsidRPr="00EA190F">
        <w:rPr>
          <w:color w:val="000000"/>
        </w:rPr>
        <w:t xml:space="preserve">AusAID supports improved inclusive education for Muslims and </w:t>
      </w:r>
      <w:r w:rsidR="00452BA9" w:rsidRPr="00EA190F">
        <w:rPr>
          <w:color w:val="000000"/>
        </w:rPr>
        <w:t>indigenous people</w:t>
      </w:r>
      <w:r w:rsidRPr="00EA190F">
        <w:rPr>
          <w:color w:val="000000"/>
        </w:rPr>
        <w:t xml:space="preserve"> who are particularly disadvantaged</w:t>
      </w:r>
      <w:r w:rsidR="00452BA9" w:rsidRPr="00EA190F">
        <w:rPr>
          <w:color w:val="000000"/>
        </w:rPr>
        <w:t>.</w:t>
      </w:r>
      <w:r w:rsidRPr="00EA190F">
        <w:rPr>
          <w:color w:val="000000"/>
        </w:rPr>
        <w:t xml:space="preserve"> BEAM developed a standardised Arabic </w:t>
      </w:r>
      <w:r w:rsidR="00452BA9" w:rsidRPr="00EA190F">
        <w:rPr>
          <w:color w:val="000000"/>
        </w:rPr>
        <w:t xml:space="preserve">language </w:t>
      </w:r>
      <w:r w:rsidRPr="00EA190F">
        <w:rPr>
          <w:color w:val="000000"/>
        </w:rPr>
        <w:t xml:space="preserve">and Islamic </w:t>
      </w:r>
      <w:r w:rsidR="00452BA9" w:rsidRPr="00EA190F">
        <w:rPr>
          <w:color w:val="000000"/>
        </w:rPr>
        <w:t xml:space="preserve">values education </w:t>
      </w:r>
      <w:r w:rsidRPr="00EA190F">
        <w:rPr>
          <w:color w:val="000000"/>
        </w:rPr>
        <w:t>(</w:t>
      </w:r>
      <w:proofErr w:type="gramStart"/>
      <w:r w:rsidRPr="00EA190F">
        <w:rPr>
          <w:color w:val="000000"/>
        </w:rPr>
        <w:t>ALIVE</w:t>
      </w:r>
      <w:proofErr w:type="gramEnd"/>
      <w:r w:rsidRPr="00EA190F">
        <w:rPr>
          <w:color w:val="000000"/>
        </w:rPr>
        <w:t>) curriculum</w:t>
      </w:r>
      <w:r w:rsidR="00452BA9" w:rsidRPr="00EA190F">
        <w:rPr>
          <w:color w:val="000000"/>
        </w:rPr>
        <w:t>,</w:t>
      </w:r>
      <w:r w:rsidRPr="00EA190F">
        <w:rPr>
          <w:color w:val="000000"/>
        </w:rPr>
        <w:t xml:space="preserve"> which is being implemented in public schools nationwide. </w:t>
      </w:r>
    </w:p>
    <w:p w:rsidR="00CB1CDA" w:rsidRPr="00EA190F" w:rsidRDefault="00CB1CDA" w:rsidP="00842019">
      <w:pPr>
        <w:pStyle w:val="BodyText"/>
        <w:rPr>
          <w:color w:val="000000"/>
        </w:rPr>
      </w:pPr>
      <w:r w:rsidRPr="00EA190F">
        <w:rPr>
          <w:color w:val="000000"/>
        </w:rPr>
        <w:t>AusAID support has enabled the training of more than 2100 Muslim teachers (</w:t>
      </w:r>
      <w:proofErr w:type="spellStart"/>
      <w:r w:rsidRPr="00EA190F">
        <w:rPr>
          <w:color w:val="000000"/>
        </w:rPr>
        <w:t>Asatidz</w:t>
      </w:r>
      <w:proofErr w:type="spellEnd"/>
      <w:r w:rsidRPr="00EA190F">
        <w:rPr>
          <w:color w:val="000000"/>
        </w:rPr>
        <w:t>).</w:t>
      </w:r>
      <w:r w:rsidR="008F6566" w:rsidRPr="00EA190F">
        <w:rPr>
          <w:color w:val="000000"/>
        </w:rPr>
        <w:t xml:space="preserve"> </w:t>
      </w:r>
      <w:r w:rsidRPr="00EA190F">
        <w:rPr>
          <w:color w:val="000000"/>
        </w:rPr>
        <w:t xml:space="preserve">Under the Accelerated Teacher Education Program, in partnership with nine universities nationwide, 326 </w:t>
      </w:r>
      <w:proofErr w:type="spellStart"/>
      <w:r w:rsidRPr="00EA190F">
        <w:rPr>
          <w:color w:val="000000"/>
        </w:rPr>
        <w:t>Asatidz</w:t>
      </w:r>
      <w:proofErr w:type="spellEnd"/>
      <w:r w:rsidRPr="00EA190F">
        <w:rPr>
          <w:color w:val="000000"/>
        </w:rPr>
        <w:t xml:space="preserve"> BEAM scholars graduated with a Bachelor of Elementary Education with speciali</w:t>
      </w:r>
      <w:r w:rsidR="00452BA9" w:rsidRPr="00EA190F">
        <w:rPr>
          <w:color w:val="000000"/>
        </w:rPr>
        <w:t>s</w:t>
      </w:r>
      <w:r w:rsidRPr="00EA190F">
        <w:rPr>
          <w:color w:val="000000"/>
        </w:rPr>
        <w:t xml:space="preserve">ation in Islamic </w:t>
      </w:r>
      <w:r w:rsidR="00452BA9" w:rsidRPr="00EA190F">
        <w:rPr>
          <w:color w:val="000000"/>
        </w:rPr>
        <w:t xml:space="preserve">values </w:t>
      </w:r>
      <w:r w:rsidRPr="00EA190F">
        <w:rPr>
          <w:color w:val="000000"/>
        </w:rPr>
        <w:t>and Arabic language.</w:t>
      </w:r>
      <w:r w:rsidR="008F6566" w:rsidRPr="00EA190F">
        <w:rPr>
          <w:color w:val="000000"/>
        </w:rPr>
        <w:t xml:space="preserve"> </w:t>
      </w:r>
      <w:r w:rsidRPr="00EA190F">
        <w:rPr>
          <w:color w:val="000000"/>
        </w:rPr>
        <w:t xml:space="preserve">AusAID has also assisted 36 </w:t>
      </w:r>
      <w:proofErr w:type="spellStart"/>
      <w:r w:rsidRPr="00EA190F">
        <w:rPr>
          <w:color w:val="000000"/>
        </w:rPr>
        <w:t>madaris</w:t>
      </w:r>
      <w:proofErr w:type="spellEnd"/>
      <w:r w:rsidRPr="00EA190F">
        <w:rPr>
          <w:color w:val="000000"/>
        </w:rPr>
        <w:t xml:space="preserve"> in </w:t>
      </w:r>
      <w:smartTag w:uri="urn:schemas-microsoft-com:office:smarttags" w:element="place">
        <w:r w:rsidRPr="00EA190F">
          <w:rPr>
            <w:color w:val="000000"/>
          </w:rPr>
          <w:t>Mindanao</w:t>
        </w:r>
      </w:smartTag>
      <w:r w:rsidRPr="00EA190F">
        <w:rPr>
          <w:color w:val="000000"/>
        </w:rPr>
        <w:t xml:space="preserve"> to earn </w:t>
      </w:r>
      <w:r w:rsidR="00452BA9" w:rsidRPr="00EA190F">
        <w:rPr>
          <w:color w:val="000000"/>
        </w:rPr>
        <w:t xml:space="preserve">Department of Education </w:t>
      </w:r>
      <w:r w:rsidRPr="00EA190F">
        <w:rPr>
          <w:color w:val="000000"/>
        </w:rPr>
        <w:t xml:space="preserve">permits to operate as private </w:t>
      </w:r>
      <w:proofErr w:type="spellStart"/>
      <w:r w:rsidRPr="00EA190F">
        <w:rPr>
          <w:color w:val="000000"/>
        </w:rPr>
        <w:t>madaris</w:t>
      </w:r>
      <w:proofErr w:type="spellEnd"/>
      <w:r w:rsidRPr="00EA190F">
        <w:rPr>
          <w:color w:val="000000"/>
        </w:rPr>
        <w:t>, implement the standard Madrasah curriculum</w:t>
      </w:r>
      <w:r w:rsidR="00452BA9" w:rsidRPr="00EA190F">
        <w:rPr>
          <w:color w:val="000000"/>
        </w:rPr>
        <w:t>,</w:t>
      </w:r>
      <w:r w:rsidRPr="00EA190F">
        <w:rPr>
          <w:color w:val="000000"/>
        </w:rPr>
        <w:t xml:space="preserve"> including subjects other than religious teaching</w:t>
      </w:r>
      <w:r w:rsidR="00452BA9" w:rsidRPr="00EA190F">
        <w:rPr>
          <w:color w:val="000000"/>
        </w:rPr>
        <w:t>,</w:t>
      </w:r>
      <w:r w:rsidRPr="00EA190F">
        <w:rPr>
          <w:color w:val="000000"/>
        </w:rPr>
        <w:t xml:space="preserve"> and access government funding. By </w:t>
      </w:r>
      <w:r w:rsidR="00590C9A" w:rsidRPr="00EA190F">
        <w:rPr>
          <w:color w:val="000000"/>
        </w:rPr>
        <w:t xml:space="preserve">the </w:t>
      </w:r>
      <w:r w:rsidRPr="00EA190F">
        <w:rPr>
          <w:color w:val="000000"/>
        </w:rPr>
        <w:t>end of May 2008, 30 ha</w:t>
      </w:r>
      <w:r w:rsidR="00EF21D7" w:rsidRPr="00EA190F">
        <w:rPr>
          <w:color w:val="000000"/>
        </w:rPr>
        <w:t>d</w:t>
      </w:r>
      <w:r w:rsidRPr="00EA190F">
        <w:rPr>
          <w:color w:val="000000"/>
        </w:rPr>
        <w:t xml:space="preserve"> been granted permits to operate.</w:t>
      </w:r>
      <w:r w:rsidR="008F6566" w:rsidRPr="00EA190F">
        <w:rPr>
          <w:color w:val="000000"/>
        </w:rPr>
        <w:t xml:space="preserve"> </w:t>
      </w:r>
      <w:r w:rsidR="00590C9A" w:rsidRPr="00EA190F">
        <w:rPr>
          <w:color w:val="000000"/>
        </w:rPr>
        <w:t>An i</w:t>
      </w:r>
      <w:r w:rsidRPr="00EA190F">
        <w:rPr>
          <w:color w:val="000000"/>
        </w:rPr>
        <w:t>mprove</w:t>
      </w:r>
      <w:r w:rsidR="00590C9A" w:rsidRPr="00EA190F">
        <w:rPr>
          <w:color w:val="000000"/>
        </w:rPr>
        <w:t>ment in the</w:t>
      </w:r>
      <w:r w:rsidRPr="00EA190F">
        <w:rPr>
          <w:color w:val="000000"/>
        </w:rPr>
        <w:t xml:space="preserve"> quality of Muslim instruction in mainstream public schools encourages more Muslim parents to send their children to public schools. </w:t>
      </w:r>
      <w:r w:rsidR="00EF21D7" w:rsidRPr="00EA190F">
        <w:rPr>
          <w:color w:val="000000"/>
        </w:rPr>
        <w:t>I</w:t>
      </w:r>
      <w:r w:rsidRPr="00EA190F">
        <w:rPr>
          <w:color w:val="000000"/>
        </w:rPr>
        <w:t>ncluding Muslim groups in mainstream</w:t>
      </w:r>
      <w:r w:rsidR="00E0619D" w:rsidRPr="00EA190F">
        <w:rPr>
          <w:color w:val="000000"/>
        </w:rPr>
        <w:t xml:space="preserve"> education</w:t>
      </w:r>
      <w:r w:rsidR="00EF21D7" w:rsidRPr="00EA190F">
        <w:rPr>
          <w:color w:val="000000"/>
        </w:rPr>
        <w:t xml:space="preserve"> addresses one of the underl</w:t>
      </w:r>
      <w:r w:rsidR="00555CF1" w:rsidRPr="00EA190F">
        <w:rPr>
          <w:color w:val="000000"/>
        </w:rPr>
        <w:t>ying</w:t>
      </w:r>
      <w:r w:rsidR="00EF21D7" w:rsidRPr="00EA190F">
        <w:rPr>
          <w:color w:val="000000"/>
        </w:rPr>
        <w:t xml:space="preserve"> drivers of conflict</w:t>
      </w:r>
      <w:r w:rsidRPr="00EA190F">
        <w:rPr>
          <w:color w:val="000000"/>
        </w:rPr>
        <w:t xml:space="preserve">. </w:t>
      </w:r>
    </w:p>
    <w:p w:rsidR="00CB1CDA" w:rsidRPr="00EA190F" w:rsidRDefault="00CB1CDA" w:rsidP="00842019">
      <w:pPr>
        <w:pStyle w:val="BodyText"/>
        <w:rPr>
          <w:color w:val="000000"/>
          <w:spacing w:val="-2"/>
        </w:rPr>
      </w:pPr>
      <w:r w:rsidRPr="00EA190F">
        <w:rPr>
          <w:color w:val="000000"/>
          <w:spacing w:val="-2"/>
        </w:rPr>
        <w:t xml:space="preserve">Education for </w:t>
      </w:r>
      <w:r w:rsidR="00590C9A" w:rsidRPr="00EA190F">
        <w:rPr>
          <w:color w:val="000000"/>
          <w:spacing w:val="-2"/>
        </w:rPr>
        <w:t xml:space="preserve">indigenous children </w:t>
      </w:r>
      <w:r w:rsidRPr="00EA190F">
        <w:rPr>
          <w:color w:val="000000"/>
          <w:spacing w:val="-2"/>
        </w:rPr>
        <w:t xml:space="preserve">has been improved through the implementation of the Indigenised Basic Education Curriculum (an output of the BEAM initiative), which is also being rolled out nationally. </w:t>
      </w:r>
      <w:r w:rsidR="00590C9A" w:rsidRPr="00EA190F">
        <w:rPr>
          <w:color w:val="000000"/>
          <w:spacing w:val="-2"/>
        </w:rPr>
        <w:t xml:space="preserve">More than </w:t>
      </w:r>
      <w:r w:rsidRPr="00EA190F">
        <w:rPr>
          <w:color w:val="000000"/>
          <w:spacing w:val="-2"/>
        </w:rPr>
        <w:t xml:space="preserve">47 schools in </w:t>
      </w:r>
      <w:smartTag w:uri="urn:schemas-microsoft-com:office:smarttags" w:element="place">
        <w:r w:rsidRPr="00EA190F">
          <w:rPr>
            <w:color w:val="000000"/>
            <w:spacing w:val="-2"/>
          </w:rPr>
          <w:t>Mindanao</w:t>
        </w:r>
      </w:smartTag>
      <w:r w:rsidRPr="00EA190F">
        <w:rPr>
          <w:color w:val="000000"/>
          <w:spacing w:val="-2"/>
        </w:rPr>
        <w:t xml:space="preserve"> are implementing the curriculum, benefiting about 4600 </w:t>
      </w:r>
      <w:r w:rsidR="00590C9A" w:rsidRPr="00EA190F">
        <w:rPr>
          <w:color w:val="000000"/>
          <w:spacing w:val="-2"/>
        </w:rPr>
        <w:t xml:space="preserve">indigenous </w:t>
      </w:r>
      <w:r w:rsidRPr="00EA190F">
        <w:rPr>
          <w:color w:val="000000"/>
          <w:spacing w:val="-2"/>
        </w:rPr>
        <w:t xml:space="preserve">children. The </w:t>
      </w:r>
      <w:r w:rsidR="00EF21D7" w:rsidRPr="00EA190F">
        <w:rPr>
          <w:color w:val="000000"/>
          <w:spacing w:val="-2"/>
        </w:rPr>
        <w:t>‘</w:t>
      </w:r>
      <w:r w:rsidR="00590C9A" w:rsidRPr="00EA190F">
        <w:rPr>
          <w:color w:val="000000"/>
          <w:spacing w:val="-2"/>
        </w:rPr>
        <w:t>indigenised</w:t>
      </w:r>
      <w:r w:rsidR="00EF21D7" w:rsidRPr="00EA190F">
        <w:rPr>
          <w:color w:val="000000"/>
          <w:spacing w:val="-2"/>
        </w:rPr>
        <w:t>’</w:t>
      </w:r>
      <w:r w:rsidR="00590C9A" w:rsidRPr="00EA190F">
        <w:rPr>
          <w:color w:val="000000"/>
          <w:spacing w:val="-2"/>
        </w:rPr>
        <w:t xml:space="preserve"> </w:t>
      </w:r>
      <w:r w:rsidRPr="00EA190F">
        <w:rPr>
          <w:color w:val="000000"/>
          <w:spacing w:val="-2"/>
        </w:rPr>
        <w:t xml:space="preserve">curriculum has contributed to the revival and preservation of indigenous culture and has improved the relationship between schools and </w:t>
      </w:r>
      <w:r w:rsidR="00590C9A" w:rsidRPr="00EA190F">
        <w:rPr>
          <w:color w:val="000000"/>
          <w:spacing w:val="-2"/>
        </w:rPr>
        <w:t>indigenous</w:t>
      </w:r>
      <w:r w:rsidRPr="00EA190F">
        <w:rPr>
          <w:color w:val="000000"/>
          <w:spacing w:val="-2"/>
        </w:rPr>
        <w:t xml:space="preserve"> communities. About 120 </w:t>
      </w:r>
      <w:r w:rsidR="00EF21D7" w:rsidRPr="00EA190F">
        <w:rPr>
          <w:color w:val="000000"/>
          <w:spacing w:val="-2"/>
        </w:rPr>
        <w:t xml:space="preserve">community/tribal learning centres </w:t>
      </w:r>
      <w:r w:rsidRPr="00EA190F">
        <w:rPr>
          <w:color w:val="000000"/>
          <w:spacing w:val="-2"/>
        </w:rPr>
        <w:t>have been built and are used as classrooms for the learners and a multipurpose hall for community activities.</w:t>
      </w:r>
    </w:p>
    <w:p w:rsidR="00CB1CDA" w:rsidRPr="00EA190F" w:rsidRDefault="00CB1CDA" w:rsidP="00842019">
      <w:pPr>
        <w:pStyle w:val="BodyText"/>
        <w:rPr>
          <w:color w:val="000000"/>
        </w:rPr>
      </w:pPr>
      <w:r w:rsidRPr="00EA190F">
        <w:rPr>
          <w:color w:val="000000"/>
        </w:rPr>
        <w:t>Efforts to improve educational opportunit</w:t>
      </w:r>
      <w:r w:rsidR="00590C9A" w:rsidRPr="00EA190F">
        <w:rPr>
          <w:color w:val="000000"/>
        </w:rPr>
        <w:t>i</w:t>
      </w:r>
      <w:r w:rsidRPr="00EA190F">
        <w:rPr>
          <w:color w:val="000000"/>
        </w:rPr>
        <w:t>es also involved focused gender engagements. BEAM and STRIVE have demonstrated improved reporting on gender outcomes. Both projects collect, store and report gender</w:t>
      </w:r>
      <w:r w:rsidR="008D4713" w:rsidRPr="00EA190F">
        <w:rPr>
          <w:color w:val="000000"/>
        </w:rPr>
        <w:t>-</w:t>
      </w:r>
      <w:r w:rsidRPr="00EA190F">
        <w:rPr>
          <w:color w:val="000000"/>
        </w:rPr>
        <w:t xml:space="preserve">disaggregated data for all their activities and use </w:t>
      </w:r>
      <w:r w:rsidR="008D4713" w:rsidRPr="00EA190F">
        <w:rPr>
          <w:color w:val="000000"/>
        </w:rPr>
        <w:t xml:space="preserve">the </w:t>
      </w:r>
      <w:r w:rsidRPr="00EA190F">
        <w:rPr>
          <w:color w:val="000000"/>
        </w:rPr>
        <w:t>data to inform activity direction, especially if there are significant gender issues.</w:t>
      </w:r>
    </w:p>
    <w:p w:rsidR="00842019" w:rsidRPr="00EA190F" w:rsidRDefault="00CB1CDA" w:rsidP="00842019">
      <w:pPr>
        <w:pStyle w:val="Heading4"/>
        <w:rPr>
          <w:color w:val="000000"/>
        </w:rPr>
      </w:pPr>
      <w:r w:rsidRPr="00EA190F">
        <w:rPr>
          <w:color w:val="000000"/>
        </w:rPr>
        <w:t>Key factors</w:t>
      </w:r>
      <w:r w:rsidR="008F6566" w:rsidRPr="00EA190F">
        <w:rPr>
          <w:color w:val="000000"/>
        </w:rPr>
        <w:t xml:space="preserve"> </w:t>
      </w:r>
      <w:r w:rsidR="00842019" w:rsidRPr="00EA190F">
        <w:rPr>
          <w:color w:val="000000"/>
        </w:rPr>
        <w:t>contributing</w:t>
      </w:r>
    </w:p>
    <w:p w:rsidR="00CB1CDA" w:rsidRPr="00EA190F" w:rsidRDefault="00CB1CDA" w:rsidP="00842019">
      <w:pPr>
        <w:pStyle w:val="BodyText"/>
        <w:rPr>
          <w:color w:val="000000"/>
        </w:rPr>
      </w:pPr>
      <w:r w:rsidRPr="00EA190F">
        <w:rPr>
          <w:color w:val="000000"/>
        </w:rPr>
        <w:t xml:space="preserve">BEAM worked collaboratively with other donors and shared its ideas, plans and material resources from its innovative approaches to historic challenges of Muslim and </w:t>
      </w:r>
      <w:r w:rsidR="008D4713" w:rsidRPr="00EA190F">
        <w:rPr>
          <w:color w:val="000000"/>
        </w:rPr>
        <w:t xml:space="preserve">indigenous </w:t>
      </w:r>
      <w:r w:rsidRPr="00EA190F">
        <w:rPr>
          <w:color w:val="000000"/>
        </w:rPr>
        <w:t xml:space="preserve">cultural alienation. This has </w:t>
      </w:r>
      <w:r w:rsidR="00E0619D" w:rsidRPr="00EA190F">
        <w:rPr>
          <w:color w:val="000000"/>
        </w:rPr>
        <w:t xml:space="preserve">enabled </w:t>
      </w:r>
      <w:r w:rsidRPr="00EA190F">
        <w:rPr>
          <w:color w:val="000000"/>
        </w:rPr>
        <w:t>other donors to design and develop their own programs</w:t>
      </w:r>
      <w:r w:rsidR="008D4713" w:rsidRPr="00EA190F">
        <w:rPr>
          <w:color w:val="000000"/>
        </w:rPr>
        <w:t>,</w:t>
      </w:r>
      <w:r w:rsidRPr="00EA190F">
        <w:rPr>
          <w:color w:val="000000"/>
        </w:rPr>
        <w:t xml:space="preserve"> which complement BEAM programs. </w:t>
      </w:r>
    </w:p>
    <w:p w:rsidR="00842019" w:rsidRPr="00EA190F" w:rsidRDefault="00CB1CDA" w:rsidP="00842019">
      <w:pPr>
        <w:pStyle w:val="Heading4"/>
        <w:rPr>
          <w:color w:val="000000"/>
        </w:rPr>
      </w:pPr>
      <w:r w:rsidRPr="00EA190F">
        <w:rPr>
          <w:color w:val="000000"/>
        </w:rPr>
        <w:t>Key factors</w:t>
      </w:r>
      <w:r w:rsidR="008F6566" w:rsidRPr="00EA190F">
        <w:rPr>
          <w:color w:val="000000"/>
        </w:rPr>
        <w:t xml:space="preserve"> </w:t>
      </w:r>
      <w:r w:rsidR="00842019" w:rsidRPr="00EA190F">
        <w:rPr>
          <w:color w:val="000000"/>
        </w:rPr>
        <w:t>hindering</w:t>
      </w:r>
    </w:p>
    <w:p w:rsidR="00CB1CDA" w:rsidRPr="00EA190F" w:rsidRDefault="00CB1CDA" w:rsidP="00842019">
      <w:pPr>
        <w:pStyle w:val="BodyText"/>
        <w:rPr>
          <w:color w:val="000000"/>
        </w:rPr>
      </w:pPr>
      <w:r w:rsidRPr="00EA190F">
        <w:rPr>
          <w:color w:val="000000"/>
        </w:rPr>
        <w:t xml:space="preserve">Coordination and harmonisation of subnational activities with national reform efforts need improvement. Efforts to link AusAID projects through initiatives such as regular joint meetings between BEAM and STRIVE should address this issue. </w:t>
      </w:r>
    </w:p>
    <w:p w:rsidR="00CB1CDA" w:rsidRPr="00EA190F" w:rsidRDefault="00CB1CDA" w:rsidP="00842019">
      <w:pPr>
        <w:pStyle w:val="Heading2nonumber"/>
        <w:rPr>
          <w:color w:val="000000"/>
        </w:rPr>
      </w:pPr>
      <w:bookmarkStart w:id="46" w:name="_Toc360805261"/>
      <w:r w:rsidRPr="00EA190F">
        <w:rPr>
          <w:color w:val="000000"/>
        </w:rPr>
        <w:lastRenderedPageBreak/>
        <w:t>Objective</w:t>
      </w:r>
      <w:proofErr w:type="gramStart"/>
      <w:r w:rsidRPr="00EA190F">
        <w:rPr>
          <w:color w:val="000000"/>
        </w:rPr>
        <w:t>:</w:t>
      </w:r>
      <w:proofErr w:type="gramEnd"/>
      <w:r w:rsidR="00842019" w:rsidRPr="00EA190F">
        <w:rPr>
          <w:color w:val="000000"/>
        </w:rPr>
        <w:br/>
      </w:r>
      <w:smartTag w:uri="urn:schemas-microsoft-com:office:smarttags" w:element="place">
        <w:r w:rsidRPr="00EA190F">
          <w:rPr>
            <w:color w:val="000000"/>
          </w:rPr>
          <w:t>Mindanao</w:t>
        </w:r>
      </w:smartTag>
      <w:r w:rsidRPr="00EA190F">
        <w:rPr>
          <w:color w:val="000000"/>
        </w:rPr>
        <w:t xml:space="preserve"> peace processes are reinforced through more effective participation by communities and institutions</w:t>
      </w:r>
      <w:bookmarkEnd w:id="46"/>
      <w:r w:rsidRPr="00EA190F">
        <w:rPr>
          <w:color w:val="000000"/>
        </w:rPr>
        <w:t xml:space="preserve"> </w:t>
      </w:r>
    </w:p>
    <w:p w:rsidR="00CB1CDA" w:rsidRPr="00EA190F" w:rsidRDefault="00842019" w:rsidP="00842019">
      <w:pPr>
        <w:pStyle w:val="Heading3nonumber"/>
        <w:rPr>
          <w:color w:val="000000"/>
        </w:rPr>
      </w:pPr>
      <w:r w:rsidRPr="00EA190F">
        <w:rPr>
          <w:color w:val="000000"/>
        </w:rPr>
        <w:t>Rating</w:t>
      </w:r>
    </w:p>
    <w:p w:rsidR="00CB1CDA" w:rsidRPr="00EA190F" w:rsidRDefault="00EA190F" w:rsidP="00842019">
      <w:pPr>
        <w:pStyle w:val="HighlightBulletOrange"/>
        <w:rPr>
          <w:color w:val="000000"/>
        </w:rPr>
      </w:pPr>
      <w:r w:rsidRPr="00EA190F">
        <w:rPr>
          <w:color w:val="000000"/>
        </w:rPr>
        <w:t xml:space="preserve">(amber) </w:t>
      </w:r>
      <w:r w:rsidR="00CB1CDA" w:rsidRPr="00EA190F">
        <w:rPr>
          <w:color w:val="000000"/>
        </w:rPr>
        <w:t>The objective will be partly achieved within the timeframe</w:t>
      </w:r>
      <w:r w:rsidR="00975A4A" w:rsidRPr="00EA190F">
        <w:rPr>
          <w:color w:val="000000"/>
        </w:rPr>
        <w:t>.</w:t>
      </w:r>
    </w:p>
    <w:p w:rsidR="00FA1B21" w:rsidRPr="00EA190F" w:rsidRDefault="00FA1B21" w:rsidP="00FA1B21">
      <w:pPr>
        <w:pStyle w:val="Heading3nonumber"/>
        <w:rPr>
          <w:color w:val="000000"/>
        </w:rPr>
      </w:pPr>
      <w:r w:rsidRPr="00EA190F">
        <w:rPr>
          <w:color w:val="000000"/>
        </w:rPr>
        <w:t xml:space="preserve">Contributing programs </w:t>
      </w:r>
    </w:p>
    <w:p w:rsidR="00FA1B21" w:rsidRPr="00EA190F" w:rsidRDefault="00FA1B21" w:rsidP="007F2422">
      <w:pPr>
        <w:pStyle w:val="ListBullet"/>
      </w:pPr>
      <w:r w:rsidRPr="00EA190F">
        <w:t>ACT for Peace Program</w:t>
      </w:r>
    </w:p>
    <w:p w:rsidR="00FA1B21" w:rsidRPr="00EA190F" w:rsidRDefault="00FA1B21" w:rsidP="007F2422">
      <w:pPr>
        <w:pStyle w:val="ListBullet"/>
      </w:pPr>
      <w:smartTag w:uri="urn:schemas-microsoft-com:office:smarttags" w:element="place">
        <w:r w:rsidRPr="00EA190F">
          <w:t>Mindanao</w:t>
        </w:r>
      </w:smartTag>
      <w:r w:rsidRPr="00EA190F">
        <w:t xml:space="preserve"> Trust Fund for Reconstruction and Development Program Phase 1</w:t>
      </w:r>
    </w:p>
    <w:p w:rsidR="00FA1B21" w:rsidRPr="00EA190F" w:rsidRDefault="00FA1B21" w:rsidP="007F2422">
      <w:pPr>
        <w:pStyle w:val="ListBullet"/>
      </w:pPr>
      <w:r w:rsidRPr="00EA190F">
        <w:t xml:space="preserve">Supporting Peace in </w:t>
      </w:r>
      <w:smartTag w:uri="urn:schemas-microsoft-com:office:smarttags" w:element="place">
        <w:r w:rsidRPr="00EA190F">
          <w:t>Mindanao</w:t>
        </w:r>
      </w:smartTag>
      <w:r w:rsidRPr="00EA190F">
        <w:t xml:space="preserve"> </w:t>
      </w:r>
    </w:p>
    <w:p w:rsidR="00203985" w:rsidRPr="00EA190F" w:rsidRDefault="00203985" w:rsidP="007F2422">
      <w:pPr>
        <w:pStyle w:val="ListBullet"/>
      </w:pPr>
      <w:r w:rsidRPr="00EA190F">
        <w:t>Basic Educ</w:t>
      </w:r>
      <w:r w:rsidR="00975A4A" w:rsidRPr="00EA190F">
        <w:t xml:space="preserve">ation Assistance </w:t>
      </w:r>
      <w:r w:rsidR="003C212A" w:rsidRPr="00EA190F">
        <w:t>for</w:t>
      </w:r>
      <w:r w:rsidR="00975A4A" w:rsidRPr="00EA190F">
        <w:t xml:space="preserve"> </w:t>
      </w:r>
      <w:smartTag w:uri="urn:schemas-microsoft-com:office:smarttags" w:element="place">
        <w:r w:rsidR="00975A4A" w:rsidRPr="00EA190F">
          <w:t>Mindanao</w:t>
        </w:r>
      </w:smartTag>
      <w:r w:rsidR="00975A4A" w:rsidRPr="00EA190F">
        <w:t xml:space="preserve"> II</w:t>
      </w:r>
    </w:p>
    <w:p w:rsidR="00CB1CDA" w:rsidRPr="00EA190F" w:rsidRDefault="00CB1CDA" w:rsidP="00842019">
      <w:pPr>
        <w:pStyle w:val="Heading3nonumber"/>
        <w:rPr>
          <w:color w:val="000000"/>
        </w:rPr>
      </w:pPr>
      <w:r w:rsidRPr="00EA190F">
        <w:rPr>
          <w:color w:val="000000"/>
        </w:rPr>
        <w:t>Assessment of results and performance</w:t>
      </w:r>
    </w:p>
    <w:p w:rsidR="00CB1CDA" w:rsidRPr="00EA190F" w:rsidRDefault="00CB1CDA" w:rsidP="00FA1B21">
      <w:pPr>
        <w:pStyle w:val="Heading4"/>
        <w:rPr>
          <w:color w:val="000000"/>
        </w:rPr>
      </w:pPr>
      <w:r w:rsidRPr="00EA190F">
        <w:rPr>
          <w:color w:val="000000"/>
        </w:rPr>
        <w:t xml:space="preserve">Key </w:t>
      </w:r>
      <w:r w:rsidR="00FA1B21" w:rsidRPr="00EA190F">
        <w:rPr>
          <w:color w:val="000000"/>
        </w:rPr>
        <w:t>results</w:t>
      </w:r>
    </w:p>
    <w:p w:rsidR="00CB1CDA" w:rsidRPr="00EA190F" w:rsidRDefault="00CB1CDA" w:rsidP="00FA1B21">
      <w:pPr>
        <w:pStyle w:val="BodyText"/>
        <w:rPr>
          <w:color w:val="000000"/>
        </w:rPr>
      </w:pPr>
      <w:r w:rsidRPr="00EA190F">
        <w:rPr>
          <w:color w:val="000000"/>
        </w:rPr>
        <w:t xml:space="preserve">The ACT for Peace Program, the Mindanao Trust Fund and </w:t>
      </w:r>
      <w:r w:rsidR="00EC01C9" w:rsidRPr="00EA190F">
        <w:rPr>
          <w:color w:val="000000"/>
        </w:rPr>
        <w:t xml:space="preserve">the </w:t>
      </w:r>
      <w:r w:rsidR="00D94B3C" w:rsidRPr="00EA190F">
        <w:rPr>
          <w:color w:val="000000"/>
        </w:rPr>
        <w:t xml:space="preserve">program </w:t>
      </w:r>
      <w:r w:rsidRPr="00EA190F">
        <w:rPr>
          <w:color w:val="000000"/>
        </w:rPr>
        <w:t xml:space="preserve">Supporting Peace in Mindanao have provided opportunities for increased and effective participation of men, women and youth in conflict-affected areas in the formal and informal peace processes. This is measured through the current output-based reporting system. Given the timeframe needed for conflict prevention, it is not yet possible to measure whether these programs have contributed to lasting peace within </w:t>
      </w:r>
      <w:r w:rsidR="00D94B3C" w:rsidRPr="00EA190F">
        <w:rPr>
          <w:color w:val="000000"/>
        </w:rPr>
        <w:t>conflict-affected areas</w:t>
      </w:r>
      <w:r w:rsidRPr="00EA190F">
        <w:rPr>
          <w:color w:val="000000"/>
        </w:rPr>
        <w:t xml:space="preserve">. </w:t>
      </w:r>
    </w:p>
    <w:p w:rsidR="00CB1CDA" w:rsidRPr="00EA190F" w:rsidRDefault="00CB1CDA" w:rsidP="00FA1B21">
      <w:pPr>
        <w:pStyle w:val="BodyText"/>
        <w:rPr>
          <w:color w:val="000000"/>
        </w:rPr>
      </w:pPr>
      <w:r w:rsidRPr="00EA190F">
        <w:rPr>
          <w:color w:val="000000"/>
        </w:rPr>
        <w:t xml:space="preserve">The recent </w:t>
      </w:r>
      <w:r w:rsidR="00D94B3C" w:rsidRPr="00EA190F">
        <w:rPr>
          <w:color w:val="000000"/>
        </w:rPr>
        <w:t>mid-term review of the</w:t>
      </w:r>
      <w:r w:rsidRPr="00EA190F">
        <w:rPr>
          <w:color w:val="000000"/>
        </w:rPr>
        <w:t xml:space="preserve"> ACT for Peace </w:t>
      </w:r>
      <w:r w:rsidR="00D94B3C" w:rsidRPr="00EA190F">
        <w:rPr>
          <w:color w:val="000000"/>
        </w:rPr>
        <w:t xml:space="preserve">Program </w:t>
      </w:r>
      <w:r w:rsidRPr="00EA190F">
        <w:rPr>
          <w:color w:val="000000"/>
        </w:rPr>
        <w:t xml:space="preserve">(Australia is the major donor; Spain and New Zealand are minor donors) pointed to the achievement of transforming former </w:t>
      </w:r>
      <w:r w:rsidR="00D94B3C" w:rsidRPr="00EA190F">
        <w:rPr>
          <w:color w:val="000000"/>
        </w:rPr>
        <w:t>Moro National Liberation Front</w:t>
      </w:r>
      <w:r w:rsidRPr="00EA190F">
        <w:rPr>
          <w:color w:val="000000"/>
        </w:rPr>
        <w:t xml:space="preserve"> rebels into peace and development advocates responsible for </w:t>
      </w:r>
      <w:r w:rsidR="00D94B3C" w:rsidRPr="00EA190F">
        <w:rPr>
          <w:color w:val="000000"/>
        </w:rPr>
        <w:t xml:space="preserve">leagues </w:t>
      </w:r>
      <w:r w:rsidRPr="00EA190F">
        <w:rPr>
          <w:color w:val="000000"/>
        </w:rPr>
        <w:t xml:space="preserve">that oversee peace and development in </w:t>
      </w:r>
      <w:r w:rsidR="00D94B3C" w:rsidRPr="00EA190F">
        <w:rPr>
          <w:color w:val="000000"/>
        </w:rPr>
        <w:t xml:space="preserve">conflict-affected </w:t>
      </w:r>
      <w:r w:rsidR="00555CF1" w:rsidRPr="00EA190F">
        <w:rPr>
          <w:color w:val="000000"/>
        </w:rPr>
        <w:t>communities</w:t>
      </w:r>
      <w:r w:rsidRPr="00EA190F">
        <w:rPr>
          <w:color w:val="000000"/>
        </w:rPr>
        <w:t xml:space="preserve">. The report acknowledged the significance of registering the 156 of 246 </w:t>
      </w:r>
      <w:r w:rsidR="00D94B3C" w:rsidRPr="00EA190F">
        <w:rPr>
          <w:color w:val="000000"/>
        </w:rPr>
        <w:t xml:space="preserve">such </w:t>
      </w:r>
      <w:r w:rsidR="00555CF1" w:rsidRPr="00EA190F">
        <w:rPr>
          <w:color w:val="000000"/>
        </w:rPr>
        <w:t>communities</w:t>
      </w:r>
      <w:r w:rsidR="00D94B3C" w:rsidRPr="00EA190F">
        <w:rPr>
          <w:color w:val="000000"/>
        </w:rPr>
        <w:t xml:space="preserve">, </w:t>
      </w:r>
      <w:r w:rsidRPr="00EA190F">
        <w:rPr>
          <w:color w:val="000000"/>
        </w:rPr>
        <w:t xml:space="preserve">which are in the final stages of the six stages of development and transformation into </w:t>
      </w:r>
      <w:r w:rsidR="00D94B3C" w:rsidRPr="00EA190F">
        <w:rPr>
          <w:color w:val="000000"/>
        </w:rPr>
        <w:t>peace and development communities</w:t>
      </w:r>
      <w:r w:rsidRPr="00EA190F">
        <w:rPr>
          <w:color w:val="000000"/>
        </w:rPr>
        <w:t>. It is worthwhile noting that there has not been any insurgency-based armed conflict within the</w:t>
      </w:r>
      <w:r w:rsidR="00D94B3C" w:rsidRPr="00EA190F">
        <w:rPr>
          <w:color w:val="000000"/>
        </w:rPr>
        <w:t>se</w:t>
      </w:r>
      <w:r w:rsidRPr="00EA190F">
        <w:rPr>
          <w:color w:val="000000"/>
        </w:rPr>
        <w:t xml:space="preserve"> </w:t>
      </w:r>
      <w:r w:rsidR="00D94B3C" w:rsidRPr="00EA190F">
        <w:rPr>
          <w:color w:val="000000"/>
        </w:rPr>
        <w:t>communities</w:t>
      </w:r>
      <w:r w:rsidRPr="00EA190F">
        <w:rPr>
          <w:color w:val="000000"/>
        </w:rPr>
        <w:t>.</w:t>
      </w:r>
    </w:p>
    <w:p w:rsidR="00CB1CDA" w:rsidRPr="00EA190F" w:rsidRDefault="00CB1CDA" w:rsidP="00FA1B21">
      <w:pPr>
        <w:pStyle w:val="BodyText"/>
        <w:rPr>
          <w:color w:val="000000"/>
        </w:rPr>
      </w:pPr>
      <w:r w:rsidRPr="00EA190F">
        <w:rPr>
          <w:color w:val="000000"/>
        </w:rPr>
        <w:t>Whil</w:t>
      </w:r>
      <w:r w:rsidR="00EC01C9" w:rsidRPr="00EA190F">
        <w:rPr>
          <w:color w:val="000000"/>
        </w:rPr>
        <w:t>e</w:t>
      </w:r>
      <w:r w:rsidRPr="00EA190F">
        <w:rPr>
          <w:color w:val="000000"/>
        </w:rPr>
        <w:t xml:space="preserve"> A</w:t>
      </w:r>
      <w:r w:rsidR="00D94B3C" w:rsidRPr="00EA190F">
        <w:rPr>
          <w:color w:val="000000"/>
        </w:rPr>
        <w:t>CT</w:t>
      </w:r>
      <w:r w:rsidRPr="00EA190F">
        <w:rPr>
          <w:color w:val="000000"/>
        </w:rPr>
        <w:t xml:space="preserve"> for Peace is a specific </w:t>
      </w:r>
      <w:r w:rsidR="00EC01C9" w:rsidRPr="00EA190F">
        <w:rPr>
          <w:color w:val="000000"/>
        </w:rPr>
        <w:t xml:space="preserve">program that </w:t>
      </w:r>
      <w:r w:rsidRPr="00EA190F">
        <w:rPr>
          <w:color w:val="000000"/>
        </w:rPr>
        <w:t xml:space="preserve">addresses conflict areas, there are also contributions from </w:t>
      </w:r>
      <w:r w:rsidR="007B68BA" w:rsidRPr="00EA190F">
        <w:rPr>
          <w:color w:val="000000"/>
        </w:rPr>
        <w:t xml:space="preserve">the </w:t>
      </w:r>
      <w:r w:rsidRPr="00EA190F">
        <w:rPr>
          <w:color w:val="000000"/>
        </w:rPr>
        <w:t>PALS</w:t>
      </w:r>
      <w:r w:rsidR="007B68BA" w:rsidRPr="00EA190F">
        <w:rPr>
          <w:color w:val="000000"/>
        </w:rPr>
        <w:t xml:space="preserve"> program</w:t>
      </w:r>
      <w:r w:rsidRPr="00EA190F">
        <w:rPr>
          <w:color w:val="000000"/>
        </w:rPr>
        <w:t xml:space="preserve">, PACAP, </w:t>
      </w:r>
      <w:r w:rsidR="00EC01C9" w:rsidRPr="00EA190F">
        <w:rPr>
          <w:color w:val="000000"/>
        </w:rPr>
        <w:t xml:space="preserve">Supporting Peace in </w:t>
      </w:r>
      <w:smartTag w:uri="urn:schemas-microsoft-com:office:smarttags" w:element="place">
        <w:r w:rsidR="00EC01C9" w:rsidRPr="00EA190F">
          <w:rPr>
            <w:color w:val="000000"/>
          </w:rPr>
          <w:t>Mindanao</w:t>
        </w:r>
      </w:smartTag>
      <w:r w:rsidR="00EC01C9" w:rsidRPr="00EA190F">
        <w:rPr>
          <w:color w:val="000000"/>
        </w:rPr>
        <w:t xml:space="preserve"> </w:t>
      </w:r>
      <w:r w:rsidRPr="00EA190F">
        <w:rPr>
          <w:color w:val="000000"/>
        </w:rPr>
        <w:t>and BEAM in creating forums for peaceful discussions, in helping grow incomes in conflict</w:t>
      </w:r>
      <w:r w:rsidR="007E5B6A" w:rsidRPr="00EA190F">
        <w:rPr>
          <w:color w:val="000000"/>
        </w:rPr>
        <w:t>-</w:t>
      </w:r>
      <w:r w:rsidR="00555CF1" w:rsidRPr="00EA190F">
        <w:rPr>
          <w:color w:val="000000"/>
        </w:rPr>
        <w:t>affected</w:t>
      </w:r>
      <w:r w:rsidRPr="00EA190F">
        <w:rPr>
          <w:color w:val="000000"/>
        </w:rPr>
        <w:t xml:space="preserve"> areas and thereby providing stability, and </w:t>
      </w:r>
      <w:r w:rsidR="00EC01C9" w:rsidRPr="00EA190F">
        <w:rPr>
          <w:color w:val="000000"/>
        </w:rPr>
        <w:t xml:space="preserve">in </w:t>
      </w:r>
      <w:r w:rsidRPr="00EA190F">
        <w:rPr>
          <w:color w:val="000000"/>
        </w:rPr>
        <w:t>strengthening civil society organi</w:t>
      </w:r>
      <w:r w:rsidR="00EC01C9" w:rsidRPr="00EA190F">
        <w:rPr>
          <w:color w:val="000000"/>
        </w:rPr>
        <w:t>s</w:t>
      </w:r>
      <w:r w:rsidRPr="00EA190F">
        <w:rPr>
          <w:color w:val="000000"/>
        </w:rPr>
        <w:t xml:space="preserve">ations. Gender mainstreaming and women’s empowerment in building </w:t>
      </w:r>
      <w:r w:rsidR="00D94B3C" w:rsidRPr="00EA190F">
        <w:rPr>
          <w:color w:val="000000"/>
        </w:rPr>
        <w:t xml:space="preserve">peace </w:t>
      </w:r>
      <w:r w:rsidRPr="00EA190F">
        <w:rPr>
          <w:color w:val="000000"/>
        </w:rPr>
        <w:t xml:space="preserve">and </w:t>
      </w:r>
      <w:r w:rsidR="00D94B3C" w:rsidRPr="00EA190F">
        <w:rPr>
          <w:color w:val="000000"/>
        </w:rPr>
        <w:t xml:space="preserve">preventing </w:t>
      </w:r>
      <w:r w:rsidRPr="00EA190F">
        <w:rPr>
          <w:color w:val="000000"/>
        </w:rPr>
        <w:t xml:space="preserve">conflict through </w:t>
      </w:r>
      <w:r w:rsidR="00975A4A" w:rsidRPr="00EA190F">
        <w:rPr>
          <w:color w:val="000000"/>
        </w:rPr>
        <w:t xml:space="preserve">the program </w:t>
      </w:r>
      <w:r w:rsidRPr="00EA190F">
        <w:rPr>
          <w:color w:val="000000"/>
        </w:rPr>
        <w:t xml:space="preserve">Another Mindanao </w:t>
      </w:r>
      <w:r w:rsidR="00975A4A" w:rsidRPr="00EA190F">
        <w:rPr>
          <w:color w:val="000000"/>
        </w:rPr>
        <w:t xml:space="preserve">Is Possible </w:t>
      </w:r>
      <w:r w:rsidRPr="00EA190F">
        <w:rPr>
          <w:color w:val="000000"/>
        </w:rPr>
        <w:t>of the Mindanao Commission on Women is one such effort.</w:t>
      </w:r>
    </w:p>
    <w:p w:rsidR="00CB1CDA" w:rsidRPr="00EA190F" w:rsidRDefault="00CB1CDA" w:rsidP="00FA1B21">
      <w:pPr>
        <w:pStyle w:val="BodyText"/>
        <w:rPr>
          <w:color w:val="000000"/>
        </w:rPr>
      </w:pPr>
      <w:r w:rsidRPr="00EA190F">
        <w:rPr>
          <w:color w:val="000000"/>
        </w:rPr>
        <w:lastRenderedPageBreak/>
        <w:t>The considerable challenge in delivering peace activities is finding a mechanism to measure the impact these developments are having on conflict prevention.</w:t>
      </w:r>
      <w:r w:rsidR="008F6566" w:rsidRPr="00EA190F">
        <w:rPr>
          <w:color w:val="000000"/>
        </w:rPr>
        <w:t xml:space="preserve"> </w:t>
      </w:r>
      <w:r w:rsidR="00975A4A" w:rsidRPr="00EA190F">
        <w:rPr>
          <w:color w:val="000000"/>
        </w:rPr>
        <w:t>The d</w:t>
      </w:r>
      <w:r w:rsidRPr="00EA190F">
        <w:rPr>
          <w:color w:val="000000"/>
        </w:rPr>
        <w:t>esign and implementation of this mechanism will be a primary focus for the coming year.</w:t>
      </w:r>
    </w:p>
    <w:p w:rsidR="00CB1CDA" w:rsidRPr="00EA190F" w:rsidRDefault="00CB1CDA" w:rsidP="00FA1B21">
      <w:pPr>
        <w:pStyle w:val="BodyText"/>
        <w:rPr>
          <w:color w:val="000000"/>
        </w:rPr>
      </w:pPr>
      <w:r w:rsidRPr="00EA190F">
        <w:rPr>
          <w:color w:val="000000"/>
        </w:rPr>
        <w:t xml:space="preserve">BEAM has contributed to promoting peace in </w:t>
      </w:r>
      <w:smartTag w:uri="urn:schemas-microsoft-com:office:smarttags" w:element="place">
        <w:r w:rsidRPr="00EA190F">
          <w:rPr>
            <w:color w:val="000000"/>
          </w:rPr>
          <w:t>Mindanao</w:t>
        </w:r>
      </w:smartTag>
      <w:r w:rsidRPr="00EA190F">
        <w:rPr>
          <w:color w:val="000000"/>
        </w:rPr>
        <w:t xml:space="preserve"> by encouraging and strengthening communit</w:t>
      </w:r>
      <w:r w:rsidR="00970335" w:rsidRPr="00EA190F">
        <w:rPr>
          <w:color w:val="000000"/>
        </w:rPr>
        <w:t>y</w:t>
      </w:r>
      <w:r w:rsidRPr="00EA190F">
        <w:rPr>
          <w:color w:val="000000"/>
        </w:rPr>
        <w:t xml:space="preserve"> participation in managing schools</w:t>
      </w:r>
      <w:r w:rsidR="00970335" w:rsidRPr="00EA190F">
        <w:rPr>
          <w:color w:val="000000"/>
        </w:rPr>
        <w:t>,</w:t>
      </w:r>
      <w:r w:rsidRPr="00EA190F">
        <w:rPr>
          <w:color w:val="000000"/>
        </w:rPr>
        <w:t xml:space="preserve"> assisting in implementing policy reforms in Islamic education and increasing </w:t>
      </w:r>
      <w:r w:rsidR="00975A4A" w:rsidRPr="00EA190F">
        <w:rPr>
          <w:color w:val="000000"/>
        </w:rPr>
        <w:t xml:space="preserve">the </w:t>
      </w:r>
      <w:r w:rsidRPr="00EA190F">
        <w:rPr>
          <w:color w:val="000000"/>
        </w:rPr>
        <w:t>access of boys and girls</w:t>
      </w:r>
      <w:r w:rsidR="00975A4A" w:rsidRPr="00EA190F">
        <w:rPr>
          <w:color w:val="000000"/>
        </w:rPr>
        <w:t>,</w:t>
      </w:r>
      <w:r w:rsidRPr="00EA190F">
        <w:rPr>
          <w:color w:val="000000"/>
        </w:rPr>
        <w:t xml:space="preserve"> including children of indigenous peoples and </w:t>
      </w:r>
      <w:r w:rsidR="00E0619D" w:rsidRPr="00EA190F">
        <w:rPr>
          <w:color w:val="000000"/>
        </w:rPr>
        <w:t>ex-</w:t>
      </w:r>
      <w:r w:rsidRPr="00EA190F">
        <w:rPr>
          <w:color w:val="000000"/>
        </w:rPr>
        <w:t>combatants</w:t>
      </w:r>
      <w:r w:rsidR="00975A4A" w:rsidRPr="00EA190F">
        <w:rPr>
          <w:color w:val="000000"/>
        </w:rPr>
        <w:t>, to quality education</w:t>
      </w:r>
      <w:r w:rsidRPr="00EA190F">
        <w:rPr>
          <w:color w:val="000000"/>
        </w:rPr>
        <w:t>.</w:t>
      </w:r>
      <w:r w:rsidR="008F6566" w:rsidRPr="00EA190F">
        <w:rPr>
          <w:color w:val="000000"/>
        </w:rPr>
        <w:t xml:space="preserve"> </w:t>
      </w:r>
      <w:r w:rsidRPr="00EA190F">
        <w:rPr>
          <w:color w:val="000000"/>
        </w:rPr>
        <w:t xml:space="preserve">With the Asian Development Bank, support was given to the development of an ARMM </w:t>
      </w:r>
      <w:r w:rsidR="00970335" w:rsidRPr="00EA190F">
        <w:rPr>
          <w:color w:val="000000"/>
        </w:rPr>
        <w:t xml:space="preserve">master plan </w:t>
      </w:r>
      <w:r w:rsidRPr="00EA190F">
        <w:rPr>
          <w:color w:val="000000"/>
        </w:rPr>
        <w:t>for basic education that responds to the specific needs of children in the region</w:t>
      </w:r>
      <w:r w:rsidR="00970335" w:rsidRPr="00EA190F">
        <w:rPr>
          <w:color w:val="000000"/>
        </w:rPr>
        <w:t>.</w:t>
      </w:r>
    </w:p>
    <w:p w:rsidR="00FA1B21" w:rsidRPr="00EA190F" w:rsidRDefault="00CB1CDA" w:rsidP="008F6566">
      <w:pPr>
        <w:pStyle w:val="Heading4"/>
        <w:rPr>
          <w:color w:val="000000"/>
        </w:rPr>
      </w:pPr>
      <w:r w:rsidRPr="00EA190F">
        <w:rPr>
          <w:color w:val="000000"/>
        </w:rPr>
        <w:t>Key factors</w:t>
      </w:r>
      <w:r w:rsidR="008F6566" w:rsidRPr="00EA190F">
        <w:rPr>
          <w:color w:val="000000"/>
        </w:rPr>
        <w:t xml:space="preserve"> </w:t>
      </w:r>
      <w:r w:rsidR="00FA1B21" w:rsidRPr="00EA190F">
        <w:rPr>
          <w:color w:val="000000"/>
        </w:rPr>
        <w:t>contributing</w:t>
      </w:r>
    </w:p>
    <w:p w:rsidR="00CB1CDA" w:rsidRPr="00EA190F" w:rsidRDefault="00CB1CDA" w:rsidP="00FA1B21">
      <w:pPr>
        <w:pStyle w:val="BodyText"/>
        <w:rPr>
          <w:color w:val="000000"/>
        </w:rPr>
      </w:pPr>
      <w:r w:rsidRPr="00EA190F">
        <w:rPr>
          <w:color w:val="000000"/>
        </w:rPr>
        <w:t>Trust and confidence ha</w:t>
      </w:r>
      <w:r w:rsidR="00970335" w:rsidRPr="00EA190F">
        <w:rPr>
          <w:color w:val="000000"/>
        </w:rPr>
        <w:t>ve</w:t>
      </w:r>
      <w:r w:rsidRPr="00EA190F">
        <w:rPr>
          <w:color w:val="000000"/>
        </w:rPr>
        <w:t xml:space="preserve"> been built among communities where the peace-building programs are present through the interventions of former </w:t>
      </w:r>
      <w:r w:rsidR="00970335" w:rsidRPr="00EA190F">
        <w:rPr>
          <w:color w:val="000000"/>
        </w:rPr>
        <w:t xml:space="preserve">Moro National Liberation Front </w:t>
      </w:r>
      <w:r w:rsidRPr="00EA190F">
        <w:rPr>
          <w:color w:val="000000"/>
        </w:rPr>
        <w:t xml:space="preserve">rebels who are </w:t>
      </w:r>
      <w:r w:rsidR="00970335" w:rsidRPr="00EA190F">
        <w:rPr>
          <w:color w:val="000000"/>
        </w:rPr>
        <w:t xml:space="preserve">peace and development </w:t>
      </w:r>
      <w:r w:rsidR="007B68BA" w:rsidRPr="00EA190F">
        <w:rPr>
          <w:color w:val="000000"/>
        </w:rPr>
        <w:t>advocates</w:t>
      </w:r>
      <w:r w:rsidRPr="00EA190F">
        <w:rPr>
          <w:color w:val="000000"/>
        </w:rPr>
        <w:t xml:space="preserve">. Venues are now provided for stakeholders to peacefully articulate their legitimate grievances. This is necessary for communities to become acclimatised to a culture of peace. </w:t>
      </w:r>
    </w:p>
    <w:p w:rsidR="00FA1B21" w:rsidRPr="00EA190F" w:rsidRDefault="00CB1CDA" w:rsidP="00FA1B21">
      <w:pPr>
        <w:pStyle w:val="Heading4"/>
        <w:rPr>
          <w:color w:val="000000"/>
        </w:rPr>
      </w:pPr>
      <w:r w:rsidRPr="00EA190F">
        <w:rPr>
          <w:color w:val="000000"/>
        </w:rPr>
        <w:t xml:space="preserve">Key </w:t>
      </w:r>
      <w:r w:rsidR="008F6566" w:rsidRPr="00EA190F">
        <w:rPr>
          <w:color w:val="000000"/>
        </w:rPr>
        <w:t xml:space="preserve">factors </w:t>
      </w:r>
      <w:r w:rsidR="00FA1B21" w:rsidRPr="00EA190F">
        <w:rPr>
          <w:color w:val="000000"/>
        </w:rPr>
        <w:t>hindering</w:t>
      </w:r>
    </w:p>
    <w:p w:rsidR="00DA7966" w:rsidRPr="00EA190F" w:rsidRDefault="00CB1CDA" w:rsidP="00FA1B21">
      <w:pPr>
        <w:pStyle w:val="BodyText"/>
        <w:rPr>
          <w:color w:val="000000"/>
        </w:rPr>
      </w:pPr>
      <w:r w:rsidRPr="00EA190F">
        <w:rPr>
          <w:color w:val="000000"/>
        </w:rPr>
        <w:t xml:space="preserve">Talks have stalled between the </w:t>
      </w:r>
      <w:r w:rsidR="00213BD6" w:rsidRPr="00EA190F">
        <w:rPr>
          <w:color w:val="000000"/>
        </w:rPr>
        <w:t xml:space="preserve">Government of the </w:t>
      </w:r>
      <w:smartTag w:uri="urn:schemas-microsoft-com:office:smarttags" w:element="country-region">
        <w:smartTag w:uri="urn:schemas-microsoft-com:office:smarttags" w:element="place">
          <w:r w:rsidR="00213BD6" w:rsidRPr="00EA190F">
            <w:rPr>
              <w:color w:val="000000"/>
            </w:rPr>
            <w:t>Philippines</w:t>
          </w:r>
        </w:smartTag>
      </w:smartTag>
      <w:r w:rsidR="00213BD6" w:rsidRPr="00EA190F">
        <w:rPr>
          <w:color w:val="000000"/>
        </w:rPr>
        <w:t xml:space="preserve"> </w:t>
      </w:r>
      <w:r w:rsidRPr="00EA190F">
        <w:rPr>
          <w:color w:val="000000"/>
        </w:rPr>
        <w:t xml:space="preserve">and the </w:t>
      </w:r>
      <w:r w:rsidR="00213BD6" w:rsidRPr="00EA190F">
        <w:rPr>
          <w:color w:val="000000"/>
        </w:rPr>
        <w:t>Moro Islamic Liberation Front</w:t>
      </w:r>
      <w:r w:rsidRPr="00EA190F">
        <w:rPr>
          <w:color w:val="000000"/>
        </w:rPr>
        <w:t xml:space="preserve">. There is no peace agreement between the </w:t>
      </w:r>
      <w:r w:rsidR="00213BD6" w:rsidRPr="00EA190F">
        <w:rPr>
          <w:color w:val="000000"/>
        </w:rPr>
        <w:t xml:space="preserve">government </w:t>
      </w:r>
      <w:r w:rsidRPr="00EA190F">
        <w:rPr>
          <w:color w:val="000000"/>
        </w:rPr>
        <w:t xml:space="preserve">and </w:t>
      </w:r>
      <w:r w:rsidR="00213BD6" w:rsidRPr="00EA190F">
        <w:rPr>
          <w:color w:val="000000"/>
        </w:rPr>
        <w:t xml:space="preserve">the </w:t>
      </w:r>
      <w:r w:rsidRPr="00EA190F">
        <w:rPr>
          <w:color w:val="000000"/>
        </w:rPr>
        <w:t xml:space="preserve">Communist Party of the </w:t>
      </w:r>
      <w:smartTag w:uri="urn:schemas-microsoft-com:office:smarttags" w:element="country-region">
        <w:r w:rsidRPr="00EA190F">
          <w:rPr>
            <w:color w:val="000000"/>
          </w:rPr>
          <w:t>Philippines</w:t>
        </w:r>
      </w:smartTag>
      <w:r w:rsidR="00213BD6" w:rsidRPr="00EA190F">
        <w:rPr>
          <w:color w:val="000000"/>
        </w:rPr>
        <w:t xml:space="preserve">, the </w:t>
      </w:r>
      <w:r w:rsidRPr="00EA190F">
        <w:rPr>
          <w:color w:val="000000"/>
        </w:rPr>
        <w:t xml:space="preserve">New </w:t>
      </w:r>
      <w:proofErr w:type="spellStart"/>
      <w:r w:rsidRPr="00EA190F">
        <w:rPr>
          <w:color w:val="000000"/>
        </w:rPr>
        <w:t>Peoples</w:t>
      </w:r>
      <w:proofErr w:type="spellEnd"/>
      <w:r w:rsidRPr="00EA190F">
        <w:rPr>
          <w:color w:val="000000"/>
        </w:rPr>
        <w:t xml:space="preserve"> Army</w:t>
      </w:r>
      <w:r w:rsidR="00213BD6" w:rsidRPr="00EA190F">
        <w:rPr>
          <w:color w:val="000000"/>
        </w:rPr>
        <w:t xml:space="preserve"> and the </w:t>
      </w:r>
      <w:r w:rsidRPr="00EA190F">
        <w:rPr>
          <w:color w:val="000000"/>
        </w:rPr>
        <w:t xml:space="preserve">National Democratic Front, a third armed actor in the conflict </w:t>
      </w:r>
      <w:r w:rsidR="00213BD6" w:rsidRPr="00EA190F">
        <w:rPr>
          <w:color w:val="000000"/>
        </w:rPr>
        <w:t>(</w:t>
      </w:r>
      <w:r w:rsidRPr="00EA190F">
        <w:rPr>
          <w:color w:val="000000"/>
        </w:rPr>
        <w:t xml:space="preserve">active </w:t>
      </w:r>
      <w:r w:rsidR="00213BD6" w:rsidRPr="00EA190F">
        <w:rPr>
          <w:color w:val="000000"/>
        </w:rPr>
        <w:t xml:space="preserve">throughout the </w:t>
      </w:r>
      <w:smartTag w:uri="urn:schemas-microsoft-com:office:smarttags" w:element="country-region">
        <w:r w:rsidRPr="00EA190F">
          <w:rPr>
            <w:color w:val="000000"/>
          </w:rPr>
          <w:t>Philippines</w:t>
        </w:r>
      </w:smartTag>
      <w:r w:rsidRPr="00EA190F">
        <w:rPr>
          <w:color w:val="000000"/>
        </w:rPr>
        <w:t xml:space="preserve"> and with bases in </w:t>
      </w:r>
      <w:smartTag w:uri="urn:schemas-microsoft-com:office:smarttags" w:element="place">
        <w:r w:rsidRPr="00EA190F">
          <w:rPr>
            <w:color w:val="000000"/>
          </w:rPr>
          <w:t>Mindanao</w:t>
        </w:r>
      </w:smartTag>
      <w:r w:rsidRPr="00EA190F">
        <w:rPr>
          <w:color w:val="000000"/>
        </w:rPr>
        <w:t>).</w:t>
      </w:r>
      <w:r w:rsidR="008F6566" w:rsidRPr="00EA190F">
        <w:rPr>
          <w:color w:val="000000"/>
        </w:rPr>
        <w:t xml:space="preserve"> </w:t>
      </w:r>
      <w:proofErr w:type="gramStart"/>
      <w:r w:rsidRPr="00EA190F">
        <w:rPr>
          <w:color w:val="000000"/>
        </w:rPr>
        <w:t xml:space="preserve">A recent change to </w:t>
      </w:r>
      <w:r w:rsidR="00213BD6" w:rsidRPr="00EA190F">
        <w:rPr>
          <w:color w:val="000000"/>
        </w:rPr>
        <w:t xml:space="preserve">the </w:t>
      </w:r>
      <w:r w:rsidRPr="00EA190F">
        <w:rPr>
          <w:color w:val="000000"/>
        </w:rPr>
        <w:t xml:space="preserve">chairmanship </w:t>
      </w:r>
      <w:r w:rsidR="00213BD6" w:rsidRPr="00EA190F">
        <w:rPr>
          <w:color w:val="000000"/>
        </w:rPr>
        <w:t xml:space="preserve">of the Moro National Liberation Front </w:t>
      </w:r>
      <w:r w:rsidRPr="00EA190F">
        <w:rPr>
          <w:color w:val="000000"/>
        </w:rPr>
        <w:t xml:space="preserve">and conflicting perceptions on implementation of the </w:t>
      </w:r>
      <w:r w:rsidR="00213BD6" w:rsidRPr="00EA190F">
        <w:rPr>
          <w:color w:val="000000"/>
        </w:rPr>
        <w:t xml:space="preserve">peace agreement between the government and </w:t>
      </w:r>
      <w:r w:rsidR="00DA7966" w:rsidRPr="00EA190F">
        <w:rPr>
          <w:color w:val="000000"/>
        </w:rPr>
        <w:t>this group</w:t>
      </w:r>
      <w:r w:rsidR="00213BD6" w:rsidRPr="00EA190F">
        <w:rPr>
          <w:color w:val="000000"/>
        </w:rPr>
        <w:t xml:space="preserve"> </w:t>
      </w:r>
      <w:r w:rsidRPr="00EA190F">
        <w:rPr>
          <w:color w:val="000000"/>
        </w:rPr>
        <w:t>increase uncertainty in the medium term.</w:t>
      </w:r>
      <w:proofErr w:type="gramEnd"/>
      <w:r w:rsidRPr="00EA190F">
        <w:rPr>
          <w:color w:val="000000"/>
        </w:rPr>
        <w:t xml:space="preserve"> Poor coordination of donor and government resources supporting peace and development interventions in </w:t>
      </w:r>
      <w:r w:rsidR="00213BD6" w:rsidRPr="00EA190F">
        <w:rPr>
          <w:color w:val="000000"/>
        </w:rPr>
        <w:t xml:space="preserve">peace and development communities </w:t>
      </w:r>
      <w:r w:rsidRPr="00EA190F">
        <w:rPr>
          <w:color w:val="000000"/>
        </w:rPr>
        <w:t>and other marginal communities is testing the limited capacities of LGUs to provide services</w:t>
      </w:r>
      <w:r w:rsidR="00DA7966" w:rsidRPr="00EA190F">
        <w:rPr>
          <w:color w:val="000000"/>
        </w:rPr>
        <w:t>, as is</w:t>
      </w:r>
      <w:r w:rsidR="008F6566" w:rsidRPr="00EA190F">
        <w:rPr>
          <w:color w:val="000000"/>
        </w:rPr>
        <w:t xml:space="preserve"> </w:t>
      </w:r>
      <w:r w:rsidR="00DA7966" w:rsidRPr="00EA190F">
        <w:rPr>
          <w:color w:val="000000"/>
        </w:rPr>
        <w:t xml:space="preserve">the </w:t>
      </w:r>
      <w:r w:rsidR="00213BD6" w:rsidRPr="00EA190F">
        <w:rPr>
          <w:color w:val="000000"/>
        </w:rPr>
        <w:t>r</w:t>
      </w:r>
      <w:r w:rsidRPr="00EA190F">
        <w:rPr>
          <w:color w:val="000000"/>
        </w:rPr>
        <w:t xml:space="preserve">ecurrence of violent </w:t>
      </w:r>
      <w:r w:rsidR="00DA7966" w:rsidRPr="00EA190F">
        <w:rPr>
          <w:color w:val="000000"/>
        </w:rPr>
        <w:t xml:space="preserve">clan </w:t>
      </w:r>
      <w:r w:rsidRPr="00EA190F">
        <w:rPr>
          <w:color w:val="000000"/>
        </w:rPr>
        <w:t>conflict in areas covered.</w:t>
      </w:r>
      <w:r w:rsidR="008F6566" w:rsidRPr="00EA190F">
        <w:rPr>
          <w:color w:val="000000"/>
        </w:rPr>
        <w:t xml:space="preserve"> </w:t>
      </w:r>
    </w:p>
    <w:p w:rsidR="00CB1CDA" w:rsidRPr="00EA190F" w:rsidRDefault="00287C73" w:rsidP="00FA1B21">
      <w:pPr>
        <w:pStyle w:val="BodyText"/>
        <w:rPr>
          <w:color w:val="000000"/>
        </w:rPr>
      </w:pPr>
      <w:r w:rsidRPr="00EA190F">
        <w:rPr>
          <w:color w:val="000000"/>
        </w:rPr>
        <w:t>In</w:t>
      </w:r>
      <w:r w:rsidR="00CB1CDA" w:rsidRPr="00EA190F">
        <w:rPr>
          <w:color w:val="000000"/>
        </w:rPr>
        <w:t xml:space="preserve"> </w:t>
      </w:r>
      <w:r w:rsidRPr="00EA190F">
        <w:rPr>
          <w:color w:val="000000"/>
        </w:rPr>
        <w:t xml:space="preserve">response </w:t>
      </w:r>
      <w:r w:rsidR="00CB1CDA" w:rsidRPr="00EA190F">
        <w:rPr>
          <w:color w:val="000000"/>
        </w:rPr>
        <w:t>to poor performance information in the 200</w:t>
      </w:r>
      <w:r w:rsidR="00DA7966" w:rsidRPr="00EA190F">
        <w:rPr>
          <w:color w:val="000000"/>
        </w:rPr>
        <w:t>6–0</w:t>
      </w:r>
      <w:r w:rsidR="00CB1CDA" w:rsidRPr="00EA190F">
        <w:rPr>
          <w:color w:val="000000"/>
        </w:rPr>
        <w:t xml:space="preserve">7 </w:t>
      </w:r>
      <w:r w:rsidR="00DA7966" w:rsidRPr="00EA190F">
        <w:rPr>
          <w:color w:val="000000"/>
        </w:rPr>
        <w:t xml:space="preserve">annual program performance update </w:t>
      </w:r>
      <w:r w:rsidR="00CB1CDA" w:rsidRPr="00EA190F">
        <w:rPr>
          <w:color w:val="000000"/>
        </w:rPr>
        <w:t xml:space="preserve">a consultant </w:t>
      </w:r>
      <w:r w:rsidRPr="00EA190F">
        <w:rPr>
          <w:color w:val="000000"/>
        </w:rPr>
        <w:t xml:space="preserve">was engaged </w:t>
      </w:r>
      <w:r w:rsidR="00CB1CDA" w:rsidRPr="00EA190F">
        <w:rPr>
          <w:color w:val="000000"/>
        </w:rPr>
        <w:t xml:space="preserve">to design and review the </w:t>
      </w:r>
      <w:r w:rsidRPr="00EA190F">
        <w:rPr>
          <w:color w:val="000000"/>
        </w:rPr>
        <w:t>monitoring and evaluation</w:t>
      </w:r>
      <w:r w:rsidR="00CB1CDA" w:rsidRPr="00EA190F">
        <w:rPr>
          <w:color w:val="000000"/>
        </w:rPr>
        <w:t xml:space="preserve"> </w:t>
      </w:r>
      <w:r w:rsidR="007671FD" w:rsidRPr="00EA190F">
        <w:rPr>
          <w:color w:val="000000"/>
        </w:rPr>
        <w:t xml:space="preserve">(M&amp;E) </w:t>
      </w:r>
      <w:r w:rsidR="00CB1CDA" w:rsidRPr="00EA190F">
        <w:rPr>
          <w:color w:val="000000"/>
        </w:rPr>
        <w:t xml:space="preserve">system. This </w:t>
      </w:r>
      <w:r w:rsidRPr="00EA190F">
        <w:rPr>
          <w:color w:val="000000"/>
        </w:rPr>
        <w:t>will lead</w:t>
      </w:r>
      <w:r w:rsidR="00CB1CDA" w:rsidRPr="00EA190F">
        <w:rPr>
          <w:color w:val="000000"/>
        </w:rPr>
        <w:t xml:space="preserve"> to </w:t>
      </w:r>
      <w:r w:rsidRPr="00EA190F">
        <w:rPr>
          <w:color w:val="000000"/>
        </w:rPr>
        <w:t xml:space="preserve">better performance data in </w:t>
      </w:r>
      <w:r w:rsidR="007E5B6A" w:rsidRPr="00EA190F">
        <w:rPr>
          <w:color w:val="000000"/>
        </w:rPr>
        <w:t xml:space="preserve">the </w:t>
      </w:r>
      <w:r w:rsidRPr="00EA190F">
        <w:rPr>
          <w:color w:val="000000"/>
        </w:rPr>
        <w:t>future</w:t>
      </w:r>
      <w:r w:rsidR="00CB1CDA" w:rsidRPr="00EA190F">
        <w:rPr>
          <w:color w:val="000000"/>
        </w:rPr>
        <w:t>.</w:t>
      </w:r>
    </w:p>
    <w:p w:rsidR="00CB1CDA" w:rsidRPr="00EA190F" w:rsidRDefault="006A6CCD" w:rsidP="00FA1B21">
      <w:pPr>
        <w:pStyle w:val="Heading2nonumber"/>
        <w:rPr>
          <w:color w:val="000000"/>
        </w:rPr>
      </w:pPr>
      <w:r w:rsidRPr="00EA190F">
        <w:rPr>
          <w:color w:val="000000"/>
        </w:rPr>
        <w:br w:type="page"/>
      </w:r>
      <w:bookmarkStart w:id="47" w:name="_Toc360805262"/>
      <w:r w:rsidR="00CB1CDA" w:rsidRPr="00EA190F">
        <w:rPr>
          <w:color w:val="000000"/>
        </w:rPr>
        <w:lastRenderedPageBreak/>
        <w:t>Objective</w:t>
      </w:r>
      <w:proofErr w:type="gramStart"/>
      <w:r w:rsidR="00CB1CDA" w:rsidRPr="00EA190F">
        <w:rPr>
          <w:color w:val="000000"/>
        </w:rPr>
        <w:t>:</w:t>
      </w:r>
      <w:proofErr w:type="gramEnd"/>
      <w:r w:rsidR="00FA1B21" w:rsidRPr="00EA190F">
        <w:rPr>
          <w:color w:val="000000"/>
        </w:rPr>
        <w:br/>
      </w:r>
      <w:r w:rsidR="00CB1CDA" w:rsidRPr="00EA190F">
        <w:rPr>
          <w:color w:val="000000"/>
        </w:rPr>
        <w:t>Enhanced basic services and livelihoods in conflict-affected communities</w:t>
      </w:r>
      <w:bookmarkEnd w:id="47"/>
      <w:r w:rsidR="00CB1CDA" w:rsidRPr="00EA190F">
        <w:rPr>
          <w:color w:val="000000"/>
        </w:rPr>
        <w:t xml:space="preserve"> </w:t>
      </w:r>
    </w:p>
    <w:p w:rsidR="00CB1CDA" w:rsidRPr="00EA190F" w:rsidRDefault="00FA1B21" w:rsidP="00FA1B21">
      <w:pPr>
        <w:pStyle w:val="Heading3nonumber"/>
        <w:rPr>
          <w:color w:val="000000"/>
        </w:rPr>
      </w:pPr>
      <w:r w:rsidRPr="00EA190F">
        <w:rPr>
          <w:color w:val="000000"/>
        </w:rPr>
        <w:t>Rating</w:t>
      </w:r>
    </w:p>
    <w:p w:rsidR="00CB1CDA" w:rsidRPr="00EA190F" w:rsidRDefault="00EA190F" w:rsidP="00FA1B21">
      <w:pPr>
        <w:pStyle w:val="HighlightBulletOrange"/>
        <w:rPr>
          <w:color w:val="000000"/>
        </w:rPr>
      </w:pPr>
      <w:r w:rsidRPr="00EA190F">
        <w:rPr>
          <w:color w:val="000000"/>
        </w:rPr>
        <w:t xml:space="preserve">(amber) </w:t>
      </w:r>
      <w:r w:rsidR="00CB1CDA" w:rsidRPr="00EA190F">
        <w:rPr>
          <w:color w:val="000000"/>
        </w:rPr>
        <w:t>The objective will be partly achieved within the timeframe</w:t>
      </w:r>
      <w:r w:rsidR="00A505EC" w:rsidRPr="00EA190F">
        <w:rPr>
          <w:color w:val="000000"/>
        </w:rPr>
        <w:t>.</w:t>
      </w:r>
    </w:p>
    <w:p w:rsidR="00FA1B21" w:rsidRPr="00EA190F" w:rsidRDefault="00FA1B21" w:rsidP="00FA1B21">
      <w:pPr>
        <w:pStyle w:val="Heading3nonumber"/>
        <w:rPr>
          <w:color w:val="000000"/>
        </w:rPr>
      </w:pPr>
      <w:r w:rsidRPr="00EA190F">
        <w:rPr>
          <w:color w:val="000000"/>
        </w:rPr>
        <w:t xml:space="preserve">Contributing programs </w:t>
      </w:r>
    </w:p>
    <w:p w:rsidR="00FA1B21" w:rsidRPr="00EA190F" w:rsidRDefault="00FA1B21" w:rsidP="007F2422">
      <w:pPr>
        <w:pStyle w:val="ListBullet"/>
      </w:pPr>
      <w:r w:rsidRPr="00EA190F">
        <w:t xml:space="preserve">ACT for Peace </w:t>
      </w:r>
      <w:r w:rsidR="00A505EC" w:rsidRPr="00EA190F">
        <w:t>Program</w:t>
      </w:r>
    </w:p>
    <w:p w:rsidR="00FA1B21" w:rsidRPr="00EA190F" w:rsidRDefault="00A505EC" w:rsidP="007F2422">
      <w:pPr>
        <w:pStyle w:val="ListBullet"/>
        <w:rPr>
          <w:u w:val="single"/>
        </w:rPr>
      </w:pPr>
      <w:r w:rsidRPr="00EA190F">
        <w:t>Philippines–Australia Community Assistance Program</w:t>
      </w:r>
    </w:p>
    <w:p w:rsidR="00CB1CDA" w:rsidRPr="00EA190F" w:rsidRDefault="00CB1CDA" w:rsidP="00FA1B21">
      <w:pPr>
        <w:pStyle w:val="Heading3nonumber"/>
        <w:rPr>
          <w:color w:val="000000"/>
        </w:rPr>
      </w:pPr>
      <w:r w:rsidRPr="00EA190F">
        <w:rPr>
          <w:color w:val="000000"/>
        </w:rPr>
        <w:t>Assessment of results and performance</w:t>
      </w:r>
    </w:p>
    <w:p w:rsidR="00CB1CDA" w:rsidRPr="00EA190F" w:rsidRDefault="00CB1CDA" w:rsidP="00FA1B21">
      <w:pPr>
        <w:pStyle w:val="Heading4"/>
        <w:rPr>
          <w:color w:val="000000"/>
        </w:rPr>
      </w:pPr>
      <w:r w:rsidRPr="00EA190F">
        <w:rPr>
          <w:color w:val="000000"/>
        </w:rPr>
        <w:t xml:space="preserve">Key </w:t>
      </w:r>
      <w:r w:rsidR="00FA1B21" w:rsidRPr="00EA190F">
        <w:rPr>
          <w:color w:val="000000"/>
        </w:rPr>
        <w:t>results</w:t>
      </w:r>
    </w:p>
    <w:p w:rsidR="00CB1CDA" w:rsidRPr="00EA190F" w:rsidRDefault="00CB1CDA" w:rsidP="00FA1B21">
      <w:pPr>
        <w:pStyle w:val="BodyText"/>
        <w:rPr>
          <w:color w:val="000000"/>
        </w:rPr>
      </w:pPr>
      <w:r w:rsidRPr="00EA190F">
        <w:rPr>
          <w:color w:val="000000"/>
        </w:rPr>
        <w:t xml:space="preserve">The provision and </w:t>
      </w:r>
      <w:r w:rsidR="00975A4A" w:rsidRPr="00EA190F">
        <w:rPr>
          <w:color w:val="000000"/>
        </w:rPr>
        <w:t xml:space="preserve">the </w:t>
      </w:r>
      <w:r w:rsidRPr="00EA190F">
        <w:rPr>
          <w:color w:val="000000"/>
        </w:rPr>
        <w:t xml:space="preserve">demonstration effect of a model for community and civil society engagement </w:t>
      </w:r>
      <w:r w:rsidR="00975A4A" w:rsidRPr="00EA190F">
        <w:rPr>
          <w:color w:val="000000"/>
        </w:rPr>
        <w:t xml:space="preserve">are </w:t>
      </w:r>
      <w:r w:rsidRPr="00EA190F">
        <w:rPr>
          <w:color w:val="000000"/>
        </w:rPr>
        <w:t xml:space="preserve">a key outcome. </w:t>
      </w:r>
      <w:proofErr w:type="spellStart"/>
      <w:r w:rsidRPr="00EA190F">
        <w:rPr>
          <w:color w:val="000000"/>
        </w:rPr>
        <w:t>AusAID’s</w:t>
      </w:r>
      <w:proofErr w:type="spellEnd"/>
      <w:r w:rsidRPr="00EA190F">
        <w:rPr>
          <w:color w:val="000000"/>
        </w:rPr>
        <w:t xml:space="preserve"> </w:t>
      </w:r>
      <w:r w:rsidR="0085043F" w:rsidRPr="00EA190F">
        <w:rPr>
          <w:color w:val="000000"/>
        </w:rPr>
        <w:t xml:space="preserve">community assistance </w:t>
      </w:r>
      <w:r w:rsidRPr="00EA190F">
        <w:rPr>
          <w:color w:val="000000"/>
        </w:rPr>
        <w:t xml:space="preserve">program has shown that community engagement can improve the livelihoods of disadvantaged communities. </w:t>
      </w:r>
      <w:r w:rsidR="00975A4A" w:rsidRPr="00EA190F">
        <w:rPr>
          <w:color w:val="000000"/>
        </w:rPr>
        <w:t>A</w:t>
      </w:r>
      <w:r w:rsidRPr="00EA190F">
        <w:rPr>
          <w:color w:val="000000"/>
        </w:rPr>
        <w:t>gricultural and small</w:t>
      </w:r>
      <w:r w:rsidR="00975A4A" w:rsidRPr="00EA190F">
        <w:rPr>
          <w:color w:val="000000"/>
        </w:rPr>
        <w:t>-</w:t>
      </w:r>
      <w:r w:rsidRPr="00EA190F">
        <w:rPr>
          <w:color w:val="000000"/>
        </w:rPr>
        <w:t xml:space="preserve">enterprise production and average monthly household income in targeted provinces have all shown improvement through the PACAP intervention. </w:t>
      </w:r>
    </w:p>
    <w:p w:rsidR="00CB1CDA" w:rsidRPr="00EA190F" w:rsidRDefault="00CB1CDA" w:rsidP="00FA1B21">
      <w:pPr>
        <w:pStyle w:val="BodyText"/>
        <w:rPr>
          <w:color w:val="000000"/>
        </w:rPr>
      </w:pPr>
      <w:r w:rsidRPr="00EA190F">
        <w:rPr>
          <w:color w:val="000000"/>
        </w:rPr>
        <w:t xml:space="preserve">The recent data from the </w:t>
      </w:r>
      <w:r w:rsidR="00364D7B" w:rsidRPr="00EA190F">
        <w:rPr>
          <w:color w:val="000000"/>
        </w:rPr>
        <w:t>six-</w:t>
      </w:r>
      <w:r w:rsidRPr="00EA190F">
        <w:rPr>
          <w:color w:val="000000"/>
        </w:rPr>
        <w:t xml:space="preserve">monthly report </w:t>
      </w:r>
      <w:r w:rsidR="00364D7B" w:rsidRPr="00EA190F">
        <w:rPr>
          <w:color w:val="000000"/>
        </w:rPr>
        <w:t xml:space="preserve">on the </w:t>
      </w:r>
      <w:r w:rsidR="00392969" w:rsidRPr="00EA190F">
        <w:rPr>
          <w:color w:val="000000"/>
        </w:rPr>
        <w:t xml:space="preserve">M&amp;E </w:t>
      </w:r>
      <w:r w:rsidR="00364D7B" w:rsidRPr="00EA190F">
        <w:rPr>
          <w:color w:val="000000"/>
        </w:rPr>
        <w:t xml:space="preserve">systems </w:t>
      </w:r>
      <w:r w:rsidRPr="00EA190F">
        <w:rPr>
          <w:color w:val="000000"/>
        </w:rPr>
        <w:t>shows that</w:t>
      </w:r>
      <w:r w:rsidR="00364D7B" w:rsidRPr="00EA190F">
        <w:rPr>
          <w:color w:val="000000"/>
        </w:rPr>
        <w:t xml:space="preserve"> </w:t>
      </w:r>
      <w:r w:rsidR="00975A4A" w:rsidRPr="00EA190F">
        <w:rPr>
          <w:color w:val="000000"/>
        </w:rPr>
        <w:t xml:space="preserve">the </w:t>
      </w:r>
      <w:r w:rsidR="00364D7B" w:rsidRPr="00EA190F">
        <w:rPr>
          <w:color w:val="000000"/>
        </w:rPr>
        <w:t>household</w:t>
      </w:r>
      <w:r w:rsidRPr="00EA190F">
        <w:rPr>
          <w:color w:val="000000"/>
        </w:rPr>
        <w:t xml:space="preserve"> income ha</w:t>
      </w:r>
      <w:r w:rsidR="00975A4A" w:rsidRPr="00EA190F">
        <w:rPr>
          <w:color w:val="000000"/>
        </w:rPr>
        <w:t>s</w:t>
      </w:r>
      <w:r w:rsidRPr="00EA190F">
        <w:rPr>
          <w:color w:val="000000"/>
        </w:rPr>
        <w:t xml:space="preserve"> almost doubled in PACAP areas (average income increased by 11</w:t>
      </w:r>
      <w:r w:rsidR="00364D7B" w:rsidRPr="00EA190F">
        <w:rPr>
          <w:color w:val="000000"/>
        </w:rPr>
        <w:t> </w:t>
      </w:r>
      <w:r w:rsidRPr="00EA190F">
        <w:rPr>
          <w:color w:val="000000"/>
        </w:rPr>
        <w:t xml:space="preserve">464 </w:t>
      </w:r>
      <w:r w:rsidR="0085043F" w:rsidRPr="00EA190F">
        <w:rPr>
          <w:color w:val="000000"/>
        </w:rPr>
        <w:t xml:space="preserve">pesos </w:t>
      </w:r>
      <w:r w:rsidRPr="00EA190F">
        <w:rPr>
          <w:color w:val="000000"/>
        </w:rPr>
        <w:t>to 24</w:t>
      </w:r>
      <w:r w:rsidR="00364D7B" w:rsidRPr="00EA190F">
        <w:rPr>
          <w:color w:val="000000"/>
        </w:rPr>
        <w:t> </w:t>
      </w:r>
      <w:r w:rsidRPr="00EA190F">
        <w:rPr>
          <w:color w:val="000000"/>
        </w:rPr>
        <w:t xml:space="preserve">707 </w:t>
      </w:r>
      <w:r w:rsidR="0085043F" w:rsidRPr="00EA190F">
        <w:rPr>
          <w:color w:val="000000"/>
        </w:rPr>
        <w:t xml:space="preserve">pesos </w:t>
      </w:r>
      <w:r w:rsidR="00364D7B" w:rsidRPr="00EA190F">
        <w:rPr>
          <w:color w:val="000000"/>
        </w:rPr>
        <w:t>a</w:t>
      </w:r>
      <w:r w:rsidRPr="00EA190F">
        <w:rPr>
          <w:color w:val="000000"/>
        </w:rPr>
        <w:t xml:space="preserve"> month</w:t>
      </w:r>
      <w:r w:rsidR="00364D7B" w:rsidRPr="00EA190F">
        <w:rPr>
          <w:color w:val="000000"/>
        </w:rPr>
        <w:t>)</w:t>
      </w:r>
      <w:r w:rsidRPr="00EA190F">
        <w:rPr>
          <w:color w:val="000000"/>
        </w:rPr>
        <w:t>. Compared with the previous year, the program engaged 20</w:t>
      </w:r>
      <w:r w:rsidR="00364D7B" w:rsidRPr="00EA190F">
        <w:rPr>
          <w:color w:val="000000"/>
        </w:rPr>
        <w:t>–</w:t>
      </w:r>
      <w:r w:rsidRPr="00EA190F">
        <w:rPr>
          <w:color w:val="000000"/>
        </w:rPr>
        <w:t>25</w:t>
      </w:r>
      <w:r w:rsidR="008F6566" w:rsidRPr="00EA190F">
        <w:rPr>
          <w:color w:val="000000"/>
        </w:rPr>
        <w:t> per cent</w:t>
      </w:r>
      <w:r w:rsidRPr="00EA190F">
        <w:rPr>
          <w:color w:val="000000"/>
        </w:rPr>
        <w:t xml:space="preserve"> more women and increased their participation in local development and improved access to basic services (water and sanitation facilities, basic education, and health). A recent </w:t>
      </w:r>
      <w:r w:rsidR="00287C73" w:rsidRPr="00EA190F">
        <w:rPr>
          <w:color w:val="000000"/>
        </w:rPr>
        <w:t>review</w:t>
      </w:r>
      <w:r w:rsidRPr="00EA190F">
        <w:rPr>
          <w:color w:val="000000"/>
        </w:rPr>
        <w:t xml:space="preserve"> found that these changes have contributed to social empowerment in usually underserved </w:t>
      </w:r>
      <w:r w:rsidR="001D301C" w:rsidRPr="00EA190F">
        <w:rPr>
          <w:color w:val="000000"/>
        </w:rPr>
        <w:t>conflict-affected areas</w:t>
      </w:r>
      <w:r w:rsidRPr="00EA190F">
        <w:rPr>
          <w:color w:val="000000"/>
        </w:rPr>
        <w:t>.</w:t>
      </w:r>
    </w:p>
    <w:p w:rsidR="00CB1CDA" w:rsidRPr="00EA190F" w:rsidRDefault="00CB1CDA" w:rsidP="00FA1B21">
      <w:pPr>
        <w:pStyle w:val="BodyText"/>
        <w:rPr>
          <w:color w:val="000000"/>
        </w:rPr>
      </w:pPr>
      <w:r w:rsidRPr="00EA190F">
        <w:rPr>
          <w:color w:val="000000"/>
        </w:rPr>
        <w:t xml:space="preserve">Through the ACT for Peace </w:t>
      </w:r>
      <w:r w:rsidR="001D301C" w:rsidRPr="00EA190F">
        <w:rPr>
          <w:color w:val="000000"/>
        </w:rPr>
        <w:t>Program</w:t>
      </w:r>
      <w:r w:rsidRPr="00EA190F">
        <w:rPr>
          <w:color w:val="000000"/>
        </w:rPr>
        <w:t xml:space="preserve">, ongoing support to </w:t>
      </w:r>
      <w:r w:rsidR="001D301C" w:rsidRPr="00EA190F">
        <w:rPr>
          <w:color w:val="000000"/>
        </w:rPr>
        <w:t xml:space="preserve">peace and development communities </w:t>
      </w:r>
      <w:r w:rsidRPr="00EA190F">
        <w:rPr>
          <w:color w:val="000000"/>
        </w:rPr>
        <w:t>was delivered with the construction of health stations and potable water systems. The program provides a model for how livelihood support can prevent communities falling back into conflict.</w:t>
      </w:r>
      <w:r w:rsidR="008F6566" w:rsidRPr="00EA190F">
        <w:rPr>
          <w:color w:val="000000"/>
        </w:rPr>
        <w:t xml:space="preserve"> </w:t>
      </w:r>
      <w:r w:rsidRPr="00EA190F">
        <w:rPr>
          <w:color w:val="000000"/>
        </w:rPr>
        <w:t xml:space="preserve">The </w:t>
      </w:r>
      <w:r w:rsidR="001D301C" w:rsidRPr="00EA190F">
        <w:rPr>
          <w:color w:val="000000"/>
        </w:rPr>
        <w:t xml:space="preserve">peace and development advocate leagues </w:t>
      </w:r>
      <w:r w:rsidRPr="00EA190F">
        <w:rPr>
          <w:color w:val="000000"/>
        </w:rPr>
        <w:t xml:space="preserve">(mainly former combatants) coordinate the </w:t>
      </w:r>
      <w:r w:rsidR="001D301C" w:rsidRPr="00EA190F">
        <w:rPr>
          <w:color w:val="000000"/>
        </w:rPr>
        <w:t xml:space="preserve">communities </w:t>
      </w:r>
      <w:r w:rsidRPr="00EA190F">
        <w:rPr>
          <w:color w:val="000000"/>
        </w:rPr>
        <w:t>and engage with local authorities to provide services.</w:t>
      </w:r>
      <w:r w:rsidR="008F6566" w:rsidRPr="00EA190F">
        <w:rPr>
          <w:color w:val="000000"/>
        </w:rPr>
        <w:t xml:space="preserve"> </w:t>
      </w:r>
      <w:r w:rsidRPr="00EA190F">
        <w:rPr>
          <w:color w:val="000000"/>
        </w:rPr>
        <w:t xml:space="preserve">This places demands on local governments </w:t>
      </w:r>
      <w:r w:rsidR="001D301C" w:rsidRPr="00EA190F">
        <w:rPr>
          <w:color w:val="000000"/>
        </w:rPr>
        <w:t xml:space="preserve">that </w:t>
      </w:r>
      <w:r w:rsidRPr="00EA190F">
        <w:rPr>
          <w:color w:val="000000"/>
        </w:rPr>
        <w:t xml:space="preserve">they may not be capable of </w:t>
      </w:r>
      <w:r w:rsidR="001D301C" w:rsidRPr="00EA190F">
        <w:rPr>
          <w:color w:val="000000"/>
        </w:rPr>
        <w:t>meeting</w:t>
      </w:r>
      <w:r w:rsidRPr="00EA190F">
        <w:rPr>
          <w:color w:val="000000"/>
        </w:rPr>
        <w:t xml:space="preserve">. Continuation of the </w:t>
      </w:r>
      <w:r w:rsidR="001D301C" w:rsidRPr="00EA190F">
        <w:rPr>
          <w:color w:val="000000"/>
        </w:rPr>
        <w:t xml:space="preserve">leagues </w:t>
      </w:r>
      <w:r w:rsidRPr="00EA190F">
        <w:rPr>
          <w:color w:val="000000"/>
        </w:rPr>
        <w:t>formed under the program beyond 2010 may also be under threat and will require analysis and support if it is found they contribute significantly to maint</w:t>
      </w:r>
      <w:r w:rsidR="0027691C" w:rsidRPr="00EA190F">
        <w:rPr>
          <w:color w:val="000000"/>
        </w:rPr>
        <w:t>aining</w:t>
      </w:r>
      <w:r w:rsidRPr="00EA190F">
        <w:rPr>
          <w:color w:val="000000"/>
        </w:rPr>
        <w:t xml:space="preserve"> peace. </w:t>
      </w:r>
    </w:p>
    <w:p w:rsidR="00FA1B21" w:rsidRPr="00EA190F" w:rsidRDefault="00CB1CDA" w:rsidP="00FA1B21">
      <w:pPr>
        <w:pStyle w:val="Heading4"/>
        <w:rPr>
          <w:color w:val="000000"/>
        </w:rPr>
      </w:pPr>
      <w:r w:rsidRPr="00EA190F">
        <w:rPr>
          <w:color w:val="000000"/>
        </w:rPr>
        <w:lastRenderedPageBreak/>
        <w:t xml:space="preserve">Key </w:t>
      </w:r>
      <w:r w:rsidR="00FA1B21" w:rsidRPr="00EA190F">
        <w:rPr>
          <w:color w:val="000000"/>
        </w:rPr>
        <w:t>factors contributing</w:t>
      </w:r>
    </w:p>
    <w:p w:rsidR="00CB1CDA" w:rsidRPr="00EA190F" w:rsidRDefault="00CB1CDA" w:rsidP="00FA1B21">
      <w:pPr>
        <w:pStyle w:val="BodyText"/>
        <w:rPr>
          <w:color w:val="000000"/>
          <w:u w:val="single"/>
        </w:rPr>
      </w:pPr>
      <w:r w:rsidRPr="00EA190F">
        <w:rPr>
          <w:color w:val="000000"/>
        </w:rPr>
        <w:t xml:space="preserve">Enhanced LGU governance and leadership capacities have contributed to LGUs </w:t>
      </w:r>
      <w:r w:rsidR="004E1556" w:rsidRPr="00EA190F">
        <w:rPr>
          <w:color w:val="000000"/>
        </w:rPr>
        <w:t xml:space="preserve">being </w:t>
      </w:r>
      <w:r w:rsidRPr="00EA190F">
        <w:rPr>
          <w:color w:val="000000"/>
        </w:rPr>
        <w:t xml:space="preserve">able to deliver basic services and support livelihoods in </w:t>
      </w:r>
      <w:r w:rsidR="001D301C" w:rsidRPr="00EA190F">
        <w:rPr>
          <w:color w:val="000000"/>
        </w:rPr>
        <w:t xml:space="preserve">conflict-affected areas </w:t>
      </w:r>
      <w:r w:rsidRPr="00EA190F">
        <w:rPr>
          <w:color w:val="000000"/>
        </w:rPr>
        <w:t>and have improved prospects in maintaining and sustaining peace and development.</w:t>
      </w:r>
      <w:r w:rsidR="008F6566" w:rsidRPr="00EA190F">
        <w:rPr>
          <w:color w:val="000000"/>
        </w:rPr>
        <w:t xml:space="preserve"> </w:t>
      </w:r>
      <w:r w:rsidR="005E266D" w:rsidRPr="00EA190F">
        <w:rPr>
          <w:color w:val="000000"/>
        </w:rPr>
        <w:t xml:space="preserve">The increased and improved collaboration and links between LGUs and civil society organisations/ non-government organisations in the implementation of projects funded by PACAP </w:t>
      </w:r>
      <w:r w:rsidR="002E0559" w:rsidRPr="00EA190F">
        <w:rPr>
          <w:color w:val="000000"/>
        </w:rPr>
        <w:t>are</w:t>
      </w:r>
      <w:r w:rsidR="00A96DD5" w:rsidRPr="00EA190F">
        <w:rPr>
          <w:color w:val="000000"/>
        </w:rPr>
        <w:t> </w:t>
      </w:r>
      <w:r w:rsidR="005E266D" w:rsidRPr="00EA190F">
        <w:rPr>
          <w:color w:val="000000"/>
        </w:rPr>
        <w:t xml:space="preserve">also contributing </w:t>
      </w:r>
      <w:r w:rsidR="002E0559" w:rsidRPr="00EA190F">
        <w:rPr>
          <w:color w:val="000000"/>
        </w:rPr>
        <w:t>towards meeting</w:t>
      </w:r>
      <w:r w:rsidR="005E266D" w:rsidRPr="00EA190F">
        <w:rPr>
          <w:color w:val="000000"/>
        </w:rPr>
        <w:t xml:space="preserve"> this objective. </w:t>
      </w:r>
      <w:r w:rsidRPr="00EA190F">
        <w:rPr>
          <w:color w:val="000000"/>
        </w:rPr>
        <w:t xml:space="preserve">Increasing efforts on knowledge sharing across peace and development programs will improve </w:t>
      </w:r>
      <w:r w:rsidR="002E0559" w:rsidRPr="00EA190F">
        <w:rPr>
          <w:color w:val="000000"/>
        </w:rPr>
        <w:t xml:space="preserve">the </w:t>
      </w:r>
      <w:r w:rsidRPr="00EA190F">
        <w:rPr>
          <w:color w:val="000000"/>
        </w:rPr>
        <w:t>coherence and convergence of efforts.</w:t>
      </w:r>
      <w:r w:rsidR="008F6566" w:rsidRPr="00EA190F">
        <w:rPr>
          <w:color w:val="000000"/>
        </w:rPr>
        <w:t xml:space="preserve"> </w:t>
      </w:r>
    </w:p>
    <w:p w:rsidR="00FA1B21" w:rsidRPr="00EA190F" w:rsidRDefault="00CB1CDA" w:rsidP="00FA1B21">
      <w:pPr>
        <w:pStyle w:val="Heading4"/>
        <w:rPr>
          <w:color w:val="000000"/>
        </w:rPr>
      </w:pPr>
      <w:r w:rsidRPr="00EA190F">
        <w:rPr>
          <w:color w:val="000000"/>
        </w:rPr>
        <w:t xml:space="preserve">Key </w:t>
      </w:r>
      <w:r w:rsidR="00FA1B21" w:rsidRPr="00EA190F">
        <w:rPr>
          <w:color w:val="000000"/>
        </w:rPr>
        <w:t>factors hindering</w:t>
      </w:r>
    </w:p>
    <w:p w:rsidR="00CB1CDA" w:rsidRPr="00EA190F" w:rsidRDefault="00CB1CDA" w:rsidP="00FA1B21">
      <w:pPr>
        <w:pStyle w:val="BodyText"/>
        <w:rPr>
          <w:color w:val="000000"/>
        </w:rPr>
      </w:pPr>
      <w:r w:rsidRPr="00EA190F">
        <w:rPr>
          <w:color w:val="000000"/>
        </w:rPr>
        <w:t>The provincial and municipal election cycle in late 2007 resulted in a change of officials at senior levels.</w:t>
      </w:r>
      <w:r w:rsidR="008F6566" w:rsidRPr="00EA190F">
        <w:rPr>
          <w:color w:val="000000"/>
        </w:rPr>
        <w:t xml:space="preserve"> </w:t>
      </w:r>
      <w:r w:rsidRPr="00EA190F">
        <w:rPr>
          <w:color w:val="000000"/>
        </w:rPr>
        <w:t xml:space="preserve">This has </w:t>
      </w:r>
      <w:r w:rsidR="001D301C" w:rsidRPr="00EA190F">
        <w:rPr>
          <w:color w:val="000000"/>
        </w:rPr>
        <w:t xml:space="preserve">required </w:t>
      </w:r>
      <w:r w:rsidRPr="00EA190F">
        <w:rPr>
          <w:color w:val="000000"/>
        </w:rPr>
        <w:t xml:space="preserve">relationships </w:t>
      </w:r>
      <w:r w:rsidR="001D301C" w:rsidRPr="00EA190F">
        <w:rPr>
          <w:color w:val="000000"/>
        </w:rPr>
        <w:t xml:space="preserve">to be built </w:t>
      </w:r>
      <w:r w:rsidRPr="00EA190F">
        <w:rPr>
          <w:color w:val="000000"/>
        </w:rPr>
        <w:t>with newly</w:t>
      </w:r>
      <w:r w:rsidR="001D301C" w:rsidRPr="00EA190F">
        <w:rPr>
          <w:color w:val="000000"/>
        </w:rPr>
        <w:t xml:space="preserve"> </w:t>
      </w:r>
      <w:r w:rsidRPr="00EA190F">
        <w:rPr>
          <w:color w:val="000000"/>
        </w:rPr>
        <w:t xml:space="preserve">elected key stakeholders and </w:t>
      </w:r>
      <w:r w:rsidR="001D301C" w:rsidRPr="00EA190F">
        <w:rPr>
          <w:color w:val="000000"/>
        </w:rPr>
        <w:t xml:space="preserve">has </w:t>
      </w:r>
      <w:r w:rsidRPr="00EA190F">
        <w:rPr>
          <w:color w:val="000000"/>
        </w:rPr>
        <w:t>delayed the progress of planning and implement</w:t>
      </w:r>
      <w:r w:rsidR="001D301C" w:rsidRPr="00EA190F">
        <w:rPr>
          <w:color w:val="000000"/>
        </w:rPr>
        <w:t>ing</w:t>
      </w:r>
      <w:r w:rsidRPr="00EA190F">
        <w:rPr>
          <w:color w:val="000000"/>
        </w:rPr>
        <w:t xml:space="preserve"> livelihood activities.</w:t>
      </w:r>
      <w:r w:rsidR="008F6566" w:rsidRPr="00EA190F">
        <w:rPr>
          <w:color w:val="000000"/>
        </w:rPr>
        <w:t xml:space="preserve"> </w:t>
      </w:r>
      <w:r w:rsidRPr="00EA190F">
        <w:rPr>
          <w:color w:val="000000"/>
        </w:rPr>
        <w:t>This should be taken into consideration whe</w:t>
      </w:r>
      <w:r w:rsidR="00A96DD5" w:rsidRPr="00EA190F">
        <w:rPr>
          <w:color w:val="000000"/>
        </w:rPr>
        <w:t>n assessing progress of the ACT </w:t>
      </w:r>
      <w:r w:rsidRPr="00EA190F">
        <w:rPr>
          <w:color w:val="000000"/>
        </w:rPr>
        <w:t xml:space="preserve">for Peace </w:t>
      </w:r>
      <w:r w:rsidR="001D301C" w:rsidRPr="00EA190F">
        <w:rPr>
          <w:color w:val="000000"/>
        </w:rPr>
        <w:t>Program</w:t>
      </w:r>
      <w:r w:rsidRPr="00EA190F">
        <w:rPr>
          <w:color w:val="000000"/>
        </w:rPr>
        <w:t>.</w:t>
      </w:r>
    </w:p>
    <w:p w:rsidR="00CB1CDA" w:rsidRPr="00EA190F" w:rsidRDefault="00CB1CDA" w:rsidP="00FA1B21">
      <w:pPr>
        <w:pStyle w:val="Heading2nonumber"/>
        <w:rPr>
          <w:color w:val="000000"/>
        </w:rPr>
      </w:pPr>
      <w:bookmarkStart w:id="48" w:name="_Toc360805263"/>
      <w:r w:rsidRPr="00EA190F">
        <w:rPr>
          <w:color w:val="000000"/>
        </w:rPr>
        <w:t>Objective</w:t>
      </w:r>
      <w:proofErr w:type="gramStart"/>
      <w:r w:rsidRPr="00EA190F">
        <w:rPr>
          <w:color w:val="000000"/>
        </w:rPr>
        <w:t>:</w:t>
      </w:r>
      <w:proofErr w:type="gramEnd"/>
      <w:r w:rsidR="00FA1B21" w:rsidRPr="00EA190F">
        <w:rPr>
          <w:color w:val="000000"/>
        </w:rPr>
        <w:br/>
      </w:r>
      <w:r w:rsidRPr="00EA190F">
        <w:rPr>
          <w:color w:val="000000"/>
        </w:rPr>
        <w:t>Improved capability of law and justice institutions, particularly to counter threats from transnational crime, including terrorism</w:t>
      </w:r>
      <w:bookmarkEnd w:id="48"/>
      <w:r w:rsidRPr="00EA190F">
        <w:rPr>
          <w:color w:val="000000"/>
        </w:rPr>
        <w:t xml:space="preserve"> </w:t>
      </w:r>
    </w:p>
    <w:p w:rsidR="00CB1CDA" w:rsidRPr="00EA190F" w:rsidRDefault="00FA1B21" w:rsidP="00FA1B21">
      <w:pPr>
        <w:pStyle w:val="Heading3nonumber"/>
        <w:rPr>
          <w:color w:val="000000"/>
        </w:rPr>
      </w:pPr>
      <w:r w:rsidRPr="00EA190F">
        <w:rPr>
          <w:color w:val="000000"/>
        </w:rPr>
        <w:t>Rating</w:t>
      </w:r>
    </w:p>
    <w:p w:rsidR="00CB1CDA" w:rsidRPr="00EA190F" w:rsidRDefault="00EA190F" w:rsidP="00FA1B21">
      <w:pPr>
        <w:pStyle w:val="HighlightBulletRed"/>
        <w:rPr>
          <w:color w:val="000000"/>
        </w:rPr>
      </w:pPr>
      <w:r w:rsidRPr="00EA190F">
        <w:rPr>
          <w:color w:val="000000"/>
        </w:rPr>
        <w:t xml:space="preserve">(red) </w:t>
      </w:r>
      <w:r w:rsidR="00CB1CDA" w:rsidRPr="00EA190F">
        <w:rPr>
          <w:color w:val="000000"/>
        </w:rPr>
        <w:t>The objective is unlikely to be achieved within the timeframe</w:t>
      </w:r>
      <w:r w:rsidR="009A16A6" w:rsidRPr="00EA190F">
        <w:rPr>
          <w:color w:val="000000"/>
        </w:rPr>
        <w:t>.</w:t>
      </w:r>
    </w:p>
    <w:p w:rsidR="00FA1B21" w:rsidRPr="00EA190F" w:rsidRDefault="00FA1B21" w:rsidP="00FA1B21">
      <w:pPr>
        <w:pStyle w:val="Heading3nonumber"/>
        <w:rPr>
          <w:color w:val="000000"/>
        </w:rPr>
      </w:pPr>
      <w:r w:rsidRPr="00EA190F">
        <w:rPr>
          <w:color w:val="000000"/>
        </w:rPr>
        <w:t xml:space="preserve">Contributing programs </w:t>
      </w:r>
    </w:p>
    <w:p w:rsidR="00FA1B21" w:rsidRPr="00EA190F" w:rsidRDefault="00FA1B21" w:rsidP="007F2422">
      <w:pPr>
        <w:pStyle w:val="ListBullet"/>
        <w:rPr>
          <w:u w:val="single"/>
        </w:rPr>
      </w:pPr>
      <w:r w:rsidRPr="00EA190F">
        <w:t xml:space="preserve">Port Security </w:t>
      </w:r>
      <w:r w:rsidR="00CB2C4D" w:rsidRPr="00EA190F">
        <w:rPr>
          <w:rFonts w:cs="Arial"/>
        </w:rPr>
        <w:t>Capacity-Building</w:t>
      </w:r>
      <w:r w:rsidR="00CB2C4D" w:rsidRPr="00EA190F">
        <w:t xml:space="preserve"> Project </w:t>
      </w:r>
    </w:p>
    <w:p w:rsidR="00FA1B21" w:rsidRPr="00EA190F" w:rsidRDefault="00FA1B21" w:rsidP="007F2422">
      <w:pPr>
        <w:pStyle w:val="ListBullet"/>
        <w:rPr>
          <w:u w:val="single"/>
        </w:rPr>
      </w:pPr>
      <w:r w:rsidRPr="00EA190F">
        <w:t>Strengthening Brunei</w:t>
      </w:r>
      <w:r w:rsidR="00CB2C4D" w:rsidRPr="00EA190F">
        <w:t>–</w:t>
      </w:r>
      <w:r w:rsidRPr="00EA190F">
        <w:t>Indonesia</w:t>
      </w:r>
      <w:r w:rsidR="00CB2C4D" w:rsidRPr="00EA190F">
        <w:t>–</w:t>
      </w:r>
      <w:r w:rsidRPr="00EA190F">
        <w:t>Malaysia</w:t>
      </w:r>
      <w:r w:rsidR="00CB2C4D" w:rsidRPr="00EA190F">
        <w:t>–</w:t>
      </w:r>
      <w:r w:rsidRPr="00EA190F">
        <w:t xml:space="preserve">the </w:t>
      </w:r>
      <w:smartTag w:uri="urn:schemas-microsoft-com:office:smarttags" w:element="country-region">
        <w:r w:rsidRPr="00EA190F">
          <w:t>Philippines</w:t>
        </w:r>
      </w:smartTag>
      <w:r w:rsidRPr="00EA190F">
        <w:t xml:space="preserve"> </w:t>
      </w:r>
      <w:smartTag w:uri="urn:schemas-microsoft-com:office:smarttags" w:element="place">
        <w:r w:rsidRPr="00EA190F">
          <w:t>East ASEAN</w:t>
        </w:r>
      </w:smartTag>
      <w:r w:rsidRPr="00EA190F">
        <w:t xml:space="preserve"> Growth Area on Customs, Immigration, Quarantine and Security</w:t>
      </w:r>
    </w:p>
    <w:p w:rsidR="00CB1CDA" w:rsidRPr="00EA190F" w:rsidRDefault="00CB1CDA" w:rsidP="00FA1B21">
      <w:pPr>
        <w:pStyle w:val="Heading3nonumber"/>
        <w:rPr>
          <w:color w:val="000000"/>
        </w:rPr>
      </w:pPr>
      <w:r w:rsidRPr="00EA190F">
        <w:rPr>
          <w:color w:val="000000"/>
        </w:rPr>
        <w:t>Assessment of results and performance</w:t>
      </w:r>
    </w:p>
    <w:p w:rsidR="00CB1CDA" w:rsidRPr="00EA190F" w:rsidRDefault="00CB1CDA" w:rsidP="00FA1B21">
      <w:pPr>
        <w:pStyle w:val="Heading4"/>
        <w:rPr>
          <w:color w:val="000000"/>
        </w:rPr>
      </w:pPr>
      <w:r w:rsidRPr="00EA190F">
        <w:rPr>
          <w:color w:val="000000"/>
        </w:rPr>
        <w:t xml:space="preserve">Key </w:t>
      </w:r>
      <w:r w:rsidR="00FA1B21" w:rsidRPr="00EA190F">
        <w:rPr>
          <w:color w:val="000000"/>
        </w:rPr>
        <w:t>results</w:t>
      </w:r>
    </w:p>
    <w:p w:rsidR="00CB1CDA" w:rsidRPr="00EA190F" w:rsidRDefault="00CB1CDA" w:rsidP="00FA1B21">
      <w:pPr>
        <w:pStyle w:val="BodyText"/>
        <w:rPr>
          <w:color w:val="000000"/>
          <w:spacing w:val="-2"/>
        </w:rPr>
      </w:pPr>
      <w:r w:rsidRPr="00EA190F">
        <w:rPr>
          <w:color w:val="000000"/>
          <w:spacing w:val="-2"/>
        </w:rPr>
        <w:t xml:space="preserve">Efforts for this objective are focused on enhancing capacities of </w:t>
      </w:r>
      <w:r w:rsidR="008F289B" w:rsidRPr="00EA190F">
        <w:rPr>
          <w:color w:val="000000"/>
          <w:spacing w:val="-2"/>
        </w:rPr>
        <w:t xml:space="preserve">government </w:t>
      </w:r>
      <w:r w:rsidRPr="00EA190F">
        <w:rPr>
          <w:color w:val="000000"/>
          <w:spacing w:val="-2"/>
        </w:rPr>
        <w:t>institutions responsible for port security, law enforcement, and regional cooperation work</w:t>
      </w:r>
      <w:r w:rsidR="008F289B" w:rsidRPr="00EA190F">
        <w:rPr>
          <w:color w:val="000000"/>
          <w:spacing w:val="-2"/>
        </w:rPr>
        <w:t>,</w:t>
      </w:r>
      <w:r w:rsidRPr="00EA190F">
        <w:rPr>
          <w:color w:val="000000"/>
          <w:spacing w:val="-2"/>
        </w:rPr>
        <w:t xml:space="preserve"> which include</w:t>
      </w:r>
      <w:r w:rsidR="008F289B" w:rsidRPr="00EA190F">
        <w:rPr>
          <w:color w:val="000000"/>
          <w:spacing w:val="-2"/>
        </w:rPr>
        <w:t>s</w:t>
      </w:r>
      <w:r w:rsidRPr="00EA190F">
        <w:rPr>
          <w:color w:val="000000"/>
          <w:spacing w:val="-2"/>
        </w:rPr>
        <w:t xml:space="preserve"> building coordination and partnerships across different </w:t>
      </w:r>
      <w:r w:rsidR="008F289B" w:rsidRPr="00EA190F">
        <w:rPr>
          <w:color w:val="000000"/>
          <w:spacing w:val="-2"/>
        </w:rPr>
        <w:t xml:space="preserve">government </w:t>
      </w:r>
      <w:r w:rsidRPr="00EA190F">
        <w:rPr>
          <w:color w:val="000000"/>
          <w:spacing w:val="-2"/>
        </w:rPr>
        <w:t>agencies that have traditionally focused on their parochial interests and mandates. Funding for this program was part of the $10</w:t>
      </w:r>
      <w:r w:rsidR="0027691C" w:rsidRPr="00EA190F">
        <w:rPr>
          <w:color w:val="000000"/>
          <w:spacing w:val="-2"/>
        </w:rPr>
        <w:t> </w:t>
      </w:r>
      <w:r w:rsidRPr="00EA190F">
        <w:rPr>
          <w:color w:val="000000"/>
          <w:spacing w:val="-2"/>
        </w:rPr>
        <w:t xml:space="preserve">million Australian Counter-Terrorism Ministerial </w:t>
      </w:r>
      <w:r w:rsidR="008F289B" w:rsidRPr="00EA190F">
        <w:rPr>
          <w:color w:val="000000"/>
          <w:spacing w:val="-2"/>
        </w:rPr>
        <w:t>Initiative</w:t>
      </w:r>
      <w:r w:rsidRPr="00EA190F">
        <w:rPr>
          <w:color w:val="000000"/>
          <w:spacing w:val="-2"/>
        </w:rPr>
        <w:t xml:space="preserve">. </w:t>
      </w:r>
    </w:p>
    <w:p w:rsidR="00CB1CDA" w:rsidRPr="00EA190F" w:rsidRDefault="00CB1CDA" w:rsidP="00FA1B21">
      <w:pPr>
        <w:pStyle w:val="BodyText"/>
        <w:rPr>
          <w:color w:val="000000"/>
        </w:rPr>
      </w:pPr>
      <w:r w:rsidRPr="00EA190F">
        <w:rPr>
          <w:color w:val="000000"/>
        </w:rPr>
        <w:t xml:space="preserve">A recent review report found that the </w:t>
      </w:r>
      <w:r w:rsidRPr="00EA190F">
        <w:rPr>
          <w:rFonts w:cs="Arial"/>
          <w:color w:val="000000"/>
        </w:rPr>
        <w:t>Port Security Capacity-Building</w:t>
      </w:r>
      <w:r w:rsidRPr="00EA190F">
        <w:rPr>
          <w:color w:val="000000"/>
        </w:rPr>
        <w:t xml:space="preserve"> </w:t>
      </w:r>
      <w:r w:rsidR="008F289B" w:rsidRPr="00EA190F">
        <w:rPr>
          <w:color w:val="000000"/>
        </w:rPr>
        <w:t>Project</w:t>
      </w:r>
      <w:r w:rsidR="0027691C" w:rsidRPr="00EA190F">
        <w:rPr>
          <w:color w:val="000000"/>
        </w:rPr>
        <w:t>, funded through AusAID</w:t>
      </w:r>
      <w:r w:rsidR="008F289B" w:rsidRPr="00EA190F">
        <w:rPr>
          <w:color w:val="000000"/>
        </w:rPr>
        <w:t xml:space="preserve"> </w:t>
      </w:r>
      <w:r w:rsidR="0027691C" w:rsidRPr="00EA190F">
        <w:rPr>
          <w:color w:val="000000"/>
        </w:rPr>
        <w:t xml:space="preserve">and managed by the Australian Department of </w:t>
      </w:r>
      <w:r w:rsidR="00E75817" w:rsidRPr="00EA190F">
        <w:rPr>
          <w:color w:val="000000"/>
        </w:rPr>
        <w:t xml:space="preserve">Infrastructure, </w:t>
      </w:r>
      <w:r w:rsidR="00E75817" w:rsidRPr="00EA190F">
        <w:rPr>
          <w:color w:val="000000"/>
        </w:rPr>
        <w:lastRenderedPageBreak/>
        <w:t>Transport, Regional Development and Local Government</w:t>
      </w:r>
      <w:r w:rsidR="0027691C" w:rsidRPr="00EA190F">
        <w:rPr>
          <w:color w:val="000000"/>
        </w:rPr>
        <w:t xml:space="preserve">, </w:t>
      </w:r>
      <w:r w:rsidRPr="00EA190F">
        <w:rPr>
          <w:color w:val="000000"/>
        </w:rPr>
        <w:t xml:space="preserve">developed good working relations with </w:t>
      </w:r>
      <w:r w:rsidR="008F289B" w:rsidRPr="00EA190F">
        <w:rPr>
          <w:color w:val="000000"/>
        </w:rPr>
        <w:t xml:space="preserve">Philippine government </w:t>
      </w:r>
      <w:r w:rsidRPr="00EA190F">
        <w:rPr>
          <w:color w:val="000000"/>
        </w:rPr>
        <w:t xml:space="preserve">counterparts. The report acknowledged the flexibility of the </w:t>
      </w:r>
      <w:r w:rsidR="00287C73" w:rsidRPr="00EA190F">
        <w:rPr>
          <w:color w:val="000000"/>
        </w:rPr>
        <w:t xml:space="preserve">program </w:t>
      </w:r>
      <w:r w:rsidRPr="00EA190F">
        <w:rPr>
          <w:color w:val="000000"/>
        </w:rPr>
        <w:t xml:space="preserve">and its efforts to partner with other donors, particularly USAID and JBIC on port </w:t>
      </w:r>
      <w:r w:rsidR="00E75817" w:rsidRPr="00EA190F">
        <w:rPr>
          <w:color w:val="000000"/>
        </w:rPr>
        <w:t xml:space="preserve">security </w:t>
      </w:r>
      <w:r w:rsidRPr="00EA190F">
        <w:rPr>
          <w:color w:val="000000"/>
        </w:rPr>
        <w:t xml:space="preserve">in </w:t>
      </w:r>
      <w:smartTag w:uri="urn:schemas-microsoft-com:office:smarttags" w:element="place">
        <w:r w:rsidRPr="00EA190F">
          <w:rPr>
            <w:color w:val="000000"/>
          </w:rPr>
          <w:t>Mindanao</w:t>
        </w:r>
      </w:smartTag>
      <w:r w:rsidRPr="00EA190F">
        <w:rPr>
          <w:color w:val="000000"/>
        </w:rPr>
        <w:t xml:space="preserve">. It has managed to establish International Ship and Port Security Code compliance plans for 100 international ports in 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to ensure international best practice. The training component has been delivered efficiently and a recent impact report indicated positive responses from program recipients. </w:t>
      </w:r>
    </w:p>
    <w:p w:rsidR="00CB1CDA" w:rsidRPr="00EA190F" w:rsidRDefault="00CB1CDA" w:rsidP="00FA1B21">
      <w:pPr>
        <w:pStyle w:val="BodyText"/>
        <w:rPr>
          <w:color w:val="000000"/>
        </w:rPr>
      </w:pPr>
      <w:r w:rsidRPr="00EA190F">
        <w:rPr>
          <w:color w:val="000000"/>
        </w:rPr>
        <w:t xml:space="preserve">A recent mid-term review has shown that the main achievement of the </w:t>
      </w:r>
      <w:r w:rsidR="008F289B" w:rsidRPr="00EA190F">
        <w:rPr>
          <w:color w:val="000000"/>
        </w:rPr>
        <w:t xml:space="preserve">project </w:t>
      </w:r>
      <w:r w:rsidRPr="00EA190F">
        <w:rPr>
          <w:color w:val="000000"/>
        </w:rPr>
        <w:t>Strengthening Brunei</w:t>
      </w:r>
      <w:r w:rsidR="008F289B" w:rsidRPr="00EA190F">
        <w:rPr>
          <w:color w:val="000000"/>
        </w:rPr>
        <w:t>–</w:t>
      </w:r>
      <w:r w:rsidRPr="00EA190F">
        <w:rPr>
          <w:color w:val="000000"/>
        </w:rPr>
        <w:t>Indonesia</w:t>
      </w:r>
      <w:r w:rsidR="008F289B" w:rsidRPr="00EA190F">
        <w:rPr>
          <w:color w:val="000000"/>
        </w:rPr>
        <w:t>–</w:t>
      </w:r>
      <w:r w:rsidRPr="00EA190F">
        <w:rPr>
          <w:color w:val="000000"/>
        </w:rPr>
        <w:t>Malaysia</w:t>
      </w:r>
      <w:r w:rsidR="008F289B" w:rsidRPr="00EA190F">
        <w:rPr>
          <w:color w:val="000000"/>
        </w:rPr>
        <w:t>–</w:t>
      </w:r>
      <w:r w:rsidRPr="00EA190F">
        <w:rPr>
          <w:color w:val="000000"/>
        </w:rPr>
        <w:t xml:space="preserve">the Philippines East ASEAN Growth Area on Customs, Immigration, Quarantine and Security is the reactivation of the interest and commitment of local </w:t>
      </w:r>
      <w:r w:rsidR="008F289B" w:rsidRPr="00EA190F">
        <w:rPr>
          <w:color w:val="000000"/>
        </w:rPr>
        <w:t xml:space="preserve">government customs, immigration, quarantine and security </w:t>
      </w:r>
      <w:r w:rsidRPr="00EA190F">
        <w:rPr>
          <w:color w:val="000000"/>
        </w:rPr>
        <w:t xml:space="preserve">agencies to work more collaboratively to enhance </w:t>
      </w:r>
      <w:r w:rsidR="008F289B" w:rsidRPr="00EA190F">
        <w:rPr>
          <w:color w:val="000000"/>
        </w:rPr>
        <w:t xml:space="preserve">the </w:t>
      </w:r>
      <w:r w:rsidRPr="00EA190F">
        <w:rPr>
          <w:color w:val="000000"/>
        </w:rPr>
        <w:t>delivery of services and more immediately resolve issues.</w:t>
      </w:r>
      <w:r w:rsidR="008F6566" w:rsidRPr="00EA190F">
        <w:rPr>
          <w:color w:val="000000"/>
        </w:rPr>
        <w:t xml:space="preserve"> </w:t>
      </w:r>
    </w:p>
    <w:p w:rsidR="00CB1CDA" w:rsidRPr="00EA190F" w:rsidRDefault="00CB1CDA" w:rsidP="00FA1B21">
      <w:pPr>
        <w:pStyle w:val="BodyText"/>
        <w:rPr>
          <w:color w:val="000000"/>
        </w:rPr>
      </w:pPr>
      <w:r w:rsidRPr="00EA190F">
        <w:rPr>
          <w:color w:val="000000"/>
        </w:rPr>
        <w:t>Sustainability remains the key challenge across the programs.</w:t>
      </w:r>
    </w:p>
    <w:p w:rsidR="00FA1B21" w:rsidRPr="00EA190F" w:rsidRDefault="00CB1CDA" w:rsidP="00FA1B21">
      <w:pPr>
        <w:pStyle w:val="Heading4"/>
        <w:rPr>
          <w:color w:val="000000"/>
        </w:rPr>
      </w:pPr>
      <w:r w:rsidRPr="00EA190F">
        <w:rPr>
          <w:color w:val="000000"/>
        </w:rPr>
        <w:t xml:space="preserve">Key factors </w:t>
      </w:r>
      <w:r w:rsidR="00FA1B21" w:rsidRPr="00EA190F">
        <w:rPr>
          <w:color w:val="000000"/>
        </w:rPr>
        <w:t>contributing</w:t>
      </w:r>
    </w:p>
    <w:p w:rsidR="00CB1CDA" w:rsidRPr="00EA190F" w:rsidRDefault="002A51FF" w:rsidP="00FA1B21">
      <w:pPr>
        <w:pStyle w:val="BodyText"/>
        <w:rPr>
          <w:color w:val="000000"/>
        </w:rPr>
      </w:pPr>
      <w:r w:rsidRPr="00EA190F">
        <w:rPr>
          <w:color w:val="000000"/>
        </w:rPr>
        <w:t>The a</w:t>
      </w:r>
      <w:r w:rsidR="00CB1CDA" w:rsidRPr="00EA190F">
        <w:rPr>
          <w:color w:val="000000"/>
        </w:rPr>
        <w:t xml:space="preserve">cceptance </w:t>
      </w:r>
      <w:r w:rsidRPr="00EA190F">
        <w:rPr>
          <w:color w:val="000000"/>
        </w:rPr>
        <w:t xml:space="preserve">by </w:t>
      </w:r>
      <w:r w:rsidR="00287C73" w:rsidRPr="00EA190F">
        <w:rPr>
          <w:color w:val="000000"/>
        </w:rPr>
        <w:t xml:space="preserve">Philippine </w:t>
      </w:r>
      <w:r w:rsidR="008F289B" w:rsidRPr="00EA190F">
        <w:rPr>
          <w:color w:val="000000"/>
        </w:rPr>
        <w:t xml:space="preserve">government </w:t>
      </w:r>
      <w:r w:rsidR="00CB1CDA" w:rsidRPr="00EA190F">
        <w:rPr>
          <w:color w:val="000000"/>
        </w:rPr>
        <w:t xml:space="preserve">agencies </w:t>
      </w:r>
      <w:r w:rsidRPr="00EA190F">
        <w:rPr>
          <w:color w:val="000000"/>
        </w:rPr>
        <w:t xml:space="preserve">of </w:t>
      </w:r>
      <w:r w:rsidR="00CB1CDA" w:rsidRPr="00EA190F">
        <w:rPr>
          <w:color w:val="000000"/>
        </w:rPr>
        <w:t xml:space="preserve">the benefits of working more cooperatively </w:t>
      </w:r>
      <w:r w:rsidRPr="00EA190F">
        <w:rPr>
          <w:color w:val="000000"/>
        </w:rPr>
        <w:t xml:space="preserve">will </w:t>
      </w:r>
      <w:r w:rsidR="00CB1CDA" w:rsidRPr="00EA190F">
        <w:rPr>
          <w:color w:val="000000"/>
        </w:rPr>
        <w:t>improve</w:t>
      </w:r>
      <w:r w:rsidRPr="00EA190F">
        <w:rPr>
          <w:color w:val="000000"/>
        </w:rPr>
        <w:t xml:space="preserve"> the</w:t>
      </w:r>
      <w:r w:rsidR="00CB1CDA" w:rsidRPr="00EA190F">
        <w:rPr>
          <w:color w:val="000000"/>
        </w:rPr>
        <w:t xml:space="preserve"> delivery of services.</w:t>
      </w:r>
    </w:p>
    <w:p w:rsidR="00FA1B21" w:rsidRPr="00EA190F" w:rsidRDefault="00CB1CDA" w:rsidP="00FA1B21">
      <w:pPr>
        <w:pStyle w:val="Heading4"/>
        <w:rPr>
          <w:color w:val="000000"/>
        </w:rPr>
      </w:pPr>
      <w:r w:rsidRPr="00EA190F">
        <w:rPr>
          <w:color w:val="000000"/>
        </w:rPr>
        <w:t xml:space="preserve">Key </w:t>
      </w:r>
      <w:r w:rsidR="00FA1B21" w:rsidRPr="00EA190F">
        <w:rPr>
          <w:color w:val="000000"/>
        </w:rPr>
        <w:t>factors hind</w:t>
      </w:r>
      <w:r w:rsidRPr="00EA190F">
        <w:rPr>
          <w:color w:val="000000"/>
        </w:rPr>
        <w:t>ering</w:t>
      </w:r>
    </w:p>
    <w:p w:rsidR="00CB1CDA" w:rsidRPr="00EA190F" w:rsidRDefault="00CB1CDA" w:rsidP="00FA1B21">
      <w:pPr>
        <w:pStyle w:val="BodyText"/>
        <w:rPr>
          <w:color w:val="000000"/>
        </w:rPr>
      </w:pPr>
      <w:r w:rsidRPr="00EA190F">
        <w:rPr>
          <w:color w:val="000000"/>
        </w:rPr>
        <w:t xml:space="preserve">While there have been good relations between stakeholders, the </w:t>
      </w:r>
      <w:r w:rsidR="0027691C" w:rsidRPr="00EA190F">
        <w:rPr>
          <w:color w:val="000000"/>
        </w:rPr>
        <w:t xml:space="preserve">recent mid-term </w:t>
      </w:r>
      <w:r w:rsidRPr="00EA190F">
        <w:rPr>
          <w:color w:val="000000"/>
        </w:rPr>
        <w:t>review found that progress ha</w:t>
      </w:r>
      <w:r w:rsidR="00471366" w:rsidRPr="00EA190F">
        <w:rPr>
          <w:color w:val="000000"/>
        </w:rPr>
        <w:t>s</w:t>
      </w:r>
      <w:r w:rsidRPr="00EA190F">
        <w:rPr>
          <w:color w:val="000000"/>
        </w:rPr>
        <w:t xml:space="preserve"> been hampered by travel restrictions to </w:t>
      </w:r>
      <w:smartTag w:uri="urn:schemas-microsoft-com:office:smarttags" w:element="place">
        <w:r w:rsidRPr="00EA190F">
          <w:rPr>
            <w:color w:val="000000"/>
          </w:rPr>
          <w:t>Mindanao</w:t>
        </w:r>
      </w:smartTag>
      <w:r w:rsidRPr="00EA190F">
        <w:rPr>
          <w:color w:val="000000"/>
        </w:rPr>
        <w:t xml:space="preserve"> and </w:t>
      </w:r>
      <w:r w:rsidR="00471366" w:rsidRPr="00EA190F">
        <w:rPr>
          <w:color w:val="000000"/>
        </w:rPr>
        <w:t xml:space="preserve">that </w:t>
      </w:r>
      <w:r w:rsidRPr="00EA190F">
        <w:rPr>
          <w:color w:val="000000"/>
        </w:rPr>
        <w:t xml:space="preserve">poor reporting of outputs has made performance measurement difficult. There are sustainability concerns, particularly around the </w:t>
      </w:r>
      <w:r w:rsidR="00471366" w:rsidRPr="00EA190F">
        <w:rPr>
          <w:color w:val="000000"/>
        </w:rPr>
        <w:t xml:space="preserve">budget of the </w:t>
      </w:r>
      <w:r w:rsidRPr="00EA190F">
        <w:rPr>
          <w:color w:val="000000"/>
        </w:rPr>
        <w:t>Office of Transport</w:t>
      </w:r>
      <w:r w:rsidR="00E75817" w:rsidRPr="00EA190F">
        <w:rPr>
          <w:color w:val="000000"/>
        </w:rPr>
        <w:t>ation</w:t>
      </w:r>
      <w:r w:rsidRPr="00EA190F">
        <w:rPr>
          <w:color w:val="000000"/>
        </w:rPr>
        <w:t xml:space="preserve"> Security and with the capacity to maintain and progress project benefits. In particular, the passing of the Philippine Transportation Security Act of 2006 is critical to </w:t>
      </w:r>
      <w:r w:rsidR="00C476D9" w:rsidRPr="00EA190F">
        <w:rPr>
          <w:color w:val="000000"/>
        </w:rPr>
        <w:t>the Office </w:t>
      </w:r>
      <w:r w:rsidR="007443AC" w:rsidRPr="00EA190F">
        <w:rPr>
          <w:color w:val="000000"/>
        </w:rPr>
        <w:t>of Transport</w:t>
      </w:r>
      <w:r w:rsidR="00E75817" w:rsidRPr="00EA190F">
        <w:rPr>
          <w:color w:val="000000"/>
        </w:rPr>
        <w:t>ation</w:t>
      </w:r>
      <w:r w:rsidR="007443AC" w:rsidRPr="00EA190F">
        <w:rPr>
          <w:color w:val="000000"/>
        </w:rPr>
        <w:t xml:space="preserve"> Security </w:t>
      </w:r>
      <w:r w:rsidRPr="00EA190F">
        <w:rPr>
          <w:color w:val="000000"/>
        </w:rPr>
        <w:t>in providing a comprehensive and consolidated transportation security management program through the creation of the Philippine Transportation Security Authority.</w:t>
      </w:r>
      <w:r w:rsidR="008F6566" w:rsidRPr="00EA190F">
        <w:rPr>
          <w:color w:val="000000"/>
        </w:rPr>
        <w:t xml:space="preserve"> </w:t>
      </w:r>
      <w:r w:rsidRPr="00EA190F">
        <w:rPr>
          <w:color w:val="000000"/>
        </w:rPr>
        <w:t>The prospects for this are low</w:t>
      </w:r>
      <w:r w:rsidR="007443AC" w:rsidRPr="00EA190F">
        <w:rPr>
          <w:color w:val="000000"/>
        </w:rPr>
        <w:t>,</w:t>
      </w:r>
      <w:r w:rsidRPr="00EA190F">
        <w:rPr>
          <w:color w:val="000000"/>
        </w:rPr>
        <w:t xml:space="preserve"> given the current political climate where there are other priorities on the agenda.</w:t>
      </w:r>
    </w:p>
    <w:p w:rsidR="00CB1CDA" w:rsidRPr="00EA190F" w:rsidRDefault="00CB1CDA" w:rsidP="00965CF8">
      <w:pPr>
        <w:pStyle w:val="Heading2nonumber"/>
        <w:rPr>
          <w:color w:val="000000"/>
        </w:rPr>
      </w:pPr>
      <w:bookmarkStart w:id="49" w:name="_Toc360805264"/>
      <w:r w:rsidRPr="00EA190F">
        <w:rPr>
          <w:color w:val="000000"/>
        </w:rPr>
        <w:t>Objective</w:t>
      </w:r>
      <w:proofErr w:type="gramStart"/>
      <w:r w:rsidRPr="00EA190F">
        <w:rPr>
          <w:color w:val="000000"/>
        </w:rPr>
        <w:t>:</w:t>
      </w:r>
      <w:proofErr w:type="gramEnd"/>
      <w:r w:rsidR="00965CF8" w:rsidRPr="00EA190F">
        <w:rPr>
          <w:color w:val="000000"/>
        </w:rPr>
        <w:br/>
      </w:r>
      <w:r w:rsidRPr="00EA190F">
        <w:rPr>
          <w:color w:val="000000"/>
        </w:rPr>
        <w:t>Women’s and children’s health services more widely available in targeted</w:t>
      </w:r>
      <w:r w:rsidR="007443AC" w:rsidRPr="00EA190F">
        <w:rPr>
          <w:color w:val="000000"/>
        </w:rPr>
        <w:t> </w:t>
      </w:r>
      <w:r w:rsidRPr="00EA190F">
        <w:rPr>
          <w:color w:val="000000"/>
        </w:rPr>
        <w:t>regions</w:t>
      </w:r>
      <w:bookmarkEnd w:id="49"/>
    </w:p>
    <w:p w:rsidR="00CB1CDA" w:rsidRPr="00EA190F" w:rsidRDefault="00965CF8" w:rsidP="00965CF8">
      <w:pPr>
        <w:pStyle w:val="Heading3nonumber"/>
        <w:rPr>
          <w:color w:val="000000"/>
        </w:rPr>
      </w:pPr>
      <w:r w:rsidRPr="00EA190F">
        <w:rPr>
          <w:color w:val="000000"/>
        </w:rPr>
        <w:t>Rating</w:t>
      </w:r>
    </w:p>
    <w:p w:rsidR="00CB1CDA" w:rsidRPr="00EA190F" w:rsidRDefault="00EA190F" w:rsidP="00965CF8">
      <w:pPr>
        <w:pStyle w:val="HighlightBulletOrange"/>
        <w:rPr>
          <w:color w:val="000000"/>
        </w:rPr>
      </w:pPr>
      <w:r w:rsidRPr="00EA190F">
        <w:rPr>
          <w:color w:val="000000"/>
        </w:rPr>
        <w:t xml:space="preserve">(amber) </w:t>
      </w:r>
      <w:r w:rsidR="00CB1CDA" w:rsidRPr="00EA190F">
        <w:rPr>
          <w:color w:val="000000"/>
        </w:rPr>
        <w:t>The objective will be partly achieved within the timeframe</w:t>
      </w:r>
      <w:r w:rsidR="007443AC" w:rsidRPr="00EA190F">
        <w:rPr>
          <w:color w:val="000000"/>
        </w:rPr>
        <w:t>.</w:t>
      </w:r>
    </w:p>
    <w:p w:rsidR="00965CF8" w:rsidRPr="00EA190F" w:rsidRDefault="00965CF8" w:rsidP="00965CF8">
      <w:pPr>
        <w:pStyle w:val="Heading3nonumber"/>
        <w:rPr>
          <w:color w:val="000000"/>
        </w:rPr>
      </w:pPr>
      <w:r w:rsidRPr="00EA190F">
        <w:rPr>
          <w:color w:val="000000"/>
        </w:rPr>
        <w:lastRenderedPageBreak/>
        <w:t xml:space="preserve">Contributing programs </w:t>
      </w:r>
    </w:p>
    <w:p w:rsidR="00965CF8" w:rsidRPr="00EA190F" w:rsidRDefault="00965CF8" w:rsidP="007F2422">
      <w:pPr>
        <w:pStyle w:val="ListBullet"/>
      </w:pPr>
      <w:r w:rsidRPr="00EA190F">
        <w:t xml:space="preserve">UNICEF </w:t>
      </w:r>
      <w:r w:rsidR="00435053" w:rsidRPr="00EA190F">
        <w:t xml:space="preserve">Sixth </w:t>
      </w:r>
      <w:r w:rsidRPr="00EA190F">
        <w:t>Country Program</w:t>
      </w:r>
      <w:r w:rsidR="00435053" w:rsidRPr="00EA190F">
        <w:t>me</w:t>
      </w:r>
      <w:r w:rsidRPr="00EA190F">
        <w:t xml:space="preserve"> for Children</w:t>
      </w:r>
    </w:p>
    <w:p w:rsidR="00965CF8" w:rsidRPr="00EA190F" w:rsidRDefault="00965CF8" w:rsidP="007F2422">
      <w:pPr>
        <w:pStyle w:val="ListBullet"/>
      </w:pPr>
      <w:r w:rsidRPr="00EA190F">
        <w:t>WHO Roll Back Malaria</w:t>
      </w:r>
    </w:p>
    <w:p w:rsidR="00965CF8" w:rsidRPr="00EA190F" w:rsidRDefault="007443AC" w:rsidP="007F2422">
      <w:pPr>
        <w:pStyle w:val="ListBullet"/>
      </w:pPr>
      <w:r w:rsidRPr="00EA190F">
        <w:t>Philippines–Australia Local Sustainability Program</w:t>
      </w:r>
    </w:p>
    <w:p w:rsidR="00965CF8" w:rsidRPr="00EA190F" w:rsidRDefault="00965CF8" w:rsidP="007F2422">
      <w:pPr>
        <w:pStyle w:val="ListBullet"/>
      </w:pPr>
      <w:r w:rsidRPr="00EA190F">
        <w:t>UNFPA Institutionalising Adolescent Reproductive Health</w:t>
      </w:r>
    </w:p>
    <w:p w:rsidR="00965CF8" w:rsidRPr="00EA190F" w:rsidRDefault="00965CF8" w:rsidP="007F2422">
      <w:pPr>
        <w:pStyle w:val="ListBullet"/>
      </w:pPr>
      <w:r w:rsidRPr="00EA190F">
        <w:t>UNFPA Reproductive Health Policy Advocacy</w:t>
      </w:r>
    </w:p>
    <w:p w:rsidR="00CB1CDA" w:rsidRPr="00EA190F" w:rsidRDefault="00CB1CDA" w:rsidP="00965CF8">
      <w:pPr>
        <w:pStyle w:val="Heading3nonumber"/>
        <w:rPr>
          <w:color w:val="000000"/>
        </w:rPr>
      </w:pPr>
      <w:r w:rsidRPr="00EA190F">
        <w:rPr>
          <w:color w:val="000000"/>
        </w:rPr>
        <w:t>Assessment of results and performance</w:t>
      </w:r>
    </w:p>
    <w:p w:rsidR="00CB1CDA" w:rsidRPr="00EA190F" w:rsidRDefault="00CB1CDA" w:rsidP="00965CF8">
      <w:pPr>
        <w:pStyle w:val="Heading4"/>
        <w:rPr>
          <w:color w:val="000000"/>
        </w:rPr>
      </w:pPr>
      <w:r w:rsidRPr="00EA190F">
        <w:rPr>
          <w:color w:val="000000"/>
        </w:rPr>
        <w:t xml:space="preserve">Key </w:t>
      </w:r>
      <w:r w:rsidR="00965CF8" w:rsidRPr="00EA190F">
        <w:rPr>
          <w:color w:val="000000"/>
        </w:rPr>
        <w:t>results</w:t>
      </w:r>
    </w:p>
    <w:p w:rsidR="00CB1CDA" w:rsidRPr="00EA190F" w:rsidRDefault="00CB1CDA" w:rsidP="00965CF8">
      <w:pPr>
        <w:pStyle w:val="BodyText"/>
        <w:rPr>
          <w:color w:val="000000"/>
        </w:rPr>
      </w:pPr>
      <w:r w:rsidRPr="00EA190F">
        <w:rPr>
          <w:color w:val="000000"/>
        </w:rPr>
        <w:t>AusAID support for women’s and children’s health is delivered through partnerships with UN agencies (</w:t>
      </w:r>
      <w:r w:rsidR="00435053" w:rsidRPr="00EA190F">
        <w:rPr>
          <w:color w:val="000000"/>
        </w:rPr>
        <w:t>United Nations Children’s Fund</w:t>
      </w:r>
      <w:r w:rsidRPr="00EA190F">
        <w:rPr>
          <w:color w:val="000000"/>
        </w:rPr>
        <w:t xml:space="preserve">, </w:t>
      </w:r>
      <w:r w:rsidR="00435053" w:rsidRPr="00EA190F">
        <w:rPr>
          <w:color w:val="000000"/>
        </w:rPr>
        <w:t xml:space="preserve">United Nations Population Fund </w:t>
      </w:r>
      <w:r w:rsidRPr="00EA190F">
        <w:rPr>
          <w:color w:val="000000"/>
        </w:rPr>
        <w:t xml:space="preserve">and </w:t>
      </w:r>
      <w:r w:rsidR="00435053" w:rsidRPr="00EA190F">
        <w:rPr>
          <w:color w:val="000000"/>
        </w:rPr>
        <w:t>World Health Organization</w:t>
      </w:r>
      <w:r w:rsidRPr="00EA190F">
        <w:rPr>
          <w:color w:val="000000"/>
        </w:rPr>
        <w:t xml:space="preserve">) and focuses on supporting maternal and child health, </w:t>
      </w:r>
      <w:r w:rsidR="00287C73" w:rsidRPr="00EA190F">
        <w:rPr>
          <w:color w:val="000000"/>
        </w:rPr>
        <w:t xml:space="preserve">family-planning education and </w:t>
      </w:r>
      <w:r w:rsidRPr="00EA190F">
        <w:rPr>
          <w:color w:val="000000"/>
        </w:rPr>
        <w:t>malaria prevention</w:t>
      </w:r>
      <w:r w:rsidR="002E7621" w:rsidRPr="00EA190F">
        <w:rPr>
          <w:color w:val="000000"/>
        </w:rPr>
        <w:t xml:space="preserve"> </w:t>
      </w:r>
      <w:r w:rsidRPr="00EA190F">
        <w:rPr>
          <w:color w:val="000000"/>
        </w:rPr>
        <w:t xml:space="preserve">for vulnerable </w:t>
      </w:r>
      <w:r w:rsidR="00287C73" w:rsidRPr="00EA190F">
        <w:rPr>
          <w:color w:val="000000"/>
        </w:rPr>
        <w:t xml:space="preserve">people </w:t>
      </w:r>
      <w:r w:rsidRPr="00EA190F">
        <w:rPr>
          <w:color w:val="000000"/>
        </w:rPr>
        <w:t xml:space="preserve">in poor areas. </w:t>
      </w:r>
    </w:p>
    <w:p w:rsidR="00CB1CDA" w:rsidRPr="00EA190F" w:rsidRDefault="00CB1CDA" w:rsidP="00965CF8">
      <w:pPr>
        <w:pStyle w:val="BodyText"/>
        <w:rPr>
          <w:color w:val="000000"/>
        </w:rPr>
      </w:pPr>
      <w:r w:rsidRPr="00EA190F">
        <w:rPr>
          <w:color w:val="000000"/>
        </w:rPr>
        <w:t xml:space="preserve">For the </w:t>
      </w:r>
      <w:r w:rsidRPr="00EA190F">
        <w:rPr>
          <w:rFonts w:cs="Arial"/>
          <w:color w:val="000000"/>
        </w:rPr>
        <w:t>WHO Roll Back Malaria program</w:t>
      </w:r>
      <w:r w:rsidRPr="00EA190F">
        <w:rPr>
          <w:color w:val="000000"/>
        </w:rPr>
        <w:t xml:space="preserve">, the recent </w:t>
      </w:r>
      <w:r w:rsidR="00435053" w:rsidRPr="00EA190F">
        <w:rPr>
          <w:color w:val="000000"/>
        </w:rPr>
        <w:t>independent completion report cited a</w:t>
      </w:r>
      <w:r w:rsidRPr="00EA190F">
        <w:rPr>
          <w:color w:val="000000"/>
        </w:rPr>
        <w:t xml:space="preserve"> significant reduction of 38</w:t>
      </w:r>
      <w:r w:rsidR="008F6566" w:rsidRPr="00EA190F">
        <w:rPr>
          <w:color w:val="000000"/>
        </w:rPr>
        <w:t> per cent</w:t>
      </w:r>
      <w:r w:rsidRPr="00EA190F">
        <w:rPr>
          <w:color w:val="000000"/>
        </w:rPr>
        <w:t xml:space="preserve"> in malaria cases and 39</w:t>
      </w:r>
      <w:r w:rsidR="008F6566" w:rsidRPr="00EA190F">
        <w:rPr>
          <w:color w:val="000000"/>
        </w:rPr>
        <w:t> per cent</w:t>
      </w:r>
      <w:r w:rsidRPr="00EA190F">
        <w:rPr>
          <w:color w:val="000000"/>
        </w:rPr>
        <w:t xml:space="preserve"> in malaria deaths in </w:t>
      </w:r>
      <w:smartTag w:uri="urn:schemas-microsoft-com:office:smarttags" w:element="place">
        <w:r w:rsidRPr="00EA190F">
          <w:rPr>
            <w:color w:val="000000"/>
          </w:rPr>
          <w:t>Mindanao</w:t>
        </w:r>
      </w:smartTag>
      <w:r w:rsidRPr="00EA190F">
        <w:rPr>
          <w:color w:val="000000"/>
        </w:rPr>
        <w:t xml:space="preserve"> since 2004 (against targets of 50</w:t>
      </w:r>
      <w:r w:rsidR="008F6566" w:rsidRPr="00EA190F">
        <w:rPr>
          <w:color w:val="000000"/>
        </w:rPr>
        <w:t> per cent</w:t>
      </w:r>
      <w:r w:rsidRPr="00EA190F">
        <w:rPr>
          <w:color w:val="000000"/>
        </w:rPr>
        <w:t>).</w:t>
      </w:r>
      <w:r w:rsidR="008F6566" w:rsidRPr="00EA190F">
        <w:rPr>
          <w:color w:val="000000"/>
        </w:rPr>
        <w:t xml:space="preserve"> </w:t>
      </w:r>
      <w:r w:rsidRPr="00EA190F">
        <w:rPr>
          <w:color w:val="000000"/>
        </w:rPr>
        <w:t>Strong collaboration between the Department of Health and the Global Fund has brought about savings in the procurement of drugs and insecticides, and the harmoni</w:t>
      </w:r>
      <w:r w:rsidR="00435053" w:rsidRPr="00EA190F">
        <w:rPr>
          <w:color w:val="000000"/>
        </w:rPr>
        <w:t>s</w:t>
      </w:r>
      <w:r w:rsidRPr="00EA190F">
        <w:rPr>
          <w:color w:val="000000"/>
        </w:rPr>
        <w:t>ation of health worker training programs. First</w:t>
      </w:r>
      <w:r w:rsidR="00435053" w:rsidRPr="00EA190F">
        <w:rPr>
          <w:color w:val="000000"/>
        </w:rPr>
        <w:t>-</w:t>
      </w:r>
      <w:r w:rsidRPr="00EA190F">
        <w:rPr>
          <w:color w:val="000000"/>
        </w:rPr>
        <w:t xml:space="preserve">line drugs continue to be effective and mosquito nets continue to be distributed to pregnant women, displaced persons and the </w:t>
      </w:r>
      <w:r w:rsidR="00435053" w:rsidRPr="00EA190F">
        <w:rPr>
          <w:color w:val="000000"/>
        </w:rPr>
        <w:t xml:space="preserve">indigenous </w:t>
      </w:r>
      <w:r w:rsidRPr="00EA190F">
        <w:rPr>
          <w:color w:val="000000"/>
        </w:rPr>
        <w:t>community.</w:t>
      </w:r>
    </w:p>
    <w:p w:rsidR="00CB1CDA" w:rsidRPr="00EA190F" w:rsidRDefault="00CB1CDA" w:rsidP="00965CF8">
      <w:pPr>
        <w:pStyle w:val="BodyText"/>
        <w:rPr>
          <w:color w:val="000000"/>
        </w:rPr>
      </w:pPr>
      <w:r w:rsidRPr="00EA190F">
        <w:rPr>
          <w:color w:val="000000"/>
        </w:rPr>
        <w:t xml:space="preserve">The UNICEF Sixth Country Programme for Children in 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undertook a </w:t>
      </w:r>
      <w:r w:rsidR="00435053" w:rsidRPr="00EA190F">
        <w:rPr>
          <w:color w:val="000000"/>
        </w:rPr>
        <w:t xml:space="preserve">medium-term review </w:t>
      </w:r>
      <w:r w:rsidRPr="00EA190F">
        <w:rPr>
          <w:color w:val="000000"/>
        </w:rPr>
        <w:t xml:space="preserve">in </w:t>
      </w:r>
      <w:proofErr w:type="gramStart"/>
      <w:r w:rsidRPr="00EA190F">
        <w:rPr>
          <w:color w:val="000000"/>
        </w:rPr>
        <w:t>2007</w:t>
      </w:r>
      <w:r w:rsidR="00435053" w:rsidRPr="00EA190F">
        <w:rPr>
          <w:color w:val="000000"/>
        </w:rPr>
        <w:t>,</w:t>
      </w:r>
      <w:proofErr w:type="gramEnd"/>
      <w:r w:rsidRPr="00EA190F">
        <w:rPr>
          <w:color w:val="000000"/>
        </w:rPr>
        <w:t xml:space="preserve"> with the general recommendation</w:t>
      </w:r>
      <w:r w:rsidR="006F4A2E" w:rsidRPr="00EA190F">
        <w:rPr>
          <w:color w:val="000000"/>
        </w:rPr>
        <w:t>s</w:t>
      </w:r>
      <w:r w:rsidRPr="00EA190F">
        <w:rPr>
          <w:color w:val="000000"/>
        </w:rPr>
        <w:t xml:space="preserve"> to ‘do less, do better’ and to focus the program on women’s and children’s health to maximise impact.</w:t>
      </w:r>
      <w:r w:rsidR="008F6566" w:rsidRPr="00EA190F">
        <w:rPr>
          <w:color w:val="000000"/>
        </w:rPr>
        <w:t xml:space="preserve"> </w:t>
      </w:r>
      <w:r w:rsidRPr="00EA190F">
        <w:rPr>
          <w:color w:val="000000"/>
        </w:rPr>
        <w:t xml:space="preserve">It will be some time before the outcome of this restructure is known. </w:t>
      </w:r>
    </w:p>
    <w:p w:rsidR="00CB1CDA" w:rsidRPr="00EA190F" w:rsidRDefault="00CB1CDA" w:rsidP="00965CF8">
      <w:pPr>
        <w:pStyle w:val="BodyText"/>
        <w:rPr>
          <w:rFonts w:cs="Arial"/>
          <w:color w:val="000000"/>
        </w:rPr>
      </w:pPr>
      <w:r w:rsidRPr="00EA190F">
        <w:rPr>
          <w:rFonts w:cs="Arial"/>
          <w:color w:val="000000"/>
        </w:rPr>
        <w:t xml:space="preserve">The </w:t>
      </w:r>
      <w:r w:rsidR="00435053" w:rsidRPr="00EA190F">
        <w:rPr>
          <w:rFonts w:cs="Arial"/>
          <w:color w:val="000000"/>
        </w:rPr>
        <w:t xml:space="preserve">review </w:t>
      </w:r>
      <w:r w:rsidRPr="00EA190F">
        <w:rPr>
          <w:rFonts w:cs="Arial"/>
          <w:color w:val="000000"/>
        </w:rPr>
        <w:t xml:space="preserve">highlighted </w:t>
      </w:r>
      <w:r w:rsidR="00435053" w:rsidRPr="00EA190F">
        <w:rPr>
          <w:rFonts w:cs="Arial"/>
          <w:color w:val="000000"/>
        </w:rPr>
        <w:t>that</w:t>
      </w:r>
      <w:r w:rsidRPr="00EA190F">
        <w:rPr>
          <w:rFonts w:cs="Arial"/>
          <w:color w:val="000000"/>
        </w:rPr>
        <w:t xml:space="preserve"> </w:t>
      </w:r>
      <w:r w:rsidR="00035073" w:rsidRPr="00EA190F">
        <w:rPr>
          <w:color w:val="000000"/>
        </w:rPr>
        <w:t xml:space="preserve">the program </w:t>
      </w:r>
      <w:r w:rsidRPr="00EA190F">
        <w:rPr>
          <w:color w:val="000000"/>
        </w:rPr>
        <w:t>ha</w:t>
      </w:r>
      <w:r w:rsidR="00035073" w:rsidRPr="00EA190F">
        <w:rPr>
          <w:color w:val="000000"/>
        </w:rPr>
        <w:t>d</w:t>
      </w:r>
      <w:r w:rsidRPr="00EA190F">
        <w:rPr>
          <w:color w:val="000000"/>
        </w:rPr>
        <w:t xml:space="preserve"> transformed strategically placed health facilities as centres of basic emergency obstetric care and ha</w:t>
      </w:r>
      <w:r w:rsidR="00035073" w:rsidRPr="00EA190F">
        <w:rPr>
          <w:color w:val="000000"/>
        </w:rPr>
        <w:t>d</w:t>
      </w:r>
      <w:r w:rsidRPr="00EA190F">
        <w:rPr>
          <w:color w:val="000000"/>
        </w:rPr>
        <w:t xml:space="preserve"> consequently improved prenatal coverage and increased the number of facility-based deliveries. </w:t>
      </w:r>
      <w:r w:rsidR="00035073" w:rsidRPr="00EA190F">
        <w:rPr>
          <w:color w:val="000000"/>
        </w:rPr>
        <w:t xml:space="preserve">It </w:t>
      </w:r>
      <w:r w:rsidRPr="00EA190F">
        <w:rPr>
          <w:color w:val="000000"/>
        </w:rPr>
        <w:t>ha</w:t>
      </w:r>
      <w:r w:rsidR="00035073" w:rsidRPr="00EA190F">
        <w:rPr>
          <w:color w:val="000000"/>
        </w:rPr>
        <w:t>d</w:t>
      </w:r>
      <w:r w:rsidRPr="00EA190F">
        <w:rPr>
          <w:color w:val="000000"/>
        </w:rPr>
        <w:t xml:space="preserve"> fully immuni</w:t>
      </w:r>
      <w:r w:rsidR="00035073" w:rsidRPr="00EA190F">
        <w:rPr>
          <w:color w:val="000000"/>
        </w:rPr>
        <w:t>s</w:t>
      </w:r>
      <w:r w:rsidRPr="00EA190F">
        <w:rPr>
          <w:color w:val="000000"/>
        </w:rPr>
        <w:t>ed 82</w:t>
      </w:r>
      <w:r w:rsidR="00035073" w:rsidRPr="00EA190F">
        <w:rPr>
          <w:color w:val="000000"/>
        </w:rPr>
        <w:t> </w:t>
      </w:r>
      <w:r w:rsidRPr="00EA190F">
        <w:rPr>
          <w:color w:val="000000"/>
        </w:rPr>
        <w:t>per cent of children (213</w:t>
      </w:r>
      <w:r w:rsidR="00035073" w:rsidRPr="00EA190F">
        <w:rPr>
          <w:color w:val="000000"/>
        </w:rPr>
        <w:t> </w:t>
      </w:r>
      <w:r w:rsidRPr="00EA190F">
        <w:rPr>
          <w:color w:val="000000"/>
        </w:rPr>
        <w:t>059 aged 0</w:t>
      </w:r>
      <w:r w:rsidR="00035073" w:rsidRPr="00EA190F">
        <w:rPr>
          <w:color w:val="000000"/>
        </w:rPr>
        <w:t>–</w:t>
      </w:r>
      <w:r w:rsidRPr="00EA190F">
        <w:rPr>
          <w:color w:val="000000"/>
        </w:rPr>
        <w:t>11 months old) in AusAID</w:t>
      </w:r>
      <w:r w:rsidR="00035073" w:rsidRPr="00EA190F">
        <w:rPr>
          <w:color w:val="000000"/>
        </w:rPr>
        <w:t>-</w:t>
      </w:r>
      <w:r w:rsidRPr="00EA190F">
        <w:rPr>
          <w:color w:val="000000"/>
        </w:rPr>
        <w:t>supported provinces from vaccine-preventable diseases, and around 700</w:t>
      </w:r>
      <w:r w:rsidR="00035073" w:rsidRPr="00EA190F">
        <w:rPr>
          <w:color w:val="000000"/>
        </w:rPr>
        <w:t> </w:t>
      </w:r>
      <w:r w:rsidRPr="00EA190F">
        <w:rPr>
          <w:color w:val="000000"/>
        </w:rPr>
        <w:t>000 children in high</w:t>
      </w:r>
      <w:r w:rsidR="00035073" w:rsidRPr="00EA190F">
        <w:rPr>
          <w:color w:val="000000"/>
        </w:rPr>
        <w:t>-</w:t>
      </w:r>
      <w:r w:rsidRPr="00EA190F">
        <w:rPr>
          <w:color w:val="000000"/>
        </w:rPr>
        <w:t xml:space="preserve">risk areas of </w:t>
      </w:r>
      <w:proofErr w:type="spellStart"/>
      <w:r w:rsidRPr="00EA190F">
        <w:rPr>
          <w:color w:val="000000"/>
        </w:rPr>
        <w:t>Zamboanga</w:t>
      </w:r>
      <w:proofErr w:type="spellEnd"/>
      <w:r w:rsidRPr="00EA190F">
        <w:rPr>
          <w:color w:val="000000"/>
        </w:rPr>
        <w:t xml:space="preserve"> </w:t>
      </w:r>
      <w:proofErr w:type="gramStart"/>
      <w:r w:rsidRPr="00EA190F">
        <w:rPr>
          <w:color w:val="000000"/>
        </w:rPr>
        <w:t>del</w:t>
      </w:r>
      <w:proofErr w:type="gramEnd"/>
      <w:r w:rsidRPr="00EA190F">
        <w:rPr>
          <w:color w:val="000000"/>
        </w:rPr>
        <w:t xml:space="preserve"> Sur and the ARMM.</w:t>
      </w:r>
      <w:r w:rsidR="008F6566" w:rsidRPr="00EA190F">
        <w:rPr>
          <w:color w:val="000000"/>
        </w:rPr>
        <w:t xml:space="preserve"> </w:t>
      </w:r>
      <w:r w:rsidRPr="00EA190F">
        <w:rPr>
          <w:color w:val="000000"/>
        </w:rPr>
        <w:t>Approximately 26</w:t>
      </w:r>
      <w:r w:rsidR="00035073" w:rsidRPr="00EA190F">
        <w:rPr>
          <w:color w:val="000000"/>
        </w:rPr>
        <w:t> </w:t>
      </w:r>
      <w:r w:rsidRPr="00EA190F">
        <w:rPr>
          <w:color w:val="000000"/>
        </w:rPr>
        <w:t>000 school children in 70 public schools and their communities gained better access to safe drinking water and sanitation facilities</w:t>
      </w:r>
      <w:r w:rsidRPr="00EA190F">
        <w:rPr>
          <w:rFonts w:cs="Arial"/>
          <w:color w:val="000000"/>
        </w:rPr>
        <w:t xml:space="preserve">. </w:t>
      </w:r>
    </w:p>
    <w:p w:rsidR="00CB1CDA" w:rsidRPr="00EA190F" w:rsidRDefault="00CB1CDA" w:rsidP="00965CF8">
      <w:pPr>
        <w:pStyle w:val="BodyText"/>
        <w:rPr>
          <w:color w:val="000000"/>
        </w:rPr>
      </w:pPr>
      <w:r w:rsidRPr="00EA190F">
        <w:rPr>
          <w:color w:val="000000"/>
        </w:rPr>
        <w:t>Regional programs also contribute to women’s and children’s health. The PALS program provides opportunities to 180 women’s organisations to participate in local planning and governance through their participation in local development councils.</w:t>
      </w:r>
      <w:r w:rsidR="008F6566" w:rsidRPr="00EA190F">
        <w:rPr>
          <w:color w:val="000000"/>
        </w:rPr>
        <w:t xml:space="preserve"> </w:t>
      </w:r>
      <w:r w:rsidRPr="00EA190F">
        <w:rPr>
          <w:color w:val="000000"/>
        </w:rPr>
        <w:t>The</w:t>
      </w:r>
      <w:r w:rsidR="0027691C" w:rsidRPr="00EA190F">
        <w:rPr>
          <w:color w:val="000000"/>
        </w:rPr>
        <w:t>ir</w:t>
      </w:r>
      <w:r w:rsidRPr="00EA190F">
        <w:rPr>
          <w:color w:val="000000"/>
        </w:rPr>
        <w:t xml:space="preserve"> representation in </w:t>
      </w:r>
      <w:r w:rsidR="0027691C" w:rsidRPr="00EA190F">
        <w:rPr>
          <w:color w:val="000000"/>
        </w:rPr>
        <w:t>these councils</w:t>
      </w:r>
      <w:r w:rsidR="005621A4" w:rsidRPr="00EA190F">
        <w:rPr>
          <w:color w:val="000000"/>
        </w:rPr>
        <w:t xml:space="preserve"> </w:t>
      </w:r>
      <w:r w:rsidRPr="00EA190F">
        <w:rPr>
          <w:color w:val="000000"/>
        </w:rPr>
        <w:t>has provided them a platform to advocate for their welfare</w:t>
      </w:r>
      <w:r w:rsidR="0027691C" w:rsidRPr="00EA190F">
        <w:rPr>
          <w:color w:val="000000"/>
        </w:rPr>
        <w:t>,</w:t>
      </w:r>
      <w:r w:rsidRPr="00EA190F">
        <w:rPr>
          <w:color w:val="000000"/>
        </w:rPr>
        <w:t xml:space="preserve"> particularly on health, education and development issues. The </w:t>
      </w:r>
      <w:r w:rsidR="000D01EC" w:rsidRPr="00EA190F">
        <w:rPr>
          <w:color w:val="000000"/>
        </w:rPr>
        <w:t xml:space="preserve">water projects at </w:t>
      </w:r>
      <w:r w:rsidR="000D01EC" w:rsidRPr="00EA190F">
        <w:rPr>
          <w:color w:val="000000"/>
        </w:rPr>
        <w:lastRenderedPageBreak/>
        <w:t xml:space="preserve">the provincial, municipal and village </w:t>
      </w:r>
      <w:r w:rsidRPr="00EA190F">
        <w:rPr>
          <w:color w:val="000000"/>
        </w:rPr>
        <w:t>level</w:t>
      </w:r>
      <w:r w:rsidR="005621A4" w:rsidRPr="00EA190F">
        <w:rPr>
          <w:color w:val="000000"/>
        </w:rPr>
        <w:t>s</w:t>
      </w:r>
      <w:r w:rsidRPr="00EA190F">
        <w:rPr>
          <w:color w:val="000000"/>
        </w:rPr>
        <w:t xml:space="preserve"> are benefiting more than 80 villages and providing access to potable water suppl</w:t>
      </w:r>
      <w:r w:rsidR="000D01EC" w:rsidRPr="00EA190F">
        <w:rPr>
          <w:color w:val="000000"/>
        </w:rPr>
        <w:t>ies</w:t>
      </w:r>
      <w:r w:rsidRPr="00EA190F">
        <w:rPr>
          <w:color w:val="000000"/>
        </w:rPr>
        <w:t xml:space="preserve"> </w:t>
      </w:r>
      <w:r w:rsidR="005621A4" w:rsidRPr="00EA190F">
        <w:rPr>
          <w:color w:val="000000"/>
        </w:rPr>
        <w:t xml:space="preserve">for </w:t>
      </w:r>
      <w:r w:rsidRPr="00EA190F">
        <w:rPr>
          <w:color w:val="000000"/>
        </w:rPr>
        <w:t>over 13</w:t>
      </w:r>
      <w:r w:rsidR="000D01EC" w:rsidRPr="00EA190F">
        <w:rPr>
          <w:color w:val="000000"/>
        </w:rPr>
        <w:t> </w:t>
      </w:r>
      <w:r w:rsidRPr="00EA190F">
        <w:rPr>
          <w:color w:val="000000"/>
        </w:rPr>
        <w:t>000 households and approximately 60</w:t>
      </w:r>
      <w:r w:rsidR="000D01EC" w:rsidRPr="00EA190F">
        <w:rPr>
          <w:color w:val="000000"/>
        </w:rPr>
        <w:t> </w:t>
      </w:r>
      <w:r w:rsidRPr="00EA190F">
        <w:rPr>
          <w:color w:val="000000"/>
        </w:rPr>
        <w:t>000 people. In a random survey</w:t>
      </w:r>
      <w:r w:rsidR="000D01EC" w:rsidRPr="00EA190F">
        <w:rPr>
          <w:color w:val="000000"/>
        </w:rPr>
        <w:t xml:space="preserve"> the</w:t>
      </w:r>
      <w:r w:rsidRPr="00EA190F">
        <w:rPr>
          <w:color w:val="000000"/>
        </w:rPr>
        <w:t xml:space="preserve"> PALS </w:t>
      </w:r>
      <w:r w:rsidR="000D01EC" w:rsidRPr="00EA190F">
        <w:rPr>
          <w:color w:val="000000"/>
        </w:rPr>
        <w:t xml:space="preserve">program </w:t>
      </w:r>
      <w:r w:rsidRPr="00EA190F">
        <w:rPr>
          <w:color w:val="000000"/>
        </w:rPr>
        <w:t>noted some key achievements: 86</w:t>
      </w:r>
      <w:r w:rsidR="008F6566" w:rsidRPr="00EA190F">
        <w:rPr>
          <w:color w:val="000000"/>
        </w:rPr>
        <w:t> per cent</w:t>
      </w:r>
      <w:r w:rsidRPr="00EA190F">
        <w:rPr>
          <w:color w:val="000000"/>
        </w:rPr>
        <w:t xml:space="preserve"> </w:t>
      </w:r>
      <w:r w:rsidR="0027691C" w:rsidRPr="00EA190F">
        <w:rPr>
          <w:color w:val="000000"/>
        </w:rPr>
        <w:t xml:space="preserve">less </w:t>
      </w:r>
      <w:r w:rsidRPr="00EA190F">
        <w:rPr>
          <w:color w:val="000000"/>
        </w:rPr>
        <w:t>time spent fetch</w:t>
      </w:r>
      <w:r w:rsidR="0027691C" w:rsidRPr="00EA190F">
        <w:rPr>
          <w:color w:val="000000"/>
        </w:rPr>
        <w:t>ing</w:t>
      </w:r>
      <w:r w:rsidRPr="00EA190F">
        <w:rPr>
          <w:color w:val="000000"/>
        </w:rPr>
        <w:t xml:space="preserve"> water, 94</w:t>
      </w:r>
      <w:r w:rsidR="008F6566" w:rsidRPr="00EA190F">
        <w:rPr>
          <w:color w:val="000000"/>
        </w:rPr>
        <w:t> per cent</w:t>
      </w:r>
      <w:r w:rsidRPr="00EA190F">
        <w:rPr>
          <w:color w:val="000000"/>
        </w:rPr>
        <w:t xml:space="preserve"> of households with </w:t>
      </w:r>
      <w:r w:rsidR="0027691C" w:rsidRPr="00EA190F">
        <w:rPr>
          <w:color w:val="000000"/>
        </w:rPr>
        <w:t>less</w:t>
      </w:r>
      <w:r w:rsidRPr="00EA190F">
        <w:rPr>
          <w:color w:val="000000"/>
        </w:rPr>
        <w:t xml:space="preserve"> distance to fetch water, and reduced incidences of water-borne diseases </w:t>
      </w:r>
      <w:r w:rsidR="005621A4" w:rsidRPr="00EA190F">
        <w:rPr>
          <w:color w:val="000000"/>
        </w:rPr>
        <w:t>than in</w:t>
      </w:r>
      <w:r w:rsidRPr="00EA190F">
        <w:rPr>
          <w:color w:val="000000"/>
        </w:rPr>
        <w:t xml:space="preserve"> previous years.</w:t>
      </w:r>
    </w:p>
    <w:p w:rsidR="00965CF8" w:rsidRPr="00EA190F" w:rsidRDefault="00CB1CDA" w:rsidP="00965CF8">
      <w:pPr>
        <w:pStyle w:val="Heading4"/>
        <w:rPr>
          <w:color w:val="000000"/>
        </w:rPr>
      </w:pPr>
      <w:r w:rsidRPr="00EA190F">
        <w:rPr>
          <w:color w:val="000000"/>
        </w:rPr>
        <w:t xml:space="preserve">Key </w:t>
      </w:r>
      <w:r w:rsidR="00965CF8" w:rsidRPr="00EA190F">
        <w:rPr>
          <w:color w:val="000000"/>
        </w:rPr>
        <w:t>factors contributing</w:t>
      </w:r>
    </w:p>
    <w:p w:rsidR="00CB1CDA" w:rsidRPr="00EA190F" w:rsidRDefault="00CB1CDA" w:rsidP="00965CF8">
      <w:pPr>
        <w:pStyle w:val="BodyText"/>
        <w:rPr>
          <w:color w:val="000000"/>
        </w:rPr>
      </w:pPr>
      <w:r w:rsidRPr="00EA190F">
        <w:rPr>
          <w:color w:val="000000"/>
        </w:rPr>
        <w:t>UNICEF’s track record of delivering basic service program in conflict</w:t>
      </w:r>
      <w:r w:rsidR="002A51FF" w:rsidRPr="00EA190F">
        <w:rPr>
          <w:color w:val="000000"/>
        </w:rPr>
        <w:t>-</w:t>
      </w:r>
      <w:r w:rsidRPr="00EA190F">
        <w:rPr>
          <w:color w:val="000000"/>
        </w:rPr>
        <w:t>affected areas and</w:t>
      </w:r>
      <w:r w:rsidR="0027691C" w:rsidRPr="00EA190F">
        <w:rPr>
          <w:color w:val="000000"/>
        </w:rPr>
        <w:t> </w:t>
      </w:r>
      <w:r w:rsidRPr="00EA190F">
        <w:rPr>
          <w:color w:val="000000"/>
        </w:rPr>
        <w:t>its reputation among combatants will assist in reducing the risk of conflict delaying</w:t>
      </w:r>
      <w:r w:rsidR="0027691C" w:rsidRPr="00EA190F">
        <w:rPr>
          <w:color w:val="000000"/>
        </w:rPr>
        <w:t> </w:t>
      </w:r>
      <w:r w:rsidRPr="00EA190F">
        <w:rPr>
          <w:color w:val="000000"/>
        </w:rPr>
        <w:t>progress.</w:t>
      </w:r>
    </w:p>
    <w:p w:rsidR="005E266D" w:rsidRPr="00EA190F" w:rsidRDefault="005E266D" w:rsidP="00965CF8">
      <w:pPr>
        <w:pStyle w:val="BodyText"/>
        <w:rPr>
          <w:color w:val="000000"/>
        </w:rPr>
      </w:pPr>
      <w:r w:rsidRPr="00EA190F">
        <w:rPr>
          <w:color w:val="000000"/>
        </w:rPr>
        <w:t>Strong collaboration between the Department of Health and the Global Fund for AIDS, Tuberculosis and Malaria in implement</w:t>
      </w:r>
      <w:r w:rsidR="002E0559" w:rsidRPr="00EA190F">
        <w:rPr>
          <w:color w:val="000000"/>
        </w:rPr>
        <w:t>ing</w:t>
      </w:r>
      <w:r w:rsidRPr="00EA190F">
        <w:rPr>
          <w:color w:val="000000"/>
        </w:rPr>
        <w:t xml:space="preserve"> the Roll Back Malaria activities, such as procur</w:t>
      </w:r>
      <w:r w:rsidR="002E0559" w:rsidRPr="00EA190F">
        <w:rPr>
          <w:color w:val="000000"/>
        </w:rPr>
        <w:t>ing</w:t>
      </w:r>
      <w:r w:rsidRPr="00EA190F">
        <w:rPr>
          <w:color w:val="000000"/>
        </w:rPr>
        <w:t xml:space="preserve"> drugs and insecti</w:t>
      </w:r>
      <w:r w:rsidR="002E0559" w:rsidRPr="00EA190F">
        <w:rPr>
          <w:color w:val="000000"/>
        </w:rPr>
        <w:t>c</w:t>
      </w:r>
      <w:r w:rsidRPr="00EA190F">
        <w:rPr>
          <w:color w:val="000000"/>
        </w:rPr>
        <w:t>ides and harmonis</w:t>
      </w:r>
      <w:r w:rsidR="002E0559" w:rsidRPr="00EA190F">
        <w:rPr>
          <w:color w:val="000000"/>
        </w:rPr>
        <w:t>ing</w:t>
      </w:r>
      <w:r w:rsidRPr="00EA190F">
        <w:rPr>
          <w:color w:val="000000"/>
        </w:rPr>
        <w:t xml:space="preserve"> training, contributes to the success of the program.</w:t>
      </w:r>
    </w:p>
    <w:p w:rsidR="00965CF8" w:rsidRPr="00EA190F" w:rsidRDefault="00CB1CDA" w:rsidP="00965CF8">
      <w:pPr>
        <w:pStyle w:val="Heading4"/>
        <w:rPr>
          <w:color w:val="000000"/>
        </w:rPr>
      </w:pPr>
      <w:r w:rsidRPr="00EA190F">
        <w:rPr>
          <w:color w:val="000000"/>
        </w:rPr>
        <w:t xml:space="preserve">Key </w:t>
      </w:r>
      <w:r w:rsidR="00965CF8" w:rsidRPr="00EA190F">
        <w:rPr>
          <w:color w:val="000000"/>
        </w:rPr>
        <w:t>factors hindering</w:t>
      </w:r>
    </w:p>
    <w:p w:rsidR="00CB1CDA" w:rsidRPr="00EA190F" w:rsidRDefault="00CB1CDA" w:rsidP="00965CF8">
      <w:pPr>
        <w:pStyle w:val="BodyText"/>
        <w:rPr>
          <w:color w:val="000000"/>
        </w:rPr>
      </w:pPr>
      <w:r w:rsidRPr="00EA190F">
        <w:rPr>
          <w:color w:val="000000"/>
        </w:rPr>
        <w:t xml:space="preserve">The </w:t>
      </w:r>
      <w:r w:rsidR="002C64EA" w:rsidRPr="00EA190F">
        <w:rPr>
          <w:color w:val="000000"/>
        </w:rPr>
        <w:t xml:space="preserve">medium-term review </w:t>
      </w:r>
      <w:r w:rsidRPr="00EA190F">
        <w:rPr>
          <w:color w:val="000000"/>
        </w:rPr>
        <w:t xml:space="preserve">found that UNICEF was spreading its activities too thinly, trying to cover 24 provinces (10 </w:t>
      </w:r>
      <w:r w:rsidR="00E567C1" w:rsidRPr="00EA190F">
        <w:rPr>
          <w:color w:val="000000"/>
        </w:rPr>
        <w:t xml:space="preserve">supported by </w:t>
      </w:r>
      <w:r w:rsidRPr="00EA190F">
        <w:rPr>
          <w:color w:val="000000"/>
        </w:rPr>
        <w:t>AusAID)</w:t>
      </w:r>
      <w:r w:rsidR="002C64EA" w:rsidRPr="00EA190F">
        <w:rPr>
          <w:color w:val="000000"/>
        </w:rPr>
        <w:t>,</w:t>
      </w:r>
      <w:r w:rsidRPr="00EA190F">
        <w:rPr>
          <w:color w:val="000000"/>
        </w:rPr>
        <w:t xml:space="preserve"> which lessened its impact. The </w:t>
      </w:r>
      <w:r w:rsidR="002C64EA" w:rsidRPr="00EA190F">
        <w:rPr>
          <w:color w:val="000000"/>
        </w:rPr>
        <w:t xml:space="preserve">review </w:t>
      </w:r>
      <w:r w:rsidRPr="00EA190F">
        <w:rPr>
          <w:color w:val="000000"/>
        </w:rPr>
        <w:t xml:space="preserve">recommended focusing </w:t>
      </w:r>
      <w:r w:rsidR="00E75817" w:rsidRPr="00EA190F">
        <w:rPr>
          <w:color w:val="000000"/>
        </w:rPr>
        <w:t>the current</w:t>
      </w:r>
      <w:r w:rsidR="002C64EA" w:rsidRPr="00EA190F">
        <w:rPr>
          <w:color w:val="000000"/>
        </w:rPr>
        <w:t xml:space="preserve"> program </w:t>
      </w:r>
      <w:r w:rsidRPr="00EA190F">
        <w:rPr>
          <w:color w:val="000000"/>
        </w:rPr>
        <w:t>more on women’s and children’s health</w:t>
      </w:r>
      <w:r w:rsidR="002C64EA" w:rsidRPr="00EA190F">
        <w:rPr>
          <w:color w:val="000000"/>
        </w:rPr>
        <w:t>,</w:t>
      </w:r>
      <w:r w:rsidRPr="00EA190F">
        <w:rPr>
          <w:color w:val="000000"/>
        </w:rPr>
        <w:t xml:space="preserve"> including on reduc</w:t>
      </w:r>
      <w:r w:rsidR="002C64EA" w:rsidRPr="00EA190F">
        <w:rPr>
          <w:color w:val="000000"/>
        </w:rPr>
        <w:t>ing</w:t>
      </w:r>
      <w:r w:rsidRPr="00EA190F">
        <w:rPr>
          <w:color w:val="000000"/>
        </w:rPr>
        <w:t xml:space="preserve"> the </w:t>
      </w:r>
      <w:r w:rsidR="002C64EA" w:rsidRPr="00EA190F">
        <w:rPr>
          <w:color w:val="000000"/>
        </w:rPr>
        <w:t xml:space="preserve">maternal mortality ratio </w:t>
      </w:r>
      <w:r w:rsidRPr="00EA190F">
        <w:rPr>
          <w:color w:val="000000"/>
        </w:rPr>
        <w:t xml:space="preserve">in targeted regions. Despite achievements in delivering outputs, the overall health and nutrition status of the majority of women and children in target areas, beyond mortality rates, </w:t>
      </w:r>
      <w:r w:rsidR="00FC2B72" w:rsidRPr="00EA190F">
        <w:rPr>
          <w:color w:val="000000"/>
        </w:rPr>
        <w:t>remains poor</w:t>
      </w:r>
      <w:r w:rsidRPr="00EA190F">
        <w:rPr>
          <w:color w:val="000000"/>
        </w:rPr>
        <w:t xml:space="preserve">. </w:t>
      </w:r>
    </w:p>
    <w:p w:rsidR="00CB1CDA" w:rsidRPr="00EA190F" w:rsidRDefault="00CB1CDA" w:rsidP="00965CF8">
      <w:pPr>
        <w:pStyle w:val="BodyText"/>
        <w:rPr>
          <w:color w:val="000000"/>
        </w:rPr>
      </w:pPr>
      <w:r w:rsidRPr="00EA190F">
        <w:rPr>
          <w:color w:val="000000"/>
        </w:rPr>
        <w:t xml:space="preserve">The </w:t>
      </w:r>
      <w:r w:rsidR="002C64EA" w:rsidRPr="00EA190F">
        <w:rPr>
          <w:color w:val="000000"/>
        </w:rPr>
        <w:t xml:space="preserve">independent completion report </w:t>
      </w:r>
      <w:r w:rsidRPr="00EA190F">
        <w:rPr>
          <w:color w:val="000000"/>
        </w:rPr>
        <w:t xml:space="preserve">on </w:t>
      </w:r>
      <w:r w:rsidR="002C64EA" w:rsidRPr="00EA190F">
        <w:rPr>
          <w:color w:val="000000"/>
        </w:rPr>
        <w:t xml:space="preserve">the </w:t>
      </w:r>
      <w:r w:rsidR="002C64EA" w:rsidRPr="00EA190F">
        <w:rPr>
          <w:rFonts w:cs="Arial"/>
          <w:color w:val="000000"/>
        </w:rPr>
        <w:t>WHO malaria program</w:t>
      </w:r>
      <w:r w:rsidR="002C64EA" w:rsidRPr="00EA190F">
        <w:rPr>
          <w:color w:val="000000"/>
        </w:rPr>
        <w:t xml:space="preserve"> </w:t>
      </w:r>
      <w:r w:rsidRPr="00EA190F">
        <w:rPr>
          <w:color w:val="000000"/>
        </w:rPr>
        <w:t xml:space="preserve">in </w:t>
      </w:r>
      <w:smartTag w:uri="urn:schemas-microsoft-com:office:smarttags" w:element="place">
        <w:r w:rsidRPr="00EA190F">
          <w:rPr>
            <w:color w:val="000000"/>
          </w:rPr>
          <w:t>Mindanao</w:t>
        </w:r>
      </w:smartTag>
      <w:r w:rsidRPr="00EA190F">
        <w:rPr>
          <w:color w:val="000000"/>
        </w:rPr>
        <w:t xml:space="preserve"> found that only 55</w:t>
      </w:r>
      <w:r w:rsidR="008F6566" w:rsidRPr="00EA190F">
        <w:rPr>
          <w:color w:val="000000"/>
        </w:rPr>
        <w:t> per cent</w:t>
      </w:r>
      <w:r w:rsidRPr="00EA190F">
        <w:rPr>
          <w:color w:val="000000"/>
        </w:rPr>
        <w:t xml:space="preserve"> of </w:t>
      </w:r>
      <w:r w:rsidR="002C64EA" w:rsidRPr="00EA190F">
        <w:rPr>
          <w:color w:val="000000"/>
        </w:rPr>
        <w:t xml:space="preserve">the </w:t>
      </w:r>
      <w:r w:rsidRPr="00EA190F">
        <w:rPr>
          <w:color w:val="000000"/>
        </w:rPr>
        <w:t>provinces covered have met their commitment to hire additional staff. In the next phase, planned for 2008</w:t>
      </w:r>
      <w:r w:rsidR="002C64EA" w:rsidRPr="00EA190F">
        <w:rPr>
          <w:color w:val="000000"/>
        </w:rPr>
        <w:t>–</w:t>
      </w:r>
      <w:r w:rsidRPr="00EA190F">
        <w:rPr>
          <w:color w:val="000000"/>
        </w:rPr>
        <w:t xml:space="preserve">10, </w:t>
      </w:r>
      <w:r w:rsidR="002C64EA" w:rsidRPr="00EA190F">
        <w:rPr>
          <w:color w:val="000000"/>
        </w:rPr>
        <w:t xml:space="preserve">the program </w:t>
      </w:r>
      <w:r w:rsidRPr="00EA190F">
        <w:rPr>
          <w:color w:val="000000"/>
        </w:rPr>
        <w:t>will have to look at other options to ensure LGU commitment</w:t>
      </w:r>
      <w:r w:rsidR="005E266D" w:rsidRPr="00EA190F">
        <w:rPr>
          <w:color w:val="000000"/>
        </w:rPr>
        <w:t>, and include LGUs in the early planning stages of the program</w:t>
      </w:r>
      <w:r w:rsidRPr="00EA190F">
        <w:rPr>
          <w:color w:val="000000"/>
        </w:rPr>
        <w:t xml:space="preserve">. The </w:t>
      </w:r>
      <w:r w:rsidR="002C64EA" w:rsidRPr="00EA190F">
        <w:rPr>
          <w:color w:val="000000"/>
        </w:rPr>
        <w:t xml:space="preserve">report </w:t>
      </w:r>
      <w:r w:rsidRPr="00EA190F">
        <w:rPr>
          <w:color w:val="000000"/>
        </w:rPr>
        <w:t xml:space="preserve">also concluded that additional support should be solicited from the </w:t>
      </w:r>
      <w:r w:rsidR="002C64EA" w:rsidRPr="00EA190F">
        <w:rPr>
          <w:color w:val="000000"/>
        </w:rPr>
        <w:t xml:space="preserve">Government </w:t>
      </w:r>
      <w:r w:rsidR="00AE79C6" w:rsidRPr="00EA190F">
        <w:rPr>
          <w:color w:val="000000"/>
        </w:rPr>
        <w:t xml:space="preserve">of the </w:t>
      </w:r>
      <w:smartTag w:uri="urn:schemas-microsoft-com:office:smarttags" w:element="country-region">
        <w:smartTag w:uri="urn:schemas-microsoft-com:office:smarttags" w:element="place">
          <w:r w:rsidR="00AE79C6" w:rsidRPr="00EA190F">
            <w:rPr>
              <w:color w:val="000000"/>
            </w:rPr>
            <w:t>Philippines</w:t>
          </w:r>
        </w:smartTag>
      </w:smartTag>
      <w:r w:rsidR="00AE79C6" w:rsidRPr="00EA190F">
        <w:rPr>
          <w:color w:val="000000"/>
        </w:rPr>
        <w:t xml:space="preserve"> </w:t>
      </w:r>
      <w:r w:rsidRPr="00EA190F">
        <w:rPr>
          <w:color w:val="000000"/>
        </w:rPr>
        <w:t>to fund mosquito nets and first/second</w:t>
      </w:r>
      <w:r w:rsidR="002C64EA" w:rsidRPr="00EA190F">
        <w:rPr>
          <w:color w:val="000000"/>
        </w:rPr>
        <w:t>-</w:t>
      </w:r>
      <w:r w:rsidRPr="00EA190F">
        <w:rPr>
          <w:color w:val="000000"/>
        </w:rPr>
        <w:t>line drugs to ensure program sustainability.</w:t>
      </w:r>
    </w:p>
    <w:p w:rsidR="0093721B" w:rsidRPr="00EA190F" w:rsidRDefault="0093721B" w:rsidP="00965CF8">
      <w:pPr>
        <w:pStyle w:val="BodyText"/>
        <w:rPr>
          <w:color w:val="000000"/>
        </w:rPr>
      </w:pPr>
      <w:r w:rsidRPr="00EA190F">
        <w:rPr>
          <w:color w:val="000000"/>
        </w:rPr>
        <w:t xml:space="preserve">Family planning and reproductive health are sensitive issues in 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social and political environment. The Department of Health with UNICEF, WHO and UNFPA </w:t>
      </w:r>
      <w:r w:rsidR="002E0559" w:rsidRPr="00EA190F">
        <w:rPr>
          <w:color w:val="000000"/>
        </w:rPr>
        <w:t>is</w:t>
      </w:r>
      <w:r w:rsidRPr="00EA190F">
        <w:rPr>
          <w:color w:val="000000"/>
        </w:rPr>
        <w:t xml:space="preserve"> planning to implement a more integrated approach to </w:t>
      </w:r>
      <w:r w:rsidR="002E0559" w:rsidRPr="00EA190F">
        <w:rPr>
          <w:color w:val="000000"/>
        </w:rPr>
        <w:t xml:space="preserve">reducing </w:t>
      </w:r>
      <w:r w:rsidRPr="00EA190F">
        <w:rPr>
          <w:color w:val="000000"/>
        </w:rPr>
        <w:t xml:space="preserve">maternal mortality </w:t>
      </w:r>
      <w:r w:rsidR="002E0559" w:rsidRPr="00EA190F">
        <w:rPr>
          <w:color w:val="000000"/>
        </w:rPr>
        <w:t xml:space="preserve">in </w:t>
      </w:r>
      <w:r w:rsidRPr="00EA190F">
        <w:rPr>
          <w:color w:val="000000"/>
        </w:rPr>
        <w:t>the coming year. This may help to provide a more positive implement</w:t>
      </w:r>
      <w:r w:rsidR="002E0559" w:rsidRPr="00EA190F">
        <w:rPr>
          <w:color w:val="000000"/>
        </w:rPr>
        <w:t>ation</w:t>
      </w:r>
      <w:r w:rsidRPr="00EA190F">
        <w:rPr>
          <w:color w:val="000000"/>
        </w:rPr>
        <w:t xml:space="preserve"> environment for reproductive health programs.</w:t>
      </w:r>
    </w:p>
    <w:p w:rsidR="00CB1CDA" w:rsidRPr="00EA190F" w:rsidRDefault="003A4838" w:rsidP="00965CF8">
      <w:pPr>
        <w:pStyle w:val="Heading2nonumber"/>
        <w:rPr>
          <w:color w:val="000000"/>
        </w:rPr>
      </w:pPr>
      <w:r w:rsidRPr="00EA190F">
        <w:rPr>
          <w:color w:val="000000"/>
        </w:rPr>
        <w:br w:type="page"/>
      </w:r>
      <w:bookmarkStart w:id="50" w:name="_Toc360805265"/>
      <w:r w:rsidR="00CB1CDA" w:rsidRPr="00EA190F">
        <w:rPr>
          <w:color w:val="000000"/>
        </w:rPr>
        <w:lastRenderedPageBreak/>
        <w:t>Objective</w:t>
      </w:r>
      <w:proofErr w:type="gramStart"/>
      <w:r w:rsidR="00CB1CDA" w:rsidRPr="00EA190F">
        <w:rPr>
          <w:color w:val="000000"/>
        </w:rPr>
        <w:t>:</w:t>
      </w:r>
      <w:proofErr w:type="gramEnd"/>
      <w:r w:rsidR="00965CF8" w:rsidRPr="00EA190F">
        <w:rPr>
          <w:color w:val="000000"/>
        </w:rPr>
        <w:br/>
      </w:r>
      <w:r w:rsidR="0027691C" w:rsidRPr="00EA190F">
        <w:rPr>
          <w:color w:val="000000"/>
        </w:rPr>
        <w:t>The population is</w:t>
      </w:r>
      <w:r w:rsidR="00CB1CDA" w:rsidRPr="00EA190F">
        <w:rPr>
          <w:color w:val="000000"/>
        </w:rPr>
        <w:t xml:space="preserve"> better prepared and protected from natural disasters</w:t>
      </w:r>
      <w:r w:rsidR="00BC2D71" w:rsidRPr="00EA190F">
        <w:rPr>
          <w:color w:val="000000"/>
        </w:rPr>
        <w:t>,</w:t>
      </w:r>
      <w:r w:rsidR="00CB1CDA" w:rsidRPr="00EA190F">
        <w:rPr>
          <w:color w:val="000000"/>
        </w:rPr>
        <w:t xml:space="preserve"> including the avian influenza pandemic</w:t>
      </w:r>
      <w:bookmarkEnd w:id="50"/>
    </w:p>
    <w:p w:rsidR="00CB1CDA" w:rsidRPr="00EA190F" w:rsidRDefault="00965CF8" w:rsidP="00965CF8">
      <w:pPr>
        <w:pStyle w:val="Heading3nonumber"/>
        <w:rPr>
          <w:color w:val="000000"/>
        </w:rPr>
      </w:pPr>
      <w:r w:rsidRPr="00EA190F">
        <w:rPr>
          <w:color w:val="000000"/>
        </w:rPr>
        <w:t>Rating</w:t>
      </w:r>
    </w:p>
    <w:p w:rsidR="00CB1CDA" w:rsidRPr="00EA190F" w:rsidRDefault="00EA190F" w:rsidP="00965CF8">
      <w:pPr>
        <w:pStyle w:val="HighlightBulletOrange"/>
        <w:rPr>
          <w:color w:val="000000"/>
        </w:rPr>
      </w:pPr>
      <w:r w:rsidRPr="00EA190F">
        <w:rPr>
          <w:color w:val="000000"/>
        </w:rPr>
        <w:t xml:space="preserve">(amber) </w:t>
      </w:r>
      <w:r w:rsidR="00CB1CDA" w:rsidRPr="00EA190F">
        <w:rPr>
          <w:color w:val="000000"/>
        </w:rPr>
        <w:t>The objective will be partly achieved within the timeframe</w:t>
      </w:r>
      <w:r w:rsidR="00BC2D71" w:rsidRPr="00EA190F">
        <w:rPr>
          <w:color w:val="000000"/>
        </w:rPr>
        <w:t>.</w:t>
      </w:r>
    </w:p>
    <w:p w:rsidR="00965CF8" w:rsidRPr="00EA190F" w:rsidRDefault="002E7621" w:rsidP="00965CF8">
      <w:pPr>
        <w:pStyle w:val="Heading3nonumber"/>
        <w:rPr>
          <w:color w:val="000000"/>
        </w:rPr>
      </w:pPr>
      <w:r w:rsidRPr="00EA190F">
        <w:rPr>
          <w:color w:val="000000"/>
        </w:rPr>
        <w:t>Contributing programs</w:t>
      </w:r>
    </w:p>
    <w:p w:rsidR="00965CF8" w:rsidRPr="00EA190F" w:rsidRDefault="00965CF8" w:rsidP="007F2422">
      <w:pPr>
        <w:pStyle w:val="ListBullet"/>
      </w:pPr>
      <w:r w:rsidRPr="00EA190F">
        <w:t xml:space="preserve">Disaster Preparedness and Response </w:t>
      </w:r>
    </w:p>
    <w:p w:rsidR="00CB1CDA" w:rsidRPr="00EA190F" w:rsidRDefault="00CB1CDA" w:rsidP="00965CF8">
      <w:pPr>
        <w:pStyle w:val="Heading3nonumber"/>
        <w:rPr>
          <w:color w:val="000000"/>
        </w:rPr>
      </w:pPr>
      <w:r w:rsidRPr="00EA190F">
        <w:rPr>
          <w:color w:val="000000"/>
        </w:rPr>
        <w:t>Assessment of results and performance</w:t>
      </w:r>
    </w:p>
    <w:p w:rsidR="00CB1CDA" w:rsidRPr="00EA190F" w:rsidRDefault="00CB1CDA" w:rsidP="00965CF8">
      <w:pPr>
        <w:pStyle w:val="Heading4"/>
        <w:rPr>
          <w:color w:val="000000"/>
        </w:rPr>
      </w:pPr>
      <w:r w:rsidRPr="00EA190F">
        <w:rPr>
          <w:color w:val="000000"/>
        </w:rPr>
        <w:t xml:space="preserve">Key </w:t>
      </w:r>
      <w:r w:rsidR="00965CF8" w:rsidRPr="00EA190F">
        <w:rPr>
          <w:color w:val="000000"/>
        </w:rPr>
        <w:t>results</w:t>
      </w:r>
    </w:p>
    <w:p w:rsidR="00CB1CDA" w:rsidRPr="00EA190F" w:rsidRDefault="00CB1CDA" w:rsidP="00965CF8">
      <w:pPr>
        <w:pStyle w:val="BodyText"/>
        <w:rPr>
          <w:bCs/>
          <w:color w:val="000000"/>
        </w:rPr>
      </w:pPr>
      <w:r w:rsidRPr="00EA190F">
        <w:rPr>
          <w:bCs/>
          <w:color w:val="000000"/>
        </w:rPr>
        <w:t xml:space="preserve">The key achievement in preparing the Philippines for protection against natural disasters is the consolidation </w:t>
      </w:r>
      <w:r w:rsidRPr="00EA190F">
        <w:rPr>
          <w:color w:val="000000"/>
        </w:rPr>
        <w:t>of mapping services in the key technical government agencies</w:t>
      </w:r>
      <w:r w:rsidR="00BC2D71" w:rsidRPr="00EA190F">
        <w:rPr>
          <w:color w:val="000000"/>
        </w:rPr>
        <w:t>—</w:t>
      </w:r>
      <w:r w:rsidRPr="00EA190F">
        <w:rPr>
          <w:color w:val="000000"/>
        </w:rPr>
        <w:t>the Mines and Geosciences Bureau, the Philippines Institute for Volcanology and Seismology, the Philippine Atmospheric, Geophysical and Astronomical Services Administration and the National Mapping and Resource Information Authority. These efforts have resulted in one set of official statistics on multi-hazards being used by all agencies and a streamlined disaster risk</w:t>
      </w:r>
      <w:r w:rsidR="0002776F" w:rsidRPr="00EA190F">
        <w:rPr>
          <w:color w:val="000000"/>
        </w:rPr>
        <w:t>-</w:t>
      </w:r>
      <w:r w:rsidRPr="00EA190F">
        <w:rPr>
          <w:color w:val="000000"/>
        </w:rPr>
        <w:t xml:space="preserve">management information system </w:t>
      </w:r>
      <w:r w:rsidR="0002776F" w:rsidRPr="00EA190F">
        <w:rPr>
          <w:color w:val="000000"/>
        </w:rPr>
        <w:t xml:space="preserve">being </w:t>
      </w:r>
      <w:r w:rsidRPr="00EA190F">
        <w:rPr>
          <w:color w:val="000000"/>
        </w:rPr>
        <w:t>established.</w:t>
      </w:r>
      <w:r w:rsidRPr="00EA190F">
        <w:rPr>
          <w:bCs/>
          <w:color w:val="000000"/>
        </w:rPr>
        <w:t xml:space="preserve"> The impact of this consolidation can be seen in the </w:t>
      </w:r>
      <w:r w:rsidR="0002776F" w:rsidRPr="00EA190F">
        <w:rPr>
          <w:bCs/>
          <w:color w:val="000000"/>
        </w:rPr>
        <w:t xml:space="preserve">use </w:t>
      </w:r>
      <w:r w:rsidRPr="00EA190F">
        <w:rPr>
          <w:bCs/>
          <w:color w:val="000000"/>
        </w:rPr>
        <w:t xml:space="preserve">of these services in mainstreamed </w:t>
      </w:r>
      <w:r w:rsidRPr="00EA190F">
        <w:rPr>
          <w:color w:val="000000"/>
        </w:rPr>
        <w:t>hazard maps for national and regional government planning processes and land use.</w:t>
      </w:r>
      <w:r w:rsidRPr="00EA190F">
        <w:rPr>
          <w:bCs/>
          <w:color w:val="000000"/>
        </w:rPr>
        <w:t xml:space="preserve"> Fortunately, there have been no major disasters requiring external development aid assistance in the past year. </w:t>
      </w:r>
    </w:p>
    <w:p w:rsidR="00965CF8" w:rsidRPr="00EA190F" w:rsidRDefault="00CB1CDA" w:rsidP="00965CF8">
      <w:pPr>
        <w:pStyle w:val="Heading4"/>
        <w:rPr>
          <w:color w:val="000000"/>
        </w:rPr>
      </w:pPr>
      <w:r w:rsidRPr="00EA190F">
        <w:rPr>
          <w:color w:val="000000"/>
        </w:rPr>
        <w:t xml:space="preserve">Key </w:t>
      </w:r>
      <w:r w:rsidR="00965CF8" w:rsidRPr="00EA190F">
        <w:rPr>
          <w:color w:val="000000"/>
        </w:rPr>
        <w:t>factors hindering</w:t>
      </w:r>
    </w:p>
    <w:p w:rsidR="00CB1CDA" w:rsidRPr="00EA190F" w:rsidRDefault="0002776F" w:rsidP="00965CF8">
      <w:pPr>
        <w:pStyle w:val="BodyText"/>
        <w:rPr>
          <w:color w:val="000000"/>
        </w:rPr>
      </w:pPr>
      <w:r w:rsidRPr="00EA190F">
        <w:rPr>
          <w:bCs/>
          <w:color w:val="000000"/>
        </w:rPr>
        <w:t>Retaining t</w:t>
      </w:r>
      <w:r w:rsidR="00CB1CDA" w:rsidRPr="00EA190F">
        <w:rPr>
          <w:bCs/>
          <w:color w:val="000000"/>
        </w:rPr>
        <w:t xml:space="preserve">echnical staff is the most serious challenge to </w:t>
      </w:r>
      <w:r w:rsidRPr="00EA190F">
        <w:rPr>
          <w:color w:val="000000"/>
        </w:rPr>
        <w:t>disaster preparedness and response</w:t>
      </w:r>
      <w:r w:rsidR="00CB1CDA" w:rsidRPr="00EA190F">
        <w:rPr>
          <w:bCs/>
          <w:color w:val="000000"/>
        </w:rPr>
        <w:t xml:space="preserve">, with </w:t>
      </w:r>
      <w:r w:rsidR="00CB1CDA" w:rsidRPr="00EA190F">
        <w:rPr>
          <w:color w:val="000000"/>
        </w:rPr>
        <w:t>many geologists leaving for mining jobs within and outside the country due to the resources boom.</w:t>
      </w:r>
      <w:r w:rsidR="008F6566" w:rsidRPr="00EA190F">
        <w:rPr>
          <w:color w:val="000000"/>
        </w:rPr>
        <w:t xml:space="preserve"> </w:t>
      </w:r>
      <w:r w:rsidR="00CB1CDA" w:rsidRPr="00EA190F">
        <w:rPr>
          <w:color w:val="000000"/>
        </w:rPr>
        <w:t>About 70 of the 120 geologists attached to government departments have left</w:t>
      </w:r>
      <w:r w:rsidRPr="00EA190F">
        <w:rPr>
          <w:color w:val="000000"/>
        </w:rPr>
        <w:t>,</w:t>
      </w:r>
      <w:r w:rsidR="00CB1CDA" w:rsidRPr="00EA190F">
        <w:rPr>
          <w:color w:val="000000"/>
        </w:rPr>
        <w:t xml:space="preserve"> causing a serious problem for flood and landslide mapping.</w:t>
      </w:r>
      <w:r w:rsidR="00CB1CDA" w:rsidRPr="00EA190F">
        <w:rPr>
          <w:bCs/>
          <w:color w:val="000000"/>
        </w:rPr>
        <w:t xml:space="preserve"> </w:t>
      </w:r>
      <w:r w:rsidR="00CB1CDA" w:rsidRPr="00EA190F">
        <w:rPr>
          <w:color w:val="000000"/>
        </w:rPr>
        <w:t xml:space="preserve">Drawing on internal inexperienced human resources for </w:t>
      </w:r>
      <w:r w:rsidR="007E5B6A" w:rsidRPr="00EA190F">
        <w:rPr>
          <w:color w:val="000000"/>
        </w:rPr>
        <w:t xml:space="preserve">interagency emergency coordination </w:t>
      </w:r>
      <w:r w:rsidR="00CB1CDA" w:rsidRPr="00EA190F">
        <w:rPr>
          <w:color w:val="000000"/>
        </w:rPr>
        <w:t xml:space="preserve">hampers </w:t>
      </w:r>
      <w:r w:rsidR="00965CF8" w:rsidRPr="00EA190F">
        <w:rPr>
          <w:color w:val="000000"/>
        </w:rPr>
        <w:t>efforts.</w:t>
      </w:r>
    </w:p>
    <w:p w:rsidR="00B76C67" w:rsidRPr="00EA190F" w:rsidRDefault="00B76C67" w:rsidP="00F915D2">
      <w:pPr>
        <w:pStyle w:val="BodyText"/>
        <w:rPr>
          <w:color w:val="000000"/>
        </w:rPr>
        <w:sectPr w:rsidR="00B76C67" w:rsidRPr="00EA190F" w:rsidSect="00F915D2">
          <w:headerReference w:type="even" r:id="rId36"/>
          <w:headerReference w:type="default" r:id="rId37"/>
          <w:footerReference w:type="even" r:id="rId38"/>
          <w:footerReference w:type="default" r:id="rId39"/>
          <w:pgSz w:w="11907" w:h="16840" w:code="9"/>
          <w:pgMar w:top="2268" w:right="1985" w:bottom="1247" w:left="1985" w:header="567" w:footer="567" w:gutter="0"/>
          <w:cols w:space="720"/>
        </w:sectPr>
      </w:pPr>
    </w:p>
    <w:p w:rsidR="00B76C67" w:rsidRPr="00EA190F" w:rsidRDefault="00B76C67" w:rsidP="00A87DA8">
      <w:pPr>
        <w:pStyle w:val="Heading1nonumber"/>
        <w:spacing w:before="120" w:after="60" w:line="440" w:lineRule="exact"/>
        <w:rPr>
          <w:color w:val="000000"/>
        </w:rPr>
      </w:pPr>
      <w:bookmarkStart w:id="51" w:name="_Toc360805266"/>
      <w:r w:rsidRPr="00EA190F">
        <w:rPr>
          <w:color w:val="000000"/>
        </w:rPr>
        <w:lastRenderedPageBreak/>
        <w:t xml:space="preserve">What is the quality of </w:t>
      </w:r>
      <w:r w:rsidR="003C3D9B" w:rsidRPr="00EA190F">
        <w:rPr>
          <w:color w:val="000000"/>
        </w:rPr>
        <w:t>AusAID</w:t>
      </w:r>
      <w:r w:rsidR="00B27720" w:rsidRPr="00EA190F">
        <w:rPr>
          <w:color w:val="000000"/>
        </w:rPr>
        <w:t xml:space="preserve"> </w:t>
      </w:r>
      <w:r w:rsidRPr="00EA190F">
        <w:rPr>
          <w:color w:val="000000"/>
        </w:rPr>
        <w:t>activities</w:t>
      </w:r>
      <w:r w:rsidR="003C3D9B" w:rsidRPr="00EA190F">
        <w:rPr>
          <w:color w:val="000000"/>
        </w:rPr>
        <w:t xml:space="preserve"> in the </w:t>
      </w:r>
      <w:smartTag w:uri="urn:schemas-microsoft-com:office:smarttags" w:element="country-region">
        <w:smartTag w:uri="urn:schemas-microsoft-com:office:smarttags" w:element="place">
          <w:r w:rsidR="003C3D9B" w:rsidRPr="00EA190F">
            <w:rPr>
              <w:color w:val="000000"/>
            </w:rPr>
            <w:t>Philippines</w:t>
          </w:r>
        </w:smartTag>
      </w:smartTag>
      <w:r w:rsidRPr="00EA190F">
        <w:rPr>
          <w:color w:val="000000"/>
        </w:rPr>
        <w:t>?</w:t>
      </w:r>
      <w:bookmarkEnd w:id="51"/>
    </w:p>
    <w:p w:rsidR="00B27720" w:rsidRPr="00EA190F" w:rsidRDefault="00B76C67" w:rsidP="00F915D2">
      <w:pPr>
        <w:pStyle w:val="1stpara"/>
        <w:rPr>
          <w:rFonts w:cs="Arial"/>
          <w:color w:val="000000"/>
          <w:szCs w:val="20"/>
        </w:rPr>
      </w:pPr>
      <w:r w:rsidRPr="00EA190F">
        <w:rPr>
          <w:rFonts w:cs="Arial"/>
          <w:color w:val="000000"/>
          <w:szCs w:val="20"/>
        </w:rPr>
        <w:t xml:space="preserve">Of the 17 initiatives rated under the </w:t>
      </w:r>
      <w:r w:rsidR="00392969" w:rsidRPr="00EA190F">
        <w:rPr>
          <w:rFonts w:cs="Arial"/>
          <w:color w:val="000000"/>
          <w:szCs w:val="20"/>
        </w:rPr>
        <w:t>quality-at-implementation (</w:t>
      </w:r>
      <w:r w:rsidRPr="00EA190F">
        <w:rPr>
          <w:rFonts w:cs="Arial"/>
          <w:color w:val="000000"/>
          <w:szCs w:val="20"/>
        </w:rPr>
        <w:t>QAI</w:t>
      </w:r>
      <w:r w:rsidR="00392969" w:rsidRPr="00EA190F">
        <w:rPr>
          <w:rFonts w:cs="Arial"/>
          <w:color w:val="000000"/>
          <w:szCs w:val="20"/>
        </w:rPr>
        <w:t>)</w:t>
      </w:r>
      <w:r w:rsidRPr="00EA190F">
        <w:rPr>
          <w:rFonts w:cs="Arial"/>
          <w:color w:val="000000"/>
          <w:szCs w:val="20"/>
        </w:rPr>
        <w:t xml:space="preserve"> system, 11 were found to be marginally satisfactory, particularly against the criteria </w:t>
      </w:r>
      <w:r w:rsidR="00B27720" w:rsidRPr="00EA190F">
        <w:rPr>
          <w:rFonts w:cs="Arial"/>
          <w:color w:val="000000"/>
          <w:szCs w:val="20"/>
        </w:rPr>
        <w:t xml:space="preserve">for </w:t>
      </w:r>
      <w:r w:rsidRPr="00EA190F">
        <w:rPr>
          <w:rFonts w:cs="Arial"/>
          <w:color w:val="000000"/>
          <w:szCs w:val="20"/>
        </w:rPr>
        <w:t xml:space="preserve">sustainability and </w:t>
      </w:r>
      <w:r w:rsidR="005A29F5" w:rsidRPr="00EA190F">
        <w:rPr>
          <w:rFonts w:cs="Arial"/>
          <w:color w:val="000000"/>
          <w:szCs w:val="20"/>
        </w:rPr>
        <w:t xml:space="preserve">for </w:t>
      </w:r>
      <w:r w:rsidRPr="00EA190F">
        <w:rPr>
          <w:rFonts w:cs="Arial"/>
          <w:color w:val="000000"/>
          <w:szCs w:val="20"/>
        </w:rPr>
        <w:t>monitoring and evaluation systems. The accuracy of the ratings has been assessed internally in AusAID as</w:t>
      </w:r>
      <w:r w:rsidR="00B27720" w:rsidRPr="00EA190F">
        <w:rPr>
          <w:rFonts w:cs="Arial"/>
          <w:color w:val="000000"/>
          <w:szCs w:val="20"/>
        </w:rPr>
        <w:t>:</w:t>
      </w:r>
    </w:p>
    <w:p w:rsidR="00B76C67" w:rsidRPr="00EA190F" w:rsidRDefault="00B27720" w:rsidP="00B27720">
      <w:pPr>
        <w:pStyle w:val="Quote"/>
        <w:rPr>
          <w:color w:val="000000"/>
        </w:rPr>
      </w:pPr>
      <w:r w:rsidRPr="00EA190F">
        <w:rPr>
          <w:color w:val="000000"/>
        </w:rPr>
        <w:t xml:space="preserve">… </w:t>
      </w:r>
      <w:proofErr w:type="gramStart"/>
      <w:r w:rsidR="00B76C67" w:rsidRPr="00EA190F">
        <w:rPr>
          <w:color w:val="000000"/>
        </w:rPr>
        <w:t>telling</w:t>
      </w:r>
      <w:proofErr w:type="gramEnd"/>
      <w:r w:rsidR="00B76C67" w:rsidRPr="00EA190F">
        <w:rPr>
          <w:color w:val="000000"/>
        </w:rPr>
        <w:t xml:space="preserve"> a clear story with good use of evidence and recognition of weaknesses.</w:t>
      </w:r>
      <w:r w:rsidRPr="00EA190F">
        <w:rPr>
          <w:color w:val="000000"/>
        </w:rPr>
        <w:t xml:space="preserve"> </w:t>
      </w:r>
      <w:r w:rsidR="00B76C67" w:rsidRPr="00EA190F">
        <w:rPr>
          <w:color w:val="000000"/>
        </w:rPr>
        <w:t>The robust outcome-focused reviews and the support of a communications consultant for QAIs appear to have contributed to this.</w:t>
      </w:r>
      <w:r w:rsidR="00B76C67" w:rsidRPr="00EA190F">
        <w:rPr>
          <w:rStyle w:val="FootnoteReference"/>
          <w:rFonts w:cs="Arial"/>
          <w:color w:val="000000"/>
          <w:szCs w:val="20"/>
        </w:rPr>
        <w:footnoteReference w:id="5"/>
      </w:r>
    </w:p>
    <w:p w:rsidR="007122E9" w:rsidRPr="00EA190F" w:rsidRDefault="007122E9" w:rsidP="007122E9">
      <w:pPr>
        <w:pStyle w:val="BodyText"/>
        <w:rPr>
          <w:color w:val="000000"/>
        </w:rPr>
      </w:pPr>
      <w:r w:rsidRPr="00EA190F">
        <w:rPr>
          <w:color w:val="000000"/>
        </w:rPr>
        <w:t xml:space="preserve">This rigorous assessment of </w:t>
      </w:r>
      <w:r w:rsidR="005A29F5" w:rsidRPr="00EA190F">
        <w:rPr>
          <w:color w:val="000000"/>
        </w:rPr>
        <w:t xml:space="preserve">the performance of the </w:t>
      </w:r>
      <w:r w:rsidRPr="00EA190F">
        <w:rPr>
          <w:color w:val="000000"/>
        </w:rPr>
        <w:t>program portfolio should be read in the context of the country strategy</w:t>
      </w:r>
      <w:r w:rsidR="00BC6B21" w:rsidRPr="00EA190F">
        <w:rPr>
          <w:color w:val="000000"/>
        </w:rPr>
        <w:t>,</w:t>
      </w:r>
      <w:r w:rsidRPr="00EA190F">
        <w:rPr>
          <w:color w:val="000000"/>
        </w:rPr>
        <w:t xml:space="preserve"> which has been operational for only one year and still </w:t>
      </w:r>
      <w:r w:rsidR="00744485" w:rsidRPr="00EA190F">
        <w:rPr>
          <w:color w:val="000000"/>
        </w:rPr>
        <w:t xml:space="preserve">has </w:t>
      </w:r>
      <w:r w:rsidRPr="00EA190F">
        <w:rPr>
          <w:color w:val="000000"/>
        </w:rPr>
        <w:t>much to be done. Considerable progress has been made, particularly given that the program budget has gone from $58.5</w:t>
      </w:r>
      <w:r w:rsidR="00380FF2" w:rsidRPr="00EA190F">
        <w:rPr>
          <w:color w:val="000000"/>
        </w:rPr>
        <w:t xml:space="preserve"> </w:t>
      </w:r>
      <w:r w:rsidRPr="00EA190F">
        <w:rPr>
          <w:color w:val="000000"/>
        </w:rPr>
        <w:t>million in 2006</w:t>
      </w:r>
      <w:r w:rsidR="00380FF2" w:rsidRPr="00EA190F">
        <w:rPr>
          <w:color w:val="000000"/>
        </w:rPr>
        <w:t>–</w:t>
      </w:r>
      <w:r w:rsidRPr="00EA190F">
        <w:rPr>
          <w:color w:val="000000"/>
        </w:rPr>
        <w:t>07 to $91.5</w:t>
      </w:r>
      <w:r w:rsidR="00380FF2" w:rsidRPr="00EA190F">
        <w:rPr>
          <w:color w:val="000000"/>
        </w:rPr>
        <w:t xml:space="preserve"> </w:t>
      </w:r>
      <w:r w:rsidRPr="00EA190F">
        <w:rPr>
          <w:color w:val="000000"/>
        </w:rPr>
        <w:t>million in 2007</w:t>
      </w:r>
      <w:r w:rsidR="00380FF2" w:rsidRPr="00EA190F">
        <w:rPr>
          <w:color w:val="000000"/>
        </w:rPr>
        <w:t>–</w:t>
      </w:r>
      <w:r w:rsidRPr="00EA190F">
        <w:rPr>
          <w:color w:val="000000"/>
        </w:rPr>
        <w:t>08, but it will be some time before we have an accurate picture of the impact of</w:t>
      </w:r>
      <w:r w:rsidR="00E75817" w:rsidRPr="00EA190F">
        <w:rPr>
          <w:color w:val="000000"/>
        </w:rPr>
        <w:t xml:space="preserve"> the increase in program funding</w:t>
      </w:r>
      <w:r w:rsidR="00FC2B72" w:rsidRPr="00EA190F">
        <w:rPr>
          <w:color w:val="000000"/>
        </w:rPr>
        <w:t>.</w:t>
      </w:r>
      <w:r w:rsidRPr="00EA190F">
        <w:rPr>
          <w:color w:val="000000"/>
        </w:rPr>
        <w:t xml:space="preserve"> </w:t>
      </w:r>
    </w:p>
    <w:p w:rsidR="007A23A3" w:rsidRPr="00EA190F" w:rsidRDefault="007A23A3" w:rsidP="007122E9">
      <w:pPr>
        <w:pStyle w:val="BodyText"/>
        <w:rPr>
          <w:color w:val="000000"/>
        </w:rPr>
      </w:pPr>
      <w:r w:rsidRPr="00EA190F">
        <w:rPr>
          <w:color w:val="000000"/>
        </w:rPr>
        <w:t>Common issues and challenges are now considered.</w:t>
      </w:r>
    </w:p>
    <w:p w:rsidR="007122E9" w:rsidRPr="00EA190F" w:rsidRDefault="007122E9" w:rsidP="007A23A3">
      <w:pPr>
        <w:pStyle w:val="Heading2nonumber"/>
        <w:rPr>
          <w:color w:val="000000"/>
        </w:rPr>
      </w:pPr>
      <w:bookmarkStart w:id="52" w:name="_Toc360805267"/>
      <w:r w:rsidRPr="00EA190F">
        <w:rPr>
          <w:color w:val="000000"/>
        </w:rPr>
        <w:t>Implementation progress</w:t>
      </w:r>
      <w:bookmarkEnd w:id="52"/>
    </w:p>
    <w:p w:rsidR="007122E9" w:rsidRPr="00EA190F" w:rsidRDefault="007122E9" w:rsidP="007122E9">
      <w:pPr>
        <w:pStyle w:val="BodyText"/>
        <w:rPr>
          <w:color w:val="000000"/>
        </w:rPr>
      </w:pPr>
      <w:r w:rsidRPr="00EA190F">
        <w:rPr>
          <w:color w:val="000000"/>
        </w:rPr>
        <w:t xml:space="preserve">Major facilities have had to undergo or are about to undergo changes to their design. Both </w:t>
      </w:r>
      <w:r w:rsidR="002F0121" w:rsidRPr="00EA190F">
        <w:rPr>
          <w:color w:val="000000"/>
        </w:rPr>
        <w:t xml:space="preserve">the </w:t>
      </w:r>
      <w:r w:rsidRPr="00EA190F">
        <w:rPr>
          <w:color w:val="000000"/>
        </w:rPr>
        <w:t xml:space="preserve">PALS </w:t>
      </w:r>
      <w:r w:rsidR="002F0121" w:rsidRPr="00EA190F">
        <w:rPr>
          <w:color w:val="000000"/>
        </w:rPr>
        <w:t xml:space="preserve">program </w:t>
      </w:r>
      <w:r w:rsidRPr="00EA190F">
        <w:rPr>
          <w:color w:val="000000"/>
        </w:rPr>
        <w:t xml:space="preserve">and PACAP have had to realign to the new </w:t>
      </w:r>
      <w:r w:rsidR="002F0121" w:rsidRPr="00EA190F">
        <w:rPr>
          <w:color w:val="000000"/>
        </w:rPr>
        <w:t xml:space="preserve">country </w:t>
      </w:r>
      <w:proofErr w:type="gramStart"/>
      <w:r w:rsidR="002F0121" w:rsidRPr="00EA190F">
        <w:rPr>
          <w:color w:val="000000"/>
        </w:rPr>
        <w:t>strategy</w:t>
      </w:r>
      <w:r w:rsidRPr="00EA190F">
        <w:rPr>
          <w:color w:val="000000"/>
        </w:rPr>
        <w:t>,</w:t>
      </w:r>
      <w:proofErr w:type="gramEnd"/>
      <w:r w:rsidRPr="00EA190F">
        <w:rPr>
          <w:color w:val="000000"/>
        </w:rPr>
        <w:t xml:space="preserve"> and </w:t>
      </w:r>
      <w:r w:rsidR="008C0BD7" w:rsidRPr="00EA190F">
        <w:rPr>
          <w:color w:val="000000"/>
        </w:rPr>
        <w:t xml:space="preserve">the Partnership for Economic Growth and Reform </w:t>
      </w:r>
      <w:r w:rsidRPr="00EA190F">
        <w:rPr>
          <w:color w:val="000000"/>
        </w:rPr>
        <w:t xml:space="preserve">will do so with the upcoming </w:t>
      </w:r>
      <w:r w:rsidR="002F0121" w:rsidRPr="00EA190F">
        <w:rPr>
          <w:color w:val="000000"/>
        </w:rPr>
        <w:t>medium-term review</w:t>
      </w:r>
      <w:r w:rsidRPr="00EA190F">
        <w:rPr>
          <w:color w:val="000000"/>
        </w:rPr>
        <w:t xml:space="preserve">. </w:t>
      </w:r>
      <w:r w:rsidR="008C0BD7" w:rsidRPr="00EA190F">
        <w:rPr>
          <w:color w:val="000000"/>
        </w:rPr>
        <w:t xml:space="preserve">The Philippines–Australia Human Resources Development Facility </w:t>
      </w:r>
      <w:r w:rsidRPr="00EA190F">
        <w:rPr>
          <w:color w:val="000000"/>
        </w:rPr>
        <w:t xml:space="preserve">has used a recent </w:t>
      </w:r>
      <w:r w:rsidR="008C0BD7" w:rsidRPr="00EA190F">
        <w:rPr>
          <w:color w:val="000000"/>
        </w:rPr>
        <w:t xml:space="preserve">medium-term </w:t>
      </w:r>
      <w:r w:rsidR="002F0121" w:rsidRPr="00EA190F">
        <w:rPr>
          <w:color w:val="000000"/>
        </w:rPr>
        <w:t xml:space="preserve">review </w:t>
      </w:r>
      <w:r w:rsidRPr="00EA190F">
        <w:rPr>
          <w:color w:val="000000"/>
        </w:rPr>
        <w:t xml:space="preserve">to assess where it fits in the current strategy and will be redesigned for the next phase in 2009. These adjustments have made progress slow as programs find ways of fitting with the new </w:t>
      </w:r>
      <w:r w:rsidR="002F0121" w:rsidRPr="00EA190F">
        <w:rPr>
          <w:color w:val="000000"/>
        </w:rPr>
        <w:t xml:space="preserve">strategy </w:t>
      </w:r>
      <w:r w:rsidRPr="00EA190F">
        <w:rPr>
          <w:color w:val="000000"/>
        </w:rPr>
        <w:t>objectives.</w:t>
      </w:r>
    </w:p>
    <w:p w:rsidR="007122E9" w:rsidRPr="00EA190F" w:rsidRDefault="007122E9" w:rsidP="007122E9">
      <w:pPr>
        <w:pStyle w:val="BodyText"/>
        <w:rPr>
          <w:color w:val="000000"/>
          <w:szCs w:val="20"/>
        </w:rPr>
      </w:pPr>
      <w:r w:rsidRPr="00EA190F">
        <w:rPr>
          <w:color w:val="000000"/>
        </w:rPr>
        <w:t xml:space="preserve">As a solid base in </w:t>
      </w:r>
      <w:proofErr w:type="spellStart"/>
      <w:r w:rsidRPr="00EA190F">
        <w:rPr>
          <w:color w:val="000000"/>
        </w:rPr>
        <w:t>AusAID’s</w:t>
      </w:r>
      <w:proofErr w:type="spellEnd"/>
      <w:r w:rsidRPr="00EA190F">
        <w:rPr>
          <w:color w:val="000000"/>
        </w:rPr>
        <w:t xml:space="preserve"> support </w:t>
      </w:r>
      <w:r w:rsidR="002F0121" w:rsidRPr="00EA190F">
        <w:rPr>
          <w:color w:val="000000"/>
        </w:rPr>
        <w:t xml:space="preserve">for </w:t>
      </w:r>
      <w:r w:rsidRPr="00EA190F">
        <w:rPr>
          <w:color w:val="000000"/>
        </w:rPr>
        <w:t>the education reforms</w:t>
      </w:r>
      <w:r w:rsidR="002F0121" w:rsidRPr="00EA190F">
        <w:rPr>
          <w:color w:val="000000"/>
        </w:rPr>
        <w:t xml:space="preserve"> of the Government</w:t>
      </w:r>
      <w:r w:rsidR="00AE79C6" w:rsidRPr="00EA190F">
        <w:rPr>
          <w:color w:val="000000"/>
        </w:rPr>
        <w:t xml:space="preserve"> of the </w:t>
      </w:r>
      <w:smartTag w:uri="urn:schemas-microsoft-com:office:smarttags" w:element="country-region">
        <w:smartTag w:uri="urn:schemas-microsoft-com:office:smarttags" w:element="place">
          <w:r w:rsidR="00AE79C6" w:rsidRPr="00EA190F">
            <w:rPr>
              <w:color w:val="000000"/>
            </w:rPr>
            <w:t>Philippines</w:t>
          </w:r>
        </w:smartTag>
      </w:smartTag>
      <w:r w:rsidRPr="00EA190F">
        <w:rPr>
          <w:color w:val="000000"/>
        </w:rPr>
        <w:t xml:space="preserve">, a joint </w:t>
      </w:r>
      <w:r w:rsidR="002F0121" w:rsidRPr="00EA190F">
        <w:rPr>
          <w:color w:val="000000"/>
        </w:rPr>
        <w:t xml:space="preserve">trust fund </w:t>
      </w:r>
      <w:r w:rsidRPr="00EA190F">
        <w:rPr>
          <w:color w:val="000000"/>
        </w:rPr>
        <w:t xml:space="preserve">was established </w:t>
      </w:r>
      <w:r w:rsidR="00744485" w:rsidRPr="00EA190F">
        <w:rPr>
          <w:color w:val="000000"/>
        </w:rPr>
        <w:t>by</w:t>
      </w:r>
      <w:r w:rsidRPr="00EA190F">
        <w:rPr>
          <w:color w:val="000000"/>
        </w:rPr>
        <w:t xml:space="preserve"> the </w:t>
      </w:r>
      <w:r w:rsidR="002F0121" w:rsidRPr="00EA190F">
        <w:rPr>
          <w:color w:val="000000"/>
        </w:rPr>
        <w:t xml:space="preserve">World Bank </w:t>
      </w:r>
      <w:r w:rsidRPr="00EA190F">
        <w:rPr>
          <w:color w:val="000000"/>
        </w:rPr>
        <w:t xml:space="preserve">and AusAID and the first tranche payment of $11 million </w:t>
      </w:r>
      <w:r w:rsidR="002F0121" w:rsidRPr="00EA190F">
        <w:rPr>
          <w:color w:val="000000"/>
        </w:rPr>
        <w:t xml:space="preserve">was </w:t>
      </w:r>
      <w:r w:rsidRPr="00EA190F">
        <w:rPr>
          <w:color w:val="000000"/>
        </w:rPr>
        <w:t xml:space="preserve">made in July 2007. Delays in signing the </w:t>
      </w:r>
      <w:r w:rsidR="002F0121" w:rsidRPr="00EA190F">
        <w:rPr>
          <w:color w:val="000000"/>
        </w:rPr>
        <w:t xml:space="preserve">grant agreement </w:t>
      </w:r>
      <w:r w:rsidRPr="00EA190F">
        <w:rPr>
          <w:color w:val="000000"/>
        </w:rPr>
        <w:t xml:space="preserve">between the </w:t>
      </w:r>
      <w:r w:rsidR="002F0121" w:rsidRPr="00EA190F">
        <w:rPr>
          <w:color w:val="000000"/>
        </w:rPr>
        <w:t xml:space="preserve">World Bank </w:t>
      </w:r>
      <w:r w:rsidRPr="00EA190F">
        <w:rPr>
          <w:color w:val="000000"/>
        </w:rPr>
        <w:t xml:space="preserve">and the </w:t>
      </w:r>
      <w:r w:rsidR="002F0121" w:rsidRPr="00EA190F">
        <w:rPr>
          <w:color w:val="000000"/>
        </w:rPr>
        <w:t xml:space="preserve">Government </w:t>
      </w:r>
      <w:r w:rsidR="00AE79C6" w:rsidRPr="00EA190F">
        <w:rPr>
          <w:color w:val="000000"/>
        </w:rPr>
        <w:t xml:space="preserve">of the </w:t>
      </w:r>
      <w:smartTag w:uri="urn:schemas-microsoft-com:office:smarttags" w:element="country-region">
        <w:smartTag w:uri="urn:schemas-microsoft-com:office:smarttags" w:element="place">
          <w:r w:rsidR="00AE79C6" w:rsidRPr="00EA190F">
            <w:rPr>
              <w:color w:val="000000"/>
            </w:rPr>
            <w:t>Philippines</w:t>
          </w:r>
        </w:smartTag>
      </w:smartTag>
      <w:r w:rsidR="00AE79C6" w:rsidRPr="00EA190F">
        <w:rPr>
          <w:color w:val="000000"/>
        </w:rPr>
        <w:t xml:space="preserve"> </w:t>
      </w:r>
      <w:r w:rsidRPr="00EA190F">
        <w:rPr>
          <w:color w:val="000000"/>
        </w:rPr>
        <w:t xml:space="preserve">have delayed the disbursement of funds until </w:t>
      </w:r>
      <w:r w:rsidR="002F0121" w:rsidRPr="00EA190F">
        <w:rPr>
          <w:color w:val="000000"/>
        </w:rPr>
        <w:t xml:space="preserve">the Department of Education </w:t>
      </w:r>
      <w:r w:rsidRPr="00EA190F">
        <w:rPr>
          <w:color w:val="000000"/>
        </w:rPr>
        <w:t xml:space="preserve">meets certain prior conditions set by the </w:t>
      </w:r>
      <w:r w:rsidR="00E75817" w:rsidRPr="00EA190F">
        <w:rPr>
          <w:color w:val="000000"/>
        </w:rPr>
        <w:t>World B</w:t>
      </w:r>
      <w:r w:rsidRPr="00EA190F">
        <w:rPr>
          <w:color w:val="000000"/>
        </w:rPr>
        <w:t>ank. This highlights the considerable challenge of working with new delivery modalities and the difficulty in partnering with multilaterals where embedded protocols are difficult to modify. Aus</w:t>
      </w:r>
      <w:r w:rsidR="00C476D9" w:rsidRPr="00EA190F">
        <w:rPr>
          <w:color w:val="000000"/>
        </w:rPr>
        <w:t>AID is working closely with the </w:t>
      </w:r>
      <w:r w:rsidR="002F0121" w:rsidRPr="00EA190F">
        <w:rPr>
          <w:color w:val="000000"/>
        </w:rPr>
        <w:t xml:space="preserve">World Bank </w:t>
      </w:r>
      <w:r w:rsidRPr="00EA190F">
        <w:rPr>
          <w:color w:val="000000"/>
        </w:rPr>
        <w:t xml:space="preserve">and </w:t>
      </w:r>
      <w:r w:rsidR="002F0121" w:rsidRPr="00EA190F">
        <w:rPr>
          <w:color w:val="000000"/>
        </w:rPr>
        <w:t xml:space="preserve">the Department of Education </w:t>
      </w:r>
      <w:r w:rsidR="00C476D9" w:rsidRPr="00EA190F">
        <w:rPr>
          <w:color w:val="000000"/>
        </w:rPr>
        <w:t>to support them in meeting all </w:t>
      </w:r>
      <w:r w:rsidRPr="00EA190F">
        <w:rPr>
          <w:color w:val="000000"/>
        </w:rPr>
        <w:t>preconditions.</w:t>
      </w:r>
      <w:r w:rsidRPr="00EA190F">
        <w:rPr>
          <w:color w:val="000000"/>
          <w:szCs w:val="20"/>
        </w:rPr>
        <w:t xml:space="preserve"> </w:t>
      </w:r>
    </w:p>
    <w:p w:rsidR="00B97B2A" w:rsidRPr="00EA190F" w:rsidRDefault="00B97B2A">
      <w:pPr>
        <w:pStyle w:val="BodyText"/>
        <w:rPr>
          <w:color w:val="000000"/>
        </w:rPr>
        <w:sectPr w:rsidR="00B97B2A" w:rsidRPr="00EA190F" w:rsidSect="007B3F3B">
          <w:footerReference w:type="even" r:id="rId40"/>
          <w:footerReference w:type="default" r:id="rId41"/>
          <w:pgSz w:w="11907" w:h="16840" w:code="9"/>
          <w:pgMar w:top="2268" w:right="1985" w:bottom="1247" w:left="1985" w:header="567" w:footer="567" w:gutter="0"/>
          <w:cols w:space="720"/>
        </w:sectPr>
      </w:pPr>
    </w:p>
    <w:p w:rsidR="00C33CBA" w:rsidRPr="00EA190F" w:rsidRDefault="00387159" w:rsidP="002E0559">
      <w:pPr>
        <w:pStyle w:val="Caption"/>
        <w:spacing w:before="0"/>
        <w:rPr>
          <w:color w:val="000000"/>
        </w:rPr>
      </w:pPr>
      <w:r w:rsidRPr="00EA190F">
        <w:rPr>
          <w:color w:val="000000"/>
        </w:rPr>
        <w:lastRenderedPageBreak/>
        <w:t xml:space="preserve">The </w:t>
      </w:r>
      <w:smartTag w:uri="urn:schemas-microsoft-com:office:smarttags" w:element="country-region">
        <w:smartTag w:uri="urn:schemas-microsoft-com:office:smarttags" w:element="place">
          <w:r w:rsidR="001B49F5" w:rsidRPr="00EA190F">
            <w:rPr>
              <w:color w:val="000000"/>
            </w:rPr>
            <w:t>Philippine</w:t>
          </w:r>
          <w:r w:rsidRPr="00EA190F">
            <w:rPr>
              <w:color w:val="000000"/>
            </w:rPr>
            <w:t>s</w:t>
          </w:r>
        </w:smartTag>
      </w:smartTag>
      <w:r w:rsidRPr="00EA190F">
        <w:rPr>
          <w:color w:val="000000"/>
        </w:rPr>
        <w:t>’</w:t>
      </w:r>
      <w:r w:rsidR="001B49F5" w:rsidRPr="00EA190F">
        <w:rPr>
          <w:color w:val="000000"/>
        </w:rPr>
        <w:t xml:space="preserve"> Rate of Progress</w:t>
      </w:r>
      <w:r w:rsidRPr="00EA190F">
        <w:rPr>
          <w:color w:val="000000"/>
        </w:rPr>
        <w:t xml:space="preserve"> towards the Millennium Development Goals</w:t>
      </w:r>
    </w:p>
    <w:tbl>
      <w:tblPr>
        <w:tblW w:w="13041" w:type="dxa"/>
        <w:tblInd w:w="56" w:type="dxa"/>
        <w:tblLayout w:type="fixed"/>
        <w:tblCellMar>
          <w:left w:w="56" w:type="dxa"/>
          <w:right w:w="56" w:type="dxa"/>
        </w:tblCellMar>
        <w:tblLook w:val="0000" w:firstRow="0" w:lastRow="0" w:firstColumn="0" w:lastColumn="0" w:noHBand="0" w:noVBand="0"/>
      </w:tblPr>
      <w:tblGrid>
        <w:gridCol w:w="5068"/>
        <w:gridCol w:w="1343"/>
        <w:gridCol w:w="1019"/>
        <w:gridCol w:w="1019"/>
        <w:gridCol w:w="1019"/>
        <w:gridCol w:w="1019"/>
        <w:gridCol w:w="1020"/>
        <w:gridCol w:w="1534"/>
      </w:tblGrid>
      <w:tr w:rsidR="00C33CBA" w:rsidRPr="00EA190F" w:rsidTr="007F2422">
        <w:trPr>
          <w:cantSplit/>
          <w:trHeight w:val="510"/>
          <w:tblHeader/>
        </w:trPr>
        <w:tc>
          <w:tcPr>
            <w:tcW w:w="5068" w:type="dxa"/>
            <w:tcBorders>
              <w:top w:val="single" w:sz="4" w:space="0" w:color="auto"/>
              <w:bottom w:val="single" w:sz="6" w:space="0" w:color="7F7267"/>
            </w:tcBorders>
            <w:noWrap/>
            <w:vAlign w:val="center"/>
          </w:tcPr>
          <w:p w:rsidR="00C33CBA" w:rsidRPr="00EA190F" w:rsidRDefault="00C33CBA" w:rsidP="00C33CBA">
            <w:pPr>
              <w:pStyle w:val="Tablecolumnheadings"/>
              <w:jc w:val="left"/>
              <w:rPr>
                <w:color w:val="000000"/>
                <w:lang w:val="en-US"/>
              </w:rPr>
            </w:pPr>
            <w:r w:rsidRPr="00EA190F">
              <w:rPr>
                <w:color w:val="000000"/>
                <w:lang w:val="en-US"/>
              </w:rPr>
              <w:t>Goal</w:t>
            </w:r>
          </w:p>
        </w:tc>
        <w:tc>
          <w:tcPr>
            <w:tcW w:w="1343" w:type="dxa"/>
            <w:tcBorders>
              <w:top w:val="single" w:sz="4" w:space="0" w:color="auto"/>
              <w:bottom w:val="single" w:sz="6" w:space="0" w:color="7F7267"/>
            </w:tcBorders>
            <w:vAlign w:val="center"/>
          </w:tcPr>
          <w:p w:rsidR="00C33CBA" w:rsidRPr="00EA190F" w:rsidRDefault="00C33CBA" w:rsidP="00C33CBA">
            <w:pPr>
              <w:pStyle w:val="Tablecolumnheadings"/>
              <w:rPr>
                <w:color w:val="000000"/>
                <w:lang w:val="en-US"/>
              </w:rPr>
            </w:pPr>
            <w:r w:rsidRPr="00EA190F">
              <w:rPr>
                <w:color w:val="000000"/>
                <w:lang w:val="en-US"/>
              </w:rPr>
              <w:t>1990</w:t>
            </w:r>
            <w:r w:rsidR="0093721B" w:rsidRPr="00EA190F">
              <w:rPr>
                <w:color w:val="000000"/>
                <w:lang w:val="en-US"/>
              </w:rPr>
              <w:t xml:space="preserve"> or year closest to 1990</w:t>
            </w:r>
          </w:p>
        </w:tc>
        <w:tc>
          <w:tcPr>
            <w:tcW w:w="1019" w:type="dxa"/>
            <w:tcBorders>
              <w:top w:val="single" w:sz="4" w:space="0" w:color="auto"/>
              <w:bottom w:val="single" w:sz="6" w:space="0" w:color="7F7267"/>
            </w:tcBorders>
            <w:vAlign w:val="center"/>
          </w:tcPr>
          <w:p w:rsidR="00C33CBA" w:rsidRPr="00EA190F" w:rsidRDefault="00C33CBA" w:rsidP="00C33CBA">
            <w:pPr>
              <w:pStyle w:val="Tablecolumnheadings"/>
              <w:rPr>
                <w:color w:val="000000"/>
                <w:lang w:val="en-US"/>
              </w:rPr>
            </w:pPr>
            <w:r w:rsidRPr="00EA190F">
              <w:rPr>
                <w:color w:val="000000"/>
                <w:lang w:val="en-US"/>
              </w:rPr>
              <w:t>1995</w:t>
            </w:r>
          </w:p>
        </w:tc>
        <w:tc>
          <w:tcPr>
            <w:tcW w:w="1019" w:type="dxa"/>
            <w:tcBorders>
              <w:top w:val="single" w:sz="4" w:space="0" w:color="auto"/>
              <w:bottom w:val="single" w:sz="6" w:space="0" w:color="7F7267"/>
            </w:tcBorders>
            <w:vAlign w:val="center"/>
          </w:tcPr>
          <w:p w:rsidR="00C33CBA" w:rsidRPr="00EA190F" w:rsidRDefault="00C33CBA" w:rsidP="00C33CBA">
            <w:pPr>
              <w:pStyle w:val="Tablecolumnheadings"/>
              <w:rPr>
                <w:color w:val="000000"/>
                <w:lang w:val="en-US"/>
              </w:rPr>
            </w:pPr>
            <w:r w:rsidRPr="00EA190F">
              <w:rPr>
                <w:color w:val="000000"/>
                <w:lang w:val="en-US"/>
              </w:rPr>
              <w:t>2000</w:t>
            </w:r>
          </w:p>
        </w:tc>
        <w:tc>
          <w:tcPr>
            <w:tcW w:w="1019" w:type="dxa"/>
            <w:tcBorders>
              <w:top w:val="single" w:sz="4" w:space="0" w:color="auto"/>
              <w:bottom w:val="single" w:sz="6" w:space="0" w:color="7F7267"/>
            </w:tcBorders>
            <w:vAlign w:val="center"/>
          </w:tcPr>
          <w:p w:rsidR="00C33CBA" w:rsidRPr="00EA190F" w:rsidRDefault="00C33CBA" w:rsidP="00C33CBA">
            <w:pPr>
              <w:pStyle w:val="Tablecolumnheadings"/>
              <w:rPr>
                <w:color w:val="000000"/>
                <w:lang w:val="en-US"/>
              </w:rPr>
            </w:pPr>
            <w:r w:rsidRPr="00EA190F">
              <w:rPr>
                <w:color w:val="000000"/>
                <w:lang w:val="en-US"/>
              </w:rPr>
              <w:t>2003–04</w:t>
            </w:r>
          </w:p>
        </w:tc>
        <w:tc>
          <w:tcPr>
            <w:tcW w:w="1019" w:type="dxa"/>
            <w:tcBorders>
              <w:top w:val="single" w:sz="4" w:space="0" w:color="auto"/>
              <w:bottom w:val="single" w:sz="6" w:space="0" w:color="7F7267"/>
            </w:tcBorders>
            <w:vAlign w:val="center"/>
          </w:tcPr>
          <w:p w:rsidR="00C33CBA" w:rsidRPr="00EA190F" w:rsidRDefault="00C33CBA" w:rsidP="00C33CBA">
            <w:pPr>
              <w:pStyle w:val="Tablecolumnheadings"/>
              <w:rPr>
                <w:color w:val="000000"/>
                <w:lang w:val="en-US"/>
              </w:rPr>
            </w:pPr>
            <w:r w:rsidRPr="00EA190F">
              <w:rPr>
                <w:color w:val="000000"/>
                <w:lang w:val="en-US"/>
              </w:rPr>
              <w:t>2005–06</w:t>
            </w:r>
          </w:p>
        </w:tc>
        <w:tc>
          <w:tcPr>
            <w:tcW w:w="1020" w:type="dxa"/>
            <w:tcBorders>
              <w:top w:val="single" w:sz="4" w:space="0" w:color="auto"/>
              <w:bottom w:val="single" w:sz="6" w:space="0" w:color="7F7267"/>
            </w:tcBorders>
            <w:vAlign w:val="center"/>
          </w:tcPr>
          <w:p w:rsidR="00C33CBA" w:rsidRPr="00EA190F" w:rsidRDefault="00C33CBA" w:rsidP="00C33CBA">
            <w:pPr>
              <w:pStyle w:val="Tablecolumnheadings"/>
              <w:rPr>
                <w:color w:val="000000"/>
                <w:lang w:val="en-US"/>
              </w:rPr>
            </w:pPr>
            <w:r w:rsidRPr="00EA190F">
              <w:rPr>
                <w:color w:val="000000"/>
                <w:lang w:val="en-US"/>
              </w:rPr>
              <w:t>Target by 2015</w:t>
            </w:r>
          </w:p>
        </w:tc>
        <w:tc>
          <w:tcPr>
            <w:tcW w:w="1534" w:type="dxa"/>
            <w:tcBorders>
              <w:top w:val="single" w:sz="4" w:space="0" w:color="auto"/>
              <w:bottom w:val="single" w:sz="6" w:space="0" w:color="7F7267"/>
            </w:tcBorders>
            <w:vAlign w:val="center"/>
          </w:tcPr>
          <w:p w:rsidR="00C33CBA" w:rsidRPr="00EA190F" w:rsidRDefault="00C33CBA" w:rsidP="004F1B87">
            <w:pPr>
              <w:pStyle w:val="Tablecolumnheadings"/>
              <w:jc w:val="center"/>
              <w:rPr>
                <w:color w:val="000000"/>
              </w:rPr>
            </w:pPr>
            <w:r w:rsidRPr="00EA190F">
              <w:rPr>
                <w:color w:val="000000"/>
              </w:rPr>
              <w:t>Probability of attaining the targets</w:t>
            </w:r>
          </w:p>
        </w:tc>
      </w:tr>
      <w:tr w:rsidR="00C33CBA" w:rsidRPr="00EA190F" w:rsidTr="007F2422">
        <w:trPr>
          <w:cantSplit/>
        </w:trPr>
        <w:tc>
          <w:tcPr>
            <w:tcW w:w="5068"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xml:space="preserve">1 Eradicate extreme poverty and hunger </w:t>
            </w:r>
            <w:r w:rsidRPr="00EA190F">
              <w:rPr>
                <w:rStyle w:val="Notelabel"/>
                <w:b/>
                <w:color w:val="000000"/>
              </w:rPr>
              <w:t>a</w:t>
            </w:r>
          </w:p>
        </w:tc>
        <w:tc>
          <w:tcPr>
            <w:tcW w:w="1343"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20"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534" w:type="dxa"/>
            <w:tcBorders>
              <w:top w:val="single" w:sz="6" w:space="0" w:color="7F7267"/>
            </w:tcBorders>
            <w:vAlign w:val="center"/>
          </w:tcPr>
          <w:p w:rsidR="00C33CBA" w:rsidRPr="00EA190F" w:rsidRDefault="00C33CBA" w:rsidP="001B49F5">
            <w:pPr>
              <w:pStyle w:val="Tableheading1"/>
              <w:spacing w:before="80"/>
              <w:rPr>
                <w:color w:val="000000"/>
                <w:lang w:val="en-US"/>
              </w:rPr>
            </w:pPr>
            <w:r w:rsidRPr="00EA190F">
              <w:rPr>
                <w:color w:val="000000"/>
                <w:lang w:val="en-US"/>
              </w:rPr>
              <w:t> </w:t>
            </w:r>
          </w:p>
        </w:tc>
      </w:tr>
      <w:tr w:rsidR="00C33CBA" w:rsidRPr="00EA190F" w:rsidTr="007F2422">
        <w:trPr>
          <w:cantSplit/>
        </w:trPr>
        <w:tc>
          <w:tcPr>
            <w:tcW w:w="5068" w:type="dxa"/>
            <w:noWrap/>
            <w:vAlign w:val="bottom"/>
          </w:tcPr>
          <w:p w:rsidR="00C33CBA" w:rsidRPr="00EA190F" w:rsidRDefault="00C33CBA" w:rsidP="0077449B">
            <w:pPr>
              <w:pStyle w:val="Tablebody"/>
              <w:spacing w:before="20" w:after="20" w:line="190" w:lineRule="atLeast"/>
              <w:ind w:left="113"/>
              <w:jc w:val="left"/>
              <w:rPr>
                <w:color w:val="000000"/>
                <w:lang w:val="en-US"/>
              </w:rPr>
            </w:pPr>
            <w:r w:rsidRPr="00EA190F">
              <w:rPr>
                <w:color w:val="000000"/>
                <w:lang w:val="en-US"/>
              </w:rPr>
              <w:t>Population below subsistence threshold</w:t>
            </w:r>
          </w:p>
        </w:tc>
        <w:tc>
          <w:tcPr>
            <w:tcW w:w="1343"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24.3</w:t>
            </w:r>
            <w:r w:rsidR="0093721B" w:rsidRPr="00EA190F">
              <w:rPr>
                <w:color w:val="000000"/>
                <w:lang w:val="en-US"/>
              </w:rPr>
              <w:t xml:space="preserve"> </w:t>
            </w:r>
            <w:r w:rsidR="0093721B" w:rsidRPr="00EA190F">
              <w:rPr>
                <w:rStyle w:val="Notelabel"/>
                <w:color w:val="000000"/>
              </w:rPr>
              <w:t>(1991)</w:t>
            </w:r>
          </w:p>
        </w:tc>
        <w:tc>
          <w:tcPr>
            <w:tcW w:w="1019"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w:t>
            </w:r>
          </w:p>
        </w:tc>
        <w:tc>
          <w:tcPr>
            <w:tcW w:w="1019" w:type="dxa"/>
            <w:noWrap/>
            <w:vAlign w:val="bottom"/>
          </w:tcPr>
          <w:p w:rsidR="00C33CBA" w:rsidRPr="00EA190F" w:rsidRDefault="00A63988" w:rsidP="0077449B">
            <w:pPr>
              <w:pStyle w:val="Tablebody"/>
              <w:spacing w:before="20" w:after="20" w:line="190" w:lineRule="atLeast"/>
              <w:rPr>
                <w:color w:val="000000"/>
                <w:lang w:val="en-US"/>
              </w:rPr>
            </w:pPr>
            <w:r w:rsidRPr="00EA190F">
              <w:rPr>
                <w:color w:val="000000"/>
                <w:lang w:val="en-US"/>
              </w:rPr>
              <w:t>15.8</w:t>
            </w:r>
          </w:p>
        </w:tc>
        <w:tc>
          <w:tcPr>
            <w:tcW w:w="1019"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13.</w:t>
            </w:r>
            <w:r w:rsidR="00A63988" w:rsidRPr="00EA190F">
              <w:rPr>
                <w:color w:val="000000"/>
                <w:lang w:val="en-US"/>
              </w:rPr>
              <w:t xml:space="preserve">5 </w:t>
            </w:r>
            <w:r w:rsidR="00A63988" w:rsidRPr="00EA190F">
              <w:rPr>
                <w:rStyle w:val="Notelabel"/>
                <w:color w:val="000000"/>
              </w:rPr>
              <w:t>(2003)</w:t>
            </w:r>
          </w:p>
        </w:tc>
        <w:tc>
          <w:tcPr>
            <w:tcW w:w="1019"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1</w:t>
            </w:r>
            <w:r w:rsidR="00A63988" w:rsidRPr="00EA190F">
              <w:rPr>
                <w:color w:val="000000"/>
                <w:lang w:val="en-US"/>
              </w:rPr>
              <w:t>4</w:t>
            </w:r>
            <w:r w:rsidRPr="00EA190F">
              <w:rPr>
                <w:color w:val="000000"/>
                <w:lang w:val="en-US"/>
              </w:rPr>
              <w:t>.</w:t>
            </w:r>
            <w:r w:rsidR="00A63988" w:rsidRPr="00EA190F">
              <w:rPr>
                <w:color w:val="000000"/>
                <w:lang w:val="en-US"/>
              </w:rPr>
              <w:t>6</w:t>
            </w:r>
          </w:p>
        </w:tc>
        <w:tc>
          <w:tcPr>
            <w:tcW w:w="1020"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1</w:t>
            </w:r>
            <w:r w:rsidR="00A63988" w:rsidRPr="00EA190F">
              <w:rPr>
                <w:color w:val="000000"/>
                <w:lang w:val="en-US"/>
              </w:rPr>
              <w:t>2</w:t>
            </w:r>
            <w:r w:rsidRPr="00EA190F">
              <w:rPr>
                <w:color w:val="000000"/>
                <w:lang w:val="en-US"/>
              </w:rPr>
              <w:t>.</w:t>
            </w:r>
            <w:r w:rsidR="00A63988" w:rsidRPr="00EA190F">
              <w:rPr>
                <w:color w:val="000000"/>
                <w:lang w:val="en-US"/>
              </w:rPr>
              <w:t>15</w:t>
            </w:r>
          </w:p>
        </w:tc>
        <w:tc>
          <w:tcPr>
            <w:tcW w:w="1534" w:type="dxa"/>
            <w:vAlign w:val="center"/>
          </w:tcPr>
          <w:p w:rsidR="00C33CBA" w:rsidRPr="00EA190F" w:rsidRDefault="00C33CBA" w:rsidP="004F1B87">
            <w:pPr>
              <w:pStyle w:val="Tablebody"/>
              <w:spacing w:before="20" w:after="20" w:line="190" w:lineRule="atLeast"/>
              <w:jc w:val="center"/>
              <w:rPr>
                <w:b/>
                <w:bCs/>
                <w:color w:val="000000"/>
                <w:lang w:val="en-US"/>
              </w:rPr>
            </w:pPr>
            <w:r w:rsidRPr="00EA190F">
              <w:rPr>
                <w:b/>
                <w:bCs/>
                <w:color w:val="000000"/>
                <w:lang w:val="en-US"/>
              </w:rPr>
              <w:t>High</w:t>
            </w:r>
          </w:p>
        </w:tc>
      </w:tr>
      <w:tr w:rsidR="00C33CBA" w:rsidRPr="00EA190F" w:rsidTr="007F2422">
        <w:trPr>
          <w:cantSplit/>
        </w:trPr>
        <w:tc>
          <w:tcPr>
            <w:tcW w:w="5068" w:type="dxa"/>
            <w:noWrap/>
            <w:vAlign w:val="bottom"/>
          </w:tcPr>
          <w:p w:rsidR="00C33CBA" w:rsidRPr="00EA190F" w:rsidRDefault="00C33CBA" w:rsidP="0077449B">
            <w:pPr>
              <w:pStyle w:val="Tablebody"/>
              <w:spacing w:before="20" w:after="20" w:line="190" w:lineRule="atLeast"/>
              <w:ind w:left="113"/>
              <w:jc w:val="left"/>
              <w:rPr>
                <w:color w:val="000000"/>
                <w:lang w:val="en-US"/>
              </w:rPr>
            </w:pPr>
            <w:r w:rsidRPr="00EA190F">
              <w:rPr>
                <w:color w:val="000000"/>
                <w:lang w:val="en-US"/>
              </w:rPr>
              <w:t>Population below poverty threshold</w:t>
            </w:r>
          </w:p>
        </w:tc>
        <w:tc>
          <w:tcPr>
            <w:tcW w:w="1343"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45.3</w:t>
            </w:r>
          </w:p>
        </w:tc>
        <w:tc>
          <w:tcPr>
            <w:tcW w:w="1019"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40.6</w:t>
            </w:r>
            <w:r w:rsidRPr="00EA190F">
              <w:rPr>
                <w:color w:val="000000"/>
                <w:vertAlign w:val="superscript"/>
                <w:lang w:val="en-US"/>
              </w:rPr>
              <w:t xml:space="preserve"> </w:t>
            </w:r>
            <w:r w:rsidR="0093721B" w:rsidRPr="00EA190F">
              <w:rPr>
                <w:rStyle w:val="Notelabel"/>
                <w:color w:val="000000"/>
              </w:rPr>
              <w:t>(1994)</w:t>
            </w:r>
          </w:p>
        </w:tc>
        <w:tc>
          <w:tcPr>
            <w:tcW w:w="1019"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33</w:t>
            </w:r>
          </w:p>
        </w:tc>
        <w:tc>
          <w:tcPr>
            <w:tcW w:w="1019"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30.4</w:t>
            </w:r>
          </w:p>
        </w:tc>
        <w:tc>
          <w:tcPr>
            <w:tcW w:w="1019" w:type="dxa"/>
            <w:noWrap/>
            <w:vAlign w:val="bottom"/>
          </w:tcPr>
          <w:p w:rsidR="00C33CBA" w:rsidRPr="00EA190F" w:rsidRDefault="00A63988" w:rsidP="0077449B">
            <w:pPr>
              <w:pStyle w:val="Tablebody"/>
              <w:spacing w:before="20" w:after="20" w:line="190" w:lineRule="atLeast"/>
              <w:rPr>
                <w:color w:val="000000"/>
                <w:lang w:val="en-US"/>
              </w:rPr>
            </w:pPr>
            <w:r w:rsidRPr="00EA190F">
              <w:rPr>
                <w:color w:val="000000"/>
                <w:lang w:val="en-US"/>
              </w:rPr>
              <w:t>32</w:t>
            </w:r>
            <w:r w:rsidR="00C33CBA" w:rsidRPr="00EA190F">
              <w:rPr>
                <w:color w:val="000000"/>
                <w:lang w:val="en-US"/>
              </w:rPr>
              <w:t>.</w:t>
            </w:r>
            <w:r w:rsidRPr="00EA190F">
              <w:rPr>
                <w:color w:val="000000"/>
                <w:lang w:val="en-US"/>
              </w:rPr>
              <w:t>9</w:t>
            </w:r>
          </w:p>
        </w:tc>
        <w:tc>
          <w:tcPr>
            <w:tcW w:w="1020" w:type="dxa"/>
            <w:noWrap/>
            <w:vAlign w:val="bottom"/>
          </w:tcPr>
          <w:p w:rsidR="00C33CBA" w:rsidRPr="00EA190F" w:rsidRDefault="00A63988" w:rsidP="0077449B">
            <w:pPr>
              <w:pStyle w:val="Tablebody"/>
              <w:spacing w:before="20" w:after="20" w:line="190" w:lineRule="atLeast"/>
              <w:rPr>
                <w:color w:val="000000"/>
                <w:lang w:val="en-US"/>
              </w:rPr>
            </w:pPr>
            <w:r w:rsidRPr="00EA190F">
              <w:rPr>
                <w:color w:val="000000"/>
                <w:lang w:val="en-US"/>
              </w:rPr>
              <w:t>22</w:t>
            </w:r>
            <w:r w:rsidR="00C33CBA" w:rsidRPr="00EA190F">
              <w:rPr>
                <w:color w:val="000000"/>
                <w:lang w:val="en-US"/>
              </w:rPr>
              <w:t>.</w:t>
            </w:r>
            <w:r w:rsidRPr="00EA190F">
              <w:rPr>
                <w:color w:val="000000"/>
                <w:lang w:val="en-US"/>
              </w:rPr>
              <w:t>8</w:t>
            </w:r>
            <w:r w:rsidR="00C33CBA" w:rsidRPr="00EA190F">
              <w:rPr>
                <w:color w:val="000000"/>
                <w:lang w:val="en-US"/>
              </w:rPr>
              <w:t>5</w:t>
            </w:r>
          </w:p>
        </w:tc>
        <w:tc>
          <w:tcPr>
            <w:tcW w:w="1534" w:type="dxa"/>
            <w:vAlign w:val="center"/>
          </w:tcPr>
          <w:p w:rsidR="00C33CBA" w:rsidRPr="00EA190F" w:rsidRDefault="00C33CBA" w:rsidP="004F1B87">
            <w:pPr>
              <w:pStyle w:val="Tablebody"/>
              <w:spacing w:before="20" w:after="20" w:line="190" w:lineRule="atLeast"/>
              <w:jc w:val="center"/>
              <w:rPr>
                <w:b/>
                <w:bCs/>
                <w:color w:val="000000"/>
                <w:lang w:val="en-US"/>
              </w:rPr>
            </w:pPr>
            <w:r w:rsidRPr="00EA190F">
              <w:rPr>
                <w:b/>
                <w:bCs/>
                <w:color w:val="000000"/>
                <w:lang w:val="en-US"/>
              </w:rPr>
              <w:t>High</w:t>
            </w:r>
          </w:p>
        </w:tc>
      </w:tr>
      <w:tr w:rsidR="00C33CBA" w:rsidRPr="00EA190F" w:rsidTr="007F2422">
        <w:trPr>
          <w:cantSplit/>
        </w:trPr>
        <w:tc>
          <w:tcPr>
            <w:tcW w:w="5068" w:type="dxa"/>
            <w:tcBorders>
              <w:bottom w:val="single" w:sz="6" w:space="0" w:color="7F7267"/>
            </w:tcBorders>
            <w:noWrap/>
            <w:vAlign w:val="bottom"/>
          </w:tcPr>
          <w:p w:rsidR="00C33CBA" w:rsidRPr="00EA190F" w:rsidRDefault="00C33CBA" w:rsidP="0077449B">
            <w:pPr>
              <w:pStyle w:val="Tablebody"/>
              <w:spacing w:before="20" w:after="20" w:line="190" w:lineRule="atLeast"/>
              <w:ind w:left="113"/>
              <w:jc w:val="left"/>
              <w:rPr>
                <w:color w:val="000000"/>
                <w:lang w:val="en-US"/>
              </w:rPr>
            </w:pPr>
            <w:r w:rsidRPr="00EA190F">
              <w:rPr>
                <w:color w:val="000000"/>
                <w:lang w:val="en-US"/>
              </w:rPr>
              <w:t>Prevalence of underweight children (&gt;5</w:t>
            </w:r>
            <w:r w:rsidR="0077449B" w:rsidRPr="00EA190F">
              <w:rPr>
                <w:color w:val="000000"/>
                <w:lang w:val="en-US"/>
              </w:rPr>
              <w:t xml:space="preserve"> </w:t>
            </w:r>
            <w:r w:rsidRPr="00EA190F">
              <w:rPr>
                <w:color w:val="000000"/>
                <w:lang w:val="en-US"/>
              </w:rPr>
              <w:t>y</w:t>
            </w:r>
            <w:r w:rsidR="0077449B" w:rsidRPr="00EA190F">
              <w:rPr>
                <w:color w:val="000000"/>
                <w:lang w:val="en-US"/>
              </w:rPr>
              <w:t>ea</w:t>
            </w:r>
            <w:r w:rsidRPr="00EA190F">
              <w:rPr>
                <w:color w:val="000000"/>
                <w:lang w:val="en-US"/>
              </w:rPr>
              <w:t>rs)</w:t>
            </w:r>
          </w:p>
        </w:tc>
        <w:tc>
          <w:tcPr>
            <w:tcW w:w="1343"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34.5</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30.8</w:t>
            </w:r>
            <w:r w:rsidRPr="00EA190F">
              <w:rPr>
                <w:color w:val="000000"/>
                <w:vertAlign w:val="superscript"/>
                <w:lang w:val="en-US"/>
              </w:rPr>
              <w:t xml:space="preserve"> </w:t>
            </w:r>
            <w:r w:rsidR="0093721B" w:rsidRPr="00EA190F">
              <w:rPr>
                <w:rStyle w:val="Notelabel"/>
                <w:color w:val="000000"/>
              </w:rPr>
              <w:t>(1996)</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30.6</w:t>
            </w:r>
            <w:r w:rsidRPr="00EA190F">
              <w:rPr>
                <w:color w:val="000000"/>
                <w:vertAlign w:val="superscript"/>
                <w:lang w:val="en-US"/>
              </w:rPr>
              <w:t xml:space="preserve"> </w:t>
            </w:r>
            <w:r w:rsidR="00A63988" w:rsidRPr="00EA190F">
              <w:rPr>
                <w:rStyle w:val="Notelabel"/>
                <w:color w:val="000000"/>
              </w:rPr>
              <w:t>(2001)</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2</w:t>
            </w:r>
            <w:r w:rsidR="00A63988" w:rsidRPr="00EA190F">
              <w:rPr>
                <w:color w:val="000000"/>
                <w:lang w:val="en-US"/>
              </w:rPr>
              <w:t>6</w:t>
            </w:r>
            <w:r w:rsidRPr="00EA190F">
              <w:rPr>
                <w:color w:val="000000"/>
                <w:lang w:val="en-US"/>
              </w:rPr>
              <w:t>.</w:t>
            </w:r>
            <w:r w:rsidR="00A63988" w:rsidRPr="00EA190F">
              <w:rPr>
                <w:color w:val="000000"/>
                <w:lang w:val="en-US"/>
              </w:rPr>
              <w:t xml:space="preserve">9 </w:t>
            </w:r>
            <w:r w:rsidR="00A63988" w:rsidRPr="00EA190F">
              <w:rPr>
                <w:rStyle w:val="Notelabel"/>
                <w:color w:val="000000"/>
              </w:rPr>
              <w:t>(2003)</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24.</w:t>
            </w:r>
            <w:r w:rsidR="00A63988" w:rsidRPr="00EA190F">
              <w:rPr>
                <w:color w:val="000000"/>
                <w:lang w:val="en-US"/>
              </w:rPr>
              <w:t>6</w:t>
            </w:r>
          </w:p>
        </w:tc>
        <w:tc>
          <w:tcPr>
            <w:tcW w:w="1020"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17.25</w:t>
            </w:r>
          </w:p>
        </w:tc>
        <w:tc>
          <w:tcPr>
            <w:tcW w:w="1534" w:type="dxa"/>
            <w:tcBorders>
              <w:bottom w:val="single" w:sz="6" w:space="0" w:color="7F7267"/>
            </w:tcBorders>
            <w:vAlign w:val="center"/>
          </w:tcPr>
          <w:p w:rsidR="00C33CBA" w:rsidRPr="00EA190F" w:rsidRDefault="00C33CBA" w:rsidP="004F1B87">
            <w:pPr>
              <w:pStyle w:val="Tablebody"/>
              <w:spacing w:before="20" w:after="20" w:line="190" w:lineRule="atLeast"/>
              <w:jc w:val="center"/>
              <w:rPr>
                <w:b/>
                <w:bCs/>
                <w:color w:val="000000"/>
                <w:lang w:val="en-US"/>
              </w:rPr>
            </w:pPr>
            <w:r w:rsidRPr="00EA190F">
              <w:rPr>
                <w:b/>
                <w:bCs/>
                <w:color w:val="000000"/>
                <w:lang w:val="en-US"/>
              </w:rPr>
              <w:t>High</w:t>
            </w:r>
          </w:p>
        </w:tc>
      </w:tr>
      <w:tr w:rsidR="00C33CBA" w:rsidRPr="00EA190F" w:rsidTr="007F2422">
        <w:trPr>
          <w:cantSplit/>
        </w:trPr>
        <w:tc>
          <w:tcPr>
            <w:tcW w:w="5068"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2 Achieve universal primary education</w:t>
            </w:r>
          </w:p>
        </w:tc>
        <w:tc>
          <w:tcPr>
            <w:tcW w:w="1343"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20"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534" w:type="dxa"/>
            <w:tcBorders>
              <w:top w:val="single" w:sz="6" w:space="0" w:color="7F7267"/>
            </w:tcBorders>
            <w:noWrap/>
            <w:vAlign w:val="bottom"/>
          </w:tcPr>
          <w:p w:rsidR="00C33CBA" w:rsidRPr="00EA190F" w:rsidRDefault="00C33CBA" w:rsidP="004F1B87">
            <w:pPr>
              <w:pStyle w:val="Tableheading1"/>
              <w:spacing w:before="80"/>
              <w:jc w:val="center"/>
              <w:rPr>
                <w:color w:val="000000"/>
                <w:lang w:val="en-US"/>
              </w:rPr>
            </w:pPr>
          </w:p>
        </w:tc>
      </w:tr>
      <w:tr w:rsidR="00C33CBA" w:rsidRPr="00EA190F" w:rsidTr="007F2422">
        <w:trPr>
          <w:cantSplit/>
        </w:trPr>
        <w:tc>
          <w:tcPr>
            <w:tcW w:w="5068" w:type="dxa"/>
            <w:noWrap/>
            <w:vAlign w:val="bottom"/>
          </w:tcPr>
          <w:p w:rsidR="00C33CBA" w:rsidRPr="00EA190F" w:rsidRDefault="00C33CBA" w:rsidP="0077449B">
            <w:pPr>
              <w:pStyle w:val="Tablebody"/>
              <w:spacing w:before="20" w:after="20" w:line="190" w:lineRule="atLeast"/>
              <w:ind w:left="113"/>
              <w:jc w:val="left"/>
              <w:rPr>
                <w:color w:val="000000"/>
                <w:lang w:val="en-US"/>
              </w:rPr>
            </w:pPr>
            <w:r w:rsidRPr="00EA190F">
              <w:rPr>
                <w:color w:val="000000"/>
                <w:lang w:val="en-US"/>
              </w:rPr>
              <w:t>Net primary enrollment rate</w:t>
            </w:r>
          </w:p>
        </w:tc>
        <w:tc>
          <w:tcPr>
            <w:tcW w:w="1343"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8</w:t>
            </w:r>
            <w:r w:rsidR="0093721B" w:rsidRPr="00EA190F">
              <w:rPr>
                <w:color w:val="000000"/>
                <w:lang w:val="en-US"/>
              </w:rPr>
              <w:t>4</w:t>
            </w:r>
            <w:r w:rsidRPr="00EA190F">
              <w:rPr>
                <w:color w:val="000000"/>
                <w:lang w:val="en-US"/>
              </w:rPr>
              <w:t>.</w:t>
            </w:r>
            <w:r w:rsidR="0093721B" w:rsidRPr="00EA190F">
              <w:rPr>
                <w:color w:val="000000"/>
                <w:lang w:val="en-US"/>
              </w:rPr>
              <w:t>6</w:t>
            </w:r>
          </w:p>
        </w:tc>
        <w:tc>
          <w:tcPr>
            <w:tcW w:w="1019"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92.7</w:t>
            </w:r>
          </w:p>
        </w:tc>
        <w:tc>
          <w:tcPr>
            <w:tcW w:w="1019"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96.8</w:t>
            </w:r>
          </w:p>
        </w:tc>
        <w:tc>
          <w:tcPr>
            <w:tcW w:w="1019" w:type="dxa"/>
            <w:noWrap/>
            <w:vAlign w:val="bottom"/>
          </w:tcPr>
          <w:p w:rsidR="00C33CBA" w:rsidRPr="00EA190F" w:rsidRDefault="00A63988" w:rsidP="0077449B">
            <w:pPr>
              <w:pStyle w:val="Tablebody"/>
              <w:spacing w:before="20" w:after="20" w:line="190" w:lineRule="atLeast"/>
              <w:rPr>
                <w:color w:val="000000"/>
                <w:lang w:val="en-US"/>
              </w:rPr>
            </w:pPr>
            <w:r w:rsidRPr="00EA190F">
              <w:rPr>
                <w:color w:val="000000"/>
                <w:lang w:val="en-US"/>
              </w:rPr>
              <w:t>88</w:t>
            </w:r>
            <w:r w:rsidR="00C33CBA" w:rsidRPr="00EA190F">
              <w:rPr>
                <w:color w:val="000000"/>
                <w:lang w:val="en-US"/>
              </w:rPr>
              <w:t>.</w:t>
            </w:r>
            <w:r w:rsidRPr="00EA190F">
              <w:rPr>
                <w:color w:val="000000"/>
                <w:lang w:val="en-US"/>
              </w:rPr>
              <w:t xml:space="preserve">7 </w:t>
            </w:r>
            <w:r w:rsidRPr="00EA190F">
              <w:rPr>
                <w:rStyle w:val="Notelabel"/>
                <w:color w:val="000000"/>
              </w:rPr>
              <w:t>(2003)</w:t>
            </w:r>
          </w:p>
        </w:tc>
        <w:tc>
          <w:tcPr>
            <w:tcW w:w="1019"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84.44</w:t>
            </w:r>
          </w:p>
        </w:tc>
        <w:tc>
          <w:tcPr>
            <w:tcW w:w="1020"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100</w:t>
            </w:r>
          </w:p>
        </w:tc>
        <w:tc>
          <w:tcPr>
            <w:tcW w:w="1534" w:type="dxa"/>
            <w:noWrap/>
            <w:vAlign w:val="bottom"/>
          </w:tcPr>
          <w:p w:rsidR="00C33CBA" w:rsidRPr="00EA190F" w:rsidRDefault="00C33CBA" w:rsidP="004F1B87">
            <w:pPr>
              <w:pStyle w:val="Tablebody"/>
              <w:spacing w:before="20" w:after="20" w:line="190" w:lineRule="atLeast"/>
              <w:jc w:val="center"/>
              <w:rPr>
                <w:b/>
                <w:bCs/>
                <w:color w:val="000000"/>
                <w:lang w:val="en-US"/>
              </w:rPr>
            </w:pPr>
            <w:r w:rsidRPr="00EA190F">
              <w:rPr>
                <w:b/>
                <w:bCs/>
                <w:color w:val="000000"/>
                <w:lang w:val="en-US"/>
              </w:rPr>
              <w:t>Low</w:t>
            </w:r>
          </w:p>
        </w:tc>
      </w:tr>
      <w:tr w:rsidR="00C33CBA" w:rsidRPr="00EA190F" w:rsidTr="007F2422">
        <w:trPr>
          <w:cantSplit/>
        </w:trPr>
        <w:tc>
          <w:tcPr>
            <w:tcW w:w="5068" w:type="dxa"/>
            <w:tcBorders>
              <w:bottom w:val="single" w:sz="6" w:space="0" w:color="7F7267"/>
            </w:tcBorders>
            <w:noWrap/>
            <w:vAlign w:val="bottom"/>
          </w:tcPr>
          <w:p w:rsidR="00C33CBA" w:rsidRPr="00EA190F" w:rsidRDefault="00C33CBA" w:rsidP="0077449B">
            <w:pPr>
              <w:pStyle w:val="Tablebody"/>
              <w:spacing w:before="20" w:after="20" w:line="190" w:lineRule="atLeast"/>
              <w:ind w:left="113"/>
              <w:jc w:val="left"/>
              <w:rPr>
                <w:color w:val="000000"/>
                <w:lang w:val="en-US"/>
              </w:rPr>
            </w:pPr>
            <w:r w:rsidRPr="00EA190F">
              <w:rPr>
                <w:color w:val="000000"/>
                <w:lang w:val="en-US"/>
              </w:rPr>
              <w:t xml:space="preserve">Cohort survival rate </w:t>
            </w:r>
            <w:r w:rsidRPr="00EA190F">
              <w:rPr>
                <w:rStyle w:val="Notelabel"/>
                <w:color w:val="000000"/>
              </w:rPr>
              <w:t>b</w:t>
            </w:r>
          </w:p>
        </w:tc>
        <w:tc>
          <w:tcPr>
            <w:tcW w:w="1343"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6</w:t>
            </w:r>
            <w:r w:rsidR="0093721B" w:rsidRPr="00EA190F">
              <w:rPr>
                <w:color w:val="000000"/>
                <w:lang w:val="en-US"/>
              </w:rPr>
              <w:t>9</w:t>
            </w:r>
            <w:r w:rsidRPr="00EA190F">
              <w:rPr>
                <w:color w:val="000000"/>
                <w:lang w:val="en-US"/>
              </w:rPr>
              <w:t>.</w:t>
            </w:r>
            <w:r w:rsidR="0093721B" w:rsidRPr="00EA190F">
              <w:rPr>
                <w:color w:val="000000"/>
                <w:lang w:val="en-US"/>
              </w:rPr>
              <w:t>7</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67.2</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6</w:t>
            </w:r>
            <w:r w:rsidR="00A63988" w:rsidRPr="00EA190F">
              <w:rPr>
                <w:color w:val="000000"/>
                <w:lang w:val="en-US"/>
              </w:rPr>
              <w:t>9</w:t>
            </w:r>
            <w:r w:rsidRPr="00EA190F">
              <w:rPr>
                <w:color w:val="000000"/>
                <w:lang w:val="en-US"/>
              </w:rPr>
              <w:t>.</w:t>
            </w:r>
            <w:r w:rsidR="00A63988" w:rsidRPr="00EA190F">
              <w:rPr>
                <w:color w:val="000000"/>
                <w:lang w:val="en-US"/>
              </w:rPr>
              <w:t>5</w:t>
            </w:r>
          </w:p>
        </w:tc>
        <w:tc>
          <w:tcPr>
            <w:tcW w:w="1019" w:type="dxa"/>
            <w:tcBorders>
              <w:bottom w:val="single" w:sz="6" w:space="0" w:color="7F7267"/>
            </w:tcBorders>
            <w:noWrap/>
            <w:vAlign w:val="bottom"/>
          </w:tcPr>
          <w:p w:rsidR="00C33CBA" w:rsidRPr="00EA190F" w:rsidRDefault="00A63988" w:rsidP="0077449B">
            <w:pPr>
              <w:pStyle w:val="Tablebody"/>
              <w:spacing w:before="20" w:after="20" w:line="190" w:lineRule="atLeast"/>
              <w:rPr>
                <w:color w:val="000000"/>
                <w:lang w:val="en-US"/>
              </w:rPr>
            </w:pPr>
            <w:r w:rsidRPr="00EA190F">
              <w:rPr>
                <w:color w:val="000000"/>
                <w:lang w:val="en-US"/>
              </w:rPr>
              <w:t>71</w:t>
            </w:r>
            <w:r w:rsidR="00C33CBA" w:rsidRPr="00EA190F">
              <w:rPr>
                <w:color w:val="000000"/>
                <w:lang w:val="en-US"/>
              </w:rPr>
              <w:t>.8</w:t>
            </w:r>
            <w:r w:rsidRPr="00EA190F">
              <w:rPr>
                <w:color w:val="000000"/>
                <w:lang w:val="en-US"/>
              </w:rPr>
              <w:t xml:space="preserve"> </w:t>
            </w:r>
            <w:r w:rsidRPr="00EA190F">
              <w:rPr>
                <w:rStyle w:val="Notelabel"/>
                <w:color w:val="000000"/>
              </w:rPr>
              <w:t>(2008)</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69.9</w:t>
            </w:r>
          </w:p>
        </w:tc>
        <w:tc>
          <w:tcPr>
            <w:tcW w:w="1020"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84.67</w:t>
            </w:r>
            <w:r w:rsidR="00E34EE5" w:rsidRPr="00EA190F">
              <w:rPr>
                <w:color w:val="000000"/>
                <w:lang w:val="en-US"/>
              </w:rPr>
              <w:t xml:space="preserve"> </w:t>
            </w:r>
            <w:r w:rsidR="00A63988" w:rsidRPr="00EA190F">
              <w:rPr>
                <w:rStyle w:val="Notelabel"/>
                <w:color w:val="000000"/>
              </w:rPr>
              <w:t>c</w:t>
            </w:r>
          </w:p>
        </w:tc>
        <w:tc>
          <w:tcPr>
            <w:tcW w:w="1534" w:type="dxa"/>
            <w:tcBorders>
              <w:bottom w:val="single" w:sz="6" w:space="0" w:color="7F7267"/>
            </w:tcBorders>
            <w:vAlign w:val="center"/>
          </w:tcPr>
          <w:p w:rsidR="00C33CBA" w:rsidRPr="00EA190F" w:rsidRDefault="00C33CBA" w:rsidP="004F1B87">
            <w:pPr>
              <w:pStyle w:val="Tablebody"/>
              <w:spacing w:before="20" w:after="20" w:line="190" w:lineRule="atLeast"/>
              <w:jc w:val="center"/>
              <w:rPr>
                <w:b/>
                <w:bCs/>
                <w:color w:val="000000"/>
                <w:lang w:val="en-US"/>
              </w:rPr>
            </w:pPr>
            <w:r w:rsidRPr="00EA190F">
              <w:rPr>
                <w:b/>
                <w:bCs/>
                <w:color w:val="000000"/>
                <w:lang w:val="en-US"/>
              </w:rPr>
              <w:t>Low</w:t>
            </w:r>
          </w:p>
        </w:tc>
      </w:tr>
      <w:tr w:rsidR="00C33CBA" w:rsidRPr="00EA190F" w:rsidTr="007F2422">
        <w:trPr>
          <w:cantSplit/>
        </w:trPr>
        <w:tc>
          <w:tcPr>
            <w:tcW w:w="5068"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3 Promote gender equality and empowerment</w:t>
            </w:r>
          </w:p>
        </w:tc>
        <w:tc>
          <w:tcPr>
            <w:tcW w:w="1343"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20"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534" w:type="dxa"/>
            <w:tcBorders>
              <w:top w:val="single" w:sz="6" w:space="0" w:color="7F7267"/>
            </w:tcBorders>
            <w:vAlign w:val="center"/>
          </w:tcPr>
          <w:p w:rsidR="00C33CBA" w:rsidRPr="00EA190F" w:rsidRDefault="00C33CBA" w:rsidP="004F1B87">
            <w:pPr>
              <w:pStyle w:val="Tableheading1"/>
              <w:spacing w:before="80"/>
              <w:jc w:val="center"/>
              <w:rPr>
                <w:color w:val="000000"/>
                <w:lang w:val="en-US"/>
              </w:rPr>
            </w:pPr>
          </w:p>
        </w:tc>
      </w:tr>
      <w:tr w:rsidR="00C33CBA" w:rsidRPr="00EA190F" w:rsidTr="007F2422">
        <w:trPr>
          <w:cantSplit/>
        </w:trPr>
        <w:tc>
          <w:tcPr>
            <w:tcW w:w="5068" w:type="dxa"/>
            <w:noWrap/>
            <w:vAlign w:val="bottom"/>
          </w:tcPr>
          <w:p w:rsidR="00C33CBA" w:rsidRPr="00EA190F" w:rsidRDefault="00C33CBA" w:rsidP="0077449B">
            <w:pPr>
              <w:pStyle w:val="Tablebody"/>
              <w:spacing w:before="20" w:after="20" w:line="190" w:lineRule="atLeast"/>
              <w:ind w:left="113"/>
              <w:jc w:val="left"/>
              <w:rPr>
                <w:color w:val="000000"/>
                <w:lang w:val="en-US"/>
              </w:rPr>
            </w:pPr>
            <w:r w:rsidRPr="00EA190F">
              <w:rPr>
                <w:color w:val="000000"/>
                <w:lang w:val="en-US"/>
              </w:rPr>
              <w:t xml:space="preserve">Ratio of girls to 100 boys </w:t>
            </w:r>
            <w:r w:rsidR="0077449B" w:rsidRPr="00EA190F">
              <w:rPr>
                <w:color w:val="000000"/>
                <w:lang w:val="en-US"/>
              </w:rPr>
              <w:t>elementary schooling</w:t>
            </w:r>
          </w:p>
        </w:tc>
        <w:tc>
          <w:tcPr>
            <w:tcW w:w="1343" w:type="dxa"/>
            <w:noWrap/>
            <w:vAlign w:val="bottom"/>
          </w:tcPr>
          <w:p w:rsidR="00C33CBA" w:rsidRPr="00EA190F" w:rsidRDefault="0093721B" w:rsidP="0077449B">
            <w:pPr>
              <w:pStyle w:val="Tablebody"/>
              <w:spacing w:before="20" w:after="20" w:line="190" w:lineRule="atLeast"/>
              <w:rPr>
                <w:color w:val="000000"/>
                <w:lang w:val="en-US"/>
              </w:rPr>
            </w:pPr>
            <w:r w:rsidRPr="00EA190F">
              <w:rPr>
                <w:color w:val="000000"/>
                <w:lang w:val="en-US"/>
              </w:rPr>
              <w:t>-</w:t>
            </w:r>
          </w:p>
        </w:tc>
        <w:tc>
          <w:tcPr>
            <w:tcW w:w="1019" w:type="dxa"/>
            <w:noWrap/>
            <w:vAlign w:val="bottom"/>
          </w:tcPr>
          <w:p w:rsidR="00C33CBA" w:rsidRPr="00EA190F" w:rsidRDefault="0093721B" w:rsidP="0077449B">
            <w:pPr>
              <w:pStyle w:val="Tablebody"/>
              <w:spacing w:before="20" w:after="20" w:line="190" w:lineRule="atLeast"/>
              <w:rPr>
                <w:color w:val="000000"/>
                <w:lang w:val="en-US"/>
              </w:rPr>
            </w:pPr>
            <w:r w:rsidRPr="00EA190F">
              <w:rPr>
                <w:color w:val="000000"/>
                <w:lang w:val="en-US"/>
              </w:rPr>
              <w:t xml:space="preserve">95.8 </w:t>
            </w:r>
            <w:r w:rsidRPr="00EA190F">
              <w:rPr>
                <w:rStyle w:val="Notelabel"/>
                <w:color w:val="000000"/>
              </w:rPr>
              <w:t>(1996)</w:t>
            </w:r>
          </w:p>
        </w:tc>
        <w:tc>
          <w:tcPr>
            <w:tcW w:w="1019"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w:t>
            </w:r>
          </w:p>
        </w:tc>
        <w:tc>
          <w:tcPr>
            <w:tcW w:w="1019"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101.8</w:t>
            </w:r>
            <w:r w:rsidR="00A63988" w:rsidRPr="00EA190F">
              <w:rPr>
                <w:color w:val="000000"/>
                <w:lang w:val="en-US"/>
              </w:rPr>
              <w:t xml:space="preserve"> (2002-3)</w:t>
            </w:r>
          </w:p>
        </w:tc>
        <w:tc>
          <w:tcPr>
            <w:tcW w:w="1019" w:type="dxa"/>
            <w:noWrap/>
            <w:vAlign w:val="bottom"/>
          </w:tcPr>
          <w:p w:rsidR="00C33CBA" w:rsidRPr="00EA190F" w:rsidRDefault="00A63988" w:rsidP="0077449B">
            <w:pPr>
              <w:pStyle w:val="Tablebody"/>
              <w:spacing w:before="20" w:after="20" w:line="190" w:lineRule="atLeast"/>
              <w:rPr>
                <w:color w:val="000000"/>
                <w:lang w:val="en-US"/>
              </w:rPr>
            </w:pPr>
            <w:r w:rsidRPr="00EA190F">
              <w:rPr>
                <w:color w:val="000000"/>
                <w:lang w:val="en-US"/>
              </w:rPr>
              <w:t xml:space="preserve">94.17 </w:t>
            </w:r>
            <w:r w:rsidRPr="00EA190F">
              <w:rPr>
                <w:rStyle w:val="Notelabel"/>
                <w:color w:val="000000"/>
              </w:rPr>
              <w:t>(2006-</w:t>
            </w:r>
            <w:r w:rsidR="00E34EE5" w:rsidRPr="00EA190F">
              <w:rPr>
                <w:rStyle w:val="Notelabel"/>
                <w:color w:val="000000"/>
              </w:rPr>
              <w:t>0</w:t>
            </w:r>
            <w:r w:rsidRPr="00EA190F">
              <w:rPr>
                <w:rStyle w:val="Notelabel"/>
                <w:color w:val="000000"/>
              </w:rPr>
              <w:t>7)</w:t>
            </w:r>
          </w:p>
        </w:tc>
        <w:tc>
          <w:tcPr>
            <w:tcW w:w="1020"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100</w:t>
            </w:r>
          </w:p>
        </w:tc>
        <w:tc>
          <w:tcPr>
            <w:tcW w:w="1534" w:type="dxa"/>
            <w:vAlign w:val="center"/>
          </w:tcPr>
          <w:p w:rsidR="00C33CBA" w:rsidRPr="00EA190F" w:rsidRDefault="00A63988" w:rsidP="004F1B87">
            <w:pPr>
              <w:pStyle w:val="Tablebody"/>
              <w:spacing w:before="20" w:after="20" w:line="190" w:lineRule="atLeast"/>
              <w:jc w:val="center"/>
              <w:rPr>
                <w:b/>
                <w:bCs/>
                <w:color w:val="000000"/>
                <w:lang w:val="en-US"/>
              </w:rPr>
            </w:pPr>
            <w:r w:rsidRPr="00EA190F">
              <w:rPr>
                <w:b/>
                <w:bCs/>
                <w:color w:val="000000"/>
                <w:lang w:val="en-US"/>
              </w:rPr>
              <w:t>Low</w:t>
            </w:r>
          </w:p>
        </w:tc>
      </w:tr>
      <w:tr w:rsidR="00C33CBA" w:rsidRPr="00EA190F" w:rsidTr="007F2422">
        <w:trPr>
          <w:cantSplit/>
        </w:trPr>
        <w:tc>
          <w:tcPr>
            <w:tcW w:w="5068" w:type="dxa"/>
            <w:tcBorders>
              <w:bottom w:val="single" w:sz="6" w:space="0" w:color="7F7267"/>
            </w:tcBorders>
            <w:noWrap/>
            <w:vAlign w:val="bottom"/>
          </w:tcPr>
          <w:p w:rsidR="00C33CBA" w:rsidRPr="00EA190F" w:rsidRDefault="00C33CBA" w:rsidP="0077449B">
            <w:pPr>
              <w:pStyle w:val="Tablebody"/>
              <w:spacing w:before="20" w:after="20" w:line="190" w:lineRule="atLeast"/>
              <w:ind w:left="113"/>
              <w:jc w:val="left"/>
              <w:rPr>
                <w:color w:val="000000"/>
                <w:lang w:val="en-US"/>
              </w:rPr>
            </w:pPr>
            <w:r w:rsidRPr="00EA190F">
              <w:rPr>
                <w:color w:val="000000"/>
                <w:lang w:val="en-US"/>
              </w:rPr>
              <w:t xml:space="preserve">Ratio of girls to 100 boys </w:t>
            </w:r>
            <w:r w:rsidR="0077449B" w:rsidRPr="00EA190F">
              <w:rPr>
                <w:color w:val="000000"/>
                <w:lang w:val="en-US"/>
              </w:rPr>
              <w:t>secondary schooling</w:t>
            </w:r>
          </w:p>
        </w:tc>
        <w:tc>
          <w:tcPr>
            <w:tcW w:w="1343" w:type="dxa"/>
            <w:tcBorders>
              <w:bottom w:val="single" w:sz="6" w:space="0" w:color="7F7267"/>
            </w:tcBorders>
            <w:noWrap/>
            <w:vAlign w:val="bottom"/>
          </w:tcPr>
          <w:p w:rsidR="00C33CBA" w:rsidRPr="00EA190F" w:rsidRDefault="0093721B" w:rsidP="0077449B">
            <w:pPr>
              <w:pStyle w:val="Tablebody"/>
              <w:spacing w:before="20" w:after="20" w:line="190" w:lineRule="atLeast"/>
              <w:rPr>
                <w:color w:val="000000"/>
                <w:lang w:val="en-US"/>
              </w:rPr>
            </w:pPr>
            <w:r w:rsidRPr="00EA190F">
              <w:rPr>
                <w:color w:val="000000"/>
                <w:lang w:val="en-US"/>
              </w:rPr>
              <w:t>-</w:t>
            </w:r>
          </w:p>
        </w:tc>
        <w:tc>
          <w:tcPr>
            <w:tcW w:w="1019" w:type="dxa"/>
            <w:tcBorders>
              <w:bottom w:val="single" w:sz="6" w:space="0" w:color="7F7267"/>
            </w:tcBorders>
            <w:noWrap/>
            <w:vAlign w:val="bottom"/>
          </w:tcPr>
          <w:p w:rsidR="00C33CBA" w:rsidRPr="00EA190F" w:rsidRDefault="0093721B" w:rsidP="0077449B">
            <w:pPr>
              <w:pStyle w:val="Tablebody"/>
              <w:spacing w:before="20" w:after="20" w:line="190" w:lineRule="atLeast"/>
              <w:rPr>
                <w:color w:val="000000"/>
                <w:lang w:val="en-US"/>
              </w:rPr>
            </w:pPr>
            <w:r w:rsidRPr="00EA190F">
              <w:rPr>
                <w:color w:val="000000"/>
                <w:lang w:val="en-US"/>
              </w:rPr>
              <w:t xml:space="preserve">104.5 </w:t>
            </w:r>
            <w:r w:rsidRPr="00EA190F">
              <w:rPr>
                <w:rStyle w:val="Notelabel"/>
                <w:color w:val="000000"/>
              </w:rPr>
              <w:t>(1996)</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115.9</w:t>
            </w:r>
            <w:r w:rsidR="00A63988" w:rsidRPr="00EA190F">
              <w:rPr>
                <w:color w:val="000000"/>
                <w:lang w:val="en-US"/>
              </w:rPr>
              <w:t>(2002-3)</w:t>
            </w:r>
          </w:p>
        </w:tc>
        <w:tc>
          <w:tcPr>
            <w:tcW w:w="1019" w:type="dxa"/>
            <w:tcBorders>
              <w:bottom w:val="single" w:sz="6" w:space="0" w:color="7F7267"/>
            </w:tcBorders>
            <w:noWrap/>
            <w:vAlign w:val="bottom"/>
          </w:tcPr>
          <w:p w:rsidR="00C33CBA" w:rsidRPr="00EA190F" w:rsidRDefault="00A63988" w:rsidP="0077449B">
            <w:pPr>
              <w:pStyle w:val="Tablebody"/>
              <w:spacing w:before="20" w:after="20" w:line="190" w:lineRule="atLeast"/>
              <w:rPr>
                <w:color w:val="000000"/>
                <w:lang w:val="en-US"/>
              </w:rPr>
            </w:pPr>
            <w:r w:rsidRPr="00EA190F">
              <w:rPr>
                <w:color w:val="000000"/>
                <w:lang w:val="en-US"/>
              </w:rPr>
              <w:t xml:space="preserve">105.7 </w:t>
            </w:r>
            <w:r w:rsidRPr="00EA190F">
              <w:rPr>
                <w:rStyle w:val="Notelabel"/>
                <w:color w:val="000000"/>
              </w:rPr>
              <w:t>(2006-7)</w:t>
            </w:r>
          </w:p>
        </w:tc>
        <w:tc>
          <w:tcPr>
            <w:tcW w:w="1020"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100</w:t>
            </w:r>
          </w:p>
        </w:tc>
        <w:tc>
          <w:tcPr>
            <w:tcW w:w="1534" w:type="dxa"/>
            <w:tcBorders>
              <w:bottom w:val="single" w:sz="6" w:space="0" w:color="7F7267"/>
            </w:tcBorders>
            <w:vAlign w:val="center"/>
          </w:tcPr>
          <w:p w:rsidR="00C33CBA" w:rsidRPr="00EA190F" w:rsidRDefault="00A63988" w:rsidP="004F1B87">
            <w:pPr>
              <w:pStyle w:val="Tablebody"/>
              <w:spacing w:before="20" w:after="20" w:line="190" w:lineRule="atLeast"/>
              <w:jc w:val="center"/>
              <w:rPr>
                <w:b/>
                <w:bCs/>
                <w:color w:val="000000"/>
                <w:lang w:val="en-US"/>
              </w:rPr>
            </w:pPr>
            <w:r w:rsidRPr="00EA190F">
              <w:rPr>
                <w:b/>
                <w:bCs/>
                <w:color w:val="000000"/>
                <w:lang w:val="en-US"/>
              </w:rPr>
              <w:t>Low</w:t>
            </w:r>
          </w:p>
        </w:tc>
      </w:tr>
      <w:tr w:rsidR="00C33CBA" w:rsidRPr="00EA190F" w:rsidTr="007F2422">
        <w:trPr>
          <w:cantSplit/>
        </w:trPr>
        <w:tc>
          <w:tcPr>
            <w:tcW w:w="5068"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4 Reduce child mortality</w:t>
            </w:r>
          </w:p>
        </w:tc>
        <w:tc>
          <w:tcPr>
            <w:tcW w:w="1343"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20"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534" w:type="dxa"/>
            <w:tcBorders>
              <w:top w:val="single" w:sz="6" w:space="0" w:color="7F7267"/>
            </w:tcBorders>
            <w:noWrap/>
            <w:vAlign w:val="bottom"/>
          </w:tcPr>
          <w:p w:rsidR="00C33CBA" w:rsidRPr="00EA190F" w:rsidRDefault="00C33CBA" w:rsidP="004F1B87">
            <w:pPr>
              <w:pStyle w:val="Tableheading1"/>
              <w:spacing w:before="80"/>
              <w:jc w:val="center"/>
              <w:rPr>
                <w:color w:val="000000"/>
                <w:lang w:val="en-US"/>
              </w:rPr>
            </w:pPr>
          </w:p>
        </w:tc>
      </w:tr>
      <w:tr w:rsidR="00C33CBA" w:rsidRPr="00EA190F" w:rsidTr="007F2422">
        <w:trPr>
          <w:cantSplit/>
        </w:trPr>
        <w:tc>
          <w:tcPr>
            <w:tcW w:w="5068" w:type="dxa"/>
            <w:noWrap/>
            <w:vAlign w:val="bottom"/>
          </w:tcPr>
          <w:p w:rsidR="00C33CBA" w:rsidRPr="00EA190F" w:rsidRDefault="0077449B" w:rsidP="0077449B">
            <w:pPr>
              <w:pStyle w:val="Tablebody"/>
              <w:spacing w:before="20" w:after="20" w:line="190" w:lineRule="atLeast"/>
              <w:ind w:left="113"/>
              <w:jc w:val="left"/>
              <w:rPr>
                <w:color w:val="000000"/>
                <w:lang w:val="en-US"/>
              </w:rPr>
            </w:pPr>
            <w:r w:rsidRPr="00EA190F">
              <w:rPr>
                <w:color w:val="000000"/>
                <w:lang w:val="en-US"/>
              </w:rPr>
              <w:t xml:space="preserve">Under </w:t>
            </w:r>
            <w:r w:rsidR="00C33CBA" w:rsidRPr="00EA190F">
              <w:rPr>
                <w:color w:val="000000"/>
                <w:lang w:val="en-US"/>
              </w:rPr>
              <w:t>5-mortality rate (per 1000 children)</w:t>
            </w:r>
          </w:p>
        </w:tc>
        <w:tc>
          <w:tcPr>
            <w:tcW w:w="1343"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80</w:t>
            </w:r>
          </w:p>
        </w:tc>
        <w:tc>
          <w:tcPr>
            <w:tcW w:w="1019"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67</w:t>
            </w:r>
          </w:p>
        </w:tc>
        <w:tc>
          <w:tcPr>
            <w:tcW w:w="1019" w:type="dxa"/>
            <w:noWrap/>
            <w:vAlign w:val="bottom"/>
          </w:tcPr>
          <w:p w:rsidR="00C33CBA" w:rsidRPr="00EA190F" w:rsidRDefault="00A63988" w:rsidP="0077449B">
            <w:pPr>
              <w:pStyle w:val="Tablebody"/>
              <w:spacing w:before="20" w:after="20" w:line="190" w:lineRule="atLeast"/>
              <w:rPr>
                <w:color w:val="000000"/>
                <w:lang w:val="en-US"/>
              </w:rPr>
            </w:pPr>
            <w:r w:rsidRPr="00EA190F">
              <w:rPr>
                <w:color w:val="000000"/>
                <w:lang w:val="en-US"/>
              </w:rPr>
              <w:t xml:space="preserve">54.9 </w:t>
            </w:r>
            <w:r w:rsidRPr="00EA190F">
              <w:rPr>
                <w:rStyle w:val="Notelabel"/>
                <w:color w:val="000000"/>
              </w:rPr>
              <w:t>(1998)</w:t>
            </w:r>
            <w:r w:rsidR="00C33CBA" w:rsidRPr="00EA190F">
              <w:rPr>
                <w:color w:val="000000"/>
                <w:lang w:val="en-US"/>
              </w:rPr>
              <w:t xml:space="preserve"> </w:t>
            </w:r>
          </w:p>
        </w:tc>
        <w:tc>
          <w:tcPr>
            <w:tcW w:w="1019"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42</w:t>
            </w:r>
          </w:p>
        </w:tc>
        <w:tc>
          <w:tcPr>
            <w:tcW w:w="1019"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32</w:t>
            </w:r>
          </w:p>
        </w:tc>
        <w:tc>
          <w:tcPr>
            <w:tcW w:w="1020"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26.7</w:t>
            </w:r>
          </w:p>
        </w:tc>
        <w:tc>
          <w:tcPr>
            <w:tcW w:w="1534" w:type="dxa"/>
            <w:vAlign w:val="center"/>
          </w:tcPr>
          <w:p w:rsidR="00C33CBA" w:rsidRPr="00EA190F" w:rsidRDefault="00C33CBA" w:rsidP="004F1B87">
            <w:pPr>
              <w:pStyle w:val="Tablebody"/>
              <w:spacing w:before="20" w:after="20" w:line="190" w:lineRule="atLeast"/>
              <w:jc w:val="center"/>
              <w:rPr>
                <w:b/>
                <w:bCs/>
                <w:color w:val="000000"/>
                <w:lang w:val="en-US"/>
              </w:rPr>
            </w:pPr>
            <w:r w:rsidRPr="00EA190F">
              <w:rPr>
                <w:b/>
                <w:bCs/>
                <w:color w:val="000000"/>
                <w:lang w:val="en-US"/>
              </w:rPr>
              <w:t>High</w:t>
            </w:r>
          </w:p>
        </w:tc>
      </w:tr>
      <w:tr w:rsidR="00C33CBA" w:rsidRPr="00EA190F" w:rsidTr="007F2422">
        <w:trPr>
          <w:cantSplit/>
        </w:trPr>
        <w:tc>
          <w:tcPr>
            <w:tcW w:w="5068" w:type="dxa"/>
            <w:tcBorders>
              <w:bottom w:val="single" w:sz="6" w:space="0" w:color="7F7267"/>
            </w:tcBorders>
            <w:noWrap/>
            <w:vAlign w:val="bottom"/>
          </w:tcPr>
          <w:p w:rsidR="00C33CBA" w:rsidRPr="00EA190F" w:rsidRDefault="00C33CBA" w:rsidP="0077449B">
            <w:pPr>
              <w:pStyle w:val="Tablebody"/>
              <w:spacing w:before="20" w:after="20" w:line="190" w:lineRule="atLeast"/>
              <w:ind w:left="113"/>
              <w:jc w:val="left"/>
              <w:rPr>
                <w:color w:val="000000"/>
                <w:lang w:val="en-US"/>
              </w:rPr>
            </w:pPr>
            <w:r w:rsidRPr="00EA190F">
              <w:rPr>
                <w:color w:val="000000"/>
                <w:lang w:val="en-US"/>
              </w:rPr>
              <w:t>Infant mortality rate (per 1000 live births)</w:t>
            </w:r>
          </w:p>
        </w:tc>
        <w:tc>
          <w:tcPr>
            <w:tcW w:w="1343"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57</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49</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3</w:t>
            </w:r>
            <w:r w:rsidR="00A63988" w:rsidRPr="00EA190F">
              <w:rPr>
                <w:color w:val="000000"/>
              </w:rPr>
              <w:t>6</w:t>
            </w:r>
            <w:r w:rsidR="00A63988" w:rsidRPr="00EA190F">
              <w:rPr>
                <w:rStyle w:val="Notelabel"/>
                <w:color w:val="000000"/>
              </w:rPr>
              <w:t xml:space="preserve"> (1998)</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30</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24</w:t>
            </w:r>
          </w:p>
        </w:tc>
        <w:tc>
          <w:tcPr>
            <w:tcW w:w="1020"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19</w:t>
            </w:r>
          </w:p>
        </w:tc>
        <w:tc>
          <w:tcPr>
            <w:tcW w:w="1534" w:type="dxa"/>
            <w:tcBorders>
              <w:bottom w:val="single" w:sz="6" w:space="0" w:color="7F7267"/>
            </w:tcBorders>
            <w:vAlign w:val="center"/>
          </w:tcPr>
          <w:p w:rsidR="00C33CBA" w:rsidRPr="00EA190F" w:rsidRDefault="00C33CBA" w:rsidP="004F1B87">
            <w:pPr>
              <w:pStyle w:val="Tablebody"/>
              <w:spacing w:before="20" w:after="20" w:line="190" w:lineRule="atLeast"/>
              <w:jc w:val="center"/>
              <w:rPr>
                <w:b/>
                <w:bCs/>
                <w:color w:val="000000"/>
                <w:lang w:val="en-US"/>
              </w:rPr>
            </w:pPr>
            <w:r w:rsidRPr="00EA190F">
              <w:rPr>
                <w:b/>
                <w:bCs/>
                <w:color w:val="000000"/>
                <w:lang w:val="en-US"/>
              </w:rPr>
              <w:t>High</w:t>
            </w:r>
          </w:p>
        </w:tc>
      </w:tr>
      <w:tr w:rsidR="00C33CBA" w:rsidRPr="00EA190F" w:rsidTr="007F2422">
        <w:trPr>
          <w:cantSplit/>
        </w:trPr>
        <w:tc>
          <w:tcPr>
            <w:tcW w:w="5068"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xml:space="preserve">5 Improve </w:t>
            </w:r>
            <w:r w:rsidR="0077449B" w:rsidRPr="00EA190F">
              <w:rPr>
                <w:color w:val="000000"/>
                <w:lang w:val="en-US"/>
              </w:rPr>
              <w:t>maternal health</w:t>
            </w:r>
          </w:p>
        </w:tc>
        <w:tc>
          <w:tcPr>
            <w:tcW w:w="1343"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20"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534" w:type="dxa"/>
            <w:tcBorders>
              <w:top w:val="single" w:sz="6" w:space="0" w:color="7F7267"/>
            </w:tcBorders>
            <w:vAlign w:val="center"/>
          </w:tcPr>
          <w:p w:rsidR="00C33CBA" w:rsidRPr="00EA190F" w:rsidRDefault="00C33CBA" w:rsidP="004F1B87">
            <w:pPr>
              <w:pStyle w:val="Tableheading1"/>
              <w:spacing w:before="80"/>
              <w:jc w:val="center"/>
              <w:rPr>
                <w:color w:val="000000"/>
                <w:lang w:val="en-US"/>
              </w:rPr>
            </w:pPr>
          </w:p>
        </w:tc>
      </w:tr>
      <w:tr w:rsidR="00C33CBA" w:rsidRPr="00EA190F" w:rsidTr="007F2422">
        <w:trPr>
          <w:cantSplit/>
        </w:trPr>
        <w:tc>
          <w:tcPr>
            <w:tcW w:w="5068" w:type="dxa"/>
            <w:tcBorders>
              <w:bottom w:val="single" w:sz="6" w:space="0" w:color="7F7267"/>
            </w:tcBorders>
            <w:noWrap/>
            <w:vAlign w:val="bottom"/>
          </w:tcPr>
          <w:p w:rsidR="00C33CBA" w:rsidRPr="00EA190F" w:rsidRDefault="00C33CBA" w:rsidP="0077449B">
            <w:pPr>
              <w:pStyle w:val="Tablebody"/>
              <w:spacing w:before="20" w:after="20" w:line="190" w:lineRule="atLeast"/>
              <w:ind w:left="113"/>
              <w:jc w:val="left"/>
              <w:rPr>
                <w:color w:val="000000"/>
                <w:lang w:val="en-US"/>
              </w:rPr>
            </w:pPr>
            <w:r w:rsidRPr="00EA190F">
              <w:rPr>
                <w:color w:val="000000"/>
                <w:lang w:val="en-US"/>
              </w:rPr>
              <w:t>Maternal mortality rate (per 100 000 births)</w:t>
            </w:r>
          </w:p>
        </w:tc>
        <w:tc>
          <w:tcPr>
            <w:tcW w:w="1343"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209</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180</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 xml:space="preserve">172 </w:t>
            </w:r>
            <w:r w:rsidR="00A63988" w:rsidRPr="00EA190F">
              <w:rPr>
                <w:rStyle w:val="Notelabel"/>
                <w:color w:val="000000"/>
              </w:rPr>
              <w:t>(1998)</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162</w:t>
            </w:r>
          </w:p>
        </w:tc>
        <w:tc>
          <w:tcPr>
            <w:tcW w:w="1020"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52.2</w:t>
            </w:r>
          </w:p>
        </w:tc>
        <w:tc>
          <w:tcPr>
            <w:tcW w:w="1534" w:type="dxa"/>
            <w:tcBorders>
              <w:bottom w:val="single" w:sz="6" w:space="0" w:color="7F7267"/>
            </w:tcBorders>
            <w:vAlign w:val="center"/>
          </w:tcPr>
          <w:p w:rsidR="00C33CBA" w:rsidRPr="00EA190F" w:rsidRDefault="00C33CBA" w:rsidP="004F1B87">
            <w:pPr>
              <w:pStyle w:val="Tablebody"/>
              <w:spacing w:before="20" w:after="20" w:line="190" w:lineRule="atLeast"/>
              <w:jc w:val="center"/>
              <w:rPr>
                <w:b/>
                <w:bCs/>
                <w:color w:val="000000"/>
                <w:lang w:val="en-US"/>
              </w:rPr>
            </w:pPr>
            <w:r w:rsidRPr="00EA190F">
              <w:rPr>
                <w:b/>
                <w:bCs/>
                <w:color w:val="000000"/>
                <w:lang w:val="en-US"/>
              </w:rPr>
              <w:t>Low</w:t>
            </w:r>
          </w:p>
        </w:tc>
      </w:tr>
      <w:tr w:rsidR="00C33CBA" w:rsidRPr="00EA190F" w:rsidTr="007F2422">
        <w:trPr>
          <w:cantSplit/>
        </w:trPr>
        <w:tc>
          <w:tcPr>
            <w:tcW w:w="5068"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xml:space="preserve">6 Access to </w:t>
            </w:r>
            <w:r w:rsidR="0077449B" w:rsidRPr="00EA190F">
              <w:rPr>
                <w:color w:val="000000"/>
                <w:lang w:val="en-US"/>
              </w:rPr>
              <w:t>reproductive services</w:t>
            </w:r>
          </w:p>
        </w:tc>
        <w:tc>
          <w:tcPr>
            <w:tcW w:w="1343"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20"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534" w:type="dxa"/>
            <w:tcBorders>
              <w:top w:val="single" w:sz="6" w:space="0" w:color="7F7267"/>
            </w:tcBorders>
            <w:vAlign w:val="center"/>
          </w:tcPr>
          <w:p w:rsidR="00C33CBA" w:rsidRPr="00EA190F" w:rsidRDefault="00C33CBA" w:rsidP="004F1B87">
            <w:pPr>
              <w:pStyle w:val="Tableheading1"/>
              <w:spacing w:before="80"/>
              <w:jc w:val="center"/>
              <w:rPr>
                <w:color w:val="000000"/>
                <w:lang w:val="en-US"/>
              </w:rPr>
            </w:pPr>
          </w:p>
        </w:tc>
      </w:tr>
      <w:tr w:rsidR="00C33CBA" w:rsidRPr="00EA190F" w:rsidTr="007F2422">
        <w:trPr>
          <w:cantSplit/>
        </w:trPr>
        <w:tc>
          <w:tcPr>
            <w:tcW w:w="5068" w:type="dxa"/>
            <w:tcBorders>
              <w:bottom w:val="single" w:sz="6" w:space="0" w:color="7F7267"/>
            </w:tcBorders>
            <w:vAlign w:val="center"/>
          </w:tcPr>
          <w:p w:rsidR="00C33CBA" w:rsidRPr="00EA190F" w:rsidRDefault="00C33CBA" w:rsidP="0077449B">
            <w:pPr>
              <w:pStyle w:val="Tablebody"/>
              <w:spacing w:before="20" w:after="20" w:line="190" w:lineRule="atLeast"/>
              <w:ind w:left="113"/>
              <w:jc w:val="left"/>
              <w:rPr>
                <w:color w:val="000000"/>
                <w:lang w:val="en-US"/>
              </w:rPr>
            </w:pPr>
            <w:r w:rsidRPr="00EA190F">
              <w:rPr>
                <w:color w:val="000000"/>
                <w:lang w:val="en-US"/>
              </w:rPr>
              <w:t>Prevalence rate of men, women or couples practicing responsible parenthood</w:t>
            </w:r>
          </w:p>
        </w:tc>
        <w:tc>
          <w:tcPr>
            <w:tcW w:w="1343"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40</w:t>
            </w:r>
            <w:r w:rsidR="0093721B" w:rsidRPr="00EA190F">
              <w:rPr>
                <w:color w:val="000000"/>
                <w:lang w:val="en-US"/>
              </w:rPr>
              <w:t xml:space="preserve"> </w:t>
            </w:r>
            <w:r w:rsidR="0093721B" w:rsidRPr="00EA190F">
              <w:rPr>
                <w:rStyle w:val="Notelabel"/>
                <w:color w:val="000000"/>
              </w:rPr>
              <w:t>(1993)</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50.6</w:t>
            </w:r>
          </w:p>
        </w:tc>
        <w:tc>
          <w:tcPr>
            <w:tcW w:w="1020"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80</w:t>
            </w:r>
          </w:p>
        </w:tc>
        <w:tc>
          <w:tcPr>
            <w:tcW w:w="1534" w:type="dxa"/>
            <w:tcBorders>
              <w:bottom w:val="single" w:sz="6" w:space="0" w:color="7F7267"/>
            </w:tcBorders>
            <w:vAlign w:val="bottom"/>
          </w:tcPr>
          <w:p w:rsidR="00C33CBA" w:rsidRPr="00EA190F" w:rsidRDefault="00C33CBA" w:rsidP="004F1B87">
            <w:pPr>
              <w:pStyle w:val="Tablebody"/>
              <w:spacing w:before="20" w:after="20" w:line="190" w:lineRule="atLeast"/>
              <w:jc w:val="center"/>
              <w:rPr>
                <w:b/>
                <w:bCs/>
                <w:color w:val="000000"/>
                <w:lang w:val="en-US"/>
              </w:rPr>
            </w:pPr>
            <w:r w:rsidRPr="00EA190F">
              <w:rPr>
                <w:b/>
                <w:bCs/>
                <w:color w:val="000000"/>
                <w:lang w:val="en-US"/>
              </w:rPr>
              <w:t>Low</w:t>
            </w:r>
          </w:p>
        </w:tc>
      </w:tr>
      <w:tr w:rsidR="00C33CBA" w:rsidRPr="00EA190F" w:rsidTr="007F2422">
        <w:trPr>
          <w:cantSplit/>
        </w:trPr>
        <w:tc>
          <w:tcPr>
            <w:tcW w:w="5068" w:type="dxa"/>
            <w:tcBorders>
              <w:top w:val="single" w:sz="6" w:space="0" w:color="7F7267"/>
            </w:tcBorders>
            <w:noWrap/>
            <w:vAlign w:val="bottom"/>
          </w:tcPr>
          <w:p w:rsidR="00C33CBA" w:rsidRPr="00EA190F" w:rsidRDefault="0077449B" w:rsidP="001B49F5">
            <w:pPr>
              <w:pStyle w:val="Tableheading1"/>
              <w:spacing w:before="80"/>
              <w:rPr>
                <w:color w:val="000000"/>
                <w:lang w:val="en-US"/>
              </w:rPr>
            </w:pPr>
            <w:r w:rsidRPr="00EA190F">
              <w:rPr>
                <w:color w:val="000000"/>
                <w:lang w:val="en-US"/>
              </w:rPr>
              <w:t xml:space="preserve">7 </w:t>
            </w:r>
            <w:r w:rsidR="00C33CBA" w:rsidRPr="00EA190F">
              <w:rPr>
                <w:color w:val="000000"/>
                <w:lang w:val="en-US"/>
              </w:rPr>
              <w:t>Combat HIV/AID</w:t>
            </w:r>
            <w:r w:rsidR="00867171" w:rsidRPr="00EA190F">
              <w:rPr>
                <w:color w:val="000000"/>
                <w:lang w:val="en-US"/>
              </w:rPr>
              <w:t>S</w:t>
            </w:r>
            <w:r w:rsidR="00C33CBA" w:rsidRPr="00EA190F">
              <w:rPr>
                <w:color w:val="000000"/>
                <w:lang w:val="en-US"/>
              </w:rPr>
              <w:t>, malaria and other diseases</w:t>
            </w:r>
          </w:p>
        </w:tc>
        <w:tc>
          <w:tcPr>
            <w:tcW w:w="1343"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020" w:type="dxa"/>
            <w:tcBorders>
              <w:top w:val="single" w:sz="6" w:space="0" w:color="7F7267"/>
            </w:tcBorders>
            <w:noWrap/>
            <w:vAlign w:val="bottom"/>
          </w:tcPr>
          <w:p w:rsidR="00C33CBA" w:rsidRPr="00EA190F" w:rsidRDefault="00C33CBA" w:rsidP="001B49F5">
            <w:pPr>
              <w:pStyle w:val="Tableheading1"/>
              <w:spacing w:before="80"/>
              <w:rPr>
                <w:color w:val="000000"/>
                <w:lang w:val="en-US"/>
              </w:rPr>
            </w:pPr>
            <w:r w:rsidRPr="00EA190F">
              <w:rPr>
                <w:color w:val="000000"/>
                <w:lang w:val="en-US"/>
              </w:rPr>
              <w:t> </w:t>
            </w:r>
          </w:p>
        </w:tc>
        <w:tc>
          <w:tcPr>
            <w:tcW w:w="1534" w:type="dxa"/>
            <w:tcBorders>
              <w:top w:val="single" w:sz="6" w:space="0" w:color="7F7267"/>
            </w:tcBorders>
            <w:vAlign w:val="center"/>
          </w:tcPr>
          <w:p w:rsidR="00C33CBA" w:rsidRPr="00EA190F" w:rsidRDefault="00C33CBA" w:rsidP="004F1B87">
            <w:pPr>
              <w:pStyle w:val="Tableheading1"/>
              <w:spacing w:before="80"/>
              <w:jc w:val="center"/>
              <w:rPr>
                <w:color w:val="000000"/>
                <w:lang w:val="en-US"/>
              </w:rPr>
            </w:pPr>
          </w:p>
        </w:tc>
      </w:tr>
      <w:tr w:rsidR="00C33CBA" w:rsidRPr="00EA190F" w:rsidTr="007F2422">
        <w:trPr>
          <w:cantSplit/>
        </w:trPr>
        <w:tc>
          <w:tcPr>
            <w:tcW w:w="5068" w:type="dxa"/>
            <w:noWrap/>
            <w:vAlign w:val="bottom"/>
          </w:tcPr>
          <w:p w:rsidR="00C33CBA" w:rsidRPr="00EA190F" w:rsidRDefault="00C33CBA" w:rsidP="0077449B">
            <w:pPr>
              <w:pStyle w:val="Tablebody"/>
              <w:spacing w:before="20" w:after="20" w:line="190" w:lineRule="atLeast"/>
              <w:ind w:left="113"/>
              <w:jc w:val="left"/>
              <w:rPr>
                <w:color w:val="000000"/>
                <w:lang w:val="en-US"/>
              </w:rPr>
            </w:pPr>
            <w:r w:rsidRPr="00EA190F">
              <w:rPr>
                <w:color w:val="000000"/>
                <w:lang w:val="en-US"/>
              </w:rPr>
              <w:t>HIV prevalence</w:t>
            </w:r>
          </w:p>
        </w:tc>
        <w:tc>
          <w:tcPr>
            <w:tcW w:w="1343"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&lt;1</w:t>
            </w:r>
          </w:p>
        </w:tc>
        <w:tc>
          <w:tcPr>
            <w:tcW w:w="1019"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w:t>
            </w:r>
          </w:p>
        </w:tc>
        <w:tc>
          <w:tcPr>
            <w:tcW w:w="1019"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w:t>
            </w:r>
          </w:p>
        </w:tc>
        <w:tc>
          <w:tcPr>
            <w:tcW w:w="1019"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&lt;1</w:t>
            </w:r>
          </w:p>
        </w:tc>
        <w:tc>
          <w:tcPr>
            <w:tcW w:w="1019"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&lt;1</w:t>
            </w:r>
          </w:p>
        </w:tc>
        <w:tc>
          <w:tcPr>
            <w:tcW w:w="1020" w:type="dxa"/>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&lt;1</w:t>
            </w:r>
          </w:p>
        </w:tc>
        <w:tc>
          <w:tcPr>
            <w:tcW w:w="1534" w:type="dxa"/>
            <w:vAlign w:val="center"/>
          </w:tcPr>
          <w:p w:rsidR="00C33CBA" w:rsidRPr="00EA190F" w:rsidRDefault="00C33CBA" w:rsidP="004F1B87">
            <w:pPr>
              <w:pStyle w:val="Tablebody"/>
              <w:spacing w:before="20" w:after="20" w:line="190" w:lineRule="atLeast"/>
              <w:jc w:val="center"/>
              <w:rPr>
                <w:b/>
                <w:bCs/>
                <w:color w:val="000000"/>
                <w:lang w:val="en-US"/>
              </w:rPr>
            </w:pPr>
            <w:r w:rsidRPr="00EA190F">
              <w:rPr>
                <w:b/>
                <w:bCs/>
                <w:color w:val="000000"/>
                <w:lang w:val="en-US"/>
              </w:rPr>
              <w:t>High</w:t>
            </w:r>
          </w:p>
        </w:tc>
      </w:tr>
      <w:tr w:rsidR="00C33CBA" w:rsidRPr="00EA190F" w:rsidTr="007F2422">
        <w:trPr>
          <w:cantSplit/>
        </w:trPr>
        <w:tc>
          <w:tcPr>
            <w:tcW w:w="5068" w:type="dxa"/>
            <w:tcBorders>
              <w:bottom w:val="single" w:sz="6" w:space="0" w:color="7F7267"/>
            </w:tcBorders>
            <w:noWrap/>
            <w:vAlign w:val="bottom"/>
          </w:tcPr>
          <w:p w:rsidR="00C33CBA" w:rsidRPr="00EA190F" w:rsidRDefault="00C33CBA" w:rsidP="0077449B">
            <w:pPr>
              <w:pStyle w:val="Tablebody"/>
              <w:spacing w:before="20" w:after="20" w:line="190" w:lineRule="atLeast"/>
              <w:ind w:left="113"/>
              <w:jc w:val="left"/>
              <w:rPr>
                <w:color w:val="000000"/>
                <w:lang w:val="en-US"/>
              </w:rPr>
            </w:pPr>
            <w:r w:rsidRPr="00EA190F">
              <w:rPr>
                <w:color w:val="000000"/>
                <w:lang w:val="en-US"/>
              </w:rPr>
              <w:t>Malaria morbidity rate (per 100</w:t>
            </w:r>
            <w:r w:rsidR="0077449B" w:rsidRPr="00EA190F">
              <w:rPr>
                <w:color w:val="000000"/>
                <w:lang w:val="en-US"/>
              </w:rPr>
              <w:t> </w:t>
            </w:r>
            <w:r w:rsidRPr="00EA190F">
              <w:rPr>
                <w:color w:val="000000"/>
                <w:lang w:val="en-US"/>
              </w:rPr>
              <w:t>000 population)</w:t>
            </w:r>
          </w:p>
        </w:tc>
        <w:tc>
          <w:tcPr>
            <w:tcW w:w="1343"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123</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88.5</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66.6</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w:t>
            </w:r>
          </w:p>
        </w:tc>
        <w:tc>
          <w:tcPr>
            <w:tcW w:w="1019"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5</w:t>
            </w:r>
            <w:r w:rsidR="00A63988" w:rsidRPr="00EA190F">
              <w:rPr>
                <w:color w:val="000000"/>
                <w:lang w:val="en-US"/>
              </w:rPr>
              <w:t>5</w:t>
            </w:r>
          </w:p>
        </w:tc>
        <w:tc>
          <w:tcPr>
            <w:tcW w:w="1020" w:type="dxa"/>
            <w:tcBorders>
              <w:bottom w:val="single" w:sz="6" w:space="0" w:color="7F7267"/>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24</w:t>
            </w:r>
            <w:r w:rsidR="00A63988" w:rsidRPr="00EA190F">
              <w:rPr>
                <w:color w:val="000000"/>
                <w:lang w:val="en-US"/>
              </w:rPr>
              <w:t xml:space="preserve"> </w:t>
            </w:r>
            <w:r w:rsidR="00A63988" w:rsidRPr="00EA190F">
              <w:rPr>
                <w:rStyle w:val="Notelabel"/>
                <w:color w:val="000000"/>
              </w:rPr>
              <w:t>d</w:t>
            </w:r>
          </w:p>
        </w:tc>
        <w:tc>
          <w:tcPr>
            <w:tcW w:w="1534" w:type="dxa"/>
            <w:tcBorders>
              <w:bottom w:val="single" w:sz="6" w:space="0" w:color="7F7267"/>
            </w:tcBorders>
            <w:vAlign w:val="center"/>
          </w:tcPr>
          <w:p w:rsidR="00C33CBA" w:rsidRPr="00EA190F" w:rsidRDefault="00C33CBA" w:rsidP="004F1B87">
            <w:pPr>
              <w:pStyle w:val="Tablebody"/>
              <w:spacing w:before="20" w:after="20" w:line="190" w:lineRule="atLeast"/>
              <w:jc w:val="center"/>
              <w:rPr>
                <w:b/>
                <w:bCs/>
                <w:color w:val="000000"/>
                <w:lang w:val="en-US"/>
              </w:rPr>
            </w:pPr>
            <w:r w:rsidRPr="00EA190F">
              <w:rPr>
                <w:b/>
                <w:bCs/>
                <w:color w:val="000000"/>
                <w:lang w:val="en-US"/>
              </w:rPr>
              <w:t>High</w:t>
            </w:r>
          </w:p>
        </w:tc>
      </w:tr>
      <w:tr w:rsidR="00C33CBA" w:rsidRPr="00EA190F" w:rsidTr="007F2422">
        <w:trPr>
          <w:cantSplit/>
        </w:trPr>
        <w:tc>
          <w:tcPr>
            <w:tcW w:w="5068" w:type="dxa"/>
            <w:tcBorders>
              <w:top w:val="single" w:sz="6" w:space="0" w:color="7F7267"/>
            </w:tcBorders>
            <w:noWrap/>
            <w:vAlign w:val="bottom"/>
          </w:tcPr>
          <w:p w:rsidR="00C33CBA" w:rsidRPr="00EA190F" w:rsidRDefault="0077449B" w:rsidP="001B49F5">
            <w:pPr>
              <w:pStyle w:val="Tableheading1"/>
              <w:spacing w:before="80"/>
              <w:rPr>
                <w:color w:val="000000"/>
                <w:lang w:val="en-US"/>
              </w:rPr>
            </w:pPr>
            <w:r w:rsidRPr="00EA190F">
              <w:rPr>
                <w:color w:val="000000"/>
                <w:lang w:val="en-US"/>
              </w:rPr>
              <w:t xml:space="preserve">8 </w:t>
            </w:r>
            <w:r w:rsidR="00C33CBA" w:rsidRPr="00EA190F">
              <w:rPr>
                <w:color w:val="000000"/>
                <w:lang w:val="en-US"/>
              </w:rPr>
              <w:t>Ensure environmental sustainability</w:t>
            </w:r>
          </w:p>
        </w:tc>
        <w:tc>
          <w:tcPr>
            <w:tcW w:w="1343"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19"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020" w:type="dxa"/>
            <w:tcBorders>
              <w:top w:val="single" w:sz="6" w:space="0" w:color="7F7267"/>
            </w:tcBorders>
            <w:noWrap/>
            <w:vAlign w:val="bottom"/>
          </w:tcPr>
          <w:p w:rsidR="00C33CBA" w:rsidRPr="00EA190F" w:rsidRDefault="00C33CBA" w:rsidP="001B49F5">
            <w:pPr>
              <w:pStyle w:val="Tableheading1"/>
              <w:spacing w:before="80"/>
              <w:rPr>
                <w:color w:val="000000"/>
                <w:lang w:val="en-US"/>
              </w:rPr>
            </w:pPr>
          </w:p>
        </w:tc>
        <w:tc>
          <w:tcPr>
            <w:tcW w:w="1534" w:type="dxa"/>
            <w:tcBorders>
              <w:top w:val="single" w:sz="6" w:space="0" w:color="7F7267"/>
            </w:tcBorders>
            <w:vAlign w:val="center"/>
          </w:tcPr>
          <w:p w:rsidR="00C33CBA" w:rsidRPr="00EA190F" w:rsidRDefault="00C33CBA" w:rsidP="004F1B87">
            <w:pPr>
              <w:pStyle w:val="Tableheading1"/>
              <w:spacing w:before="80"/>
              <w:jc w:val="center"/>
              <w:rPr>
                <w:color w:val="000000"/>
                <w:lang w:val="en-US"/>
              </w:rPr>
            </w:pPr>
          </w:p>
        </w:tc>
      </w:tr>
      <w:tr w:rsidR="00C33CBA" w:rsidRPr="00EA190F" w:rsidTr="007F2422">
        <w:trPr>
          <w:cantSplit/>
        </w:trPr>
        <w:tc>
          <w:tcPr>
            <w:tcW w:w="5068" w:type="dxa"/>
            <w:tcBorders>
              <w:bottom w:val="single" w:sz="4" w:space="0" w:color="auto"/>
            </w:tcBorders>
            <w:vAlign w:val="center"/>
          </w:tcPr>
          <w:p w:rsidR="00C33CBA" w:rsidRPr="00EA190F" w:rsidRDefault="00C33CBA" w:rsidP="0077449B">
            <w:pPr>
              <w:pStyle w:val="Tablebody"/>
              <w:spacing w:before="20" w:after="20" w:line="190" w:lineRule="atLeast"/>
              <w:ind w:left="113"/>
              <w:jc w:val="left"/>
              <w:rPr>
                <w:color w:val="000000"/>
                <w:lang w:val="en-US"/>
              </w:rPr>
            </w:pPr>
            <w:r w:rsidRPr="00EA190F">
              <w:rPr>
                <w:color w:val="000000"/>
                <w:lang w:val="en-US"/>
              </w:rPr>
              <w:t>Proportions of households with access to safe water supply</w:t>
            </w:r>
          </w:p>
        </w:tc>
        <w:tc>
          <w:tcPr>
            <w:tcW w:w="1343" w:type="dxa"/>
            <w:tcBorders>
              <w:bottom w:val="single" w:sz="4" w:space="0" w:color="auto"/>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73</w:t>
            </w:r>
          </w:p>
        </w:tc>
        <w:tc>
          <w:tcPr>
            <w:tcW w:w="1019" w:type="dxa"/>
            <w:tcBorders>
              <w:bottom w:val="single" w:sz="4" w:space="0" w:color="auto"/>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w:t>
            </w:r>
          </w:p>
        </w:tc>
        <w:tc>
          <w:tcPr>
            <w:tcW w:w="1019" w:type="dxa"/>
            <w:tcBorders>
              <w:bottom w:val="single" w:sz="4" w:space="0" w:color="auto"/>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79.</w:t>
            </w:r>
            <w:r w:rsidR="00A63988" w:rsidRPr="00EA190F">
              <w:rPr>
                <w:color w:val="000000"/>
                <w:lang w:val="en-US"/>
              </w:rPr>
              <w:t>1</w:t>
            </w:r>
          </w:p>
        </w:tc>
        <w:tc>
          <w:tcPr>
            <w:tcW w:w="1019" w:type="dxa"/>
            <w:tcBorders>
              <w:bottom w:val="single" w:sz="4" w:space="0" w:color="auto"/>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w:t>
            </w:r>
          </w:p>
        </w:tc>
        <w:tc>
          <w:tcPr>
            <w:tcW w:w="1019" w:type="dxa"/>
            <w:tcBorders>
              <w:bottom w:val="single" w:sz="4" w:space="0" w:color="auto"/>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80.2</w:t>
            </w:r>
            <w:r w:rsidR="00A63988" w:rsidRPr="00EA190F">
              <w:rPr>
                <w:color w:val="000000"/>
                <w:lang w:val="en-US"/>
              </w:rPr>
              <w:t xml:space="preserve"> </w:t>
            </w:r>
            <w:r w:rsidR="00A63988" w:rsidRPr="00EA190F">
              <w:rPr>
                <w:rStyle w:val="Notelabel"/>
                <w:color w:val="000000"/>
              </w:rPr>
              <w:t>(2004)</w:t>
            </w:r>
          </w:p>
        </w:tc>
        <w:tc>
          <w:tcPr>
            <w:tcW w:w="1020" w:type="dxa"/>
            <w:tcBorders>
              <w:bottom w:val="single" w:sz="4" w:space="0" w:color="auto"/>
            </w:tcBorders>
            <w:noWrap/>
            <w:vAlign w:val="bottom"/>
          </w:tcPr>
          <w:p w:rsidR="00C33CBA" w:rsidRPr="00EA190F" w:rsidRDefault="00C33CBA" w:rsidP="0077449B">
            <w:pPr>
              <w:pStyle w:val="Tablebody"/>
              <w:spacing w:before="20" w:after="20" w:line="190" w:lineRule="atLeast"/>
              <w:rPr>
                <w:color w:val="000000"/>
                <w:lang w:val="en-US"/>
              </w:rPr>
            </w:pPr>
            <w:r w:rsidRPr="00EA190F">
              <w:rPr>
                <w:color w:val="000000"/>
                <w:lang w:val="en-US"/>
              </w:rPr>
              <w:t>86.8</w:t>
            </w:r>
          </w:p>
        </w:tc>
        <w:tc>
          <w:tcPr>
            <w:tcW w:w="1534" w:type="dxa"/>
            <w:tcBorders>
              <w:bottom w:val="single" w:sz="4" w:space="0" w:color="auto"/>
            </w:tcBorders>
            <w:vAlign w:val="bottom"/>
          </w:tcPr>
          <w:p w:rsidR="00C33CBA" w:rsidRPr="00EA190F" w:rsidRDefault="00C33CBA" w:rsidP="004F1B87">
            <w:pPr>
              <w:pStyle w:val="Tablebody"/>
              <w:spacing w:before="20" w:after="20" w:line="190" w:lineRule="atLeast"/>
              <w:jc w:val="center"/>
              <w:rPr>
                <w:b/>
                <w:bCs/>
                <w:color w:val="000000"/>
                <w:lang w:val="en-US"/>
              </w:rPr>
            </w:pPr>
            <w:r w:rsidRPr="00EA190F">
              <w:rPr>
                <w:b/>
                <w:bCs/>
                <w:color w:val="000000"/>
                <w:lang w:val="en-US"/>
              </w:rPr>
              <w:t>High</w:t>
            </w:r>
          </w:p>
        </w:tc>
      </w:tr>
    </w:tbl>
    <w:p w:rsidR="00A63988" w:rsidRPr="00EA190F" w:rsidRDefault="001B49F5" w:rsidP="002E0559">
      <w:pPr>
        <w:pStyle w:val="Note"/>
        <w:keepNext w:val="0"/>
        <w:rPr>
          <w:color w:val="000000"/>
          <w:lang w:val="en-US"/>
        </w:rPr>
      </w:pPr>
      <w:proofErr w:type="gramStart"/>
      <w:r w:rsidRPr="00EA190F">
        <w:rPr>
          <w:rStyle w:val="Notelabel"/>
          <w:color w:val="000000"/>
        </w:rPr>
        <w:t>a</w:t>
      </w:r>
      <w:proofErr w:type="gramEnd"/>
      <w:r w:rsidRPr="00EA190F">
        <w:rPr>
          <w:color w:val="000000"/>
          <w:lang w:val="en-US"/>
        </w:rPr>
        <w:t xml:space="preserve"> In the </w:t>
      </w:r>
      <w:smartTag w:uri="urn:schemas-microsoft-com:office:smarttags" w:element="country-region">
        <w:smartTag w:uri="urn:schemas-microsoft-com:office:smarttags" w:element="place">
          <w:r w:rsidRPr="00EA190F">
            <w:rPr>
              <w:color w:val="000000"/>
              <w:lang w:val="en-US"/>
            </w:rPr>
            <w:t>Philippines</w:t>
          </w:r>
        </w:smartTag>
      </w:smartTag>
      <w:r w:rsidRPr="00EA190F">
        <w:rPr>
          <w:color w:val="000000"/>
          <w:lang w:val="en-US"/>
        </w:rPr>
        <w:t xml:space="preserve"> extreme poverty is estimated using the proportion of the population living below the subsistence or food threshold. The subsistence level or threshold is measured as the minimum income needed by a person to satisfy his/her nutritional requirements (i</w:t>
      </w:r>
      <w:r w:rsidR="00387159" w:rsidRPr="00EA190F">
        <w:rPr>
          <w:color w:val="000000"/>
          <w:lang w:val="en-US"/>
        </w:rPr>
        <w:t>.</w:t>
      </w:r>
      <w:r w:rsidRPr="00EA190F">
        <w:rPr>
          <w:color w:val="000000"/>
          <w:lang w:val="en-US"/>
        </w:rPr>
        <w:t>e</w:t>
      </w:r>
      <w:r w:rsidR="00387159" w:rsidRPr="00EA190F">
        <w:rPr>
          <w:color w:val="000000"/>
          <w:lang w:val="en-US"/>
        </w:rPr>
        <w:t>.</w:t>
      </w:r>
      <w:r w:rsidRPr="00EA190F">
        <w:rPr>
          <w:color w:val="000000"/>
          <w:lang w:val="en-US"/>
        </w:rPr>
        <w:t xml:space="preserve"> 2000 kilocalories </w:t>
      </w:r>
      <w:r w:rsidR="0077449B" w:rsidRPr="00EA190F">
        <w:rPr>
          <w:color w:val="000000"/>
          <w:lang w:val="en-US"/>
        </w:rPr>
        <w:t xml:space="preserve">a </w:t>
      </w:r>
      <w:r w:rsidRPr="00EA190F">
        <w:rPr>
          <w:color w:val="000000"/>
          <w:lang w:val="en-US"/>
        </w:rPr>
        <w:t xml:space="preserve">day). </w:t>
      </w:r>
      <w:proofErr w:type="gramStart"/>
      <w:r w:rsidRPr="00EA190F">
        <w:rPr>
          <w:rStyle w:val="Notelabel"/>
          <w:color w:val="000000"/>
        </w:rPr>
        <w:t>b</w:t>
      </w:r>
      <w:proofErr w:type="gramEnd"/>
      <w:r w:rsidRPr="00EA190F">
        <w:rPr>
          <w:color w:val="000000"/>
          <w:lang w:val="en-US"/>
        </w:rPr>
        <w:t xml:space="preserve"> Percent</w:t>
      </w:r>
      <w:r w:rsidR="0077449B" w:rsidRPr="00EA190F">
        <w:rPr>
          <w:color w:val="000000"/>
          <w:lang w:val="en-US"/>
        </w:rPr>
        <w:t>age</w:t>
      </w:r>
      <w:r w:rsidRPr="00EA190F">
        <w:rPr>
          <w:color w:val="000000"/>
          <w:lang w:val="en-US"/>
        </w:rPr>
        <w:t xml:space="preserve"> of student</w:t>
      </w:r>
      <w:r w:rsidR="0077449B" w:rsidRPr="00EA190F">
        <w:rPr>
          <w:color w:val="000000"/>
          <w:lang w:val="en-US"/>
        </w:rPr>
        <w:t>s</w:t>
      </w:r>
      <w:r w:rsidRPr="00EA190F">
        <w:rPr>
          <w:color w:val="000000"/>
          <w:lang w:val="en-US"/>
        </w:rPr>
        <w:t xml:space="preserve"> starting grade 1 who reached grade 6. </w:t>
      </w:r>
      <w:proofErr w:type="gramStart"/>
      <w:r w:rsidRPr="00EA190F">
        <w:rPr>
          <w:rStyle w:val="Notelabel"/>
          <w:color w:val="000000"/>
        </w:rPr>
        <w:t>c</w:t>
      </w:r>
      <w:proofErr w:type="gramEnd"/>
      <w:r w:rsidRPr="00EA190F">
        <w:rPr>
          <w:color w:val="000000"/>
          <w:lang w:val="en-US"/>
        </w:rPr>
        <w:t xml:space="preserve"> </w:t>
      </w:r>
      <w:r w:rsidR="00E34EE5" w:rsidRPr="00EA190F">
        <w:rPr>
          <w:color w:val="000000"/>
          <w:lang w:val="en-US"/>
        </w:rPr>
        <w:t>B</w:t>
      </w:r>
      <w:r w:rsidR="00A63988" w:rsidRPr="00EA190F">
        <w:rPr>
          <w:color w:val="000000"/>
          <w:lang w:val="en-US"/>
        </w:rPr>
        <w:t>ased on the Education for All target</w:t>
      </w:r>
      <w:r w:rsidRPr="00EA190F">
        <w:rPr>
          <w:color w:val="000000"/>
          <w:lang w:val="en-US"/>
        </w:rPr>
        <w:t xml:space="preserve">. </w:t>
      </w:r>
      <w:proofErr w:type="gramStart"/>
      <w:r w:rsidRPr="00EA190F">
        <w:rPr>
          <w:rStyle w:val="Notelabel"/>
          <w:color w:val="000000"/>
        </w:rPr>
        <w:t>d</w:t>
      </w:r>
      <w:proofErr w:type="gramEnd"/>
      <w:r w:rsidRPr="00EA190F">
        <w:rPr>
          <w:color w:val="000000"/>
          <w:lang w:val="en-US"/>
        </w:rPr>
        <w:t xml:space="preserve"> </w:t>
      </w:r>
      <w:r w:rsidR="00A63988" w:rsidRPr="00EA190F">
        <w:rPr>
          <w:color w:val="000000"/>
          <w:lang w:val="en-US"/>
        </w:rPr>
        <w:t>Based on the Medium Term Philippines Development Plan</w:t>
      </w:r>
      <w:r w:rsidR="00E34EE5" w:rsidRPr="00EA190F">
        <w:rPr>
          <w:color w:val="000000"/>
          <w:lang w:val="en-US"/>
        </w:rPr>
        <w:t xml:space="preserve"> </w:t>
      </w:r>
      <w:r w:rsidR="00A63988" w:rsidRPr="00EA190F">
        <w:rPr>
          <w:color w:val="000000"/>
          <w:lang w:val="en-US"/>
        </w:rPr>
        <w:t>target</w:t>
      </w:r>
      <w:r w:rsidR="002E0559" w:rsidRPr="00EA190F">
        <w:rPr>
          <w:color w:val="000000"/>
          <w:lang w:val="en-US"/>
        </w:rPr>
        <w:t>.</w:t>
      </w:r>
    </w:p>
    <w:p w:rsidR="001B49F5" w:rsidRPr="00EA190F" w:rsidRDefault="00C33CBA" w:rsidP="002E0559">
      <w:pPr>
        <w:pStyle w:val="Source"/>
        <w:rPr>
          <w:color w:val="000000"/>
          <w:lang w:val="en-US"/>
        </w:rPr>
      </w:pPr>
      <w:r w:rsidRPr="00EA190F">
        <w:rPr>
          <w:b/>
          <w:color w:val="000000"/>
        </w:rPr>
        <w:t>Source</w:t>
      </w:r>
      <w:r w:rsidR="001B49F5" w:rsidRPr="00EA190F">
        <w:rPr>
          <w:b/>
          <w:color w:val="000000"/>
        </w:rPr>
        <w:t>s</w:t>
      </w:r>
      <w:r w:rsidRPr="00EA190F">
        <w:rPr>
          <w:b/>
          <w:color w:val="000000"/>
        </w:rPr>
        <w:t>:</w:t>
      </w:r>
      <w:r w:rsidRPr="00EA190F">
        <w:rPr>
          <w:color w:val="000000"/>
        </w:rPr>
        <w:t xml:space="preserve"> </w:t>
      </w:r>
      <w:r w:rsidR="001B49F5" w:rsidRPr="00EA190F">
        <w:rPr>
          <w:color w:val="000000"/>
          <w:lang w:val="en-US"/>
        </w:rPr>
        <w:t xml:space="preserve">World Bank World Development Indicators; Second </w:t>
      </w:r>
      <w:smartTag w:uri="urn:schemas-microsoft-com:office:smarttags" w:element="country-region">
        <w:r w:rsidR="001B49F5" w:rsidRPr="00EA190F">
          <w:rPr>
            <w:color w:val="000000"/>
            <w:lang w:val="en-US"/>
          </w:rPr>
          <w:t>Philippines</w:t>
        </w:r>
      </w:smartTag>
      <w:r w:rsidR="001B49F5" w:rsidRPr="00EA190F">
        <w:rPr>
          <w:color w:val="000000"/>
          <w:lang w:val="en-US"/>
        </w:rPr>
        <w:t xml:space="preserve"> Progress Report on the Millennium Development Goals 2005; </w:t>
      </w:r>
      <w:smartTag w:uri="urn:schemas-microsoft-com:office:smarttags" w:element="country-region">
        <w:r w:rsidR="001B49F5" w:rsidRPr="00EA190F">
          <w:rPr>
            <w:color w:val="000000"/>
            <w:lang w:val="en-US"/>
          </w:rPr>
          <w:t>Philippines</w:t>
        </w:r>
      </w:smartTag>
      <w:r w:rsidR="001B49F5" w:rsidRPr="00EA190F">
        <w:rPr>
          <w:color w:val="000000"/>
          <w:lang w:val="en-US"/>
        </w:rPr>
        <w:t xml:space="preserve"> Midterm Progress Report on the Millennium Development Goals 2007; Philippine National Statis</w:t>
      </w:r>
      <w:r w:rsidR="0077449B" w:rsidRPr="00EA190F">
        <w:rPr>
          <w:color w:val="000000"/>
          <w:lang w:val="en-US"/>
        </w:rPr>
        <w:t>tics Coordination </w:t>
      </w:r>
      <w:r w:rsidR="001B49F5" w:rsidRPr="00EA190F">
        <w:rPr>
          <w:color w:val="000000"/>
          <w:lang w:val="en-US"/>
        </w:rPr>
        <w:t>Board</w:t>
      </w:r>
      <w:r w:rsidR="00A63988" w:rsidRPr="00EA190F">
        <w:rPr>
          <w:color w:val="000000"/>
          <w:lang w:val="en-US"/>
        </w:rPr>
        <w:t xml:space="preserve">; </w:t>
      </w:r>
      <w:smartTag w:uri="urn:schemas-microsoft-com:office:smarttags" w:element="country-region">
        <w:smartTag w:uri="urn:schemas-microsoft-com:office:smarttags" w:element="place">
          <w:r w:rsidR="00A63988" w:rsidRPr="00EA190F">
            <w:rPr>
              <w:color w:val="000000"/>
              <w:lang w:val="en-US"/>
            </w:rPr>
            <w:t>Philippines</w:t>
          </w:r>
        </w:smartTag>
      </w:smartTag>
      <w:r w:rsidR="00A63988" w:rsidRPr="00EA190F">
        <w:rPr>
          <w:color w:val="000000"/>
          <w:lang w:val="en-US"/>
        </w:rPr>
        <w:t xml:space="preserve"> National Economic and Development Authority.</w:t>
      </w:r>
    </w:p>
    <w:p w:rsidR="00B97B2A" w:rsidRPr="00EA190F" w:rsidRDefault="00B97B2A">
      <w:pPr>
        <w:pStyle w:val="BodyText"/>
        <w:rPr>
          <w:color w:val="000000"/>
        </w:rPr>
        <w:sectPr w:rsidR="00B97B2A" w:rsidRPr="00EA190F">
          <w:headerReference w:type="even" r:id="rId42"/>
          <w:headerReference w:type="default" r:id="rId43"/>
          <w:footerReference w:type="even" r:id="rId44"/>
          <w:footerReference w:type="default" r:id="rId45"/>
          <w:pgSz w:w="16840" w:h="11907" w:orient="landscape" w:code="9"/>
          <w:pgMar w:top="1985" w:right="2268" w:bottom="1985" w:left="1247" w:header="567" w:footer="567" w:gutter="0"/>
          <w:cols w:space="720"/>
        </w:sectPr>
      </w:pPr>
    </w:p>
    <w:p w:rsidR="007122E9" w:rsidRPr="00EA190F" w:rsidRDefault="007122E9" w:rsidP="00C33CBA">
      <w:pPr>
        <w:pStyle w:val="Heading2nonumber"/>
        <w:spacing w:before="0"/>
        <w:rPr>
          <w:color w:val="000000"/>
        </w:rPr>
      </w:pPr>
      <w:bookmarkStart w:id="53" w:name="_Toc360805268"/>
      <w:r w:rsidRPr="00EA190F">
        <w:rPr>
          <w:color w:val="000000"/>
        </w:rPr>
        <w:lastRenderedPageBreak/>
        <w:t>Monitoring and evaluation</w:t>
      </w:r>
      <w:bookmarkEnd w:id="53"/>
    </w:p>
    <w:p w:rsidR="007122E9" w:rsidRPr="00EA190F" w:rsidRDefault="007122E9" w:rsidP="007122E9">
      <w:pPr>
        <w:pStyle w:val="BodyText"/>
        <w:rPr>
          <w:color w:val="000000"/>
        </w:rPr>
      </w:pPr>
      <w:r w:rsidRPr="00EA190F">
        <w:rPr>
          <w:color w:val="000000"/>
        </w:rPr>
        <w:t xml:space="preserve">Individual initiatives improved </w:t>
      </w:r>
      <w:r w:rsidR="00392969" w:rsidRPr="00EA190F">
        <w:rPr>
          <w:color w:val="000000"/>
        </w:rPr>
        <w:t>M&amp;E</w:t>
      </w:r>
      <w:r w:rsidRPr="00EA190F">
        <w:rPr>
          <w:color w:val="000000"/>
        </w:rPr>
        <w:t xml:space="preserve"> systems </w:t>
      </w:r>
      <w:r w:rsidR="00392969" w:rsidRPr="00EA190F">
        <w:rPr>
          <w:color w:val="000000"/>
        </w:rPr>
        <w:t xml:space="preserve">at the activity level </w:t>
      </w:r>
      <w:r w:rsidRPr="00EA190F">
        <w:rPr>
          <w:color w:val="000000"/>
        </w:rPr>
        <w:t>in 2007</w:t>
      </w:r>
      <w:r w:rsidR="00392969" w:rsidRPr="00EA190F">
        <w:rPr>
          <w:color w:val="000000"/>
        </w:rPr>
        <w:t>–</w:t>
      </w:r>
      <w:r w:rsidRPr="00EA190F">
        <w:rPr>
          <w:color w:val="000000"/>
        </w:rPr>
        <w:t xml:space="preserve">08. QAI ratings for 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program show that only </w:t>
      </w:r>
      <w:r w:rsidR="00392969" w:rsidRPr="00EA190F">
        <w:rPr>
          <w:color w:val="000000"/>
        </w:rPr>
        <w:t xml:space="preserve">five </w:t>
      </w:r>
      <w:r w:rsidRPr="00EA190F">
        <w:rPr>
          <w:color w:val="000000"/>
        </w:rPr>
        <w:t>of the 17 monitored programs ha</w:t>
      </w:r>
      <w:r w:rsidR="00387159" w:rsidRPr="00EA190F">
        <w:rPr>
          <w:color w:val="000000"/>
        </w:rPr>
        <w:t>d</w:t>
      </w:r>
      <w:r w:rsidRPr="00EA190F">
        <w:rPr>
          <w:color w:val="000000"/>
        </w:rPr>
        <w:t xml:space="preserve"> adequate M&amp;E systems. However, </w:t>
      </w:r>
      <w:r w:rsidR="00392969" w:rsidRPr="00EA190F">
        <w:rPr>
          <w:color w:val="000000"/>
        </w:rPr>
        <w:t xml:space="preserve">seven </w:t>
      </w:r>
      <w:r w:rsidRPr="00EA190F">
        <w:rPr>
          <w:color w:val="000000"/>
        </w:rPr>
        <w:t xml:space="preserve">initiatives have improved their ratings over the </w:t>
      </w:r>
      <w:r w:rsidR="00392969" w:rsidRPr="00EA190F">
        <w:rPr>
          <w:color w:val="000000"/>
        </w:rPr>
        <w:t>p</w:t>
      </w:r>
      <w:r w:rsidRPr="00EA190F">
        <w:rPr>
          <w:color w:val="000000"/>
        </w:rPr>
        <w:t xml:space="preserve">ast 12 months with support from 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w:t>
      </w:r>
      <w:r w:rsidR="00392969" w:rsidRPr="00EA190F">
        <w:rPr>
          <w:color w:val="000000"/>
        </w:rPr>
        <w:t xml:space="preserve">performance and quality </w:t>
      </w:r>
      <w:r w:rsidRPr="00EA190F">
        <w:rPr>
          <w:color w:val="000000"/>
        </w:rPr>
        <w:t>team.</w:t>
      </w:r>
      <w:r w:rsidR="008F6566" w:rsidRPr="00EA190F">
        <w:rPr>
          <w:color w:val="000000"/>
        </w:rPr>
        <w:t xml:space="preserve"> </w:t>
      </w:r>
      <w:r w:rsidRPr="00EA190F">
        <w:rPr>
          <w:color w:val="000000"/>
        </w:rPr>
        <w:t xml:space="preserve">In addition to the improvements in M&amp;E ratings, the program has also spent time improving the quality of the QAI reports themselves. </w:t>
      </w:r>
    </w:p>
    <w:p w:rsidR="007122E9" w:rsidRPr="00EA190F" w:rsidRDefault="00392969" w:rsidP="007122E9">
      <w:pPr>
        <w:pStyle w:val="BodyText"/>
        <w:rPr>
          <w:color w:val="000000"/>
        </w:rPr>
      </w:pPr>
      <w:r w:rsidRPr="00EA190F">
        <w:rPr>
          <w:color w:val="000000"/>
        </w:rPr>
        <w:t>T</w:t>
      </w:r>
      <w:r w:rsidR="007122E9" w:rsidRPr="00EA190F">
        <w:rPr>
          <w:color w:val="000000"/>
        </w:rPr>
        <w:t>he performance team identified the key weaknesses in M&amp;E</w:t>
      </w:r>
      <w:r w:rsidRPr="00EA190F">
        <w:rPr>
          <w:color w:val="000000"/>
        </w:rPr>
        <w:t xml:space="preserve"> as</w:t>
      </w:r>
      <w:r w:rsidR="007122E9" w:rsidRPr="00EA190F">
        <w:rPr>
          <w:color w:val="000000"/>
        </w:rPr>
        <w:t xml:space="preserve"> being the overly output</w:t>
      </w:r>
      <w:r w:rsidR="00B749A0" w:rsidRPr="00EA190F">
        <w:rPr>
          <w:color w:val="000000"/>
        </w:rPr>
        <w:t>-</w:t>
      </w:r>
      <w:r w:rsidR="007122E9" w:rsidRPr="00EA190F">
        <w:rPr>
          <w:color w:val="000000"/>
        </w:rPr>
        <w:t>focused reporting, the lack of impact assessments, and the quality of analysis of data provided in regular reports. To rectify this, a heavy round of reviews has taken place and the M&amp;E frameworks have been adjusted to more effectively illustrate program impact. To improve the level of analysis, further work will be required in the coming 12 months with staff and the performance team.</w:t>
      </w:r>
    </w:p>
    <w:p w:rsidR="007122E9" w:rsidRPr="00EA190F" w:rsidRDefault="007122E9" w:rsidP="007122E9">
      <w:pPr>
        <w:pStyle w:val="BodyText"/>
        <w:rPr>
          <w:color w:val="000000"/>
          <w:spacing w:val="-2"/>
        </w:rPr>
      </w:pPr>
      <w:r w:rsidRPr="00EA190F">
        <w:rPr>
          <w:color w:val="000000"/>
          <w:spacing w:val="-2"/>
        </w:rPr>
        <w:t xml:space="preserve">There are pockets of good M&amp;E </w:t>
      </w:r>
      <w:r w:rsidR="00B749A0" w:rsidRPr="00EA190F">
        <w:rPr>
          <w:color w:val="000000"/>
          <w:spacing w:val="-2"/>
        </w:rPr>
        <w:t xml:space="preserve">practice </w:t>
      </w:r>
      <w:r w:rsidRPr="00EA190F">
        <w:rPr>
          <w:color w:val="000000"/>
          <w:spacing w:val="-2"/>
        </w:rPr>
        <w:t xml:space="preserve">in the program and these should inform </w:t>
      </w:r>
      <w:proofErr w:type="spellStart"/>
      <w:r w:rsidR="00387159" w:rsidRPr="00EA190F">
        <w:rPr>
          <w:color w:val="000000"/>
          <w:spacing w:val="-2"/>
        </w:rPr>
        <w:t>AusAID’s</w:t>
      </w:r>
      <w:proofErr w:type="spellEnd"/>
      <w:r w:rsidR="00387159" w:rsidRPr="00EA190F">
        <w:rPr>
          <w:color w:val="000000"/>
          <w:spacing w:val="-2"/>
        </w:rPr>
        <w:t xml:space="preserve"> </w:t>
      </w:r>
      <w:r w:rsidRPr="00EA190F">
        <w:rPr>
          <w:color w:val="000000"/>
          <w:spacing w:val="-2"/>
        </w:rPr>
        <w:t xml:space="preserve">work elsewhere. The STRIVE M&amp;E framework is a useful example where the contractor has worked with </w:t>
      </w:r>
      <w:r w:rsidR="00B749A0" w:rsidRPr="00EA190F">
        <w:rPr>
          <w:color w:val="000000"/>
          <w:spacing w:val="-2"/>
        </w:rPr>
        <w:t xml:space="preserve">systems of </w:t>
      </w:r>
      <w:r w:rsidRPr="00EA190F">
        <w:rPr>
          <w:color w:val="000000"/>
          <w:spacing w:val="-2"/>
        </w:rPr>
        <w:t xml:space="preserve">AusAID, the </w:t>
      </w:r>
      <w:r w:rsidR="00B749A0" w:rsidRPr="00EA190F">
        <w:rPr>
          <w:color w:val="000000"/>
          <w:spacing w:val="-2"/>
        </w:rPr>
        <w:t xml:space="preserve">Government </w:t>
      </w:r>
      <w:r w:rsidR="00AE79C6" w:rsidRPr="00EA190F">
        <w:rPr>
          <w:color w:val="000000"/>
          <w:spacing w:val="-2"/>
        </w:rPr>
        <w:t xml:space="preserve">of the Philippines </w:t>
      </w:r>
      <w:r w:rsidRPr="00EA190F">
        <w:rPr>
          <w:color w:val="000000"/>
          <w:spacing w:val="-2"/>
        </w:rPr>
        <w:t xml:space="preserve">and </w:t>
      </w:r>
      <w:r w:rsidR="00B749A0" w:rsidRPr="00EA190F">
        <w:rPr>
          <w:color w:val="000000"/>
          <w:spacing w:val="-2"/>
        </w:rPr>
        <w:t xml:space="preserve">the Department of Education </w:t>
      </w:r>
      <w:r w:rsidRPr="00EA190F">
        <w:rPr>
          <w:color w:val="000000"/>
          <w:spacing w:val="-2"/>
        </w:rPr>
        <w:t>to develop a functional reporting approach that builds capacity in the department, provides the</w:t>
      </w:r>
      <w:r w:rsidR="00B749A0" w:rsidRPr="00EA190F">
        <w:rPr>
          <w:color w:val="000000"/>
          <w:spacing w:val="-2"/>
        </w:rPr>
        <w:t xml:space="preserve"> information on</w:t>
      </w:r>
      <w:r w:rsidRPr="00EA190F">
        <w:rPr>
          <w:color w:val="000000"/>
          <w:spacing w:val="-2"/>
        </w:rPr>
        <w:t xml:space="preserve"> impact</w:t>
      </w:r>
      <w:r w:rsidR="00B749A0" w:rsidRPr="00EA190F">
        <w:rPr>
          <w:color w:val="000000"/>
          <w:spacing w:val="-2"/>
        </w:rPr>
        <w:t>s</w:t>
      </w:r>
      <w:r w:rsidRPr="00EA190F">
        <w:rPr>
          <w:color w:val="000000"/>
          <w:spacing w:val="-2"/>
        </w:rPr>
        <w:t xml:space="preserve"> AusAID requires and operates efficiently. The M&amp;E framework functions at different levels with respect to the different information requirements (</w:t>
      </w:r>
      <w:r w:rsidR="00B749A0" w:rsidRPr="00EA190F">
        <w:rPr>
          <w:color w:val="000000"/>
          <w:spacing w:val="-2"/>
        </w:rPr>
        <w:t xml:space="preserve">that is, </w:t>
      </w:r>
      <w:r w:rsidRPr="00EA190F">
        <w:rPr>
          <w:color w:val="000000"/>
          <w:spacing w:val="-2"/>
        </w:rPr>
        <w:t xml:space="preserve">within BESRA, within </w:t>
      </w:r>
      <w:proofErr w:type="spellStart"/>
      <w:r w:rsidRPr="00EA190F">
        <w:rPr>
          <w:color w:val="000000"/>
          <w:spacing w:val="-2"/>
        </w:rPr>
        <w:t>AusAID’s</w:t>
      </w:r>
      <w:proofErr w:type="spellEnd"/>
      <w:r w:rsidRPr="00EA190F">
        <w:rPr>
          <w:color w:val="000000"/>
          <w:spacing w:val="-2"/>
        </w:rPr>
        <w:t xml:space="preserve"> PAF and within its own contractual context).</w:t>
      </w:r>
      <w:r w:rsidR="008F6566" w:rsidRPr="00EA190F">
        <w:rPr>
          <w:color w:val="000000"/>
          <w:spacing w:val="-2"/>
        </w:rPr>
        <w:t xml:space="preserve"> </w:t>
      </w:r>
      <w:r w:rsidRPr="00EA190F">
        <w:rPr>
          <w:color w:val="000000"/>
          <w:spacing w:val="-2"/>
        </w:rPr>
        <w:t>It has a clear set of indicators, designates responsibilities and timing for the collection of monitoring information</w:t>
      </w:r>
      <w:r w:rsidR="00B749A0" w:rsidRPr="00EA190F">
        <w:rPr>
          <w:color w:val="000000"/>
          <w:spacing w:val="-2"/>
        </w:rPr>
        <w:t>,</w:t>
      </w:r>
      <w:r w:rsidRPr="00EA190F">
        <w:rPr>
          <w:color w:val="000000"/>
          <w:spacing w:val="-2"/>
        </w:rPr>
        <w:t xml:space="preserve"> includes process indicators to measure the effectiveness of reforms</w:t>
      </w:r>
      <w:r w:rsidR="00B749A0" w:rsidRPr="00EA190F">
        <w:rPr>
          <w:color w:val="000000"/>
          <w:spacing w:val="-2"/>
        </w:rPr>
        <w:t>,</w:t>
      </w:r>
      <w:r w:rsidRPr="00EA190F">
        <w:rPr>
          <w:color w:val="000000"/>
          <w:spacing w:val="-2"/>
        </w:rPr>
        <w:t xml:space="preserve"> and has built in sustainability objectives for each component.</w:t>
      </w:r>
    </w:p>
    <w:p w:rsidR="007122E9" w:rsidRPr="00EA190F" w:rsidRDefault="007122E9" w:rsidP="007122E9">
      <w:pPr>
        <w:pStyle w:val="BodyText"/>
        <w:rPr>
          <w:color w:val="000000"/>
        </w:rPr>
      </w:pPr>
      <w:r w:rsidRPr="00EA190F">
        <w:rPr>
          <w:color w:val="000000"/>
        </w:rPr>
        <w:t xml:space="preserve">In the education sector, because of the reorientation to integrated support to basic education, AusAID has needed to increasingly monitor how each of the initiatives contributes to what is being achieved and how it can continue </w:t>
      </w:r>
      <w:r w:rsidR="00AA368C" w:rsidRPr="00EA190F">
        <w:rPr>
          <w:color w:val="000000"/>
        </w:rPr>
        <w:t xml:space="preserve">to </w:t>
      </w:r>
      <w:r w:rsidRPr="00EA190F">
        <w:rPr>
          <w:color w:val="000000"/>
        </w:rPr>
        <w:t>improv</w:t>
      </w:r>
      <w:r w:rsidR="00AA368C" w:rsidRPr="00EA190F">
        <w:rPr>
          <w:color w:val="000000"/>
        </w:rPr>
        <w:t>e</w:t>
      </w:r>
      <w:r w:rsidRPr="00EA190F">
        <w:rPr>
          <w:color w:val="000000"/>
        </w:rPr>
        <w:t xml:space="preserve"> coherence. The process has instituted STRIVE and BEAM participation in BESRA reviews</w:t>
      </w:r>
      <w:r w:rsidR="00AA368C" w:rsidRPr="00EA190F">
        <w:rPr>
          <w:color w:val="000000"/>
        </w:rPr>
        <w:t>,</w:t>
      </w:r>
      <w:r w:rsidRPr="00EA190F">
        <w:rPr>
          <w:color w:val="000000"/>
        </w:rPr>
        <w:t xml:space="preserve"> with a view to taking regional reforms to the national level.</w:t>
      </w:r>
    </w:p>
    <w:p w:rsidR="007122E9" w:rsidRPr="00EA190F" w:rsidRDefault="007122E9" w:rsidP="007122E9">
      <w:pPr>
        <w:pStyle w:val="BodyText"/>
        <w:rPr>
          <w:color w:val="000000"/>
        </w:rPr>
      </w:pPr>
      <w:r w:rsidRPr="00EA190F">
        <w:rPr>
          <w:color w:val="000000"/>
        </w:rPr>
        <w:t xml:space="preserve">In other parts of the program, the M&amp;E frameworks </w:t>
      </w:r>
      <w:r w:rsidR="00387159" w:rsidRPr="00EA190F">
        <w:rPr>
          <w:color w:val="000000"/>
        </w:rPr>
        <w:t>were</w:t>
      </w:r>
      <w:r w:rsidRPr="00EA190F">
        <w:rPr>
          <w:color w:val="000000"/>
        </w:rPr>
        <w:t xml:space="preserve"> improved over the past 12 months in line with the new strategy. The </w:t>
      </w:r>
      <w:r w:rsidR="00AA368C" w:rsidRPr="00EA190F">
        <w:rPr>
          <w:color w:val="000000"/>
        </w:rPr>
        <w:t xml:space="preserve">performance and quality </w:t>
      </w:r>
      <w:r w:rsidRPr="00EA190F">
        <w:rPr>
          <w:color w:val="000000"/>
        </w:rPr>
        <w:t>team worked with partners on the PALS M&amp;E system, the PACAP framework</w:t>
      </w:r>
      <w:r w:rsidR="00AA368C" w:rsidRPr="00EA190F">
        <w:rPr>
          <w:color w:val="000000"/>
        </w:rPr>
        <w:t xml:space="preserve"> and</w:t>
      </w:r>
      <w:r w:rsidRPr="00EA190F">
        <w:rPr>
          <w:color w:val="000000"/>
        </w:rPr>
        <w:t xml:space="preserve"> designs for different parts of </w:t>
      </w:r>
      <w:r w:rsidR="00EC01C9" w:rsidRPr="00EA190F">
        <w:rPr>
          <w:color w:val="000000"/>
        </w:rPr>
        <w:t>the program Supporting Peace in Mindanao</w:t>
      </w:r>
      <w:r w:rsidR="00AA368C" w:rsidRPr="00EA190F">
        <w:rPr>
          <w:color w:val="000000"/>
        </w:rPr>
        <w:t>,</w:t>
      </w:r>
      <w:r w:rsidR="00EC01C9" w:rsidRPr="00EA190F">
        <w:rPr>
          <w:color w:val="000000"/>
        </w:rPr>
        <w:t xml:space="preserve"> </w:t>
      </w:r>
      <w:r w:rsidRPr="00EA190F">
        <w:rPr>
          <w:color w:val="000000"/>
        </w:rPr>
        <w:t>and played an integral role in preparing the new infrastructure facility for baseline reports to measure progress. This work is beginning to show results</w:t>
      </w:r>
      <w:r w:rsidR="00AA368C" w:rsidRPr="00EA190F">
        <w:rPr>
          <w:color w:val="000000"/>
        </w:rPr>
        <w:t>,</w:t>
      </w:r>
      <w:r w:rsidRPr="00EA190F">
        <w:rPr>
          <w:color w:val="000000"/>
        </w:rPr>
        <w:t xml:space="preserve"> with improvements in the quality of reports coming from contractors and partners.</w:t>
      </w:r>
    </w:p>
    <w:p w:rsidR="007122E9" w:rsidRPr="00EA190F" w:rsidRDefault="007122E9" w:rsidP="007122E9">
      <w:pPr>
        <w:pStyle w:val="BodyText"/>
        <w:rPr>
          <w:color w:val="000000"/>
        </w:rPr>
      </w:pPr>
      <w:r w:rsidRPr="00EA190F">
        <w:rPr>
          <w:color w:val="000000"/>
        </w:rPr>
        <w:t xml:space="preserve">Finally, in the peace and conflict area, work </w:t>
      </w:r>
      <w:r w:rsidR="00FC2B72" w:rsidRPr="00EA190F">
        <w:rPr>
          <w:color w:val="000000"/>
        </w:rPr>
        <w:t>is being</w:t>
      </w:r>
      <w:r w:rsidRPr="00EA190F">
        <w:rPr>
          <w:color w:val="000000"/>
        </w:rPr>
        <w:t xml:space="preserve"> done on formulating a shared multi-donor framework to measure peace outcomes. This work us</w:t>
      </w:r>
      <w:r w:rsidR="00387159" w:rsidRPr="00EA190F">
        <w:rPr>
          <w:color w:val="000000"/>
        </w:rPr>
        <w:t>es</w:t>
      </w:r>
      <w:r w:rsidRPr="00EA190F">
        <w:rPr>
          <w:color w:val="000000"/>
        </w:rPr>
        <w:t xml:space="preserve"> peace indicators prepared by the </w:t>
      </w:r>
      <w:r w:rsidR="00AA368C" w:rsidRPr="00EA190F">
        <w:rPr>
          <w:color w:val="000000"/>
        </w:rPr>
        <w:t xml:space="preserve">Development Assistance Committee </w:t>
      </w:r>
      <w:r w:rsidR="00E75817" w:rsidRPr="00EA190F">
        <w:rPr>
          <w:color w:val="000000"/>
        </w:rPr>
        <w:t xml:space="preserve">of the OECD </w:t>
      </w:r>
      <w:r w:rsidRPr="00EA190F">
        <w:rPr>
          <w:color w:val="000000"/>
        </w:rPr>
        <w:t xml:space="preserve">and those of the </w:t>
      </w:r>
      <w:r w:rsidR="00AA368C" w:rsidRPr="00EA190F">
        <w:rPr>
          <w:color w:val="000000"/>
        </w:rPr>
        <w:t xml:space="preserve">Government </w:t>
      </w:r>
      <w:r w:rsidR="00AE79C6" w:rsidRPr="00EA190F">
        <w:rPr>
          <w:color w:val="000000"/>
        </w:rPr>
        <w:lastRenderedPageBreak/>
        <w:t xml:space="preserve">of the </w:t>
      </w:r>
      <w:smartTag w:uri="urn:schemas-microsoft-com:office:smarttags" w:element="country-region">
        <w:smartTag w:uri="urn:schemas-microsoft-com:office:smarttags" w:element="place">
          <w:r w:rsidR="00AE79C6" w:rsidRPr="00EA190F">
            <w:rPr>
              <w:color w:val="000000"/>
            </w:rPr>
            <w:t>Philippines</w:t>
          </w:r>
        </w:smartTag>
      </w:smartTag>
      <w:r w:rsidR="00AE79C6" w:rsidRPr="00EA190F">
        <w:rPr>
          <w:color w:val="000000"/>
        </w:rPr>
        <w:t xml:space="preserve"> </w:t>
      </w:r>
      <w:r w:rsidRPr="00EA190F">
        <w:rPr>
          <w:color w:val="000000"/>
        </w:rPr>
        <w:t>to measure donors’ performance in supporting the peace process. The framework is currently in draft form and will be implemented in the coming 12 months.</w:t>
      </w:r>
    </w:p>
    <w:p w:rsidR="007122E9" w:rsidRPr="00EA190F" w:rsidRDefault="007122E9" w:rsidP="007A23A3">
      <w:pPr>
        <w:pStyle w:val="Heading2nonumber"/>
        <w:rPr>
          <w:color w:val="000000"/>
        </w:rPr>
      </w:pPr>
      <w:bookmarkStart w:id="54" w:name="_Toc360805269"/>
      <w:r w:rsidRPr="00EA190F">
        <w:rPr>
          <w:color w:val="000000"/>
        </w:rPr>
        <w:t>Sustainability</w:t>
      </w:r>
      <w:bookmarkEnd w:id="54"/>
    </w:p>
    <w:p w:rsidR="007122E9" w:rsidRPr="00EA190F" w:rsidRDefault="007122E9" w:rsidP="007122E9">
      <w:pPr>
        <w:pStyle w:val="BodyText"/>
        <w:rPr>
          <w:color w:val="000000"/>
        </w:rPr>
      </w:pPr>
      <w:r w:rsidRPr="00EA190F">
        <w:rPr>
          <w:color w:val="000000"/>
        </w:rPr>
        <w:t xml:space="preserve">Sustainability remains a concern for 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program and quality ratings reflect this position. The political cycle in 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and the inherent risk in reform</w:t>
      </w:r>
      <w:r w:rsidR="007A23A3" w:rsidRPr="00EA190F">
        <w:rPr>
          <w:color w:val="000000"/>
        </w:rPr>
        <w:t>-</w:t>
      </w:r>
      <w:r w:rsidRPr="00EA190F">
        <w:rPr>
          <w:color w:val="000000"/>
        </w:rPr>
        <w:t>based programs make sustainability difficult. At the outcome level, it is too early to assess whether initial achievements can be sustained without Australian assistance. The nature of the reform agenda (</w:t>
      </w:r>
      <w:r w:rsidR="007A23A3" w:rsidRPr="00EA190F">
        <w:rPr>
          <w:color w:val="000000"/>
        </w:rPr>
        <w:t>for example,</w:t>
      </w:r>
      <w:r w:rsidRPr="00EA190F">
        <w:rPr>
          <w:color w:val="000000"/>
        </w:rPr>
        <w:t xml:space="preserve"> public financial management</w:t>
      </w:r>
      <w:r w:rsidR="007A23A3" w:rsidRPr="00EA190F">
        <w:rPr>
          <w:color w:val="000000"/>
        </w:rPr>
        <w:t xml:space="preserve"> and</w:t>
      </w:r>
      <w:r w:rsidRPr="00EA190F">
        <w:rPr>
          <w:color w:val="000000"/>
        </w:rPr>
        <w:t xml:space="preserve"> infrastructure policy) involves a prolonged process. Also, components of the program are in their initial stages of development/implementation</w:t>
      </w:r>
      <w:r w:rsidR="007A23A3" w:rsidRPr="00EA190F">
        <w:rPr>
          <w:color w:val="000000"/>
        </w:rPr>
        <w:t>,</w:t>
      </w:r>
      <w:r w:rsidRPr="00EA190F">
        <w:rPr>
          <w:color w:val="000000"/>
        </w:rPr>
        <w:t xml:space="preserve"> given </w:t>
      </w:r>
      <w:r w:rsidR="00387159" w:rsidRPr="00EA190F">
        <w:rPr>
          <w:color w:val="000000"/>
        </w:rPr>
        <w:t>only</w:t>
      </w:r>
      <w:r w:rsidRPr="00EA190F">
        <w:rPr>
          <w:color w:val="000000"/>
        </w:rPr>
        <w:t xml:space="preserve"> one year </w:t>
      </w:r>
      <w:r w:rsidR="00387159" w:rsidRPr="00EA190F">
        <w:rPr>
          <w:color w:val="000000"/>
        </w:rPr>
        <w:t xml:space="preserve">of </w:t>
      </w:r>
      <w:r w:rsidRPr="00EA190F">
        <w:rPr>
          <w:color w:val="000000"/>
        </w:rPr>
        <w:t>the new country strategy</w:t>
      </w:r>
      <w:r w:rsidR="00387159" w:rsidRPr="00EA190F">
        <w:rPr>
          <w:color w:val="000000"/>
        </w:rPr>
        <w:t xml:space="preserve"> has passed</w:t>
      </w:r>
      <w:r w:rsidRPr="00EA190F">
        <w:rPr>
          <w:color w:val="000000"/>
        </w:rPr>
        <w:t>.</w:t>
      </w:r>
    </w:p>
    <w:p w:rsidR="007122E9" w:rsidRPr="00EA190F" w:rsidRDefault="007122E9" w:rsidP="007122E9">
      <w:pPr>
        <w:pStyle w:val="BodyText"/>
        <w:rPr>
          <w:color w:val="000000"/>
          <w:szCs w:val="20"/>
        </w:rPr>
      </w:pPr>
      <w:r w:rsidRPr="00EA190F">
        <w:rPr>
          <w:color w:val="000000"/>
        </w:rPr>
        <w:t xml:space="preserve">The education pillar’s focus on assistance to the Department </w:t>
      </w:r>
      <w:r w:rsidR="007A23A3" w:rsidRPr="00EA190F">
        <w:rPr>
          <w:color w:val="000000"/>
        </w:rPr>
        <w:t xml:space="preserve">of Education </w:t>
      </w:r>
      <w:r w:rsidRPr="00EA190F">
        <w:rPr>
          <w:color w:val="000000"/>
        </w:rPr>
        <w:t>means sustainability depend</w:t>
      </w:r>
      <w:r w:rsidR="007A23A3" w:rsidRPr="00EA190F">
        <w:rPr>
          <w:color w:val="000000"/>
        </w:rPr>
        <w:t>s</w:t>
      </w:r>
      <w:r w:rsidRPr="00EA190F">
        <w:rPr>
          <w:color w:val="000000"/>
        </w:rPr>
        <w:t xml:space="preserve"> on the commitment of the </w:t>
      </w:r>
      <w:r w:rsidR="007A23A3" w:rsidRPr="00EA190F">
        <w:rPr>
          <w:color w:val="000000"/>
        </w:rPr>
        <w:t xml:space="preserve">Government </w:t>
      </w:r>
      <w:r w:rsidR="00AE79C6" w:rsidRPr="00EA190F">
        <w:rPr>
          <w:color w:val="000000"/>
        </w:rPr>
        <w:t xml:space="preserve">of the </w:t>
      </w:r>
      <w:smartTag w:uri="urn:schemas-microsoft-com:office:smarttags" w:element="country-region">
        <w:smartTag w:uri="urn:schemas-microsoft-com:office:smarttags" w:element="place">
          <w:r w:rsidR="00AE79C6" w:rsidRPr="00EA190F">
            <w:rPr>
              <w:color w:val="000000"/>
            </w:rPr>
            <w:t>Philippines</w:t>
          </w:r>
        </w:smartTag>
      </w:smartTag>
      <w:r w:rsidR="00AE79C6" w:rsidRPr="00EA190F">
        <w:rPr>
          <w:color w:val="000000"/>
        </w:rPr>
        <w:t xml:space="preserve"> </w:t>
      </w:r>
      <w:r w:rsidRPr="00EA190F">
        <w:rPr>
          <w:color w:val="000000"/>
        </w:rPr>
        <w:t xml:space="preserve">to follow through on reforms and build them into </w:t>
      </w:r>
      <w:r w:rsidR="00387159" w:rsidRPr="00EA190F">
        <w:rPr>
          <w:color w:val="000000"/>
        </w:rPr>
        <w:t xml:space="preserve">its </w:t>
      </w:r>
      <w:r w:rsidRPr="00EA190F">
        <w:rPr>
          <w:color w:val="000000"/>
        </w:rPr>
        <w:t xml:space="preserve">own work. While this can </w:t>
      </w:r>
      <w:r w:rsidR="007A23A3" w:rsidRPr="00EA190F">
        <w:rPr>
          <w:color w:val="000000"/>
        </w:rPr>
        <w:t xml:space="preserve">involve </w:t>
      </w:r>
      <w:r w:rsidRPr="00EA190F">
        <w:rPr>
          <w:color w:val="000000"/>
        </w:rPr>
        <w:t>high risk, this approach is beneficial to long</w:t>
      </w:r>
      <w:r w:rsidR="007A23A3" w:rsidRPr="00EA190F">
        <w:rPr>
          <w:color w:val="000000"/>
        </w:rPr>
        <w:t>-</w:t>
      </w:r>
      <w:r w:rsidRPr="00EA190F">
        <w:rPr>
          <w:color w:val="000000"/>
        </w:rPr>
        <w:t>term sustainability as it fosters support of government</w:t>
      </w:r>
      <w:r w:rsidR="007A23A3" w:rsidRPr="00EA190F">
        <w:rPr>
          <w:color w:val="000000"/>
        </w:rPr>
        <w:t>-</w:t>
      </w:r>
      <w:r w:rsidRPr="00EA190F">
        <w:rPr>
          <w:color w:val="000000"/>
        </w:rPr>
        <w:t>delivered programs. To mitigate th</w:t>
      </w:r>
      <w:r w:rsidR="007A23A3" w:rsidRPr="00EA190F">
        <w:rPr>
          <w:color w:val="000000"/>
        </w:rPr>
        <w:t>e risk</w:t>
      </w:r>
      <w:r w:rsidRPr="00EA190F">
        <w:rPr>
          <w:color w:val="000000"/>
        </w:rPr>
        <w:t xml:space="preserve">, </w:t>
      </w:r>
      <w:r w:rsidR="00387159" w:rsidRPr="00EA190F">
        <w:rPr>
          <w:color w:val="000000"/>
        </w:rPr>
        <w:t xml:space="preserve">AusAID </w:t>
      </w:r>
      <w:r w:rsidRPr="00EA190F">
        <w:rPr>
          <w:color w:val="000000"/>
        </w:rPr>
        <w:t>ha</w:t>
      </w:r>
      <w:r w:rsidR="00387159" w:rsidRPr="00EA190F">
        <w:rPr>
          <w:color w:val="000000"/>
        </w:rPr>
        <w:t>s</w:t>
      </w:r>
      <w:r w:rsidRPr="00EA190F">
        <w:rPr>
          <w:color w:val="000000"/>
        </w:rPr>
        <w:t xml:space="preserve"> linked </w:t>
      </w:r>
      <w:r w:rsidR="00387159" w:rsidRPr="00EA190F">
        <w:rPr>
          <w:color w:val="000000"/>
        </w:rPr>
        <w:t xml:space="preserve">its </w:t>
      </w:r>
      <w:r w:rsidRPr="00EA190F">
        <w:rPr>
          <w:color w:val="000000"/>
        </w:rPr>
        <w:t>projects through regular joint meetings between BEAM and STRIVE, engaged the team leaders on the BESRA review, and facilitated the joint USAID</w:t>
      </w:r>
      <w:r w:rsidR="007A23A3" w:rsidRPr="00EA190F">
        <w:rPr>
          <w:color w:val="000000"/>
        </w:rPr>
        <w:t>–</w:t>
      </w:r>
      <w:r w:rsidRPr="00EA190F">
        <w:rPr>
          <w:color w:val="000000"/>
        </w:rPr>
        <w:t>BEAM meeting in Davao City in March 2008. This means BESRA is being supported by a number of parties.</w:t>
      </w:r>
    </w:p>
    <w:p w:rsidR="007122E9" w:rsidRPr="00EA190F" w:rsidRDefault="007122E9" w:rsidP="007A23A3">
      <w:pPr>
        <w:pStyle w:val="Heading2nonumber"/>
        <w:rPr>
          <w:color w:val="000000"/>
        </w:rPr>
      </w:pPr>
      <w:bookmarkStart w:id="55" w:name="_Toc360805270"/>
      <w:r w:rsidRPr="00EA190F">
        <w:rPr>
          <w:color w:val="000000"/>
        </w:rPr>
        <w:t>Risks</w:t>
      </w:r>
      <w:bookmarkEnd w:id="55"/>
    </w:p>
    <w:p w:rsidR="007122E9" w:rsidRPr="00EA190F" w:rsidRDefault="007122E9" w:rsidP="007A23A3">
      <w:pPr>
        <w:pStyle w:val="Heading3nonumber"/>
        <w:rPr>
          <w:color w:val="000000"/>
        </w:rPr>
      </w:pPr>
      <w:r w:rsidRPr="00EA190F">
        <w:rPr>
          <w:color w:val="000000"/>
        </w:rPr>
        <w:t>Context risks</w:t>
      </w:r>
    </w:p>
    <w:p w:rsidR="007122E9" w:rsidRPr="00EA190F" w:rsidRDefault="007122E9" w:rsidP="007122E9">
      <w:pPr>
        <w:pStyle w:val="BodyText"/>
        <w:rPr>
          <w:color w:val="000000"/>
        </w:rPr>
      </w:pPr>
      <w:r w:rsidRPr="00EA190F">
        <w:rPr>
          <w:color w:val="000000"/>
        </w:rPr>
        <w:t>As the 2010 presidential election approaches, there is the risk of more populist spending undermining reforms</w:t>
      </w:r>
      <w:r w:rsidR="00387159" w:rsidRPr="00EA190F">
        <w:rPr>
          <w:color w:val="000000"/>
        </w:rPr>
        <w:t xml:space="preserve"> to public financial management</w:t>
      </w:r>
      <w:r w:rsidRPr="00EA190F">
        <w:rPr>
          <w:color w:val="000000"/>
        </w:rPr>
        <w:t xml:space="preserve">. There is additional risk of ‘fast-tracking’ legacy infrastructure projects at the expense of transparency. </w:t>
      </w:r>
      <w:proofErr w:type="gramStart"/>
      <w:r w:rsidRPr="00EA190F">
        <w:rPr>
          <w:color w:val="000000"/>
        </w:rPr>
        <w:t>T</w:t>
      </w:r>
      <w:r w:rsidR="00000DBA" w:rsidRPr="00EA190F">
        <w:rPr>
          <w:color w:val="000000"/>
        </w:rPr>
        <w:t>he t</w:t>
      </w:r>
      <w:r w:rsidRPr="00EA190F">
        <w:rPr>
          <w:color w:val="000000"/>
        </w:rPr>
        <w:t>urnover of senior officials and ‘reform champions</w:t>
      </w:r>
      <w:r w:rsidR="00000DBA" w:rsidRPr="00EA190F">
        <w:rPr>
          <w:color w:val="000000"/>
        </w:rPr>
        <w:t>’</w:t>
      </w:r>
      <w:r w:rsidRPr="00EA190F">
        <w:rPr>
          <w:color w:val="000000"/>
        </w:rPr>
        <w:t xml:space="preserve"> in key departments also threatens the program, particularly where institutional transformation reli</w:t>
      </w:r>
      <w:r w:rsidR="00000DBA" w:rsidRPr="00EA190F">
        <w:rPr>
          <w:color w:val="000000"/>
        </w:rPr>
        <w:t>es</w:t>
      </w:r>
      <w:r w:rsidRPr="00EA190F">
        <w:rPr>
          <w:color w:val="000000"/>
        </w:rPr>
        <w:t xml:space="preserve"> on change driven from the top.</w:t>
      </w:r>
      <w:proofErr w:type="gramEnd"/>
      <w:r w:rsidRPr="00EA190F">
        <w:rPr>
          <w:color w:val="000000"/>
        </w:rPr>
        <w:t xml:space="preserve"> Finally, there </w:t>
      </w:r>
      <w:r w:rsidR="00000DBA" w:rsidRPr="00EA190F">
        <w:rPr>
          <w:color w:val="000000"/>
        </w:rPr>
        <w:t xml:space="preserve">are </w:t>
      </w:r>
      <w:r w:rsidRPr="00EA190F">
        <w:rPr>
          <w:color w:val="000000"/>
        </w:rPr>
        <w:t>the issue</w:t>
      </w:r>
      <w:r w:rsidR="00000DBA" w:rsidRPr="00EA190F">
        <w:rPr>
          <w:color w:val="000000"/>
        </w:rPr>
        <w:t>s</w:t>
      </w:r>
      <w:r w:rsidRPr="00EA190F">
        <w:rPr>
          <w:color w:val="000000"/>
        </w:rPr>
        <w:t xml:space="preserve"> of the global economic downturn </w:t>
      </w:r>
      <w:r w:rsidR="00000DBA" w:rsidRPr="00EA190F">
        <w:rPr>
          <w:color w:val="000000"/>
        </w:rPr>
        <w:t xml:space="preserve">and </w:t>
      </w:r>
      <w:r w:rsidRPr="00EA190F">
        <w:rPr>
          <w:color w:val="000000"/>
        </w:rPr>
        <w:t xml:space="preserve">rising food prices </w:t>
      </w:r>
      <w:r w:rsidR="00000DBA" w:rsidRPr="00EA190F">
        <w:rPr>
          <w:color w:val="000000"/>
        </w:rPr>
        <w:t xml:space="preserve">and their impact </w:t>
      </w:r>
      <w:r w:rsidRPr="00EA190F">
        <w:rPr>
          <w:color w:val="000000"/>
        </w:rPr>
        <w:t>on poverty rates</w:t>
      </w:r>
      <w:r w:rsidR="00000DBA" w:rsidRPr="00EA190F">
        <w:rPr>
          <w:color w:val="000000"/>
        </w:rPr>
        <w:t>.</w:t>
      </w:r>
    </w:p>
    <w:p w:rsidR="007122E9" w:rsidRPr="00EA190F" w:rsidRDefault="007122E9" w:rsidP="007A23A3">
      <w:pPr>
        <w:pStyle w:val="Heading3nonumber"/>
        <w:rPr>
          <w:color w:val="000000"/>
        </w:rPr>
      </w:pPr>
      <w:r w:rsidRPr="00EA190F">
        <w:rPr>
          <w:color w:val="000000"/>
        </w:rPr>
        <w:t>Implementation risks</w:t>
      </w:r>
    </w:p>
    <w:p w:rsidR="007122E9" w:rsidRPr="00EA190F" w:rsidRDefault="007122E9" w:rsidP="007122E9">
      <w:pPr>
        <w:pStyle w:val="BodyText"/>
        <w:rPr>
          <w:color w:val="000000"/>
        </w:rPr>
      </w:pPr>
      <w:r w:rsidRPr="00EA190F">
        <w:rPr>
          <w:color w:val="000000"/>
        </w:rPr>
        <w:t>There are likely to be delays in starting new activities. Experience has demonstrated that institutional capacity and leadership within the key government departments a</w:t>
      </w:r>
      <w:r w:rsidR="00DE5594" w:rsidRPr="00EA190F">
        <w:rPr>
          <w:color w:val="000000"/>
        </w:rPr>
        <w:t>nd their local/regional offices</w:t>
      </w:r>
      <w:r w:rsidRPr="00EA190F">
        <w:rPr>
          <w:color w:val="000000"/>
        </w:rPr>
        <w:t xml:space="preserve"> is weak and potentially vulnerable to political capture or resistance concerning both legislative and institutional reform. Capitalising on strong leadership</w:t>
      </w:r>
      <w:r w:rsidR="00094593" w:rsidRPr="00EA190F">
        <w:rPr>
          <w:color w:val="000000"/>
        </w:rPr>
        <w:t>,</w:t>
      </w:r>
      <w:r w:rsidRPr="00EA190F">
        <w:rPr>
          <w:color w:val="000000"/>
        </w:rPr>
        <w:t xml:space="preserve"> instituting systems and </w:t>
      </w:r>
      <w:r w:rsidR="00094593" w:rsidRPr="00EA190F">
        <w:rPr>
          <w:color w:val="000000"/>
        </w:rPr>
        <w:t xml:space="preserve">building </w:t>
      </w:r>
      <w:r w:rsidRPr="00EA190F">
        <w:rPr>
          <w:color w:val="000000"/>
        </w:rPr>
        <w:t xml:space="preserve">the capacity of middle management is one strategy to mitigate this </w:t>
      </w:r>
      <w:r w:rsidR="00094593" w:rsidRPr="00EA190F">
        <w:rPr>
          <w:color w:val="000000"/>
        </w:rPr>
        <w:t>risk</w:t>
      </w:r>
      <w:r w:rsidRPr="00EA190F">
        <w:rPr>
          <w:color w:val="000000"/>
        </w:rPr>
        <w:t>. The work with newly designed initiatives reflects th</w:t>
      </w:r>
      <w:r w:rsidR="00094593" w:rsidRPr="00EA190F">
        <w:rPr>
          <w:color w:val="000000"/>
        </w:rPr>
        <w:t>e</w:t>
      </w:r>
      <w:r w:rsidRPr="00EA190F">
        <w:rPr>
          <w:color w:val="000000"/>
        </w:rPr>
        <w:t xml:space="preserve"> effort to stimulate </w:t>
      </w:r>
      <w:r w:rsidRPr="00EA190F">
        <w:rPr>
          <w:color w:val="000000"/>
        </w:rPr>
        <w:lastRenderedPageBreak/>
        <w:t>interest through incentive</w:t>
      </w:r>
      <w:r w:rsidR="00094593" w:rsidRPr="00EA190F">
        <w:rPr>
          <w:color w:val="000000"/>
        </w:rPr>
        <w:t>-</w:t>
      </w:r>
      <w:r w:rsidRPr="00EA190F">
        <w:rPr>
          <w:color w:val="000000"/>
        </w:rPr>
        <w:t>based approaches and choosing partners w</w:t>
      </w:r>
      <w:r w:rsidR="00A96DD5" w:rsidRPr="00EA190F">
        <w:rPr>
          <w:color w:val="000000"/>
        </w:rPr>
        <w:t>ith an appetite for </w:t>
      </w:r>
      <w:r w:rsidRPr="00EA190F">
        <w:rPr>
          <w:color w:val="000000"/>
        </w:rPr>
        <w:t>reform.</w:t>
      </w:r>
    </w:p>
    <w:p w:rsidR="007122E9" w:rsidRPr="00EA190F" w:rsidRDefault="00A12F87" w:rsidP="007122E9">
      <w:pPr>
        <w:pStyle w:val="BodyText"/>
        <w:rPr>
          <w:color w:val="000000"/>
        </w:rPr>
      </w:pPr>
      <w:r w:rsidRPr="00EA190F">
        <w:rPr>
          <w:color w:val="000000"/>
        </w:rPr>
        <w:t xml:space="preserve">Limited </w:t>
      </w:r>
      <w:r w:rsidR="007122E9" w:rsidRPr="00EA190F">
        <w:rPr>
          <w:color w:val="000000"/>
        </w:rPr>
        <w:t xml:space="preserve">capacity </w:t>
      </w:r>
      <w:r w:rsidR="00094593" w:rsidRPr="00EA190F">
        <w:rPr>
          <w:color w:val="000000"/>
        </w:rPr>
        <w:t xml:space="preserve">in the Department of Education </w:t>
      </w:r>
      <w:r w:rsidR="007122E9" w:rsidRPr="00EA190F">
        <w:rPr>
          <w:color w:val="000000"/>
        </w:rPr>
        <w:t xml:space="preserve">to manage the reform agenda </w:t>
      </w:r>
      <w:r w:rsidR="00387159" w:rsidRPr="00EA190F">
        <w:rPr>
          <w:color w:val="000000"/>
        </w:rPr>
        <w:t xml:space="preserve">for the sector </w:t>
      </w:r>
      <w:r w:rsidR="007122E9" w:rsidRPr="00EA190F">
        <w:rPr>
          <w:color w:val="000000"/>
        </w:rPr>
        <w:t xml:space="preserve">is the most significant risk to </w:t>
      </w:r>
      <w:proofErr w:type="spellStart"/>
      <w:r w:rsidR="009961A5" w:rsidRPr="00EA190F">
        <w:rPr>
          <w:color w:val="000000"/>
        </w:rPr>
        <w:t>AusAID</w:t>
      </w:r>
      <w:r w:rsidR="00FA31C4" w:rsidRPr="00EA190F">
        <w:rPr>
          <w:color w:val="000000"/>
        </w:rPr>
        <w:t>’s</w:t>
      </w:r>
      <w:proofErr w:type="spellEnd"/>
      <w:r w:rsidR="007122E9" w:rsidRPr="00EA190F">
        <w:rPr>
          <w:color w:val="000000"/>
        </w:rPr>
        <w:t xml:space="preserve"> </w:t>
      </w:r>
      <w:smartTag w:uri="urn:schemas-microsoft-com:office:smarttags" w:element="country-region">
        <w:smartTag w:uri="urn:schemas-microsoft-com:office:smarttags" w:element="place">
          <w:r w:rsidR="00387159" w:rsidRPr="00EA190F">
            <w:rPr>
              <w:color w:val="000000"/>
            </w:rPr>
            <w:t>Philippines</w:t>
          </w:r>
        </w:smartTag>
      </w:smartTag>
      <w:r w:rsidR="00387159" w:rsidRPr="00EA190F">
        <w:rPr>
          <w:color w:val="000000"/>
        </w:rPr>
        <w:t xml:space="preserve"> </w:t>
      </w:r>
      <w:r w:rsidR="009961A5" w:rsidRPr="00EA190F">
        <w:rPr>
          <w:color w:val="000000"/>
        </w:rPr>
        <w:t xml:space="preserve">education </w:t>
      </w:r>
      <w:r w:rsidR="007122E9" w:rsidRPr="00EA190F">
        <w:rPr>
          <w:color w:val="000000"/>
        </w:rPr>
        <w:t xml:space="preserve">program. If reform is slow within </w:t>
      </w:r>
      <w:r w:rsidR="00094593" w:rsidRPr="00EA190F">
        <w:rPr>
          <w:color w:val="000000"/>
        </w:rPr>
        <w:t xml:space="preserve">the department </w:t>
      </w:r>
      <w:r w:rsidR="007122E9" w:rsidRPr="00EA190F">
        <w:rPr>
          <w:color w:val="000000"/>
        </w:rPr>
        <w:t>at the national level, STRIVE will have no basis to proceed with some of its key regional interventions. In addition, the continued underfunding of basic education</w:t>
      </w:r>
      <w:r w:rsidR="00DE5594" w:rsidRPr="00EA190F">
        <w:rPr>
          <w:rStyle w:val="FootnoteReference"/>
          <w:color w:val="000000"/>
        </w:rPr>
        <w:footnoteReference w:id="6"/>
      </w:r>
      <w:r w:rsidR="007122E9" w:rsidRPr="00EA190F">
        <w:rPr>
          <w:color w:val="000000"/>
        </w:rPr>
        <w:t xml:space="preserve"> and unabated population growth make it difficult to improve education outcomes without considerable national budget stimulus. These issues have been partly addressed by the incentives program</w:t>
      </w:r>
      <w:r w:rsidR="008B377A" w:rsidRPr="00EA190F">
        <w:rPr>
          <w:color w:val="000000"/>
        </w:rPr>
        <w:t>,</w:t>
      </w:r>
      <w:r w:rsidR="007122E9" w:rsidRPr="00EA190F">
        <w:rPr>
          <w:color w:val="000000"/>
        </w:rPr>
        <w:t xml:space="preserve"> which concentrates additional funds </w:t>
      </w:r>
      <w:r w:rsidR="008B377A" w:rsidRPr="00EA190F">
        <w:rPr>
          <w:color w:val="000000"/>
        </w:rPr>
        <w:t xml:space="preserve">in </w:t>
      </w:r>
      <w:r w:rsidR="007122E9" w:rsidRPr="00EA190F">
        <w:rPr>
          <w:color w:val="000000"/>
        </w:rPr>
        <w:t xml:space="preserve">areas where reform is evident </w:t>
      </w:r>
      <w:r w:rsidRPr="00EA190F">
        <w:rPr>
          <w:color w:val="000000"/>
        </w:rPr>
        <w:t xml:space="preserve">in order </w:t>
      </w:r>
      <w:r w:rsidR="007122E9" w:rsidRPr="00EA190F">
        <w:rPr>
          <w:color w:val="000000"/>
        </w:rPr>
        <w:t xml:space="preserve">to stimulate </w:t>
      </w:r>
      <w:r w:rsidR="008B377A" w:rsidRPr="00EA190F">
        <w:rPr>
          <w:color w:val="000000"/>
        </w:rPr>
        <w:t xml:space="preserve">the department’s </w:t>
      </w:r>
      <w:r w:rsidR="007122E9" w:rsidRPr="00EA190F">
        <w:rPr>
          <w:color w:val="000000"/>
        </w:rPr>
        <w:t xml:space="preserve">appetite for reform. </w:t>
      </w:r>
    </w:p>
    <w:p w:rsidR="007122E9" w:rsidRPr="00EA190F" w:rsidRDefault="007122E9" w:rsidP="007122E9">
      <w:pPr>
        <w:pStyle w:val="BodyText"/>
        <w:rPr>
          <w:color w:val="000000"/>
        </w:rPr>
      </w:pPr>
      <w:r w:rsidRPr="00EA190F">
        <w:rPr>
          <w:color w:val="000000"/>
        </w:rPr>
        <w:t xml:space="preserve">Finally, there is the risk of a return to violence in </w:t>
      </w:r>
      <w:smartTag w:uri="urn:schemas-microsoft-com:office:smarttags" w:element="place">
        <w:r w:rsidRPr="00EA190F">
          <w:rPr>
            <w:color w:val="000000"/>
          </w:rPr>
          <w:t>Mindanao</w:t>
        </w:r>
      </w:smartTag>
      <w:r w:rsidR="008B377A" w:rsidRPr="00EA190F">
        <w:rPr>
          <w:color w:val="000000"/>
        </w:rPr>
        <w:t>,</w:t>
      </w:r>
      <w:r w:rsidRPr="00EA190F">
        <w:rPr>
          <w:color w:val="000000"/>
        </w:rPr>
        <w:t xml:space="preserve"> given the stalled peace process and the bleak outlook for change.</w:t>
      </w:r>
    </w:p>
    <w:p w:rsidR="007122E9" w:rsidRPr="00EA190F" w:rsidRDefault="007122E9" w:rsidP="007A23A3">
      <w:pPr>
        <w:pStyle w:val="Heading2nonumber"/>
        <w:rPr>
          <w:color w:val="000000"/>
        </w:rPr>
      </w:pPr>
      <w:bookmarkStart w:id="56" w:name="_Toc360805271"/>
      <w:r w:rsidRPr="00EA190F">
        <w:rPr>
          <w:color w:val="000000"/>
        </w:rPr>
        <w:t>Crosscutting</w:t>
      </w:r>
      <w:r w:rsidR="007A23A3" w:rsidRPr="00EA190F">
        <w:rPr>
          <w:color w:val="000000"/>
        </w:rPr>
        <w:t xml:space="preserve"> issues and challenges</w:t>
      </w:r>
      <w:bookmarkEnd w:id="56"/>
    </w:p>
    <w:p w:rsidR="007122E9" w:rsidRPr="00EA190F" w:rsidRDefault="007122E9" w:rsidP="007A23A3">
      <w:pPr>
        <w:pStyle w:val="Heading3nonumber"/>
        <w:rPr>
          <w:color w:val="000000"/>
        </w:rPr>
      </w:pPr>
      <w:r w:rsidRPr="00EA190F">
        <w:rPr>
          <w:color w:val="000000"/>
        </w:rPr>
        <w:t>Gender</w:t>
      </w:r>
    </w:p>
    <w:p w:rsidR="007122E9" w:rsidRPr="00EA190F" w:rsidRDefault="007122E9" w:rsidP="007122E9">
      <w:pPr>
        <w:pStyle w:val="BodyText"/>
        <w:rPr>
          <w:color w:val="000000"/>
        </w:rPr>
      </w:pPr>
      <w:r w:rsidRPr="00EA190F">
        <w:rPr>
          <w:color w:val="000000"/>
        </w:rPr>
        <w:t xml:space="preserve">The focus on gender in the past 12 months has been to review current programs and identify ways the program can better </w:t>
      </w:r>
      <w:r w:rsidR="00360758" w:rsidRPr="00EA190F">
        <w:rPr>
          <w:color w:val="000000"/>
        </w:rPr>
        <w:t xml:space="preserve">address </w:t>
      </w:r>
      <w:r w:rsidRPr="00EA190F">
        <w:rPr>
          <w:color w:val="000000"/>
        </w:rPr>
        <w:t xml:space="preserve">gender issues </w:t>
      </w:r>
      <w:r w:rsidR="00360758" w:rsidRPr="00EA190F">
        <w:rPr>
          <w:color w:val="000000"/>
        </w:rPr>
        <w:t xml:space="preserve">through </w:t>
      </w:r>
      <w:r w:rsidRPr="00EA190F">
        <w:rPr>
          <w:color w:val="000000"/>
        </w:rPr>
        <w:t xml:space="preserve">its operations. As part of this review process, the AusAID </w:t>
      </w:r>
      <w:r w:rsidR="00360758" w:rsidRPr="00EA190F">
        <w:rPr>
          <w:color w:val="000000"/>
        </w:rPr>
        <w:t xml:space="preserve">gender adviser </w:t>
      </w:r>
      <w:r w:rsidRPr="00EA190F">
        <w:rPr>
          <w:color w:val="000000"/>
        </w:rPr>
        <w:t xml:space="preserve">prepared a country assessment. In addition to this report, the agency has supported the Philippine </w:t>
      </w:r>
      <w:r w:rsidR="00925685" w:rsidRPr="00EA190F">
        <w:rPr>
          <w:color w:val="000000"/>
        </w:rPr>
        <w:t xml:space="preserve">government </w:t>
      </w:r>
      <w:r w:rsidRPr="00EA190F">
        <w:rPr>
          <w:color w:val="000000"/>
        </w:rPr>
        <w:t xml:space="preserve">document </w:t>
      </w:r>
      <w:r w:rsidRPr="00EA190F">
        <w:rPr>
          <w:i/>
          <w:color w:val="000000"/>
        </w:rPr>
        <w:t xml:space="preserve">Harmonized </w:t>
      </w:r>
      <w:r w:rsidR="00925685" w:rsidRPr="00EA190F">
        <w:rPr>
          <w:i/>
          <w:color w:val="000000"/>
        </w:rPr>
        <w:t>gender and development guidelines</w:t>
      </w:r>
      <w:r w:rsidR="00925685" w:rsidRPr="00EA190F">
        <w:rPr>
          <w:color w:val="000000"/>
        </w:rPr>
        <w:t>,</w:t>
      </w:r>
      <w:r w:rsidRPr="00EA190F">
        <w:rPr>
          <w:color w:val="000000"/>
        </w:rPr>
        <w:t xml:space="preserve"> which </w:t>
      </w:r>
      <w:r w:rsidR="00925685" w:rsidRPr="00EA190F">
        <w:rPr>
          <w:color w:val="000000"/>
        </w:rPr>
        <w:t xml:space="preserve">is </w:t>
      </w:r>
      <w:r w:rsidRPr="00EA190F">
        <w:rPr>
          <w:color w:val="000000"/>
        </w:rPr>
        <w:t xml:space="preserve">the basis for </w:t>
      </w:r>
      <w:r w:rsidR="00387159" w:rsidRPr="00EA190F">
        <w:rPr>
          <w:color w:val="000000"/>
        </w:rPr>
        <w:t>the</w:t>
      </w:r>
      <w:r w:rsidRPr="00EA190F">
        <w:rPr>
          <w:color w:val="000000"/>
        </w:rPr>
        <w:t xml:space="preserve"> Gender Action Plan</w:t>
      </w:r>
      <w:r w:rsidR="00925685" w:rsidRPr="00EA190F">
        <w:rPr>
          <w:color w:val="000000"/>
        </w:rPr>
        <w:t>,</w:t>
      </w:r>
      <w:r w:rsidRPr="00EA190F">
        <w:rPr>
          <w:color w:val="000000"/>
        </w:rPr>
        <w:t xml:space="preserve"> </w:t>
      </w:r>
      <w:r w:rsidR="00925685" w:rsidRPr="00EA190F">
        <w:rPr>
          <w:color w:val="000000"/>
        </w:rPr>
        <w:t xml:space="preserve">which </w:t>
      </w:r>
      <w:r w:rsidRPr="00EA190F">
        <w:rPr>
          <w:color w:val="000000"/>
        </w:rPr>
        <w:t xml:space="preserve">will be prepared </w:t>
      </w:r>
      <w:r w:rsidR="00925685" w:rsidRPr="00EA190F">
        <w:rPr>
          <w:color w:val="000000"/>
        </w:rPr>
        <w:t xml:space="preserve">as part of the program </w:t>
      </w:r>
      <w:r w:rsidR="00387159" w:rsidRPr="00EA190F">
        <w:rPr>
          <w:color w:val="000000"/>
        </w:rPr>
        <w:t xml:space="preserve">during </w:t>
      </w:r>
      <w:r w:rsidRPr="00EA190F">
        <w:rPr>
          <w:color w:val="000000"/>
        </w:rPr>
        <w:t xml:space="preserve">the </w:t>
      </w:r>
      <w:r w:rsidR="00387159" w:rsidRPr="00EA190F">
        <w:rPr>
          <w:color w:val="000000"/>
        </w:rPr>
        <w:t xml:space="preserve">next </w:t>
      </w:r>
      <w:r w:rsidRPr="00EA190F">
        <w:rPr>
          <w:color w:val="000000"/>
        </w:rPr>
        <w:t>12</w:t>
      </w:r>
      <w:r w:rsidR="00925685" w:rsidRPr="00EA190F">
        <w:rPr>
          <w:color w:val="000000"/>
        </w:rPr>
        <w:t> </w:t>
      </w:r>
      <w:r w:rsidRPr="00EA190F">
        <w:rPr>
          <w:color w:val="000000"/>
        </w:rPr>
        <w:t>months. This document will ensure that gender is an integral part of all AusAID projects, and suitable reporting mechanisms will better illustrate the agenc</w:t>
      </w:r>
      <w:r w:rsidR="00925685" w:rsidRPr="00EA190F">
        <w:rPr>
          <w:color w:val="000000"/>
        </w:rPr>
        <w:t>y’s</w:t>
      </w:r>
      <w:r w:rsidRPr="00EA190F">
        <w:rPr>
          <w:color w:val="000000"/>
        </w:rPr>
        <w:t xml:space="preserve"> efforts to improve gender outcomes. </w:t>
      </w:r>
    </w:p>
    <w:p w:rsidR="007122E9" w:rsidRPr="00EA190F" w:rsidRDefault="007122E9" w:rsidP="007A23A3">
      <w:pPr>
        <w:pStyle w:val="Heading3nonumber"/>
        <w:rPr>
          <w:color w:val="000000"/>
        </w:rPr>
      </w:pPr>
      <w:r w:rsidRPr="00EA190F">
        <w:rPr>
          <w:color w:val="000000"/>
        </w:rPr>
        <w:t>Partnerships</w:t>
      </w:r>
    </w:p>
    <w:p w:rsidR="007122E9" w:rsidRPr="00EA190F" w:rsidRDefault="007122E9" w:rsidP="007122E9">
      <w:pPr>
        <w:pStyle w:val="BodyText"/>
        <w:rPr>
          <w:color w:val="000000"/>
        </w:rPr>
      </w:pPr>
      <w:r w:rsidRPr="00EA190F">
        <w:rPr>
          <w:color w:val="000000"/>
        </w:rPr>
        <w:t xml:space="preserve">There has been strong support among senior </w:t>
      </w:r>
      <w:r w:rsidR="00B61F95" w:rsidRPr="00EA190F">
        <w:rPr>
          <w:color w:val="000000"/>
        </w:rPr>
        <w:t xml:space="preserve">World Bank </w:t>
      </w:r>
      <w:r w:rsidRPr="00EA190F">
        <w:rPr>
          <w:color w:val="000000"/>
        </w:rPr>
        <w:t>representatives (</w:t>
      </w:r>
      <w:smartTag w:uri="urn:schemas-microsoft-com:office:smarttags" w:element="City">
        <w:r w:rsidRPr="00EA190F">
          <w:rPr>
            <w:color w:val="000000"/>
          </w:rPr>
          <w:t>Manila</w:t>
        </w:r>
      </w:smartTag>
      <w:r w:rsidRPr="00EA190F">
        <w:rPr>
          <w:color w:val="000000"/>
        </w:rPr>
        <w:t xml:space="preserve">) to develop a close working relationship with AusAID in 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There are ongoing activities in at least five areas that involve a </w:t>
      </w:r>
      <w:r w:rsidR="00B61F95" w:rsidRPr="00EA190F">
        <w:rPr>
          <w:color w:val="000000"/>
        </w:rPr>
        <w:t>World Bank</w:t>
      </w:r>
      <w:r w:rsidR="00387159" w:rsidRPr="00EA190F">
        <w:rPr>
          <w:rFonts w:ascii="Arial Unicode MS" w:eastAsia="Arial Unicode MS" w:hAnsi="Arial Unicode MS" w:cs="Arial Unicode MS" w:hint="eastAsia"/>
          <w:color w:val="000000"/>
        </w:rPr>
        <w:t> </w:t>
      </w:r>
      <w:r w:rsidR="00B61F95" w:rsidRPr="00EA190F">
        <w:rPr>
          <w:color w:val="000000"/>
        </w:rPr>
        <w:t>–</w:t>
      </w:r>
      <w:r w:rsidR="00387159" w:rsidRPr="00EA190F">
        <w:rPr>
          <w:rFonts w:ascii="Arial Unicode MS" w:eastAsia="Arial Unicode MS" w:hAnsi="Arial Unicode MS" w:cs="Arial Unicode MS" w:hint="eastAsia"/>
          <w:color w:val="000000"/>
        </w:rPr>
        <w:t> </w:t>
      </w:r>
      <w:r w:rsidRPr="00EA190F">
        <w:rPr>
          <w:color w:val="000000"/>
        </w:rPr>
        <w:t>AusAID partnership.</w:t>
      </w:r>
      <w:r w:rsidR="008F6566" w:rsidRPr="00EA190F">
        <w:rPr>
          <w:color w:val="000000"/>
        </w:rPr>
        <w:t xml:space="preserve"> </w:t>
      </w:r>
      <w:r w:rsidRPr="00EA190F">
        <w:rPr>
          <w:color w:val="000000"/>
        </w:rPr>
        <w:t xml:space="preserve">More initiatives are </w:t>
      </w:r>
      <w:r w:rsidR="00B61F95" w:rsidRPr="00EA190F">
        <w:rPr>
          <w:color w:val="000000"/>
        </w:rPr>
        <w:t xml:space="preserve">being </w:t>
      </w:r>
      <w:r w:rsidRPr="00EA190F">
        <w:rPr>
          <w:color w:val="000000"/>
        </w:rPr>
        <w:t>discuss</w:t>
      </w:r>
      <w:r w:rsidR="00B61F95" w:rsidRPr="00EA190F">
        <w:rPr>
          <w:color w:val="000000"/>
        </w:rPr>
        <w:t>ed</w:t>
      </w:r>
      <w:r w:rsidRPr="00EA190F">
        <w:rPr>
          <w:color w:val="000000"/>
        </w:rPr>
        <w:t xml:space="preserve">, including co-financed projects under the subnational infrastructure program and a joint </w:t>
      </w:r>
      <w:r w:rsidR="00B61F95" w:rsidRPr="00EA190F">
        <w:rPr>
          <w:color w:val="000000"/>
        </w:rPr>
        <w:t>World Bank</w:t>
      </w:r>
      <w:r w:rsidR="00387159" w:rsidRPr="00EA190F">
        <w:rPr>
          <w:rFonts w:ascii="Arial Unicode MS" w:eastAsia="Arial Unicode MS" w:hAnsi="Arial Unicode MS" w:cs="Arial Unicode MS" w:hint="eastAsia"/>
          <w:color w:val="000000"/>
        </w:rPr>
        <w:t> </w:t>
      </w:r>
      <w:r w:rsidR="00B61F95" w:rsidRPr="00EA190F">
        <w:rPr>
          <w:color w:val="000000"/>
        </w:rPr>
        <w:t>–</w:t>
      </w:r>
      <w:r w:rsidR="00387159" w:rsidRPr="00EA190F">
        <w:rPr>
          <w:rFonts w:ascii="Arial Unicode MS" w:eastAsia="Arial Unicode MS" w:hAnsi="Arial Unicode MS" w:cs="Arial Unicode MS" w:hint="eastAsia"/>
          <w:color w:val="000000"/>
        </w:rPr>
        <w:t> </w:t>
      </w:r>
      <w:r w:rsidR="00B61F95" w:rsidRPr="00EA190F">
        <w:rPr>
          <w:color w:val="000000"/>
        </w:rPr>
        <w:t xml:space="preserve">AusAID </w:t>
      </w:r>
      <w:r w:rsidRPr="00EA190F">
        <w:rPr>
          <w:color w:val="000000"/>
        </w:rPr>
        <w:t xml:space="preserve">research trust fund. The partnership is very close and both parties engage with each other more than any other development partners, but the relationship is not without challenges. </w:t>
      </w:r>
    </w:p>
    <w:p w:rsidR="007122E9" w:rsidRPr="00EA190F" w:rsidRDefault="007122E9" w:rsidP="007122E9">
      <w:pPr>
        <w:pStyle w:val="BodyText"/>
        <w:rPr>
          <w:color w:val="000000"/>
          <w:spacing w:val="-2"/>
        </w:rPr>
      </w:pPr>
      <w:r w:rsidRPr="00EA190F">
        <w:rPr>
          <w:color w:val="000000"/>
          <w:spacing w:val="-2"/>
        </w:rPr>
        <w:t xml:space="preserve">The </w:t>
      </w:r>
      <w:r w:rsidR="00B61F95" w:rsidRPr="00EA190F">
        <w:rPr>
          <w:color w:val="000000"/>
          <w:spacing w:val="-2"/>
        </w:rPr>
        <w:t xml:space="preserve">World Bank </w:t>
      </w:r>
      <w:r w:rsidRPr="00EA190F">
        <w:rPr>
          <w:color w:val="000000"/>
          <w:spacing w:val="-2"/>
        </w:rPr>
        <w:t xml:space="preserve">system differs from standard AusAID regulatory checks and balances, and this has caused delays in initiatives. </w:t>
      </w:r>
      <w:r w:rsidR="00B61F95" w:rsidRPr="00EA190F">
        <w:rPr>
          <w:color w:val="000000"/>
          <w:spacing w:val="-2"/>
        </w:rPr>
        <w:t>Locating</w:t>
      </w:r>
      <w:r w:rsidRPr="00EA190F">
        <w:rPr>
          <w:color w:val="000000"/>
          <w:spacing w:val="-2"/>
        </w:rPr>
        <w:t xml:space="preserve"> the AusAID </w:t>
      </w:r>
      <w:r w:rsidR="00B61F95" w:rsidRPr="00EA190F">
        <w:rPr>
          <w:color w:val="000000"/>
          <w:spacing w:val="-2"/>
        </w:rPr>
        <w:t xml:space="preserve">economics adviser </w:t>
      </w:r>
      <w:r w:rsidRPr="00EA190F">
        <w:rPr>
          <w:color w:val="000000"/>
          <w:spacing w:val="-2"/>
        </w:rPr>
        <w:t xml:space="preserve">at the </w:t>
      </w:r>
      <w:r w:rsidR="00B61F95" w:rsidRPr="00EA190F">
        <w:rPr>
          <w:color w:val="000000"/>
          <w:spacing w:val="-2"/>
        </w:rPr>
        <w:t xml:space="preserve">World Bank </w:t>
      </w:r>
      <w:r w:rsidRPr="00EA190F">
        <w:rPr>
          <w:color w:val="000000"/>
          <w:spacing w:val="-2"/>
        </w:rPr>
        <w:t xml:space="preserve">has strengthened the link, and </w:t>
      </w:r>
      <w:r w:rsidR="00B61F95" w:rsidRPr="00EA190F">
        <w:rPr>
          <w:color w:val="000000"/>
          <w:spacing w:val="-2"/>
        </w:rPr>
        <w:t>World Bank</w:t>
      </w:r>
      <w:r w:rsidR="00387159" w:rsidRPr="00EA190F">
        <w:rPr>
          <w:rFonts w:ascii="Arial Unicode MS" w:eastAsia="Arial Unicode MS" w:hAnsi="Arial Unicode MS" w:cs="Arial Unicode MS" w:hint="eastAsia"/>
          <w:color w:val="000000"/>
          <w:spacing w:val="-2"/>
        </w:rPr>
        <w:t> </w:t>
      </w:r>
      <w:r w:rsidR="00B61F95" w:rsidRPr="00EA190F">
        <w:rPr>
          <w:color w:val="000000"/>
          <w:spacing w:val="-2"/>
        </w:rPr>
        <w:t>–</w:t>
      </w:r>
      <w:r w:rsidR="00387159" w:rsidRPr="00EA190F">
        <w:rPr>
          <w:rFonts w:ascii="Arial Unicode MS" w:eastAsia="Arial Unicode MS" w:hAnsi="Arial Unicode MS" w:cs="Arial Unicode MS" w:hint="eastAsia"/>
          <w:color w:val="000000"/>
          <w:spacing w:val="-2"/>
        </w:rPr>
        <w:t> </w:t>
      </w:r>
      <w:r w:rsidR="00B61F95" w:rsidRPr="00EA190F">
        <w:rPr>
          <w:color w:val="000000"/>
          <w:spacing w:val="-2"/>
        </w:rPr>
        <w:t xml:space="preserve">AusAID </w:t>
      </w:r>
      <w:r w:rsidRPr="00EA190F">
        <w:rPr>
          <w:color w:val="000000"/>
          <w:spacing w:val="-2"/>
        </w:rPr>
        <w:t xml:space="preserve">collaboration and </w:t>
      </w:r>
      <w:r w:rsidRPr="00EA190F">
        <w:rPr>
          <w:color w:val="000000"/>
          <w:spacing w:val="-2"/>
        </w:rPr>
        <w:lastRenderedPageBreak/>
        <w:t>coordination on public financial management and many areas of economic governance remain close. However, undertakings in co-financed sectoral activities (</w:t>
      </w:r>
      <w:r w:rsidR="00387159" w:rsidRPr="00EA190F">
        <w:rPr>
          <w:color w:val="000000"/>
          <w:spacing w:val="-2"/>
        </w:rPr>
        <w:t>Land Administration and Management Project </w:t>
      </w:r>
      <w:r w:rsidRPr="00EA190F">
        <w:rPr>
          <w:color w:val="000000"/>
          <w:spacing w:val="-2"/>
        </w:rPr>
        <w:t xml:space="preserve">2 and </w:t>
      </w:r>
      <w:r w:rsidR="00B61F95" w:rsidRPr="00EA190F">
        <w:rPr>
          <w:bCs/>
          <w:iCs/>
          <w:color w:val="000000"/>
          <w:spacing w:val="-2"/>
        </w:rPr>
        <w:t>National Road Improvement Management Plan 2</w:t>
      </w:r>
      <w:r w:rsidRPr="00EA190F">
        <w:rPr>
          <w:color w:val="000000"/>
          <w:spacing w:val="-2"/>
        </w:rPr>
        <w:t>) have experienced communication and coordination challenges</w:t>
      </w:r>
      <w:r w:rsidR="00B61F95" w:rsidRPr="00EA190F">
        <w:rPr>
          <w:color w:val="000000"/>
          <w:spacing w:val="-2"/>
        </w:rPr>
        <w:t>,</w:t>
      </w:r>
      <w:r w:rsidRPr="00EA190F">
        <w:rPr>
          <w:color w:val="000000"/>
          <w:spacing w:val="-2"/>
        </w:rPr>
        <w:t xml:space="preserve"> due </w:t>
      </w:r>
      <w:r w:rsidR="00B61F95" w:rsidRPr="00EA190F">
        <w:rPr>
          <w:color w:val="000000"/>
          <w:spacing w:val="-2"/>
        </w:rPr>
        <w:t xml:space="preserve">in part </w:t>
      </w:r>
      <w:r w:rsidRPr="00EA190F">
        <w:rPr>
          <w:color w:val="000000"/>
          <w:spacing w:val="-2"/>
        </w:rPr>
        <w:t xml:space="preserve">to the institutional differences, management styles and assumptions of respective organisations. The joint </w:t>
      </w:r>
      <w:r w:rsidR="00B61F95" w:rsidRPr="00EA190F">
        <w:rPr>
          <w:color w:val="000000"/>
          <w:spacing w:val="-2"/>
        </w:rPr>
        <w:t xml:space="preserve">Department of Education </w:t>
      </w:r>
      <w:r w:rsidRPr="00EA190F">
        <w:rPr>
          <w:color w:val="000000"/>
          <w:spacing w:val="-2"/>
        </w:rPr>
        <w:t xml:space="preserve">trust fund remains inoperable due to the department’s struggle to comply with </w:t>
      </w:r>
      <w:r w:rsidR="00B61F95" w:rsidRPr="00EA190F">
        <w:rPr>
          <w:color w:val="000000"/>
          <w:spacing w:val="-2"/>
        </w:rPr>
        <w:t xml:space="preserve">World Bank </w:t>
      </w:r>
      <w:r w:rsidRPr="00EA190F">
        <w:rPr>
          <w:color w:val="000000"/>
          <w:spacing w:val="-2"/>
        </w:rPr>
        <w:t xml:space="preserve">requirements and there are operational issues in other interventions. Attempts have been made to establish a formal </w:t>
      </w:r>
      <w:r w:rsidR="00B61F95" w:rsidRPr="00EA190F">
        <w:rPr>
          <w:color w:val="000000"/>
          <w:spacing w:val="-2"/>
        </w:rPr>
        <w:t xml:space="preserve">partnership working arrangement </w:t>
      </w:r>
      <w:r w:rsidRPr="00EA190F">
        <w:rPr>
          <w:color w:val="000000"/>
          <w:spacing w:val="-2"/>
        </w:rPr>
        <w:t xml:space="preserve">between the two organisations but these negotiations have presently stagnated due to difficulties overcoming </w:t>
      </w:r>
      <w:r w:rsidR="00B61F95" w:rsidRPr="00EA190F">
        <w:rPr>
          <w:color w:val="000000"/>
          <w:spacing w:val="-2"/>
        </w:rPr>
        <w:t xml:space="preserve">World Bank </w:t>
      </w:r>
      <w:r w:rsidRPr="00EA190F">
        <w:rPr>
          <w:color w:val="000000"/>
          <w:spacing w:val="-2"/>
        </w:rPr>
        <w:t>rules and regulations.</w:t>
      </w:r>
    </w:p>
    <w:p w:rsidR="007122E9" w:rsidRPr="00EA190F" w:rsidRDefault="007122E9" w:rsidP="007A23A3">
      <w:pPr>
        <w:pStyle w:val="Heading3nonumber"/>
        <w:rPr>
          <w:color w:val="000000"/>
        </w:rPr>
      </w:pPr>
      <w:r w:rsidRPr="00EA190F">
        <w:rPr>
          <w:color w:val="000000"/>
        </w:rPr>
        <w:t>Scholarships and human resource development</w:t>
      </w:r>
    </w:p>
    <w:p w:rsidR="007122E9" w:rsidRPr="00EA190F" w:rsidRDefault="007122E9" w:rsidP="007122E9">
      <w:pPr>
        <w:pStyle w:val="BodyText"/>
        <w:rPr>
          <w:color w:val="000000"/>
        </w:rPr>
      </w:pPr>
      <w:r w:rsidRPr="00EA190F">
        <w:rPr>
          <w:color w:val="000000"/>
        </w:rPr>
        <w:t>Since 2004, Australian Development Scholarships have been integrated into the</w:t>
      </w:r>
      <w:r w:rsidR="00DC74FF" w:rsidRPr="00EA190F">
        <w:rPr>
          <w:color w:val="000000"/>
        </w:rPr>
        <w:t xml:space="preserve"> </w:t>
      </w:r>
      <w:r w:rsidRPr="00EA190F">
        <w:rPr>
          <w:color w:val="000000"/>
        </w:rPr>
        <w:t>capacity-building approach</w:t>
      </w:r>
      <w:r w:rsidR="00CD597D" w:rsidRPr="00EA190F">
        <w:rPr>
          <w:color w:val="000000"/>
        </w:rPr>
        <w:t xml:space="preserve"> of the Philippines–Australia Human Resources Development Facility </w:t>
      </w:r>
      <w:r w:rsidRPr="00EA190F">
        <w:rPr>
          <w:color w:val="000000"/>
        </w:rPr>
        <w:t>to provide targeted long-term training (80</w:t>
      </w:r>
      <w:r w:rsidR="00CD597D" w:rsidRPr="00EA190F">
        <w:rPr>
          <w:color w:val="000000"/>
        </w:rPr>
        <w:t> </w:t>
      </w:r>
      <w:r w:rsidRPr="00EA190F">
        <w:rPr>
          <w:color w:val="000000"/>
        </w:rPr>
        <w:t xml:space="preserve">scholarships </w:t>
      </w:r>
      <w:r w:rsidR="00CD597D" w:rsidRPr="00EA190F">
        <w:rPr>
          <w:color w:val="000000"/>
        </w:rPr>
        <w:t>a year</w:t>
      </w:r>
      <w:r w:rsidRPr="00EA190F">
        <w:rPr>
          <w:color w:val="000000"/>
        </w:rPr>
        <w:t xml:space="preserve">) and short-term training (approximately 30 </w:t>
      </w:r>
      <w:r w:rsidR="00CD597D" w:rsidRPr="00EA190F">
        <w:rPr>
          <w:color w:val="000000"/>
        </w:rPr>
        <w:t xml:space="preserve">places a </w:t>
      </w:r>
      <w:r w:rsidRPr="00EA190F">
        <w:rPr>
          <w:color w:val="000000"/>
        </w:rPr>
        <w:t>year) for selected institutions directly linked to programs under each of the program pillars. These interventions are intended to directly address human resource development needs of those institutions. They also enable partner institutions to adopt and implement systemic changes.</w:t>
      </w:r>
    </w:p>
    <w:p w:rsidR="007122E9" w:rsidRPr="00EA190F" w:rsidRDefault="00CD597D" w:rsidP="007122E9">
      <w:pPr>
        <w:pStyle w:val="BodyText"/>
        <w:rPr>
          <w:color w:val="000000"/>
        </w:rPr>
      </w:pPr>
      <w:r w:rsidRPr="00EA190F">
        <w:rPr>
          <w:color w:val="000000"/>
        </w:rPr>
        <w:t>Thirty-eight</w:t>
      </w:r>
      <w:r w:rsidR="007122E9" w:rsidRPr="00EA190F">
        <w:rPr>
          <w:color w:val="000000"/>
        </w:rPr>
        <w:t xml:space="preserve"> of the 80 </w:t>
      </w:r>
      <w:r w:rsidRPr="00EA190F">
        <w:rPr>
          <w:color w:val="000000"/>
        </w:rPr>
        <w:t xml:space="preserve">recipients of Australian Development Scholarships in 2007–08 </w:t>
      </w:r>
      <w:r w:rsidR="007122E9" w:rsidRPr="00EA190F">
        <w:rPr>
          <w:color w:val="000000"/>
        </w:rPr>
        <w:t xml:space="preserve">arrived in </w:t>
      </w:r>
      <w:smartTag w:uri="urn:schemas-microsoft-com:office:smarttags" w:element="country-region">
        <w:smartTag w:uri="urn:schemas-microsoft-com:office:smarttags" w:element="place">
          <w:r w:rsidR="007122E9" w:rsidRPr="00EA190F">
            <w:rPr>
              <w:color w:val="000000"/>
            </w:rPr>
            <w:t>Australia</w:t>
          </w:r>
        </w:smartTag>
      </w:smartTag>
      <w:r w:rsidR="007122E9" w:rsidRPr="00EA190F">
        <w:rPr>
          <w:color w:val="000000"/>
        </w:rPr>
        <w:t xml:space="preserve"> in January while the remaining 42 will start in June 2008. These scholars represent the following institutions:</w:t>
      </w:r>
    </w:p>
    <w:p w:rsidR="007122E9" w:rsidRPr="00EA190F" w:rsidRDefault="007122E9" w:rsidP="007F2422">
      <w:pPr>
        <w:pStyle w:val="ListBullet"/>
      </w:pPr>
      <w:r w:rsidRPr="00EA190F">
        <w:t xml:space="preserve">34 from </w:t>
      </w:r>
      <w:r w:rsidR="00163B2B" w:rsidRPr="00EA190F">
        <w:t xml:space="preserve">national government agencies </w:t>
      </w:r>
    </w:p>
    <w:p w:rsidR="007122E9" w:rsidRPr="00EA190F" w:rsidRDefault="007122E9" w:rsidP="007F2422">
      <w:pPr>
        <w:pStyle w:val="ListBullet"/>
      </w:pPr>
      <w:r w:rsidRPr="00EA190F">
        <w:t xml:space="preserve">24 from </w:t>
      </w:r>
      <w:r w:rsidR="00163B2B" w:rsidRPr="00EA190F">
        <w:t>local government units</w:t>
      </w:r>
    </w:p>
    <w:p w:rsidR="007122E9" w:rsidRPr="00EA190F" w:rsidRDefault="007122E9" w:rsidP="007F2422">
      <w:pPr>
        <w:pStyle w:val="ListBullet"/>
      </w:pPr>
      <w:r w:rsidRPr="00EA190F">
        <w:t xml:space="preserve">12 from </w:t>
      </w:r>
      <w:r w:rsidR="00163B2B" w:rsidRPr="00EA190F">
        <w:t xml:space="preserve">private sector </w:t>
      </w:r>
      <w:r w:rsidRPr="00EA190F">
        <w:t>associations</w:t>
      </w:r>
    </w:p>
    <w:p w:rsidR="007122E9" w:rsidRPr="00EA190F" w:rsidRDefault="007122E9" w:rsidP="007F2422">
      <w:pPr>
        <w:pStyle w:val="ListBullet"/>
      </w:pPr>
      <w:r w:rsidRPr="00EA190F">
        <w:t>10</w:t>
      </w:r>
      <w:r w:rsidR="008F6566" w:rsidRPr="00EA190F">
        <w:t xml:space="preserve"> </w:t>
      </w:r>
      <w:r w:rsidRPr="00EA190F">
        <w:t xml:space="preserve">from </w:t>
      </w:r>
      <w:r w:rsidR="00163B2B" w:rsidRPr="00EA190F">
        <w:t>state universities and colleges.</w:t>
      </w:r>
    </w:p>
    <w:p w:rsidR="007122E9" w:rsidRPr="00EA190F" w:rsidRDefault="00163B2B" w:rsidP="007122E9">
      <w:pPr>
        <w:pStyle w:val="BodyText"/>
        <w:rPr>
          <w:color w:val="000000"/>
        </w:rPr>
      </w:pPr>
      <w:r w:rsidRPr="00EA190F">
        <w:rPr>
          <w:color w:val="000000"/>
        </w:rPr>
        <w:t xml:space="preserve">The Philippines–Australia Human Resources Development Facility </w:t>
      </w:r>
      <w:r w:rsidR="007122E9" w:rsidRPr="00EA190F">
        <w:rPr>
          <w:color w:val="000000"/>
        </w:rPr>
        <w:t xml:space="preserve">has completed its third year of implementation. A </w:t>
      </w:r>
      <w:r w:rsidRPr="00EA190F">
        <w:rPr>
          <w:color w:val="000000"/>
        </w:rPr>
        <w:t xml:space="preserve">strategic review </w:t>
      </w:r>
      <w:r w:rsidR="007122E9" w:rsidRPr="00EA190F">
        <w:rPr>
          <w:color w:val="000000"/>
        </w:rPr>
        <w:t xml:space="preserve">conducted in September 2007 highlighted improvements in some, but not all, institutions due to the </w:t>
      </w:r>
      <w:r w:rsidRPr="00EA190F">
        <w:rPr>
          <w:color w:val="000000"/>
        </w:rPr>
        <w:t xml:space="preserve">facility’s </w:t>
      </w:r>
      <w:r w:rsidR="007122E9" w:rsidRPr="00EA190F">
        <w:rPr>
          <w:color w:val="000000"/>
        </w:rPr>
        <w:t xml:space="preserve">interventions since 2004. One example of success is the Provincial Government of Bohol, where the Agricultural Master Plan developed by provincial government employees with the assistance from </w:t>
      </w:r>
      <w:r w:rsidRPr="00EA190F">
        <w:rPr>
          <w:color w:val="000000"/>
        </w:rPr>
        <w:t xml:space="preserve">the facility </w:t>
      </w:r>
      <w:r w:rsidR="007122E9" w:rsidRPr="00EA190F">
        <w:rPr>
          <w:color w:val="000000"/>
        </w:rPr>
        <w:t>has been adopted by the Provincial Board and used for annual investment planning. Another example is the Davao City Chamber of Commerce</w:t>
      </w:r>
      <w:r w:rsidRPr="00EA190F">
        <w:rPr>
          <w:color w:val="000000"/>
        </w:rPr>
        <w:t>,</w:t>
      </w:r>
      <w:r w:rsidR="007122E9" w:rsidRPr="00EA190F">
        <w:rPr>
          <w:color w:val="000000"/>
        </w:rPr>
        <w:t xml:space="preserve"> </w:t>
      </w:r>
      <w:r w:rsidRPr="00EA190F">
        <w:rPr>
          <w:color w:val="000000"/>
        </w:rPr>
        <w:t>who</w:t>
      </w:r>
      <w:r w:rsidR="009961A5" w:rsidRPr="00EA190F">
        <w:rPr>
          <w:color w:val="000000"/>
        </w:rPr>
        <w:t>se</w:t>
      </w:r>
      <w:r w:rsidRPr="00EA190F">
        <w:rPr>
          <w:color w:val="000000"/>
        </w:rPr>
        <w:t xml:space="preserve"> membership has increased with the </w:t>
      </w:r>
      <w:r w:rsidR="007122E9" w:rsidRPr="00EA190F">
        <w:rPr>
          <w:color w:val="000000"/>
        </w:rPr>
        <w:t xml:space="preserve">assistance </w:t>
      </w:r>
      <w:r w:rsidRPr="00EA190F">
        <w:rPr>
          <w:color w:val="000000"/>
        </w:rPr>
        <w:t>of</w:t>
      </w:r>
      <w:r w:rsidR="007122E9" w:rsidRPr="00EA190F">
        <w:rPr>
          <w:color w:val="000000"/>
        </w:rPr>
        <w:t xml:space="preserve"> the </w:t>
      </w:r>
      <w:r w:rsidRPr="00EA190F">
        <w:rPr>
          <w:color w:val="000000"/>
        </w:rPr>
        <w:t xml:space="preserve">facility to </w:t>
      </w:r>
      <w:r w:rsidR="007122E9" w:rsidRPr="00EA190F">
        <w:rPr>
          <w:color w:val="000000"/>
        </w:rPr>
        <w:t>strengthen industry associations.</w:t>
      </w:r>
    </w:p>
    <w:p w:rsidR="007122E9" w:rsidRPr="00EA190F" w:rsidRDefault="007122E9" w:rsidP="007A23A3">
      <w:pPr>
        <w:pStyle w:val="Heading3nonumber"/>
        <w:rPr>
          <w:color w:val="000000"/>
        </w:rPr>
      </w:pPr>
      <w:r w:rsidRPr="00EA190F">
        <w:rPr>
          <w:color w:val="000000"/>
        </w:rPr>
        <w:t>Anti</w:t>
      </w:r>
      <w:r w:rsidR="00A12F87" w:rsidRPr="00EA190F">
        <w:rPr>
          <w:color w:val="000000"/>
        </w:rPr>
        <w:t>-</w:t>
      </w:r>
      <w:r w:rsidRPr="00EA190F">
        <w:rPr>
          <w:color w:val="000000"/>
        </w:rPr>
        <w:t>corruption</w:t>
      </w:r>
    </w:p>
    <w:p w:rsidR="007122E9" w:rsidRPr="00EA190F" w:rsidRDefault="007122E9" w:rsidP="007122E9">
      <w:pPr>
        <w:pStyle w:val="BodyText"/>
        <w:rPr>
          <w:color w:val="000000"/>
        </w:rPr>
      </w:pPr>
      <w:r w:rsidRPr="00EA190F">
        <w:rPr>
          <w:color w:val="000000"/>
        </w:rPr>
        <w:t xml:space="preserve">The key deliverable for the year, 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w:t>
      </w:r>
      <w:r w:rsidR="00AE79C6" w:rsidRPr="00EA190F">
        <w:rPr>
          <w:color w:val="000000"/>
        </w:rPr>
        <w:t xml:space="preserve">country strategy </w:t>
      </w:r>
      <w:r w:rsidRPr="00EA190F">
        <w:rPr>
          <w:color w:val="000000"/>
        </w:rPr>
        <w:t xml:space="preserve">Anti-Corruption Plan, was achieved. The purpose of the </w:t>
      </w:r>
      <w:r w:rsidR="00FB67E5" w:rsidRPr="00EA190F">
        <w:rPr>
          <w:color w:val="000000"/>
        </w:rPr>
        <w:t xml:space="preserve">plan </w:t>
      </w:r>
      <w:r w:rsidRPr="00EA190F">
        <w:rPr>
          <w:color w:val="000000"/>
        </w:rPr>
        <w:t>is to guide the mainstreaming of anti</w:t>
      </w:r>
      <w:r w:rsidR="00A12F87" w:rsidRPr="00EA190F">
        <w:rPr>
          <w:color w:val="000000"/>
        </w:rPr>
        <w:t>-</w:t>
      </w:r>
      <w:r w:rsidRPr="00EA190F">
        <w:rPr>
          <w:color w:val="000000"/>
        </w:rPr>
        <w:t xml:space="preserve">corruption </w:t>
      </w:r>
      <w:r w:rsidRPr="00EA190F">
        <w:rPr>
          <w:color w:val="000000"/>
        </w:rPr>
        <w:lastRenderedPageBreak/>
        <w:t xml:space="preserve">across 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w:t>
      </w:r>
      <w:r w:rsidR="00FB67E5" w:rsidRPr="00EA190F">
        <w:rPr>
          <w:color w:val="000000"/>
        </w:rPr>
        <w:t xml:space="preserve">program </w:t>
      </w:r>
      <w:r w:rsidRPr="00EA190F">
        <w:rPr>
          <w:color w:val="000000"/>
        </w:rPr>
        <w:t>and prioritise specific project opportunities to address corruption.</w:t>
      </w:r>
      <w:r w:rsidR="008F6566" w:rsidRPr="00EA190F">
        <w:rPr>
          <w:color w:val="000000"/>
        </w:rPr>
        <w:t xml:space="preserve"> </w:t>
      </w:r>
      <w:r w:rsidRPr="00EA190F">
        <w:rPr>
          <w:color w:val="000000"/>
        </w:rPr>
        <w:t xml:space="preserve">The </w:t>
      </w:r>
      <w:r w:rsidR="00FB67E5" w:rsidRPr="00EA190F">
        <w:rPr>
          <w:color w:val="000000"/>
        </w:rPr>
        <w:t xml:space="preserve">plan </w:t>
      </w:r>
      <w:r w:rsidRPr="00EA190F">
        <w:rPr>
          <w:color w:val="000000"/>
        </w:rPr>
        <w:t xml:space="preserve">was prepared in consultation with the </w:t>
      </w:r>
      <w:r w:rsidR="00FB67E5" w:rsidRPr="00EA190F">
        <w:rPr>
          <w:color w:val="000000"/>
        </w:rPr>
        <w:t>Government</w:t>
      </w:r>
      <w:r w:rsidR="00AE79C6" w:rsidRPr="00EA190F">
        <w:rPr>
          <w:color w:val="000000"/>
        </w:rPr>
        <w:t xml:space="preserve"> of the </w:t>
      </w:r>
      <w:smartTag w:uri="urn:schemas-microsoft-com:office:smarttags" w:element="country-region">
        <w:smartTag w:uri="urn:schemas-microsoft-com:office:smarttags" w:element="place">
          <w:r w:rsidR="00AE79C6" w:rsidRPr="00EA190F">
            <w:rPr>
              <w:color w:val="000000"/>
            </w:rPr>
            <w:t>Philippines</w:t>
          </w:r>
        </w:smartTag>
      </w:smartTag>
      <w:r w:rsidRPr="00EA190F">
        <w:rPr>
          <w:color w:val="000000"/>
        </w:rPr>
        <w:t>, other donors and civil society partners.</w:t>
      </w:r>
      <w:r w:rsidR="008F6566" w:rsidRPr="00EA190F">
        <w:rPr>
          <w:color w:val="000000"/>
        </w:rPr>
        <w:t xml:space="preserve"> </w:t>
      </w:r>
      <w:r w:rsidRPr="00EA190F">
        <w:rPr>
          <w:color w:val="000000"/>
        </w:rPr>
        <w:t xml:space="preserve">A system for measuring success in implementing the </w:t>
      </w:r>
      <w:r w:rsidR="00FB67E5" w:rsidRPr="00EA190F">
        <w:rPr>
          <w:color w:val="000000"/>
        </w:rPr>
        <w:t xml:space="preserve">plan </w:t>
      </w:r>
      <w:r w:rsidRPr="00EA190F">
        <w:rPr>
          <w:color w:val="000000"/>
        </w:rPr>
        <w:t>is currently being developed</w:t>
      </w:r>
      <w:r w:rsidR="00FB67E5" w:rsidRPr="00EA190F">
        <w:rPr>
          <w:color w:val="000000"/>
        </w:rPr>
        <w:t>,</w:t>
      </w:r>
      <w:r w:rsidRPr="00EA190F">
        <w:rPr>
          <w:color w:val="000000"/>
        </w:rPr>
        <w:t xml:space="preserve"> with the aim of feeding </w:t>
      </w:r>
      <w:r w:rsidR="00FB67E5" w:rsidRPr="00EA190F">
        <w:rPr>
          <w:color w:val="000000"/>
        </w:rPr>
        <w:t xml:space="preserve">it </w:t>
      </w:r>
      <w:r w:rsidRPr="00EA190F">
        <w:rPr>
          <w:color w:val="000000"/>
        </w:rPr>
        <w:t xml:space="preserve">into the </w:t>
      </w:r>
      <w:r w:rsidR="00FB67E5" w:rsidRPr="00EA190F">
        <w:rPr>
          <w:color w:val="000000"/>
        </w:rPr>
        <w:t xml:space="preserve">annual program performance review </w:t>
      </w:r>
      <w:r w:rsidRPr="00EA190F">
        <w:rPr>
          <w:color w:val="000000"/>
        </w:rPr>
        <w:t>process.</w:t>
      </w:r>
    </w:p>
    <w:p w:rsidR="00972566" w:rsidRPr="00EA190F" w:rsidRDefault="007122E9" w:rsidP="00E97707">
      <w:pPr>
        <w:pStyle w:val="BodyText"/>
        <w:rPr>
          <w:color w:val="000000"/>
        </w:rPr>
      </w:pPr>
      <w:r w:rsidRPr="00EA190F">
        <w:rPr>
          <w:color w:val="000000"/>
        </w:rPr>
        <w:t xml:space="preserve">Over the year, AusAID has developed a reputation within the </w:t>
      </w:r>
      <w:r w:rsidR="00FB67E5" w:rsidRPr="00EA190F">
        <w:rPr>
          <w:color w:val="000000"/>
        </w:rPr>
        <w:t xml:space="preserve">Government </w:t>
      </w:r>
      <w:r w:rsidR="00AE79C6" w:rsidRPr="00EA190F">
        <w:rPr>
          <w:color w:val="000000"/>
        </w:rPr>
        <w:t xml:space="preserve">of the </w:t>
      </w:r>
      <w:smartTag w:uri="urn:schemas-microsoft-com:office:smarttags" w:element="country-region">
        <w:smartTag w:uri="urn:schemas-microsoft-com:office:smarttags" w:element="place">
          <w:r w:rsidR="00AE79C6" w:rsidRPr="00EA190F">
            <w:rPr>
              <w:color w:val="000000"/>
            </w:rPr>
            <w:t>Philippines</w:t>
          </w:r>
        </w:smartTag>
      </w:smartTag>
      <w:r w:rsidR="00AE79C6" w:rsidRPr="00EA190F">
        <w:rPr>
          <w:color w:val="000000"/>
        </w:rPr>
        <w:t xml:space="preserve"> </w:t>
      </w:r>
      <w:r w:rsidRPr="00EA190F">
        <w:rPr>
          <w:color w:val="000000"/>
        </w:rPr>
        <w:t>and the donor community as a committed partner in addressing the corruption risks associated with major sectoral reform programs.</w:t>
      </w:r>
      <w:r w:rsidR="008F6566" w:rsidRPr="00EA190F">
        <w:rPr>
          <w:color w:val="000000"/>
        </w:rPr>
        <w:t xml:space="preserve"> </w:t>
      </w:r>
      <w:r w:rsidRPr="00EA190F">
        <w:rPr>
          <w:color w:val="000000"/>
        </w:rPr>
        <w:t xml:space="preserve">Our development of an ‘integrity’ package to help safeguard the effective implementation of the </w:t>
      </w:r>
      <w:r w:rsidR="00551368" w:rsidRPr="00EA190F">
        <w:rPr>
          <w:color w:val="000000"/>
        </w:rPr>
        <w:t xml:space="preserve">World Bank’s </w:t>
      </w:r>
      <w:r w:rsidR="00551368" w:rsidRPr="00EA190F">
        <w:rPr>
          <w:bCs/>
          <w:iCs/>
          <w:color w:val="000000"/>
        </w:rPr>
        <w:t xml:space="preserve">National Road Improvement Management Plan </w:t>
      </w:r>
      <w:r w:rsidRPr="00EA190F">
        <w:rPr>
          <w:color w:val="000000"/>
        </w:rPr>
        <w:t>is one such example.</w:t>
      </w:r>
      <w:r w:rsidR="008F6566" w:rsidRPr="00EA190F">
        <w:rPr>
          <w:color w:val="000000"/>
        </w:rPr>
        <w:t xml:space="preserve"> </w:t>
      </w:r>
      <w:r w:rsidRPr="00EA190F">
        <w:rPr>
          <w:color w:val="000000"/>
        </w:rPr>
        <w:t>This package includes the establishment in 2007 of Road Watch</w:t>
      </w:r>
      <w:r w:rsidR="008F6566" w:rsidRPr="00EA190F">
        <w:rPr>
          <w:color w:val="000000"/>
        </w:rPr>
        <w:t>—</w:t>
      </w:r>
      <w:r w:rsidRPr="00EA190F">
        <w:rPr>
          <w:color w:val="000000"/>
        </w:rPr>
        <w:t xml:space="preserve">a civil society network </w:t>
      </w:r>
      <w:r w:rsidR="00551368" w:rsidRPr="00EA190F">
        <w:rPr>
          <w:color w:val="000000"/>
        </w:rPr>
        <w:t xml:space="preserve">that </w:t>
      </w:r>
      <w:r w:rsidRPr="00EA190F">
        <w:rPr>
          <w:color w:val="000000"/>
        </w:rPr>
        <w:t>monitor</w:t>
      </w:r>
      <w:r w:rsidR="00387159" w:rsidRPr="00EA190F">
        <w:rPr>
          <w:color w:val="000000"/>
        </w:rPr>
        <w:t>s</w:t>
      </w:r>
      <w:r w:rsidRPr="00EA190F">
        <w:rPr>
          <w:color w:val="000000"/>
        </w:rPr>
        <w:t xml:space="preserve"> the </w:t>
      </w:r>
      <w:r w:rsidR="00975524" w:rsidRPr="00EA190F">
        <w:rPr>
          <w:color w:val="000000"/>
        </w:rPr>
        <w:t>Department of Public Works and Highways</w:t>
      </w:r>
      <w:r w:rsidRPr="00EA190F">
        <w:rPr>
          <w:color w:val="000000"/>
        </w:rPr>
        <w:t>’ performance in delivering quality road services.</w:t>
      </w:r>
      <w:r w:rsidR="008F6566" w:rsidRPr="00EA190F">
        <w:rPr>
          <w:color w:val="000000"/>
        </w:rPr>
        <w:t xml:space="preserve"> </w:t>
      </w:r>
      <w:r w:rsidRPr="00EA190F">
        <w:rPr>
          <w:color w:val="000000"/>
        </w:rPr>
        <w:t xml:space="preserve">AusAID has entered a new partnership with the </w:t>
      </w:r>
      <w:r w:rsidR="00551368" w:rsidRPr="00EA190F">
        <w:rPr>
          <w:color w:val="000000"/>
        </w:rPr>
        <w:t xml:space="preserve">World Bank </w:t>
      </w:r>
      <w:r w:rsidRPr="00EA190F">
        <w:rPr>
          <w:color w:val="000000"/>
        </w:rPr>
        <w:t xml:space="preserve">and the Department of Social Welfare and Development to address the corruption vulnerabilities associated with the </w:t>
      </w:r>
      <w:r w:rsidR="00571C4A" w:rsidRPr="00EA190F">
        <w:rPr>
          <w:color w:val="000000"/>
        </w:rPr>
        <w:t>Government</w:t>
      </w:r>
      <w:r w:rsidR="00AE79C6" w:rsidRPr="00EA190F">
        <w:rPr>
          <w:color w:val="000000"/>
        </w:rPr>
        <w:t xml:space="preserve"> of the </w:t>
      </w:r>
      <w:smartTag w:uri="urn:schemas-microsoft-com:office:smarttags" w:element="country-region">
        <w:smartTag w:uri="urn:schemas-microsoft-com:office:smarttags" w:element="place">
          <w:r w:rsidR="00AE79C6" w:rsidRPr="00EA190F">
            <w:rPr>
              <w:color w:val="000000"/>
            </w:rPr>
            <w:t>Philippines</w:t>
          </w:r>
        </w:smartTag>
      </w:smartTag>
      <w:r w:rsidR="00571C4A" w:rsidRPr="00EA190F">
        <w:rPr>
          <w:color w:val="000000"/>
        </w:rPr>
        <w:t xml:space="preserve">’s </w:t>
      </w:r>
      <w:r w:rsidRPr="00EA190F">
        <w:rPr>
          <w:color w:val="000000"/>
        </w:rPr>
        <w:t xml:space="preserve">Conditional Cash Transfer Program. The </w:t>
      </w:r>
      <w:r w:rsidR="00571C4A" w:rsidRPr="00EA190F">
        <w:rPr>
          <w:color w:val="000000"/>
        </w:rPr>
        <w:t>p</w:t>
      </w:r>
      <w:r w:rsidRPr="00EA190F">
        <w:rPr>
          <w:color w:val="000000"/>
        </w:rPr>
        <w:t>rogram is a household</w:t>
      </w:r>
      <w:r w:rsidR="00571C4A" w:rsidRPr="00EA190F">
        <w:rPr>
          <w:color w:val="000000"/>
        </w:rPr>
        <w:t>-</w:t>
      </w:r>
      <w:r w:rsidRPr="00EA190F">
        <w:rPr>
          <w:color w:val="000000"/>
        </w:rPr>
        <w:t>level pro-poor incentive program with the goal of improving the health and educational status of children and mothers in targeted populations and locations.</w:t>
      </w:r>
      <w:r w:rsidR="008F6566" w:rsidRPr="00EA190F">
        <w:rPr>
          <w:color w:val="000000"/>
        </w:rPr>
        <w:t xml:space="preserve"> </w:t>
      </w:r>
      <w:r w:rsidRPr="00EA190F">
        <w:rPr>
          <w:color w:val="000000"/>
        </w:rPr>
        <w:t xml:space="preserve">Support is particularly timely as the development community in the </w:t>
      </w:r>
      <w:smartTag w:uri="urn:schemas-microsoft-com:office:smarttags" w:element="country-region">
        <w:smartTag w:uri="urn:schemas-microsoft-com:office:smarttags" w:element="place">
          <w:r w:rsidRPr="00EA190F">
            <w:rPr>
              <w:color w:val="000000"/>
            </w:rPr>
            <w:t>Philippines</w:t>
          </w:r>
        </w:smartTag>
      </w:smartTag>
      <w:r w:rsidRPr="00EA190F">
        <w:rPr>
          <w:color w:val="000000"/>
        </w:rPr>
        <w:t xml:space="preserve"> refocuses attention on well-targeted safety nets for the poor in an environment of rising food and commodity prices.</w:t>
      </w:r>
    </w:p>
    <w:sectPr w:rsidR="00972566" w:rsidRPr="00EA190F" w:rsidSect="0018310B">
      <w:headerReference w:type="even" r:id="rId46"/>
      <w:headerReference w:type="default" r:id="rId47"/>
      <w:footerReference w:type="even" r:id="rId48"/>
      <w:footerReference w:type="default" r:id="rId49"/>
      <w:pgSz w:w="11907" w:h="16840" w:code="9"/>
      <w:pgMar w:top="2268" w:right="1985" w:bottom="1247" w:left="1985"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683" w:rsidRDefault="008E0683">
      <w:r>
        <w:separator/>
      </w:r>
    </w:p>
  </w:endnote>
  <w:endnote w:type="continuationSeparator" w:id="0">
    <w:p w:rsidR="008E0683" w:rsidRDefault="008E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p w:rsidR="000E2C8F" w:rsidRDefault="000E2C8F">
    <w:pPr>
      <w:pStyle w:val="Footer"/>
      <w:spacing w:line="14" w:lineRule="exact"/>
      <w:ind w:left="0" w:right="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Footer"/>
    </w:pPr>
    <w:r>
      <w:tab/>
    </w:r>
    <w:r>
      <w:tab/>
    </w:r>
    <w:r>
      <w:rPr>
        <w:b/>
      </w:rPr>
      <w:t>A</w:t>
    </w:r>
    <w:r>
      <w:rPr>
        <w:b/>
        <w:caps w:val="0"/>
        <w:smallCaps/>
      </w:rPr>
      <w:t>us</w:t>
    </w:r>
    <w:r>
      <w:rPr>
        <w:b/>
      </w:rPr>
      <w:t>AID</w:t>
    </w:r>
    <w:r>
      <w:t> </w:t>
    </w:r>
    <w:r w:rsidR="008E0683">
      <w:fldChar w:fldCharType="begin"/>
    </w:r>
    <w:r w:rsidR="008E0683">
      <w:instrText xml:space="preserve"> STYLEREF Title \* MERGEFORMAT </w:instrText>
    </w:r>
    <w:r w:rsidR="008E0683">
      <w:fldChar w:fldCharType="separate"/>
    </w:r>
    <w:r w:rsidR="004B30D6" w:rsidRPr="004B30D6">
      <w:rPr>
        <w:b/>
        <w:bCs/>
        <w:noProof/>
        <w:lang w:val="en-US"/>
      </w:rPr>
      <w:t>Annual program performance report for the Philippines 2007–08</w:t>
    </w:r>
    <w:r w:rsidR="008E0683">
      <w:rPr>
        <w:b/>
        <w:bCs/>
        <w:noProof/>
        <w:lang w:val="en-US"/>
      </w:rPr>
      <w:fldChar w:fldCharType="end"/>
    </w:r>
    <w:r w:rsidR="007F2422">
      <w:t xml:space="preserve"> </w:t>
    </w:r>
    <w:r>
      <w:fldChar w:fldCharType="begin"/>
    </w:r>
    <w:r>
      <w:instrText xml:space="preserve"> STYLEREF  Subtitle </w:instrText>
    </w:r>
    <w:r>
      <w:fldChar w:fldCharType="separate"/>
    </w:r>
    <w:r w:rsidR="004B30D6">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4B30D6">
      <w:rPr>
        <w:rStyle w:val="PageNumber"/>
        <w:caps w:val="0"/>
        <w:noProof/>
      </w:rPr>
      <w:t>7</w:t>
    </w:r>
    <w:r>
      <w:rPr>
        <w:rStyle w:val="PageNumber"/>
        <w:caps w:val="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Footer"/>
    </w:pPr>
    <w:r>
      <w:rPr>
        <w:rStyle w:val="PageNumber"/>
      </w:rPr>
      <w:fldChar w:fldCharType="begin"/>
    </w:r>
    <w:r>
      <w:rPr>
        <w:rStyle w:val="PageNumber"/>
      </w:rPr>
      <w:instrText xml:space="preserve"> PAGE </w:instrText>
    </w:r>
    <w:r>
      <w:rPr>
        <w:rStyle w:val="PageNumber"/>
      </w:rPr>
      <w:fldChar w:fldCharType="separate"/>
    </w:r>
    <w:r w:rsidR="004B30D6">
      <w:rPr>
        <w:rStyle w:val="PageNumber"/>
        <w:noProof/>
      </w:rPr>
      <w:t>10</w:t>
    </w:r>
    <w:r>
      <w:rPr>
        <w:rStyle w:val="PageNumber"/>
      </w:rPr>
      <w:fldChar w:fldCharType="end"/>
    </w:r>
    <w:r>
      <w:rPr>
        <w:rStyle w:val="PageNumber"/>
      </w:rPr>
      <w:tab/>
    </w:r>
    <w:r>
      <w:rPr>
        <w:b/>
      </w:rPr>
      <w:t>A</w:t>
    </w:r>
    <w:r>
      <w:rPr>
        <w:b/>
        <w:caps w:val="0"/>
        <w:smallCaps/>
      </w:rPr>
      <w:t>us</w:t>
    </w:r>
    <w:r>
      <w:rPr>
        <w:b/>
      </w:rPr>
      <w:t>AID</w:t>
    </w:r>
    <w:r>
      <w:t> </w:t>
    </w:r>
    <w:r w:rsidR="008E0683">
      <w:fldChar w:fldCharType="begin"/>
    </w:r>
    <w:r w:rsidR="008E0683">
      <w:instrText xml:space="preserve"> STYLEREF Title \* MERGEFORMAT </w:instrText>
    </w:r>
    <w:r w:rsidR="008E0683">
      <w:fldChar w:fldCharType="separate"/>
    </w:r>
    <w:r w:rsidR="004B30D6" w:rsidRPr="004B30D6">
      <w:rPr>
        <w:b/>
        <w:bCs/>
        <w:noProof/>
        <w:lang w:val="en-US"/>
      </w:rPr>
      <w:t>Annual program performance report for the Philippines 2007–08</w:t>
    </w:r>
    <w:r w:rsidR="008E0683">
      <w:rPr>
        <w:b/>
        <w:bCs/>
        <w:noProof/>
        <w:lang w:val="en-US"/>
      </w:rPr>
      <w:fldChar w:fldCharType="end"/>
    </w:r>
    <w:r w:rsidR="007F2422">
      <w:t xml:space="preserve"> </w:t>
    </w:r>
    <w:r>
      <w:fldChar w:fldCharType="begin"/>
    </w:r>
    <w:r>
      <w:instrText xml:space="preserve"> STYLEREF  Subtitle </w:instrText>
    </w:r>
    <w:r>
      <w:fldChar w:fldCharType="separate"/>
    </w:r>
    <w:r w:rsidR="004B30D6">
      <w:rPr>
        <w:noProof/>
      </w:rPr>
      <w:t>NOVEMBER 2008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Footer"/>
    </w:pPr>
    <w:r>
      <w:tab/>
    </w:r>
    <w:r>
      <w:tab/>
    </w:r>
    <w:r>
      <w:rPr>
        <w:b/>
      </w:rPr>
      <w:t>A</w:t>
    </w:r>
    <w:r>
      <w:rPr>
        <w:b/>
        <w:caps w:val="0"/>
        <w:smallCaps/>
      </w:rPr>
      <w:t>us</w:t>
    </w:r>
    <w:r>
      <w:rPr>
        <w:b/>
      </w:rPr>
      <w:t>AID</w:t>
    </w:r>
    <w:r>
      <w:t> </w:t>
    </w:r>
    <w:r w:rsidR="008E0683">
      <w:fldChar w:fldCharType="begin"/>
    </w:r>
    <w:r w:rsidR="008E0683">
      <w:instrText xml:space="preserve"> STYLEREF Title \* MERGEFORMAT </w:instrText>
    </w:r>
    <w:r w:rsidR="008E0683">
      <w:fldChar w:fldCharType="separate"/>
    </w:r>
    <w:r w:rsidR="004B30D6" w:rsidRPr="004B30D6">
      <w:rPr>
        <w:b/>
        <w:bCs/>
        <w:noProof/>
        <w:lang w:val="en-US"/>
      </w:rPr>
      <w:t>Annual program performance report for the Philippines 2007–08</w:t>
    </w:r>
    <w:r w:rsidR="008E0683">
      <w:rPr>
        <w:b/>
        <w:bCs/>
        <w:noProof/>
        <w:lang w:val="en-US"/>
      </w:rPr>
      <w:fldChar w:fldCharType="end"/>
    </w:r>
    <w:r w:rsidR="007F2422">
      <w:t xml:space="preserve"> </w:t>
    </w:r>
    <w:r>
      <w:fldChar w:fldCharType="begin"/>
    </w:r>
    <w:r>
      <w:instrText xml:space="preserve"> STYLEREF  Subtitle </w:instrText>
    </w:r>
    <w:r>
      <w:fldChar w:fldCharType="separate"/>
    </w:r>
    <w:r w:rsidR="004B30D6">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4B30D6">
      <w:rPr>
        <w:rStyle w:val="PageNumber"/>
        <w:caps w:val="0"/>
        <w:noProof/>
      </w:rPr>
      <w:t>9</w:t>
    </w:r>
    <w:r>
      <w:rPr>
        <w:rStyle w:val="PageNumber"/>
        <w:caps w:val="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Footer"/>
    </w:pPr>
    <w:r>
      <w:rPr>
        <w:rStyle w:val="PageNumber"/>
      </w:rPr>
      <w:fldChar w:fldCharType="begin"/>
    </w:r>
    <w:r>
      <w:rPr>
        <w:rStyle w:val="PageNumber"/>
      </w:rPr>
      <w:instrText xml:space="preserve"> PAGE </w:instrText>
    </w:r>
    <w:r>
      <w:rPr>
        <w:rStyle w:val="PageNumber"/>
      </w:rPr>
      <w:fldChar w:fldCharType="separate"/>
    </w:r>
    <w:r w:rsidR="004B30D6">
      <w:rPr>
        <w:rStyle w:val="PageNumber"/>
        <w:noProof/>
      </w:rPr>
      <w:t>28</w:t>
    </w:r>
    <w:r>
      <w:rPr>
        <w:rStyle w:val="PageNumber"/>
      </w:rPr>
      <w:fldChar w:fldCharType="end"/>
    </w:r>
    <w:r>
      <w:rPr>
        <w:rStyle w:val="PageNumber"/>
      </w:rPr>
      <w:tab/>
    </w:r>
    <w:r>
      <w:rPr>
        <w:b/>
      </w:rPr>
      <w:t>A</w:t>
    </w:r>
    <w:r>
      <w:rPr>
        <w:b/>
        <w:caps w:val="0"/>
        <w:smallCaps/>
      </w:rPr>
      <w:t>us</w:t>
    </w:r>
    <w:r>
      <w:rPr>
        <w:b/>
      </w:rPr>
      <w:t>AID</w:t>
    </w:r>
    <w:r>
      <w:t> </w:t>
    </w:r>
    <w:r w:rsidR="008E0683">
      <w:fldChar w:fldCharType="begin"/>
    </w:r>
    <w:r w:rsidR="008E0683">
      <w:instrText xml:space="preserve"> STYLEREF Title \* MERGEFORMAT </w:instrText>
    </w:r>
    <w:r w:rsidR="008E0683">
      <w:fldChar w:fldCharType="separate"/>
    </w:r>
    <w:r w:rsidR="004B30D6" w:rsidRPr="004B30D6">
      <w:rPr>
        <w:b/>
        <w:bCs/>
        <w:noProof/>
        <w:lang w:val="en-US"/>
      </w:rPr>
      <w:t>Annual program performance report for the Philippines 2007–08</w:t>
    </w:r>
    <w:r w:rsidR="008E0683">
      <w:rPr>
        <w:b/>
        <w:bCs/>
        <w:noProof/>
        <w:lang w:val="en-US"/>
      </w:rPr>
      <w:fldChar w:fldCharType="end"/>
    </w:r>
    <w:r w:rsidR="007F2422">
      <w:t xml:space="preserve"> </w:t>
    </w:r>
    <w:r>
      <w:fldChar w:fldCharType="begin"/>
    </w:r>
    <w:r>
      <w:instrText xml:space="preserve"> STYLEREF  Subtitle </w:instrText>
    </w:r>
    <w:r>
      <w:fldChar w:fldCharType="separate"/>
    </w:r>
    <w:r w:rsidR="004B30D6">
      <w:rPr>
        <w:noProof/>
      </w:rPr>
      <w:t>NOVEMBER 2008</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Footer"/>
    </w:pPr>
    <w:r>
      <w:tab/>
    </w:r>
    <w:r>
      <w:tab/>
    </w:r>
    <w:r>
      <w:rPr>
        <w:b/>
      </w:rPr>
      <w:t>A</w:t>
    </w:r>
    <w:r>
      <w:rPr>
        <w:b/>
        <w:caps w:val="0"/>
        <w:smallCaps/>
      </w:rPr>
      <w:t>us</w:t>
    </w:r>
    <w:r>
      <w:rPr>
        <w:b/>
      </w:rPr>
      <w:t>AID</w:t>
    </w:r>
    <w:r>
      <w:t> </w:t>
    </w:r>
    <w:r w:rsidR="008E0683">
      <w:fldChar w:fldCharType="begin"/>
    </w:r>
    <w:r w:rsidR="008E0683">
      <w:instrText xml:space="preserve"> STYLEREF Title \* MERGEFORMAT </w:instrText>
    </w:r>
    <w:r w:rsidR="008E0683">
      <w:fldChar w:fldCharType="separate"/>
    </w:r>
    <w:r w:rsidR="004B30D6" w:rsidRPr="004B30D6">
      <w:rPr>
        <w:b/>
        <w:bCs/>
        <w:noProof/>
        <w:lang w:val="en-US"/>
      </w:rPr>
      <w:t>Annual program performance report for the Philippines 2007–08</w:t>
    </w:r>
    <w:r w:rsidR="008E0683">
      <w:rPr>
        <w:b/>
        <w:bCs/>
        <w:noProof/>
        <w:lang w:val="en-US"/>
      </w:rPr>
      <w:fldChar w:fldCharType="end"/>
    </w:r>
    <w:r w:rsidR="007F2422">
      <w:t xml:space="preserve"> </w:t>
    </w:r>
    <w:r>
      <w:fldChar w:fldCharType="begin"/>
    </w:r>
    <w:r>
      <w:instrText xml:space="preserve"> STYLEREF  Subtitle </w:instrText>
    </w:r>
    <w:r>
      <w:fldChar w:fldCharType="separate"/>
    </w:r>
    <w:r w:rsidR="004B30D6">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4B30D6">
      <w:rPr>
        <w:rStyle w:val="PageNumber"/>
        <w:caps w:val="0"/>
        <w:noProof/>
      </w:rPr>
      <w:t>29</w:t>
    </w:r>
    <w:r>
      <w:rPr>
        <w:rStyle w:val="PageNumber"/>
        <w:caps w:val="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Footer"/>
    </w:pPr>
    <w:r>
      <w:rPr>
        <w:rStyle w:val="PageNumber"/>
      </w:rPr>
      <w:fldChar w:fldCharType="begin"/>
    </w:r>
    <w:r>
      <w:rPr>
        <w:rStyle w:val="PageNumber"/>
      </w:rPr>
      <w:instrText xml:space="preserve"> PAGE </w:instrText>
    </w:r>
    <w:r>
      <w:rPr>
        <w:rStyle w:val="PageNumber"/>
      </w:rPr>
      <w:fldChar w:fldCharType="separate"/>
    </w:r>
    <w:r w:rsidR="004B30D6">
      <w:rPr>
        <w:rStyle w:val="PageNumber"/>
        <w:noProof/>
      </w:rPr>
      <w:t>30</w:t>
    </w:r>
    <w:r>
      <w:rPr>
        <w:rStyle w:val="PageNumber"/>
      </w:rPr>
      <w:fldChar w:fldCharType="end"/>
    </w:r>
    <w:r>
      <w:rPr>
        <w:rStyle w:val="PageNumber"/>
      </w:rPr>
      <w:tab/>
    </w:r>
    <w:r>
      <w:rPr>
        <w:b/>
      </w:rPr>
      <w:t>A</w:t>
    </w:r>
    <w:r>
      <w:rPr>
        <w:b/>
        <w:caps w:val="0"/>
        <w:smallCaps/>
      </w:rPr>
      <w:t>us</w:t>
    </w:r>
    <w:r>
      <w:rPr>
        <w:b/>
      </w:rPr>
      <w:t>AID</w:t>
    </w:r>
    <w:r>
      <w:t> </w:t>
    </w:r>
    <w:r w:rsidR="008E0683">
      <w:fldChar w:fldCharType="begin"/>
    </w:r>
    <w:r w:rsidR="008E0683">
      <w:instrText xml:space="preserve"> STYLEREF Title \* MERGEFORMAT </w:instrText>
    </w:r>
    <w:r w:rsidR="008E0683">
      <w:fldChar w:fldCharType="separate"/>
    </w:r>
    <w:r w:rsidR="004B30D6" w:rsidRPr="004B30D6">
      <w:rPr>
        <w:b/>
        <w:bCs/>
        <w:noProof/>
        <w:lang w:val="en-US"/>
      </w:rPr>
      <w:t>Annual program performance report for the Philippines 2007–08</w:t>
    </w:r>
    <w:r w:rsidR="008E0683">
      <w:rPr>
        <w:b/>
        <w:bCs/>
        <w:noProof/>
        <w:lang w:val="en-US"/>
      </w:rPr>
      <w:fldChar w:fldCharType="end"/>
    </w:r>
    <w:r w:rsidR="007F2422">
      <w:t xml:space="preserve"> </w:t>
    </w:r>
    <w:r>
      <w:fldChar w:fldCharType="begin"/>
    </w:r>
    <w:r>
      <w:instrText xml:space="preserve"> STYLEREF  Subtitle </w:instrText>
    </w:r>
    <w:r>
      <w:fldChar w:fldCharType="separate"/>
    </w:r>
    <w:r w:rsidR="004B30D6">
      <w:rPr>
        <w:noProof/>
      </w:rPr>
      <w:t>NOVEMBER 2008</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rsidP="007B3F3B">
    <w:pPr>
      <w:pStyle w:val="Footer"/>
      <w:tabs>
        <w:tab w:val="clear" w:pos="7655"/>
        <w:tab w:val="clear" w:pos="8165"/>
        <w:tab w:val="right" w:pos="7938"/>
        <w:tab w:val="right" w:pos="8448"/>
      </w:tabs>
    </w:pPr>
    <w:r>
      <w:tab/>
    </w:r>
    <w:r>
      <w:tab/>
    </w:r>
    <w:r>
      <w:rPr>
        <w:b/>
      </w:rPr>
      <w:t>A</w:t>
    </w:r>
    <w:r>
      <w:rPr>
        <w:b/>
        <w:caps w:val="0"/>
        <w:smallCaps/>
      </w:rPr>
      <w:t>us</w:t>
    </w:r>
    <w:r>
      <w:rPr>
        <w:b/>
      </w:rPr>
      <w:t>AID</w:t>
    </w:r>
    <w:r>
      <w:t> </w:t>
    </w:r>
    <w:r w:rsidR="008E0683">
      <w:fldChar w:fldCharType="begin"/>
    </w:r>
    <w:r w:rsidR="008E0683">
      <w:instrText xml:space="preserve"> STYLEREF Title \*</w:instrText>
    </w:r>
    <w:r w:rsidR="008E0683">
      <w:instrText xml:space="preserve"> MERGEFORMAT </w:instrText>
    </w:r>
    <w:r w:rsidR="008E0683">
      <w:fldChar w:fldCharType="separate"/>
    </w:r>
    <w:r>
      <w:rPr>
        <w:noProof/>
      </w:rPr>
      <w:t>Annual program performance report for the Philippines 2007–08</w:t>
    </w:r>
    <w:r w:rsidR="008E0683">
      <w:rPr>
        <w:noProof/>
      </w:rPr>
      <w:fldChar w:fldCharType="end"/>
    </w:r>
    <w:r>
      <w:fldChar w:fldCharType="begin"/>
    </w:r>
    <w:r>
      <w:instrText xml:space="preserve"> STYLEREF  Subtitle </w:instrTex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Pr>
        <w:rStyle w:val="PageNumber"/>
        <w:caps w:val="0"/>
        <w:noProof/>
      </w:rPr>
      <w:t>31</w:t>
    </w:r>
    <w:r>
      <w:rPr>
        <w:rStyle w:val="PageNumber"/>
        <w:caps w:val="0"/>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rsidP="008D14B5">
    <w:pPr>
      <w:pStyle w:val="Footer"/>
    </w:pPr>
    <w:r>
      <w:rPr>
        <w:rStyle w:val="PageNumber"/>
      </w:rPr>
      <w:fldChar w:fldCharType="begin"/>
    </w:r>
    <w:r>
      <w:rPr>
        <w:rStyle w:val="PageNumber"/>
      </w:rPr>
      <w:instrText xml:space="preserve"> PAGE </w:instrText>
    </w:r>
    <w:r>
      <w:rPr>
        <w:rStyle w:val="PageNumber"/>
      </w:rPr>
      <w:fldChar w:fldCharType="separate"/>
    </w:r>
    <w:r w:rsidR="004B30D6">
      <w:rPr>
        <w:rStyle w:val="PageNumber"/>
        <w:noProof/>
      </w:rPr>
      <w:t>36</w:t>
    </w:r>
    <w:r>
      <w:rPr>
        <w:rStyle w:val="PageNumber"/>
      </w:rPr>
      <w:fldChar w:fldCharType="end"/>
    </w:r>
    <w:r>
      <w:rPr>
        <w:rStyle w:val="PageNumber"/>
      </w:rPr>
      <w:tab/>
    </w:r>
    <w:r>
      <w:rPr>
        <w:b/>
      </w:rPr>
      <w:t>A</w:t>
    </w:r>
    <w:r>
      <w:rPr>
        <w:b/>
        <w:caps w:val="0"/>
        <w:smallCaps/>
      </w:rPr>
      <w:t>us</w:t>
    </w:r>
    <w:r>
      <w:rPr>
        <w:b/>
      </w:rPr>
      <w:t>AID</w:t>
    </w:r>
    <w:r>
      <w:t> </w:t>
    </w:r>
    <w:r w:rsidR="008E0683">
      <w:fldChar w:fldCharType="begin"/>
    </w:r>
    <w:r w:rsidR="008E0683">
      <w:instrText xml:space="preserve"> STYLEREF Title \* MERGEFORMAT </w:instrText>
    </w:r>
    <w:r w:rsidR="008E0683">
      <w:fldChar w:fldCharType="separate"/>
    </w:r>
    <w:r w:rsidR="004B30D6" w:rsidRPr="004B30D6">
      <w:rPr>
        <w:b/>
        <w:bCs/>
        <w:noProof/>
        <w:lang w:val="en-US"/>
      </w:rPr>
      <w:t>Annual program performance report for the Philippines 2007–08</w:t>
    </w:r>
    <w:r w:rsidR="008E0683">
      <w:rPr>
        <w:b/>
        <w:bCs/>
        <w:noProof/>
        <w:lang w:val="en-US"/>
      </w:rPr>
      <w:fldChar w:fldCharType="end"/>
    </w:r>
    <w:r w:rsidR="007F2422">
      <w:t xml:space="preserve"> </w:t>
    </w:r>
    <w:r>
      <w:fldChar w:fldCharType="begin"/>
    </w:r>
    <w:r>
      <w:instrText xml:space="preserve"> STYLEREF  Subtitle </w:instrText>
    </w:r>
    <w:r>
      <w:fldChar w:fldCharType="separate"/>
    </w:r>
    <w:r w:rsidR="004B30D6">
      <w:rPr>
        <w:noProof/>
      </w:rPr>
      <w:t>NOVEMBER 2008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Footer"/>
    </w:pPr>
    <w: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rsidP="008D14B5">
    <w:pPr>
      <w:pStyle w:val="Footer"/>
      <w:tabs>
        <w:tab w:val="clear" w:pos="7655"/>
        <w:tab w:val="clear" w:pos="8165"/>
        <w:tab w:val="right" w:pos="7938"/>
        <w:tab w:val="right" w:pos="8448"/>
      </w:tabs>
    </w:pPr>
    <w:r>
      <w:tab/>
    </w:r>
    <w:r>
      <w:tab/>
    </w:r>
    <w:r>
      <w:rPr>
        <w:b/>
      </w:rPr>
      <w:t>A</w:t>
    </w:r>
    <w:r>
      <w:rPr>
        <w:b/>
        <w:caps w:val="0"/>
        <w:smallCaps/>
      </w:rPr>
      <w:t>us</w:t>
    </w:r>
    <w:r>
      <w:rPr>
        <w:b/>
      </w:rPr>
      <w:t>AID</w:t>
    </w:r>
    <w:r>
      <w:t> </w:t>
    </w:r>
    <w:r w:rsidR="008E0683">
      <w:fldChar w:fldCharType="begin"/>
    </w:r>
    <w:r w:rsidR="008E0683">
      <w:instrText xml:space="preserve"> STYLEREF Title \* MERGEFORMAT </w:instrText>
    </w:r>
    <w:r w:rsidR="008E0683">
      <w:fldChar w:fldCharType="separate"/>
    </w:r>
    <w:r w:rsidR="004B30D6" w:rsidRPr="004B30D6">
      <w:rPr>
        <w:b/>
        <w:bCs/>
        <w:noProof/>
        <w:lang w:val="en-US"/>
      </w:rPr>
      <w:t>Annual program performance report for the Philippines 2007–08</w:t>
    </w:r>
    <w:r w:rsidR="008E0683">
      <w:rPr>
        <w:b/>
        <w:bCs/>
        <w:noProof/>
        <w:lang w:val="en-US"/>
      </w:rPr>
      <w:fldChar w:fldCharType="end"/>
    </w:r>
    <w:r w:rsidR="007F2422">
      <w:t xml:space="preserve"> </w:t>
    </w:r>
    <w:r>
      <w:fldChar w:fldCharType="begin"/>
    </w:r>
    <w:r>
      <w:instrText xml:space="preserve"> STYLEREF  Subtitle </w:instrText>
    </w:r>
    <w:r>
      <w:fldChar w:fldCharType="separate"/>
    </w:r>
    <w:r w:rsidR="004B30D6">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4B30D6">
      <w:rPr>
        <w:rStyle w:val="PageNumber"/>
        <w:caps w:val="0"/>
        <w:noProof/>
      </w:rPr>
      <w:t>35</w:t>
    </w:r>
    <w:r>
      <w:rPr>
        <w:rStyle w:val="PageNumber"/>
        <w:caps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Footer"/>
    </w:pPr>
    <w:r>
      <w:rPr>
        <w:rStyle w:val="PageNumber"/>
      </w:rPr>
      <w:fldChar w:fldCharType="begin"/>
    </w:r>
    <w:r>
      <w:rPr>
        <w:rStyle w:val="PageNumber"/>
      </w:rPr>
      <w:instrText xml:space="preserve"> PAGE </w:instrText>
    </w:r>
    <w:r>
      <w:rPr>
        <w:rStyle w:val="PageNumber"/>
      </w:rPr>
      <w:fldChar w:fldCharType="separate"/>
    </w:r>
    <w:r w:rsidR="004B30D6">
      <w:rPr>
        <w:rStyle w:val="PageNumber"/>
        <w:noProof/>
      </w:rPr>
      <w:t>2</w:t>
    </w:r>
    <w:r>
      <w:rPr>
        <w:rStyle w:val="PageNumber"/>
      </w:rPr>
      <w:fldChar w:fldCharType="end"/>
    </w:r>
    <w:r>
      <w:rPr>
        <w:rStyle w:val="PageNumber"/>
      </w:rPr>
      <w:tab/>
    </w:r>
    <w:r>
      <w:rPr>
        <w:b/>
      </w:rPr>
      <w:t>A</w:t>
    </w:r>
    <w:r>
      <w:rPr>
        <w:b/>
        <w:caps w:val="0"/>
        <w:smallCaps/>
      </w:rPr>
      <w:t>us</w:t>
    </w:r>
    <w:r>
      <w:rPr>
        <w:b/>
      </w:rPr>
      <w:t>AID</w:t>
    </w:r>
    <w:r>
      <w:t> </w:t>
    </w:r>
    <w:r w:rsidR="008E0683">
      <w:fldChar w:fldCharType="begin"/>
    </w:r>
    <w:r w:rsidR="008E0683">
      <w:instrText xml:space="preserve"> STYLEREF Title \* MERGEFORMAT </w:instrText>
    </w:r>
    <w:r w:rsidR="008E0683">
      <w:fldChar w:fldCharType="separate"/>
    </w:r>
    <w:r w:rsidR="004B30D6" w:rsidRPr="004B30D6">
      <w:rPr>
        <w:b/>
        <w:bCs/>
        <w:noProof/>
        <w:lang w:val="en-US"/>
      </w:rPr>
      <w:t>Annual program performance report for the Philippines 2007–08</w:t>
    </w:r>
    <w:r w:rsidR="008E0683">
      <w:rPr>
        <w:b/>
        <w:bCs/>
        <w:noProof/>
        <w:lang w:val="en-US"/>
      </w:rPr>
      <w:fldChar w:fldCharType="end"/>
    </w:r>
    <w:r w:rsidR="007F2422">
      <w:t xml:space="preserve"> </w:t>
    </w:r>
    <w:r>
      <w:fldChar w:fldCharType="begin"/>
    </w:r>
    <w:r>
      <w:instrText xml:space="preserve"> STYLEREF  Subtitle </w:instrText>
    </w:r>
    <w:r>
      <w:fldChar w:fldCharType="separate"/>
    </w:r>
    <w:r w:rsidR="004B30D6">
      <w:rPr>
        <w:noProof/>
      </w:rPr>
      <w:t>NOVEMBER 2008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Footer"/>
    </w:pPr>
    <w:r>
      <w:tab/>
    </w:r>
    <w:r>
      <w:tab/>
    </w:r>
    <w:r>
      <w:rPr>
        <w:b/>
      </w:rPr>
      <w:t>A</w:t>
    </w:r>
    <w:r>
      <w:rPr>
        <w:b/>
        <w:caps w:val="0"/>
        <w:smallCaps/>
      </w:rPr>
      <w:t>us</w:t>
    </w:r>
    <w:r>
      <w:rPr>
        <w:b/>
      </w:rPr>
      <w:t>AID</w:t>
    </w:r>
    <w:r>
      <w:t> </w:t>
    </w:r>
    <w:r w:rsidR="008E0683">
      <w:fldChar w:fldCharType="begin"/>
    </w:r>
    <w:r w:rsidR="008E0683">
      <w:instrText xml:space="preserve"> STYLEREF Title \* MERGEFORMAT </w:instrText>
    </w:r>
    <w:r w:rsidR="008E0683">
      <w:fldChar w:fldCharType="separate"/>
    </w:r>
    <w:r>
      <w:rPr>
        <w:noProof/>
      </w:rPr>
      <w:t>Annual program performance report for the Philippines 2007–08</w:t>
    </w:r>
    <w:r w:rsidR="008E0683">
      <w:rPr>
        <w:noProof/>
      </w:rPr>
      <w:fldChar w:fldCharType="end"/>
    </w:r>
    <w:r>
      <w:fldChar w:fldCharType="begin"/>
    </w:r>
    <w:r>
      <w:instrText xml:space="preserve"> STYLEREF  Subtitle </w:instrTex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Pr>
        <w:rStyle w:val="PageNumber"/>
        <w:caps w:val="0"/>
        <w:noProof/>
      </w:rPr>
      <w:t>3</w:t>
    </w:r>
    <w:r>
      <w:rPr>
        <w:rStyle w:val="PageNumber"/>
        <w:caps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r>
    <w:r>
      <w:rPr>
        <w:b/>
      </w:rPr>
      <w:t>A</w:t>
    </w:r>
    <w:r>
      <w:rPr>
        <w:b/>
        <w:caps w:val="0"/>
        <w:smallCaps/>
      </w:rPr>
      <w:t>us</w:t>
    </w:r>
    <w:r>
      <w:rPr>
        <w:b/>
      </w:rPr>
      <w:t>AID</w:t>
    </w:r>
    <w:r>
      <w:t> </w:t>
    </w:r>
    <w:r w:rsidR="008E0683">
      <w:fldChar w:fldCharType="begin"/>
    </w:r>
    <w:r w:rsidR="008E0683">
      <w:instrText xml:space="preserve"> STYLEREF Title \* MERGEFORMAT </w:instrText>
    </w:r>
    <w:r w:rsidR="008E0683">
      <w:fldChar w:fldCharType="separate"/>
    </w:r>
    <w:r>
      <w:rPr>
        <w:noProof/>
      </w:rPr>
      <w:t>Annual program performance report for the Philippines 2007–08</w:t>
    </w:r>
    <w:r w:rsidR="008E0683">
      <w:rPr>
        <w:noProof/>
      </w:rPr>
      <w:fldChar w:fldCharType="end"/>
    </w:r>
    <w:r>
      <w:fldChar w:fldCharType="begin"/>
    </w:r>
    <w:r>
      <w:instrText xml:space="preserve"> STYLEREF  Subtitle </w:instrTex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Footer"/>
    </w:pPr>
    <w:r>
      <w:tab/>
    </w:r>
    <w:r>
      <w:tab/>
    </w:r>
    <w:r>
      <w:rPr>
        <w:b/>
      </w:rPr>
      <w:t>A</w:t>
    </w:r>
    <w:r>
      <w:rPr>
        <w:b/>
        <w:caps w:val="0"/>
        <w:smallCaps/>
      </w:rPr>
      <w:t>us</w:t>
    </w:r>
    <w:r>
      <w:rPr>
        <w:b/>
      </w:rPr>
      <w:t>AID</w:t>
    </w:r>
    <w:r>
      <w:t> </w:t>
    </w:r>
    <w:r w:rsidR="008E0683">
      <w:fldChar w:fldCharType="begin"/>
    </w:r>
    <w:r w:rsidR="008E0683">
      <w:instrText xml:space="preserve"> STYLEREF Title \* MERGEFORMAT </w:instrText>
    </w:r>
    <w:r w:rsidR="008E0683">
      <w:fldChar w:fldCharType="separate"/>
    </w:r>
    <w:r w:rsidR="004B30D6" w:rsidRPr="004B30D6">
      <w:rPr>
        <w:b/>
        <w:bCs/>
        <w:noProof/>
        <w:lang w:val="en-US"/>
      </w:rPr>
      <w:t>Annual program performance report for the Philippines 2007–08</w:t>
    </w:r>
    <w:r w:rsidR="008E0683">
      <w:rPr>
        <w:b/>
        <w:bCs/>
        <w:noProof/>
        <w:lang w:val="en-US"/>
      </w:rPr>
      <w:fldChar w:fldCharType="end"/>
    </w:r>
    <w:r w:rsidR="007F2422">
      <w:t xml:space="preserve"> </w:t>
    </w:r>
    <w:r>
      <w:fldChar w:fldCharType="begin"/>
    </w:r>
    <w:r>
      <w:instrText xml:space="preserve"> STYLEREF  Subtitle </w:instrText>
    </w:r>
    <w:r>
      <w:fldChar w:fldCharType="separate"/>
    </w:r>
    <w:r w:rsidR="004B30D6">
      <w:rPr>
        <w:noProof/>
      </w:rPr>
      <w:t>NOVEMBER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4B30D6">
      <w:rPr>
        <w:rStyle w:val="PageNumber"/>
        <w:caps w:val="0"/>
        <w:noProof/>
      </w:rPr>
      <w:t>3</w:t>
    </w:r>
    <w:r>
      <w:rPr>
        <w:rStyle w:val="PageNumber"/>
        <w:caps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Footer"/>
    </w:pPr>
    <w:r>
      <w:rPr>
        <w:rStyle w:val="PageNumber"/>
      </w:rPr>
      <w:fldChar w:fldCharType="begin"/>
    </w:r>
    <w:r>
      <w:rPr>
        <w:rStyle w:val="PageNumber"/>
      </w:rPr>
      <w:instrText xml:space="preserve"> PAGE </w:instrText>
    </w:r>
    <w:r>
      <w:rPr>
        <w:rStyle w:val="PageNumber"/>
      </w:rPr>
      <w:fldChar w:fldCharType="separate"/>
    </w:r>
    <w:r w:rsidR="004B30D6">
      <w:rPr>
        <w:rStyle w:val="PageNumber"/>
        <w:noProof/>
      </w:rPr>
      <w:t>4</w:t>
    </w:r>
    <w:r>
      <w:rPr>
        <w:rStyle w:val="PageNumber"/>
      </w:rPr>
      <w:fldChar w:fldCharType="end"/>
    </w:r>
    <w:r>
      <w:rPr>
        <w:rStyle w:val="PageNumber"/>
      </w:rPr>
      <w:tab/>
    </w:r>
    <w:r>
      <w:rPr>
        <w:b/>
      </w:rPr>
      <w:t>A</w:t>
    </w:r>
    <w:r>
      <w:rPr>
        <w:b/>
        <w:caps w:val="0"/>
        <w:smallCaps/>
      </w:rPr>
      <w:t>us</w:t>
    </w:r>
    <w:r>
      <w:rPr>
        <w:b/>
      </w:rPr>
      <w:t>AID</w:t>
    </w:r>
    <w:r>
      <w:t> </w:t>
    </w:r>
    <w:r w:rsidR="008E0683">
      <w:fldChar w:fldCharType="begin"/>
    </w:r>
    <w:r w:rsidR="008E0683">
      <w:instrText xml:space="preserve"> STYLEREF Title \* MERGEFORMAT </w:instrText>
    </w:r>
    <w:r w:rsidR="008E0683">
      <w:fldChar w:fldCharType="separate"/>
    </w:r>
    <w:r w:rsidR="004B30D6" w:rsidRPr="004B30D6">
      <w:rPr>
        <w:b/>
        <w:bCs/>
        <w:noProof/>
        <w:lang w:val="en-US"/>
      </w:rPr>
      <w:t>Annual program performance report for the Philippines 2007–08</w:t>
    </w:r>
    <w:r w:rsidR="008E0683">
      <w:rPr>
        <w:b/>
        <w:bCs/>
        <w:noProof/>
        <w:lang w:val="en-US"/>
      </w:rPr>
      <w:fldChar w:fldCharType="end"/>
    </w:r>
    <w:r w:rsidR="007F2422">
      <w:t xml:space="preserve"> </w:t>
    </w:r>
    <w:r>
      <w:fldChar w:fldCharType="begin"/>
    </w:r>
    <w:r>
      <w:instrText xml:space="preserve"> STYLEREF  Subtitle </w:instrText>
    </w:r>
    <w:r>
      <w:fldChar w:fldCharType="separate"/>
    </w:r>
    <w:r w:rsidR="004B30D6">
      <w:rPr>
        <w:noProof/>
      </w:rPr>
      <w:t>NOVEMBER 2008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Footer"/>
    </w:pPr>
    <w:r>
      <w:tab/>
    </w:r>
    <w:r>
      <w:tab/>
    </w:r>
    <w:r>
      <w:rPr>
        <w:b/>
      </w:rPr>
      <w:t>A</w:t>
    </w:r>
    <w:r>
      <w:rPr>
        <w:b/>
        <w:caps w:val="0"/>
        <w:smallCaps/>
      </w:rPr>
      <w:t>us</w:t>
    </w:r>
    <w:r>
      <w:rPr>
        <w:b/>
      </w:rPr>
      <w:t>AID</w:t>
    </w:r>
    <w:r>
      <w:t> </w:t>
    </w:r>
    <w:r w:rsidR="008E0683">
      <w:fldChar w:fldCharType="begin"/>
    </w:r>
    <w:r w:rsidR="008E0683">
      <w:instrText xml:space="preserve"> STYLEREF Title \* MERGEFORMAT </w:instrText>
    </w:r>
    <w:r w:rsidR="008E0683">
      <w:fldChar w:fldCharType="separate"/>
    </w:r>
    <w:r>
      <w:rPr>
        <w:noProof/>
      </w:rPr>
      <w:t>Annual program performance report for the Philippines 2007–08</w:t>
    </w:r>
    <w:r w:rsidR="008E0683">
      <w:rPr>
        <w:noProof/>
      </w:rPr>
      <w:fldChar w:fldCharType="end"/>
    </w:r>
    <w:r>
      <w:fldChar w:fldCharType="begin"/>
    </w:r>
    <w:r>
      <w:instrText xml:space="preserve"> STYLEREF  Subtitle </w:instrTex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Pr>
        <w:rStyle w:val="PageNumber"/>
        <w:caps w:val="0"/>
        <w:noProof/>
      </w:rPr>
      <w:t>5</w:t>
    </w:r>
    <w:r>
      <w:rPr>
        <w:rStyle w:val="PageNumber"/>
        <w:caps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Footer"/>
    </w:pPr>
    <w:r>
      <w:rPr>
        <w:rStyle w:val="PageNumber"/>
      </w:rPr>
      <w:fldChar w:fldCharType="begin"/>
    </w:r>
    <w:r>
      <w:rPr>
        <w:rStyle w:val="PageNumber"/>
      </w:rPr>
      <w:instrText xml:space="preserve"> PAGE </w:instrText>
    </w:r>
    <w:r>
      <w:rPr>
        <w:rStyle w:val="PageNumber"/>
      </w:rPr>
      <w:fldChar w:fldCharType="separate"/>
    </w:r>
    <w:r w:rsidR="004B30D6">
      <w:rPr>
        <w:rStyle w:val="PageNumber"/>
        <w:noProof/>
      </w:rPr>
      <w:t>6</w:t>
    </w:r>
    <w:r>
      <w:rPr>
        <w:rStyle w:val="PageNumber"/>
      </w:rPr>
      <w:fldChar w:fldCharType="end"/>
    </w:r>
    <w:r>
      <w:rPr>
        <w:rStyle w:val="PageNumber"/>
      </w:rPr>
      <w:tab/>
    </w:r>
    <w:r>
      <w:rPr>
        <w:b/>
      </w:rPr>
      <w:t>A</w:t>
    </w:r>
    <w:r>
      <w:rPr>
        <w:b/>
        <w:caps w:val="0"/>
        <w:smallCaps/>
      </w:rPr>
      <w:t>us</w:t>
    </w:r>
    <w:r>
      <w:rPr>
        <w:b/>
      </w:rPr>
      <w:t>AID</w:t>
    </w:r>
    <w:r>
      <w:t> </w:t>
    </w:r>
    <w:r w:rsidR="008E0683">
      <w:fldChar w:fldCharType="begin"/>
    </w:r>
    <w:r w:rsidR="008E0683">
      <w:instrText xml:space="preserve"> STYLEREF Title \* MERGEFORMAT </w:instrText>
    </w:r>
    <w:r w:rsidR="008E0683">
      <w:fldChar w:fldCharType="separate"/>
    </w:r>
    <w:r w:rsidR="004B30D6" w:rsidRPr="004B30D6">
      <w:rPr>
        <w:b/>
        <w:bCs/>
        <w:noProof/>
        <w:lang w:val="en-US"/>
      </w:rPr>
      <w:t>Annual program performance report for the Philippines 2007–08</w:t>
    </w:r>
    <w:r w:rsidR="008E0683">
      <w:rPr>
        <w:b/>
        <w:bCs/>
        <w:noProof/>
        <w:lang w:val="en-US"/>
      </w:rPr>
      <w:fldChar w:fldCharType="end"/>
    </w:r>
    <w:r w:rsidR="007F2422">
      <w:t xml:space="preserve"> </w:t>
    </w:r>
    <w:r>
      <w:fldChar w:fldCharType="begin"/>
    </w:r>
    <w:r>
      <w:instrText xml:space="preserve"> STYLEREF  Subtitle </w:instrText>
    </w:r>
    <w:r>
      <w:fldChar w:fldCharType="separate"/>
    </w:r>
    <w:r w:rsidR="004B30D6">
      <w:rPr>
        <w:noProof/>
      </w:rPr>
      <w:t>NOVEMBER 2008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683" w:rsidRDefault="008E0683" w:rsidP="00FD510A">
      <w:pPr>
        <w:spacing w:before="60"/>
      </w:pPr>
      <w:r>
        <w:separator/>
      </w:r>
    </w:p>
  </w:footnote>
  <w:footnote w:type="continuationSeparator" w:id="0">
    <w:p w:rsidR="008E0683" w:rsidRDefault="008E0683">
      <w:r>
        <w:continuationSeparator/>
      </w:r>
    </w:p>
  </w:footnote>
  <w:footnote w:id="1">
    <w:p w:rsidR="000E2C8F" w:rsidRDefault="000E2C8F" w:rsidP="005973FC">
      <w:pPr>
        <w:pStyle w:val="FootnoteText"/>
      </w:pPr>
      <w:r>
        <w:rPr>
          <w:rStyle w:val="FootnoteReference"/>
        </w:rPr>
        <w:footnoteRef/>
      </w:r>
      <w:r>
        <w:t xml:space="preserve"> </w:t>
      </w:r>
      <w:r>
        <w:tab/>
        <w:t xml:space="preserve">World Economic Forum, </w:t>
      </w:r>
      <w:r w:rsidRPr="00562C1E">
        <w:rPr>
          <w:i/>
        </w:rPr>
        <w:t xml:space="preserve">Global </w:t>
      </w:r>
      <w:r w:rsidRPr="000C07F2">
        <w:rPr>
          <w:i/>
        </w:rPr>
        <w:t>gender gap report 2007</w:t>
      </w:r>
      <w:r>
        <w:t>.</w:t>
      </w:r>
    </w:p>
  </w:footnote>
  <w:footnote w:id="2">
    <w:p w:rsidR="000E2C8F" w:rsidRDefault="000E2C8F" w:rsidP="00FA1BD0">
      <w:pPr>
        <w:pStyle w:val="FootnoteText"/>
      </w:pPr>
      <w:r>
        <w:rPr>
          <w:rStyle w:val="FootnoteReference"/>
        </w:rPr>
        <w:footnoteRef/>
      </w:r>
      <w:r>
        <w:t xml:space="preserve"> </w:t>
      </w:r>
      <w:r>
        <w:tab/>
      </w:r>
      <w:proofErr w:type="gramStart"/>
      <w:r w:rsidRPr="00EA6809">
        <w:t xml:space="preserve">PACAP </w:t>
      </w:r>
      <w:r w:rsidRPr="00FA1BD0">
        <w:t>Midterm</w:t>
      </w:r>
      <w:r w:rsidRPr="00EA6809">
        <w:t xml:space="preserve"> Review</w:t>
      </w:r>
      <w:r>
        <w:t>.</w:t>
      </w:r>
      <w:proofErr w:type="gramEnd"/>
    </w:p>
  </w:footnote>
  <w:footnote w:id="3">
    <w:p w:rsidR="000E2C8F" w:rsidRDefault="000E2C8F" w:rsidP="00FA1BD0">
      <w:pPr>
        <w:pStyle w:val="FootnoteText"/>
      </w:pPr>
      <w:r>
        <w:rPr>
          <w:rStyle w:val="FootnoteReference"/>
        </w:rPr>
        <w:footnoteRef/>
      </w:r>
      <w:r>
        <w:t xml:space="preserve"> </w:t>
      </w:r>
      <w:r>
        <w:tab/>
      </w:r>
      <w:r w:rsidRPr="00810DDC">
        <w:t>Philippines</w:t>
      </w:r>
      <w:r>
        <w:t>–</w:t>
      </w:r>
      <w:r w:rsidRPr="00FA1BD0">
        <w:t>Australia</w:t>
      </w:r>
      <w:r w:rsidRPr="00810DDC">
        <w:t xml:space="preserve"> Community Assistance Program</w:t>
      </w:r>
      <w:r>
        <w:t xml:space="preserve"> Annual Plan </w:t>
      </w:r>
      <w:r w:rsidRPr="00CB1E8D">
        <w:t xml:space="preserve">July 2008 to 30 June 2009, </w:t>
      </w:r>
      <w:r>
        <w:t>vol. </w:t>
      </w:r>
      <w:r w:rsidRPr="00CB1E8D">
        <w:t>1</w:t>
      </w:r>
      <w:r>
        <w:t>, p</w:t>
      </w:r>
      <w:r w:rsidRPr="00E90F9B">
        <w:t>p</w:t>
      </w:r>
      <w:r>
        <w:t>. </w:t>
      </w:r>
      <w:r w:rsidRPr="00E90F9B">
        <w:t>6</w:t>
      </w:r>
      <w:r>
        <w:t>–</w:t>
      </w:r>
      <w:r w:rsidRPr="00E90F9B">
        <w:t>7</w:t>
      </w:r>
      <w:r>
        <w:t>.</w:t>
      </w:r>
    </w:p>
  </w:footnote>
  <w:footnote w:id="4">
    <w:p w:rsidR="000E2C8F" w:rsidRDefault="000E2C8F" w:rsidP="00FA1BD0">
      <w:pPr>
        <w:pStyle w:val="FootnoteText"/>
      </w:pPr>
      <w:r>
        <w:rPr>
          <w:rStyle w:val="FootnoteReference"/>
        </w:rPr>
        <w:footnoteRef/>
      </w:r>
      <w:r>
        <w:t xml:space="preserve"> </w:t>
      </w:r>
      <w:r>
        <w:tab/>
      </w:r>
      <w:proofErr w:type="gramStart"/>
      <w:r>
        <w:rPr>
          <w:lang w:val="en-US"/>
        </w:rPr>
        <w:t xml:space="preserve">Local Government Development Program </w:t>
      </w:r>
      <w:r w:rsidRPr="000300CA">
        <w:t xml:space="preserve">Quality at </w:t>
      </w:r>
      <w:r w:rsidRPr="00FA1BD0">
        <w:t>Completion</w:t>
      </w:r>
      <w:r w:rsidRPr="000300CA">
        <w:t xml:space="preserve"> Report</w:t>
      </w:r>
      <w:r>
        <w:t>.</w:t>
      </w:r>
      <w:proofErr w:type="gramEnd"/>
    </w:p>
  </w:footnote>
  <w:footnote w:id="5">
    <w:p w:rsidR="000E2C8F" w:rsidRDefault="000E2C8F" w:rsidP="00B76C67">
      <w:pPr>
        <w:pStyle w:val="FootnoteText"/>
      </w:pPr>
      <w:r>
        <w:rPr>
          <w:rStyle w:val="FootnoteReference"/>
        </w:rPr>
        <w:footnoteRef/>
      </w:r>
      <w:r>
        <w:t xml:space="preserve"> </w:t>
      </w:r>
      <w:r>
        <w:tab/>
      </w:r>
      <w:proofErr w:type="gramStart"/>
      <w:r>
        <w:t>Education Thematic Group QAI Discussion 2008.</w:t>
      </w:r>
      <w:proofErr w:type="gramEnd"/>
    </w:p>
  </w:footnote>
  <w:footnote w:id="6">
    <w:p w:rsidR="000E2C8F" w:rsidRDefault="000E2C8F">
      <w:pPr>
        <w:pStyle w:val="FootnoteText"/>
      </w:pPr>
      <w:r>
        <w:rPr>
          <w:rStyle w:val="FootnoteReference"/>
        </w:rPr>
        <w:footnoteRef/>
      </w:r>
      <w:r>
        <w:t xml:space="preserve"> </w:t>
      </w:r>
      <w:r>
        <w:tab/>
      </w:r>
      <w:r w:rsidRPr="00913510">
        <w:t>A 3 per cent annual increase in the education budget is required to keep pace with population increases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Header"/>
    </w:pPr>
    <w:r>
      <w:rPr>
        <w:noProof/>
        <w:lang w:val="en-CA" w:eastAsia="en-CA"/>
      </w:rPr>
      <mc:AlternateContent>
        <mc:Choice Requires="wpg">
          <w:drawing>
            <wp:anchor distT="0" distB="0" distL="114300" distR="114300" simplePos="0" relativeHeight="251663360" behindDoc="0" locked="0" layoutInCell="1" allowOverlap="1" wp14:anchorId="112E1C96" wp14:editId="310B582C">
              <wp:simplePos x="0" y="0"/>
              <wp:positionH relativeFrom="column">
                <wp:posOffset>1799590</wp:posOffset>
              </wp:positionH>
              <wp:positionV relativeFrom="paragraph">
                <wp:posOffset>-2300</wp:posOffset>
              </wp:positionV>
              <wp:extent cx="114935" cy="10737850"/>
              <wp:effectExtent l="0" t="0" r="18415" b="25400"/>
              <wp:wrapNone/>
              <wp:docPr id="10" name="Group 10"/>
              <wp:cNvGraphicFramePr/>
              <a:graphic xmlns:a="http://schemas.openxmlformats.org/drawingml/2006/main">
                <a:graphicData uri="http://schemas.microsoft.com/office/word/2010/wordprocessingGroup">
                  <wpg:wgp>
                    <wpg:cNvGrpSpPr/>
                    <wpg:grpSpPr>
                      <a:xfrm>
                        <a:off x="0" y="0"/>
                        <a:ext cx="114935" cy="10737850"/>
                        <a:chOff x="0" y="0"/>
                        <a:chExt cx="115260" cy="10737850"/>
                      </a:xfrm>
                    </wpg:grpSpPr>
                    <wps:wsp>
                      <wps:cNvPr id="11" name="Straight Connector 11"/>
                      <wps:cNvCnPr/>
                      <wps:spPr>
                        <a:xfrm>
                          <a:off x="0" y="0"/>
                          <a:ext cx="0" cy="1073785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115260" y="261257"/>
                          <a:ext cx="0" cy="10433685"/>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0" o:spid="_x0000_s1026" style="position:absolute;margin-left:141.7pt;margin-top:-.2pt;width:9.05pt;height:845.5pt;z-index:251663360" coordsize="1152,10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">
              <v:line id="Straight Connector 11" o:spid="_x0000_s1027" style="position:absolute;visibility:visible;mso-wrap-style:square" from="0,0" to="0,10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EfF8EAAADbAAAADwAAAGRycy9kb3ducmV2LnhtbERPTWsCMRC9F/ofwhR6kZoopchqFGkp&#10;Cl6seuhx2Iy7azeTJRl1++9NQehtHu9zZovet+pCMTWBLYyGBhRxGVzDlYXD/vNlAioJssM2MFn4&#10;pQSL+ePDDAsXrvxFl51UKodwKtBCLdIVWqeyJo9pGDrizB1D9CgZxkq7iNcc7ls9NuZNe2w4N9TY&#10;0XtN5c/u7C0M1q+nM8etWW2Wor8bc5L94MPa56d+OQUl1Mu/+O5euzx/BH+/5AP0/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wR8XwQAAANsAAAAPAAAAAAAAAAAAAAAA&#10;AKECAABkcnMvZG93bnJldi54bWxQSwUGAAAAAAQABAD5AAAAjwMAAAAA&#10;" strokecolor="#d8d8d8 [2732]" strokeweight=".5pt"/>
              <v:line id="Straight Connector 12" o:spid="_x0000_s1028" style="position:absolute;visibility:visible;mso-wrap-style:square" from="1152,2612" to="1152,10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S3MIAAADbAAAADwAAAGRycy9kb3ducmV2LnhtbERPTWvCQBC9F/wPywheim4qVdqYVVQQ&#10;pKeqPXicZsckJDub7q4x/ffdguBtHu9zslVvGtGR85VlBS+TBARxbnXFhYKv0278BsIHZI2NZVLw&#10;Sx5Wy8FThqm2Nz5QdwyFiCHsU1RQhtCmUvq8JIN+YlviyF2sMxgidIXUDm8x3DRymiRzabDi2FBi&#10;S9uS8vp4NQp4E167n0vnkudP/X7e7j++69lcqdGwXy9ABOrDQ3x373WcP4X/X+I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S3MIAAADbAAAADwAAAAAAAAAAAAAA&#10;AAChAgAAZHJzL2Rvd25yZXYueG1sUEsFBgAAAAAEAAQA+QAAAJADAAAAAA==&#10;" strokecolor="#bfbfbf [2412]" strokeweight="1pt"/>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Header"/>
    </w:pPr>
    <w:r>
      <w:rPr>
        <w:noProof/>
        <w:lang w:val="en-CA" w:eastAsia="en-CA"/>
      </w:rPr>
      <mc:AlternateContent>
        <mc:Choice Requires="wpg">
          <w:drawing>
            <wp:anchor distT="0" distB="0" distL="114300" distR="114300" simplePos="0" relativeHeight="251667456" behindDoc="0" locked="0" layoutInCell="1" allowOverlap="1" wp14:anchorId="1C22F6D3" wp14:editId="0463B8C0">
              <wp:simplePos x="0" y="0"/>
              <wp:positionH relativeFrom="column">
                <wp:posOffset>-1261110</wp:posOffset>
              </wp:positionH>
              <wp:positionV relativeFrom="paragraph">
                <wp:posOffset>-360440</wp:posOffset>
              </wp:positionV>
              <wp:extent cx="6480175" cy="10692130"/>
              <wp:effectExtent l="0" t="0" r="15875" b="13970"/>
              <wp:wrapNone/>
              <wp:docPr id="19" name="Group 19"/>
              <wp:cNvGraphicFramePr/>
              <a:graphic xmlns:a="http://schemas.openxmlformats.org/drawingml/2006/main">
                <a:graphicData uri="http://schemas.microsoft.com/office/word/2010/wordprocessingGroup">
                  <wpg:wgp>
                    <wpg:cNvGrpSpPr/>
                    <wpg:grpSpPr bwMode="auto">
                      <a:xfrm>
                        <a:off x="0" y="0"/>
                        <a:ext cx="6480175" cy="10692130"/>
                        <a:chOff x="0" y="0"/>
                        <a:chExt cx="10205" cy="16838"/>
                      </a:xfrm>
                    </wpg:grpSpPr>
                    <wps:wsp>
                      <wps:cNvPr id="20" name="Line 2"/>
                      <wps:cNvCnPr/>
                      <wps:spPr bwMode="auto">
                        <a:xfrm>
                          <a:off x="0" y="2268"/>
                          <a:ext cx="1020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21" name="Line 3"/>
                      <wps:cNvCnPr/>
                      <wps:spPr bwMode="auto">
                        <a:xfrm>
                          <a:off x="0" y="3402"/>
                          <a:ext cx="1020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22" name="Line 4"/>
                      <wps:cNvCnPr/>
                      <wps:spPr bwMode="auto">
                        <a:xfrm>
                          <a:off x="0" y="3515"/>
                          <a:ext cx="10205" cy="0"/>
                        </a:xfrm>
                        <a:prstGeom prst="line">
                          <a:avLst/>
                        </a:prstGeom>
                        <a:noFill/>
                        <a:ln w="50800">
                          <a:solidFill>
                            <a:srgbClr val="E2DBD2"/>
                          </a:solidFill>
                          <a:round/>
                          <a:headEnd/>
                          <a:tailEnd/>
                        </a:ln>
                        <a:extLst>
                          <a:ext uri="{909E8E84-426E-40DD-AFC4-6F175D3DCCD1}">
                            <a14:hiddenFill xmlns:a14="http://schemas.microsoft.com/office/drawing/2010/main">
                              <a:noFill/>
                            </a14:hiddenFill>
                          </a:ext>
                        </a:extLst>
                      </wps:spPr>
                      <wps:bodyPr/>
                    </wps:wsp>
                    <wps:wsp>
                      <wps:cNvPr id="23" name="Line 5"/>
                      <wps:cNvCnPr/>
                      <wps:spPr bwMode="auto">
                        <a:xfrm>
                          <a:off x="2155" y="0"/>
                          <a:ext cx="0" cy="16838"/>
                        </a:xfrm>
                        <a:prstGeom prst="line">
                          <a:avLst/>
                        </a:prstGeom>
                        <a:noFill/>
                        <a:ln w="7620">
                          <a:solidFill>
                            <a:srgbClr val="7F7267"/>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9" o:spid="_x0000_s1026" style="position:absolute;margin-left:-99.3pt;margin-top:-28.4pt;width:510.25pt;height:841.9pt;z-index:251667456" coordsize="10205,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">
              <v:line id="Line 2" o:spid="_x0000_s1027" style="position:absolute;visibility:visible;mso-wrap-style:square" from="0,2268" to="10205,2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7dtcEAAADbAAAADwAAAGRycy9kb3ducmV2LnhtbERPz2vCMBS+C/4P4Qm7yJpaxI3OKCoM&#10;PHjRytjx0by1ZclLbdLa/ffLQfD48f1eb0drxECdbxwrWCQpCOLS6YYrBdfi8/UdhA/IGo1jUvBH&#10;Hrab6WSNuXZ3PtNwCZWIIexzVFCH0OZS+rImiz5xLXHkflxnMUTYVVJ3eI/h1sgsTVfSYsOxocaW&#10;DjWVv5feKrDGn4axfzO376/judjt50tn50q9zMbdB4hAY3iKH+6jVpDF9fFL/AFy8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Pt21wQAAANsAAAAPAAAAAAAAAAAAAAAA&#10;AKECAABkcnMvZG93bnJldi54bWxQSwUGAAAAAAQABAD5AAAAjwMAAAAA&#10;" strokecolor="#d4cbbe" strokeweight=".6pt"/>
              <v:line id="Line 3" o:spid="_x0000_s1028" style="position:absolute;visibility:visible;mso-wrap-style:square" from="0,3402" to="10205,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J4LsMAAADbAAAADwAAAGRycy9kb3ducmV2LnhtbESPT4vCMBTE7wt+h/CEvYimiqxSjaIL&#10;Cx68+Afx+GiebTF5qU2s3W9vBMHjMDO/YebL1hrRUO1LxwqGgwQEceZ0ybmC4+GvPwXhA7JG45gU&#10;/JOH5aLzNcdUuwfvqNmHXEQI+xQVFCFUqZQ+K8iiH7iKOHoXV1sMUda51DU+ItwaOUqSH2mx5LhQ&#10;YEW/BWXX/d0qsMZvm/Y+MbfzabM7rNa9sbM9pb677WoGIlAbPuF3e6MVjIbw+hJ/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yeC7DAAAA2wAAAA8AAAAAAAAAAAAA&#10;AAAAoQIAAGRycy9kb3ducmV2LnhtbFBLBQYAAAAABAAEAPkAAACRAwAAAAA=&#10;" strokecolor="#d4cbbe" strokeweight=".6pt"/>
              <v:line id="Line 4" o:spid="_x0000_s1029" style="position:absolute;visibility:visible;mso-wrap-style:square" from="0,3515" to="10205,3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viPsUAAADbAAAADwAAAGRycy9kb3ducmV2LnhtbESPT2sCMRTE70K/Q3gFb5rtKlVWo0ih&#10;oAcP/gE9PjfP3W03L+km6vrtjVDwOMzMb5jpvDW1uFLjK8sKPvoJCOLc6ooLBfvdd28MwgdkjbVl&#10;UnAnD/PZW2eKmbY33tB1GwoRIewzVFCG4DIpfV6SQd+3jjh6Z9sYDFE2hdQN3iLc1DJNkk9psOK4&#10;UKKjr5Ly3+3FKBhcqnS/Xg3c6O+4qH/cYbSSw5NS3fd2MQERqA2v8H97qRWkKTy/xB8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viPsUAAADbAAAADwAAAAAAAAAA&#10;AAAAAAChAgAAZHJzL2Rvd25yZXYueG1sUEsFBgAAAAAEAAQA+QAAAJMDAAAAAA==&#10;" strokecolor="#e2dbd2" strokeweight="4pt"/>
              <v:line id="Line 5" o:spid="_x0000_s1030" style="position:absolute;visibility:visible;mso-wrap-style:square" from="2155,0" to="2155,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HjicQAAADbAAAADwAAAGRycy9kb3ducmV2LnhtbESPQWvCQBSE74X+h+UVeqsbLZUYXUMI&#10;KLlGbaG31+wzCc2+TbOrSf+9KxR6HGbmG2aTTqYTVxpca1nBfBaBIK6sbrlWcDruXmIQziNr7CyT&#10;gl9ykG4fHzaYaDtySdeDr0WAsEtQQeN9n0jpqoYMupntiYN3toNBH+RQSz3gGOCmk4soWkqDLYeF&#10;BnvKG6q+DxejYLn/zGNaZbvyWLytvuzPe/xBc6Wen6ZsDcLT5P/Df+1CK1i8wv1L+A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ceOJxAAAANsAAAAPAAAAAAAAAAAA&#10;AAAAAKECAABkcnMvZG93bnJldi54bWxQSwUGAAAAAAQABAD5AAAAkgMAAAAA&#10;" strokecolor="#7f7267" strokeweight=".6pt"/>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8F" w:rsidRDefault="000E2C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518D834"/>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D2B85DCE"/>
    <w:lvl w:ilvl="0">
      <w:start w:val="1"/>
      <w:numFmt w:val="decimal"/>
      <w:lvlText w:val="%1."/>
      <w:lvlJc w:val="left"/>
      <w:pPr>
        <w:tabs>
          <w:tab w:val="num" w:pos="360"/>
        </w:tabs>
        <w:ind w:left="360" w:hanging="360"/>
      </w:pPr>
    </w:lvl>
  </w:abstractNum>
  <w:abstractNum w:abstractNumId="2">
    <w:nsid w:val="FFFFFF89"/>
    <w:multiLevelType w:val="singleLevel"/>
    <w:tmpl w:val="E378286E"/>
    <w:lvl w:ilvl="0">
      <w:start w:val="1"/>
      <w:numFmt w:val="bullet"/>
      <w:lvlText w:val=""/>
      <w:lvlJc w:val="left"/>
      <w:pPr>
        <w:tabs>
          <w:tab w:val="num" w:pos="360"/>
        </w:tabs>
        <w:ind w:left="360" w:hanging="360"/>
      </w:pPr>
      <w:rPr>
        <w:rFonts w:ascii="Symbol" w:hAnsi="Symbol" w:hint="default"/>
      </w:rPr>
    </w:lvl>
  </w:abstractNum>
  <w:abstractNum w:abstractNumId="3">
    <w:nsid w:val="04FE3381"/>
    <w:multiLevelType w:val="hybridMultilevel"/>
    <w:tmpl w:val="622CB90A"/>
    <w:lvl w:ilvl="0" w:tplc="71CC2DE8">
      <w:start w:val="1"/>
      <w:numFmt w:val="bullet"/>
      <w:pStyle w:val="HighlightBulletRed"/>
      <w:lvlText w:val=""/>
      <w:lvlJc w:val="left"/>
      <w:pPr>
        <w:tabs>
          <w:tab w:val="num" w:pos="567"/>
        </w:tabs>
        <w:ind w:left="567" w:hanging="567"/>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1C0584"/>
    <w:multiLevelType w:val="singleLevel"/>
    <w:tmpl w:val="99CCA0BA"/>
    <w:lvl w:ilvl="0">
      <w:start w:val="1"/>
      <w:numFmt w:val="decimal"/>
      <w:pStyle w:val="Tablelistnumber"/>
      <w:lvlText w:val="%1."/>
      <w:lvlJc w:val="left"/>
      <w:pPr>
        <w:tabs>
          <w:tab w:val="num" w:pos="227"/>
        </w:tabs>
        <w:ind w:left="227" w:hanging="227"/>
      </w:pPr>
      <w:rPr>
        <w:rFonts w:cs="Times New Roman" w:hint="default"/>
      </w:rPr>
    </w:lvl>
  </w:abstractNum>
  <w:abstractNum w:abstractNumId="5">
    <w:nsid w:val="0FCD5BE7"/>
    <w:multiLevelType w:val="singleLevel"/>
    <w:tmpl w:val="1ECE39EA"/>
    <w:lvl w:ilvl="0">
      <w:start w:val="1"/>
      <w:numFmt w:val="bullet"/>
      <w:pStyle w:val="KeyPoints"/>
      <w:lvlText w:val=""/>
      <w:lvlJc w:val="left"/>
      <w:pPr>
        <w:tabs>
          <w:tab w:val="num" w:pos="360"/>
        </w:tabs>
        <w:ind w:left="284" w:hanging="284"/>
      </w:pPr>
      <w:rPr>
        <w:rFonts w:ascii="Symbol" w:hAnsi="Symbol" w:hint="default"/>
        <w:b/>
        <w:i w:val="0"/>
        <w:color w:val="808080"/>
      </w:rPr>
    </w:lvl>
  </w:abstractNum>
  <w:abstractNum w:abstractNumId="6">
    <w:nsid w:val="10106066"/>
    <w:multiLevelType w:val="singleLevel"/>
    <w:tmpl w:val="BB50947A"/>
    <w:lvl w:ilvl="0">
      <w:start w:val="1"/>
      <w:numFmt w:val="bullet"/>
      <w:pStyle w:val="ChartListBullet2"/>
      <w:lvlText w:val="–"/>
      <w:lvlJc w:val="left"/>
      <w:pPr>
        <w:tabs>
          <w:tab w:val="num" w:pos="454"/>
        </w:tabs>
        <w:ind w:left="454" w:hanging="227"/>
      </w:pPr>
      <w:rPr>
        <w:rFonts w:ascii="Arial" w:hAnsi="Arial" w:hint="default"/>
        <w:sz w:val="18"/>
      </w:rPr>
    </w:lvl>
  </w:abstractNum>
  <w:abstractNum w:abstractNumId="7">
    <w:nsid w:val="141B01A7"/>
    <w:multiLevelType w:val="singleLevel"/>
    <w:tmpl w:val="065AED62"/>
    <w:lvl w:ilvl="0">
      <w:start w:val="1"/>
      <w:numFmt w:val="decimal"/>
      <w:pStyle w:val="ChartListNumber"/>
      <w:lvlText w:val="%1."/>
      <w:lvlJc w:val="left"/>
      <w:pPr>
        <w:tabs>
          <w:tab w:val="num" w:pos="227"/>
        </w:tabs>
        <w:ind w:left="227" w:hanging="227"/>
      </w:pPr>
      <w:rPr>
        <w:rFonts w:cs="Times New Roman" w:hint="default"/>
      </w:rPr>
    </w:lvl>
  </w:abstractNum>
  <w:abstractNum w:abstractNumId="8">
    <w:nsid w:val="209B02A7"/>
    <w:multiLevelType w:val="singleLevel"/>
    <w:tmpl w:val="A538EF8C"/>
    <w:lvl w:ilvl="0">
      <w:start w:val="1"/>
      <w:numFmt w:val="bullet"/>
      <w:pStyle w:val="ListBullet2"/>
      <w:lvlText w:val="–"/>
      <w:lvlJc w:val="left"/>
      <w:pPr>
        <w:tabs>
          <w:tab w:val="num" w:pos="644"/>
        </w:tabs>
        <w:ind w:left="567" w:hanging="283"/>
      </w:pPr>
      <w:rPr>
        <w:rFonts w:ascii="Garamond" w:hAnsi="Garamond" w:hint="default"/>
        <w:sz w:val="25"/>
      </w:rPr>
    </w:lvl>
  </w:abstractNum>
  <w:abstractNum w:abstractNumId="9">
    <w:nsid w:val="29EB546C"/>
    <w:multiLevelType w:val="multilevel"/>
    <w:tmpl w:val="ADE6FCA2"/>
    <w:lvl w:ilvl="0">
      <w:start w:val="1"/>
      <w:numFmt w:val="decimal"/>
      <w:pStyle w:val="Heading1"/>
      <w:lvlText w:val="%1"/>
      <w:lvlJc w:val="right"/>
      <w:pPr>
        <w:tabs>
          <w:tab w:val="num" w:pos="0"/>
        </w:tabs>
        <w:ind w:hanging="284"/>
      </w:pPr>
      <w:rPr>
        <w:rFonts w:cs="Times New Roman" w:hint="default"/>
        <w:b/>
        <w:i w:val="0"/>
        <w:color w:val="7F7267"/>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567"/>
        </w:tabs>
        <w:ind w:left="567" w:hanging="567"/>
      </w:pPr>
      <w:rPr>
        <w:rFonts w:cs="Times New Roman" w:hint="default"/>
      </w:rPr>
    </w:lvl>
    <w:lvl w:ilvl="3">
      <w:start w:val="1"/>
      <w:numFmt w:val="none"/>
      <w:lvlRestart w:val="0"/>
      <w:pStyle w:val="Heading4"/>
      <w:suff w:val="nothing"/>
      <w:lvlText w:val=""/>
      <w:lvlJc w:val="left"/>
      <w:rPr>
        <w:rFonts w:cs="Times New Roman" w:hint="default"/>
      </w:rPr>
    </w:lvl>
    <w:lvl w:ilvl="4">
      <w:start w:val="1"/>
      <w:numFmt w:val="none"/>
      <w:lvlRestart w:val="0"/>
      <w:pStyle w:val="Heading5"/>
      <w:suff w:val="nothing"/>
      <w:lvlText w:val=""/>
      <w:lvlJc w:val="left"/>
      <w:rPr>
        <w:rFonts w:cs="Times New Roman" w:hint="default"/>
      </w:rPr>
    </w:lvl>
    <w:lvl w:ilvl="5">
      <w:start w:val="1"/>
      <w:numFmt w:val="none"/>
      <w:lvlRestart w:val="0"/>
      <w:lvlText w:val=""/>
      <w:lvlJc w:val="left"/>
      <w:pPr>
        <w:tabs>
          <w:tab w:val="num" w:pos="1152"/>
        </w:tabs>
        <w:ind w:left="1152" w:hanging="1152"/>
      </w:pPr>
      <w:rPr>
        <w:rFonts w:cs="Times New Roman" w:hint="default"/>
      </w:rPr>
    </w:lvl>
    <w:lvl w:ilvl="6">
      <w:start w:val="1"/>
      <w:numFmt w:val="upperLetter"/>
      <w:lvlRestart w:val="0"/>
      <w:pStyle w:val="Heading7"/>
      <w:lvlText w:val="%7"/>
      <w:lvlJc w:val="right"/>
      <w:pPr>
        <w:tabs>
          <w:tab w:val="num" w:pos="0"/>
        </w:tabs>
        <w:ind w:hanging="284"/>
      </w:pPr>
      <w:rPr>
        <w:rFonts w:cs="Times New Roman" w:hint="default"/>
        <w:b/>
        <w:i w:val="0"/>
        <w:color w:val="7F7267"/>
      </w:rPr>
    </w:lvl>
    <w:lvl w:ilvl="7">
      <w:start w:val="1"/>
      <w:numFmt w:val="decimal"/>
      <w:pStyle w:val="Heading8"/>
      <w:lvlText w:val="%7.%8"/>
      <w:lvlJc w:val="left"/>
      <w:pPr>
        <w:tabs>
          <w:tab w:val="num" w:pos="720"/>
        </w:tabs>
        <w:ind w:left="397" w:hanging="397"/>
      </w:pPr>
      <w:rPr>
        <w:rFonts w:cs="Times New Roman" w:hint="default"/>
      </w:rPr>
    </w:lvl>
    <w:lvl w:ilvl="8">
      <w:start w:val="1"/>
      <w:numFmt w:val="decimal"/>
      <w:pStyle w:val="Heading9"/>
      <w:lvlText w:val="%7.%8.%9"/>
      <w:lvlJc w:val="left"/>
      <w:pPr>
        <w:tabs>
          <w:tab w:val="num" w:pos="1080"/>
        </w:tabs>
        <w:ind w:left="567" w:hanging="567"/>
      </w:pPr>
      <w:rPr>
        <w:rFonts w:cs="Times New Roman" w:hint="default"/>
      </w:rPr>
    </w:lvl>
  </w:abstractNum>
  <w:abstractNum w:abstractNumId="10">
    <w:nsid w:val="2B953D92"/>
    <w:multiLevelType w:val="singleLevel"/>
    <w:tmpl w:val="485C60EC"/>
    <w:lvl w:ilvl="0">
      <w:start w:val="1"/>
      <w:numFmt w:val="bullet"/>
      <w:pStyle w:val="Tablelistbullet"/>
      <w:lvlText w:val="•"/>
      <w:lvlJc w:val="left"/>
      <w:pPr>
        <w:tabs>
          <w:tab w:val="num" w:pos="227"/>
        </w:tabs>
        <w:ind w:left="227" w:hanging="227"/>
      </w:pPr>
      <w:rPr>
        <w:rFonts w:ascii="Arial" w:hAnsi="Arial" w:hint="default"/>
      </w:rPr>
    </w:lvl>
  </w:abstractNum>
  <w:abstractNum w:abstractNumId="11">
    <w:nsid w:val="2D8502EA"/>
    <w:multiLevelType w:val="singleLevel"/>
    <w:tmpl w:val="C3760A7E"/>
    <w:lvl w:ilvl="0">
      <w:start w:val="1"/>
      <w:numFmt w:val="decimal"/>
      <w:pStyle w:val="BoxListNumber"/>
      <w:lvlText w:val="%1"/>
      <w:lvlJc w:val="left"/>
      <w:pPr>
        <w:tabs>
          <w:tab w:val="num" w:pos="445"/>
        </w:tabs>
        <w:ind w:left="369" w:hanging="284"/>
      </w:pPr>
      <w:rPr>
        <w:rFonts w:cs="Times New Roman" w:hint="default"/>
      </w:rPr>
    </w:lvl>
  </w:abstractNum>
  <w:abstractNum w:abstractNumId="12">
    <w:nsid w:val="38667170"/>
    <w:multiLevelType w:val="singleLevel"/>
    <w:tmpl w:val="349EE8E8"/>
    <w:lvl w:ilvl="0">
      <w:start w:val="1"/>
      <w:numFmt w:val="bullet"/>
      <w:pStyle w:val="ListBullet"/>
      <w:lvlText w:val=""/>
      <w:lvlJc w:val="left"/>
      <w:pPr>
        <w:ind w:left="360" w:hanging="360"/>
      </w:pPr>
      <w:rPr>
        <w:rFonts w:ascii="Wingdings" w:hAnsi="Wingdings" w:hint="default"/>
        <w:sz w:val="18"/>
      </w:rPr>
    </w:lvl>
  </w:abstractNum>
  <w:abstractNum w:abstractNumId="13">
    <w:nsid w:val="399A0F42"/>
    <w:multiLevelType w:val="singleLevel"/>
    <w:tmpl w:val="601EE8BE"/>
    <w:lvl w:ilvl="0">
      <w:start w:val="1"/>
      <w:numFmt w:val="decimal"/>
      <w:pStyle w:val="Equation"/>
      <w:lvlText w:val="(%1)"/>
      <w:lvlJc w:val="left"/>
      <w:pPr>
        <w:tabs>
          <w:tab w:val="num" w:pos="567"/>
        </w:tabs>
        <w:ind w:left="567" w:hanging="567"/>
      </w:pPr>
      <w:rPr>
        <w:rFonts w:cs="Times New Roman"/>
      </w:rPr>
    </w:lvl>
  </w:abstractNum>
  <w:abstractNum w:abstractNumId="14">
    <w:nsid w:val="3B5B56F5"/>
    <w:multiLevelType w:val="hybridMultilevel"/>
    <w:tmpl w:val="687A744C"/>
    <w:lvl w:ilvl="0" w:tplc="FFFFFFFF">
      <w:start w:val="1"/>
      <w:numFmt w:val="bullet"/>
      <w:pStyle w:val="ChartListBullet"/>
      <w:lvlText w:val="•"/>
      <w:lvlJc w:val="left"/>
      <w:pPr>
        <w:tabs>
          <w:tab w:val="num" w:pos="227"/>
        </w:tabs>
        <w:ind w:left="227" w:hanging="227"/>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811070C"/>
    <w:multiLevelType w:val="singleLevel"/>
    <w:tmpl w:val="8CA6607A"/>
    <w:lvl w:ilvl="0">
      <w:start w:val="1"/>
      <w:numFmt w:val="bullet"/>
      <w:pStyle w:val="Tablelistbullet2"/>
      <w:lvlText w:val="–"/>
      <w:lvlJc w:val="left"/>
      <w:pPr>
        <w:tabs>
          <w:tab w:val="num" w:pos="454"/>
        </w:tabs>
        <w:ind w:left="454" w:hanging="227"/>
      </w:pPr>
      <w:rPr>
        <w:rFonts w:ascii="Arial" w:hAnsi="Arial" w:hint="default"/>
      </w:rPr>
    </w:lvl>
  </w:abstractNum>
  <w:abstractNum w:abstractNumId="16">
    <w:nsid w:val="51FA393B"/>
    <w:multiLevelType w:val="hybridMultilevel"/>
    <w:tmpl w:val="7F24171A"/>
    <w:lvl w:ilvl="0" w:tplc="A3162952">
      <w:start w:val="1"/>
      <w:numFmt w:val="bullet"/>
      <w:lvlText w:val=""/>
      <w:lvlJc w:val="left"/>
      <w:pPr>
        <w:tabs>
          <w:tab w:val="num" w:pos="567"/>
        </w:tabs>
        <w:ind w:left="567" w:hanging="567"/>
      </w:pPr>
      <w:rPr>
        <w:rFonts w:ascii="Wingdings" w:hAnsi="Wingdings" w:hint="default"/>
        <w:color w:val="00DE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1F6F56"/>
    <w:multiLevelType w:val="singleLevel"/>
    <w:tmpl w:val="6A9A32F6"/>
    <w:lvl w:ilvl="0">
      <w:start w:val="1"/>
      <w:numFmt w:val="bullet"/>
      <w:pStyle w:val="BoxListBullet"/>
      <w:lvlText w:val="&gt;"/>
      <w:lvlJc w:val="left"/>
      <w:pPr>
        <w:tabs>
          <w:tab w:val="num" w:pos="445"/>
        </w:tabs>
        <w:ind w:left="369" w:hanging="284"/>
      </w:pPr>
      <w:rPr>
        <w:rFonts w:ascii="Symbol" w:hAnsi="Symbol" w:hint="default"/>
        <w:sz w:val="18"/>
      </w:rPr>
    </w:lvl>
  </w:abstractNum>
  <w:abstractNum w:abstractNumId="18">
    <w:nsid w:val="6C72215E"/>
    <w:multiLevelType w:val="singleLevel"/>
    <w:tmpl w:val="CE8A257C"/>
    <w:lvl w:ilvl="0">
      <w:numFmt w:val="bullet"/>
      <w:pStyle w:val="BoxListBullet2"/>
      <w:lvlText w:val="–"/>
      <w:lvlJc w:val="left"/>
      <w:pPr>
        <w:tabs>
          <w:tab w:val="num" w:pos="729"/>
        </w:tabs>
        <w:ind w:left="652" w:hanging="283"/>
      </w:pPr>
      <w:rPr>
        <w:rFonts w:ascii="Arial" w:hAnsi="Arial" w:hint="default"/>
      </w:rPr>
    </w:lvl>
  </w:abstractNum>
  <w:abstractNum w:abstractNumId="19">
    <w:nsid w:val="6CD273EF"/>
    <w:multiLevelType w:val="hybridMultilevel"/>
    <w:tmpl w:val="C98215D4"/>
    <w:lvl w:ilvl="0" w:tplc="74FAF788">
      <w:start w:val="1"/>
      <w:numFmt w:val="bullet"/>
      <w:pStyle w:val="HighlightBulletOrange"/>
      <w:lvlText w:val=""/>
      <w:lvlJc w:val="left"/>
      <w:pPr>
        <w:tabs>
          <w:tab w:val="num" w:pos="567"/>
        </w:tabs>
        <w:ind w:left="567" w:hanging="567"/>
      </w:pPr>
      <w:rPr>
        <w:rFonts w:ascii="Wingdings" w:hAnsi="Wingdings" w:hint="default"/>
        <w:color w:val="FF8A3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D01F91"/>
    <w:multiLevelType w:val="singleLevel"/>
    <w:tmpl w:val="9302296E"/>
    <w:lvl w:ilvl="0">
      <w:start w:val="1"/>
      <w:numFmt w:val="decimal"/>
      <w:pStyle w:val="ListNumber"/>
      <w:lvlText w:val="%1"/>
      <w:lvlJc w:val="left"/>
      <w:pPr>
        <w:tabs>
          <w:tab w:val="num" w:pos="360"/>
        </w:tabs>
        <w:ind w:left="284" w:hanging="284"/>
      </w:pPr>
      <w:rPr>
        <w:rFonts w:cs="Times New Roman"/>
      </w:rPr>
    </w:lvl>
  </w:abstractNum>
  <w:num w:numId="1">
    <w:abstractNumId w:val="2"/>
  </w:num>
  <w:num w:numId="2">
    <w:abstractNumId w:val="0"/>
  </w:num>
  <w:num w:numId="3">
    <w:abstractNumId w:val="1"/>
  </w:num>
  <w:num w:numId="4">
    <w:abstractNumId w:val="8"/>
  </w:num>
  <w:num w:numId="5">
    <w:abstractNumId w:val="5"/>
  </w:num>
  <w:num w:numId="6">
    <w:abstractNumId w:val="12"/>
  </w:num>
  <w:num w:numId="7">
    <w:abstractNumId w:val="20"/>
  </w:num>
  <w:num w:numId="8">
    <w:abstractNumId w:val="10"/>
  </w:num>
  <w:num w:numId="9">
    <w:abstractNumId w:val="15"/>
  </w:num>
  <w:num w:numId="10">
    <w:abstractNumId w:val="4"/>
  </w:num>
  <w:num w:numId="11">
    <w:abstractNumId w:val="13"/>
  </w:num>
  <w:num w:numId="12">
    <w:abstractNumId w:val="17"/>
  </w:num>
  <w:num w:numId="13">
    <w:abstractNumId w:val="18"/>
  </w:num>
  <w:num w:numId="14">
    <w:abstractNumId w:val="11"/>
  </w:num>
  <w:num w:numId="15">
    <w:abstractNumId w:val="6"/>
  </w:num>
  <w:num w:numId="16">
    <w:abstractNumId w:val="7"/>
  </w:num>
  <w:num w:numId="17">
    <w:abstractNumId w:val="14"/>
  </w:num>
  <w:num w:numId="18">
    <w:abstractNumId w:val="9"/>
  </w:num>
  <w:num w:numId="19">
    <w:abstractNumId w:val="16"/>
  </w:num>
  <w:num w:numId="20">
    <w:abstractNumId w:val="3"/>
  </w:num>
  <w:num w:numId="2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457"/>
    <w:rsid w:val="00000DBA"/>
    <w:rsid w:val="00001CBB"/>
    <w:rsid w:val="0000369C"/>
    <w:rsid w:val="000156B3"/>
    <w:rsid w:val="00021B0D"/>
    <w:rsid w:val="0002776F"/>
    <w:rsid w:val="000300CA"/>
    <w:rsid w:val="0003133B"/>
    <w:rsid w:val="00035073"/>
    <w:rsid w:val="0004385B"/>
    <w:rsid w:val="00054674"/>
    <w:rsid w:val="00054734"/>
    <w:rsid w:val="00057C94"/>
    <w:rsid w:val="00065EC2"/>
    <w:rsid w:val="00076B4C"/>
    <w:rsid w:val="000778F9"/>
    <w:rsid w:val="00094051"/>
    <w:rsid w:val="00094593"/>
    <w:rsid w:val="000B0D2F"/>
    <w:rsid w:val="000B7F22"/>
    <w:rsid w:val="000C07F2"/>
    <w:rsid w:val="000D01EC"/>
    <w:rsid w:val="000D64CE"/>
    <w:rsid w:val="000E097A"/>
    <w:rsid w:val="000E1599"/>
    <w:rsid w:val="000E2C8F"/>
    <w:rsid w:val="00123986"/>
    <w:rsid w:val="00130348"/>
    <w:rsid w:val="0013154E"/>
    <w:rsid w:val="001403F6"/>
    <w:rsid w:val="001530A8"/>
    <w:rsid w:val="00157BB7"/>
    <w:rsid w:val="00163311"/>
    <w:rsid w:val="00163B2B"/>
    <w:rsid w:val="001654DB"/>
    <w:rsid w:val="00172600"/>
    <w:rsid w:val="0018199C"/>
    <w:rsid w:val="0018310B"/>
    <w:rsid w:val="00190049"/>
    <w:rsid w:val="00194F6B"/>
    <w:rsid w:val="0019659A"/>
    <w:rsid w:val="00196E6C"/>
    <w:rsid w:val="001B3F3C"/>
    <w:rsid w:val="001B49F5"/>
    <w:rsid w:val="001B4B81"/>
    <w:rsid w:val="001C51D1"/>
    <w:rsid w:val="001D2C44"/>
    <w:rsid w:val="001D301C"/>
    <w:rsid w:val="001E513A"/>
    <w:rsid w:val="001E74BE"/>
    <w:rsid w:val="00203985"/>
    <w:rsid w:val="00213BD6"/>
    <w:rsid w:val="00216D9D"/>
    <w:rsid w:val="00220D35"/>
    <w:rsid w:val="0022329A"/>
    <w:rsid w:val="00240762"/>
    <w:rsid w:val="002413B3"/>
    <w:rsid w:val="00261255"/>
    <w:rsid w:val="00265FA5"/>
    <w:rsid w:val="00274F0B"/>
    <w:rsid w:val="0027535C"/>
    <w:rsid w:val="0027691C"/>
    <w:rsid w:val="00287C73"/>
    <w:rsid w:val="002A4E93"/>
    <w:rsid w:val="002A51FF"/>
    <w:rsid w:val="002C4E3D"/>
    <w:rsid w:val="002C64EA"/>
    <w:rsid w:val="002D07FC"/>
    <w:rsid w:val="002E0559"/>
    <w:rsid w:val="002E5E16"/>
    <w:rsid w:val="002E7621"/>
    <w:rsid w:val="002F0121"/>
    <w:rsid w:val="002F20F8"/>
    <w:rsid w:val="00307455"/>
    <w:rsid w:val="00311A4E"/>
    <w:rsid w:val="00313DDC"/>
    <w:rsid w:val="0031403F"/>
    <w:rsid w:val="00315436"/>
    <w:rsid w:val="00351D39"/>
    <w:rsid w:val="00353733"/>
    <w:rsid w:val="003553B5"/>
    <w:rsid w:val="00356B26"/>
    <w:rsid w:val="00356E54"/>
    <w:rsid w:val="00360758"/>
    <w:rsid w:val="00361D51"/>
    <w:rsid w:val="00364D7B"/>
    <w:rsid w:val="00366457"/>
    <w:rsid w:val="00380FF2"/>
    <w:rsid w:val="00387159"/>
    <w:rsid w:val="00392969"/>
    <w:rsid w:val="00397DEF"/>
    <w:rsid w:val="003A4838"/>
    <w:rsid w:val="003B099C"/>
    <w:rsid w:val="003C1A76"/>
    <w:rsid w:val="003C212A"/>
    <w:rsid w:val="003C3D9B"/>
    <w:rsid w:val="003D69E7"/>
    <w:rsid w:val="003E1D50"/>
    <w:rsid w:val="003E1F5F"/>
    <w:rsid w:val="003E311E"/>
    <w:rsid w:val="004038E5"/>
    <w:rsid w:val="00404267"/>
    <w:rsid w:val="00406999"/>
    <w:rsid w:val="00407C8F"/>
    <w:rsid w:val="00422682"/>
    <w:rsid w:val="00433640"/>
    <w:rsid w:val="00435053"/>
    <w:rsid w:val="00442DA0"/>
    <w:rsid w:val="0045138C"/>
    <w:rsid w:val="004522DB"/>
    <w:rsid w:val="00452BA9"/>
    <w:rsid w:val="00455BD1"/>
    <w:rsid w:val="00471366"/>
    <w:rsid w:val="00474183"/>
    <w:rsid w:val="004862BD"/>
    <w:rsid w:val="004866A1"/>
    <w:rsid w:val="004944D0"/>
    <w:rsid w:val="004979BF"/>
    <w:rsid w:val="004A6407"/>
    <w:rsid w:val="004B30D6"/>
    <w:rsid w:val="004B5CD1"/>
    <w:rsid w:val="004C2A35"/>
    <w:rsid w:val="004C68E5"/>
    <w:rsid w:val="004D0D9E"/>
    <w:rsid w:val="004E1556"/>
    <w:rsid w:val="004F085F"/>
    <w:rsid w:val="004F1B87"/>
    <w:rsid w:val="004F6FE8"/>
    <w:rsid w:val="005047B7"/>
    <w:rsid w:val="00510015"/>
    <w:rsid w:val="00534C05"/>
    <w:rsid w:val="00535B1A"/>
    <w:rsid w:val="00537944"/>
    <w:rsid w:val="00540AE9"/>
    <w:rsid w:val="00551368"/>
    <w:rsid w:val="00552770"/>
    <w:rsid w:val="00555CF1"/>
    <w:rsid w:val="005570C3"/>
    <w:rsid w:val="005621A4"/>
    <w:rsid w:val="00562C1E"/>
    <w:rsid w:val="00563ECF"/>
    <w:rsid w:val="00565EEF"/>
    <w:rsid w:val="00571C4A"/>
    <w:rsid w:val="00590C9A"/>
    <w:rsid w:val="005973FC"/>
    <w:rsid w:val="005A124B"/>
    <w:rsid w:val="005A29F5"/>
    <w:rsid w:val="005C19A4"/>
    <w:rsid w:val="005D5EE9"/>
    <w:rsid w:val="005E266D"/>
    <w:rsid w:val="005E2AB8"/>
    <w:rsid w:val="005E554D"/>
    <w:rsid w:val="006123E3"/>
    <w:rsid w:val="0061303E"/>
    <w:rsid w:val="00617D92"/>
    <w:rsid w:val="00636A0E"/>
    <w:rsid w:val="00641280"/>
    <w:rsid w:val="00651694"/>
    <w:rsid w:val="0065489B"/>
    <w:rsid w:val="00656CA4"/>
    <w:rsid w:val="00665541"/>
    <w:rsid w:val="00670E2D"/>
    <w:rsid w:val="00671AD8"/>
    <w:rsid w:val="00673522"/>
    <w:rsid w:val="00696ED4"/>
    <w:rsid w:val="006A446B"/>
    <w:rsid w:val="006A6CCD"/>
    <w:rsid w:val="006B3776"/>
    <w:rsid w:val="006F4592"/>
    <w:rsid w:val="006F4A2E"/>
    <w:rsid w:val="006F4CE9"/>
    <w:rsid w:val="007122E9"/>
    <w:rsid w:val="00737812"/>
    <w:rsid w:val="00737DA0"/>
    <w:rsid w:val="0074056A"/>
    <w:rsid w:val="0074177D"/>
    <w:rsid w:val="007443AC"/>
    <w:rsid w:val="00744485"/>
    <w:rsid w:val="00745F25"/>
    <w:rsid w:val="00751BD9"/>
    <w:rsid w:val="00754448"/>
    <w:rsid w:val="007671FD"/>
    <w:rsid w:val="0077449B"/>
    <w:rsid w:val="00786217"/>
    <w:rsid w:val="00787387"/>
    <w:rsid w:val="007A23A3"/>
    <w:rsid w:val="007A695D"/>
    <w:rsid w:val="007B3F3B"/>
    <w:rsid w:val="007B68BA"/>
    <w:rsid w:val="007E5B6A"/>
    <w:rsid w:val="007E6B68"/>
    <w:rsid w:val="007F2422"/>
    <w:rsid w:val="00800C7B"/>
    <w:rsid w:val="0080190D"/>
    <w:rsid w:val="00807B9D"/>
    <w:rsid w:val="00810DDC"/>
    <w:rsid w:val="00816EA9"/>
    <w:rsid w:val="008247C0"/>
    <w:rsid w:val="0083228E"/>
    <w:rsid w:val="00836CCD"/>
    <w:rsid w:val="00840170"/>
    <w:rsid w:val="00841C6C"/>
    <w:rsid w:val="00842019"/>
    <w:rsid w:val="0085043F"/>
    <w:rsid w:val="00856082"/>
    <w:rsid w:val="00860D0B"/>
    <w:rsid w:val="00867171"/>
    <w:rsid w:val="00870AB6"/>
    <w:rsid w:val="00873E94"/>
    <w:rsid w:val="008B191D"/>
    <w:rsid w:val="008B377A"/>
    <w:rsid w:val="008B7A92"/>
    <w:rsid w:val="008C0BD7"/>
    <w:rsid w:val="008C3960"/>
    <w:rsid w:val="008C41A5"/>
    <w:rsid w:val="008C759A"/>
    <w:rsid w:val="008D14B5"/>
    <w:rsid w:val="008D4713"/>
    <w:rsid w:val="008E0683"/>
    <w:rsid w:val="008F289B"/>
    <w:rsid w:val="008F6566"/>
    <w:rsid w:val="00913510"/>
    <w:rsid w:val="009174A6"/>
    <w:rsid w:val="00925675"/>
    <w:rsid w:val="00925685"/>
    <w:rsid w:val="00927AC9"/>
    <w:rsid w:val="00927DEE"/>
    <w:rsid w:val="0093721B"/>
    <w:rsid w:val="009373EA"/>
    <w:rsid w:val="009415A2"/>
    <w:rsid w:val="009425B6"/>
    <w:rsid w:val="009443F6"/>
    <w:rsid w:val="00944A6F"/>
    <w:rsid w:val="00960B8B"/>
    <w:rsid w:val="00965CF8"/>
    <w:rsid w:val="00970335"/>
    <w:rsid w:val="00972566"/>
    <w:rsid w:val="00974B73"/>
    <w:rsid w:val="00975524"/>
    <w:rsid w:val="00975A4A"/>
    <w:rsid w:val="00983D31"/>
    <w:rsid w:val="009961A5"/>
    <w:rsid w:val="009A16A6"/>
    <w:rsid w:val="009A5830"/>
    <w:rsid w:val="009B2ED4"/>
    <w:rsid w:val="009B473C"/>
    <w:rsid w:val="009C09C4"/>
    <w:rsid w:val="009C16F0"/>
    <w:rsid w:val="009D6A1E"/>
    <w:rsid w:val="009F2582"/>
    <w:rsid w:val="00A103ED"/>
    <w:rsid w:val="00A12F87"/>
    <w:rsid w:val="00A21750"/>
    <w:rsid w:val="00A225B1"/>
    <w:rsid w:val="00A505EC"/>
    <w:rsid w:val="00A528B8"/>
    <w:rsid w:val="00A53B3A"/>
    <w:rsid w:val="00A63988"/>
    <w:rsid w:val="00A65F0A"/>
    <w:rsid w:val="00A75170"/>
    <w:rsid w:val="00A75432"/>
    <w:rsid w:val="00A75774"/>
    <w:rsid w:val="00A87DA8"/>
    <w:rsid w:val="00A935E6"/>
    <w:rsid w:val="00A96DD5"/>
    <w:rsid w:val="00AA368C"/>
    <w:rsid w:val="00AE629C"/>
    <w:rsid w:val="00AE79C6"/>
    <w:rsid w:val="00AF3082"/>
    <w:rsid w:val="00AF322A"/>
    <w:rsid w:val="00B03B9F"/>
    <w:rsid w:val="00B1364A"/>
    <w:rsid w:val="00B27720"/>
    <w:rsid w:val="00B3017A"/>
    <w:rsid w:val="00B30D4B"/>
    <w:rsid w:val="00B32C85"/>
    <w:rsid w:val="00B51872"/>
    <w:rsid w:val="00B607E1"/>
    <w:rsid w:val="00B61F95"/>
    <w:rsid w:val="00B66F62"/>
    <w:rsid w:val="00B749A0"/>
    <w:rsid w:val="00B75D58"/>
    <w:rsid w:val="00B76C67"/>
    <w:rsid w:val="00B86836"/>
    <w:rsid w:val="00B96389"/>
    <w:rsid w:val="00B97B2A"/>
    <w:rsid w:val="00BA021A"/>
    <w:rsid w:val="00BA0E8D"/>
    <w:rsid w:val="00BC2D71"/>
    <w:rsid w:val="00BC38E5"/>
    <w:rsid w:val="00BC440D"/>
    <w:rsid w:val="00BC6B21"/>
    <w:rsid w:val="00BC7183"/>
    <w:rsid w:val="00BD5418"/>
    <w:rsid w:val="00BE4655"/>
    <w:rsid w:val="00BE7BF4"/>
    <w:rsid w:val="00C01C29"/>
    <w:rsid w:val="00C0732F"/>
    <w:rsid w:val="00C14209"/>
    <w:rsid w:val="00C1522D"/>
    <w:rsid w:val="00C15FD5"/>
    <w:rsid w:val="00C32EE7"/>
    <w:rsid w:val="00C33CBA"/>
    <w:rsid w:val="00C4492D"/>
    <w:rsid w:val="00C476D9"/>
    <w:rsid w:val="00C50C91"/>
    <w:rsid w:val="00C54BF6"/>
    <w:rsid w:val="00C5507E"/>
    <w:rsid w:val="00C56B14"/>
    <w:rsid w:val="00C740B1"/>
    <w:rsid w:val="00C762EF"/>
    <w:rsid w:val="00C76680"/>
    <w:rsid w:val="00C95450"/>
    <w:rsid w:val="00CA1899"/>
    <w:rsid w:val="00CA4DA9"/>
    <w:rsid w:val="00CB1B1F"/>
    <w:rsid w:val="00CB1CDA"/>
    <w:rsid w:val="00CB1E8D"/>
    <w:rsid w:val="00CB2C4D"/>
    <w:rsid w:val="00CB55CF"/>
    <w:rsid w:val="00CC2662"/>
    <w:rsid w:val="00CC30E6"/>
    <w:rsid w:val="00CD2BD3"/>
    <w:rsid w:val="00CD597D"/>
    <w:rsid w:val="00CE6991"/>
    <w:rsid w:val="00CF0CE7"/>
    <w:rsid w:val="00CF448F"/>
    <w:rsid w:val="00D0329E"/>
    <w:rsid w:val="00D20ECD"/>
    <w:rsid w:val="00D22DF9"/>
    <w:rsid w:val="00D42D3D"/>
    <w:rsid w:val="00D51F29"/>
    <w:rsid w:val="00D52154"/>
    <w:rsid w:val="00D85EF4"/>
    <w:rsid w:val="00D94B3C"/>
    <w:rsid w:val="00D959D3"/>
    <w:rsid w:val="00DA78C3"/>
    <w:rsid w:val="00DA7966"/>
    <w:rsid w:val="00DC4714"/>
    <w:rsid w:val="00DC4B8B"/>
    <w:rsid w:val="00DC6501"/>
    <w:rsid w:val="00DC74FF"/>
    <w:rsid w:val="00DD5A68"/>
    <w:rsid w:val="00DE0777"/>
    <w:rsid w:val="00DE1970"/>
    <w:rsid w:val="00DE36A0"/>
    <w:rsid w:val="00DE5594"/>
    <w:rsid w:val="00DE65C6"/>
    <w:rsid w:val="00DF4004"/>
    <w:rsid w:val="00DF4421"/>
    <w:rsid w:val="00DF7C7B"/>
    <w:rsid w:val="00E0619D"/>
    <w:rsid w:val="00E06C29"/>
    <w:rsid w:val="00E116A0"/>
    <w:rsid w:val="00E15F39"/>
    <w:rsid w:val="00E22F64"/>
    <w:rsid w:val="00E3025D"/>
    <w:rsid w:val="00E34EE5"/>
    <w:rsid w:val="00E567C1"/>
    <w:rsid w:val="00E72FF8"/>
    <w:rsid w:val="00E75817"/>
    <w:rsid w:val="00E815DD"/>
    <w:rsid w:val="00E8456D"/>
    <w:rsid w:val="00E90F9B"/>
    <w:rsid w:val="00E921F3"/>
    <w:rsid w:val="00E97707"/>
    <w:rsid w:val="00EA190F"/>
    <w:rsid w:val="00EA6809"/>
    <w:rsid w:val="00EC01C9"/>
    <w:rsid w:val="00EC0E3C"/>
    <w:rsid w:val="00ED4507"/>
    <w:rsid w:val="00EE0493"/>
    <w:rsid w:val="00EE0B29"/>
    <w:rsid w:val="00EE7234"/>
    <w:rsid w:val="00EF0A44"/>
    <w:rsid w:val="00EF21D7"/>
    <w:rsid w:val="00F0526B"/>
    <w:rsid w:val="00F06B8E"/>
    <w:rsid w:val="00F169EE"/>
    <w:rsid w:val="00F22D0E"/>
    <w:rsid w:val="00F2448E"/>
    <w:rsid w:val="00F31B0A"/>
    <w:rsid w:val="00F35BFF"/>
    <w:rsid w:val="00F5025E"/>
    <w:rsid w:val="00F67D52"/>
    <w:rsid w:val="00F7770F"/>
    <w:rsid w:val="00F9050C"/>
    <w:rsid w:val="00F915D2"/>
    <w:rsid w:val="00F9736C"/>
    <w:rsid w:val="00FA13A4"/>
    <w:rsid w:val="00FA1B21"/>
    <w:rsid w:val="00FA1BD0"/>
    <w:rsid w:val="00FA31C4"/>
    <w:rsid w:val="00FA36CE"/>
    <w:rsid w:val="00FA45A2"/>
    <w:rsid w:val="00FB0E28"/>
    <w:rsid w:val="00FB5E0F"/>
    <w:rsid w:val="00FB67E5"/>
    <w:rsid w:val="00FC1773"/>
    <w:rsid w:val="00FC2B72"/>
    <w:rsid w:val="00FD510A"/>
    <w:rsid w:val="00FE13C4"/>
    <w:rsid w:val="00FE378D"/>
    <w:rsid w:val="00FE3E3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18"/>
      </w:numPr>
      <w:spacing w:before="284" w:after="180" w:line="600" w:lineRule="exact"/>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18"/>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18"/>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18"/>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tabs>
        <w:tab w:val="num" w:pos="454"/>
      </w:tabs>
      <w:ind w:left="454" w:hanging="227"/>
      <w:outlineLvl w:val="4"/>
    </w:pPr>
    <w:rPr>
      <w:b w:val="0"/>
      <w:i/>
    </w:rPr>
  </w:style>
  <w:style w:type="paragraph" w:styleId="Heading6">
    <w:name w:val="heading 6"/>
    <w:basedOn w:val="Normal"/>
    <w:next w:val="Normal"/>
    <w:link w:val="Heading6Char"/>
    <w:uiPriority w:val="99"/>
    <w:qFormat/>
    <w:rsid w:val="006F4592"/>
    <w:pPr>
      <w:spacing w:before="240" w:after="60"/>
      <w:outlineLvl w:val="5"/>
    </w:pPr>
    <w:rPr>
      <w:b/>
      <w:bCs/>
      <w:sz w:val="22"/>
      <w:szCs w:val="22"/>
    </w:rPr>
  </w:style>
  <w:style w:type="paragraph" w:styleId="Heading7">
    <w:name w:val="heading 7"/>
    <w:basedOn w:val="Normal"/>
    <w:next w:val="BodyText"/>
    <w:link w:val="Heading7Char"/>
    <w:uiPriority w:val="99"/>
    <w:qFormat/>
    <w:rsid w:val="00054674"/>
    <w:pPr>
      <w:keepNext/>
      <w:numPr>
        <w:ilvl w:val="6"/>
        <w:numId w:val="18"/>
      </w:numPr>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18"/>
      </w:numPr>
      <w:tabs>
        <w:tab w:val="left" w:pos="397"/>
      </w:tabs>
      <w:spacing w:before="480" w:line="280" w:lineRule="exact"/>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18"/>
      </w:numPr>
      <w:spacing w:before="360" w:line="260" w:lineRule="exact"/>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qFormat/>
    <w:rsid w:val="007F2422"/>
    <w:pPr>
      <w:numPr>
        <w:numId w:val="6"/>
      </w:numPr>
      <w:ind w:left="284" w:hanging="284"/>
    </w:pPr>
    <w:rPr>
      <w:color w:val="000000"/>
      <w:spacing w:val="-2"/>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1"/>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17"/>
      </w:numPr>
      <w:tabs>
        <w:tab w:val="num" w:pos="445"/>
      </w:tabs>
      <w:spacing w:before="50" w:after="0" w:line="190" w:lineRule="exact"/>
      <w:ind w:left="369" w:hanging="284"/>
    </w:pPr>
  </w:style>
  <w:style w:type="paragraph" w:customStyle="1" w:styleId="Tablelistbullet">
    <w:name w:val="Table list bullet"/>
    <w:basedOn w:val="Tablebody"/>
    <w:uiPriority w:val="99"/>
    <w:pPr>
      <w:numPr>
        <w:numId w:val="8"/>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4"/>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15"/>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16"/>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rsid w:val="00B86836"/>
    <w:pPr>
      <w:tabs>
        <w:tab w:val="clear" w:pos="284"/>
      </w:tabs>
      <w:spacing w:before="60"/>
      <w:ind w:firstLine="0"/>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character" w:customStyle="1" w:styleId="Heading1nonumberChar">
    <w:name w:val="Heading 1 (no number) Char"/>
    <w:basedOn w:val="Heading1Char"/>
    <w:link w:val="Heading1nonumber"/>
    <w:uiPriority w:val="99"/>
    <w:locked/>
    <w:rsid w:val="002C4E3D"/>
    <w:rPr>
      <w:rFonts w:ascii="Arial Narrow" w:hAnsi="Arial Narrow"/>
      <w:kern w:val="28"/>
      <w:sz w:val="40"/>
      <w:szCs w:val="20"/>
      <w:lang w:val="en-AU" w:eastAsia="en-AU"/>
    </w:r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pPr>
      <w:tabs>
        <w:tab w:val="left" w:pos="0"/>
        <w:tab w:val="right" w:pos="7655"/>
        <w:tab w:val="right" w:pos="8165"/>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0D01EC"/>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5"/>
      </w:numPr>
      <w:tabs>
        <w:tab w:val="left" w:pos="284"/>
      </w:tabs>
    </w:pPr>
    <w:rPr>
      <w:b/>
      <w:color w:val="808080"/>
    </w:rPr>
  </w:style>
  <w:style w:type="paragraph" w:styleId="ListNumber">
    <w:name w:val="List Number"/>
    <w:basedOn w:val="ListBullet"/>
    <w:uiPriority w:val="99"/>
    <w:pPr>
      <w:numPr>
        <w:numId w:val="7"/>
      </w:numPr>
      <w:tabs>
        <w:tab w:val="clear" w:pos="360"/>
        <w:tab w:val="num" w:pos="644"/>
      </w:tabs>
    </w:pPr>
  </w:style>
  <w:style w:type="paragraph" w:customStyle="1" w:styleId="Note">
    <w:name w:val="Note"/>
    <w:basedOn w:val="Normal"/>
    <w:next w:val="Normal"/>
    <w:uiPriority w:val="99"/>
    <w:rsid w:val="00E34EE5"/>
    <w:pPr>
      <w:keepNext/>
      <w:spacing w:before="40" w:line="180" w:lineRule="atLeas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style>
  <w:style w:type="paragraph" w:styleId="Subtitle">
    <w:name w:val="Subtitle"/>
    <w:basedOn w:val="CoverSubtitle"/>
    <w:link w:val="SubtitleChar"/>
    <w:uiPriority w:val="99"/>
    <w:qFormat/>
    <w:rsid w:val="002D07FC"/>
  </w:style>
  <w:style w:type="character" w:customStyle="1" w:styleId="SubtitleChar">
    <w:name w:val="Subtitle Char"/>
    <w:basedOn w:val="DefaultParagraphFont"/>
    <w:link w:val="Subtitle"/>
    <w:uiPriority w:val="99"/>
    <w:rsid w:val="002D07FC"/>
    <w:rPr>
      <w:rFonts w:ascii="Arial Narrow" w:hAnsi="Arial Narrow"/>
      <w:caps/>
      <w:sz w:val="24"/>
      <w:szCs w:val="24"/>
      <w:lang w:val="en-AU" w:eastAsia="en-AU"/>
    </w:rPr>
  </w:style>
  <w:style w:type="paragraph" w:styleId="Title">
    <w:name w:val="Title"/>
    <w:basedOn w:val="CoverTitle"/>
    <w:next w:val="Subtitle"/>
    <w:link w:val="TitleChar"/>
    <w:uiPriority w:val="99"/>
    <w:qFormat/>
    <w:rsid w:val="002D07FC"/>
  </w:style>
  <w:style w:type="character" w:customStyle="1" w:styleId="TitleChar">
    <w:name w:val="Title Char"/>
    <w:basedOn w:val="DefaultParagraphFont"/>
    <w:link w:val="Title"/>
    <w:uiPriority w:val="99"/>
    <w:rsid w:val="002D07FC"/>
    <w:rPr>
      <w:rFonts w:ascii="Arial Narrow" w:hAnsi="Arial Narrow"/>
      <w:kern w:val="28"/>
      <w:sz w:val="56"/>
      <w:szCs w:val="20"/>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9"/>
      </w:numPr>
      <w:jc w:val="left"/>
    </w:pPr>
  </w:style>
  <w:style w:type="paragraph" w:customStyle="1" w:styleId="Tablelistnumber">
    <w:name w:val="Table list number"/>
    <w:basedOn w:val="Tablebody"/>
    <w:uiPriority w:val="99"/>
    <w:pPr>
      <w:numPr>
        <w:numId w:val="10"/>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2"/>
      </w:numPr>
      <w:tabs>
        <w:tab w:val="clear" w:pos="445"/>
        <w:tab w:val="left" w:pos="369"/>
      </w:tabs>
      <w:spacing w:before="60"/>
    </w:pPr>
  </w:style>
  <w:style w:type="paragraph" w:customStyle="1" w:styleId="BoxListBullet2">
    <w:name w:val="Box List Bullet 2"/>
    <w:basedOn w:val="BoxListBullet"/>
    <w:uiPriority w:val="99"/>
    <w:semiHidden/>
    <w:pPr>
      <w:numPr>
        <w:numId w:val="13"/>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4"/>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paragraph" w:customStyle="1" w:styleId="Char">
    <w:name w:val="Char"/>
    <w:basedOn w:val="Normal"/>
    <w:uiPriority w:val="99"/>
    <w:rsid w:val="00CB1CDA"/>
    <w:pPr>
      <w:spacing w:after="160" w:line="240" w:lineRule="exact"/>
    </w:pPr>
    <w:rPr>
      <w:rFonts w:ascii="Arial" w:hAnsi="Arial" w:cs="Arial"/>
      <w:lang w:val="en-GB" w:eastAsia="en-US"/>
    </w:rPr>
  </w:style>
  <w:style w:type="character" w:styleId="FollowedHyperlink">
    <w:name w:val="FollowedHyperlink"/>
    <w:basedOn w:val="DefaultParagraphFont"/>
    <w:uiPriority w:val="99"/>
    <w:rsid w:val="00CB1CDA"/>
    <w:rPr>
      <w:rFonts w:cs="Times New Roman"/>
      <w:color w:val="800080"/>
      <w:u w:val="single"/>
    </w:rPr>
  </w:style>
  <w:style w:type="paragraph" w:customStyle="1" w:styleId="HighlightBulletOrange">
    <w:name w:val="Highlight Bullet Orange"/>
    <w:basedOn w:val="BodyText"/>
    <w:next w:val="BodyText"/>
    <w:uiPriority w:val="99"/>
    <w:rsid w:val="00FA1B21"/>
    <w:pPr>
      <w:numPr>
        <w:numId w:val="21"/>
      </w:numPr>
    </w:pPr>
  </w:style>
  <w:style w:type="paragraph" w:customStyle="1" w:styleId="HighlightBulletGreen">
    <w:name w:val="Highlight Bullet Green"/>
    <w:basedOn w:val="HighlightBulletOrange"/>
    <w:uiPriority w:val="99"/>
    <w:rsid w:val="00A935E6"/>
  </w:style>
  <w:style w:type="paragraph" w:customStyle="1" w:styleId="HighlightBulletRed">
    <w:name w:val="Highlight Bullet Red"/>
    <w:basedOn w:val="HighlightBulletOrange"/>
    <w:uiPriority w:val="99"/>
    <w:rsid w:val="00FA1B21"/>
    <w:pPr>
      <w:numPr>
        <w:numId w:val="20"/>
      </w:numPr>
    </w:pPr>
  </w:style>
  <w:style w:type="table" w:customStyle="1" w:styleId="Tablewithnoheader">
    <w:name w:val="Table with no header"/>
    <w:uiPriority w:val="99"/>
    <w:rsid w:val="00B51872"/>
    <w:pPr>
      <w:spacing w:after="0" w:line="240" w:lineRule="auto"/>
    </w:pPr>
    <w:rPr>
      <w:rFonts w:ascii="Arial" w:hAnsi="Arial"/>
      <w:sz w:val="20"/>
      <w:szCs w:val="20"/>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style>
  <w:style w:type="paragraph" w:customStyle="1" w:styleId="CharChar">
    <w:name w:val="Char Char"/>
    <w:basedOn w:val="Normal"/>
    <w:uiPriority w:val="99"/>
    <w:rsid w:val="00001CBB"/>
    <w:pPr>
      <w:spacing w:before="180" w:line="280" w:lineRule="atLeast"/>
    </w:pPr>
    <w:rPr>
      <w:rFonts w:ascii="Arial" w:hAnsi="Arial"/>
      <w:sz w:val="22"/>
      <w:lang w:eastAsia="en-US"/>
    </w:rPr>
  </w:style>
  <w:style w:type="paragraph" w:customStyle="1" w:styleId="H1">
    <w:name w:val="H1"/>
    <w:basedOn w:val="Heading1"/>
    <w:next w:val="BlockText"/>
    <w:qFormat/>
    <w:rsid w:val="00673522"/>
    <w:pPr>
      <w:numPr>
        <w:numId w:val="0"/>
      </w:numPr>
      <w:spacing w:before="1320"/>
      <w:ind w:left="284"/>
    </w:pPr>
  </w:style>
  <w:style w:type="paragraph" w:styleId="BlockText">
    <w:name w:val="Block Text"/>
    <w:basedOn w:val="Normal"/>
    <w:uiPriority w:val="99"/>
    <w:semiHidden/>
    <w:unhideWhenUsed/>
    <w:rsid w:val="0067352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CoverLink">
    <w:name w:val="Cover Link"/>
    <w:basedOn w:val="Subtitle"/>
    <w:qFormat/>
    <w:rsid w:val="000E2C8F"/>
    <w:pPr>
      <w:spacing w:before="5280"/>
    </w:pPr>
    <w:rPr>
      <w:rFonts w:ascii="Garamond" w:hAnsi="Garamond"/>
      <w:caps w:val="0"/>
      <w:color w:val="000000"/>
      <w:sz w:val="23"/>
      <w:szCs w:val="23"/>
    </w:rPr>
  </w:style>
  <w:style w:type="paragraph" w:customStyle="1" w:styleId="CoverTitle">
    <w:name w:val="Cover Title"/>
    <w:rsid w:val="002D07FC"/>
    <w:pPr>
      <w:spacing w:before="2640"/>
      <w:ind w:left="3402"/>
    </w:pPr>
    <w:rPr>
      <w:rFonts w:ascii="Arial Narrow" w:hAnsi="Arial Narrow"/>
      <w:kern w:val="28"/>
      <w:sz w:val="56"/>
      <w:szCs w:val="20"/>
      <w:lang w:val="en-AU" w:eastAsia="en-AU"/>
    </w:rPr>
  </w:style>
  <w:style w:type="paragraph" w:customStyle="1" w:styleId="CoverSubtitle">
    <w:name w:val="Cover Subtitle"/>
    <w:qFormat/>
    <w:rsid w:val="002D07FC"/>
    <w:pPr>
      <w:spacing w:before="2280"/>
      <w:ind w:left="3402"/>
    </w:pPr>
    <w:rPr>
      <w:rFonts w:ascii="Arial Narrow" w:hAnsi="Arial Narrow"/>
      <w:caps/>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numPr>
        <w:numId w:val="18"/>
      </w:numPr>
      <w:spacing w:before="284" w:after="180" w:line="600" w:lineRule="exact"/>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18"/>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18"/>
      </w:numPr>
      <w:spacing w:before="360" w:line="260" w:lineRule="exact"/>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18"/>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tabs>
        <w:tab w:val="num" w:pos="454"/>
      </w:tabs>
      <w:ind w:left="454" w:hanging="227"/>
      <w:outlineLvl w:val="4"/>
    </w:pPr>
    <w:rPr>
      <w:b w:val="0"/>
      <w:i/>
    </w:rPr>
  </w:style>
  <w:style w:type="paragraph" w:styleId="Heading6">
    <w:name w:val="heading 6"/>
    <w:basedOn w:val="Normal"/>
    <w:next w:val="Normal"/>
    <w:link w:val="Heading6Char"/>
    <w:uiPriority w:val="99"/>
    <w:qFormat/>
    <w:rsid w:val="006F4592"/>
    <w:pPr>
      <w:spacing w:before="240" w:after="60"/>
      <w:outlineLvl w:val="5"/>
    </w:pPr>
    <w:rPr>
      <w:b/>
      <w:bCs/>
      <w:sz w:val="22"/>
      <w:szCs w:val="22"/>
    </w:rPr>
  </w:style>
  <w:style w:type="paragraph" w:styleId="Heading7">
    <w:name w:val="heading 7"/>
    <w:basedOn w:val="Normal"/>
    <w:next w:val="BodyText"/>
    <w:link w:val="Heading7Char"/>
    <w:uiPriority w:val="99"/>
    <w:qFormat/>
    <w:rsid w:val="00054674"/>
    <w:pPr>
      <w:keepNext/>
      <w:numPr>
        <w:ilvl w:val="6"/>
        <w:numId w:val="18"/>
      </w:numPr>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18"/>
      </w:numPr>
      <w:tabs>
        <w:tab w:val="left" w:pos="397"/>
      </w:tabs>
      <w:spacing w:before="480" w:line="280" w:lineRule="exact"/>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18"/>
      </w:numPr>
      <w:spacing w:before="360" w:line="260" w:lineRule="exact"/>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qFormat/>
    <w:rsid w:val="007F2422"/>
    <w:pPr>
      <w:numPr>
        <w:numId w:val="6"/>
      </w:numPr>
      <w:ind w:left="284" w:hanging="284"/>
    </w:pPr>
    <w:rPr>
      <w:color w:val="000000"/>
      <w:spacing w:val="-2"/>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1"/>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17"/>
      </w:numPr>
      <w:tabs>
        <w:tab w:val="num" w:pos="445"/>
      </w:tabs>
      <w:spacing w:before="50" w:after="0" w:line="190" w:lineRule="exact"/>
      <w:ind w:left="369" w:hanging="284"/>
    </w:pPr>
  </w:style>
  <w:style w:type="paragraph" w:customStyle="1" w:styleId="Tablelistbullet">
    <w:name w:val="Table list bullet"/>
    <w:basedOn w:val="Tablebody"/>
    <w:uiPriority w:val="99"/>
    <w:pPr>
      <w:numPr>
        <w:numId w:val="8"/>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4"/>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15"/>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16"/>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rsid w:val="00B86836"/>
    <w:pPr>
      <w:tabs>
        <w:tab w:val="clear" w:pos="284"/>
      </w:tabs>
      <w:spacing w:before="60"/>
      <w:ind w:firstLine="0"/>
    </w:pPr>
    <w:rPr>
      <w:b w:val="0"/>
      <w:caps w:val="0"/>
    </w:rPr>
  </w:style>
  <w:style w:type="paragraph" w:customStyle="1" w:styleId="Heading1nonumber">
    <w:name w:val="Heading 1 (no number)"/>
    <w:basedOn w:val="Heading1"/>
    <w:next w:val="BodyText"/>
    <w:link w:val="Heading1nonumberChar"/>
    <w:uiPriority w:val="99"/>
    <w:semiHidden/>
    <w:rsid w:val="002F20F8"/>
    <w:pPr>
      <w:numPr>
        <w:numId w:val="0"/>
      </w:numPr>
    </w:pPr>
  </w:style>
  <w:style w:type="character" w:customStyle="1" w:styleId="Heading1nonumberChar">
    <w:name w:val="Heading 1 (no number) Char"/>
    <w:basedOn w:val="Heading1Char"/>
    <w:link w:val="Heading1nonumber"/>
    <w:uiPriority w:val="99"/>
    <w:locked/>
    <w:rsid w:val="002C4E3D"/>
    <w:rPr>
      <w:rFonts w:ascii="Arial Narrow" w:hAnsi="Arial Narrow"/>
      <w:kern w:val="28"/>
      <w:sz w:val="40"/>
      <w:szCs w:val="20"/>
      <w:lang w:val="en-AU" w:eastAsia="en-AU"/>
    </w:r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pPr>
      <w:tabs>
        <w:tab w:val="left" w:pos="0"/>
        <w:tab w:val="right" w:pos="7655"/>
        <w:tab w:val="right" w:pos="8165"/>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0D01EC"/>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5"/>
      </w:numPr>
      <w:tabs>
        <w:tab w:val="left" w:pos="284"/>
      </w:tabs>
    </w:pPr>
    <w:rPr>
      <w:b/>
      <w:color w:val="808080"/>
    </w:rPr>
  </w:style>
  <w:style w:type="paragraph" w:styleId="ListNumber">
    <w:name w:val="List Number"/>
    <w:basedOn w:val="ListBullet"/>
    <w:uiPriority w:val="99"/>
    <w:pPr>
      <w:numPr>
        <w:numId w:val="7"/>
      </w:numPr>
      <w:tabs>
        <w:tab w:val="clear" w:pos="360"/>
        <w:tab w:val="num" w:pos="644"/>
      </w:tabs>
    </w:pPr>
  </w:style>
  <w:style w:type="paragraph" w:customStyle="1" w:styleId="Note">
    <w:name w:val="Note"/>
    <w:basedOn w:val="Normal"/>
    <w:next w:val="Normal"/>
    <w:uiPriority w:val="99"/>
    <w:rsid w:val="00E34EE5"/>
    <w:pPr>
      <w:keepNext/>
      <w:spacing w:before="40" w:line="180" w:lineRule="atLeas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style>
  <w:style w:type="paragraph" w:styleId="Subtitle">
    <w:name w:val="Subtitle"/>
    <w:basedOn w:val="CoverSubtitle"/>
    <w:link w:val="SubtitleChar"/>
    <w:uiPriority w:val="99"/>
    <w:qFormat/>
    <w:rsid w:val="002D07FC"/>
  </w:style>
  <w:style w:type="character" w:customStyle="1" w:styleId="SubtitleChar">
    <w:name w:val="Subtitle Char"/>
    <w:basedOn w:val="DefaultParagraphFont"/>
    <w:link w:val="Subtitle"/>
    <w:uiPriority w:val="99"/>
    <w:rsid w:val="002D07FC"/>
    <w:rPr>
      <w:rFonts w:ascii="Arial Narrow" w:hAnsi="Arial Narrow"/>
      <w:caps/>
      <w:sz w:val="24"/>
      <w:szCs w:val="24"/>
      <w:lang w:val="en-AU" w:eastAsia="en-AU"/>
    </w:rPr>
  </w:style>
  <w:style w:type="paragraph" w:styleId="Title">
    <w:name w:val="Title"/>
    <w:basedOn w:val="CoverTitle"/>
    <w:next w:val="Subtitle"/>
    <w:link w:val="TitleChar"/>
    <w:uiPriority w:val="99"/>
    <w:qFormat/>
    <w:rsid w:val="002D07FC"/>
  </w:style>
  <w:style w:type="character" w:customStyle="1" w:styleId="TitleChar">
    <w:name w:val="Title Char"/>
    <w:basedOn w:val="DefaultParagraphFont"/>
    <w:link w:val="Title"/>
    <w:uiPriority w:val="99"/>
    <w:rsid w:val="002D07FC"/>
    <w:rPr>
      <w:rFonts w:ascii="Arial Narrow" w:hAnsi="Arial Narrow"/>
      <w:kern w:val="28"/>
      <w:sz w:val="56"/>
      <w:szCs w:val="20"/>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keepNext w:val="0"/>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9"/>
      </w:numPr>
      <w:jc w:val="left"/>
    </w:pPr>
  </w:style>
  <w:style w:type="paragraph" w:customStyle="1" w:styleId="Tablelistnumber">
    <w:name w:val="Table list number"/>
    <w:basedOn w:val="Tablebody"/>
    <w:uiPriority w:val="99"/>
    <w:pPr>
      <w:numPr>
        <w:numId w:val="10"/>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2"/>
      </w:numPr>
      <w:tabs>
        <w:tab w:val="clear" w:pos="445"/>
        <w:tab w:val="left" w:pos="369"/>
      </w:tabs>
      <w:spacing w:before="60"/>
    </w:pPr>
  </w:style>
  <w:style w:type="paragraph" w:customStyle="1" w:styleId="BoxListBullet2">
    <w:name w:val="Box List Bullet 2"/>
    <w:basedOn w:val="BoxListBullet"/>
    <w:uiPriority w:val="99"/>
    <w:semiHidden/>
    <w:pPr>
      <w:numPr>
        <w:numId w:val="13"/>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4"/>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paragraph" w:customStyle="1" w:styleId="Char">
    <w:name w:val="Char"/>
    <w:basedOn w:val="Normal"/>
    <w:uiPriority w:val="99"/>
    <w:rsid w:val="00CB1CDA"/>
    <w:pPr>
      <w:spacing w:after="160" w:line="240" w:lineRule="exact"/>
    </w:pPr>
    <w:rPr>
      <w:rFonts w:ascii="Arial" w:hAnsi="Arial" w:cs="Arial"/>
      <w:lang w:val="en-GB" w:eastAsia="en-US"/>
    </w:rPr>
  </w:style>
  <w:style w:type="character" w:styleId="FollowedHyperlink">
    <w:name w:val="FollowedHyperlink"/>
    <w:basedOn w:val="DefaultParagraphFont"/>
    <w:uiPriority w:val="99"/>
    <w:rsid w:val="00CB1CDA"/>
    <w:rPr>
      <w:rFonts w:cs="Times New Roman"/>
      <w:color w:val="800080"/>
      <w:u w:val="single"/>
    </w:rPr>
  </w:style>
  <w:style w:type="paragraph" w:customStyle="1" w:styleId="HighlightBulletOrange">
    <w:name w:val="Highlight Bullet Orange"/>
    <w:basedOn w:val="BodyText"/>
    <w:next w:val="BodyText"/>
    <w:uiPriority w:val="99"/>
    <w:rsid w:val="00FA1B21"/>
    <w:pPr>
      <w:numPr>
        <w:numId w:val="21"/>
      </w:numPr>
    </w:pPr>
  </w:style>
  <w:style w:type="paragraph" w:customStyle="1" w:styleId="HighlightBulletGreen">
    <w:name w:val="Highlight Bullet Green"/>
    <w:basedOn w:val="HighlightBulletOrange"/>
    <w:uiPriority w:val="99"/>
    <w:rsid w:val="00A935E6"/>
  </w:style>
  <w:style w:type="paragraph" w:customStyle="1" w:styleId="HighlightBulletRed">
    <w:name w:val="Highlight Bullet Red"/>
    <w:basedOn w:val="HighlightBulletOrange"/>
    <w:uiPriority w:val="99"/>
    <w:rsid w:val="00FA1B21"/>
    <w:pPr>
      <w:numPr>
        <w:numId w:val="20"/>
      </w:numPr>
    </w:pPr>
  </w:style>
  <w:style w:type="table" w:customStyle="1" w:styleId="Tablewithnoheader">
    <w:name w:val="Table with no header"/>
    <w:uiPriority w:val="99"/>
    <w:rsid w:val="00B51872"/>
    <w:pPr>
      <w:spacing w:after="0" w:line="240" w:lineRule="auto"/>
    </w:pPr>
    <w:rPr>
      <w:rFonts w:ascii="Arial" w:hAnsi="Arial"/>
      <w:sz w:val="20"/>
      <w:szCs w:val="20"/>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style>
  <w:style w:type="paragraph" w:customStyle="1" w:styleId="CharChar">
    <w:name w:val="Char Char"/>
    <w:basedOn w:val="Normal"/>
    <w:uiPriority w:val="99"/>
    <w:rsid w:val="00001CBB"/>
    <w:pPr>
      <w:spacing w:before="180" w:line="280" w:lineRule="atLeast"/>
    </w:pPr>
    <w:rPr>
      <w:rFonts w:ascii="Arial" w:hAnsi="Arial"/>
      <w:sz w:val="22"/>
      <w:lang w:eastAsia="en-US"/>
    </w:rPr>
  </w:style>
  <w:style w:type="paragraph" w:customStyle="1" w:styleId="H1">
    <w:name w:val="H1"/>
    <w:basedOn w:val="Heading1"/>
    <w:next w:val="BlockText"/>
    <w:qFormat/>
    <w:rsid w:val="00673522"/>
    <w:pPr>
      <w:numPr>
        <w:numId w:val="0"/>
      </w:numPr>
      <w:spacing w:before="1320"/>
      <w:ind w:left="284"/>
    </w:pPr>
  </w:style>
  <w:style w:type="paragraph" w:styleId="BlockText">
    <w:name w:val="Block Text"/>
    <w:basedOn w:val="Normal"/>
    <w:uiPriority w:val="99"/>
    <w:semiHidden/>
    <w:unhideWhenUsed/>
    <w:rsid w:val="0067352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CoverLink">
    <w:name w:val="Cover Link"/>
    <w:basedOn w:val="Subtitle"/>
    <w:qFormat/>
    <w:rsid w:val="000E2C8F"/>
    <w:pPr>
      <w:spacing w:before="5280"/>
    </w:pPr>
    <w:rPr>
      <w:rFonts w:ascii="Garamond" w:hAnsi="Garamond"/>
      <w:caps w:val="0"/>
      <w:color w:val="000000"/>
      <w:sz w:val="23"/>
      <w:szCs w:val="23"/>
    </w:rPr>
  </w:style>
  <w:style w:type="paragraph" w:customStyle="1" w:styleId="CoverTitle">
    <w:name w:val="Cover Title"/>
    <w:rsid w:val="002D07FC"/>
    <w:pPr>
      <w:spacing w:before="2640"/>
      <w:ind w:left="3402"/>
    </w:pPr>
    <w:rPr>
      <w:rFonts w:ascii="Arial Narrow" w:hAnsi="Arial Narrow"/>
      <w:kern w:val="28"/>
      <w:sz w:val="56"/>
      <w:szCs w:val="20"/>
      <w:lang w:val="en-AU" w:eastAsia="en-AU"/>
    </w:rPr>
  </w:style>
  <w:style w:type="paragraph" w:customStyle="1" w:styleId="CoverSubtitle">
    <w:name w:val="Cover Subtitle"/>
    <w:qFormat/>
    <w:rsid w:val="002D07FC"/>
    <w:pPr>
      <w:spacing w:before="2280"/>
      <w:ind w:left="3402"/>
    </w:pPr>
    <w:rPr>
      <w:rFonts w:ascii="Arial Narrow" w:hAnsi="Arial Narrow"/>
      <w:caps/>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34796">
      <w:bodyDiv w:val="1"/>
      <w:marLeft w:val="0"/>
      <w:marRight w:val="0"/>
      <w:marTop w:val="0"/>
      <w:marBottom w:val="0"/>
      <w:divBdr>
        <w:top w:val="none" w:sz="0" w:space="0" w:color="auto"/>
        <w:left w:val="none" w:sz="0" w:space="0" w:color="auto"/>
        <w:bottom w:val="none" w:sz="0" w:space="0" w:color="auto"/>
        <w:right w:val="none" w:sz="0" w:space="0" w:color="auto"/>
      </w:divBdr>
    </w:div>
    <w:div w:id="115738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g.gov.au/cca" TargetMode="Externa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header" Target="header5.xml"/><Relationship Id="rId34" Type="http://schemas.openxmlformats.org/officeDocument/2006/relationships/footer" Target="footer11.xml"/><Relationship Id="rId42" Type="http://schemas.openxmlformats.org/officeDocument/2006/relationships/header" Target="header14.xml"/><Relationship Id="rId47" Type="http://schemas.openxmlformats.org/officeDocument/2006/relationships/header" Target="header17.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eader" Target="header9.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ausaid.gov.au/" TargetMode="External"/><Relationship Id="rId14" Type="http://schemas.openxmlformats.org/officeDocument/2006/relationships/hyperlink" Target="http://www.ausaid.gov.au/publications"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header" Target="header15.xml"/><Relationship Id="rId48" Type="http://schemas.openxmlformats.org/officeDocument/2006/relationships/footer" Target="footer19.xml"/><Relationship Id="rId8" Type="http://schemas.openxmlformats.org/officeDocument/2006/relationships/image" Target="media/image1.jpeg"/><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header" Target="header16.xml"/><Relationship Id="rId20" Type="http://schemas.openxmlformats.org/officeDocument/2006/relationships/header" Target="header4.xml"/><Relationship Id="rId41" Type="http://schemas.openxmlformats.org/officeDocument/2006/relationships/footer" Target="footer16.xml"/><Relationship Id="rId54"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ausaid.gov.au/" TargetMode="Externa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AusAID%20long%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D83FC-2730-427A-8AA7-5228C8ACBB27}"/>
</file>

<file path=customXml/itemProps2.xml><?xml version="1.0" encoding="utf-8"?>
<ds:datastoreItem xmlns:ds="http://schemas.openxmlformats.org/officeDocument/2006/customXml" ds:itemID="{B4A42E0E-E17A-4803-89F9-0F4B70A37A06}"/>
</file>

<file path=customXml/itemProps3.xml><?xml version="1.0" encoding="utf-8"?>
<ds:datastoreItem xmlns:ds="http://schemas.openxmlformats.org/officeDocument/2006/customXml" ds:itemID="{68F27CF8-E9F5-4E7B-A14F-7BCA79EF22B8}"/>
</file>

<file path=docProps/app.xml><?xml version="1.0" encoding="utf-8"?>
<Properties xmlns="http://schemas.openxmlformats.org/officeDocument/2006/extended-properties" xmlns:vt="http://schemas.openxmlformats.org/officeDocument/2006/docPropsVTypes">
  <Template>AusAID long report.dot</Template>
  <TotalTime>94</TotalTime>
  <Pages>36</Pages>
  <Words>12137</Words>
  <Characters>69187</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ByWord Services</Company>
  <LinksUpToDate>false</LinksUpToDate>
  <CharactersWithSpaces>81162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performance report for the Philippines 2007–08</dc:title>
  <dc:subject>Annual program performance report for the Philippines 2007–08</dc:subject>
  <dc:creator>Australian Government AusAID</dc:creator>
  <cp:keywords>AusAID; Annual program performance report; APPR; Philippines; 2007; 2008;</cp:keywords>
  <cp:lastModifiedBy>aelrayes</cp:lastModifiedBy>
  <cp:revision>9</cp:revision>
  <cp:lastPrinted>2008-08-01T14:46:00Z</cp:lastPrinted>
  <dcterms:created xsi:type="dcterms:W3CDTF">2013-07-05T17:35:00Z</dcterms:created>
  <dcterms:modified xsi:type="dcterms:W3CDTF">2013-07-05T20:32:00Z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299600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