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3.xml" ContentType="application/vnd.openxmlformats-officedocument.wordprocessingml.footer+xml"/>
  <Override PartName="/word/header9.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3.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1.xml" ContentType="application/vnd.openxmlformats-officedocument.wordprocessingml.footer+xml"/>
  <Override PartName="/word/footer1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3E" w:rsidRDefault="00395B3E" w:rsidP="00395B3E">
      <w:pPr>
        <w:spacing w:after="200" w:line="276" w:lineRule="auto"/>
        <w:ind w:left="3402"/>
      </w:pPr>
      <w:r>
        <w:rPr>
          <w:noProof/>
          <w:color w:val="000000"/>
          <w:lang w:val="en-CA" w:eastAsia="en-CA"/>
        </w:rPr>
        <w:drawing>
          <wp:inline distT="0" distB="0" distL="0" distR="0" wp14:anchorId="42FE1874" wp14:editId="28FCEE10">
            <wp:extent cx="2198370" cy="539115"/>
            <wp:effectExtent l="0" t="0" r="0" b="0"/>
            <wp:docPr id="11" name="Picture 11" descr="Australian Government Logo. AusAID." title="Australian Government Logo. Au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8370" cy="539115"/>
                    </a:xfrm>
                    <a:prstGeom prst="rect">
                      <a:avLst/>
                    </a:prstGeom>
                    <a:noFill/>
                    <a:ln>
                      <a:noFill/>
                    </a:ln>
                  </pic:spPr>
                </pic:pic>
              </a:graphicData>
            </a:graphic>
          </wp:inline>
        </w:drawing>
      </w:r>
    </w:p>
    <w:p w:rsidR="00395B3E" w:rsidRPr="001409BB" w:rsidRDefault="00395B3E" w:rsidP="00494E8C">
      <w:pPr>
        <w:pStyle w:val="Title"/>
      </w:pPr>
      <w:r w:rsidRPr="00A448C0">
        <w:t>Annual</w:t>
      </w:r>
      <w:r w:rsidRPr="001409BB">
        <w:t xml:space="preserve"> program performance report for </w:t>
      </w:r>
      <w:r>
        <w:t>China</w:t>
      </w:r>
      <w:r w:rsidRPr="001409BB">
        <w:t xml:space="preserve"> </w:t>
      </w:r>
      <w:r w:rsidRPr="000551C8">
        <w:t>2007</w:t>
      </w:r>
      <w:r w:rsidRPr="001409BB">
        <w:t>–08</w:t>
      </w:r>
    </w:p>
    <w:p w:rsidR="00395B3E" w:rsidRPr="00A448C0" w:rsidRDefault="00395B3E" w:rsidP="00395B3E">
      <w:pPr>
        <w:pStyle w:val="CoverSubtitle"/>
      </w:pPr>
      <w:r>
        <w:t>NOVEMBER</w:t>
      </w:r>
      <w:r w:rsidRPr="00A448C0">
        <w:t xml:space="preserve"> 2008</w:t>
      </w:r>
    </w:p>
    <w:p w:rsidR="00395B3E" w:rsidRDefault="003808AA" w:rsidP="00395B3E">
      <w:pPr>
        <w:pStyle w:val="CoverLink"/>
      </w:pPr>
      <w:hyperlink r:id="rId10" w:history="1">
        <w:r w:rsidR="00395B3E">
          <w:rPr>
            <w:rStyle w:val="Hyperlink"/>
          </w:rPr>
          <w:t>www.ausaid.gov.au</w:t>
        </w:r>
      </w:hyperlink>
    </w:p>
    <w:p w:rsidR="00C762EF" w:rsidRPr="00D517FD" w:rsidRDefault="00C762EF">
      <w:pPr>
        <w:pStyle w:val="BodyText"/>
        <w:spacing w:before="0"/>
        <w:sectPr w:rsidR="00C762EF" w:rsidRPr="00D517FD">
          <w:headerReference w:type="default" r:id="rId11"/>
          <w:footerReference w:type="even" r:id="rId12"/>
          <w:footerReference w:type="default" r:id="rId13"/>
          <w:type w:val="oddPage"/>
          <w:pgSz w:w="11907" w:h="16840" w:code="9"/>
          <w:pgMar w:top="0" w:right="6" w:bottom="0" w:left="0" w:header="0" w:footer="0" w:gutter="0"/>
          <w:cols w:space="720"/>
        </w:sectPr>
      </w:pPr>
    </w:p>
    <w:p w:rsidR="00C762EF" w:rsidRPr="00D517FD" w:rsidRDefault="00C762EF" w:rsidP="00F0526B">
      <w:pPr>
        <w:pStyle w:val="BodyText"/>
        <w:spacing w:before="1600"/>
      </w:pPr>
      <w:r w:rsidRPr="00D517FD">
        <w:lastRenderedPageBreak/>
        <w:t xml:space="preserve">© Commonwealth of Australia </w:t>
      </w:r>
      <w:r w:rsidRPr="00D517FD">
        <w:fldChar w:fldCharType="begin"/>
      </w:r>
      <w:r w:rsidRPr="00D517FD">
        <w:instrText xml:space="preserve"> DATE \@ "yyyy" \* MERGEFORMAT </w:instrText>
      </w:r>
      <w:r w:rsidRPr="00D517FD">
        <w:fldChar w:fldCharType="separate"/>
      </w:r>
      <w:r w:rsidR="00DC5C07">
        <w:rPr>
          <w:noProof/>
        </w:rPr>
        <w:t>2013</w:t>
      </w:r>
      <w:r w:rsidRPr="00D517FD">
        <w:fldChar w:fldCharType="end"/>
      </w:r>
    </w:p>
    <w:p w:rsidR="00CC4428" w:rsidRPr="00D517FD" w:rsidRDefault="00CC4428" w:rsidP="00E57469">
      <w:pPr>
        <w:pStyle w:val="BodyText"/>
        <w:spacing w:before="80"/>
        <w:ind w:right="-143"/>
      </w:pPr>
      <w:r w:rsidRPr="00D517FD">
        <w:t xml:space="preserve">This work is copyright. You may download, display, print and reproduce this material in unaltered form only (retaining this notice) for your personal, non-commercial use or use within your organisation. Apart from any use as permitted under the </w:t>
      </w:r>
      <w:r w:rsidRPr="00D517FD">
        <w:rPr>
          <w:i/>
        </w:rPr>
        <w:t>Copyright Act 1968</w:t>
      </w:r>
      <w:r w:rsidRPr="00D517FD">
        <w:t xml:space="preserve">, all other rights are reserved. Requests and inquiries concerning reproduction and rights should be addressed to Commonwealth Copyright Administration, Attorney General’s Department, Robert Garran Offices, National Circuit, Barton ACT 2600 or posted at </w:t>
      </w:r>
      <w:hyperlink r:id="rId14" w:history="1">
        <w:r w:rsidRPr="00D517FD">
          <w:t>http://www.ag.gov.au/cca</w:t>
        </w:r>
      </w:hyperlink>
    </w:p>
    <w:p w:rsidR="00C762EF" w:rsidRPr="00D517FD" w:rsidRDefault="00C762EF">
      <w:pPr>
        <w:pStyle w:val="BodyText"/>
      </w:pPr>
      <w:r w:rsidRPr="00D517FD">
        <w:t xml:space="preserve">ISBN </w:t>
      </w:r>
      <w:r w:rsidR="00965197" w:rsidRPr="00D517FD">
        <w:t>978 1 921285 36 3</w:t>
      </w:r>
    </w:p>
    <w:p w:rsidR="00C762EF" w:rsidRPr="00D517FD" w:rsidRDefault="00C762EF">
      <w:pPr>
        <w:pStyle w:val="BodyText"/>
      </w:pPr>
      <w:r w:rsidRPr="00D517FD">
        <w:t xml:space="preserve">Published by the Australian Agency for International Development (AusAID), Canberra, </w:t>
      </w:r>
      <w:proofErr w:type="gramStart"/>
      <w:r w:rsidR="00965197" w:rsidRPr="00D517FD">
        <w:t>November</w:t>
      </w:r>
      <w:proofErr w:type="gramEnd"/>
      <w:r w:rsidR="00965197" w:rsidRPr="00D517FD">
        <w:t xml:space="preserve"> 2008</w:t>
      </w:r>
      <w:r w:rsidRPr="00D517FD">
        <w:t>.</w:t>
      </w:r>
    </w:p>
    <w:p w:rsidR="00965197" w:rsidRPr="00D517FD" w:rsidRDefault="00965197" w:rsidP="00965197">
      <w:pPr>
        <w:pStyle w:val="BodyText"/>
      </w:pPr>
      <w:r w:rsidRPr="00D517FD">
        <w:t xml:space="preserve">Annual Program Performance Reports are prepared in accordance with </w:t>
      </w:r>
      <w:proofErr w:type="spellStart"/>
      <w:r w:rsidRPr="00D517FD">
        <w:t>AusAID’s</w:t>
      </w:r>
      <w:proofErr w:type="spellEnd"/>
      <w:r w:rsidRPr="00D517FD">
        <w:t xml:space="preserve"> Performance Assessment and Evaluation Policy. The reports are self-assessments and represent the views of program areas.</w:t>
      </w:r>
    </w:p>
    <w:p w:rsidR="00C762EF" w:rsidRPr="00D517FD" w:rsidRDefault="00C762EF">
      <w:pPr>
        <w:pStyle w:val="BodyText"/>
      </w:pPr>
      <w:r w:rsidRPr="00D517FD">
        <w:t xml:space="preserve">This document is online at </w:t>
      </w:r>
      <w:hyperlink r:id="rId15" w:history="1">
        <w:r w:rsidRPr="00D517FD">
          <w:t>www.ausaid.gov.au/publications</w:t>
        </w:r>
      </w:hyperlink>
    </w:p>
    <w:p w:rsidR="00C762EF" w:rsidRPr="00D517FD" w:rsidRDefault="00D76614">
      <w:pPr>
        <w:pStyle w:val="BodyText"/>
        <w:spacing w:before="720"/>
      </w:pPr>
      <w:r w:rsidRPr="00D517FD">
        <w:t>For further more information about the Australian Government’s international development program, contact:</w:t>
      </w:r>
    </w:p>
    <w:p w:rsidR="00C762EF" w:rsidRPr="00D517FD" w:rsidRDefault="00CC4428">
      <w:pPr>
        <w:pStyle w:val="BodyText"/>
        <w:spacing w:before="60"/>
      </w:pPr>
      <w:r w:rsidRPr="00D517FD">
        <w:t>Communications Section</w:t>
      </w:r>
    </w:p>
    <w:p w:rsidR="00C762EF" w:rsidRPr="00D517FD" w:rsidRDefault="00C762EF">
      <w:pPr>
        <w:pStyle w:val="BodyText"/>
        <w:spacing w:before="0"/>
      </w:pPr>
      <w:r w:rsidRPr="00D517FD">
        <w:t>AusAID</w:t>
      </w:r>
    </w:p>
    <w:p w:rsidR="00C762EF" w:rsidRPr="00D517FD" w:rsidRDefault="00C762EF">
      <w:pPr>
        <w:pStyle w:val="BodyText"/>
        <w:spacing w:before="0"/>
      </w:pPr>
      <w:r w:rsidRPr="00D517FD">
        <w:t>GPO Box 887</w:t>
      </w:r>
    </w:p>
    <w:p w:rsidR="00C762EF" w:rsidRPr="00D517FD" w:rsidRDefault="00C762EF">
      <w:pPr>
        <w:pStyle w:val="BodyText"/>
        <w:spacing w:before="0"/>
      </w:pPr>
      <w:r w:rsidRPr="00D517FD">
        <w:t>Canberra ACT 2601</w:t>
      </w:r>
    </w:p>
    <w:p w:rsidR="00C762EF" w:rsidRPr="00D517FD" w:rsidRDefault="00C762EF">
      <w:pPr>
        <w:pStyle w:val="BodyText"/>
        <w:tabs>
          <w:tab w:val="left" w:pos="741"/>
        </w:tabs>
        <w:spacing w:before="60"/>
      </w:pPr>
      <w:proofErr w:type="gramStart"/>
      <w:r w:rsidRPr="00D517FD">
        <w:t>Phone</w:t>
      </w:r>
      <w:proofErr w:type="gramEnd"/>
      <w:r w:rsidRPr="00D517FD">
        <w:t> </w:t>
      </w:r>
      <w:r w:rsidRPr="00D517FD">
        <w:t>(02) 6206 4000</w:t>
      </w:r>
    </w:p>
    <w:p w:rsidR="00C762EF" w:rsidRPr="00D517FD" w:rsidRDefault="00C762EF">
      <w:pPr>
        <w:pStyle w:val="BodyText"/>
        <w:tabs>
          <w:tab w:val="left" w:pos="741"/>
        </w:tabs>
        <w:spacing w:before="0"/>
      </w:pPr>
      <w:proofErr w:type="gramStart"/>
      <w:r w:rsidRPr="00D517FD">
        <w:t>Facsimile</w:t>
      </w:r>
      <w:proofErr w:type="gramEnd"/>
      <w:r w:rsidRPr="00D517FD">
        <w:t> </w:t>
      </w:r>
      <w:r w:rsidRPr="00D517FD">
        <w:t xml:space="preserve">(02) 6206 </w:t>
      </w:r>
      <w:r w:rsidR="00B5381C" w:rsidRPr="00D517FD">
        <w:t>4880</w:t>
      </w:r>
    </w:p>
    <w:p w:rsidR="00C762EF" w:rsidRPr="00D517FD" w:rsidRDefault="00C762EF">
      <w:pPr>
        <w:pStyle w:val="BodyText"/>
        <w:tabs>
          <w:tab w:val="left" w:pos="741"/>
        </w:tabs>
        <w:spacing w:before="0"/>
      </w:pPr>
      <w:r w:rsidRPr="00D517FD">
        <w:t>Internet</w:t>
      </w:r>
      <w:r w:rsidRPr="00D517FD">
        <w:t> </w:t>
      </w:r>
      <w:hyperlink r:id="rId16" w:history="1">
        <w:r w:rsidRPr="00D517FD">
          <w:t>www.</w:t>
        </w:r>
        <w:bookmarkStart w:id="0" w:name="_Hlt536343294"/>
        <w:r w:rsidRPr="00D517FD">
          <w:t>a</w:t>
        </w:r>
        <w:bookmarkEnd w:id="0"/>
        <w:r w:rsidRPr="00D517FD">
          <w:t>u</w:t>
        </w:r>
        <w:bookmarkStart w:id="1" w:name="_Hlt536343388"/>
        <w:r w:rsidRPr="00D517FD">
          <w:t>s</w:t>
        </w:r>
        <w:bookmarkStart w:id="2" w:name="_Hlt536343250"/>
        <w:bookmarkEnd w:id="1"/>
        <w:r w:rsidRPr="00D517FD">
          <w:t>a</w:t>
        </w:r>
        <w:bookmarkStart w:id="3" w:name="_Hlt536343212"/>
        <w:bookmarkEnd w:id="2"/>
        <w:r w:rsidRPr="00D517FD">
          <w:t>i</w:t>
        </w:r>
        <w:bookmarkStart w:id="4" w:name="_Hlt536343325"/>
        <w:bookmarkEnd w:id="3"/>
        <w:r w:rsidRPr="00D517FD">
          <w:t>d</w:t>
        </w:r>
        <w:bookmarkEnd w:id="4"/>
        <w:r w:rsidRPr="00D517FD">
          <w:t>.go</w:t>
        </w:r>
        <w:bookmarkStart w:id="5" w:name="_Hlt86200017"/>
        <w:r w:rsidRPr="00D517FD">
          <w:t>v</w:t>
        </w:r>
        <w:bookmarkEnd w:id="5"/>
        <w:r w:rsidRPr="00D517FD">
          <w:t>.au</w:t>
        </w:r>
      </w:hyperlink>
    </w:p>
    <w:p w:rsidR="00C762EF" w:rsidRPr="00D517FD" w:rsidRDefault="00C762EF">
      <w:pPr>
        <w:pStyle w:val="TOC1"/>
        <w:sectPr w:rsidR="00C762EF" w:rsidRPr="00D517FD" w:rsidSect="004979BF">
          <w:headerReference w:type="even" r:id="rId17"/>
          <w:headerReference w:type="default" r:id="rId18"/>
          <w:footerReference w:type="even" r:id="rId19"/>
          <w:footerReference w:type="default" r:id="rId20"/>
          <w:pgSz w:w="11907" w:h="16840" w:code="9"/>
          <w:pgMar w:top="2268" w:right="1985" w:bottom="1247" w:left="1985" w:header="567" w:footer="567" w:gutter="0"/>
          <w:cols w:space="720"/>
        </w:sectPr>
      </w:pPr>
    </w:p>
    <w:p w:rsidR="00B5676F" w:rsidRPr="008F6BC2" w:rsidRDefault="00B5676F" w:rsidP="00B5676F">
      <w:pPr>
        <w:pStyle w:val="H1"/>
        <w:spacing w:before="240"/>
        <w:ind w:left="567"/>
      </w:pPr>
      <w:r w:rsidRPr="008F6BC2">
        <w:lastRenderedPageBreak/>
        <w:t>Contents</w:t>
      </w:r>
      <w:bookmarkStart w:id="6" w:name="_GoBack"/>
      <w:bookmarkEnd w:id="6"/>
    </w:p>
    <w:p w:rsidR="00DC5C07" w:rsidRDefault="00DC5C07" w:rsidP="00DC5C07">
      <w:pPr>
        <w:pStyle w:val="TOC1"/>
        <w:spacing w:before="720"/>
        <w:ind w:left="851"/>
        <w:rPr>
          <w:rFonts w:asciiTheme="minorHAnsi" w:eastAsiaTheme="minorEastAsia" w:hAnsiTheme="minorHAnsi" w:cstheme="minorBidi"/>
          <w:b w:val="0"/>
          <w:caps w:val="0"/>
          <w:noProof/>
          <w:sz w:val="22"/>
          <w:szCs w:val="22"/>
          <w:lang w:val="en-CA" w:eastAsia="en-CA"/>
        </w:rPr>
      </w:pPr>
      <w:r>
        <w:rPr>
          <w:b w:val="0"/>
          <w:caps w:val="0"/>
        </w:rPr>
        <w:fldChar w:fldCharType="begin"/>
      </w:r>
      <w:r>
        <w:rPr>
          <w:b w:val="0"/>
          <w:caps w:val="0"/>
        </w:rPr>
        <w:instrText xml:space="preserve"> TOC \o "2-2" \h \z \t "Heading 1,1,Heading 2,2,Heading 7,1,Heading 1 (no number),1,Heading 2 (no number),2" </w:instrText>
      </w:r>
      <w:r>
        <w:rPr>
          <w:b w:val="0"/>
          <w:caps w:val="0"/>
        </w:rPr>
        <w:fldChar w:fldCharType="separate"/>
      </w:r>
      <w:hyperlink w:anchor="_Toc360805204" w:history="1">
        <w:r w:rsidRPr="00D52566">
          <w:rPr>
            <w:rStyle w:val="Hyperlink"/>
            <w:noProof/>
          </w:rPr>
          <w:t>Abbreviations</w:t>
        </w:r>
        <w:r>
          <w:rPr>
            <w:noProof/>
            <w:webHidden/>
          </w:rPr>
          <w:tab/>
        </w:r>
        <w:r>
          <w:rPr>
            <w:noProof/>
            <w:webHidden/>
          </w:rPr>
          <w:fldChar w:fldCharType="begin"/>
        </w:r>
        <w:r>
          <w:rPr>
            <w:noProof/>
            <w:webHidden/>
          </w:rPr>
          <w:instrText xml:space="preserve"> PAGEREF _Toc360805204 \h </w:instrText>
        </w:r>
        <w:r>
          <w:rPr>
            <w:noProof/>
            <w:webHidden/>
          </w:rPr>
        </w:r>
        <w:r>
          <w:rPr>
            <w:noProof/>
            <w:webHidden/>
          </w:rPr>
          <w:fldChar w:fldCharType="separate"/>
        </w:r>
        <w:r>
          <w:rPr>
            <w:noProof/>
            <w:webHidden/>
          </w:rPr>
          <w:t>4</w:t>
        </w:r>
        <w:r>
          <w:rPr>
            <w:noProof/>
            <w:webHidden/>
          </w:rPr>
          <w:fldChar w:fldCharType="end"/>
        </w:r>
      </w:hyperlink>
    </w:p>
    <w:p w:rsidR="00DC5C07" w:rsidRDefault="00DC5C07" w:rsidP="00DC5C07">
      <w:pPr>
        <w:pStyle w:val="TOC1"/>
        <w:ind w:left="851"/>
        <w:rPr>
          <w:rFonts w:asciiTheme="minorHAnsi" w:eastAsiaTheme="minorEastAsia" w:hAnsiTheme="minorHAnsi" w:cstheme="minorBidi"/>
          <w:b w:val="0"/>
          <w:caps w:val="0"/>
          <w:noProof/>
          <w:sz w:val="22"/>
          <w:szCs w:val="22"/>
          <w:lang w:val="en-CA" w:eastAsia="en-CA"/>
        </w:rPr>
      </w:pPr>
      <w:hyperlink w:anchor="_Toc360805205" w:history="1">
        <w:r w:rsidRPr="00D52566">
          <w:rPr>
            <w:rStyle w:val="Hyperlink"/>
            <w:noProof/>
          </w:rPr>
          <w:t>Summary</w:t>
        </w:r>
        <w:r>
          <w:rPr>
            <w:noProof/>
            <w:webHidden/>
          </w:rPr>
          <w:tab/>
        </w:r>
        <w:r>
          <w:rPr>
            <w:noProof/>
            <w:webHidden/>
          </w:rPr>
          <w:fldChar w:fldCharType="begin"/>
        </w:r>
        <w:r>
          <w:rPr>
            <w:noProof/>
            <w:webHidden/>
          </w:rPr>
          <w:instrText xml:space="preserve"> PAGEREF _Toc360805205 \h </w:instrText>
        </w:r>
        <w:r>
          <w:rPr>
            <w:noProof/>
            <w:webHidden/>
          </w:rPr>
        </w:r>
        <w:r>
          <w:rPr>
            <w:noProof/>
            <w:webHidden/>
          </w:rPr>
          <w:fldChar w:fldCharType="separate"/>
        </w:r>
        <w:r>
          <w:rPr>
            <w:noProof/>
            <w:webHidden/>
          </w:rPr>
          <w:t>5</w:t>
        </w:r>
        <w:r>
          <w:rPr>
            <w:noProof/>
            <w:webHidden/>
          </w:rPr>
          <w:fldChar w:fldCharType="end"/>
        </w:r>
      </w:hyperlink>
    </w:p>
    <w:p w:rsidR="00DC5C07" w:rsidRDefault="00DC5C07" w:rsidP="00DC5C07">
      <w:pPr>
        <w:pStyle w:val="TOC2"/>
        <w:ind w:left="851"/>
        <w:rPr>
          <w:rFonts w:asciiTheme="minorHAnsi" w:eastAsiaTheme="minorEastAsia" w:hAnsiTheme="minorHAnsi" w:cstheme="minorBidi"/>
          <w:noProof/>
          <w:sz w:val="22"/>
          <w:szCs w:val="22"/>
          <w:lang w:val="en-CA" w:eastAsia="en-CA"/>
        </w:rPr>
      </w:pPr>
      <w:hyperlink w:anchor="_Toc360805206" w:history="1">
        <w:r w:rsidRPr="00D52566">
          <w:rPr>
            <w:rStyle w:val="Hyperlink"/>
            <w:noProof/>
          </w:rPr>
          <w:t>Results of the China aid program</w:t>
        </w:r>
        <w:r>
          <w:rPr>
            <w:noProof/>
            <w:webHidden/>
          </w:rPr>
          <w:tab/>
        </w:r>
        <w:r>
          <w:rPr>
            <w:noProof/>
            <w:webHidden/>
          </w:rPr>
          <w:fldChar w:fldCharType="begin"/>
        </w:r>
        <w:r>
          <w:rPr>
            <w:noProof/>
            <w:webHidden/>
          </w:rPr>
          <w:instrText xml:space="preserve"> PAGEREF _Toc360805206 \h </w:instrText>
        </w:r>
        <w:r>
          <w:rPr>
            <w:noProof/>
            <w:webHidden/>
          </w:rPr>
        </w:r>
        <w:r>
          <w:rPr>
            <w:noProof/>
            <w:webHidden/>
          </w:rPr>
          <w:fldChar w:fldCharType="separate"/>
        </w:r>
        <w:r>
          <w:rPr>
            <w:noProof/>
            <w:webHidden/>
          </w:rPr>
          <w:t>5</w:t>
        </w:r>
        <w:r>
          <w:rPr>
            <w:noProof/>
            <w:webHidden/>
          </w:rPr>
          <w:fldChar w:fldCharType="end"/>
        </w:r>
      </w:hyperlink>
    </w:p>
    <w:p w:rsidR="00DC5C07" w:rsidRDefault="00DC5C07" w:rsidP="00DC5C07">
      <w:pPr>
        <w:pStyle w:val="TOC2"/>
        <w:ind w:left="851"/>
        <w:rPr>
          <w:rFonts w:asciiTheme="minorHAnsi" w:eastAsiaTheme="minorEastAsia" w:hAnsiTheme="minorHAnsi" w:cstheme="minorBidi"/>
          <w:noProof/>
          <w:sz w:val="22"/>
          <w:szCs w:val="22"/>
          <w:lang w:val="en-CA" w:eastAsia="en-CA"/>
        </w:rPr>
      </w:pPr>
      <w:hyperlink w:anchor="_Toc360805207" w:history="1">
        <w:r w:rsidRPr="00D52566">
          <w:rPr>
            <w:rStyle w:val="Hyperlink"/>
            <w:noProof/>
          </w:rPr>
          <w:t>Quality of AusAID activities in China</w:t>
        </w:r>
        <w:r>
          <w:rPr>
            <w:noProof/>
            <w:webHidden/>
          </w:rPr>
          <w:tab/>
        </w:r>
        <w:r>
          <w:rPr>
            <w:noProof/>
            <w:webHidden/>
          </w:rPr>
          <w:fldChar w:fldCharType="begin"/>
        </w:r>
        <w:r>
          <w:rPr>
            <w:noProof/>
            <w:webHidden/>
          </w:rPr>
          <w:instrText xml:space="preserve"> PAGEREF _Toc360805207 \h </w:instrText>
        </w:r>
        <w:r>
          <w:rPr>
            <w:noProof/>
            <w:webHidden/>
          </w:rPr>
        </w:r>
        <w:r>
          <w:rPr>
            <w:noProof/>
            <w:webHidden/>
          </w:rPr>
          <w:fldChar w:fldCharType="separate"/>
        </w:r>
        <w:r>
          <w:rPr>
            <w:noProof/>
            <w:webHidden/>
          </w:rPr>
          <w:t>7</w:t>
        </w:r>
        <w:r>
          <w:rPr>
            <w:noProof/>
            <w:webHidden/>
          </w:rPr>
          <w:fldChar w:fldCharType="end"/>
        </w:r>
      </w:hyperlink>
    </w:p>
    <w:p w:rsidR="00DC5C07" w:rsidRDefault="00DC5C07" w:rsidP="00DC5C07">
      <w:pPr>
        <w:pStyle w:val="TOC1"/>
        <w:ind w:left="851"/>
        <w:rPr>
          <w:rFonts w:asciiTheme="minorHAnsi" w:eastAsiaTheme="minorEastAsia" w:hAnsiTheme="minorHAnsi" w:cstheme="minorBidi"/>
          <w:b w:val="0"/>
          <w:caps w:val="0"/>
          <w:noProof/>
          <w:sz w:val="22"/>
          <w:szCs w:val="22"/>
          <w:lang w:val="en-CA" w:eastAsia="en-CA"/>
        </w:rPr>
      </w:pPr>
      <w:hyperlink w:anchor="_Toc360805208" w:history="1">
        <w:r w:rsidRPr="00D52566">
          <w:rPr>
            <w:rStyle w:val="Hyperlink"/>
            <w:noProof/>
          </w:rPr>
          <w:t>Country performance</w:t>
        </w:r>
        <w:r>
          <w:rPr>
            <w:noProof/>
            <w:webHidden/>
          </w:rPr>
          <w:tab/>
        </w:r>
        <w:r>
          <w:rPr>
            <w:noProof/>
            <w:webHidden/>
          </w:rPr>
          <w:fldChar w:fldCharType="begin"/>
        </w:r>
        <w:r>
          <w:rPr>
            <w:noProof/>
            <w:webHidden/>
          </w:rPr>
          <w:instrText xml:space="preserve"> PAGEREF _Toc360805208 \h </w:instrText>
        </w:r>
        <w:r>
          <w:rPr>
            <w:noProof/>
            <w:webHidden/>
          </w:rPr>
        </w:r>
        <w:r>
          <w:rPr>
            <w:noProof/>
            <w:webHidden/>
          </w:rPr>
          <w:fldChar w:fldCharType="separate"/>
        </w:r>
        <w:r>
          <w:rPr>
            <w:noProof/>
            <w:webHidden/>
          </w:rPr>
          <w:t>8</w:t>
        </w:r>
        <w:r>
          <w:rPr>
            <w:noProof/>
            <w:webHidden/>
          </w:rPr>
          <w:fldChar w:fldCharType="end"/>
        </w:r>
      </w:hyperlink>
    </w:p>
    <w:p w:rsidR="00DC5C07" w:rsidRDefault="00DC5C07" w:rsidP="00DC5C07">
      <w:pPr>
        <w:pStyle w:val="TOC2"/>
        <w:ind w:left="851"/>
        <w:rPr>
          <w:rFonts w:asciiTheme="minorHAnsi" w:eastAsiaTheme="minorEastAsia" w:hAnsiTheme="minorHAnsi" w:cstheme="minorBidi"/>
          <w:noProof/>
          <w:sz w:val="22"/>
          <w:szCs w:val="22"/>
          <w:lang w:val="en-CA" w:eastAsia="en-CA"/>
        </w:rPr>
      </w:pPr>
      <w:hyperlink w:anchor="_Toc360805209" w:history="1">
        <w:r w:rsidRPr="00D52566">
          <w:rPr>
            <w:rStyle w:val="Hyperlink"/>
            <w:noProof/>
          </w:rPr>
          <w:t>Health</w:t>
        </w:r>
        <w:r>
          <w:rPr>
            <w:noProof/>
            <w:webHidden/>
          </w:rPr>
          <w:tab/>
        </w:r>
        <w:r>
          <w:rPr>
            <w:noProof/>
            <w:webHidden/>
          </w:rPr>
          <w:fldChar w:fldCharType="begin"/>
        </w:r>
        <w:r>
          <w:rPr>
            <w:noProof/>
            <w:webHidden/>
          </w:rPr>
          <w:instrText xml:space="preserve"> PAGEREF _Toc360805209 \h </w:instrText>
        </w:r>
        <w:r>
          <w:rPr>
            <w:noProof/>
            <w:webHidden/>
          </w:rPr>
        </w:r>
        <w:r>
          <w:rPr>
            <w:noProof/>
            <w:webHidden/>
          </w:rPr>
          <w:fldChar w:fldCharType="separate"/>
        </w:r>
        <w:r>
          <w:rPr>
            <w:noProof/>
            <w:webHidden/>
          </w:rPr>
          <w:t>8</w:t>
        </w:r>
        <w:r>
          <w:rPr>
            <w:noProof/>
            <w:webHidden/>
          </w:rPr>
          <w:fldChar w:fldCharType="end"/>
        </w:r>
      </w:hyperlink>
    </w:p>
    <w:p w:rsidR="00DC5C07" w:rsidRDefault="00DC5C07" w:rsidP="00DC5C07">
      <w:pPr>
        <w:pStyle w:val="TOC2"/>
        <w:ind w:left="851"/>
        <w:rPr>
          <w:rFonts w:asciiTheme="minorHAnsi" w:eastAsiaTheme="minorEastAsia" w:hAnsiTheme="minorHAnsi" w:cstheme="minorBidi"/>
          <w:noProof/>
          <w:sz w:val="22"/>
          <w:szCs w:val="22"/>
          <w:lang w:val="en-CA" w:eastAsia="en-CA"/>
        </w:rPr>
      </w:pPr>
      <w:hyperlink w:anchor="_Toc360805210" w:history="1">
        <w:r w:rsidRPr="00D52566">
          <w:rPr>
            <w:rStyle w:val="Hyperlink"/>
            <w:noProof/>
          </w:rPr>
          <w:t>Environment</w:t>
        </w:r>
        <w:r>
          <w:rPr>
            <w:noProof/>
            <w:webHidden/>
          </w:rPr>
          <w:tab/>
        </w:r>
        <w:r>
          <w:rPr>
            <w:noProof/>
            <w:webHidden/>
          </w:rPr>
          <w:fldChar w:fldCharType="begin"/>
        </w:r>
        <w:r>
          <w:rPr>
            <w:noProof/>
            <w:webHidden/>
          </w:rPr>
          <w:instrText xml:space="preserve"> PAGEREF _Toc360805210 \h </w:instrText>
        </w:r>
        <w:r>
          <w:rPr>
            <w:noProof/>
            <w:webHidden/>
          </w:rPr>
        </w:r>
        <w:r>
          <w:rPr>
            <w:noProof/>
            <w:webHidden/>
          </w:rPr>
          <w:fldChar w:fldCharType="separate"/>
        </w:r>
        <w:r>
          <w:rPr>
            <w:noProof/>
            <w:webHidden/>
          </w:rPr>
          <w:t>9</w:t>
        </w:r>
        <w:r>
          <w:rPr>
            <w:noProof/>
            <w:webHidden/>
          </w:rPr>
          <w:fldChar w:fldCharType="end"/>
        </w:r>
      </w:hyperlink>
    </w:p>
    <w:p w:rsidR="00DC5C07" w:rsidRDefault="00DC5C07" w:rsidP="00DC5C07">
      <w:pPr>
        <w:pStyle w:val="TOC2"/>
        <w:ind w:left="851"/>
        <w:rPr>
          <w:rFonts w:asciiTheme="minorHAnsi" w:eastAsiaTheme="minorEastAsia" w:hAnsiTheme="minorHAnsi" w:cstheme="minorBidi"/>
          <w:noProof/>
          <w:sz w:val="22"/>
          <w:szCs w:val="22"/>
          <w:lang w:val="en-CA" w:eastAsia="en-CA"/>
        </w:rPr>
      </w:pPr>
      <w:hyperlink w:anchor="_Toc360805211" w:history="1">
        <w:r w:rsidRPr="00D52566">
          <w:rPr>
            <w:rStyle w:val="Hyperlink"/>
            <w:noProof/>
          </w:rPr>
          <w:t>Governance</w:t>
        </w:r>
        <w:r>
          <w:rPr>
            <w:noProof/>
            <w:webHidden/>
          </w:rPr>
          <w:tab/>
        </w:r>
        <w:r>
          <w:rPr>
            <w:noProof/>
            <w:webHidden/>
          </w:rPr>
          <w:fldChar w:fldCharType="begin"/>
        </w:r>
        <w:r>
          <w:rPr>
            <w:noProof/>
            <w:webHidden/>
          </w:rPr>
          <w:instrText xml:space="preserve"> PAGEREF _Toc360805211 \h </w:instrText>
        </w:r>
        <w:r>
          <w:rPr>
            <w:noProof/>
            <w:webHidden/>
          </w:rPr>
        </w:r>
        <w:r>
          <w:rPr>
            <w:noProof/>
            <w:webHidden/>
          </w:rPr>
          <w:fldChar w:fldCharType="separate"/>
        </w:r>
        <w:r>
          <w:rPr>
            <w:noProof/>
            <w:webHidden/>
          </w:rPr>
          <w:t>9</w:t>
        </w:r>
        <w:r>
          <w:rPr>
            <w:noProof/>
            <w:webHidden/>
          </w:rPr>
          <w:fldChar w:fldCharType="end"/>
        </w:r>
      </w:hyperlink>
    </w:p>
    <w:p w:rsidR="00DC5C07" w:rsidRDefault="00DC5C07" w:rsidP="00DC5C07">
      <w:pPr>
        <w:pStyle w:val="TOC1"/>
        <w:ind w:left="851"/>
        <w:rPr>
          <w:rFonts w:asciiTheme="minorHAnsi" w:eastAsiaTheme="minorEastAsia" w:hAnsiTheme="minorHAnsi" w:cstheme="minorBidi"/>
          <w:b w:val="0"/>
          <w:caps w:val="0"/>
          <w:noProof/>
          <w:sz w:val="22"/>
          <w:szCs w:val="22"/>
          <w:lang w:val="en-CA" w:eastAsia="en-CA"/>
        </w:rPr>
      </w:pPr>
      <w:hyperlink w:anchor="_Toc360805212" w:history="1">
        <w:r w:rsidRPr="00D52566">
          <w:rPr>
            <w:rStyle w:val="Hyperlink"/>
            <w:noProof/>
          </w:rPr>
          <w:t>What are the results of the China aid program?</w:t>
        </w:r>
        <w:r>
          <w:rPr>
            <w:noProof/>
            <w:webHidden/>
          </w:rPr>
          <w:tab/>
        </w:r>
        <w:r>
          <w:rPr>
            <w:noProof/>
            <w:webHidden/>
          </w:rPr>
          <w:fldChar w:fldCharType="begin"/>
        </w:r>
        <w:r>
          <w:rPr>
            <w:noProof/>
            <w:webHidden/>
          </w:rPr>
          <w:instrText xml:space="preserve"> PAGEREF _Toc360805212 \h </w:instrText>
        </w:r>
        <w:r>
          <w:rPr>
            <w:noProof/>
            <w:webHidden/>
          </w:rPr>
        </w:r>
        <w:r>
          <w:rPr>
            <w:noProof/>
            <w:webHidden/>
          </w:rPr>
          <w:fldChar w:fldCharType="separate"/>
        </w:r>
        <w:r>
          <w:rPr>
            <w:noProof/>
            <w:webHidden/>
          </w:rPr>
          <w:t>10</w:t>
        </w:r>
        <w:r>
          <w:rPr>
            <w:noProof/>
            <w:webHidden/>
          </w:rPr>
          <w:fldChar w:fldCharType="end"/>
        </w:r>
      </w:hyperlink>
    </w:p>
    <w:p w:rsidR="00DC5C07" w:rsidRDefault="00DC5C07" w:rsidP="00DC5C07">
      <w:pPr>
        <w:pStyle w:val="TOC2"/>
        <w:ind w:left="851"/>
        <w:rPr>
          <w:rFonts w:asciiTheme="minorHAnsi" w:eastAsiaTheme="minorEastAsia" w:hAnsiTheme="minorHAnsi" w:cstheme="minorBidi"/>
          <w:noProof/>
          <w:sz w:val="22"/>
          <w:szCs w:val="22"/>
          <w:lang w:val="en-CA" w:eastAsia="en-CA"/>
        </w:rPr>
      </w:pPr>
      <w:hyperlink w:anchor="_Toc360805213" w:history="1">
        <w:r w:rsidRPr="00D52566">
          <w:rPr>
            <w:rStyle w:val="Hyperlink"/>
            <w:noProof/>
          </w:rPr>
          <w:t>Strategic principles</w:t>
        </w:r>
        <w:r>
          <w:rPr>
            <w:noProof/>
            <w:webHidden/>
          </w:rPr>
          <w:tab/>
        </w:r>
        <w:r>
          <w:rPr>
            <w:noProof/>
            <w:webHidden/>
          </w:rPr>
          <w:fldChar w:fldCharType="begin"/>
        </w:r>
        <w:r>
          <w:rPr>
            <w:noProof/>
            <w:webHidden/>
          </w:rPr>
          <w:instrText xml:space="preserve"> PAGEREF _Toc360805213 \h </w:instrText>
        </w:r>
        <w:r>
          <w:rPr>
            <w:noProof/>
            <w:webHidden/>
          </w:rPr>
        </w:r>
        <w:r>
          <w:rPr>
            <w:noProof/>
            <w:webHidden/>
          </w:rPr>
          <w:fldChar w:fldCharType="separate"/>
        </w:r>
        <w:r>
          <w:rPr>
            <w:noProof/>
            <w:webHidden/>
          </w:rPr>
          <w:t>10</w:t>
        </w:r>
        <w:r>
          <w:rPr>
            <w:noProof/>
            <w:webHidden/>
          </w:rPr>
          <w:fldChar w:fldCharType="end"/>
        </w:r>
      </w:hyperlink>
    </w:p>
    <w:p w:rsidR="00DC5C07" w:rsidRDefault="00DC5C07" w:rsidP="00DC5C07">
      <w:pPr>
        <w:pStyle w:val="TOC2"/>
        <w:ind w:left="851"/>
        <w:rPr>
          <w:rFonts w:asciiTheme="minorHAnsi" w:eastAsiaTheme="minorEastAsia" w:hAnsiTheme="minorHAnsi" w:cstheme="minorBidi"/>
          <w:noProof/>
          <w:sz w:val="22"/>
          <w:szCs w:val="22"/>
          <w:lang w:val="en-CA" w:eastAsia="en-CA"/>
        </w:rPr>
      </w:pPr>
      <w:hyperlink w:anchor="_Toc360805214" w:history="1">
        <w:r w:rsidRPr="00D52566">
          <w:rPr>
            <w:rStyle w:val="Hyperlink"/>
            <w:noProof/>
          </w:rPr>
          <w:t>Objective 1: Build capacity in selected sectors in China, in particular governance, environment and health</w:t>
        </w:r>
        <w:r>
          <w:rPr>
            <w:noProof/>
            <w:webHidden/>
          </w:rPr>
          <w:tab/>
        </w:r>
        <w:r>
          <w:rPr>
            <w:noProof/>
            <w:webHidden/>
          </w:rPr>
          <w:fldChar w:fldCharType="begin"/>
        </w:r>
        <w:r>
          <w:rPr>
            <w:noProof/>
            <w:webHidden/>
          </w:rPr>
          <w:instrText xml:space="preserve"> PAGEREF _Toc360805214 \h </w:instrText>
        </w:r>
        <w:r>
          <w:rPr>
            <w:noProof/>
            <w:webHidden/>
          </w:rPr>
        </w:r>
        <w:r>
          <w:rPr>
            <w:noProof/>
            <w:webHidden/>
          </w:rPr>
          <w:fldChar w:fldCharType="separate"/>
        </w:r>
        <w:r>
          <w:rPr>
            <w:noProof/>
            <w:webHidden/>
          </w:rPr>
          <w:t>10</w:t>
        </w:r>
        <w:r>
          <w:rPr>
            <w:noProof/>
            <w:webHidden/>
          </w:rPr>
          <w:fldChar w:fldCharType="end"/>
        </w:r>
      </w:hyperlink>
    </w:p>
    <w:p w:rsidR="00DC5C07" w:rsidRDefault="00DC5C07" w:rsidP="00DC5C07">
      <w:pPr>
        <w:pStyle w:val="TOC2"/>
        <w:ind w:left="851"/>
        <w:rPr>
          <w:rFonts w:asciiTheme="minorHAnsi" w:eastAsiaTheme="minorEastAsia" w:hAnsiTheme="minorHAnsi" w:cstheme="minorBidi"/>
          <w:noProof/>
          <w:sz w:val="22"/>
          <w:szCs w:val="22"/>
          <w:lang w:val="en-CA" w:eastAsia="en-CA"/>
        </w:rPr>
      </w:pPr>
      <w:hyperlink w:anchor="_Toc360805215" w:history="1">
        <w:r w:rsidRPr="00D52566">
          <w:rPr>
            <w:rStyle w:val="Hyperlink"/>
            <w:noProof/>
          </w:rPr>
          <w:t>Objective 2: Enhance Australia–China relationship through development cooperation</w:t>
        </w:r>
        <w:r>
          <w:rPr>
            <w:noProof/>
            <w:webHidden/>
          </w:rPr>
          <w:tab/>
        </w:r>
        <w:r>
          <w:rPr>
            <w:noProof/>
            <w:webHidden/>
          </w:rPr>
          <w:fldChar w:fldCharType="begin"/>
        </w:r>
        <w:r>
          <w:rPr>
            <w:noProof/>
            <w:webHidden/>
          </w:rPr>
          <w:instrText xml:space="preserve"> PAGEREF _Toc360805215 \h </w:instrText>
        </w:r>
        <w:r>
          <w:rPr>
            <w:noProof/>
            <w:webHidden/>
          </w:rPr>
        </w:r>
        <w:r>
          <w:rPr>
            <w:noProof/>
            <w:webHidden/>
          </w:rPr>
          <w:fldChar w:fldCharType="separate"/>
        </w:r>
        <w:r>
          <w:rPr>
            <w:noProof/>
            <w:webHidden/>
          </w:rPr>
          <w:t>14</w:t>
        </w:r>
        <w:r>
          <w:rPr>
            <w:noProof/>
            <w:webHidden/>
          </w:rPr>
          <w:fldChar w:fldCharType="end"/>
        </w:r>
      </w:hyperlink>
    </w:p>
    <w:p w:rsidR="00DC5C07" w:rsidRDefault="00DC5C07" w:rsidP="00DC5C07">
      <w:pPr>
        <w:pStyle w:val="TOC2"/>
        <w:ind w:left="851"/>
        <w:rPr>
          <w:rFonts w:asciiTheme="minorHAnsi" w:eastAsiaTheme="minorEastAsia" w:hAnsiTheme="minorHAnsi" w:cstheme="minorBidi"/>
          <w:noProof/>
          <w:sz w:val="22"/>
          <w:szCs w:val="22"/>
          <w:lang w:val="en-CA" w:eastAsia="en-CA"/>
        </w:rPr>
      </w:pPr>
      <w:hyperlink w:anchor="_Toc360805216" w:history="1">
        <w:r w:rsidRPr="00D52566">
          <w:rPr>
            <w:rStyle w:val="Hyperlink"/>
            <w:noProof/>
          </w:rPr>
          <w:t>Objective 3: Working collaboratively to strengthen the region</w:t>
        </w:r>
        <w:r>
          <w:rPr>
            <w:noProof/>
            <w:webHidden/>
          </w:rPr>
          <w:tab/>
        </w:r>
        <w:r>
          <w:rPr>
            <w:noProof/>
            <w:webHidden/>
          </w:rPr>
          <w:fldChar w:fldCharType="begin"/>
        </w:r>
        <w:r>
          <w:rPr>
            <w:noProof/>
            <w:webHidden/>
          </w:rPr>
          <w:instrText xml:space="preserve"> PAGEREF _Toc360805216 \h </w:instrText>
        </w:r>
        <w:r>
          <w:rPr>
            <w:noProof/>
            <w:webHidden/>
          </w:rPr>
        </w:r>
        <w:r>
          <w:rPr>
            <w:noProof/>
            <w:webHidden/>
          </w:rPr>
          <w:fldChar w:fldCharType="separate"/>
        </w:r>
        <w:r>
          <w:rPr>
            <w:noProof/>
            <w:webHidden/>
          </w:rPr>
          <w:t>15</w:t>
        </w:r>
        <w:r>
          <w:rPr>
            <w:noProof/>
            <w:webHidden/>
          </w:rPr>
          <w:fldChar w:fldCharType="end"/>
        </w:r>
      </w:hyperlink>
    </w:p>
    <w:p w:rsidR="00DC5C07" w:rsidRDefault="00DC5C07" w:rsidP="00DC5C07">
      <w:pPr>
        <w:pStyle w:val="TOC1"/>
        <w:ind w:left="851"/>
        <w:rPr>
          <w:rFonts w:asciiTheme="minorHAnsi" w:eastAsiaTheme="minorEastAsia" w:hAnsiTheme="minorHAnsi" w:cstheme="minorBidi"/>
          <w:b w:val="0"/>
          <w:caps w:val="0"/>
          <w:noProof/>
          <w:sz w:val="22"/>
          <w:szCs w:val="22"/>
          <w:lang w:val="en-CA" w:eastAsia="en-CA"/>
        </w:rPr>
      </w:pPr>
      <w:hyperlink w:anchor="_Toc360805217" w:history="1">
        <w:r w:rsidRPr="00D52566">
          <w:rPr>
            <w:rStyle w:val="Hyperlink"/>
            <w:noProof/>
          </w:rPr>
          <w:t>What is the quality of AusAID activities?</w:t>
        </w:r>
        <w:r>
          <w:rPr>
            <w:noProof/>
            <w:webHidden/>
          </w:rPr>
          <w:tab/>
        </w:r>
        <w:r>
          <w:rPr>
            <w:noProof/>
            <w:webHidden/>
          </w:rPr>
          <w:fldChar w:fldCharType="begin"/>
        </w:r>
        <w:r>
          <w:rPr>
            <w:noProof/>
            <w:webHidden/>
          </w:rPr>
          <w:instrText xml:space="preserve"> PAGEREF _Toc360805217 \h </w:instrText>
        </w:r>
        <w:r>
          <w:rPr>
            <w:noProof/>
            <w:webHidden/>
          </w:rPr>
        </w:r>
        <w:r>
          <w:rPr>
            <w:noProof/>
            <w:webHidden/>
          </w:rPr>
          <w:fldChar w:fldCharType="separate"/>
        </w:r>
        <w:r>
          <w:rPr>
            <w:noProof/>
            <w:webHidden/>
          </w:rPr>
          <w:t>17</w:t>
        </w:r>
        <w:r>
          <w:rPr>
            <w:noProof/>
            <w:webHidden/>
          </w:rPr>
          <w:fldChar w:fldCharType="end"/>
        </w:r>
      </w:hyperlink>
    </w:p>
    <w:p w:rsidR="00DC5C07" w:rsidRDefault="00DC5C07" w:rsidP="00DC5C07">
      <w:pPr>
        <w:pStyle w:val="TOC2"/>
        <w:ind w:left="851"/>
        <w:rPr>
          <w:rFonts w:asciiTheme="minorHAnsi" w:eastAsiaTheme="minorEastAsia" w:hAnsiTheme="minorHAnsi" w:cstheme="minorBidi"/>
          <w:noProof/>
          <w:sz w:val="22"/>
          <w:szCs w:val="22"/>
          <w:lang w:val="en-CA" w:eastAsia="en-CA"/>
        </w:rPr>
      </w:pPr>
      <w:hyperlink w:anchor="_Toc360805218" w:history="1">
        <w:r w:rsidRPr="00D52566">
          <w:rPr>
            <w:rStyle w:val="Hyperlink"/>
            <w:noProof/>
          </w:rPr>
          <w:t>Implementation progress</w:t>
        </w:r>
        <w:r>
          <w:rPr>
            <w:noProof/>
            <w:webHidden/>
          </w:rPr>
          <w:tab/>
        </w:r>
        <w:r>
          <w:rPr>
            <w:noProof/>
            <w:webHidden/>
          </w:rPr>
          <w:fldChar w:fldCharType="begin"/>
        </w:r>
        <w:r>
          <w:rPr>
            <w:noProof/>
            <w:webHidden/>
          </w:rPr>
          <w:instrText xml:space="preserve"> PAGEREF _Toc360805218 \h </w:instrText>
        </w:r>
        <w:r>
          <w:rPr>
            <w:noProof/>
            <w:webHidden/>
          </w:rPr>
        </w:r>
        <w:r>
          <w:rPr>
            <w:noProof/>
            <w:webHidden/>
          </w:rPr>
          <w:fldChar w:fldCharType="separate"/>
        </w:r>
        <w:r>
          <w:rPr>
            <w:noProof/>
            <w:webHidden/>
          </w:rPr>
          <w:t>17</w:t>
        </w:r>
        <w:r>
          <w:rPr>
            <w:noProof/>
            <w:webHidden/>
          </w:rPr>
          <w:fldChar w:fldCharType="end"/>
        </w:r>
      </w:hyperlink>
    </w:p>
    <w:p w:rsidR="00DC5C07" w:rsidRDefault="00DC5C07" w:rsidP="00DC5C07">
      <w:pPr>
        <w:pStyle w:val="TOC2"/>
        <w:ind w:left="851"/>
        <w:rPr>
          <w:rFonts w:asciiTheme="minorHAnsi" w:eastAsiaTheme="minorEastAsia" w:hAnsiTheme="minorHAnsi" w:cstheme="minorBidi"/>
          <w:noProof/>
          <w:sz w:val="22"/>
          <w:szCs w:val="22"/>
          <w:lang w:val="en-CA" w:eastAsia="en-CA"/>
        </w:rPr>
      </w:pPr>
      <w:hyperlink w:anchor="_Toc360805219" w:history="1">
        <w:r w:rsidRPr="00D52566">
          <w:rPr>
            <w:rStyle w:val="Hyperlink"/>
            <w:noProof/>
          </w:rPr>
          <w:t>Achieving objectives</w:t>
        </w:r>
        <w:r>
          <w:rPr>
            <w:noProof/>
            <w:webHidden/>
          </w:rPr>
          <w:tab/>
        </w:r>
        <w:r>
          <w:rPr>
            <w:noProof/>
            <w:webHidden/>
          </w:rPr>
          <w:fldChar w:fldCharType="begin"/>
        </w:r>
        <w:r>
          <w:rPr>
            <w:noProof/>
            <w:webHidden/>
          </w:rPr>
          <w:instrText xml:space="preserve"> PAGEREF _Toc360805219 \h </w:instrText>
        </w:r>
        <w:r>
          <w:rPr>
            <w:noProof/>
            <w:webHidden/>
          </w:rPr>
        </w:r>
        <w:r>
          <w:rPr>
            <w:noProof/>
            <w:webHidden/>
          </w:rPr>
          <w:fldChar w:fldCharType="separate"/>
        </w:r>
        <w:r>
          <w:rPr>
            <w:noProof/>
            <w:webHidden/>
          </w:rPr>
          <w:t>18</w:t>
        </w:r>
        <w:r>
          <w:rPr>
            <w:noProof/>
            <w:webHidden/>
          </w:rPr>
          <w:fldChar w:fldCharType="end"/>
        </w:r>
      </w:hyperlink>
    </w:p>
    <w:p w:rsidR="00DC5C07" w:rsidRDefault="00DC5C07" w:rsidP="00DC5C07">
      <w:pPr>
        <w:pStyle w:val="TOC2"/>
        <w:ind w:left="851"/>
        <w:rPr>
          <w:rFonts w:asciiTheme="minorHAnsi" w:eastAsiaTheme="minorEastAsia" w:hAnsiTheme="minorHAnsi" w:cstheme="minorBidi"/>
          <w:noProof/>
          <w:sz w:val="22"/>
          <w:szCs w:val="22"/>
          <w:lang w:val="en-CA" w:eastAsia="en-CA"/>
        </w:rPr>
      </w:pPr>
      <w:hyperlink w:anchor="_Toc360805220" w:history="1">
        <w:r w:rsidRPr="00D52566">
          <w:rPr>
            <w:rStyle w:val="Hyperlink"/>
            <w:noProof/>
          </w:rPr>
          <w:t>Monitoring and evaluation</w:t>
        </w:r>
        <w:r>
          <w:rPr>
            <w:noProof/>
            <w:webHidden/>
          </w:rPr>
          <w:tab/>
        </w:r>
        <w:r>
          <w:rPr>
            <w:noProof/>
            <w:webHidden/>
          </w:rPr>
          <w:fldChar w:fldCharType="begin"/>
        </w:r>
        <w:r>
          <w:rPr>
            <w:noProof/>
            <w:webHidden/>
          </w:rPr>
          <w:instrText xml:space="preserve"> PAGEREF _Toc360805220 \h </w:instrText>
        </w:r>
        <w:r>
          <w:rPr>
            <w:noProof/>
            <w:webHidden/>
          </w:rPr>
        </w:r>
        <w:r>
          <w:rPr>
            <w:noProof/>
            <w:webHidden/>
          </w:rPr>
          <w:fldChar w:fldCharType="separate"/>
        </w:r>
        <w:r>
          <w:rPr>
            <w:noProof/>
            <w:webHidden/>
          </w:rPr>
          <w:t>18</w:t>
        </w:r>
        <w:r>
          <w:rPr>
            <w:noProof/>
            <w:webHidden/>
          </w:rPr>
          <w:fldChar w:fldCharType="end"/>
        </w:r>
      </w:hyperlink>
    </w:p>
    <w:p w:rsidR="00DC5C07" w:rsidRDefault="00DC5C07" w:rsidP="00DC5C07">
      <w:pPr>
        <w:pStyle w:val="TOC2"/>
        <w:ind w:left="851"/>
        <w:rPr>
          <w:rFonts w:asciiTheme="minorHAnsi" w:eastAsiaTheme="minorEastAsia" w:hAnsiTheme="minorHAnsi" w:cstheme="minorBidi"/>
          <w:noProof/>
          <w:sz w:val="22"/>
          <w:szCs w:val="22"/>
          <w:lang w:val="en-CA" w:eastAsia="en-CA"/>
        </w:rPr>
      </w:pPr>
      <w:hyperlink w:anchor="_Toc360805221" w:history="1">
        <w:r w:rsidRPr="00D52566">
          <w:rPr>
            <w:rStyle w:val="Hyperlink"/>
            <w:noProof/>
          </w:rPr>
          <w:t>Sustainability</w:t>
        </w:r>
        <w:r>
          <w:rPr>
            <w:noProof/>
            <w:webHidden/>
          </w:rPr>
          <w:tab/>
        </w:r>
        <w:r>
          <w:rPr>
            <w:noProof/>
            <w:webHidden/>
          </w:rPr>
          <w:fldChar w:fldCharType="begin"/>
        </w:r>
        <w:r>
          <w:rPr>
            <w:noProof/>
            <w:webHidden/>
          </w:rPr>
          <w:instrText xml:space="preserve"> PAGEREF _Toc360805221 \h </w:instrText>
        </w:r>
        <w:r>
          <w:rPr>
            <w:noProof/>
            <w:webHidden/>
          </w:rPr>
        </w:r>
        <w:r>
          <w:rPr>
            <w:noProof/>
            <w:webHidden/>
          </w:rPr>
          <w:fldChar w:fldCharType="separate"/>
        </w:r>
        <w:r>
          <w:rPr>
            <w:noProof/>
            <w:webHidden/>
          </w:rPr>
          <w:t>19</w:t>
        </w:r>
        <w:r>
          <w:rPr>
            <w:noProof/>
            <w:webHidden/>
          </w:rPr>
          <w:fldChar w:fldCharType="end"/>
        </w:r>
      </w:hyperlink>
    </w:p>
    <w:p w:rsidR="00DC5C07" w:rsidRDefault="00DC5C07" w:rsidP="00DC5C07">
      <w:pPr>
        <w:pStyle w:val="TOC2"/>
        <w:ind w:left="851"/>
        <w:rPr>
          <w:rFonts w:asciiTheme="minorHAnsi" w:eastAsiaTheme="minorEastAsia" w:hAnsiTheme="minorHAnsi" w:cstheme="minorBidi"/>
          <w:noProof/>
          <w:sz w:val="22"/>
          <w:szCs w:val="22"/>
          <w:lang w:val="en-CA" w:eastAsia="en-CA"/>
        </w:rPr>
      </w:pPr>
      <w:hyperlink w:anchor="_Toc360805222" w:history="1">
        <w:r w:rsidRPr="00D52566">
          <w:rPr>
            <w:rStyle w:val="Hyperlink"/>
            <w:noProof/>
          </w:rPr>
          <w:t>Gender, partnerships and anticorruption</w:t>
        </w:r>
        <w:r>
          <w:rPr>
            <w:noProof/>
            <w:webHidden/>
          </w:rPr>
          <w:tab/>
        </w:r>
        <w:r>
          <w:rPr>
            <w:noProof/>
            <w:webHidden/>
          </w:rPr>
          <w:fldChar w:fldCharType="begin"/>
        </w:r>
        <w:r>
          <w:rPr>
            <w:noProof/>
            <w:webHidden/>
          </w:rPr>
          <w:instrText xml:space="preserve"> PAGEREF _Toc360805222 \h </w:instrText>
        </w:r>
        <w:r>
          <w:rPr>
            <w:noProof/>
            <w:webHidden/>
          </w:rPr>
        </w:r>
        <w:r>
          <w:rPr>
            <w:noProof/>
            <w:webHidden/>
          </w:rPr>
          <w:fldChar w:fldCharType="separate"/>
        </w:r>
        <w:r>
          <w:rPr>
            <w:noProof/>
            <w:webHidden/>
          </w:rPr>
          <w:t>20</w:t>
        </w:r>
        <w:r>
          <w:rPr>
            <w:noProof/>
            <w:webHidden/>
          </w:rPr>
          <w:fldChar w:fldCharType="end"/>
        </w:r>
      </w:hyperlink>
    </w:p>
    <w:p w:rsidR="009F3C40" w:rsidRPr="00D517FD" w:rsidRDefault="00DC5C07" w:rsidP="00DC5C07">
      <w:pPr>
        <w:pStyle w:val="BodyText"/>
        <w:ind w:left="567"/>
        <w:sectPr w:rsidR="009F3C40" w:rsidRPr="00D517FD" w:rsidSect="005848BD">
          <w:headerReference w:type="even" r:id="rId21"/>
          <w:headerReference w:type="default" r:id="rId22"/>
          <w:footerReference w:type="even" r:id="rId23"/>
          <w:footerReference w:type="default" r:id="rId24"/>
          <w:pgSz w:w="11907" w:h="16840" w:code="9"/>
          <w:pgMar w:top="2268" w:right="1985" w:bottom="1247" w:left="1985" w:header="567" w:footer="567" w:gutter="0"/>
          <w:cols w:space="720"/>
        </w:sectPr>
      </w:pPr>
      <w:r>
        <w:rPr>
          <w:rFonts w:ascii="Arial Narrow" w:hAnsi="Arial Narrow"/>
          <w:b/>
          <w:caps/>
          <w:sz w:val="20"/>
        </w:rPr>
        <w:fldChar w:fldCharType="end"/>
      </w:r>
    </w:p>
    <w:p w:rsidR="009F3C40" w:rsidRPr="00D517FD" w:rsidRDefault="009F3C40" w:rsidP="005848BD">
      <w:pPr>
        <w:pStyle w:val="Heading1nonumber"/>
      </w:pPr>
      <w:bookmarkStart w:id="7" w:name="_Toc360805204"/>
      <w:r w:rsidRPr="00D517FD">
        <w:lastRenderedPageBreak/>
        <w:t>Abbreviations</w:t>
      </w:r>
      <w:bookmarkEnd w:id="7"/>
    </w:p>
    <w:p w:rsidR="00BC2FDC" w:rsidRDefault="00BC2FDC" w:rsidP="00E038B5">
      <w:pPr>
        <w:pStyle w:val="BodyText"/>
        <w:tabs>
          <w:tab w:val="left" w:pos="1418"/>
        </w:tabs>
        <w:spacing w:before="420"/>
      </w:pPr>
      <w:r>
        <w:t>APEC</w:t>
      </w:r>
      <w:r>
        <w:tab/>
      </w:r>
      <w:r w:rsidRPr="00BC2FDC">
        <w:t>Asia-Pacific Economic Cooperation</w:t>
      </w:r>
    </w:p>
    <w:p w:rsidR="009F3C40" w:rsidRPr="00D517FD" w:rsidRDefault="009F3C40" w:rsidP="009F3C40">
      <w:pPr>
        <w:pStyle w:val="BodyText"/>
        <w:tabs>
          <w:tab w:val="left" w:pos="1418"/>
        </w:tabs>
      </w:pPr>
      <w:r w:rsidRPr="00D517FD">
        <w:t>AusAID</w:t>
      </w:r>
      <w:r w:rsidRPr="00D517FD">
        <w:tab/>
        <w:t>Australian Agency for International Development</w:t>
      </w:r>
    </w:p>
    <w:p w:rsidR="009F3C40" w:rsidRPr="00D517FD" w:rsidRDefault="009F3C40" w:rsidP="009F3C40">
      <w:pPr>
        <w:pStyle w:val="BodyText"/>
        <w:tabs>
          <w:tab w:val="left" w:pos="1418"/>
        </w:tabs>
      </w:pPr>
      <w:r w:rsidRPr="00D517FD">
        <w:t>IFC</w:t>
      </w:r>
      <w:r w:rsidRPr="00D517FD">
        <w:tab/>
        <w:t>International Finance Corporation</w:t>
      </w:r>
    </w:p>
    <w:p w:rsidR="009F3C40" w:rsidRPr="00D517FD" w:rsidRDefault="009F3C40" w:rsidP="009F3C40">
      <w:pPr>
        <w:pStyle w:val="BodyText"/>
        <w:tabs>
          <w:tab w:val="left" w:pos="1418"/>
        </w:tabs>
      </w:pPr>
      <w:r w:rsidRPr="00D517FD">
        <w:t>MDG</w:t>
      </w:r>
      <w:r w:rsidRPr="00D517FD">
        <w:tab/>
      </w:r>
      <w:r w:rsidR="006A3CA6" w:rsidRPr="00D517FD">
        <w:t>Millennium</w:t>
      </w:r>
      <w:r w:rsidRPr="00D517FD">
        <w:t xml:space="preserve"> Development Goal</w:t>
      </w:r>
    </w:p>
    <w:p w:rsidR="009F3C40" w:rsidRPr="00D517FD" w:rsidRDefault="009F3C40" w:rsidP="009F3C40">
      <w:pPr>
        <w:pStyle w:val="BodyText"/>
        <w:tabs>
          <w:tab w:val="left" w:pos="1418"/>
        </w:tabs>
      </w:pPr>
      <w:r w:rsidRPr="00D517FD">
        <w:t>ODA</w:t>
      </w:r>
      <w:r w:rsidRPr="00D517FD">
        <w:tab/>
      </w:r>
      <w:r w:rsidR="002E5704">
        <w:t>official</w:t>
      </w:r>
      <w:r w:rsidR="002E5704" w:rsidRPr="00D517FD">
        <w:t xml:space="preserve"> development assistance</w:t>
      </w:r>
    </w:p>
    <w:p w:rsidR="009F3C40" w:rsidRPr="00D517FD" w:rsidRDefault="009F3C40" w:rsidP="009F3C40">
      <w:pPr>
        <w:pStyle w:val="BodyText"/>
        <w:tabs>
          <w:tab w:val="left" w:pos="1418"/>
        </w:tabs>
      </w:pPr>
      <w:r w:rsidRPr="00D517FD">
        <w:t>OECD</w:t>
      </w:r>
      <w:r w:rsidRPr="00D517FD">
        <w:tab/>
        <w:t>Organisation for Economic Co</w:t>
      </w:r>
      <w:r w:rsidR="002E5704">
        <w:t>-</w:t>
      </w:r>
      <w:r w:rsidRPr="00D517FD">
        <w:t>operation and Development</w:t>
      </w:r>
    </w:p>
    <w:p w:rsidR="009F3C40" w:rsidRPr="00D517FD" w:rsidRDefault="009F3C40" w:rsidP="009F3C40">
      <w:pPr>
        <w:pStyle w:val="BodyText"/>
        <w:tabs>
          <w:tab w:val="left" w:pos="1418"/>
        </w:tabs>
      </w:pPr>
      <w:r w:rsidRPr="00D517FD">
        <w:t>WET</w:t>
      </w:r>
      <w:r w:rsidR="003C5169">
        <w:t xml:space="preserve"> project</w:t>
      </w:r>
      <w:r w:rsidRPr="00D517FD">
        <w:tab/>
        <w:t xml:space="preserve">Water Entitlements and Trading </w:t>
      </w:r>
      <w:r w:rsidR="003C5169">
        <w:t>Project</w:t>
      </w:r>
    </w:p>
    <w:p w:rsidR="00265FA5" w:rsidRPr="00D517FD" w:rsidRDefault="00265FA5">
      <w:pPr>
        <w:pStyle w:val="TableofFigures"/>
        <w:sectPr w:rsidR="00265FA5" w:rsidRPr="00D517FD" w:rsidSect="00BE4655">
          <w:headerReference w:type="even" r:id="rId25"/>
          <w:headerReference w:type="default" r:id="rId26"/>
          <w:footerReference w:type="even" r:id="rId27"/>
          <w:footerReference w:type="default" r:id="rId28"/>
          <w:pgSz w:w="11907" w:h="16840" w:code="9"/>
          <w:pgMar w:top="2268" w:right="1985" w:bottom="1247" w:left="1985" w:header="567" w:footer="567" w:gutter="0"/>
          <w:cols w:space="720"/>
        </w:sectPr>
      </w:pPr>
    </w:p>
    <w:p w:rsidR="00DC6501" w:rsidRPr="00D517FD" w:rsidRDefault="009F3C40" w:rsidP="009F3C40">
      <w:pPr>
        <w:pStyle w:val="Heading1nonumber"/>
      </w:pPr>
      <w:bookmarkStart w:id="8" w:name="_Toc360805205"/>
      <w:r w:rsidRPr="00D517FD">
        <w:lastRenderedPageBreak/>
        <w:t>Summary</w:t>
      </w:r>
      <w:bookmarkEnd w:id="8"/>
    </w:p>
    <w:p w:rsidR="00DC6501" w:rsidRPr="00D517FD" w:rsidRDefault="009F3C40" w:rsidP="00BE4655">
      <w:pPr>
        <w:pStyle w:val="1stpara"/>
      </w:pPr>
      <w:r w:rsidRPr="00D517FD">
        <w:t>China’s economic transition has brought impressive development gains for most of its people.</w:t>
      </w:r>
      <w:r w:rsidR="00AA700F" w:rsidRPr="00D517FD">
        <w:t xml:space="preserve"> </w:t>
      </w:r>
      <w:r w:rsidRPr="00D517FD">
        <w:t xml:space="preserve">China’s poverty reduction </w:t>
      </w:r>
      <w:r w:rsidR="009F200B" w:rsidRPr="00D517FD">
        <w:t>Millennium</w:t>
      </w:r>
      <w:r w:rsidRPr="00D517FD">
        <w:t xml:space="preserve"> Development Goal (MDG) has already been achieved and most other MDGs are well within reach.</w:t>
      </w:r>
      <w:r w:rsidR="00AA700F" w:rsidRPr="00D517FD">
        <w:t xml:space="preserve"> </w:t>
      </w:r>
      <w:r w:rsidRPr="00D517FD">
        <w:t>Nevertheless, China will remain a lower</w:t>
      </w:r>
      <w:r w:rsidR="009F200B" w:rsidRPr="00D517FD">
        <w:t xml:space="preserve"> </w:t>
      </w:r>
      <w:r w:rsidRPr="00D517FD">
        <w:t>middle-income country for years to come</w:t>
      </w:r>
      <w:r w:rsidR="009F200B" w:rsidRPr="00D517FD">
        <w:t>.</w:t>
      </w:r>
      <w:r w:rsidRPr="00D517FD">
        <w:t xml:space="preserve"> </w:t>
      </w:r>
      <w:r w:rsidR="009F200B" w:rsidRPr="00D517FD">
        <w:t>A</w:t>
      </w:r>
      <w:r w:rsidRPr="00D517FD">
        <w:t xml:space="preserve">n estimated 128 </w:t>
      </w:r>
      <w:r w:rsidRPr="00D517FD">
        <w:rPr>
          <w:szCs w:val="26"/>
        </w:rPr>
        <w:t xml:space="preserve">million people </w:t>
      </w:r>
      <w:r w:rsidRPr="00D517FD">
        <w:t>live on less than US$1 a day</w:t>
      </w:r>
      <w:r w:rsidRPr="00D517FD">
        <w:rPr>
          <w:szCs w:val="26"/>
        </w:rPr>
        <w:t>.</w:t>
      </w:r>
      <w:r w:rsidR="00AA700F" w:rsidRPr="00D517FD">
        <w:rPr>
          <w:szCs w:val="26"/>
        </w:rPr>
        <w:t xml:space="preserve"> </w:t>
      </w:r>
      <w:r w:rsidRPr="00D517FD">
        <w:rPr>
          <w:szCs w:val="26"/>
        </w:rPr>
        <w:t>China also faces challenges relating to the unbalanced, inequitable and potentially unsustainable growth.</w:t>
      </w:r>
      <w:r w:rsidR="00AA700F" w:rsidRPr="00D517FD">
        <w:rPr>
          <w:szCs w:val="26"/>
        </w:rPr>
        <w:t xml:space="preserve"> </w:t>
      </w:r>
      <w:r w:rsidRPr="00D517FD">
        <w:rPr>
          <w:szCs w:val="26"/>
        </w:rPr>
        <w:t xml:space="preserve">These challenges demand not only fundamental </w:t>
      </w:r>
      <w:r w:rsidRPr="00D517FD">
        <w:t>structural, institutional and legal reform, but measures to address environmental and social vulnerabilities and entrenched poverty in China’s western and ethnic minority regions.</w:t>
      </w:r>
    </w:p>
    <w:p w:rsidR="009F3C40" w:rsidRPr="00D517FD" w:rsidRDefault="009F3C40" w:rsidP="009F3C40">
      <w:pPr>
        <w:pStyle w:val="BodyText"/>
      </w:pPr>
      <w:r w:rsidRPr="00D517FD">
        <w:t>China’s emergence as a dominant power and its growing influence on international development issues, including as a donor, highlight the importance of strategic Australian engagement on these issues, including through the aid program.</w:t>
      </w:r>
      <w:r w:rsidR="00AA700F" w:rsidRPr="00D517FD">
        <w:t xml:space="preserve"> </w:t>
      </w:r>
      <w:r w:rsidRPr="00D517FD">
        <w:t xml:space="preserve">However, Australia needs to be realistic about the potential influence of its </w:t>
      </w:r>
      <w:r w:rsidR="009F200B" w:rsidRPr="00D517FD">
        <w:t>official development assistance</w:t>
      </w:r>
      <w:r w:rsidRPr="00D517FD">
        <w:t xml:space="preserve"> to China, which at approximately $42 million in 2006</w:t>
      </w:r>
      <w:r w:rsidR="00D517FD" w:rsidRPr="00D517FD">
        <w:t>–</w:t>
      </w:r>
      <w:r w:rsidRPr="00D517FD">
        <w:t>07 represented only about 0.03</w:t>
      </w:r>
      <w:r w:rsidR="009F200B" w:rsidRPr="00D517FD">
        <w:t> per cent</w:t>
      </w:r>
      <w:r w:rsidRPr="00D517FD">
        <w:t xml:space="preserve"> of </w:t>
      </w:r>
      <w:r w:rsidR="009F200B" w:rsidRPr="00D517FD">
        <w:t xml:space="preserve">the </w:t>
      </w:r>
      <w:r w:rsidRPr="00D517FD">
        <w:t xml:space="preserve">total </w:t>
      </w:r>
      <w:r w:rsidR="009F200B" w:rsidRPr="00D517FD">
        <w:t xml:space="preserve">official development assistance </w:t>
      </w:r>
      <w:r w:rsidRPr="00D517FD">
        <w:t>to China and 0.001</w:t>
      </w:r>
      <w:r w:rsidR="009F200B" w:rsidRPr="00D517FD">
        <w:t> per cent</w:t>
      </w:r>
      <w:r w:rsidRPr="00D517FD">
        <w:t xml:space="preserve"> of </w:t>
      </w:r>
      <w:r w:rsidR="00D517FD" w:rsidRPr="00D517FD">
        <w:t>its gross domestic product</w:t>
      </w:r>
      <w:r w:rsidRPr="00D517FD">
        <w:t>.</w:t>
      </w:r>
      <w:r w:rsidR="00AA700F" w:rsidRPr="00D517FD">
        <w:t xml:space="preserve"> </w:t>
      </w:r>
    </w:p>
    <w:p w:rsidR="009F3C40" w:rsidRPr="00D517FD" w:rsidRDefault="00D517FD" w:rsidP="009F3C40">
      <w:pPr>
        <w:pStyle w:val="BodyText"/>
      </w:pPr>
      <w:r>
        <w:t>From</w:t>
      </w:r>
      <w:r w:rsidRPr="00D517FD">
        <w:t xml:space="preserve"> </w:t>
      </w:r>
      <w:r w:rsidR="009F3C40" w:rsidRPr="00D517FD">
        <w:t xml:space="preserve">the </w:t>
      </w:r>
      <w:r w:rsidR="00D21845">
        <w:t>start</w:t>
      </w:r>
      <w:r w:rsidR="00D21845" w:rsidRPr="00D517FD">
        <w:t xml:space="preserve"> </w:t>
      </w:r>
      <w:r w:rsidR="009F3C40" w:rsidRPr="00D517FD">
        <w:t>of the China</w:t>
      </w:r>
      <w:r>
        <w:t>–Australia</w:t>
      </w:r>
      <w:r w:rsidR="009F3C40" w:rsidRPr="00D517FD">
        <w:t xml:space="preserve"> Country </w:t>
      </w:r>
      <w:r>
        <w:t xml:space="preserve">Program </w:t>
      </w:r>
      <w:r w:rsidR="009F3C40" w:rsidRPr="00D517FD">
        <w:t>Strategy</w:t>
      </w:r>
      <w:r>
        <w:t xml:space="preserve"> 2006–2010</w:t>
      </w:r>
      <w:r w:rsidR="009F3C40" w:rsidRPr="00D517FD">
        <w:t>, Australia beg</w:t>
      </w:r>
      <w:r>
        <w:t>a</w:t>
      </w:r>
      <w:r w:rsidR="009F3C40" w:rsidRPr="00D517FD">
        <w:t>n to transform its development relationship with China from funding discrete projects in the provinces to sharing ideas, high-level capacity building, and policy engagement in the agreed sectors of governance, environment and health.</w:t>
      </w:r>
      <w:r w:rsidR="00AA700F" w:rsidRPr="00D517FD">
        <w:t xml:space="preserve"> </w:t>
      </w:r>
      <w:r w:rsidR="009F3C40" w:rsidRPr="00D517FD">
        <w:t>Guided by four key principles</w:t>
      </w:r>
      <w:r w:rsidR="00963E0D">
        <w:t>—</w:t>
      </w:r>
      <w:r w:rsidR="009F3C40" w:rsidRPr="00D517FD">
        <w:t>mutual benefit</w:t>
      </w:r>
      <w:r w:rsidR="00963E0D">
        <w:t>,</w:t>
      </w:r>
      <w:r w:rsidR="009F3C40" w:rsidRPr="00D517FD">
        <w:t xml:space="preserve"> government</w:t>
      </w:r>
      <w:r w:rsidR="00963E0D">
        <w:t>-</w:t>
      </w:r>
      <w:r w:rsidR="009F3C40" w:rsidRPr="00D517FD">
        <w:t>to</w:t>
      </w:r>
      <w:r w:rsidR="00963E0D">
        <w:t>-</w:t>
      </w:r>
      <w:r w:rsidR="009F3C40" w:rsidRPr="00D517FD">
        <w:t>government partnerships</w:t>
      </w:r>
      <w:r w:rsidR="00963E0D">
        <w:t>,</w:t>
      </w:r>
      <w:r w:rsidR="009F3C40" w:rsidRPr="00D517FD">
        <w:t xml:space="preserve"> high</w:t>
      </w:r>
      <w:r w:rsidR="00963E0D">
        <w:t>-</w:t>
      </w:r>
      <w:r w:rsidR="009F3C40" w:rsidRPr="00D517FD">
        <w:t>level capacity building</w:t>
      </w:r>
      <w:r w:rsidR="00D21845">
        <w:t>,</w:t>
      </w:r>
      <w:r w:rsidR="009F3C40" w:rsidRPr="00D517FD">
        <w:t xml:space="preserve"> and responsiveness to emerging priorities</w:t>
      </w:r>
      <w:r w:rsidR="00963E0D">
        <w:t>—</w:t>
      </w:r>
      <w:r w:rsidR="009F3C40" w:rsidRPr="00D517FD">
        <w:t xml:space="preserve">the China </w:t>
      </w:r>
      <w:r w:rsidR="00963E0D">
        <w:t xml:space="preserve">aid </w:t>
      </w:r>
      <w:r w:rsidR="009F3C40" w:rsidRPr="00D517FD">
        <w:t>program has become more focused, flexible and capable of leveraging resources in both countries.</w:t>
      </w:r>
      <w:r w:rsidR="00AA700F" w:rsidRPr="00D517FD">
        <w:t xml:space="preserve"> </w:t>
      </w:r>
      <w:r w:rsidR="009F3C40" w:rsidRPr="00D517FD">
        <w:t>Of</w:t>
      </w:r>
      <w:r w:rsidR="00963E0D">
        <w:t> </w:t>
      </w:r>
      <w:r w:rsidR="009F3C40" w:rsidRPr="00D517FD">
        <w:t>note in this respect was the mobili</w:t>
      </w:r>
      <w:r w:rsidR="00963E0D">
        <w:t>s</w:t>
      </w:r>
      <w:r w:rsidR="009F3C40" w:rsidRPr="00D517FD">
        <w:t>ation of environment and health facilities in</w:t>
      </w:r>
      <w:r w:rsidR="0090653E">
        <w:t> </w:t>
      </w:r>
      <w:r w:rsidR="009F3C40" w:rsidRPr="00D517FD">
        <w:t>late</w:t>
      </w:r>
      <w:r w:rsidR="00963E0D">
        <w:t> </w:t>
      </w:r>
      <w:r w:rsidR="009F3C40" w:rsidRPr="00D517FD">
        <w:t>2007.</w:t>
      </w:r>
    </w:p>
    <w:p w:rsidR="009F3C40" w:rsidRPr="00D517FD" w:rsidRDefault="00CE1A64" w:rsidP="009F3C40">
      <w:pPr>
        <w:pStyle w:val="Heading2nonumber"/>
      </w:pPr>
      <w:bookmarkStart w:id="9" w:name="_Toc213045582"/>
      <w:bookmarkStart w:id="10" w:name="_Toc213061255"/>
      <w:bookmarkStart w:id="11" w:name="_Toc360805206"/>
      <w:r>
        <w:t>R</w:t>
      </w:r>
      <w:r w:rsidR="009F3C40" w:rsidRPr="00D517FD">
        <w:t>esults of the China aid program</w:t>
      </w:r>
      <w:bookmarkEnd w:id="9"/>
      <w:bookmarkEnd w:id="10"/>
      <w:bookmarkEnd w:id="11"/>
    </w:p>
    <w:p w:rsidR="0090653E" w:rsidRPr="00D517FD" w:rsidRDefault="0090653E" w:rsidP="0090653E">
      <w:pPr>
        <w:pStyle w:val="Heading3nonumber"/>
      </w:pPr>
      <w:r w:rsidRPr="00D517FD">
        <w:t>Build capacity in selected sectors, in particu</w:t>
      </w:r>
      <w:r w:rsidR="00E038B5">
        <w:t>lar governance, environment and </w:t>
      </w:r>
      <w:r w:rsidRPr="00D517FD">
        <w:t>health</w:t>
      </w:r>
    </w:p>
    <w:p w:rsidR="0090653E" w:rsidRPr="00D517FD" w:rsidRDefault="0090653E" w:rsidP="0090653E">
      <w:pPr>
        <w:pStyle w:val="BodyText"/>
      </w:pPr>
      <w:r w:rsidRPr="00D517FD">
        <w:t xml:space="preserve">In the </w:t>
      </w:r>
      <w:r w:rsidRPr="00D517FD">
        <w:rPr>
          <w:b/>
        </w:rPr>
        <w:t>governance sector</w:t>
      </w:r>
      <w:r w:rsidRPr="0090653E">
        <w:t xml:space="preserve">, </w:t>
      </w:r>
      <w:r>
        <w:t>the China–</w:t>
      </w:r>
      <w:r w:rsidRPr="00D517FD">
        <w:t xml:space="preserve">Australia Governance Program and </w:t>
      </w:r>
      <w:r w:rsidR="00AE3FFA">
        <w:t xml:space="preserve">the </w:t>
      </w:r>
      <w:r w:rsidRPr="00D517FD">
        <w:t>Human Rights Technical Cooperation Program de</w:t>
      </w:r>
      <w:r>
        <w:t>monstrated significant capacity-</w:t>
      </w:r>
      <w:r w:rsidRPr="00D517FD">
        <w:t xml:space="preserve">building outcomes driven by strong Chinese engagement at the national level in key areas such as family planning and reproductive health and social security fraud. In contrast, smaller, older governance activities have been less successful in demonstrating outcomes and are to be reviewed. </w:t>
      </w:r>
    </w:p>
    <w:p w:rsidR="009F3C40" w:rsidRPr="00D517FD" w:rsidRDefault="0090653E" w:rsidP="00E02725">
      <w:pPr>
        <w:pStyle w:val="Caption"/>
      </w:pPr>
      <w:r w:rsidRPr="00E02725">
        <w:lastRenderedPageBreak/>
        <w:t>Ratings</w:t>
      </w:r>
      <w:r w:rsidRPr="00913510">
        <w:t xml:space="preserve"> of the </w:t>
      </w:r>
      <w:r>
        <w:t>China</w:t>
      </w:r>
      <w:r w:rsidRPr="00913510">
        <w:t xml:space="preserve"> program in achieving the objectives of the </w:t>
      </w:r>
      <w:r>
        <w:t>program</w:t>
      </w:r>
      <w:r w:rsidRPr="00913510">
        <w:t> strategy</w:t>
      </w:r>
      <w:r>
        <w:t xml:space="preserve"> 2006–10</w:t>
      </w:r>
    </w:p>
    <w:tbl>
      <w:tblPr>
        <w:tblStyle w:val="TableGrid"/>
        <w:tblW w:w="7937"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6" w:type="dxa"/>
          <w:right w:w="56" w:type="dxa"/>
        </w:tblCellMar>
        <w:tblLook w:val="01E0" w:firstRow="1" w:lastRow="1" w:firstColumn="1" w:lastColumn="1" w:noHBand="0" w:noVBand="0"/>
        <w:tblCaption w:val="Ratings of the China Program in Achieving the Objectives of the Program Strategy between 2006-2010"/>
        <w:tblDescription w:val="Objectives 1 and 2 have achieved green rating. Objective 3 has a red rating."/>
      </w:tblPr>
      <w:tblGrid>
        <w:gridCol w:w="7362"/>
        <w:gridCol w:w="575"/>
      </w:tblGrid>
      <w:tr w:rsidR="009F3C40" w:rsidRPr="00D517FD" w:rsidTr="00E02725">
        <w:trPr>
          <w:cantSplit/>
          <w:trHeight w:val="195"/>
          <w:tblHeader/>
        </w:trPr>
        <w:tc>
          <w:tcPr>
            <w:tcW w:w="7362" w:type="dxa"/>
            <w:tcBorders>
              <w:top w:val="single" w:sz="4" w:space="0" w:color="auto"/>
              <w:bottom w:val="single" w:sz="4" w:space="0" w:color="auto"/>
            </w:tcBorders>
          </w:tcPr>
          <w:p w:rsidR="009F3C40" w:rsidRPr="00D517FD" w:rsidRDefault="009F3C40" w:rsidP="009F3C40">
            <w:pPr>
              <w:pStyle w:val="Tablecolumnheadings"/>
              <w:jc w:val="left"/>
            </w:pPr>
            <w:r w:rsidRPr="00D517FD">
              <w:t>Objective</w:t>
            </w:r>
          </w:p>
        </w:tc>
        <w:tc>
          <w:tcPr>
            <w:tcW w:w="575" w:type="dxa"/>
            <w:tcBorders>
              <w:top w:val="single" w:sz="4" w:space="0" w:color="auto"/>
              <w:bottom w:val="single" w:sz="4" w:space="0" w:color="auto"/>
            </w:tcBorders>
          </w:tcPr>
          <w:p w:rsidR="009F3C40" w:rsidRPr="00D517FD" w:rsidRDefault="009F3C40" w:rsidP="008A2BCA">
            <w:pPr>
              <w:pStyle w:val="Tablecolumnheadings"/>
              <w:jc w:val="center"/>
            </w:pPr>
            <w:r w:rsidRPr="00D517FD">
              <w:t>Rating</w:t>
            </w:r>
          </w:p>
        </w:tc>
      </w:tr>
      <w:tr w:rsidR="009F3C40" w:rsidRPr="00D517FD" w:rsidTr="00E02725">
        <w:trPr>
          <w:cantSplit/>
          <w:trHeight w:val="195"/>
        </w:trPr>
        <w:tc>
          <w:tcPr>
            <w:tcW w:w="7362" w:type="dxa"/>
            <w:tcBorders>
              <w:top w:val="single" w:sz="4" w:space="0" w:color="auto"/>
            </w:tcBorders>
          </w:tcPr>
          <w:p w:rsidR="009F3C40" w:rsidRPr="00D517FD" w:rsidRDefault="009F3C40" w:rsidP="009F3C40">
            <w:pPr>
              <w:pStyle w:val="Tablebody"/>
              <w:jc w:val="left"/>
            </w:pPr>
            <w:r w:rsidRPr="00D517FD">
              <w:t>1. Build capacity in selected sectors in China, in particular governance, environment and health</w:t>
            </w:r>
          </w:p>
        </w:tc>
        <w:tc>
          <w:tcPr>
            <w:tcW w:w="575" w:type="dxa"/>
            <w:tcBorders>
              <w:top w:val="single" w:sz="4" w:space="0" w:color="auto"/>
            </w:tcBorders>
          </w:tcPr>
          <w:p w:rsidR="009F3C40" w:rsidRPr="00D517FD" w:rsidRDefault="008A2BCA" w:rsidP="008A2BCA">
            <w:pPr>
              <w:pStyle w:val="Tablebody"/>
              <w:jc w:val="center"/>
            </w:pPr>
            <w:r w:rsidRPr="00D517FD">
              <w:rPr>
                <w:color w:val="00DE00"/>
                <w:sz w:val="24"/>
                <w:szCs w:val="24"/>
              </w:rPr>
              <w:sym w:font="Wingdings" w:char="F06E"/>
            </w:r>
            <w:r w:rsidRPr="00D517FD">
              <w:rPr>
                <w:color w:val="FF9900"/>
                <w:sz w:val="24"/>
                <w:szCs w:val="24"/>
              </w:rPr>
              <w:t xml:space="preserve"> </w:t>
            </w:r>
            <w:r w:rsidRPr="00D517FD">
              <w:t>(green)</w:t>
            </w:r>
          </w:p>
        </w:tc>
      </w:tr>
      <w:tr w:rsidR="009F3C40" w:rsidRPr="00D517FD" w:rsidTr="00E02725">
        <w:trPr>
          <w:cantSplit/>
          <w:trHeight w:val="195"/>
        </w:trPr>
        <w:tc>
          <w:tcPr>
            <w:tcW w:w="7362" w:type="dxa"/>
          </w:tcPr>
          <w:p w:rsidR="009F3C40" w:rsidRPr="00D517FD" w:rsidRDefault="009F3C40" w:rsidP="009F3C40">
            <w:pPr>
              <w:pStyle w:val="Tablebody"/>
              <w:jc w:val="left"/>
              <w:rPr>
                <w:i/>
              </w:rPr>
            </w:pPr>
            <w:r w:rsidRPr="00D517FD">
              <w:t>2. Enhance Australia</w:t>
            </w:r>
            <w:r w:rsidR="0090653E">
              <w:t>–</w:t>
            </w:r>
            <w:r w:rsidRPr="00D517FD">
              <w:t>China relationship through development cooperation</w:t>
            </w:r>
          </w:p>
        </w:tc>
        <w:tc>
          <w:tcPr>
            <w:tcW w:w="575" w:type="dxa"/>
          </w:tcPr>
          <w:p w:rsidR="009F3C40" w:rsidRPr="00D517FD" w:rsidRDefault="008A2BCA" w:rsidP="008A2BCA">
            <w:pPr>
              <w:pStyle w:val="Tablebody"/>
              <w:jc w:val="center"/>
            </w:pPr>
            <w:r w:rsidRPr="00D517FD">
              <w:rPr>
                <w:color w:val="00DE00"/>
                <w:sz w:val="24"/>
                <w:szCs w:val="24"/>
              </w:rPr>
              <w:sym w:font="Wingdings" w:char="F06E"/>
            </w:r>
            <w:r w:rsidRPr="00D517FD">
              <w:rPr>
                <w:color w:val="FF9900"/>
                <w:sz w:val="24"/>
                <w:szCs w:val="24"/>
              </w:rPr>
              <w:t xml:space="preserve"> </w:t>
            </w:r>
            <w:r w:rsidRPr="00D517FD">
              <w:t>(green)</w:t>
            </w:r>
          </w:p>
        </w:tc>
      </w:tr>
      <w:tr w:rsidR="009F3C40" w:rsidRPr="00D517FD" w:rsidTr="00E02725">
        <w:trPr>
          <w:cantSplit/>
          <w:trHeight w:val="195"/>
        </w:trPr>
        <w:tc>
          <w:tcPr>
            <w:tcW w:w="7362" w:type="dxa"/>
            <w:tcBorders>
              <w:bottom w:val="single" w:sz="4" w:space="0" w:color="auto"/>
            </w:tcBorders>
          </w:tcPr>
          <w:p w:rsidR="009F3C40" w:rsidRPr="00D517FD" w:rsidRDefault="009F3C40" w:rsidP="009F3C40">
            <w:pPr>
              <w:pStyle w:val="Tablebody"/>
              <w:jc w:val="left"/>
            </w:pPr>
            <w:r w:rsidRPr="00D517FD">
              <w:t>3. Work collaboratively to strengthen the region</w:t>
            </w:r>
          </w:p>
        </w:tc>
        <w:tc>
          <w:tcPr>
            <w:tcW w:w="575" w:type="dxa"/>
            <w:tcBorders>
              <w:bottom w:val="single" w:sz="4" w:space="0" w:color="auto"/>
            </w:tcBorders>
          </w:tcPr>
          <w:p w:rsidR="009F3C40" w:rsidRPr="00D517FD" w:rsidRDefault="008A2BCA" w:rsidP="008A2BCA">
            <w:pPr>
              <w:pStyle w:val="Tablebody"/>
              <w:jc w:val="center"/>
            </w:pPr>
            <w:r w:rsidRPr="00D517FD">
              <w:rPr>
                <w:color w:val="FF0000"/>
                <w:sz w:val="24"/>
                <w:szCs w:val="24"/>
              </w:rPr>
              <w:sym w:font="Wingdings" w:char="F06E"/>
            </w:r>
            <w:r w:rsidRPr="00D517FD">
              <w:rPr>
                <w:color w:val="FF9900"/>
                <w:sz w:val="24"/>
                <w:szCs w:val="24"/>
              </w:rPr>
              <w:t xml:space="preserve"> </w:t>
            </w:r>
            <w:r w:rsidRPr="00D517FD">
              <w:t>(red)</w:t>
            </w:r>
          </w:p>
        </w:tc>
      </w:tr>
    </w:tbl>
    <w:p w:rsidR="008A2BCA" w:rsidRPr="00D517FD" w:rsidRDefault="008A2BCA" w:rsidP="008A2BCA">
      <w:pPr>
        <w:pStyle w:val="Note"/>
      </w:pPr>
      <w:r w:rsidRPr="00D517FD">
        <w:rPr>
          <w:b/>
        </w:rPr>
        <w:t>Note:</w:t>
      </w:r>
      <w:r w:rsidRPr="00D517FD">
        <w:t xml:space="preserve"> </w:t>
      </w:r>
      <w:r w:rsidRPr="00D517FD">
        <w:rPr>
          <w:color w:val="00DE00"/>
          <w:szCs w:val="14"/>
        </w:rPr>
        <w:sym w:font="Wingdings" w:char="F06E"/>
      </w:r>
      <w:r w:rsidRPr="00D517FD">
        <w:t xml:space="preserve"> </w:t>
      </w:r>
      <w:r w:rsidR="00EF018F">
        <w:t xml:space="preserve">(green) </w:t>
      </w:r>
      <w:r w:rsidRPr="00D517FD">
        <w:t>denotes the objective is on track to be fully achieved within the timeframe.</w:t>
      </w:r>
      <w:r w:rsidRPr="00D517FD">
        <w:rPr>
          <w:color w:val="FF0000"/>
          <w:szCs w:val="14"/>
        </w:rPr>
        <w:sym w:font="Wingdings" w:char="F06E"/>
      </w:r>
      <w:r w:rsidRPr="00D517FD">
        <w:t xml:space="preserve"> </w:t>
      </w:r>
      <w:r w:rsidR="00EF018F">
        <w:t>(</w:t>
      </w:r>
      <w:proofErr w:type="gramStart"/>
      <w:r w:rsidR="00EF018F">
        <w:t>red</w:t>
      </w:r>
      <w:proofErr w:type="gramEnd"/>
      <w:r w:rsidR="00EF018F">
        <w:t xml:space="preserve">) </w:t>
      </w:r>
      <w:r w:rsidRPr="00D517FD">
        <w:t>denotes the objective is unlikely to be achieved within the timeframe.</w:t>
      </w:r>
    </w:p>
    <w:p w:rsidR="009F3C40" w:rsidRPr="00D517FD" w:rsidRDefault="009F3C40" w:rsidP="009F3C40">
      <w:pPr>
        <w:pStyle w:val="BodyText"/>
      </w:pPr>
      <w:r w:rsidRPr="00D517FD">
        <w:t xml:space="preserve">In the </w:t>
      </w:r>
      <w:r w:rsidRPr="00D517FD">
        <w:rPr>
          <w:b/>
        </w:rPr>
        <w:t>health sector,</w:t>
      </w:r>
      <w:r w:rsidR="0090653E">
        <w:t xml:space="preserve"> stronger national-</w:t>
      </w:r>
      <w:r w:rsidRPr="00D517FD">
        <w:t xml:space="preserve">level policy engagement, improved coordination and better management in both China and Australia </w:t>
      </w:r>
      <w:r w:rsidR="00E4448C">
        <w:t>were</w:t>
      </w:r>
      <w:r w:rsidR="00E4448C" w:rsidRPr="00D517FD">
        <w:t xml:space="preserve"> </w:t>
      </w:r>
      <w:r w:rsidRPr="00D517FD">
        <w:t xml:space="preserve">achieved </w:t>
      </w:r>
      <w:r w:rsidR="0090653E">
        <w:t>by</w:t>
      </w:r>
      <w:r w:rsidRPr="00D517FD">
        <w:t xml:space="preserve"> integrati</w:t>
      </w:r>
      <w:r w:rsidR="0090653E">
        <w:t>ng</w:t>
      </w:r>
      <w:r w:rsidRPr="00D517FD">
        <w:t xml:space="preserve"> all health activities into a single program with priorities aligned </w:t>
      </w:r>
      <w:r w:rsidR="0090653E">
        <w:t>with</w:t>
      </w:r>
      <w:r w:rsidRPr="00D517FD">
        <w:t xml:space="preserve"> </w:t>
      </w:r>
      <w:r w:rsidR="0090653E">
        <w:t>the</w:t>
      </w:r>
      <w:r w:rsidRPr="00D517FD">
        <w:t xml:space="preserve"> agreed </w:t>
      </w:r>
      <w:r w:rsidR="0090653E">
        <w:t>Plan of Action 2007–</w:t>
      </w:r>
      <w:r w:rsidRPr="00D517FD">
        <w:t>2010</w:t>
      </w:r>
      <w:r w:rsidR="00E4448C">
        <w:t xml:space="preserve"> between </w:t>
      </w:r>
      <w:r w:rsidR="00E4448C" w:rsidRPr="00D517FD">
        <w:t>Australia</w:t>
      </w:r>
      <w:r w:rsidR="00E4448C">
        <w:t>’s</w:t>
      </w:r>
      <w:r w:rsidR="00E4448C" w:rsidRPr="00D517FD">
        <w:t xml:space="preserve"> Department of Health and Aging</w:t>
      </w:r>
      <w:r w:rsidR="00E4448C">
        <w:t xml:space="preserve"> and </w:t>
      </w:r>
      <w:r w:rsidR="00E4448C" w:rsidRPr="00D517FD">
        <w:t>China’s Ministry of Health</w:t>
      </w:r>
      <w:r w:rsidRPr="00D517FD">
        <w:t>.</w:t>
      </w:r>
      <w:r w:rsidR="00AA700F" w:rsidRPr="00D517FD">
        <w:t xml:space="preserve"> </w:t>
      </w:r>
      <w:r w:rsidRPr="00D517FD">
        <w:t>While too early to assess capacity</w:t>
      </w:r>
      <w:r w:rsidR="0090653E">
        <w:t>-</w:t>
      </w:r>
      <w:r w:rsidRPr="00D517FD">
        <w:t xml:space="preserve">building outcomes from the </w:t>
      </w:r>
      <w:r w:rsidR="00D21845">
        <w:t xml:space="preserve">new </w:t>
      </w:r>
      <w:r w:rsidRPr="00D517FD">
        <w:t>facility, older projects achieved capacity</w:t>
      </w:r>
      <w:r w:rsidR="00F510B9">
        <w:t>-</w:t>
      </w:r>
      <w:r w:rsidRPr="00D517FD">
        <w:t>building outcomes in HIV prevention and care in two of China’s poorest provinces, Tibet and Xinjiang.</w:t>
      </w:r>
    </w:p>
    <w:p w:rsidR="009F3C40" w:rsidRPr="00D517FD" w:rsidRDefault="009F3C40" w:rsidP="009F3C40">
      <w:pPr>
        <w:pStyle w:val="BodyText"/>
      </w:pPr>
      <w:r w:rsidRPr="00D517FD">
        <w:t xml:space="preserve">A number of </w:t>
      </w:r>
      <w:r w:rsidRPr="00D517FD">
        <w:rPr>
          <w:b/>
        </w:rPr>
        <w:t>environment sector</w:t>
      </w:r>
      <w:r w:rsidRPr="00D517FD">
        <w:t xml:space="preserve"> projects delivered capacity</w:t>
      </w:r>
      <w:r w:rsidR="00F510B9">
        <w:t>-</w:t>
      </w:r>
      <w:r w:rsidRPr="00D517FD">
        <w:t>building outcomes at the provincial level but showed limited impact at the national level.</w:t>
      </w:r>
      <w:r w:rsidR="00AA700F" w:rsidRPr="00D517FD">
        <w:t xml:space="preserve"> </w:t>
      </w:r>
      <w:r w:rsidR="00F510B9">
        <w:t>The</w:t>
      </w:r>
      <w:r w:rsidRPr="00D517FD">
        <w:t xml:space="preserve"> Water Entitlements and Trading </w:t>
      </w:r>
      <w:r w:rsidRPr="003C5169">
        <w:rPr>
          <w:lang w:val="en-US"/>
        </w:rPr>
        <w:t xml:space="preserve">Project </w:t>
      </w:r>
      <w:r w:rsidRPr="00D517FD">
        <w:t>delivered outstanding capacity</w:t>
      </w:r>
      <w:r w:rsidR="00F510B9">
        <w:t>-</w:t>
      </w:r>
      <w:r w:rsidRPr="00D517FD">
        <w:t>building results, largely due to strong support from China’s Ministry of Water Resources.</w:t>
      </w:r>
      <w:r w:rsidR="00AA700F" w:rsidRPr="00D517FD">
        <w:t xml:space="preserve"> </w:t>
      </w:r>
    </w:p>
    <w:p w:rsidR="009F3C40" w:rsidRPr="00D517FD" w:rsidRDefault="009F3C40" w:rsidP="009F3C40">
      <w:pPr>
        <w:pStyle w:val="Heading3nonumber"/>
      </w:pPr>
      <w:r w:rsidRPr="00D517FD">
        <w:t xml:space="preserve">Enhance the Australia–China relationship through development cooperation </w:t>
      </w:r>
    </w:p>
    <w:p w:rsidR="009F3C40" w:rsidRPr="00D517FD" w:rsidRDefault="009F3C40" w:rsidP="009F3C40">
      <w:pPr>
        <w:pStyle w:val="BodyText"/>
      </w:pPr>
      <w:r w:rsidRPr="00D517FD">
        <w:t>Good results against this objective were associated strongly with a shift in the program’s emphasis from stand-alone projects to nati</w:t>
      </w:r>
      <w:r w:rsidR="00F510B9">
        <w:t>onal-</w:t>
      </w:r>
      <w:r w:rsidRPr="00D517FD">
        <w:t>level strategic engagement supported by the establishment of facilities as the primary mode of delivery.</w:t>
      </w:r>
      <w:r w:rsidR="00AA700F" w:rsidRPr="00D517FD">
        <w:t xml:space="preserve"> </w:t>
      </w:r>
      <w:r w:rsidRPr="00D517FD">
        <w:t xml:space="preserve">In governance, the </w:t>
      </w:r>
      <w:r w:rsidR="00AE3FFA">
        <w:t>China–</w:t>
      </w:r>
      <w:r w:rsidR="00AE3FFA" w:rsidRPr="00D517FD">
        <w:t xml:space="preserve">Australia Governance Program and </w:t>
      </w:r>
      <w:r w:rsidR="00AE3FFA">
        <w:t xml:space="preserve">the </w:t>
      </w:r>
      <w:r w:rsidR="00AE3FFA" w:rsidRPr="00D517FD">
        <w:t xml:space="preserve">Human Rights Technical Cooperation Program </w:t>
      </w:r>
      <w:r w:rsidRPr="00D517FD">
        <w:t>demonstrated clear evidence of the progressive deepening of mutually</w:t>
      </w:r>
      <w:r w:rsidR="00AE3FFA">
        <w:t xml:space="preserve"> </w:t>
      </w:r>
      <w:r w:rsidRPr="00D517FD">
        <w:t>beneficial relationships between counterpart organi</w:t>
      </w:r>
      <w:r w:rsidR="00AE3FFA">
        <w:t>s</w:t>
      </w:r>
      <w:r w:rsidRPr="00D517FD">
        <w:t>ations.</w:t>
      </w:r>
      <w:r w:rsidR="00AA700F" w:rsidRPr="00D517FD">
        <w:t xml:space="preserve"> </w:t>
      </w:r>
      <w:r w:rsidRPr="00D517FD">
        <w:t xml:space="preserve">The </w:t>
      </w:r>
      <w:r w:rsidR="00AE3FFA" w:rsidRPr="00D517FD">
        <w:t xml:space="preserve">health and environment facilities </w:t>
      </w:r>
      <w:r w:rsidRPr="00D517FD">
        <w:t>established in late 2007 attracted strong interest in the first call for proposals for activity funding, bringing early impetus to high</w:t>
      </w:r>
      <w:r w:rsidR="00AE3FFA">
        <w:t>-</w:t>
      </w:r>
      <w:r w:rsidRPr="00D517FD">
        <w:t>level relationship building through improved coordination and joint management arrangements.</w:t>
      </w:r>
      <w:r w:rsidR="00AA700F" w:rsidRPr="00D517FD">
        <w:t xml:space="preserve"> </w:t>
      </w:r>
      <w:r w:rsidRPr="00D517FD">
        <w:t xml:space="preserve">In the environment sector, the </w:t>
      </w:r>
      <w:r w:rsidR="00AE3FFA" w:rsidRPr="00D517FD">
        <w:t xml:space="preserve">Water Entitlements and Trading </w:t>
      </w:r>
      <w:r w:rsidR="003C5169">
        <w:t>Project</w:t>
      </w:r>
      <w:r w:rsidR="00AE3FFA" w:rsidRPr="00D517FD">
        <w:t xml:space="preserve"> </w:t>
      </w:r>
      <w:r w:rsidRPr="00D517FD">
        <w:t>developed mutually</w:t>
      </w:r>
      <w:r w:rsidR="00AE3FFA">
        <w:t xml:space="preserve"> </w:t>
      </w:r>
      <w:r w:rsidRPr="00D517FD">
        <w:t>supportive links between central government organi</w:t>
      </w:r>
      <w:r w:rsidR="00AE3FFA">
        <w:t>s</w:t>
      </w:r>
      <w:r w:rsidRPr="00D517FD">
        <w:t xml:space="preserve">ations </w:t>
      </w:r>
      <w:r w:rsidR="00AE3FFA">
        <w:t xml:space="preserve">in China </w:t>
      </w:r>
      <w:r w:rsidRPr="00D517FD">
        <w:t xml:space="preserve">and </w:t>
      </w:r>
      <w:r w:rsidR="00AE3FFA">
        <w:t>federal</w:t>
      </w:r>
      <w:r w:rsidR="00AE3FFA" w:rsidRPr="00D517FD">
        <w:t xml:space="preserve"> </w:t>
      </w:r>
      <w:r w:rsidRPr="00D517FD">
        <w:t xml:space="preserve">and </w:t>
      </w:r>
      <w:r w:rsidR="00AE3FFA" w:rsidRPr="00D517FD">
        <w:t xml:space="preserve">state </w:t>
      </w:r>
      <w:r w:rsidRPr="00D517FD">
        <w:t xml:space="preserve">counterparts in Australia. </w:t>
      </w:r>
    </w:p>
    <w:p w:rsidR="009F3C40" w:rsidRPr="00D517FD" w:rsidRDefault="0090653E" w:rsidP="009F3C40">
      <w:pPr>
        <w:pStyle w:val="Heading3nonumber"/>
      </w:pPr>
      <w:r>
        <w:t>Work</w:t>
      </w:r>
      <w:r w:rsidR="009F3C40" w:rsidRPr="00D517FD">
        <w:t xml:space="preserve"> collaboratively to strengthen the region</w:t>
      </w:r>
    </w:p>
    <w:p w:rsidR="009F3C40" w:rsidRPr="00D517FD" w:rsidRDefault="009F3C40" w:rsidP="009F3C40">
      <w:pPr>
        <w:pStyle w:val="BodyText"/>
      </w:pPr>
      <w:r w:rsidRPr="00D517FD">
        <w:t xml:space="preserve">Strong whole-of-government interest </w:t>
      </w:r>
      <w:r w:rsidRPr="00D517FD">
        <w:rPr>
          <w:bCs/>
        </w:rPr>
        <w:t>and the need to act beyond the bilateral country program suggest</w:t>
      </w:r>
      <w:r w:rsidR="00D21845">
        <w:rPr>
          <w:bCs/>
        </w:rPr>
        <w:t>ed</w:t>
      </w:r>
      <w:r w:rsidRPr="00D517FD">
        <w:rPr>
          <w:bCs/>
        </w:rPr>
        <w:t xml:space="preserve"> the need for a </w:t>
      </w:r>
      <w:r w:rsidRPr="00D517FD">
        <w:t>plan of action to progress this objective, including discussion of the objective with Chinese counterparts.</w:t>
      </w:r>
      <w:r w:rsidR="00AA700F" w:rsidRPr="00D517FD">
        <w:t xml:space="preserve"> </w:t>
      </w:r>
      <w:r w:rsidRPr="00D517FD">
        <w:t>Work on this was initiated during 2007 with the preparation and discussion of a draft sub-strategy framework.</w:t>
      </w:r>
      <w:r w:rsidR="00AA700F" w:rsidRPr="00D517FD">
        <w:t xml:space="preserve"> </w:t>
      </w:r>
    </w:p>
    <w:p w:rsidR="009F3C40" w:rsidRPr="00D517FD" w:rsidRDefault="00CE1A64" w:rsidP="009F3C40">
      <w:pPr>
        <w:pStyle w:val="Heading2nonumber"/>
      </w:pPr>
      <w:bookmarkStart w:id="12" w:name="_Toc213045583"/>
      <w:bookmarkStart w:id="13" w:name="_Toc213061256"/>
      <w:bookmarkStart w:id="14" w:name="_Toc360805207"/>
      <w:r>
        <w:lastRenderedPageBreak/>
        <w:t>Q</w:t>
      </w:r>
      <w:r w:rsidR="009F3C40" w:rsidRPr="00D517FD">
        <w:t>uality of AusAID activities</w:t>
      </w:r>
      <w:bookmarkEnd w:id="12"/>
      <w:r w:rsidR="00D21845">
        <w:t xml:space="preserve"> in China</w:t>
      </w:r>
      <w:bookmarkEnd w:id="13"/>
      <w:bookmarkEnd w:id="14"/>
    </w:p>
    <w:p w:rsidR="009F3C40" w:rsidRPr="00D517FD" w:rsidRDefault="009F3C40" w:rsidP="009F3C40">
      <w:pPr>
        <w:pStyle w:val="BodyText"/>
        <w:rPr>
          <w:b/>
        </w:rPr>
      </w:pPr>
      <w:r w:rsidRPr="00D517FD">
        <w:t xml:space="preserve">An assessment of the </w:t>
      </w:r>
      <w:r w:rsidR="00AE3FFA" w:rsidRPr="00D517FD">
        <w:t>quality</w:t>
      </w:r>
      <w:r w:rsidR="00AE3FFA">
        <w:t>-</w:t>
      </w:r>
      <w:r w:rsidR="00AE3FFA" w:rsidRPr="00D517FD">
        <w:t>at</w:t>
      </w:r>
      <w:r w:rsidR="00AE3FFA">
        <w:t>-</w:t>
      </w:r>
      <w:r w:rsidR="00AE3FFA" w:rsidRPr="00D517FD">
        <w:t xml:space="preserve">implementation </w:t>
      </w:r>
      <w:r w:rsidRPr="00D517FD">
        <w:t xml:space="preserve">and </w:t>
      </w:r>
      <w:r w:rsidR="00AE3FFA" w:rsidRPr="00D517FD">
        <w:t>quality</w:t>
      </w:r>
      <w:r w:rsidR="00AE3FFA">
        <w:t>-</w:t>
      </w:r>
      <w:r w:rsidR="00AE3FFA" w:rsidRPr="00D517FD">
        <w:t>at</w:t>
      </w:r>
      <w:r w:rsidR="00AE3FFA">
        <w:t>-</w:t>
      </w:r>
      <w:r w:rsidR="00AE3FFA" w:rsidRPr="00D517FD">
        <w:t xml:space="preserve">completion </w:t>
      </w:r>
      <w:r w:rsidRPr="00D517FD">
        <w:t xml:space="preserve">reports </w:t>
      </w:r>
      <w:r w:rsidR="00AE3FFA">
        <w:t xml:space="preserve">of the </w:t>
      </w:r>
      <w:r w:rsidR="00AE3FFA" w:rsidRPr="00D517FD">
        <w:t xml:space="preserve">China program </w:t>
      </w:r>
      <w:r w:rsidRPr="00D517FD">
        <w:t xml:space="preserve">suggests that implementation progress is mostly on track, monitoring </w:t>
      </w:r>
      <w:r w:rsidR="00AE3FFA">
        <w:t>and</w:t>
      </w:r>
      <w:r w:rsidR="00AE3FFA" w:rsidRPr="00D517FD">
        <w:t xml:space="preserve"> </w:t>
      </w:r>
      <w:r w:rsidRPr="00D517FD">
        <w:t>evaluation arrangements are generally satisfactory, and most activities are achieving their objectives</w:t>
      </w:r>
      <w:r w:rsidR="00D21845">
        <w:t xml:space="preserve"> and</w:t>
      </w:r>
      <w:r w:rsidRPr="00D517FD">
        <w:t xml:space="preserve"> sustainabl</w:t>
      </w:r>
      <w:r w:rsidR="00D21845">
        <w:t>e</w:t>
      </w:r>
      <w:r w:rsidR="00AE3FFA">
        <w:t xml:space="preserve"> outcomes</w:t>
      </w:r>
      <w:r w:rsidRPr="00D517FD">
        <w:t>.</w:t>
      </w:r>
      <w:r w:rsidR="00AA700F" w:rsidRPr="00D517FD">
        <w:t xml:space="preserve"> </w:t>
      </w:r>
      <w:r w:rsidRPr="00D517FD">
        <w:t xml:space="preserve">For a small number of activities, inadequate </w:t>
      </w:r>
      <w:r w:rsidR="00AE3FFA" w:rsidRPr="00D517FD">
        <w:t xml:space="preserve">monitoring </w:t>
      </w:r>
      <w:r w:rsidR="00AE3FFA">
        <w:t>and</w:t>
      </w:r>
      <w:r w:rsidR="00AE3FFA" w:rsidRPr="00D517FD">
        <w:t xml:space="preserve"> evaluation </w:t>
      </w:r>
      <w:r w:rsidRPr="00D517FD">
        <w:t>arrangements resulted in little or no information being gathered and provided on progress in achieving objectives or sustainability.</w:t>
      </w:r>
      <w:r w:rsidR="00AA700F" w:rsidRPr="00D517FD">
        <w:t xml:space="preserve"> </w:t>
      </w:r>
      <w:r w:rsidRPr="00D517FD">
        <w:t>A lack of clarity in the objectives of some activities made it difficult to assess performance.</w:t>
      </w:r>
      <w:r w:rsidR="00AA700F" w:rsidRPr="00D517FD">
        <w:t xml:space="preserve"> </w:t>
      </w:r>
    </w:p>
    <w:p w:rsidR="009F3C40" w:rsidRPr="00D517FD" w:rsidRDefault="009F3C40" w:rsidP="005848BD">
      <w:pPr>
        <w:pStyle w:val="BodyText"/>
        <w:sectPr w:rsidR="009F3C40" w:rsidRPr="00D517FD" w:rsidSect="005848BD">
          <w:headerReference w:type="even" r:id="rId29"/>
          <w:headerReference w:type="default" r:id="rId30"/>
          <w:footerReference w:type="even" r:id="rId31"/>
          <w:footerReference w:type="default" r:id="rId32"/>
          <w:pgSz w:w="11907" w:h="16840" w:code="9"/>
          <w:pgMar w:top="2268" w:right="1985" w:bottom="1247" w:left="1985" w:header="567" w:footer="567" w:gutter="0"/>
          <w:cols w:space="720"/>
        </w:sectPr>
      </w:pPr>
    </w:p>
    <w:p w:rsidR="009F3C40" w:rsidRPr="00D517FD" w:rsidRDefault="009F3C40" w:rsidP="005848BD">
      <w:pPr>
        <w:pStyle w:val="Heading1nonumber"/>
      </w:pPr>
      <w:bookmarkStart w:id="15" w:name="_Toc360805208"/>
      <w:r w:rsidRPr="00D517FD">
        <w:lastRenderedPageBreak/>
        <w:t>Country performance</w:t>
      </w:r>
      <w:bookmarkEnd w:id="15"/>
    </w:p>
    <w:p w:rsidR="009F3C40" w:rsidRPr="00D517FD" w:rsidRDefault="009F3C40" w:rsidP="006A3CA6">
      <w:pPr>
        <w:pStyle w:val="1stpara"/>
        <w:spacing w:before="440" w:line="290" w:lineRule="atLeast"/>
      </w:pPr>
      <w:r w:rsidRPr="00D517FD">
        <w:t>China’s remarkable economic transition has generated rapid improvements in many development indicators.</w:t>
      </w:r>
      <w:r w:rsidR="00AA700F" w:rsidRPr="00D517FD">
        <w:t xml:space="preserve"> </w:t>
      </w:r>
      <w:r w:rsidRPr="00D517FD">
        <w:t>It has already attained its poverty reduction MDG and most other MDGs are well in sight. Nevertheless, China will remain a lower</w:t>
      </w:r>
      <w:r w:rsidR="00161101">
        <w:t xml:space="preserve"> </w:t>
      </w:r>
      <w:r w:rsidRPr="00D517FD">
        <w:t>middle-income country for years to come</w:t>
      </w:r>
      <w:r w:rsidR="00161101">
        <w:t>.</w:t>
      </w:r>
      <w:r w:rsidRPr="00D517FD">
        <w:t xml:space="preserve"> </w:t>
      </w:r>
      <w:r w:rsidR="00161101">
        <w:t>A</w:t>
      </w:r>
      <w:r w:rsidRPr="00D517FD">
        <w:t xml:space="preserve">n estimated 128 </w:t>
      </w:r>
      <w:r w:rsidRPr="00D517FD">
        <w:rPr>
          <w:szCs w:val="26"/>
        </w:rPr>
        <w:t xml:space="preserve">million people </w:t>
      </w:r>
      <w:r w:rsidRPr="00D517FD">
        <w:t>live on less than US$1 a day</w:t>
      </w:r>
      <w:r w:rsidRPr="00D517FD">
        <w:rPr>
          <w:szCs w:val="26"/>
        </w:rPr>
        <w:t>.</w:t>
      </w:r>
      <w:r w:rsidR="00AA700F" w:rsidRPr="00D517FD">
        <w:rPr>
          <w:szCs w:val="26"/>
        </w:rPr>
        <w:t xml:space="preserve"> </w:t>
      </w:r>
      <w:r w:rsidRPr="00D517FD">
        <w:rPr>
          <w:szCs w:val="26"/>
        </w:rPr>
        <w:t xml:space="preserve">China also faces challenges relating to the unbalanced, inequitable and potentially unsustainable growth. </w:t>
      </w:r>
    </w:p>
    <w:p w:rsidR="009F3C40" w:rsidRPr="00D517FD" w:rsidRDefault="009F3C40" w:rsidP="006A3CA6">
      <w:pPr>
        <w:pStyle w:val="BodyText"/>
        <w:spacing w:before="150" w:line="290" w:lineRule="atLeast"/>
      </w:pPr>
      <w:r w:rsidRPr="00D517FD">
        <w:t>These challenges demand not only fundamental structural, institutional and legal reform, but measures to address environmental and social vulnerabilities and entrenched poverty in China’s central, western and ethnic minority regions.</w:t>
      </w:r>
      <w:r w:rsidR="00AA700F" w:rsidRPr="00D517FD">
        <w:t xml:space="preserve"> </w:t>
      </w:r>
      <w:r w:rsidRPr="00D517FD">
        <w:t>These challenges have been recogni</w:t>
      </w:r>
      <w:r w:rsidR="00161101">
        <w:t>s</w:t>
      </w:r>
      <w:r w:rsidRPr="00D517FD">
        <w:t>ed in China</w:t>
      </w:r>
      <w:r w:rsidR="00161101">
        <w:t>’</w:t>
      </w:r>
      <w:r w:rsidRPr="00D517FD">
        <w:t>s 11th Five Year Plan (2006</w:t>
      </w:r>
      <w:r w:rsidR="00161101">
        <w:t>–</w:t>
      </w:r>
      <w:r w:rsidRPr="00D517FD">
        <w:t>2010).</w:t>
      </w:r>
      <w:r w:rsidR="00AA700F" w:rsidRPr="00D517FD">
        <w:t xml:space="preserve"> </w:t>
      </w:r>
      <w:r w:rsidRPr="00D517FD">
        <w:t>It is in these areas that Australia seeks to cooperate with China</w:t>
      </w:r>
      <w:r w:rsidR="00161101">
        <w:t xml:space="preserve"> through official development assistance (ODA)</w:t>
      </w:r>
      <w:r w:rsidRPr="00D517FD">
        <w:t>, particularly in the agreed sectors of governance, health and environment.</w:t>
      </w:r>
    </w:p>
    <w:p w:rsidR="009F3C40" w:rsidRPr="00D517FD" w:rsidRDefault="009F3C40" w:rsidP="006A3CA6">
      <w:pPr>
        <w:pStyle w:val="BodyText"/>
        <w:spacing w:before="150" w:line="290" w:lineRule="atLeast"/>
      </w:pPr>
      <w:r w:rsidRPr="00D517FD">
        <w:t>Through its own development, China has unequalled potential to cataly</w:t>
      </w:r>
      <w:r w:rsidR="00161101">
        <w:t>s</w:t>
      </w:r>
      <w:r w:rsidRPr="00D517FD">
        <w:t xml:space="preserve">e development in the Asia-Pacific </w:t>
      </w:r>
      <w:r w:rsidR="00161101">
        <w:t xml:space="preserve">region </w:t>
      </w:r>
      <w:r w:rsidRPr="00D517FD">
        <w:t>and contribute to the global achievement of the MDGs.</w:t>
      </w:r>
      <w:r w:rsidR="00AA700F" w:rsidRPr="00D517FD">
        <w:t xml:space="preserve"> </w:t>
      </w:r>
      <w:r w:rsidRPr="00D517FD">
        <w:t>China’s emergence as a dominant power in the region and its significant and growing influence on development issues and as a donor highlight the increasing importance for Australia of engaging with China in these areas.</w:t>
      </w:r>
    </w:p>
    <w:p w:rsidR="009F3C40" w:rsidRPr="00D517FD" w:rsidRDefault="009F3C40" w:rsidP="006A3CA6">
      <w:pPr>
        <w:pStyle w:val="BodyText"/>
        <w:spacing w:before="150" w:line="290" w:lineRule="atLeast"/>
      </w:pPr>
      <w:r w:rsidRPr="00D517FD">
        <w:t>Australian ODA represents an extremely small fragment of total resources available to China.</w:t>
      </w:r>
      <w:r w:rsidR="00AA700F" w:rsidRPr="00D517FD">
        <w:t xml:space="preserve"> </w:t>
      </w:r>
      <w:r w:rsidRPr="00D517FD">
        <w:t>In 2006</w:t>
      </w:r>
      <w:r w:rsidR="00161101">
        <w:t>–</w:t>
      </w:r>
      <w:r w:rsidRPr="00D517FD">
        <w:t>07, Australian ODA of approximately $42.23</w:t>
      </w:r>
      <w:r w:rsidR="00161101">
        <w:t> </w:t>
      </w:r>
      <w:r w:rsidRPr="00D517FD">
        <w:t>m</w:t>
      </w:r>
      <w:r w:rsidR="00161101">
        <w:t>illion</w:t>
      </w:r>
      <w:r w:rsidRPr="00D517FD">
        <w:t xml:space="preserve"> contributed only 0.032</w:t>
      </w:r>
      <w:r w:rsidR="009F200B" w:rsidRPr="00D517FD">
        <w:t> per cent</w:t>
      </w:r>
      <w:r w:rsidRPr="00D517FD">
        <w:t xml:space="preserve"> of total ODA ($1.3</w:t>
      </w:r>
      <w:r w:rsidR="00161101">
        <w:t> </w:t>
      </w:r>
      <w:r w:rsidRPr="00D517FD">
        <w:t>b</w:t>
      </w:r>
      <w:r w:rsidR="00161101">
        <w:t>ill</w:t>
      </w:r>
      <w:r w:rsidR="00D21845">
        <w:t>i</w:t>
      </w:r>
      <w:r w:rsidR="00161101">
        <w:t>on</w:t>
      </w:r>
      <w:r w:rsidRPr="00D517FD">
        <w:t>) and 0.0014</w:t>
      </w:r>
      <w:r w:rsidR="009F200B" w:rsidRPr="00D517FD">
        <w:t> per cent</w:t>
      </w:r>
      <w:r w:rsidRPr="00D517FD">
        <w:t xml:space="preserve"> of China’s </w:t>
      </w:r>
      <w:r w:rsidR="00161101">
        <w:t>gross domestic product</w:t>
      </w:r>
      <w:r w:rsidR="00161101" w:rsidRPr="00D517FD">
        <w:t xml:space="preserve"> </w:t>
      </w:r>
      <w:r w:rsidRPr="00D517FD">
        <w:t>(</w:t>
      </w:r>
      <w:r w:rsidR="00D21845">
        <w:t>more than</w:t>
      </w:r>
      <w:r w:rsidR="00D21845" w:rsidRPr="00D517FD">
        <w:t xml:space="preserve"> </w:t>
      </w:r>
      <w:r w:rsidRPr="00D517FD">
        <w:t>$3</w:t>
      </w:r>
      <w:r w:rsidR="00161101">
        <w:t> </w:t>
      </w:r>
      <w:r w:rsidRPr="00D517FD">
        <w:t>trillion).</w:t>
      </w:r>
      <w:r w:rsidR="00AA700F" w:rsidRPr="00D517FD">
        <w:t xml:space="preserve"> </w:t>
      </w:r>
      <w:r w:rsidRPr="00D517FD">
        <w:t>In 2007</w:t>
      </w:r>
      <w:r w:rsidR="00161101">
        <w:t>–</w:t>
      </w:r>
      <w:r w:rsidRPr="00D517FD">
        <w:t xml:space="preserve">08, total Australian ODA </w:t>
      </w:r>
      <w:r w:rsidR="00161101">
        <w:t>was an</w:t>
      </w:r>
      <w:r w:rsidR="00161101" w:rsidRPr="00D517FD">
        <w:t xml:space="preserve"> </w:t>
      </w:r>
      <w:r w:rsidRPr="00D517FD">
        <w:t>estimated $39.3</w:t>
      </w:r>
      <w:r w:rsidR="00161101">
        <w:t> </w:t>
      </w:r>
      <w:r w:rsidRPr="00D517FD">
        <w:t>m</w:t>
      </w:r>
      <w:r w:rsidR="00161101">
        <w:t>illion</w:t>
      </w:r>
      <w:r w:rsidRPr="00D517FD">
        <w:t>, with $30</w:t>
      </w:r>
      <w:r w:rsidR="00161101">
        <w:t> </w:t>
      </w:r>
      <w:r w:rsidRPr="00D517FD">
        <w:t>m</w:t>
      </w:r>
      <w:r w:rsidR="00161101">
        <w:t>illion</w:t>
      </w:r>
      <w:r w:rsidRPr="00D517FD">
        <w:t xml:space="preserve"> delivered bilaterally.</w:t>
      </w:r>
      <w:r w:rsidR="00AA700F" w:rsidRPr="00D517FD">
        <w:t xml:space="preserve"> </w:t>
      </w:r>
      <w:r w:rsidRPr="00D517FD">
        <w:t>Grant donors equal to or above Australia’s 2007</w:t>
      </w:r>
      <w:r w:rsidR="00161101">
        <w:t>–</w:t>
      </w:r>
      <w:r w:rsidRPr="00D517FD">
        <w:t>08 funding level (about US$35.4</w:t>
      </w:r>
      <w:r w:rsidR="00161101">
        <w:t> </w:t>
      </w:r>
      <w:r w:rsidRPr="00D517FD">
        <w:t>m</w:t>
      </w:r>
      <w:r w:rsidR="00161101">
        <w:t>illion</w:t>
      </w:r>
      <w:r w:rsidRPr="00D517FD">
        <w:t xml:space="preserve">) include the </w:t>
      </w:r>
      <w:r w:rsidR="00161101">
        <w:t>United Kingdom</w:t>
      </w:r>
      <w:r w:rsidR="00161101" w:rsidRPr="00D517FD">
        <w:t xml:space="preserve"> </w:t>
      </w:r>
      <w:r w:rsidRPr="00D517FD">
        <w:t>(US$70</w:t>
      </w:r>
      <w:r w:rsidR="00161101">
        <w:t> </w:t>
      </w:r>
      <w:r w:rsidRPr="00D517FD">
        <w:t>m</w:t>
      </w:r>
      <w:r w:rsidR="00161101">
        <w:t>illion</w:t>
      </w:r>
      <w:r w:rsidRPr="00D517FD">
        <w:t>), Japan (US$60</w:t>
      </w:r>
      <w:r w:rsidR="00161101">
        <w:t> </w:t>
      </w:r>
      <w:r w:rsidRPr="00D517FD">
        <w:t>m</w:t>
      </w:r>
      <w:r w:rsidR="00161101">
        <w:t>illion</w:t>
      </w:r>
      <w:r w:rsidRPr="00D517FD">
        <w:t>)</w:t>
      </w:r>
      <w:r w:rsidR="00161101">
        <w:t>,</w:t>
      </w:r>
      <w:r w:rsidRPr="00D517FD">
        <w:t xml:space="preserve"> France (US$40</w:t>
      </w:r>
      <w:r w:rsidR="00161101">
        <w:t> </w:t>
      </w:r>
      <w:r w:rsidRPr="00D517FD">
        <w:t>m</w:t>
      </w:r>
      <w:r w:rsidR="00161101">
        <w:t>illion</w:t>
      </w:r>
      <w:r w:rsidRPr="00D517FD">
        <w:t>)</w:t>
      </w:r>
      <w:r w:rsidR="00161101">
        <w:t>,</w:t>
      </w:r>
      <w:r w:rsidRPr="00D517FD">
        <w:t xml:space="preserve"> the </w:t>
      </w:r>
      <w:r w:rsidR="00161101">
        <w:t>United Nations</w:t>
      </w:r>
      <w:r w:rsidR="00161101" w:rsidRPr="00D517FD">
        <w:t xml:space="preserve"> </w:t>
      </w:r>
      <w:r w:rsidRPr="00D517FD">
        <w:t>(US$40</w:t>
      </w:r>
      <w:r w:rsidR="00161101">
        <w:t> </w:t>
      </w:r>
      <w:r w:rsidRPr="00D517FD">
        <w:t>m</w:t>
      </w:r>
      <w:r w:rsidR="00161101">
        <w:t>illion</w:t>
      </w:r>
      <w:r w:rsidRPr="00D517FD">
        <w:t>) and Germany (US$36</w:t>
      </w:r>
      <w:r w:rsidR="00161101">
        <w:t> </w:t>
      </w:r>
      <w:r w:rsidRPr="00D517FD">
        <w:t>m</w:t>
      </w:r>
      <w:r w:rsidR="00161101">
        <w:t>illion</w:t>
      </w:r>
      <w:r w:rsidRPr="00D517FD">
        <w:t>).</w:t>
      </w:r>
      <w:r w:rsidR="00AA700F" w:rsidRPr="00D517FD">
        <w:t xml:space="preserve"> </w:t>
      </w:r>
      <w:r w:rsidR="00161101">
        <w:t xml:space="preserve">The </w:t>
      </w:r>
      <w:r w:rsidRPr="00D517FD">
        <w:t>World Bank</w:t>
      </w:r>
      <w:r w:rsidR="002E5704">
        <w:t>’s</w:t>
      </w:r>
      <w:r w:rsidRPr="00D517FD">
        <w:t xml:space="preserve"> and </w:t>
      </w:r>
      <w:r w:rsidR="00161101">
        <w:t>the Asian Development Bank</w:t>
      </w:r>
      <w:r w:rsidR="002E5704">
        <w:t>’s</w:t>
      </w:r>
      <w:r w:rsidR="00161101" w:rsidRPr="00D517FD">
        <w:t xml:space="preserve"> </w:t>
      </w:r>
      <w:r w:rsidRPr="00D517FD">
        <w:t>annual lending amounted to US$1.5</w:t>
      </w:r>
      <w:r w:rsidR="002E5704">
        <w:t>–</w:t>
      </w:r>
      <w:r w:rsidRPr="00D517FD">
        <w:t>2</w:t>
      </w:r>
      <w:r w:rsidR="002E5704">
        <w:t> </w:t>
      </w:r>
      <w:r w:rsidRPr="00D517FD">
        <w:t>billion and US$1</w:t>
      </w:r>
      <w:r w:rsidR="002E5704">
        <w:t>–</w:t>
      </w:r>
      <w:r w:rsidRPr="00D517FD">
        <w:t>1.5</w:t>
      </w:r>
      <w:r w:rsidR="002E5704">
        <w:t> </w:t>
      </w:r>
      <w:r w:rsidRPr="00D517FD">
        <w:t>billion respectively.</w:t>
      </w:r>
      <w:r w:rsidR="00AA700F" w:rsidRPr="00D517FD">
        <w:t xml:space="preserve"> </w:t>
      </w:r>
      <w:r w:rsidRPr="00D517FD">
        <w:t>Japan provided loans worth almost US$1</w:t>
      </w:r>
      <w:r w:rsidR="002E5704">
        <w:t> </w:t>
      </w:r>
      <w:r w:rsidRPr="00D517FD">
        <w:t>billion in 2006, but terminate</w:t>
      </w:r>
      <w:r w:rsidR="002E5704">
        <w:t>d</w:t>
      </w:r>
      <w:r w:rsidRPr="00D517FD">
        <w:t xml:space="preserve"> the extension of all new loans in 2008. </w:t>
      </w:r>
      <w:r w:rsidR="002E5704">
        <w:t xml:space="preserve">Both </w:t>
      </w:r>
      <w:r w:rsidRPr="00D517FD">
        <w:t xml:space="preserve">France and Germany, the largest bilateral lenders, are currently providing loans </w:t>
      </w:r>
      <w:r w:rsidR="002E5704">
        <w:t>exceeding</w:t>
      </w:r>
      <w:r w:rsidRPr="00D517FD">
        <w:t xml:space="preserve"> US$200 million </w:t>
      </w:r>
      <w:r w:rsidR="002E5704">
        <w:t>a</w:t>
      </w:r>
      <w:r w:rsidR="002E5704" w:rsidRPr="00D517FD">
        <w:t xml:space="preserve"> </w:t>
      </w:r>
      <w:r w:rsidRPr="00D517FD">
        <w:t>year.</w:t>
      </w:r>
    </w:p>
    <w:p w:rsidR="009F3C40" w:rsidRPr="00D517FD" w:rsidRDefault="009F3C40" w:rsidP="006A3CA6">
      <w:pPr>
        <w:pStyle w:val="BodyText"/>
        <w:spacing w:before="150" w:line="290" w:lineRule="atLeast"/>
      </w:pPr>
      <w:r w:rsidRPr="00D517FD">
        <w:t>In 2006</w:t>
      </w:r>
      <w:r w:rsidR="002E5704">
        <w:t>–</w:t>
      </w:r>
      <w:r w:rsidRPr="00D517FD">
        <w:t xml:space="preserve">07, </w:t>
      </w:r>
      <w:bookmarkStart w:id="16" w:name="OLE_LINK9"/>
      <w:bookmarkStart w:id="17" w:name="OLE_LINK10"/>
      <w:r w:rsidRPr="00D517FD">
        <w:t>Australian ODA channel</w:t>
      </w:r>
      <w:r w:rsidR="002E5704">
        <w:t>l</w:t>
      </w:r>
      <w:r w:rsidRPr="00D517FD">
        <w:t xml:space="preserve">ed through </w:t>
      </w:r>
      <w:r w:rsidR="002E5704" w:rsidRPr="00D517FD">
        <w:t xml:space="preserve">regional and global programs </w:t>
      </w:r>
      <w:r w:rsidRPr="00D517FD">
        <w:t xml:space="preserve">and </w:t>
      </w:r>
      <w:r w:rsidR="002E5704" w:rsidRPr="00D517FD">
        <w:t xml:space="preserve">other government </w:t>
      </w:r>
      <w:r w:rsidR="002E5704" w:rsidRPr="002E5704">
        <w:t xml:space="preserve">departments </w:t>
      </w:r>
      <w:bookmarkEnd w:id="16"/>
      <w:bookmarkEnd w:id="17"/>
      <w:r w:rsidRPr="002E5704">
        <w:t>was</w:t>
      </w:r>
      <w:r w:rsidRPr="00D517FD">
        <w:t xml:space="preserve"> approximately $7</w:t>
      </w:r>
      <w:r w:rsidR="002E5704">
        <w:t> </w:t>
      </w:r>
      <w:r w:rsidRPr="00D517FD">
        <w:t>m</w:t>
      </w:r>
      <w:r w:rsidR="002E5704">
        <w:t>illion,</w:t>
      </w:r>
      <w:r w:rsidRPr="00D517FD">
        <w:t xml:space="preserve"> 16</w:t>
      </w:r>
      <w:r w:rsidR="009F200B" w:rsidRPr="00D517FD">
        <w:t> per cent</w:t>
      </w:r>
      <w:r w:rsidRPr="00D517FD">
        <w:t xml:space="preserve"> of total ODA.</w:t>
      </w:r>
      <w:r w:rsidR="00AA700F" w:rsidRPr="00D517FD">
        <w:t xml:space="preserve"> </w:t>
      </w:r>
    </w:p>
    <w:p w:rsidR="009F3C40" w:rsidRPr="00D517FD" w:rsidRDefault="009F3C40" w:rsidP="006A3CA6">
      <w:pPr>
        <w:pStyle w:val="Heading2nonumber"/>
        <w:spacing w:before="340"/>
      </w:pPr>
      <w:bookmarkStart w:id="18" w:name="_Toc360805209"/>
      <w:r w:rsidRPr="00D517FD">
        <w:t>Health</w:t>
      </w:r>
      <w:bookmarkEnd w:id="18"/>
    </w:p>
    <w:p w:rsidR="009F3C40" w:rsidRPr="00D517FD" w:rsidRDefault="009F3C40" w:rsidP="006A3CA6">
      <w:pPr>
        <w:pStyle w:val="BodyText"/>
        <w:spacing w:before="150" w:line="290" w:lineRule="atLeast"/>
      </w:pPr>
      <w:r w:rsidRPr="00D517FD">
        <w:t xml:space="preserve">China is tracking well to achieve its HIV/AIDS, malaria and maternal mortality MDGs, but may not achieve its </w:t>
      </w:r>
      <w:r w:rsidR="002E5704">
        <w:t>tuberculosis</w:t>
      </w:r>
      <w:r w:rsidR="002E5704" w:rsidRPr="00D517FD">
        <w:t xml:space="preserve"> </w:t>
      </w:r>
      <w:r w:rsidRPr="00D517FD">
        <w:t>and child mortality targets.</w:t>
      </w:r>
      <w:r w:rsidR="00AA700F" w:rsidRPr="00D517FD">
        <w:t xml:space="preserve"> </w:t>
      </w:r>
      <w:r w:rsidRPr="00D517FD">
        <w:t>China’s public health system, the largest in the world, is undergoing massive, fundamental reform in areas such</w:t>
      </w:r>
      <w:r w:rsidR="006A3CA6">
        <w:t> </w:t>
      </w:r>
      <w:r w:rsidRPr="00D517FD">
        <w:t>as health systems strengthening, rural health services and urban health care financing and</w:t>
      </w:r>
      <w:r w:rsidR="006A3CA6">
        <w:t xml:space="preserve"> </w:t>
      </w:r>
      <w:r w:rsidRPr="00D517FD">
        <w:t>delivery.</w:t>
      </w:r>
      <w:r w:rsidR="00AA700F" w:rsidRPr="00D517FD">
        <w:t xml:space="preserve"> </w:t>
      </w:r>
    </w:p>
    <w:p w:rsidR="009F3C40" w:rsidRPr="00D517FD" w:rsidRDefault="009F3C40" w:rsidP="006A3CA6">
      <w:pPr>
        <w:pStyle w:val="BodyText"/>
        <w:spacing w:line="290" w:lineRule="atLeast"/>
      </w:pPr>
      <w:r w:rsidRPr="00D517FD">
        <w:lastRenderedPageBreak/>
        <w:t xml:space="preserve">Health insurance is being adopted, but this does not address inefficient </w:t>
      </w:r>
      <w:r w:rsidR="002E5704">
        <w:t xml:space="preserve">funding of </w:t>
      </w:r>
      <w:r w:rsidRPr="00D517FD">
        <w:t>health institution</w:t>
      </w:r>
      <w:r w:rsidR="002E5704">
        <w:t>s</w:t>
      </w:r>
      <w:r w:rsidRPr="00D517FD">
        <w:t xml:space="preserve">, including in </w:t>
      </w:r>
      <w:r w:rsidR="0065776A">
        <w:t xml:space="preserve">such </w:t>
      </w:r>
      <w:r w:rsidRPr="00D517FD">
        <w:t>critical areas as maternal and child health.</w:t>
      </w:r>
      <w:r w:rsidR="00AA700F" w:rsidRPr="00D517FD">
        <w:t xml:space="preserve"> </w:t>
      </w:r>
      <w:r w:rsidRPr="00D517FD">
        <w:t>China does not have a strong system for monitoring and improving the quality of care, and there are significant structural deficiencies in health care education and training.</w:t>
      </w:r>
      <w:r w:rsidR="00AA700F" w:rsidRPr="00D517FD">
        <w:t xml:space="preserve"> </w:t>
      </w:r>
    </w:p>
    <w:p w:rsidR="009F3C40" w:rsidRPr="00D517FD" w:rsidRDefault="009F3C40" w:rsidP="006A3CA6">
      <w:pPr>
        <w:pStyle w:val="BodyText"/>
        <w:spacing w:line="290" w:lineRule="atLeast"/>
      </w:pPr>
      <w:r w:rsidRPr="00D517FD">
        <w:t>The main causes of premature death and disability among the poor are inadequate water and indoor air quality</w:t>
      </w:r>
      <w:r w:rsidR="004F5578">
        <w:t>,</w:t>
      </w:r>
      <w:r w:rsidRPr="00D517FD">
        <w:t xml:space="preserve"> poor sanitation</w:t>
      </w:r>
      <w:r w:rsidR="004F5578">
        <w:t>,</w:t>
      </w:r>
      <w:r w:rsidRPr="00D517FD">
        <w:t xml:space="preserve"> nutritional deficiencies</w:t>
      </w:r>
      <w:r w:rsidR="004F5578">
        <w:t>,</w:t>
      </w:r>
      <w:r w:rsidRPr="00D517FD">
        <w:t xml:space="preserve"> and </w:t>
      </w:r>
      <w:r w:rsidR="004F5578">
        <w:t xml:space="preserve">the </w:t>
      </w:r>
      <w:r w:rsidRPr="00D517FD">
        <w:t>lack of access to primary health care services.</w:t>
      </w:r>
      <w:r w:rsidR="00AA700F" w:rsidRPr="00D517FD">
        <w:t xml:space="preserve"> </w:t>
      </w:r>
      <w:r w:rsidRPr="00D517FD">
        <w:t>Non-communicable diseases are a growing problem, though the very poor are disproportionately affected by communicable diseases, injuries and maternal and child health risks. China is a major site for new emerging infectious diseases, but local disease control centres have limited capacity.</w:t>
      </w:r>
      <w:r w:rsidR="00AA700F" w:rsidRPr="00D517FD">
        <w:t xml:space="preserve"> </w:t>
      </w:r>
      <w:r w:rsidRPr="00D517FD">
        <w:t xml:space="preserve">HIV occurs throughout China, but prevention and treatment among most-at-risk groups </w:t>
      </w:r>
      <w:r w:rsidR="004F5578">
        <w:t>are</w:t>
      </w:r>
      <w:r w:rsidR="004F5578" w:rsidRPr="00D517FD">
        <w:t xml:space="preserve"> </w:t>
      </w:r>
      <w:r w:rsidRPr="00D517FD">
        <w:t>limited.</w:t>
      </w:r>
    </w:p>
    <w:p w:rsidR="009F3C40" w:rsidRPr="00D517FD" w:rsidRDefault="009F3C40" w:rsidP="009E2958">
      <w:pPr>
        <w:pStyle w:val="Heading2nonumber"/>
        <w:spacing w:before="340"/>
      </w:pPr>
      <w:bookmarkStart w:id="19" w:name="_Toc360805210"/>
      <w:r w:rsidRPr="00D517FD">
        <w:t>Environment</w:t>
      </w:r>
      <w:bookmarkEnd w:id="19"/>
    </w:p>
    <w:p w:rsidR="009F3C40" w:rsidRPr="00D517FD" w:rsidRDefault="009F3C40" w:rsidP="006A3CA6">
      <w:pPr>
        <w:pStyle w:val="BodyText"/>
        <w:spacing w:line="290" w:lineRule="atLeast"/>
      </w:pPr>
      <w:r w:rsidRPr="00D517FD">
        <w:t xml:space="preserve">China is on track to achieve its </w:t>
      </w:r>
      <w:r w:rsidR="006A5B2B">
        <w:t xml:space="preserve">MDG targets for </w:t>
      </w:r>
      <w:r w:rsidRPr="00D517FD">
        <w:t>safe drinking water and improved sanitation, but may not achieve its sustainable development target.</w:t>
      </w:r>
      <w:r w:rsidR="00AA700F" w:rsidRPr="00D517FD">
        <w:t xml:space="preserve"> </w:t>
      </w:r>
      <w:r w:rsidRPr="00D517FD">
        <w:t>China faces pressing environmental challenges</w:t>
      </w:r>
      <w:r w:rsidR="0065776A">
        <w:t>,</w:t>
      </w:r>
      <w:r w:rsidRPr="00D517FD">
        <w:t xml:space="preserve"> including widespread water pollution and scarcity</w:t>
      </w:r>
      <w:r w:rsidR="0065776A">
        <w:t>,</w:t>
      </w:r>
      <w:r w:rsidRPr="00D517FD">
        <w:t xml:space="preserve"> desertification, land degradation</w:t>
      </w:r>
      <w:r w:rsidR="0065776A">
        <w:t>,</w:t>
      </w:r>
      <w:r w:rsidRPr="00D517FD">
        <w:t xml:space="preserve"> loss of biodiversity</w:t>
      </w:r>
      <w:r w:rsidR="0065776A">
        <w:t>,</w:t>
      </w:r>
      <w:r w:rsidRPr="00D517FD">
        <w:t xml:space="preserve"> increasing municipal, industrial and hazardous waste</w:t>
      </w:r>
      <w:r w:rsidR="0065776A">
        <w:t>,</w:t>
      </w:r>
      <w:r w:rsidRPr="00D517FD">
        <w:t xml:space="preserve"> air pollution and climate change.</w:t>
      </w:r>
      <w:r w:rsidR="00AA700F" w:rsidRPr="00D517FD">
        <w:t xml:space="preserve"> </w:t>
      </w:r>
      <w:r w:rsidRPr="00D517FD">
        <w:t>Nearly 40</w:t>
      </w:r>
      <w:r w:rsidR="009F200B" w:rsidRPr="00D517FD">
        <w:t> per cent</w:t>
      </w:r>
      <w:r w:rsidRPr="00D517FD">
        <w:t xml:space="preserve"> of China’s land is eroded and 10</w:t>
      </w:r>
      <w:r w:rsidR="009F200B" w:rsidRPr="00D517FD">
        <w:t> per cent</w:t>
      </w:r>
      <w:r w:rsidRPr="00D517FD">
        <w:t xml:space="preserve"> of arable land </w:t>
      </w:r>
      <w:r w:rsidR="0065776A">
        <w:t xml:space="preserve">is </w:t>
      </w:r>
      <w:r w:rsidRPr="00D517FD">
        <w:t>polluted; 60</w:t>
      </w:r>
      <w:r w:rsidR="009F200B" w:rsidRPr="00D517FD">
        <w:t> per cent</w:t>
      </w:r>
      <w:r w:rsidRPr="00D517FD">
        <w:t xml:space="preserve"> of monitored rivers are too polluted for public use and three major lakes have serious eutrophic problems; about 60</w:t>
      </w:r>
      <w:r w:rsidR="009F200B" w:rsidRPr="00D517FD">
        <w:t> per cent</w:t>
      </w:r>
      <w:r w:rsidRPr="00D517FD">
        <w:t xml:space="preserve"> of cities do not meet minimum standards for air quality and have no centrali</w:t>
      </w:r>
      <w:r w:rsidR="004656B5">
        <w:t>s</w:t>
      </w:r>
      <w:r w:rsidRPr="00D517FD">
        <w:t>ed wastewater treatment; acid rain falls on one</w:t>
      </w:r>
      <w:r w:rsidR="004656B5">
        <w:t>-</w:t>
      </w:r>
      <w:r w:rsidRPr="00D517FD">
        <w:t>third of the country; and greenhouse gas emissions are a major national and international threat.</w:t>
      </w:r>
    </w:p>
    <w:p w:rsidR="009F3C40" w:rsidRPr="00D517FD" w:rsidRDefault="009F3C40" w:rsidP="006A3CA6">
      <w:pPr>
        <w:pStyle w:val="BodyText"/>
        <w:spacing w:line="290" w:lineRule="atLeast"/>
      </w:pPr>
      <w:r w:rsidRPr="00D517FD">
        <w:t xml:space="preserve">The OECD’s 2007 </w:t>
      </w:r>
      <w:r w:rsidR="0065776A" w:rsidRPr="00D517FD">
        <w:t xml:space="preserve">environmental performance review </w:t>
      </w:r>
      <w:r w:rsidRPr="00D517FD">
        <w:t xml:space="preserve">of China and the State Council’s own </w:t>
      </w:r>
      <w:r w:rsidR="004656B5">
        <w:t>‘</w:t>
      </w:r>
      <w:r w:rsidRPr="00D517FD">
        <w:t>think tank</w:t>
      </w:r>
      <w:r w:rsidR="004656B5">
        <w:t>’</w:t>
      </w:r>
      <w:r w:rsidRPr="00D517FD">
        <w:t>, the China Council for International Cooperation on Environment and Development, found that China’s efforts to tackle its environmental challenges have not had the required effect. Despite the elevation of the State Environment Protection Authority to ministerial level, China does not have an integrated approach to monitoring and managing its environment.</w:t>
      </w:r>
      <w:r w:rsidR="00AA700F" w:rsidRPr="00D517FD">
        <w:t xml:space="preserve"> </w:t>
      </w:r>
      <w:r w:rsidRPr="00D517FD">
        <w:t xml:space="preserve">Responsibilities are divided among a minimum of nine ministries and countless </w:t>
      </w:r>
      <w:r w:rsidR="004656B5" w:rsidRPr="00D517FD">
        <w:t xml:space="preserve">commissions </w:t>
      </w:r>
      <w:r w:rsidRPr="00D517FD">
        <w:t>and provincial offices.</w:t>
      </w:r>
      <w:r w:rsidR="00AA700F" w:rsidRPr="00D517FD">
        <w:t xml:space="preserve"> </w:t>
      </w:r>
      <w:r w:rsidRPr="00D517FD">
        <w:t>The implementation gap between levels of government has resulted in a failure to achieve key environmental policy outcomes.</w:t>
      </w:r>
    </w:p>
    <w:p w:rsidR="009F3C40" w:rsidRPr="00D517FD" w:rsidRDefault="009F3C40" w:rsidP="009E2958">
      <w:pPr>
        <w:pStyle w:val="Heading2nonumber"/>
        <w:spacing w:before="340"/>
      </w:pPr>
      <w:bookmarkStart w:id="20" w:name="_Toc360805211"/>
      <w:r w:rsidRPr="00D517FD">
        <w:t>Governance</w:t>
      </w:r>
      <w:bookmarkEnd w:id="20"/>
    </w:p>
    <w:p w:rsidR="009F3C40" w:rsidRPr="004656B5" w:rsidRDefault="009F3C40" w:rsidP="006A3CA6">
      <w:pPr>
        <w:pStyle w:val="BodyText"/>
        <w:spacing w:line="290" w:lineRule="atLeast"/>
        <w:rPr>
          <w:spacing w:val="-2"/>
        </w:rPr>
      </w:pPr>
      <w:r w:rsidRPr="004656B5">
        <w:rPr>
          <w:spacing w:val="-2"/>
        </w:rPr>
        <w:t>Economic reform, particularly the introduction of market systems and economic openness, has been the linchpin of Chin</w:t>
      </w:r>
      <w:r w:rsidR="004656B5" w:rsidRPr="004656B5">
        <w:rPr>
          <w:spacing w:val="-2"/>
        </w:rPr>
        <w:t>a’s</w:t>
      </w:r>
      <w:r w:rsidRPr="004656B5">
        <w:rPr>
          <w:spacing w:val="-2"/>
        </w:rPr>
        <w:t xml:space="preserve"> efforts to maintain stability and improve </w:t>
      </w:r>
      <w:r w:rsidR="0065776A">
        <w:rPr>
          <w:spacing w:val="-2"/>
        </w:rPr>
        <w:t>its people’s</w:t>
      </w:r>
      <w:r w:rsidR="004656B5" w:rsidRPr="004656B5">
        <w:rPr>
          <w:spacing w:val="-2"/>
        </w:rPr>
        <w:t xml:space="preserve"> </w:t>
      </w:r>
      <w:r w:rsidRPr="004656B5">
        <w:rPr>
          <w:spacing w:val="-2"/>
        </w:rPr>
        <w:t>quality of life.</w:t>
      </w:r>
      <w:r w:rsidR="00AA700F" w:rsidRPr="004656B5">
        <w:rPr>
          <w:spacing w:val="-2"/>
        </w:rPr>
        <w:t xml:space="preserve"> </w:t>
      </w:r>
      <w:r w:rsidRPr="004656B5">
        <w:rPr>
          <w:spacing w:val="-2"/>
        </w:rPr>
        <w:t xml:space="preserve">However, there are increasing </w:t>
      </w:r>
      <w:r w:rsidR="0065776A">
        <w:rPr>
          <w:spacing w:val="-2"/>
        </w:rPr>
        <w:t xml:space="preserve">quality-of-life </w:t>
      </w:r>
      <w:r w:rsidRPr="004656B5">
        <w:rPr>
          <w:spacing w:val="-2"/>
        </w:rPr>
        <w:t>gaps between rich and poor</w:t>
      </w:r>
      <w:r w:rsidR="004656B5" w:rsidRPr="004656B5">
        <w:rPr>
          <w:spacing w:val="-2"/>
        </w:rPr>
        <w:t xml:space="preserve"> people</w:t>
      </w:r>
      <w:r w:rsidRPr="004656B5">
        <w:rPr>
          <w:spacing w:val="-2"/>
        </w:rPr>
        <w:t>, rural and urban</w:t>
      </w:r>
      <w:r w:rsidR="004656B5" w:rsidRPr="004656B5">
        <w:rPr>
          <w:spacing w:val="-2"/>
        </w:rPr>
        <w:t xml:space="preserve"> </w:t>
      </w:r>
      <w:r w:rsidR="0065776A">
        <w:rPr>
          <w:spacing w:val="-2"/>
        </w:rPr>
        <w:t>areas and</w:t>
      </w:r>
      <w:r w:rsidRPr="004656B5">
        <w:rPr>
          <w:spacing w:val="-2"/>
        </w:rPr>
        <w:t xml:space="preserve"> coastal and interior </w:t>
      </w:r>
      <w:r w:rsidR="004656B5" w:rsidRPr="004656B5">
        <w:rPr>
          <w:spacing w:val="-2"/>
        </w:rPr>
        <w:t xml:space="preserve">areas, </w:t>
      </w:r>
      <w:r w:rsidR="009E2958">
        <w:rPr>
          <w:spacing w:val="-2"/>
        </w:rPr>
        <w:t>because of increasing differences</w:t>
      </w:r>
      <w:r w:rsidR="009E2958" w:rsidRPr="004656B5">
        <w:rPr>
          <w:spacing w:val="-2"/>
        </w:rPr>
        <w:t xml:space="preserve"> </w:t>
      </w:r>
      <w:r w:rsidR="009E2958">
        <w:rPr>
          <w:spacing w:val="-2"/>
        </w:rPr>
        <w:t xml:space="preserve">in </w:t>
      </w:r>
      <w:r w:rsidRPr="004656B5">
        <w:rPr>
          <w:spacing w:val="-2"/>
        </w:rPr>
        <w:t>economic development and environmental protection</w:t>
      </w:r>
      <w:r w:rsidR="009E2958">
        <w:rPr>
          <w:spacing w:val="-2"/>
        </w:rPr>
        <w:t xml:space="preserve"> within China</w:t>
      </w:r>
      <w:r w:rsidRPr="004656B5">
        <w:rPr>
          <w:spacing w:val="-2"/>
        </w:rPr>
        <w:t>.</w:t>
      </w:r>
      <w:r w:rsidR="00AA700F" w:rsidRPr="004656B5">
        <w:rPr>
          <w:spacing w:val="-2"/>
        </w:rPr>
        <w:t xml:space="preserve"> </w:t>
      </w:r>
      <w:r w:rsidRPr="004656B5">
        <w:rPr>
          <w:spacing w:val="-2"/>
        </w:rPr>
        <w:t xml:space="preserve">There are also ongoing challenges related to human rights, especially for migrant workers, women and ethnic minorities, </w:t>
      </w:r>
      <w:r w:rsidR="004656B5" w:rsidRPr="004656B5">
        <w:rPr>
          <w:spacing w:val="-2"/>
        </w:rPr>
        <w:t>because of</w:t>
      </w:r>
      <w:r w:rsidRPr="004656B5">
        <w:rPr>
          <w:spacing w:val="-2"/>
        </w:rPr>
        <w:t xml:space="preserve"> the unfinished nature of China’s governance reforms.</w:t>
      </w:r>
      <w:r w:rsidR="00AA700F" w:rsidRPr="004656B5">
        <w:rPr>
          <w:spacing w:val="-2"/>
        </w:rPr>
        <w:t xml:space="preserve"> </w:t>
      </w:r>
      <w:r w:rsidRPr="004656B5">
        <w:rPr>
          <w:spacing w:val="-2"/>
        </w:rPr>
        <w:t>Economic growth is unlikely to solve these problems without an accelerated program of comprehensive structural and institution reform.</w:t>
      </w:r>
      <w:r w:rsidR="00AA700F" w:rsidRPr="004656B5">
        <w:rPr>
          <w:spacing w:val="-2"/>
        </w:rPr>
        <w:t xml:space="preserve"> </w:t>
      </w:r>
    </w:p>
    <w:p w:rsidR="009F3C40" w:rsidRPr="00D517FD" w:rsidRDefault="009F3C40" w:rsidP="005848BD">
      <w:pPr>
        <w:pStyle w:val="BodyText"/>
        <w:sectPr w:rsidR="009F3C40" w:rsidRPr="00D517FD" w:rsidSect="005848BD">
          <w:headerReference w:type="even" r:id="rId33"/>
          <w:headerReference w:type="default" r:id="rId34"/>
          <w:footerReference w:type="even" r:id="rId35"/>
          <w:footerReference w:type="default" r:id="rId36"/>
          <w:pgSz w:w="11907" w:h="16840" w:code="9"/>
          <w:pgMar w:top="2268" w:right="1985" w:bottom="1247" w:left="1985" w:header="567" w:footer="567" w:gutter="0"/>
          <w:cols w:space="720"/>
        </w:sectPr>
      </w:pPr>
    </w:p>
    <w:p w:rsidR="009F3C40" w:rsidRPr="00D517FD" w:rsidRDefault="009E2958" w:rsidP="005848BD">
      <w:pPr>
        <w:pStyle w:val="Heading1nonumber"/>
      </w:pPr>
      <w:bookmarkStart w:id="21" w:name="_Toc360805212"/>
      <w:r>
        <w:lastRenderedPageBreak/>
        <w:t>What are t</w:t>
      </w:r>
      <w:r w:rsidR="009F3C40" w:rsidRPr="00D517FD">
        <w:t xml:space="preserve">he results of </w:t>
      </w:r>
      <w:r w:rsidR="00541371">
        <w:t>the China</w:t>
      </w:r>
      <w:r w:rsidR="00541371" w:rsidRPr="00D517FD">
        <w:t xml:space="preserve"> </w:t>
      </w:r>
      <w:r w:rsidR="009F3C40" w:rsidRPr="00D517FD">
        <w:t>aid program</w:t>
      </w:r>
      <w:r>
        <w:t>?</w:t>
      </w:r>
      <w:bookmarkEnd w:id="21"/>
    </w:p>
    <w:p w:rsidR="009F3C40" w:rsidRPr="00D517FD" w:rsidRDefault="009F3C40" w:rsidP="009F3C40">
      <w:pPr>
        <w:pStyle w:val="Heading2nonumber"/>
      </w:pPr>
      <w:bookmarkStart w:id="22" w:name="_Toc360805213"/>
      <w:r w:rsidRPr="00D517FD">
        <w:t>Strategic principles</w:t>
      </w:r>
      <w:bookmarkEnd w:id="22"/>
    </w:p>
    <w:p w:rsidR="009F3C40" w:rsidRPr="00D517FD" w:rsidRDefault="009F3C40" w:rsidP="009F3C40">
      <w:pPr>
        <w:pStyle w:val="BodyText"/>
      </w:pPr>
      <w:r w:rsidRPr="00D517FD">
        <w:t xml:space="preserve">An important result almost midway through the current strategy </w:t>
      </w:r>
      <w:r w:rsidR="00E432E7">
        <w:t>i</w:t>
      </w:r>
      <w:r w:rsidR="00F84AD9">
        <w:t>s</w:t>
      </w:r>
      <w:r w:rsidRPr="00D517FD">
        <w:t xml:space="preserve"> the success of the key principles written into the strategy </w:t>
      </w:r>
      <w:r w:rsidR="005B1D9E">
        <w:t xml:space="preserve">to </w:t>
      </w:r>
      <w:r w:rsidRPr="00D517FD">
        <w:t>guid</w:t>
      </w:r>
      <w:r w:rsidR="005B1D9E">
        <w:t>e</w:t>
      </w:r>
      <w:r w:rsidRPr="00D517FD">
        <w:t xml:space="preserve"> activity development and implementation.</w:t>
      </w:r>
    </w:p>
    <w:p w:rsidR="009F3C40" w:rsidRPr="00D517FD" w:rsidRDefault="009F3C40" w:rsidP="00E02725">
      <w:pPr>
        <w:pStyle w:val="ListBullet"/>
      </w:pPr>
      <w:r w:rsidRPr="00D517FD">
        <w:t>There has been a clear shift to higher-level engagement centred on policy, planning and management, particularly at the national level, with a facility established in each of the three priority sectors</w:t>
      </w:r>
      <w:r w:rsidR="00A55902">
        <w:t>—health, environment and governance</w:t>
      </w:r>
      <w:r w:rsidRPr="00D517FD">
        <w:t>.</w:t>
      </w:r>
      <w:r w:rsidR="00AA700F" w:rsidRPr="00D517FD">
        <w:t xml:space="preserve"> </w:t>
      </w:r>
    </w:p>
    <w:p w:rsidR="009F3C40" w:rsidRPr="00D517FD" w:rsidRDefault="009F3C40" w:rsidP="00E02725">
      <w:pPr>
        <w:pStyle w:val="ListBullet"/>
      </w:pPr>
      <w:r w:rsidRPr="00D517FD">
        <w:t>Existing geographic</w:t>
      </w:r>
      <w:r w:rsidR="00F84AD9">
        <w:t>-</w:t>
      </w:r>
      <w:r w:rsidRPr="00D517FD">
        <w:t>focused activities in the provinces have been phased out.</w:t>
      </w:r>
    </w:p>
    <w:p w:rsidR="009F3C40" w:rsidRPr="00D517FD" w:rsidRDefault="009F3C40" w:rsidP="00E02725">
      <w:pPr>
        <w:pStyle w:val="ListBullet"/>
      </w:pPr>
      <w:r w:rsidRPr="00D517FD">
        <w:t xml:space="preserve">Activity selection and implementation through the </w:t>
      </w:r>
      <w:r w:rsidR="00A55902">
        <w:t xml:space="preserve">health, environment and governance </w:t>
      </w:r>
      <w:r w:rsidRPr="00D517FD">
        <w:t xml:space="preserve">facilities </w:t>
      </w:r>
      <w:r w:rsidR="005B1D9E">
        <w:t xml:space="preserve">have </w:t>
      </w:r>
      <w:r w:rsidRPr="00D517FD">
        <w:t>demonstrated flexibility and responsiveness to China’s evolving priorities.</w:t>
      </w:r>
    </w:p>
    <w:p w:rsidR="009F3C40" w:rsidRPr="00D517FD" w:rsidRDefault="009F3C40" w:rsidP="00E02725">
      <w:pPr>
        <w:pStyle w:val="ListBullet"/>
      </w:pPr>
      <w:r w:rsidRPr="00D517FD">
        <w:t xml:space="preserve">The program has drawn increasingly on the expertise of other Australian </w:t>
      </w:r>
      <w:r w:rsidR="00873A33" w:rsidRPr="00D517FD">
        <w:t xml:space="preserve">government </w:t>
      </w:r>
      <w:r w:rsidRPr="00D517FD">
        <w:t>agencies in developing partnerships under the three facilities.</w:t>
      </w:r>
    </w:p>
    <w:p w:rsidR="009F3C40" w:rsidRPr="00D517FD" w:rsidRDefault="009F3C40" w:rsidP="009F3C40">
      <w:pPr>
        <w:pStyle w:val="BodyText"/>
      </w:pPr>
      <w:r w:rsidRPr="00D517FD">
        <w:t>However, the program has not been as successful in increasingly link</w:t>
      </w:r>
      <w:r w:rsidR="00375C4C">
        <w:t>ing</w:t>
      </w:r>
      <w:r w:rsidRPr="00D517FD">
        <w:t xml:space="preserve"> Australia’s development cooperation with China with regional and international policy priorities</w:t>
      </w:r>
      <w:r w:rsidR="005B1D9E">
        <w:t xml:space="preserve"> (</w:t>
      </w:r>
      <w:r w:rsidR="005B1D9E" w:rsidRPr="00D517FD">
        <w:t>as discussed under Objective</w:t>
      </w:r>
      <w:r w:rsidR="005B1D9E">
        <w:t> </w:t>
      </w:r>
      <w:r w:rsidR="005B1D9E" w:rsidRPr="00D517FD">
        <w:t>3</w:t>
      </w:r>
      <w:r w:rsidR="005B1D9E">
        <w:t>)</w:t>
      </w:r>
      <w:r w:rsidRPr="00D517FD">
        <w:t xml:space="preserve">. The exception is the health program, which incorporates a clear focus on </w:t>
      </w:r>
      <w:proofErr w:type="spellStart"/>
      <w:r w:rsidRPr="00D517FD">
        <w:t>transboundary</w:t>
      </w:r>
      <w:proofErr w:type="spellEnd"/>
      <w:r w:rsidRPr="00D517FD">
        <w:t xml:space="preserve"> threats (</w:t>
      </w:r>
      <w:r w:rsidR="002E5704" w:rsidRPr="00D517FD">
        <w:t>emerging infectious diseases</w:t>
      </w:r>
      <w:r w:rsidR="002E5704">
        <w:t xml:space="preserve"> </w:t>
      </w:r>
      <w:r w:rsidRPr="00D517FD">
        <w:t>and HIV/AIDS) and is pursuing cross-border activities and exchanges with neighbouring countries.</w:t>
      </w:r>
    </w:p>
    <w:p w:rsidR="009F3C40" w:rsidRPr="00D517FD" w:rsidRDefault="009F3C40" w:rsidP="00C42A19">
      <w:pPr>
        <w:pStyle w:val="Heading2nonumber"/>
      </w:pPr>
      <w:bookmarkStart w:id="23" w:name="_Toc360805214"/>
      <w:r w:rsidRPr="00D517FD">
        <w:rPr>
          <w:color w:val="auto"/>
        </w:rPr>
        <w:t xml:space="preserve">Objective </w:t>
      </w:r>
      <w:r w:rsidR="00C42A19" w:rsidRPr="00D517FD">
        <w:rPr>
          <w:color w:val="auto"/>
        </w:rPr>
        <w:t>1</w:t>
      </w:r>
      <w:proofErr w:type="gramStart"/>
      <w:r w:rsidR="00C42A19" w:rsidRPr="00D517FD">
        <w:rPr>
          <w:color w:val="auto"/>
        </w:rPr>
        <w:t>:</w:t>
      </w:r>
      <w:proofErr w:type="gramEnd"/>
      <w:r w:rsidR="00C42A19" w:rsidRPr="00D517FD">
        <w:br/>
        <w:t>Build capacity in selected sectors in China, in particular governance, environment and health</w:t>
      </w:r>
      <w:bookmarkEnd w:id="23"/>
    </w:p>
    <w:p w:rsidR="009F3C40" w:rsidRPr="00D517FD" w:rsidRDefault="00C42A19" w:rsidP="00C42A19">
      <w:pPr>
        <w:pStyle w:val="Heading3nonumber"/>
      </w:pPr>
      <w:r w:rsidRPr="00D517FD">
        <w:t>RAting</w:t>
      </w:r>
    </w:p>
    <w:p w:rsidR="00C42A19" w:rsidRPr="00D517FD" w:rsidRDefault="00EF018F" w:rsidP="00C42A19">
      <w:pPr>
        <w:pStyle w:val="HighlightBulletGreen"/>
        <w:tabs>
          <w:tab w:val="clear" w:pos="0"/>
        </w:tabs>
        <w:ind w:hanging="567"/>
      </w:pPr>
      <w:r>
        <w:t xml:space="preserve">(green) </w:t>
      </w:r>
      <w:r w:rsidR="00C42A19" w:rsidRPr="00D517FD">
        <w:t>The objective is on track to be fully achieved within the timeframe.</w:t>
      </w:r>
    </w:p>
    <w:p w:rsidR="00C42A19" w:rsidRPr="00D517FD" w:rsidRDefault="00C42A19" w:rsidP="00C42A19">
      <w:pPr>
        <w:pStyle w:val="Heading3nonumber"/>
      </w:pPr>
      <w:r w:rsidRPr="00D517FD">
        <w:t>Assessment of results and performance</w:t>
      </w:r>
    </w:p>
    <w:p w:rsidR="009F3C40" w:rsidRPr="00D517FD" w:rsidRDefault="00375C4C" w:rsidP="00C42A19">
      <w:pPr>
        <w:pStyle w:val="Heading4"/>
        <w:numPr>
          <w:ilvl w:val="3"/>
          <w:numId w:val="35"/>
        </w:numPr>
        <w:ind w:left="0"/>
      </w:pPr>
      <w:r w:rsidRPr="00D517FD">
        <w:t xml:space="preserve">Expected </w:t>
      </w:r>
      <w:r>
        <w:t>g</w:t>
      </w:r>
      <w:r w:rsidR="009F3C40" w:rsidRPr="00D517FD">
        <w:t>overnance outcome</w:t>
      </w:r>
      <w:r w:rsidR="00C42A19" w:rsidRPr="00D517FD">
        <w:t>—</w:t>
      </w:r>
      <w:r w:rsidR="009F3C40" w:rsidRPr="00D517FD">
        <w:t>evidence of strengthened capacity to implement sustainable governance reforms</w:t>
      </w:r>
    </w:p>
    <w:p w:rsidR="009F3C40" w:rsidRPr="00D517FD" w:rsidRDefault="009F3C40" w:rsidP="009F3C40">
      <w:pPr>
        <w:pStyle w:val="BodyText"/>
      </w:pPr>
      <w:r w:rsidRPr="00D517FD">
        <w:t>Strong national</w:t>
      </w:r>
      <w:r w:rsidR="000E5240">
        <w:t>-</w:t>
      </w:r>
      <w:r w:rsidRPr="00D517FD">
        <w:t xml:space="preserve">level engagement by both Chinese and Australian agencies in activities related directly to </w:t>
      </w:r>
      <w:r w:rsidR="000E5240" w:rsidRPr="00D517FD">
        <w:t xml:space="preserve">reform processes </w:t>
      </w:r>
      <w:r w:rsidR="000E5240">
        <w:t xml:space="preserve">driven by the </w:t>
      </w:r>
      <w:r w:rsidR="000E5240" w:rsidRPr="00D517FD">
        <w:t xml:space="preserve">central </w:t>
      </w:r>
      <w:r w:rsidRPr="00D517FD">
        <w:t>government contributed significantly to capacity building in key governance reform areas.</w:t>
      </w:r>
      <w:r w:rsidR="00AA700F" w:rsidRPr="00D517FD">
        <w:t xml:space="preserve"> </w:t>
      </w:r>
      <w:r w:rsidRPr="00D517FD">
        <w:t>The Human Rights Technical Cooperation Program, implemented by Australia’s Human Rights and Equal Opportunity Commission</w:t>
      </w:r>
      <w:r w:rsidR="000E5240">
        <w:t>,</w:t>
      </w:r>
      <w:r w:rsidRPr="00D517FD">
        <w:t xml:space="preserve"> contributes to Chin</w:t>
      </w:r>
      <w:r w:rsidR="000E5240">
        <w:t>a’s</w:t>
      </w:r>
      <w:r w:rsidRPr="00D517FD">
        <w:t xml:space="preserve"> reform programs aimed at more effective and efficient governance.</w:t>
      </w:r>
      <w:r w:rsidR="00AA700F" w:rsidRPr="00D517FD">
        <w:t xml:space="preserve"> </w:t>
      </w:r>
      <w:r w:rsidRPr="00D517FD">
        <w:t xml:space="preserve">Key strengths </w:t>
      </w:r>
      <w:r w:rsidR="000E5240">
        <w:t xml:space="preserve">of </w:t>
      </w:r>
      <w:r w:rsidR="00F13829">
        <w:t xml:space="preserve">the </w:t>
      </w:r>
      <w:r w:rsidR="00D21845">
        <w:t>program</w:t>
      </w:r>
      <w:r w:rsidR="000E5240">
        <w:t xml:space="preserve"> </w:t>
      </w:r>
      <w:r w:rsidRPr="00D517FD">
        <w:t xml:space="preserve">include the trust </w:t>
      </w:r>
      <w:r w:rsidRPr="00D517FD">
        <w:lastRenderedPageBreak/>
        <w:t>developed between Chinese and Australian organi</w:t>
      </w:r>
      <w:r w:rsidR="00C12B2D">
        <w:t>s</w:t>
      </w:r>
      <w:r w:rsidRPr="00D517FD">
        <w:t>ations</w:t>
      </w:r>
      <w:r w:rsidR="000E5240">
        <w:t>,</w:t>
      </w:r>
      <w:r w:rsidRPr="00D517FD">
        <w:t xml:space="preserve"> </w:t>
      </w:r>
      <w:r w:rsidR="000E5240">
        <w:t>its fit</w:t>
      </w:r>
      <w:r w:rsidRPr="00D517FD">
        <w:t xml:space="preserve"> with Australian experience and expertise</w:t>
      </w:r>
      <w:r w:rsidR="000E5240">
        <w:t>,</w:t>
      </w:r>
      <w:r w:rsidRPr="00D517FD">
        <w:t xml:space="preserve"> and </w:t>
      </w:r>
      <w:r w:rsidR="000E5240">
        <w:t>its</w:t>
      </w:r>
      <w:r w:rsidR="000E5240" w:rsidRPr="00D517FD">
        <w:t xml:space="preserve"> </w:t>
      </w:r>
      <w:r w:rsidRPr="00D517FD">
        <w:t>responsive</w:t>
      </w:r>
      <w:r w:rsidR="000E5240">
        <w:t>ness</w:t>
      </w:r>
      <w:r w:rsidRPr="00D517FD">
        <w:t xml:space="preserve"> to China’s developing priorities.</w:t>
      </w:r>
      <w:r w:rsidR="00AA700F" w:rsidRPr="00D517FD">
        <w:t xml:space="preserve"> </w:t>
      </w:r>
      <w:r w:rsidR="00F13829">
        <w:t xml:space="preserve">The </w:t>
      </w:r>
      <w:r w:rsidR="00D21845">
        <w:t>program</w:t>
      </w:r>
      <w:r w:rsidR="00D21845" w:rsidRPr="00D517FD">
        <w:t xml:space="preserve">’s </w:t>
      </w:r>
      <w:r w:rsidRPr="00D517FD">
        <w:t>successes include the incorporation of human rights considerations into reforms in a number of key areas including corrections administration</w:t>
      </w:r>
      <w:r w:rsidR="000E5240">
        <w:t>,</w:t>
      </w:r>
      <w:r w:rsidRPr="00D517FD">
        <w:t xml:space="preserve"> criminal procedure law</w:t>
      </w:r>
      <w:r w:rsidR="000E5240">
        <w:t>,</w:t>
      </w:r>
      <w:r w:rsidRPr="00D517FD">
        <w:t xml:space="preserve"> domestic violence</w:t>
      </w:r>
      <w:r w:rsidR="000E5240">
        <w:t>,</w:t>
      </w:r>
      <w:r w:rsidRPr="00D517FD">
        <w:t xml:space="preserve"> gender awareness</w:t>
      </w:r>
      <w:r w:rsidR="000E5240">
        <w:t>,</w:t>
      </w:r>
      <w:r w:rsidRPr="00D517FD">
        <w:t xml:space="preserve"> judicial reform</w:t>
      </w:r>
      <w:r w:rsidR="000E5240">
        <w:t>,</w:t>
      </w:r>
      <w:r w:rsidRPr="00D517FD">
        <w:t xml:space="preserve"> juvenile justice</w:t>
      </w:r>
      <w:r w:rsidR="000E5240">
        <w:t>,</w:t>
      </w:r>
      <w:r w:rsidRPr="00D517FD">
        <w:t xml:space="preserve"> labour rights</w:t>
      </w:r>
      <w:r w:rsidR="000E5240">
        <w:t>,</w:t>
      </w:r>
      <w:r w:rsidRPr="00D517FD">
        <w:t xml:space="preserve"> legal aid</w:t>
      </w:r>
      <w:r w:rsidR="000E5240">
        <w:t>,</w:t>
      </w:r>
      <w:r w:rsidRPr="00D517FD">
        <w:t xml:space="preserve"> human rights education</w:t>
      </w:r>
      <w:r w:rsidR="000E5240">
        <w:t>,</w:t>
      </w:r>
      <w:r w:rsidRPr="00D517FD">
        <w:t xml:space="preserve"> police ethics</w:t>
      </w:r>
      <w:r w:rsidR="000E5240">
        <w:t>,</w:t>
      </w:r>
      <w:r w:rsidRPr="00D517FD">
        <w:t xml:space="preserve"> and people trafficking.</w:t>
      </w:r>
      <w:r w:rsidR="00AA700F" w:rsidRPr="00D517FD">
        <w:t xml:space="preserve"> </w:t>
      </w:r>
      <w:r w:rsidRPr="00D517FD">
        <w:t>For example, human rights are now applied in the delivery of family planning and reproductive health services</w:t>
      </w:r>
      <w:r w:rsidR="000E5240">
        <w:t>,</w:t>
      </w:r>
      <w:r w:rsidRPr="00D517FD">
        <w:t xml:space="preserve"> and China’s National Judges Training College decided to adjust its training to incorporate human rights principles, which has flowed on to provincial institutions.</w:t>
      </w:r>
    </w:p>
    <w:p w:rsidR="009F3C40" w:rsidRPr="00D517FD" w:rsidRDefault="009F3C40" w:rsidP="009F3C40">
      <w:pPr>
        <w:pStyle w:val="BodyText"/>
      </w:pPr>
      <w:r w:rsidRPr="00D517FD">
        <w:t xml:space="preserve">In close collaboration with China’s National Development and Reform Commission, activities </w:t>
      </w:r>
      <w:r w:rsidR="000E5240">
        <w:t xml:space="preserve">of the </w:t>
      </w:r>
      <w:r w:rsidR="000E5240" w:rsidRPr="00D517FD">
        <w:t>China Australia Governance Program</w:t>
      </w:r>
      <w:r w:rsidR="000E5240">
        <w:t xml:space="preserve"> </w:t>
      </w:r>
      <w:r w:rsidRPr="00D517FD">
        <w:t>supported the development and adoption by Chinese agencies of policy and regulatory approaches to deal with social security fraud and internal control and evaluation methods</w:t>
      </w:r>
      <w:r w:rsidR="000E5240">
        <w:t>,</w:t>
      </w:r>
      <w:r w:rsidRPr="00D517FD">
        <w:t xml:space="preserve"> the introduction, adoption and wider promotion of a balanced scorecard system of performance assessment for national and provincial government agencies</w:t>
      </w:r>
      <w:r w:rsidR="000E5240">
        <w:t>,</w:t>
      </w:r>
      <w:r w:rsidRPr="00D517FD">
        <w:t xml:space="preserve"> and an investment supervision program viewed as so successful by the recipient agency that it funded an extension and published a book to increase awareness of corruption.</w:t>
      </w:r>
    </w:p>
    <w:p w:rsidR="009F3C40" w:rsidRPr="00D517FD" w:rsidRDefault="009F3C40" w:rsidP="009F3C40">
      <w:pPr>
        <w:pStyle w:val="BodyText"/>
      </w:pPr>
      <w:r w:rsidRPr="00D517FD">
        <w:t xml:space="preserve">Smaller governance activities delivered mixed results </w:t>
      </w:r>
      <w:r w:rsidR="000E5240">
        <w:t>for</w:t>
      </w:r>
      <w:r w:rsidR="000E5240" w:rsidRPr="00D517FD">
        <w:t xml:space="preserve"> </w:t>
      </w:r>
      <w:r w:rsidRPr="00D517FD">
        <w:t>this objective.</w:t>
      </w:r>
      <w:r w:rsidR="00AA700F" w:rsidRPr="00D517FD">
        <w:t xml:space="preserve"> </w:t>
      </w:r>
      <w:r w:rsidRPr="00D517FD">
        <w:t xml:space="preserve">Australia’s funding to the International Finance Corporation (IFC) for a program to foster </w:t>
      </w:r>
      <w:r w:rsidR="000E5240" w:rsidRPr="00D517FD">
        <w:t xml:space="preserve">small and medium-sized enterprises </w:t>
      </w:r>
      <w:r w:rsidRPr="00D517FD">
        <w:t>resulted in three value</w:t>
      </w:r>
      <w:r w:rsidR="00375C4C">
        <w:t>-</w:t>
      </w:r>
      <w:r w:rsidRPr="00D517FD">
        <w:t xml:space="preserve">chain studies identifying significant policy, regulatory and institutional constraints, now being considered by appropriate decision makers; the adoption of improved practices and yields in the apple and dairy industries; and the building of provincial capacity to deliver a series of </w:t>
      </w:r>
      <w:r w:rsidR="00B84061">
        <w:t>‘</w:t>
      </w:r>
      <w:r w:rsidRPr="00D517FD">
        <w:t>business-edge</w:t>
      </w:r>
      <w:r w:rsidR="00B84061">
        <w:t>’</w:t>
      </w:r>
      <w:r w:rsidRPr="00D517FD">
        <w:t xml:space="preserve"> management courses.</w:t>
      </w:r>
      <w:r w:rsidR="00AA700F" w:rsidRPr="00D517FD">
        <w:t xml:space="preserve"> </w:t>
      </w:r>
      <w:r w:rsidRPr="00D517FD">
        <w:t>In contrast</w:t>
      </w:r>
      <w:r w:rsidR="00B84061">
        <w:t>,</w:t>
      </w:r>
      <w:r w:rsidRPr="00D517FD">
        <w:t xml:space="preserve"> the older activities (</w:t>
      </w:r>
      <w:r w:rsidR="00375C4C">
        <w:t xml:space="preserve">the </w:t>
      </w:r>
      <w:r w:rsidR="00B84061" w:rsidRPr="00D517FD">
        <w:t>Australian Development Scholarships</w:t>
      </w:r>
      <w:r w:rsidR="00B84061">
        <w:t xml:space="preserve"> </w:t>
      </w:r>
      <w:r w:rsidR="00375C4C">
        <w:t xml:space="preserve">program </w:t>
      </w:r>
      <w:r w:rsidRPr="00D517FD">
        <w:t xml:space="preserve">and </w:t>
      </w:r>
      <w:r w:rsidR="00B84061">
        <w:t xml:space="preserve">the </w:t>
      </w:r>
      <w:r w:rsidR="00B84061" w:rsidRPr="00D517FD">
        <w:t>Small Activities Scheme</w:t>
      </w:r>
      <w:r w:rsidRPr="00D517FD">
        <w:t>) lack clear, appropriate and measurable objectives in terms of this strategic objective and have struggled to demonstrate sufficient evidence of their contribution to its achievement.</w:t>
      </w:r>
    </w:p>
    <w:p w:rsidR="009F3C40" w:rsidRPr="00D517FD" w:rsidRDefault="00375C4C" w:rsidP="00C42A19">
      <w:pPr>
        <w:pStyle w:val="Heading4"/>
        <w:numPr>
          <w:ilvl w:val="3"/>
          <w:numId w:val="35"/>
        </w:numPr>
        <w:ind w:left="0"/>
      </w:pPr>
      <w:r w:rsidRPr="00D517FD">
        <w:t xml:space="preserve">Expected </w:t>
      </w:r>
      <w:r>
        <w:t>h</w:t>
      </w:r>
      <w:r w:rsidR="009F3C40" w:rsidRPr="00D517FD">
        <w:t>ealth outcome</w:t>
      </w:r>
      <w:r w:rsidR="00C42A19" w:rsidRPr="00D517FD">
        <w:t>—</w:t>
      </w:r>
      <w:r w:rsidR="009F3C40" w:rsidRPr="00D517FD">
        <w:t>strengthened capacity to identify and respond to</w:t>
      </w:r>
      <w:r w:rsidR="00F8301A">
        <w:t> </w:t>
      </w:r>
      <w:r w:rsidR="009F3C40" w:rsidRPr="00D517FD">
        <w:t>priority health challenges with a focus on HIV/AIDS and other communicable</w:t>
      </w:r>
      <w:r w:rsidR="00F8301A">
        <w:t> </w:t>
      </w:r>
      <w:r w:rsidR="009F3C40" w:rsidRPr="00D517FD">
        <w:t>diseases</w:t>
      </w:r>
    </w:p>
    <w:p w:rsidR="009F3C40" w:rsidRPr="008F4948" w:rsidRDefault="009F3C40" w:rsidP="009F3C40">
      <w:pPr>
        <w:pStyle w:val="BodyText"/>
        <w:rPr>
          <w:spacing w:val="-2"/>
        </w:rPr>
      </w:pPr>
      <w:r w:rsidRPr="008F4948">
        <w:rPr>
          <w:spacing w:val="-2"/>
        </w:rPr>
        <w:t>Australia is working closely with China to halt and reverse the spread of HIV and emerging infectious diseases both nationally and regionally and to strengthen the capacity of China’s health system to respond to these and other health security threats. With Australian aid program resources contributing only 0.01</w:t>
      </w:r>
      <w:r w:rsidR="009F200B" w:rsidRPr="008F4948">
        <w:rPr>
          <w:spacing w:val="-2"/>
        </w:rPr>
        <w:t> per cent</w:t>
      </w:r>
      <w:r w:rsidRPr="008F4948">
        <w:rPr>
          <w:spacing w:val="-2"/>
        </w:rPr>
        <w:t xml:space="preserve"> of </w:t>
      </w:r>
      <w:r w:rsidR="00B84061" w:rsidRPr="008F4948">
        <w:rPr>
          <w:spacing w:val="-2"/>
        </w:rPr>
        <w:t xml:space="preserve">China’s </w:t>
      </w:r>
      <w:r w:rsidRPr="008F4948">
        <w:rPr>
          <w:spacing w:val="-2"/>
        </w:rPr>
        <w:t>total public health expenditure, expectations of the impact of Australia’s contribution need to be realistic.</w:t>
      </w:r>
      <w:r w:rsidR="00AA700F" w:rsidRPr="008F4948">
        <w:rPr>
          <w:spacing w:val="-2"/>
        </w:rPr>
        <w:t xml:space="preserve"> </w:t>
      </w:r>
      <w:r w:rsidRPr="008F4948">
        <w:rPr>
          <w:spacing w:val="-2"/>
        </w:rPr>
        <w:t xml:space="preserve">That said, </w:t>
      </w:r>
      <w:r w:rsidRPr="00712BBB">
        <w:t xml:space="preserve">at the overall program level a number of significant changes in 2007 led to stronger national level policy engagement and improved coordination and management in both China </w:t>
      </w:r>
      <w:r w:rsidRPr="008F4948">
        <w:rPr>
          <w:spacing w:val="-2"/>
        </w:rPr>
        <w:t>and Australia.</w:t>
      </w:r>
      <w:r w:rsidR="00AA700F" w:rsidRPr="008F4948">
        <w:rPr>
          <w:spacing w:val="-2"/>
        </w:rPr>
        <w:t xml:space="preserve"> </w:t>
      </w:r>
      <w:r w:rsidRPr="008F4948">
        <w:rPr>
          <w:spacing w:val="-2"/>
        </w:rPr>
        <w:t xml:space="preserve">Most notable </w:t>
      </w:r>
      <w:r w:rsidR="008F4948" w:rsidRPr="008F4948">
        <w:rPr>
          <w:spacing w:val="-2"/>
        </w:rPr>
        <w:t xml:space="preserve">were </w:t>
      </w:r>
      <w:r w:rsidRPr="008F4948">
        <w:rPr>
          <w:spacing w:val="-2"/>
        </w:rPr>
        <w:t xml:space="preserve">the integration of all bilateral and regional health activities into a single program with priorities aligned </w:t>
      </w:r>
      <w:r w:rsidR="008F4948" w:rsidRPr="008F4948">
        <w:rPr>
          <w:spacing w:val="-2"/>
        </w:rPr>
        <w:t>with the</w:t>
      </w:r>
      <w:r w:rsidRPr="008F4948">
        <w:rPr>
          <w:spacing w:val="-2"/>
        </w:rPr>
        <w:t xml:space="preserve"> Plan of Action 2007</w:t>
      </w:r>
      <w:r w:rsidR="008F4948" w:rsidRPr="008F4948">
        <w:rPr>
          <w:spacing w:val="-2"/>
        </w:rPr>
        <w:t>–</w:t>
      </w:r>
      <w:r w:rsidRPr="008F4948">
        <w:rPr>
          <w:spacing w:val="-2"/>
        </w:rPr>
        <w:t xml:space="preserve">2010 </w:t>
      </w:r>
      <w:r w:rsidR="008F4948" w:rsidRPr="008F4948">
        <w:rPr>
          <w:spacing w:val="-2"/>
        </w:rPr>
        <w:t xml:space="preserve">(agreed by Australia’s Department of Health and Aging and China’s Ministry of </w:t>
      </w:r>
      <w:r w:rsidR="008F4948" w:rsidRPr="008F4948">
        <w:rPr>
          <w:spacing w:val="-2"/>
        </w:rPr>
        <w:lastRenderedPageBreak/>
        <w:t xml:space="preserve">Health </w:t>
      </w:r>
      <w:r w:rsidRPr="008F4948">
        <w:rPr>
          <w:spacing w:val="-2"/>
        </w:rPr>
        <w:t>and overseen by a Program Management Committee comprising both Chinese and Australian national government agencies</w:t>
      </w:r>
      <w:r w:rsidR="008F4948" w:rsidRPr="008F4948">
        <w:rPr>
          <w:spacing w:val="-2"/>
        </w:rPr>
        <w:t>)</w:t>
      </w:r>
      <w:r w:rsidRPr="008F4948">
        <w:rPr>
          <w:spacing w:val="-2"/>
        </w:rPr>
        <w:t xml:space="preserve"> and the mobilisation of a new $25</w:t>
      </w:r>
      <w:r w:rsidR="008F4948" w:rsidRPr="008F4948">
        <w:rPr>
          <w:spacing w:val="-2"/>
        </w:rPr>
        <w:t> </w:t>
      </w:r>
      <w:r w:rsidRPr="008F4948">
        <w:rPr>
          <w:spacing w:val="-2"/>
        </w:rPr>
        <w:t>m</w:t>
      </w:r>
      <w:r w:rsidR="008F4948" w:rsidRPr="008F4948">
        <w:rPr>
          <w:spacing w:val="-2"/>
        </w:rPr>
        <w:t>illion</w:t>
      </w:r>
      <w:r w:rsidRPr="008F4948">
        <w:rPr>
          <w:spacing w:val="-2"/>
        </w:rPr>
        <w:t xml:space="preserve"> facility as the flagship of this program.</w:t>
      </w:r>
      <w:r w:rsidR="00AA700F" w:rsidRPr="008F4948">
        <w:rPr>
          <w:spacing w:val="-2"/>
        </w:rPr>
        <w:t xml:space="preserve"> </w:t>
      </w:r>
      <w:r w:rsidRPr="008F4948">
        <w:rPr>
          <w:spacing w:val="-2"/>
        </w:rPr>
        <w:t>An Australian Senior Health Adviser commenced working with a Chinese government counterpart to improve effectiveness and program integration with Chinese systems.</w:t>
      </w:r>
      <w:r w:rsidR="00AA700F" w:rsidRPr="008F4948">
        <w:rPr>
          <w:spacing w:val="-2"/>
        </w:rPr>
        <w:t xml:space="preserve"> </w:t>
      </w:r>
      <w:r w:rsidR="00F8301A">
        <w:rPr>
          <w:spacing w:val="-2"/>
        </w:rPr>
        <w:t>The</w:t>
      </w:r>
      <w:r w:rsidR="00F8301A" w:rsidRPr="008F4948">
        <w:rPr>
          <w:spacing w:val="-2"/>
        </w:rPr>
        <w:t xml:space="preserve"> </w:t>
      </w:r>
      <w:r w:rsidRPr="008F4948">
        <w:rPr>
          <w:spacing w:val="-2"/>
        </w:rPr>
        <w:t>strong Australian whole-of-government approach has been recommended by China’s Ministry of Health to other donors.</w:t>
      </w:r>
      <w:r w:rsidR="00AA700F" w:rsidRPr="008F4948">
        <w:rPr>
          <w:spacing w:val="-2"/>
        </w:rPr>
        <w:t xml:space="preserve"> </w:t>
      </w:r>
    </w:p>
    <w:p w:rsidR="009F3C40" w:rsidRPr="00FA0782" w:rsidRDefault="009F3C40" w:rsidP="009F3C40">
      <w:pPr>
        <w:pStyle w:val="BodyText"/>
        <w:rPr>
          <w:spacing w:val="-2"/>
        </w:rPr>
      </w:pPr>
      <w:r w:rsidRPr="00FA0782">
        <w:rPr>
          <w:spacing w:val="-2"/>
        </w:rPr>
        <w:t xml:space="preserve">Although </w:t>
      </w:r>
      <w:r w:rsidR="00F8301A">
        <w:rPr>
          <w:spacing w:val="-2"/>
        </w:rPr>
        <w:t xml:space="preserve">it is </w:t>
      </w:r>
      <w:r w:rsidRPr="00FA0782">
        <w:rPr>
          <w:spacing w:val="-2"/>
        </w:rPr>
        <w:t>too early to assess the performance of the new health facility, capacity</w:t>
      </w:r>
      <w:r w:rsidR="00FA0782" w:rsidRPr="00FA0782">
        <w:rPr>
          <w:spacing w:val="-2"/>
        </w:rPr>
        <w:t>-</w:t>
      </w:r>
      <w:r w:rsidRPr="00FA0782">
        <w:rPr>
          <w:spacing w:val="-2"/>
        </w:rPr>
        <w:t>building results were registered in established health activities.</w:t>
      </w:r>
      <w:r w:rsidR="00AA700F" w:rsidRPr="00FA0782">
        <w:rPr>
          <w:spacing w:val="-2"/>
        </w:rPr>
        <w:t xml:space="preserve"> </w:t>
      </w:r>
      <w:r w:rsidR="00F8301A">
        <w:rPr>
          <w:spacing w:val="-2"/>
        </w:rPr>
        <w:t>T</w:t>
      </w:r>
      <w:r w:rsidRPr="00FA0782">
        <w:rPr>
          <w:spacing w:val="-2"/>
        </w:rPr>
        <w:t>he Tibet Health Sector Support Program</w:t>
      </w:r>
      <w:r w:rsidR="00F8301A">
        <w:rPr>
          <w:spacing w:val="-2"/>
        </w:rPr>
        <w:t xml:space="preserve">, which </w:t>
      </w:r>
      <w:r w:rsidR="00F8301A" w:rsidRPr="00FA0782">
        <w:rPr>
          <w:spacing w:val="-2"/>
        </w:rPr>
        <w:t>operat</w:t>
      </w:r>
      <w:r w:rsidR="00F8301A">
        <w:rPr>
          <w:spacing w:val="-2"/>
        </w:rPr>
        <w:t>es</w:t>
      </w:r>
      <w:r w:rsidR="00F8301A" w:rsidRPr="00FA0782">
        <w:rPr>
          <w:spacing w:val="-2"/>
        </w:rPr>
        <w:t xml:space="preserve"> in one of the most disadvantaged provinces in China</w:t>
      </w:r>
      <w:r w:rsidR="00F8301A">
        <w:rPr>
          <w:spacing w:val="-2"/>
        </w:rPr>
        <w:t>,</w:t>
      </w:r>
      <w:r w:rsidRPr="00FA0782">
        <w:rPr>
          <w:spacing w:val="-2"/>
        </w:rPr>
        <w:t xml:space="preserve"> supported the adoption of modern hospital management in two key hospitals</w:t>
      </w:r>
      <w:r w:rsidR="00FA0782" w:rsidRPr="00FA0782">
        <w:rPr>
          <w:spacing w:val="-2"/>
        </w:rPr>
        <w:t>,</w:t>
      </w:r>
      <w:r w:rsidRPr="00FA0782">
        <w:rPr>
          <w:spacing w:val="-2"/>
        </w:rPr>
        <w:t xml:space="preserve"> assisted the regional blood centre to gain accreditation as a safe source of blood supply</w:t>
      </w:r>
      <w:r w:rsidR="00FA0782" w:rsidRPr="00FA0782">
        <w:rPr>
          <w:spacing w:val="-2"/>
        </w:rPr>
        <w:t>,</w:t>
      </w:r>
      <w:r w:rsidRPr="00FA0782">
        <w:rPr>
          <w:spacing w:val="-2"/>
        </w:rPr>
        <w:t xml:space="preserve"> expanded </w:t>
      </w:r>
      <w:r w:rsidR="00FA0782" w:rsidRPr="00FA0782">
        <w:rPr>
          <w:spacing w:val="-2"/>
        </w:rPr>
        <w:t xml:space="preserve">surveillance and response for </w:t>
      </w:r>
      <w:r w:rsidRPr="00FA0782">
        <w:rPr>
          <w:spacing w:val="-2"/>
        </w:rPr>
        <w:t xml:space="preserve">HIV/AIDS and </w:t>
      </w:r>
      <w:r w:rsidR="00FA0782" w:rsidRPr="00FA0782">
        <w:rPr>
          <w:spacing w:val="-2"/>
        </w:rPr>
        <w:t>sexually transmissible infections</w:t>
      </w:r>
      <w:r w:rsidR="00F8301A">
        <w:rPr>
          <w:spacing w:val="-2"/>
        </w:rPr>
        <w:t>,</w:t>
      </w:r>
      <w:r w:rsidR="00FA0782" w:rsidRPr="00FA0782">
        <w:rPr>
          <w:spacing w:val="-2"/>
        </w:rPr>
        <w:t xml:space="preserve"> </w:t>
      </w:r>
      <w:r w:rsidRPr="00FA0782">
        <w:rPr>
          <w:spacing w:val="-2"/>
        </w:rPr>
        <w:t xml:space="preserve">improved skills in </w:t>
      </w:r>
      <w:r w:rsidR="00FA0782" w:rsidRPr="00FA0782">
        <w:rPr>
          <w:spacing w:val="-2"/>
        </w:rPr>
        <w:t xml:space="preserve">diagnosing </w:t>
      </w:r>
      <w:r w:rsidRPr="00FA0782">
        <w:rPr>
          <w:spacing w:val="-2"/>
        </w:rPr>
        <w:t xml:space="preserve">HIV </w:t>
      </w:r>
      <w:r w:rsidR="00FA0782" w:rsidRPr="00FA0782">
        <w:rPr>
          <w:spacing w:val="-2"/>
        </w:rPr>
        <w:t>and sexually transmissible infections,</w:t>
      </w:r>
      <w:r w:rsidRPr="00FA0782">
        <w:rPr>
          <w:spacing w:val="-2"/>
        </w:rPr>
        <w:t xml:space="preserve"> and contributed to reported improvements in maternal and infant mortality rates in targeted sites in Lhasa.</w:t>
      </w:r>
    </w:p>
    <w:p w:rsidR="009F3C40" w:rsidRPr="00D517FD" w:rsidRDefault="009F3C40" w:rsidP="009F3C40">
      <w:pPr>
        <w:pStyle w:val="BodyText"/>
      </w:pPr>
      <w:r w:rsidRPr="00D517FD">
        <w:t xml:space="preserve">In partnership with the Xinjiang </w:t>
      </w:r>
      <w:r w:rsidR="00C055AC">
        <w:t>Bureau of Health</w:t>
      </w:r>
      <w:r w:rsidRPr="00D517FD">
        <w:t>, the Xinjiang HIV/AIDS Prevention and Care Program and a collaborative activity with the Clinton Foundation registered a number of strong capacity</w:t>
      </w:r>
      <w:r w:rsidR="00644F72">
        <w:t>-</w:t>
      </w:r>
      <w:r w:rsidRPr="00D517FD">
        <w:t>building outcomes.</w:t>
      </w:r>
      <w:r w:rsidR="00AA700F" w:rsidRPr="00D517FD">
        <w:t xml:space="preserve"> </w:t>
      </w:r>
      <w:r w:rsidRPr="00D517FD">
        <w:t>These include</w:t>
      </w:r>
      <w:r w:rsidR="00644F72">
        <w:t>d</w:t>
      </w:r>
      <w:r w:rsidRPr="00D517FD">
        <w:t xml:space="preserve"> a 70</w:t>
      </w:r>
      <w:r w:rsidR="009F200B" w:rsidRPr="00D517FD">
        <w:t> per cent</w:t>
      </w:r>
      <w:r w:rsidRPr="00D517FD">
        <w:t xml:space="preserve"> increase in the number of patients receiving antiretroviral treatment at targeted sites</w:t>
      </w:r>
      <w:r w:rsidR="00644F72">
        <w:t>,</w:t>
      </w:r>
      <w:r w:rsidRPr="00D517FD">
        <w:t xml:space="preserve"> the expansion of comprehensive AIDS treatment to 800 patients</w:t>
      </w:r>
      <w:r w:rsidR="00644F72">
        <w:t>,</w:t>
      </w:r>
      <w:r w:rsidRPr="00D517FD">
        <w:t xml:space="preserve"> the establishment of a </w:t>
      </w:r>
      <w:r w:rsidR="00644F72" w:rsidRPr="00D517FD">
        <w:t>paediatric</w:t>
      </w:r>
      <w:r w:rsidRPr="00D517FD">
        <w:t xml:space="preserve"> </w:t>
      </w:r>
      <w:r w:rsidR="00644F72" w:rsidRPr="00D517FD">
        <w:t xml:space="preserve">antiretroviral </w:t>
      </w:r>
      <w:r w:rsidRPr="00D517FD">
        <w:t>treatment program</w:t>
      </w:r>
      <w:r w:rsidR="00644F72">
        <w:t>,</w:t>
      </w:r>
      <w:r w:rsidRPr="00D517FD">
        <w:t xml:space="preserve"> increased management capacity of </w:t>
      </w:r>
      <w:proofErr w:type="spellStart"/>
      <w:r w:rsidRPr="00D517FD">
        <w:t>multisectoral</w:t>
      </w:r>
      <w:proofErr w:type="spellEnd"/>
      <w:r w:rsidRPr="00D517FD">
        <w:t xml:space="preserve"> agencies to design and plan projects</w:t>
      </w:r>
      <w:r w:rsidR="00644F72">
        <w:t>,</w:t>
      </w:r>
      <w:r w:rsidRPr="00D517FD">
        <w:t xml:space="preserve"> increased community</w:t>
      </w:r>
      <w:r w:rsidR="00644F72">
        <w:t>-</w:t>
      </w:r>
      <w:r w:rsidRPr="00D517FD">
        <w:t>based care</w:t>
      </w:r>
      <w:r w:rsidR="00644F72">
        <w:t>,</w:t>
      </w:r>
      <w:r w:rsidRPr="00D517FD">
        <w:t xml:space="preserve"> reduced stigma and discrimination against people living with HIV/AIDS</w:t>
      </w:r>
      <w:r w:rsidR="00644F72">
        <w:t>,</w:t>
      </w:r>
      <w:r w:rsidRPr="00D517FD">
        <w:t xml:space="preserve"> and the increased use of improved protocols for infection control.</w:t>
      </w:r>
    </w:p>
    <w:p w:rsidR="009F3C40" w:rsidRPr="00D517FD" w:rsidRDefault="009F3C40" w:rsidP="009F3C40">
      <w:pPr>
        <w:pStyle w:val="BodyText"/>
      </w:pPr>
      <w:r w:rsidRPr="00D517FD">
        <w:t xml:space="preserve">Australian support for the China HIV/AIDS Roadmap Technical Support Program, a partnership between 14 </w:t>
      </w:r>
      <w:r w:rsidR="00644F72" w:rsidRPr="00D517FD">
        <w:t xml:space="preserve">ministries </w:t>
      </w:r>
      <w:r w:rsidRPr="00D517FD">
        <w:t xml:space="preserve">and </w:t>
      </w:r>
      <w:r w:rsidR="00644F72">
        <w:t>four</w:t>
      </w:r>
      <w:r w:rsidR="00644F72" w:rsidRPr="00D517FD">
        <w:t xml:space="preserve"> </w:t>
      </w:r>
      <w:r w:rsidRPr="00D517FD">
        <w:t xml:space="preserve">donors, has strengthened the capacity of the State Council AIDS Working Group and </w:t>
      </w:r>
      <w:r w:rsidR="00F8301A">
        <w:t xml:space="preserve">the </w:t>
      </w:r>
      <w:r w:rsidRPr="00D517FD">
        <w:t xml:space="preserve">Provincial AIDS Working Group to develop </w:t>
      </w:r>
      <w:proofErr w:type="spellStart"/>
      <w:r w:rsidRPr="00D517FD">
        <w:t>multisectoral</w:t>
      </w:r>
      <w:proofErr w:type="spellEnd"/>
      <w:r w:rsidRPr="00D517FD">
        <w:t xml:space="preserve"> responses to HIV.</w:t>
      </w:r>
      <w:r w:rsidR="00AA700F" w:rsidRPr="00D517FD">
        <w:t xml:space="preserve"> </w:t>
      </w:r>
      <w:r w:rsidRPr="00D517FD">
        <w:t xml:space="preserve">It also contributed to the development of the </w:t>
      </w:r>
      <w:r w:rsidR="00644F72" w:rsidRPr="00D517FD">
        <w:t xml:space="preserve">national and provincial action plans for </w:t>
      </w:r>
      <w:r w:rsidRPr="00D517FD">
        <w:t>2006</w:t>
      </w:r>
      <w:r w:rsidR="00644F72">
        <w:t>–</w:t>
      </w:r>
      <w:r w:rsidRPr="00D517FD">
        <w:t xml:space="preserve">10 and the </w:t>
      </w:r>
      <w:r w:rsidR="00644F72" w:rsidRPr="00D517FD">
        <w:t xml:space="preserve">national </w:t>
      </w:r>
      <w:r w:rsidR="00644F72">
        <w:t xml:space="preserve">monitoring and </w:t>
      </w:r>
      <w:r w:rsidR="00644F72" w:rsidRPr="00D517FD">
        <w:t>e</w:t>
      </w:r>
      <w:r w:rsidR="00644F72">
        <w:t>valuation</w:t>
      </w:r>
      <w:r w:rsidR="00644F72" w:rsidRPr="00D517FD">
        <w:t xml:space="preserve"> framework</w:t>
      </w:r>
      <w:r w:rsidRPr="00D517FD">
        <w:t>.</w:t>
      </w:r>
    </w:p>
    <w:p w:rsidR="009F3C40" w:rsidRPr="00D517FD" w:rsidRDefault="00F8301A" w:rsidP="00C42A19">
      <w:pPr>
        <w:pStyle w:val="Heading4"/>
        <w:numPr>
          <w:ilvl w:val="3"/>
          <w:numId w:val="35"/>
        </w:numPr>
        <w:ind w:left="0"/>
      </w:pPr>
      <w:r w:rsidRPr="00D517FD">
        <w:t xml:space="preserve">Expected </w:t>
      </w:r>
      <w:r>
        <w:t>e</w:t>
      </w:r>
      <w:r w:rsidR="009F3C40" w:rsidRPr="00D517FD">
        <w:t>nvironment outcome</w:t>
      </w:r>
      <w:r w:rsidR="00C42A19" w:rsidRPr="00D517FD">
        <w:t>—</w:t>
      </w:r>
      <w:r w:rsidR="009F3C40" w:rsidRPr="00D517FD">
        <w:t>strengthened capacity in environmental management, especially in water resource management</w:t>
      </w:r>
    </w:p>
    <w:p w:rsidR="009F3C40" w:rsidRPr="00D517FD" w:rsidRDefault="009F3C40" w:rsidP="009F3C40">
      <w:pPr>
        <w:pStyle w:val="BodyText"/>
      </w:pPr>
      <w:r w:rsidRPr="00D517FD">
        <w:t xml:space="preserve">Given the breadth and scale of China’s environmental challenges, China and Australia have agreed that Australia’s contribution is most valuable </w:t>
      </w:r>
      <w:r w:rsidR="00935937">
        <w:t xml:space="preserve">if </w:t>
      </w:r>
      <w:r w:rsidRPr="00D517FD">
        <w:t>focused at the national government level to help formulate and implement policy, initially in the areas of environmental governance and water resource management.</w:t>
      </w:r>
      <w:r w:rsidR="00AA700F" w:rsidRPr="00D517FD">
        <w:t xml:space="preserve"> </w:t>
      </w:r>
      <w:r w:rsidRPr="00D517FD">
        <w:t>A $25</w:t>
      </w:r>
      <w:r w:rsidR="00935937">
        <w:t> </w:t>
      </w:r>
      <w:r w:rsidRPr="00D517FD">
        <w:t>m</w:t>
      </w:r>
      <w:r w:rsidR="00935937">
        <w:t>illion</w:t>
      </w:r>
      <w:r w:rsidRPr="00D517FD">
        <w:t>, five</w:t>
      </w:r>
      <w:r w:rsidR="00935937">
        <w:t>-</w:t>
      </w:r>
      <w:r w:rsidRPr="00D517FD">
        <w:t>year environment facility, the Australia China Environment Development Program</w:t>
      </w:r>
      <w:r w:rsidR="0074025A">
        <w:t>,</w:t>
      </w:r>
      <w:r w:rsidRPr="00D517FD">
        <w:t xml:space="preserve"> was mobili</w:t>
      </w:r>
      <w:r w:rsidR="00935937">
        <w:t>s</w:t>
      </w:r>
      <w:r w:rsidRPr="00D517FD">
        <w:t>ed in late 2007 for this purpose.</w:t>
      </w:r>
      <w:r w:rsidR="00AA700F" w:rsidRPr="00D517FD">
        <w:t xml:space="preserve"> </w:t>
      </w:r>
      <w:r w:rsidRPr="00D517FD">
        <w:t xml:space="preserve">The facility aims to develop enduring partnerships between Australian and Chinese agencies involved in </w:t>
      </w:r>
      <w:r w:rsidR="0074025A">
        <w:t xml:space="preserve">formulating and implementing </w:t>
      </w:r>
      <w:r w:rsidRPr="00D517FD">
        <w:t>environmental policy</w:t>
      </w:r>
      <w:r w:rsidR="0074025A">
        <w:t>,</w:t>
      </w:r>
      <w:r w:rsidRPr="00D517FD">
        <w:t xml:space="preserve"> and to respond to emerging priorities through an annual activity selection cycle.</w:t>
      </w:r>
    </w:p>
    <w:p w:rsidR="009F3C40" w:rsidRPr="00D517FD" w:rsidRDefault="009F3C40" w:rsidP="009F3C40">
      <w:pPr>
        <w:pStyle w:val="BodyText"/>
      </w:pPr>
      <w:r w:rsidRPr="00D517FD">
        <w:lastRenderedPageBreak/>
        <w:t>By supporting the China Council for International Cooperation on Environment and Development, a high</w:t>
      </w:r>
      <w:r w:rsidR="00935937">
        <w:t>-</w:t>
      </w:r>
      <w:r w:rsidRPr="00D517FD">
        <w:t>level international advisory board to the Chinese Government, Australia contributed to policy debate and donor harmoni</w:t>
      </w:r>
      <w:r w:rsidR="00935937">
        <w:t>s</w:t>
      </w:r>
      <w:r w:rsidRPr="00D517FD">
        <w:t xml:space="preserve">ation on </w:t>
      </w:r>
      <w:r w:rsidR="00935937">
        <w:t xml:space="preserve">the </w:t>
      </w:r>
      <w:r w:rsidRPr="00D517FD">
        <w:t>environment and development at the highest level.</w:t>
      </w:r>
      <w:r w:rsidR="00AA700F" w:rsidRPr="00D517FD">
        <w:t xml:space="preserve"> </w:t>
      </w:r>
      <w:r w:rsidRPr="00D517FD">
        <w:t xml:space="preserve">China’s recent decision to upgrade its State Environmental Protection Administration to ministerial level was based on a recommendation </w:t>
      </w:r>
      <w:r w:rsidR="00935937">
        <w:t xml:space="preserve">by </w:t>
      </w:r>
      <w:r w:rsidR="00935937" w:rsidRPr="00D517FD">
        <w:t>the China Council for International Cooperation on Environment and Development</w:t>
      </w:r>
      <w:r w:rsidR="00935937">
        <w:t xml:space="preserve"> </w:t>
      </w:r>
      <w:r w:rsidRPr="00D517FD">
        <w:t>to the State Council.</w:t>
      </w:r>
    </w:p>
    <w:p w:rsidR="009F3C40" w:rsidRPr="00D517FD" w:rsidRDefault="009F3C40" w:rsidP="009F3C40">
      <w:pPr>
        <w:pStyle w:val="BodyText"/>
      </w:pPr>
      <w:r w:rsidRPr="00D517FD">
        <w:t>During 2007 a number of the old</w:t>
      </w:r>
      <w:r w:rsidR="00935937">
        <w:t>-</w:t>
      </w:r>
      <w:r w:rsidRPr="00D517FD">
        <w:t>style environment and natural resource management projects in the provinces ended, with the remainder to end in 2008.</w:t>
      </w:r>
      <w:r w:rsidR="00AA700F" w:rsidRPr="00D517FD">
        <w:t xml:space="preserve"> </w:t>
      </w:r>
      <w:r w:rsidRPr="00D517FD">
        <w:t xml:space="preserve">Of these, the outstanding example of capacity building was </w:t>
      </w:r>
      <w:r w:rsidR="003C5169">
        <w:t>the</w:t>
      </w:r>
      <w:r w:rsidRPr="00D517FD">
        <w:t xml:space="preserve"> </w:t>
      </w:r>
      <w:r w:rsidR="003C5169" w:rsidRPr="00D517FD">
        <w:t xml:space="preserve">Water Entitlements and Trading </w:t>
      </w:r>
      <w:r w:rsidR="003C5169">
        <w:t>(</w:t>
      </w:r>
      <w:r w:rsidRPr="00D517FD">
        <w:t>WET</w:t>
      </w:r>
      <w:r w:rsidR="003C5169">
        <w:t>)</w:t>
      </w:r>
      <w:r w:rsidRPr="00D517FD">
        <w:t xml:space="preserve"> </w:t>
      </w:r>
      <w:r w:rsidR="003C5169">
        <w:t>P</w:t>
      </w:r>
      <w:r w:rsidR="00163BFB" w:rsidRPr="00D517FD">
        <w:t xml:space="preserve">roject </w:t>
      </w:r>
      <w:r w:rsidRPr="00D517FD">
        <w:t>undertaken by China’s Ministry of Water Resources, Queensland</w:t>
      </w:r>
      <w:r w:rsidR="00B9766C">
        <w:t>’s</w:t>
      </w:r>
      <w:r w:rsidRPr="00D517FD">
        <w:t xml:space="preserve"> Department of Natural Resources and Water</w:t>
      </w:r>
      <w:r w:rsidR="0074025A">
        <w:t>,</w:t>
      </w:r>
      <w:r w:rsidRPr="00D517FD">
        <w:t xml:space="preserve"> and Australia</w:t>
      </w:r>
      <w:r w:rsidR="00B9766C">
        <w:t>’s</w:t>
      </w:r>
      <w:r w:rsidRPr="00D517FD">
        <w:t xml:space="preserve"> Department of the Environment, Water, Heritage and the Arts.</w:t>
      </w:r>
      <w:r w:rsidR="00AA700F" w:rsidRPr="00D517FD">
        <w:t xml:space="preserve"> </w:t>
      </w:r>
      <w:r w:rsidRPr="00D517FD">
        <w:t>This project developed and successfully piloted a mutually beneficial framework for water resource allocation that has influenced national policy on water resource planning and management of environmental flows and been published in a book currently used in training workshops</w:t>
      </w:r>
      <w:r w:rsidR="006D39F2">
        <w:t xml:space="preserve"> of the </w:t>
      </w:r>
      <w:r w:rsidR="006D39F2" w:rsidRPr="00D517FD">
        <w:t>Ministry of Water Resources</w:t>
      </w:r>
      <w:r w:rsidRPr="00D517FD">
        <w:t>.</w:t>
      </w:r>
      <w:r w:rsidR="00AA700F" w:rsidRPr="00D517FD">
        <w:t xml:space="preserve"> </w:t>
      </w:r>
      <w:r w:rsidRPr="00D517FD">
        <w:t>The project significantly influenced processes for allocating water in amend</w:t>
      </w:r>
      <w:r w:rsidR="00C055AC">
        <w:t>ments to</w:t>
      </w:r>
      <w:r w:rsidRPr="00D517FD">
        <w:t xml:space="preserve"> the regulation of water permits. </w:t>
      </w:r>
      <w:r w:rsidR="00B9766C">
        <w:t xml:space="preserve">The </w:t>
      </w:r>
      <w:r w:rsidR="00B9766C" w:rsidRPr="00D517FD">
        <w:t>Australian Department of the Environment, Water, Heritage and the Arts</w:t>
      </w:r>
      <w:r w:rsidRPr="00D517FD">
        <w:t xml:space="preserve"> is currently working with </w:t>
      </w:r>
      <w:r w:rsidR="005A04A2">
        <w:t>the ministry</w:t>
      </w:r>
      <w:r w:rsidR="005A04A2" w:rsidRPr="00D517FD">
        <w:t xml:space="preserve"> </w:t>
      </w:r>
      <w:r w:rsidRPr="00D517FD">
        <w:t>and AusAID on the final phase of the WET project, which will involve further refining, documenting and disseminating the work undertaken already, as well as additional capacity</w:t>
      </w:r>
      <w:r w:rsidR="00C055AC">
        <w:t>-</w:t>
      </w:r>
      <w:r w:rsidRPr="00D517FD">
        <w:t>building activities.</w:t>
      </w:r>
    </w:p>
    <w:p w:rsidR="009F3C40" w:rsidRPr="00D517FD" w:rsidRDefault="009F3C40" w:rsidP="009F3C40">
      <w:pPr>
        <w:pStyle w:val="BodyText"/>
      </w:pPr>
      <w:r w:rsidRPr="00D517FD">
        <w:t>The Qinghai Forestry Resources Management Project worked with the Qinghai Forestry Bureau to support the adoption of improved low</w:t>
      </w:r>
      <w:r w:rsidR="00C055AC">
        <w:t>-</w:t>
      </w:r>
      <w:r w:rsidRPr="00D517FD">
        <w:t xml:space="preserve">cost and appropriate environmental rehabilitation practices and to develop participatory models that are now being considered for adoption and replication by </w:t>
      </w:r>
      <w:r w:rsidR="00C055AC">
        <w:t xml:space="preserve">projects of the </w:t>
      </w:r>
      <w:r w:rsidRPr="00D517FD">
        <w:t>World Bank</w:t>
      </w:r>
      <w:r w:rsidR="00C055AC">
        <w:t>,</w:t>
      </w:r>
      <w:r w:rsidRPr="00D517FD">
        <w:t xml:space="preserve"> </w:t>
      </w:r>
      <w:r w:rsidR="0074025A">
        <w:t xml:space="preserve">the </w:t>
      </w:r>
      <w:r w:rsidR="00C055AC">
        <w:t xml:space="preserve">Asian Development Bank and </w:t>
      </w:r>
      <w:r w:rsidR="0074025A">
        <w:t xml:space="preserve">the </w:t>
      </w:r>
      <w:r w:rsidR="00C055AC" w:rsidRPr="00D517FD">
        <w:t>Global Environment Facility</w:t>
      </w:r>
      <w:r w:rsidRPr="00D517FD">
        <w:t>.</w:t>
      </w:r>
      <w:r w:rsidR="00AA700F" w:rsidRPr="00D517FD">
        <w:t xml:space="preserve"> </w:t>
      </w:r>
    </w:p>
    <w:p w:rsidR="009F3C40" w:rsidRPr="00D517FD" w:rsidRDefault="009F3C40" w:rsidP="00C42A19">
      <w:pPr>
        <w:pStyle w:val="Heading4"/>
        <w:numPr>
          <w:ilvl w:val="3"/>
          <w:numId w:val="35"/>
        </w:numPr>
        <w:ind w:left="0"/>
      </w:pPr>
      <w:r w:rsidRPr="00D517FD">
        <w:t>Gender</w:t>
      </w:r>
    </w:p>
    <w:p w:rsidR="009F3C40" w:rsidRPr="00D517FD" w:rsidRDefault="009F3C40" w:rsidP="009F3C40">
      <w:pPr>
        <w:pStyle w:val="BodyText"/>
      </w:pPr>
      <w:r w:rsidRPr="00D517FD">
        <w:t xml:space="preserve">Australia and </w:t>
      </w:r>
      <w:r w:rsidR="00C055AC">
        <w:t>United Kingdom</w:t>
      </w:r>
      <w:r w:rsidR="00C055AC" w:rsidRPr="00D517FD">
        <w:t xml:space="preserve"> </w:t>
      </w:r>
      <w:r w:rsidRPr="00D517FD">
        <w:t xml:space="preserve">are the main donors to </w:t>
      </w:r>
      <w:r w:rsidR="00C055AC">
        <w:t>the</w:t>
      </w:r>
      <w:r w:rsidR="00C055AC" w:rsidRPr="00D517FD">
        <w:t xml:space="preserve"> </w:t>
      </w:r>
      <w:r w:rsidR="00C055AC">
        <w:t>gender facility of the United Nations Development Fu</w:t>
      </w:r>
      <w:r w:rsidR="00C055AC" w:rsidRPr="00D517FD">
        <w:t>nd for Women</w:t>
      </w:r>
      <w:r w:rsidR="00C055AC">
        <w:t>. The</w:t>
      </w:r>
      <w:r w:rsidR="00C055AC" w:rsidRPr="00D517FD">
        <w:t xml:space="preserve"> </w:t>
      </w:r>
      <w:r w:rsidR="00C055AC">
        <w:t>f</w:t>
      </w:r>
      <w:r w:rsidRPr="00D517FD">
        <w:t>acility aims to achieve China’s gender MDGs and reduce gender inequality by influencing the development and implementation of policies and laws.</w:t>
      </w:r>
      <w:r w:rsidR="00AA700F" w:rsidRPr="00D517FD">
        <w:t xml:space="preserve"> </w:t>
      </w:r>
      <w:r w:rsidRPr="00D517FD">
        <w:t xml:space="preserve">The </w:t>
      </w:r>
      <w:r w:rsidR="00C055AC" w:rsidRPr="00D517FD">
        <w:t xml:space="preserve">facility </w:t>
      </w:r>
      <w:r w:rsidRPr="00D517FD">
        <w:t>has made progress in influencing: old</w:t>
      </w:r>
      <w:r w:rsidR="00C055AC">
        <w:t>-</w:t>
      </w:r>
      <w:r w:rsidRPr="00D517FD">
        <w:t>age and survivor insurance policies</w:t>
      </w:r>
      <w:r w:rsidR="00C055AC">
        <w:t>,</w:t>
      </w:r>
      <w:r w:rsidRPr="00D517FD">
        <w:t xml:space="preserve"> employment promotion law</w:t>
      </w:r>
      <w:r w:rsidR="00C055AC">
        <w:t>,</w:t>
      </w:r>
      <w:r w:rsidRPr="00D517FD">
        <w:t xml:space="preserve"> family planning policies</w:t>
      </w:r>
      <w:r w:rsidR="00C055AC">
        <w:t>,</w:t>
      </w:r>
      <w:r w:rsidRPr="00D517FD">
        <w:t xml:space="preserve"> and social assistance policies for women living with HIV/AIDS.</w:t>
      </w:r>
    </w:p>
    <w:p w:rsidR="009F3C40" w:rsidRPr="00D517FD" w:rsidRDefault="00C055AC" w:rsidP="009F3C40">
      <w:pPr>
        <w:pStyle w:val="BodyText"/>
      </w:pPr>
      <w:r>
        <w:t>‘</w:t>
      </w:r>
      <w:r w:rsidR="009F3C40" w:rsidRPr="00D517FD">
        <w:t>Women and children’s rights</w:t>
      </w:r>
      <w:r>
        <w:t>’</w:t>
      </w:r>
      <w:r w:rsidR="009F3C40" w:rsidRPr="00D517FD">
        <w:t xml:space="preserve"> is a theme of </w:t>
      </w:r>
      <w:r w:rsidR="00F13829">
        <w:t xml:space="preserve">the </w:t>
      </w:r>
      <w:r w:rsidR="00D21845" w:rsidRPr="00D517FD">
        <w:t>Human Rights Technical Cooperation Program</w:t>
      </w:r>
      <w:r>
        <w:t>,</w:t>
      </w:r>
      <w:r w:rsidR="009F3C40" w:rsidRPr="00D517FD">
        <w:t xml:space="preserve"> which has helped </w:t>
      </w:r>
      <w:r w:rsidR="006D39F2">
        <w:t xml:space="preserve">to </w:t>
      </w:r>
      <w:r w:rsidR="009F3C40" w:rsidRPr="00D517FD">
        <w:t xml:space="preserve">develop and implement a number of </w:t>
      </w:r>
      <w:r w:rsidR="006D39F2">
        <w:t xml:space="preserve">measures against </w:t>
      </w:r>
      <w:r w:rsidR="009F3C40" w:rsidRPr="00D517FD">
        <w:t>domestic violence including hotlines, regulations in most provinces and autonomous regions</w:t>
      </w:r>
      <w:r w:rsidR="006D39F2">
        <w:t>,</w:t>
      </w:r>
      <w:r w:rsidR="009F3C40" w:rsidRPr="00D517FD">
        <w:t xml:space="preserve"> and provincial consultative</w:t>
      </w:r>
      <w:r w:rsidR="006D39F2">
        <w:t xml:space="preserve"> </w:t>
      </w:r>
      <w:r w:rsidR="009F3C40" w:rsidRPr="00D517FD">
        <w:t xml:space="preserve">mechanisms. </w:t>
      </w:r>
      <w:r w:rsidR="00B84061">
        <w:t xml:space="preserve">The </w:t>
      </w:r>
      <w:r w:rsidR="00B84061" w:rsidRPr="00D517FD">
        <w:t xml:space="preserve">China Australia Governance Program </w:t>
      </w:r>
      <w:r w:rsidR="009F3C40" w:rsidRPr="00D517FD">
        <w:t>has contributed to the development of gender</w:t>
      </w:r>
      <w:r w:rsidR="006D39F2">
        <w:t>-</w:t>
      </w:r>
      <w:r w:rsidR="009F3C40" w:rsidRPr="00D517FD">
        <w:t>responsive budgeting that is well accepted by counterparts.</w:t>
      </w:r>
    </w:p>
    <w:p w:rsidR="00C42A19" w:rsidRPr="00D517FD" w:rsidRDefault="00C42A19" w:rsidP="00E038B5">
      <w:pPr>
        <w:pStyle w:val="Heading3nonumber"/>
        <w:spacing w:before="320"/>
      </w:pPr>
      <w:r w:rsidRPr="00D517FD">
        <w:lastRenderedPageBreak/>
        <w:t>Estimated expenditure</w:t>
      </w:r>
    </w:p>
    <w:p w:rsidR="00C42A19" w:rsidRPr="00D517FD" w:rsidRDefault="00C42A19" w:rsidP="00C42A19">
      <w:pPr>
        <w:pStyle w:val="BodyText"/>
      </w:pPr>
      <w:r w:rsidRPr="00D517FD">
        <w:t>An estimated 70</w:t>
      </w:r>
      <w:r w:rsidR="009F200B" w:rsidRPr="00D517FD">
        <w:t> per cent</w:t>
      </w:r>
      <w:r w:rsidRPr="00D517FD">
        <w:t xml:space="preserve"> </w:t>
      </w:r>
      <w:r w:rsidR="006D39F2">
        <w:t xml:space="preserve">($…) </w:t>
      </w:r>
      <w:r w:rsidRPr="00D517FD">
        <w:t xml:space="preserve">of the China program’s 2007–08 budget was </w:t>
      </w:r>
      <w:r w:rsidR="0074025A">
        <w:t>for</w:t>
      </w:r>
      <w:r w:rsidRPr="00D517FD">
        <w:t xml:space="preserve"> this objective.</w:t>
      </w:r>
      <w:r w:rsidR="00AA700F" w:rsidRPr="00D517FD">
        <w:t xml:space="preserve"> </w:t>
      </w:r>
    </w:p>
    <w:p w:rsidR="009F3C40" w:rsidRPr="00D517FD" w:rsidRDefault="00C42A19" w:rsidP="00C42A19">
      <w:pPr>
        <w:pStyle w:val="Heading2nonumber"/>
      </w:pPr>
      <w:bookmarkStart w:id="24" w:name="_Toc360805215"/>
      <w:r w:rsidRPr="00D517FD">
        <w:rPr>
          <w:color w:val="auto"/>
        </w:rPr>
        <w:t>Objective 2</w:t>
      </w:r>
      <w:proofErr w:type="gramStart"/>
      <w:r w:rsidRPr="00D517FD">
        <w:rPr>
          <w:color w:val="auto"/>
        </w:rPr>
        <w:t>:</w:t>
      </w:r>
      <w:proofErr w:type="gramEnd"/>
      <w:r w:rsidRPr="00D517FD">
        <w:rPr>
          <w:color w:val="auto"/>
        </w:rPr>
        <w:br/>
      </w:r>
      <w:r w:rsidRPr="00D517FD">
        <w:t>Enhance Australia–China relationship through development cooperation</w:t>
      </w:r>
      <w:bookmarkEnd w:id="24"/>
    </w:p>
    <w:p w:rsidR="005848BD" w:rsidRPr="00D517FD" w:rsidRDefault="005848BD" w:rsidP="00E038B5">
      <w:pPr>
        <w:pStyle w:val="Heading3nonumber"/>
        <w:spacing w:before="320"/>
      </w:pPr>
      <w:r w:rsidRPr="00D517FD">
        <w:t>RAting</w:t>
      </w:r>
    </w:p>
    <w:p w:rsidR="005848BD" w:rsidRPr="00D517FD" w:rsidRDefault="00EF018F" w:rsidP="00E038B5">
      <w:pPr>
        <w:pStyle w:val="HighlightBulletGreen"/>
        <w:tabs>
          <w:tab w:val="clear" w:pos="0"/>
        </w:tabs>
        <w:spacing w:before="140"/>
        <w:ind w:hanging="567"/>
      </w:pPr>
      <w:r>
        <w:t xml:space="preserve">(green) </w:t>
      </w:r>
      <w:r w:rsidR="005848BD" w:rsidRPr="00D517FD">
        <w:t>The objective is on track to be fully achieved within the timeframe.</w:t>
      </w:r>
    </w:p>
    <w:p w:rsidR="005848BD" w:rsidRPr="00D517FD" w:rsidRDefault="005848BD" w:rsidP="00E038B5">
      <w:pPr>
        <w:pStyle w:val="Heading3nonumber"/>
        <w:spacing w:before="320"/>
      </w:pPr>
      <w:r w:rsidRPr="00D517FD">
        <w:t>Assessment of results and performance</w:t>
      </w:r>
    </w:p>
    <w:p w:rsidR="009F3C40" w:rsidRPr="00D517FD" w:rsidRDefault="009F3C40" w:rsidP="00E038B5">
      <w:pPr>
        <w:pStyle w:val="Heading4"/>
        <w:numPr>
          <w:ilvl w:val="3"/>
          <w:numId w:val="35"/>
        </w:numPr>
        <w:spacing w:before="240"/>
        <w:ind w:left="0"/>
      </w:pPr>
      <w:r w:rsidRPr="00D517FD">
        <w:t>Expected outcome</w:t>
      </w:r>
      <w:r w:rsidR="005848BD" w:rsidRPr="00D517FD">
        <w:t>—</w:t>
      </w:r>
      <w:r w:rsidRPr="00D517FD">
        <w:t>evidence of broadening the government</w:t>
      </w:r>
      <w:r w:rsidR="006D39F2">
        <w:t>-</w:t>
      </w:r>
      <w:r w:rsidRPr="00D517FD">
        <w:t>to</w:t>
      </w:r>
      <w:r w:rsidR="006D39F2">
        <w:t>-</w:t>
      </w:r>
      <w:r w:rsidRPr="00D517FD">
        <w:t>government base for cooperation on development issues</w:t>
      </w:r>
    </w:p>
    <w:p w:rsidR="009F3C40" w:rsidRPr="00D517FD" w:rsidRDefault="009F3C40" w:rsidP="009F3C40">
      <w:pPr>
        <w:pStyle w:val="BodyText"/>
      </w:pPr>
      <w:r w:rsidRPr="00D517FD">
        <w:t xml:space="preserve">There is considerable evidence </w:t>
      </w:r>
      <w:r w:rsidR="00B84061">
        <w:t>that</w:t>
      </w:r>
      <w:r w:rsidR="00B84061" w:rsidRPr="00D517FD">
        <w:t xml:space="preserve"> </w:t>
      </w:r>
      <w:r w:rsidRPr="00D517FD">
        <w:t xml:space="preserve">Australia’s development cooperation </w:t>
      </w:r>
      <w:r w:rsidR="00B84061">
        <w:t xml:space="preserve">has </w:t>
      </w:r>
      <w:r w:rsidRPr="00D517FD">
        <w:t>enhanc</w:t>
      </w:r>
      <w:r w:rsidR="00B84061">
        <w:t>ed</w:t>
      </w:r>
      <w:r w:rsidRPr="00D517FD">
        <w:t xml:space="preserve"> the Australia</w:t>
      </w:r>
      <w:r w:rsidR="00B84061">
        <w:t>–</w:t>
      </w:r>
      <w:r w:rsidRPr="00D517FD">
        <w:t xml:space="preserve">China relationship in the governance sector where the </w:t>
      </w:r>
      <w:r w:rsidR="00B84061" w:rsidRPr="00D517FD">
        <w:t>China Australia Governance Program</w:t>
      </w:r>
      <w:r w:rsidR="00B84061">
        <w:t xml:space="preserve"> </w:t>
      </w:r>
      <w:r w:rsidRPr="00D517FD">
        <w:t xml:space="preserve">and the </w:t>
      </w:r>
      <w:r w:rsidR="00D21845" w:rsidRPr="00D517FD">
        <w:t>Human Rights Technical Cooperation Program</w:t>
      </w:r>
      <w:r w:rsidR="00D21845">
        <w:t xml:space="preserve"> </w:t>
      </w:r>
      <w:r w:rsidRPr="00D517FD">
        <w:t>have established strong links between key Australian and Chinese agencies.</w:t>
      </w:r>
      <w:r w:rsidR="00AA700F" w:rsidRPr="00D517FD">
        <w:t xml:space="preserve"> </w:t>
      </w:r>
      <w:r w:rsidRPr="00D517FD">
        <w:t>The number of Chinese government, semi-government and non-government agencies involved in implement</w:t>
      </w:r>
      <w:r w:rsidR="00B84061">
        <w:t>ing</w:t>
      </w:r>
      <w:r w:rsidRPr="00D517FD">
        <w:t xml:space="preserve"> activities </w:t>
      </w:r>
      <w:r w:rsidR="00D21845">
        <w:t xml:space="preserve">of the human rights program </w:t>
      </w:r>
      <w:r w:rsidRPr="00D517FD">
        <w:t xml:space="preserve">expanded from 3 to 16 between 1998 and 2008. </w:t>
      </w:r>
      <w:r w:rsidR="00B84061">
        <w:t>Non-government</w:t>
      </w:r>
      <w:r w:rsidR="00B84061" w:rsidRPr="00D517FD">
        <w:t xml:space="preserve"> </w:t>
      </w:r>
      <w:r w:rsidRPr="00D517FD">
        <w:t xml:space="preserve">and semi-government organisations include the All-China Women’s Federation, </w:t>
      </w:r>
      <w:r w:rsidR="00B84061">
        <w:t xml:space="preserve">the </w:t>
      </w:r>
      <w:r w:rsidRPr="00D517FD">
        <w:t>United Nations Association of China and the Beijing Legal Aid Work Station for Migrant Workers.</w:t>
      </w:r>
      <w:r w:rsidR="00AA700F" w:rsidRPr="00D517FD">
        <w:t xml:space="preserve"> </w:t>
      </w:r>
    </w:p>
    <w:p w:rsidR="009F3C40" w:rsidRPr="00D517FD" w:rsidRDefault="009F3C40" w:rsidP="009F3C40">
      <w:pPr>
        <w:pStyle w:val="BodyText"/>
      </w:pPr>
      <w:r w:rsidRPr="00D517FD">
        <w:t xml:space="preserve">Examples of relationships built through </w:t>
      </w:r>
      <w:r w:rsidR="00B84061" w:rsidRPr="00D517FD">
        <w:t>the China Australia Governance Program</w:t>
      </w:r>
      <w:r w:rsidR="00B84061">
        <w:t xml:space="preserve"> </w:t>
      </w:r>
      <w:r w:rsidRPr="00D517FD">
        <w:t xml:space="preserve">include those between Australia’s </w:t>
      </w:r>
      <w:proofErr w:type="spellStart"/>
      <w:r w:rsidRPr="00D517FD">
        <w:t>Centrelink</w:t>
      </w:r>
      <w:proofErr w:type="spellEnd"/>
      <w:r w:rsidRPr="00D517FD">
        <w:t xml:space="preserve"> and China’s Ministry of Labour and Social Security</w:t>
      </w:r>
      <w:r w:rsidR="006D39F2">
        <w:t>,</w:t>
      </w:r>
      <w:r w:rsidRPr="00D517FD">
        <w:t xml:space="preserve"> Australia’s Productivity Commission and China’s National Development and Reform Commission</w:t>
      </w:r>
      <w:r w:rsidR="006D39F2">
        <w:t>,</w:t>
      </w:r>
      <w:r w:rsidRPr="00D517FD">
        <w:t xml:space="preserve"> Australia</w:t>
      </w:r>
      <w:r w:rsidR="006D39F2">
        <w:t>’s</w:t>
      </w:r>
      <w:r w:rsidRPr="00D517FD">
        <w:t xml:space="preserve"> Treasury and China’s Ministry of Finance</w:t>
      </w:r>
      <w:r w:rsidR="006D39F2">
        <w:t>,</w:t>
      </w:r>
      <w:r w:rsidRPr="00D517FD">
        <w:t xml:space="preserve"> and </w:t>
      </w:r>
      <w:r w:rsidR="006D39F2" w:rsidRPr="00D517FD">
        <w:t>the Australian Federal Court</w:t>
      </w:r>
      <w:r w:rsidR="006D39F2">
        <w:t xml:space="preserve"> and </w:t>
      </w:r>
      <w:r w:rsidRPr="00D517FD">
        <w:t xml:space="preserve">China’s Supreme People’s Court. </w:t>
      </w:r>
      <w:r w:rsidR="00DA6DA4">
        <w:t>The i</w:t>
      </w:r>
      <w:r w:rsidRPr="00D517FD">
        <w:t>ncreased engagement between Australian and Chinese government agencies was demonstrated by an estimated 30</w:t>
      </w:r>
      <w:r w:rsidR="009F200B" w:rsidRPr="00D517FD">
        <w:t> per cent</w:t>
      </w:r>
      <w:r w:rsidRPr="00D517FD">
        <w:t xml:space="preserve"> increase between 2006</w:t>
      </w:r>
      <w:r w:rsidR="006D39F2">
        <w:t>–</w:t>
      </w:r>
      <w:r w:rsidRPr="00D517FD">
        <w:t>07 and 2007</w:t>
      </w:r>
      <w:r w:rsidR="006D39F2">
        <w:t>–</w:t>
      </w:r>
      <w:r w:rsidRPr="00D517FD">
        <w:t xml:space="preserve">08 in ODA delivered directly to China through other Australian </w:t>
      </w:r>
      <w:r w:rsidR="006D39F2" w:rsidRPr="00D517FD">
        <w:t>government departments</w:t>
      </w:r>
      <w:r w:rsidRPr="00D517FD">
        <w:t>.</w:t>
      </w:r>
    </w:p>
    <w:p w:rsidR="009F3C40" w:rsidRPr="00D517FD" w:rsidRDefault="009F3C40" w:rsidP="009F3C40">
      <w:pPr>
        <w:pStyle w:val="BodyText"/>
      </w:pPr>
      <w:r w:rsidRPr="00D517FD">
        <w:t>There are promising signs of broadening government</w:t>
      </w:r>
      <w:r w:rsidR="006D39F2">
        <w:t>-</w:t>
      </w:r>
      <w:r w:rsidRPr="00D517FD">
        <w:t>to</w:t>
      </w:r>
      <w:r w:rsidR="006D39F2">
        <w:t>-</w:t>
      </w:r>
      <w:r w:rsidRPr="00D517FD">
        <w:t xml:space="preserve">government cooperation in </w:t>
      </w:r>
      <w:r w:rsidR="00DA6DA4">
        <w:t xml:space="preserve">the </w:t>
      </w:r>
      <w:r w:rsidRPr="00D517FD">
        <w:t>health and environment</w:t>
      </w:r>
      <w:r w:rsidR="00DA6DA4">
        <w:t xml:space="preserve"> sectors</w:t>
      </w:r>
      <w:r w:rsidRPr="00D517FD">
        <w:t xml:space="preserve">, where </w:t>
      </w:r>
      <w:r w:rsidR="00DA6DA4">
        <w:t>the</w:t>
      </w:r>
      <w:r w:rsidR="00DA6DA4" w:rsidRPr="00D517FD">
        <w:t xml:space="preserve"> </w:t>
      </w:r>
      <w:r w:rsidRPr="00D517FD">
        <w:t>new facilities have attracted strong interest from both Chinese and Australian organi</w:t>
      </w:r>
      <w:r w:rsidR="006D39F2">
        <w:t>s</w:t>
      </w:r>
      <w:r w:rsidRPr="00D517FD">
        <w:t>ations.</w:t>
      </w:r>
      <w:r w:rsidR="00AA700F" w:rsidRPr="00D517FD">
        <w:t xml:space="preserve"> </w:t>
      </w:r>
      <w:r w:rsidRPr="00D517FD">
        <w:t>In the first call for proposals the health facility received more than 260 proposals and the environment facility more than 55.</w:t>
      </w:r>
      <w:r w:rsidR="00AA700F" w:rsidRPr="00D517FD">
        <w:t xml:space="preserve"> </w:t>
      </w:r>
      <w:r w:rsidRPr="00D517FD">
        <w:t>In the environment sector, the WET project has been particularly successful in developing mutually</w:t>
      </w:r>
      <w:r w:rsidR="006D39F2">
        <w:t xml:space="preserve"> </w:t>
      </w:r>
      <w:r w:rsidRPr="00D517FD">
        <w:t xml:space="preserve">supportive links between China’s </w:t>
      </w:r>
      <w:r w:rsidR="006D39F2" w:rsidRPr="00D517FD">
        <w:t>Ministry of Water Resources</w:t>
      </w:r>
      <w:r w:rsidRPr="00D517FD">
        <w:t xml:space="preserve">, Australia’s </w:t>
      </w:r>
      <w:r w:rsidR="00B9766C" w:rsidRPr="00D517FD">
        <w:t>Department of the Environment, Water, Heritage and the Arts</w:t>
      </w:r>
      <w:r w:rsidRPr="00D517FD">
        <w:t xml:space="preserve"> and Queensland’s Department of </w:t>
      </w:r>
      <w:r w:rsidR="00163BFB">
        <w:t>Natural Resources and Water</w:t>
      </w:r>
      <w:r w:rsidRPr="00D517FD">
        <w:t>.</w:t>
      </w:r>
      <w:r w:rsidR="00AA700F" w:rsidRPr="00D517FD">
        <w:t xml:space="preserve"> </w:t>
      </w:r>
    </w:p>
    <w:p w:rsidR="009F3C40" w:rsidRPr="00D517FD" w:rsidRDefault="009F3C40" w:rsidP="005848BD">
      <w:pPr>
        <w:pStyle w:val="Heading4"/>
        <w:numPr>
          <w:ilvl w:val="3"/>
          <w:numId w:val="35"/>
        </w:numPr>
        <w:ind w:left="0"/>
      </w:pPr>
      <w:r w:rsidRPr="00D517FD">
        <w:lastRenderedPageBreak/>
        <w:t>Expected outcome</w:t>
      </w:r>
      <w:r w:rsidR="005848BD" w:rsidRPr="00D517FD">
        <w:t>—</w:t>
      </w:r>
      <w:r w:rsidRPr="00D517FD">
        <w:t>evidence of enhanced working relations between Chinese and Australia institutions</w:t>
      </w:r>
    </w:p>
    <w:p w:rsidR="009F3C40" w:rsidRPr="00D517FD" w:rsidRDefault="009F3C40" w:rsidP="009F3C40">
      <w:pPr>
        <w:pStyle w:val="BodyText"/>
      </w:pPr>
      <w:r w:rsidRPr="00D517FD">
        <w:t xml:space="preserve">There is also evidence of </w:t>
      </w:r>
      <w:r w:rsidR="00F13829">
        <w:t>‘</w:t>
      </w:r>
      <w:r w:rsidRPr="00D517FD">
        <w:t>deepening</w:t>
      </w:r>
      <w:r w:rsidR="00F13829">
        <w:t>’</w:t>
      </w:r>
      <w:r w:rsidRPr="00D517FD">
        <w:t xml:space="preserve"> relationships facilitated by strategies of progressive engagement.</w:t>
      </w:r>
      <w:r w:rsidR="00AA700F" w:rsidRPr="00D517FD">
        <w:t xml:space="preserve"> </w:t>
      </w:r>
      <w:r w:rsidRPr="00D517FD">
        <w:t xml:space="preserve">The </w:t>
      </w:r>
      <w:r w:rsidR="00D21845" w:rsidRPr="00D517FD">
        <w:t>Human Rights Technical Cooperation Program</w:t>
      </w:r>
      <w:r w:rsidRPr="00D517FD">
        <w:t>, for example, has progressed into increasingly sensitive issues, such as family planning, prisoner integration, juvenile justice, domestic violence and anticorruption.</w:t>
      </w:r>
      <w:r w:rsidR="00AA700F" w:rsidRPr="00D517FD">
        <w:t xml:space="preserve"> </w:t>
      </w:r>
      <w:r w:rsidRPr="00D517FD">
        <w:t xml:space="preserve">Under </w:t>
      </w:r>
      <w:r w:rsidR="00F13829">
        <w:t xml:space="preserve">the </w:t>
      </w:r>
      <w:r w:rsidR="00F13829" w:rsidRPr="00D517FD">
        <w:t xml:space="preserve">China Australia Governance Program </w:t>
      </w:r>
      <w:r w:rsidRPr="00D517FD">
        <w:t>an activity on legal professional development led to job placements with agencies in Australia for six Chinese lawyers and two government officials</w:t>
      </w:r>
      <w:r w:rsidR="00DA6DA4">
        <w:t>,</w:t>
      </w:r>
      <w:r w:rsidRPr="00D517FD">
        <w:t xml:space="preserve"> and a legal exchange program resulted in subsequent independent contacts between Chinese and Australian organi</w:t>
      </w:r>
      <w:r w:rsidR="00F13829">
        <w:t>s</w:t>
      </w:r>
      <w:r w:rsidRPr="00D517FD">
        <w:t>ations.</w:t>
      </w:r>
    </w:p>
    <w:p w:rsidR="009F3C40" w:rsidRPr="00D517FD" w:rsidRDefault="009F3C40" w:rsidP="009F3C40">
      <w:pPr>
        <w:pStyle w:val="BodyText"/>
      </w:pPr>
      <w:r w:rsidRPr="00D517FD">
        <w:t>The Australia</w:t>
      </w:r>
      <w:r w:rsidR="00F13829">
        <w:t>–</w:t>
      </w:r>
      <w:r w:rsidRPr="00D517FD">
        <w:t>China Chongqing Vocational Education and Training Project (2002</w:t>
      </w:r>
      <w:r w:rsidR="00F13829">
        <w:t>–</w:t>
      </w:r>
      <w:r w:rsidRPr="00D517FD">
        <w:t>07)</w:t>
      </w:r>
      <w:r w:rsidR="00DA6DA4">
        <w:t xml:space="preserve">, which </w:t>
      </w:r>
      <w:r w:rsidR="00DA6DA4" w:rsidRPr="00D517FD">
        <w:t>was a high priority of China’s Ministry of Education</w:t>
      </w:r>
      <w:r w:rsidR="00DA6DA4">
        <w:t>,</w:t>
      </w:r>
      <w:r w:rsidRPr="00D517FD">
        <w:t xml:space="preserve"> provided valuable lessons for developing activities to enhance Australia</w:t>
      </w:r>
      <w:r w:rsidR="00F13829">
        <w:t>–</w:t>
      </w:r>
      <w:r w:rsidRPr="00D517FD">
        <w:t>China relations and build capacity.</w:t>
      </w:r>
      <w:r w:rsidR="00AA700F" w:rsidRPr="00D517FD">
        <w:t xml:space="preserve"> </w:t>
      </w:r>
      <w:r w:rsidR="00DA6DA4" w:rsidRPr="00D517FD">
        <w:t>The Australian model of vocational education and training was particularly appropriate</w:t>
      </w:r>
      <w:r w:rsidR="00DA6DA4">
        <w:t>,</w:t>
      </w:r>
      <w:r w:rsidR="00DA6DA4" w:rsidRPr="00D517FD">
        <w:t xml:space="preserve"> and the partnering approach contributed to the development of strong mutually beneficial relationships.</w:t>
      </w:r>
      <w:r w:rsidR="00DA6DA4">
        <w:t xml:space="preserve"> </w:t>
      </w:r>
      <w:r w:rsidRPr="00D517FD">
        <w:t xml:space="preserve">It delivered outstanding results in the development of </w:t>
      </w:r>
      <w:r w:rsidR="00BC2FDC" w:rsidRPr="00D517FD">
        <w:t xml:space="preserve">vocational education and training </w:t>
      </w:r>
      <w:r w:rsidRPr="00D517FD">
        <w:t>policy, industry links, institutional management</w:t>
      </w:r>
      <w:r w:rsidR="00BC2FDC">
        <w:t>,</w:t>
      </w:r>
      <w:r w:rsidRPr="00D517FD">
        <w:t xml:space="preserve"> and teaching, learning and assessment methods.</w:t>
      </w:r>
    </w:p>
    <w:p w:rsidR="009F3C40" w:rsidRPr="00D517FD" w:rsidRDefault="009F3C40" w:rsidP="005848BD">
      <w:pPr>
        <w:pStyle w:val="Heading4"/>
        <w:numPr>
          <w:ilvl w:val="3"/>
          <w:numId w:val="35"/>
        </w:numPr>
        <w:ind w:left="0"/>
      </w:pPr>
      <w:r w:rsidRPr="00D517FD">
        <w:t>Gender</w:t>
      </w:r>
    </w:p>
    <w:p w:rsidR="009F3C40" w:rsidRPr="00D517FD" w:rsidRDefault="009F3C40" w:rsidP="009F3C40">
      <w:pPr>
        <w:pStyle w:val="BodyText"/>
      </w:pPr>
      <w:r w:rsidRPr="00D517FD">
        <w:t xml:space="preserve">Strong relationships have developed </w:t>
      </w:r>
      <w:r w:rsidRPr="00D517FD">
        <w:rPr>
          <w:bCs/>
        </w:rPr>
        <w:t xml:space="preserve">between Australia and the </w:t>
      </w:r>
      <w:r w:rsidRPr="00D517FD">
        <w:t>All-China Women’s Federation</w:t>
      </w:r>
      <w:r w:rsidRPr="00D517FD">
        <w:rPr>
          <w:bCs/>
        </w:rPr>
        <w:t xml:space="preserve"> through </w:t>
      </w:r>
      <w:r w:rsidR="00BC2FDC">
        <w:rPr>
          <w:bCs/>
        </w:rPr>
        <w:t xml:space="preserve">the </w:t>
      </w:r>
      <w:r w:rsidR="00D21845" w:rsidRPr="00D517FD">
        <w:t>Human Rights Technical Cooperation Program</w:t>
      </w:r>
      <w:r w:rsidRPr="00D517FD">
        <w:rPr>
          <w:bCs/>
        </w:rPr>
        <w:t>.</w:t>
      </w:r>
      <w:r w:rsidR="00AA700F" w:rsidRPr="00D517FD">
        <w:rPr>
          <w:bCs/>
        </w:rPr>
        <w:t xml:space="preserve"> </w:t>
      </w:r>
    </w:p>
    <w:p w:rsidR="005848BD" w:rsidRPr="00D517FD" w:rsidRDefault="005848BD" w:rsidP="005848BD">
      <w:pPr>
        <w:pStyle w:val="Heading3nonumber"/>
      </w:pPr>
      <w:r w:rsidRPr="00D517FD">
        <w:t>Estimated expenditure</w:t>
      </w:r>
    </w:p>
    <w:p w:rsidR="005848BD" w:rsidRPr="00D517FD" w:rsidRDefault="005848BD" w:rsidP="00BC2FDC">
      <w:pPr>
        <w:pStyle w:val="BodyText"/>
      </w:pPr>
      <w:r w:rsidRPr="00D517FD">
        <w:t>An estimated 23</w:t>
      </w:r>
      <w:r w:rsidR="009F200B" w:rsidRPr="00D517FD">
        <w:t> per cent</w:t>
      </w:r>
      <w:r w:rsidRPr="00D517FD">
        <w:t xml:space="preserve"> </w:t>
      </w:r>
      <w:r w:rsidR="00BC2FDC">
        <w:t xml:space="preserve">($…) </w:t>
      </w:r>
      <w:r w:rsidRPr="00D517FD">
        <w:t xml:space="preserve">of the China </w:t>
      </w:r>
      <w:r w:rsidR="00BC2FDC" w:rsidRPr="00D517FD">
        <w:t xml:space="preserve">program’s </w:t>
      </w:r>
      <w:r w:rsidRPr="00D517FD">
        <w:t>2007</w:t>
      </w:r>
      <w:r w:rsidR="00BC2FDC">
        <w:t>–</w:t>
      </w:r>
      <w:r w:rsidRPr="00D517FD">
        <w:t xml:space="preserve">08 budget </w:t>
      </w:r>
      <w:r w:rsidR="00BC2FDC">
        <w:t>was</w:t>
      </w:r>
      <w:r w:rsidRPr="00D517FD">
        <w:t xml:space="preserve"> </w:t>
      </w:r>
      <w:r w:rsidR="00DA6DA4">
        <w:t xml:space="preserve">for </w:t>
      </w:r>
      <w:r w:rsidRPr="00D517FD">
        <w:t>this objective.</w:t>
      </w:r>
    </w:p>
    <w:p w:rsidR="009F3C40" w:rsidRPr="00D517FD" w:rsidRDefault="009F3C40" w:rsidP="005848BD">
      <w:pPr>
        <w:pStyle w:val="Heading2nonumber"/>
      </w:pPr>
      <w:bookmarkStart w:id="25" w:name="_Toc360805216"/>
      <w:r w:rsidRPr="00D517FD">
        <w:rPr>
          <w:color w:val="auto"/>
        </w:rPr>
        <w:t xml:space="preserve">Objective </w:t>
      </w:r>
      <w:r w:rsidR="005848BD" w:rsidRPr="00D517FD">
        <w:rPr>
          <w:color w:val="auto"/>
        </w:rPr>
        <w:t>3</w:t>
      </w:r>
      <w:proofErr w:type="gramStart"/>
      <w:r w:rsidR="005848BD" w:rsidRPr="00D517FD">
        <w:rPr>
          <w:color w:val="auto"/>
        </w:rPr>
        <w:t>:</w:t>
      </w:r>
      <w:proofErr w:type="gramEnd"/>
      <w:r w:rsidR="005848BD" w:rsidRPr="00D517FD">
        <w:rPr>
          <w:color w:val="auto"/>
        </w:rPr>
        <w:br/>
      </w:r>
      <w:r w:rsidR="005848BD" w:rsidRPr="00D517FD">
        <w:t>Working collaboratively to strengthen the region</w:t>
      </w:r>
      <w:bookmarkEnd w:id="25"/>
    </w:p>
    <w:p w:rsidR="005848BD" w:rsidRPr="00D517FD" w:rsidRDefault="005848BD" w:rsidP="005848BD">
      <w:pPr>
        <w:pStyle w:val="Heading3nonumber"/>
      </w:pPr>
      <w:r w:rsidRPr="00D517FD">
        <w:t>Rating</w:t>
      </w:r>
    </w:p>
    <w:p w:rsidR="005848BD" w:rsidRPr="00D517FD" w:rsidRDefault="00EF018F" w:rsidP="005848BD">
      <w:pPr>
        <w:pStyle w:val="HighlightBulletRed"/>
        <w:tabs>
          <w:tab w:val="clear" w:pos="0"/>
        </w:tabs>
        <w:ind w:hanging="567"/>
      </w:pPr>
      <w:r>
        <w:t xml:space="preserve">(red) </w:t>
      </w:r>
      <w:r w:rsidR="005848BD" w:rsidRPr="00D517FD">
        <w:t>The objective is unlikely to be achieved within the timeframe.</w:t>
      </w:r>
    </w:p>
    <w:p w:rsidR="005848BD" w:rsidRPr="00D517FD" w:rsidRDefault="005848BD" w:rsidP="005848BD">
      <w:pPr>
        <w:pStyle w:val="Heading3nonumber"/>
      </w:pPr>
      <w:r w:rsidRPr="00D517FD">
        <w:t>Assessment of results and performance</w:t>
      </w:r>
    </w:p>
    <w:p w:rsidR="009F3C40" w:rsidRPr="00D517FD" w:rsidRDefault="009F3C40" w:rsidP="009F3C40">
      <w:pPr>
        <w:pStyle w:val="BodyText"/>
      </w:pPr>
      <w:r w:rsidRPr="00D517FD">
        <w:t>China program managers note</w:t>
      </w:r>
      <w:r w:rsidR="00DA6DA4">
        <w:t>d</w:t>
      </w:r>
      <w:r w:rsidRPr="00D517FD">
        <w:t xml:space="preserve"> the relevance and high priority of working with China in the region.</w:t>
      </w:r>
      <w:r w:rsidR="00AA700F" w:rsidRPr="00D517FD">
        <w:t xml:space="preserve"> </w:t>
      </w:r>
      <w:r w:rsidRPr="00D517FD">
        <w:t>However, the wording of this objective and its key expected outcome</w:t>
      </w:r>
      <w:r w:rsidR="00BC2FDC" w:rsidRPr="00D517FD">
        <w:t>—evidence of dialogue with China on development cooperation delivery to the Asia-Pacific region</w:t>
      </w:r>
      <w:r w:rsidR="00BC2FDC">
        <w:t>—</w:t>
      </w:r>
      <w:r w:rsidRPr="00D517FD">
        <w:t>do not accurately reflect the purpose of this work</w:t>
      </w:r>
      <w:r w:rsidR="00BC2FDC">
        <w:t>, which is</w:t>
      </w:r>
      <w:r w:rsidRPr="00D517FD">
        <w:t xml:space="preserve"> to collaborate with China on priority regional development challenges</w:t>
      </w:r>
      <w:r w:rsidR="00DA6DA4">
        <w:t>,</w:t>
      </w:r>
      <w:r w:rsidRPr="00D517FD">
        <w:t xml:space="preserve"> including as donors. </w:t>
      </w:r>
    </w:p>
    <w:p w:rsidR="009F3C40" w:rsidRPr="00D517FD" w:rsidRDefault="009F3C40" w:rsidP="009F3C40">
      <w:pPr>
        <w:pStyle w:val="BodyText"/>
      </w:pPr>
      <w:r w:rsidRPr="00D517FD">
        <w:lastRenderedPageBreak/>
        <w:t>In 2007 the first senior</w:t>
      </w:r>
      <w:r w:rsidR="00BC2FDC">
        <w:t>-</w:t>
      </w:r>
      <w:r w:rsidRPr="00D517FD">
        <w:t xml:space="preserve">level meeting between AusAID and the Department of Aid to Foreign Countries of </w:t>
      </w:r>
      <w:r w:rsidR="00BC2FDC">
        <w:t>China’s</w:t>
      </w:r>
      <w:r w:rsidR="00BC2FDC" w:rsidRPr="00D517FD">
        <w:t xml:space="preserve"> </w:t>
      </w:r>
      <w:r w:rsidRPr="00D517FD">
        <w:t>Ministry of Commerce discussed China’s aid policies and programs and Australia’s approach to aid effectiveness.</w:t>
      </w:r>
      <w:r w:rsidR="00AA700F" w:rsidRPr="00D517FD">
        <w:t xml:space="preserve"> </w:t>
      </w:r>
      <w:r w:rsidRPr="00D517FD">
        <w:t xml:space="preserve">This was the first meeting between the Director General of </w:t>
      </w:r>
      <w:r w:rsidR="00BC2FDC">
        <w:t>the department</w:t>
      </w:r>
      <w:r w:rsidR="00BC2FDC" w:rsidRPr="00D517FD">
        <w:t xml:space="preserve"> </w:t>
      </w:r>
      <w:r w:rsidRPr="00D517FD">
        <w:t xml:space="preserve">and a western donor </w:t>
      </w:r>
      <w:r w:rsidR="00BC2FDC">
        <w:t>agency</w:t>
      </w:r>
      <w:r w:rsidRPr="00D517FD">
        <w:t>.</w:t>
      </w:r>
      <w:r w:rsidR="00AA700F" w:rsidRPr="00D517FD">
        <w:t xml:space="preserve"> </w:t>
      </w:r>
      <w:r w:rsidRPr="00D517FD">
        <w:t>A follow</w:t>
      </w:r>
      <w:r w:rsidR="00BC2FDC">
        <w:t>-</w:t>
      </w:r>
      <w:r w:rsidRPr="00D517FD">
        <w:t>up meeting later in 2007 discussed Chin</w:t>
      </w:r>
      <w:r w:rsidR="00BC2FDC">
        <w:t>a’s</w:t>
      </w:r>
      <w:r w:rsidRPr="00D517FD">
        <w:t xml:space="preserve"> aid to the Pacific and agreed to continue this dialogue.</w:t>
      </w:r>
      <w:r w:rsidR="00AA700F" w:rsidRPr="00D517FD">
        <w:t xml:space="preserve"> </w:t>
      </w:r>
      <w:r w:rsidRPr="00D517FD">
        <w:t xml:space="preserve">A </w:t>
      </w:r>
      <w:r w:rsidR="00DA6DA4">
        <w:t xml:space="preserve">planned </w:t>
      </w:r>
      <w:r w:rsidRPr="00D517FD">
        <w:t xml:space="preserve">study tour </w:t>
      </w:r>
      <w:r w:rsidR="00BC2FDC">
        <w:t xml:space="preserve">by </w:t>
      </w:r>
      <w:r w:rsidR="00BC2FDC" w:rsidRPr="00D517FD">
        <w:t xml:space="preserve">the Department of Aid to Foreign Countries </w:t>
      </w:r>
      <w:r w:rsidRPr="00D517FD">
        <w:t xml:space="preserve">to learn about </w:t>
      </w:r>
      <w:proofErr w:type="spellStart"/>
      <w:r w:rsidRPr="00D517FD">
        <w:t>AusAID’s</w:t>
      </w:r>
      <w:proofErr w:type="spellEnd"/>
      <w:r w:rsidRPr="00D517FD">
        <w:t xml:space="preserve"> approach to staff training on development issues </w:t>
      </w:r>
      <w:r w:rsidR="00BC2FDC">
        <w:t>was</w:t>
      </w:r>
      <w:r w:rsidRPr="00D517FD">
        <w:t xml:space="preserve"> postponed until later in 2008.</w:t>
      </w:r>
      <w:r w:rsidR="00AA700F" w:rsidRPr="00D517FD">
        <w:t xml:space="preserve"> </w:t>
      </w:r>
      <w:r w:rsidRPr="00D517FD">
        <w:t xml:space="preserve">Other examples </w:t>
      </w:r>
      <w:r w:rsidR="00DA6DA4">
        <w:t xml:space="preserve">of </w:t>
      </w:r>
      <w:r w:rsidRPr="00D517FD">
        <w:t>dialogue include high</w:t>
      </w:r>
      <w:r w:rsidR="00BC2FDC">
        <w:t>-</w:t>
      </w:r>
      <w:r w:rsidRPr="00D517FD">
        <w:t xml:space="preserve">level </w:t>
      </w:r>
      <w:r w:rsidR="00BC2FDC">
        <w:t>discussions</w:t>
      </w:r>
      <w:r w:rsidR="00BC2FDC" w:rsidRPr="00D517FD">
        <w:t xml:space="preserve"> </w:t>
      </w:r>
      <w:r w:rsidRPr="00D517FD">
        <w:t>between senior Australian and Chinese officials on the regional issue of HIV/AIDS prevention in the Mekong</w:t>
      </w:r>
      <w:r w:rsidR="00DA6DA4">
        <w:t xml:space="preserve"> region</w:t>
      </w:r>
      <w:r w:rsidR="00BC2FDC">
        <w:t>,</w:t>
      </w:r>
      <w:r w:rsidRPr="00D517FD">
        <w:t xml:space="preserve"> an AusAID presentation to an ‘Aid Management Forum’ in Beijing on Australia’s approach to aid effectiveness in fragile states in the Pacific</w:t>
      </w:r>
      <w:r w:rsidR="00BC2FDC">
        <w:t>,</w:t>
      </w:r>
      <w:r w:rsidRPr="00D517FD">
        <w:t xml:space="preserve"> and participation by a Chinese official in an AusAID workshop </w:t>
      </w:r>
      <w:r w:rsidR="00DA6DA4">
        <w:t xml:space="preserve">in </w:t>
      </w:r>
      <w:r w:rsidR="00DA6DA4" w:rsidRPr="00D517FD">
        <w:t xml:space="preserve">Beijing </w:t>
      </w:r>
      <w:r w:rsidRPr="00D517FD">
        <w:t xml:space="preserve">to discuss </w:t>
      </w:r>
      <w:r w:rsidR="00BC2FDC">
        <w:t>monitoring and evaluation</w:t>
      </w:r>
      <w:r w:rsidRPr="00D517FD">
        <w:t xml:space="preserve"> arrangements for a range of initiatives.</w:t>
      </w:r>
      <w:r w:rsidR="00AA700F" w:rsidRPr="00D517FD">
        <w:t xml:space="preserve"> </w:t>
      </w:r>
    </w:p>
    <w:p w:rsidR="009F3C40" w:rsidRPr="00D517FD" w:rsidRDefault="009F3C40" w:rsidP="009F3C40">
      <w:pPr>
        <w:pStyle w:val="BodyText"/>
      </w:pPr>
      <w:r w:rsidRPr="00D517FD">
        <w:t>Australia and China collaborate as donors to the APEC Support Fund, a multi-donor trust fund managed by the APEC Secretariat to support capacity</w:t>
      </w:r>
      <w:r w:rsidR="0008477A">
        <w:t>-</w:t>
      </w:r>
      <w:r w:rsidRPr="00D517FD">
        <w:t>building activities in APEC developing economies.</w:t>
      </w:r>
      <w:r w:rsidR="00AA700F" w:rsidRPr="00D517FD">
        <w:t xml:space="preserve"> </w:t>
      </w:r>
      <w:r w:rsidR="0008477A">
        <w:t>C</w:t>
      </w:r>
      <w:r w:rsidRPr="00D517FD">
        <w:t xml:space="preserve">ontributors </w:t>
      </w:r>
      <w:r w:rsidR="0008477A">
        <w:t xml:space="preserve">to the support fund </w:t>
      </w:r>
      <w:r w:rsidRPr="00D517FD">
        <w:t xml:space="preserve">now include Australia, China, Chinese Taipei, </w:t>
      </w:r>
      <w:r w:rsidR="0008477A">
        <w:t xml:space="preserve">South </w:t>
      </w:r>
      <w:r w:rsidRPr="00D517FD">
        <w:t>Korea, Hong Kong</w:t>
      </w:r>
      <w:r w:rsidR="00DA6DA4">
        <w:t xml:space="preserve"> and </w:t>
      </w:r>
      <w:r w:rsidR="0008477A">
        <w:t>the United States</w:t>
      </w:r>
      <w:r w:rsidR="0008477A" w:rsidRPr="00D517FD">
        <w:t xml:space="preserve"> </w:t>
      </w:r>
      <w:r w:rsidRPr="00D517FD">
        <w:t xml:space="preserve">and, from 2009, </w:t>
      </w:r>
      <w:r w:rsidR="00DA6DA4">
        <w:t xml:space="preserve">will include </w:t>
      </w:r>
      <w:r w:rsidRPr="00D517FD">
        <w:t>Russia.</w:t>
      </w:r>
    </w:p>
    <w:p w:rsidR="009F3C40" w:rsidRPr="00D517FD" w:rsidRDefault="009F3C40" w:rsidP="009F3C40">
      <w:pPr>
        <w:pStyle w:val="BodyText"/>
      </w:pPr>
      <w:r w:rsidRPr="00D517FD">
        <w:t>Other areas in which Australia and China have collaborated on regional issues include disseminati</w:t>
      </w:r>
      <w:r w:rsidR="0008477A">
        <w:t>ng</w:t>
      </w:r>
      <w:r w:rsidRPr="00D517FD">
        <w:t xml:space="preserve"> China’s poverty reduction experiences to the region</w:t>
      </w:r>
      <w:r w:rsidR="0008477A">
        <w:t>,</w:t>
      </w:r>
      <w:r w:rsidRPr="00D517FD">
        <w:t xml:space="preserve"> facilitating a presentation on water management by the Yangtze River Commission to the Mekong River Commission</w:t>
      </w:r>
      <w:r w:rsidR="0008477A">
        <w:t>,</w:t>
      </w:r>
      <w:r w:rsidRPr="00D517FD">
        <w:t xml:space="preserve"> facilitating study tours and experience sharing between China, Burma and Vietnam on HIV/AIDS and injecting drug use </w:t>
      </w:r>
      <w:r w:rsidR="0008477A">
        <w:t>(</w:t>
      </w:r>
      <w:r w:rsidRPr="00D517FD">
        <w:t xml:space="preserve">through the Asia Regional HIV/AIDS </w:t>
      </w:r>
      <w:r w:rsidR="0008477A" w:rsidRPr="00D517FD">
        <w:t>Project</w:t>
      </w:r>
      <w:r w:rsidR="0008477A">
        <w:t>)</w:t>
      </w:r>
      <w:r w:rsidRPr="00D517FD">
        <w:t xml:space="preserve"> and strengthening relationships with Chinese </w:t>
      </w:r>
      <w:r w:rsidR="0008477A">
        <w:t>‘</w:t>
      </w:r>
      <w:r w:rsidRPr="00D517FD">
        <w:t>think-tanks</w:t>
      </w:r>
      <w:r w:rsidR="0008477A">
        <w:t>’</w:t>
      </w:r>
      <w:r w:rsidRPr="00D517FD">
        <w:t>, such as the International Poverty Reduction Centre</w:t>
      </w:r>
      <w:r w:rsidR="0008477A">
        <w:t>,</w:t>
      </w:r>
      <w:r w:rsidRPr="00D517FD">
        <w:t xml:space="preserve"> to further disseminate lessons from Australia’s aid program. </w:t>
      </w:r>
    </w:p>
    <w:p w:rsidR="009F3C40" w:rsidRPr="00D517FD" w:rsidRDefault="009F3C40" w:rsidP="009F3C40">
      <w:pPr>
        <w:pStyle w:val="BodyText"/>
      </w:pPr>
      <w:r w:rsidRPr="00D517FD">
        <w:t xml:space="preserve">The Australian Government, principally through </w:t>
      </w:r>
      <w:r w:rsidR="00BC2FDC">
        <w:t xml:space="preserve">the </w:t>
      </w:r>
      <w:r w:rsidR="00BC2FDC" w:rsidRPr="00D517FD">
        <w:t>Department of Foreign Affairs and Trade</w:t>
      </w:r>
      <w:r w:rsidRPr="00D517FD">
        <w:t xml:space="preserve">, has also sought to collaborate with China on Pacific </w:t>
      </w:r>
      <w:r w:rsidR="0008477A" w:rsidRPr="00D517FD">
        <w:t xml:space="preserve">island </w:t>
      </w:r>
      <w:r w:rsidRPr="00D517FD">
        <w:t xml:space="preserve">development through bilateral mechanisms including the annual Australia China Pacific Dialogue as well as the Pacific Island Forum. </w:t>
      </w:r>
    </w:p>
    <w:p w:rsidR="0074025A" w:rsidRPr="00D517FD" w:rsidRDefault="0074025A" w:rsidP="0074025A">
      <w:pPr>
        <w:pStyle w:val="Heading3nonumber"/>
        <w:spacing w:before="320"/>
      </w:pPr>
      <w:r w:rsidRPr="00D517FD">
        <w:t>Estimated expenditure</w:t>
      </w:r>
    </w:p>
    <w:p w:rsidR="00E02725" w:rsidRDefault="0074025A" w:rsidP="0074025A">
      <w:pPr>
        <w:pStyle w:val="BodyText"/>
      </w:pPr>
      <w:r>
        <w:t>An estimated …</w:t>
      </w:r>
      <w:r w:rsidRPr="00D517FD">
        <w:t xml:space="preserve"> per cent </w:t>
      </w:r>
      <w:r>
        <w:t xml:space="preserve">($…) </w:t>
      </w:r>
      <w:r w:rsidRPr="00D517FD">
        <w:t xml:space="preserve">of the China program’s 2007–08 budget was </w:t>
      </w:r>
      <w:r>
        <w:t>for</w:t>
      </w:r>
      <w:r w:rsidRPr="00D517FD">
        <w:t xml:space="preserve"> this objective. </w:t>
      </w:r>
    </w:p>
    <w:p w:rsidR="00E02725" w:rsidRDefault="00E02725">
      <w:pPr>
        <w:spacing w:after="200" w:line="276" w:lineRule="auto"/>
        <w:rPr>
          <w:rFonts w:ascii="Garamond" w:hAnsi="Garamond"/>
          <w:sz w:val="23"/>
          <w:szCs w:val="23"/>
        </w:rPr>
      </w:pPr>
      <w:r>
        <w:br w:type="page"/>
      </w:r>
    </w:p>
    <w:p w:rsidR="005848BD" w:rsidRPr="00D517FD" w:rsidRDefault="00DA6DA4" w:rsidP="005848BD">
      <w:pPr>
        <w:pStyle w:val="Heading1nonumber"/>
      </w:pPr>
      <w:bookmarkStart w:id="26" w:name="_Toc360805217"/>
      <w:r>
        <w:lastRenderedPageBreak/>
        <w:t>What is t</w:t>
      </w:r>
      <w:r w:rsidR="005848BD" w:rsidRPr="00D517FD">
        <w:t xml:space="preserve">he quality of </w:t>
      </w:r>
      <w:r w:rsidR="00572931" w:rsidRPr="00D517FD">
        <w:t>AusAID</w:t>
      </w:r>
      <w:r w:rsidR="005848BD" w:rsidRPr="00D517FD">
        <w:t xml:space="preserve"> activities</w:t>
      </w:r>
      <w:r>
        <w:t>?</w:t>
      </w:r>
      <w:bookmarkEnd w:id="26"/>
    </w:p>
    <w:p w:rsidR="005848BD" w:rsidRDefault="005848BD" w:rsidP="005848BD">
      <w:pPr>
        <w:pStyle w:val="1stpara"/>
      </w:pPr>
      <w:r w:rsidRPr="00D517FD">
        <w:t xml:space="preserve">The results of the </w:t>
      </w:r>
      <w:r w:rsidR="0008477A">
        <w:t xml:space="preserve">activities of the </w:t>
      </w:r>
      <w:r w:rsidRPr="00D517FD">
        <w:t xml:space="preserve">China </w:t>
      </w:r>
      <w:r w:rsidR="0008477A">
        <w:t xml:space="preserve">aid </w:t>
      </w:r>
      <w:r w:rsidR="0008477A" w:rsidRPr="00D517FD">
        <w:t xml:space="preserve">program </w:t>
      </w:r>
      <w:r w:rsidRPr="00D517FD">
        <w:t>assessed during 2007</w:t>
      </w:r>
      <w:r w:rsidR="0008477A">
        <w:t>–</w:t>
      </w:r>
      <w:r w:rsidRPr="00D517FD">
        <w:t xml:space="preserve">08 against the criteria </w:t>
      </w:r>
      <w:r w:rsidR="00572931" w:rsidRPr="00D517FD">
        <w:t xml:space="preserve">for quality at implementation </w:t>
      </w:r>
      <w:r w:rsidRPr="00D517FD">
        <w:t xml:space="preserve">and </w:t>
      </w:r>
      <w:r w:rsidR="00572931" w:rsidRPr="00D517FD">
        <w:t xml:space="preserve">quality at completion </w:t>
      </w:r>
      <w:r w:rsidRPr="00D517FD">
        <w:t xml:space="preserve">are summarised in </w:t>
      </w:r>
      <w:r w:rsidR="00572931" w:rsidRPr="00D517FD">
        <w:t>T</w:t>
      </w:r>
      <w:r w:rsidRPr="00D517FD">
        <w:t>able</w:t>
      </w:r>
      <w:r w:rsidR="00572931" w:rsidRPr="00D517FD">
        <w:t> 2</w:t>
      </w:r>
      <w:r w:rsidRPr="00D517FD">
        <w:t>.</w:t>
      </w:r>
    </w:p>
    <w:p w:rsidR="005848BD" w:rsidRPr="00E02725" w:rsidRDefault="00E02725" w:rsidP="00E02725">
      <w:pPr>
        <w:pStyle w:val="Caption"/>
        <w:numPr>
          <w:ilvl w:val="0"/>
          <w:numId w:val="0"/>
        </w:numPr>
        <w:rPr>
          <w:rStyle w:val="Notelabel"/>
          <w:b/>
          <w:sz w:val="20"/>
          <w:szCs w:val="20"/>
        </w:rPr>
      </w:pPr>
      <w:r>
        <w:t xml:space="preserve">Ratings of 14 initiatives of the </w:t>
      </w:r>
      <w:r w:rsidRPr="00D517FD">
        <w:t xml:space="preserve">China </w:t>
      </w:r>
      <w:r>
        <w:t xml:space="preserve">aid </w:t>
      </w:r>
      <w:r w:rsidRPr="00D517FD">
        <w:t xml:space="preserve">program </w:t>
      </w:r>
      <w:r>
        <w:t>2007–08</w:t>
      </w:r>
      <w:r>
        <w:rPr>
          <w:rStyle w:val="FootnoteReference"/>
        </w:rPr>
        <w:footnoteReference w:id="1"/>
      </w:r>
    </w:p>
    <w:tbl>
      <w:tblPr>
        <w:tblW w:w="7937" w:type="dxa"/>
        <w:tblInd w:w="57" w:type="dxa"/>
        <w:tblLayout w:type="fixed"/>
        <w:tblCellMar>
          <w:left w:w="56" w:type="dxa"/>
          <w:right w:w="56" w:type="dxa"/>
        </w:tblCellMar>
        <w:tblLook w:val="0000" w:firstRow="0" w:lastRow="0" w:firstColumn="0" w:lastColumn="0" w:noHBand="0" w:noVBand="0"/>
      </w:tblPr>
      <w:tblGrid>
        <w:gridCol w:w="3513"/>
        <w:gridCol w:w="1148"/>
        <w:gridCol w:w="1092"/>
        <w:gridCol w:w="1092"/>
        <w:gridCol w:w="1092"/>
      </w:tblGrid>
      <w:tr w:rsidR="005848BD" w:rsidRPr="00D517FD" w:rsidTr="00E02725">
        <w:trPr>
          <w:cantSplit/>
          <w:trHeight w:val="240"/>
          <w:tblHeader/>
        </w:trPr>
        <w:tc>
          <w:tcPr>
            <w:tcW w:w="3513" w:type="dxa"/>
            <w:tcBorders>
              <w:top w:val="single" w:sz="4" w:space="0" w:color="auto"/>
              <w:bottom w:val="single" w:sz="4" w:space="0" w:color="auto"/>
            </w:tcBorders>
            <w:noWrap/>
            <w:vAlign w:val="bottom"/>
          </w:tcPr>
          <w:p w:rsidR="005848BD" w:rsidRPr="00D517FD" w:rsidRDefault="005848BD" w:rsidP="001C67CE">
            <w:pPr>
              <w:pStyle w:val="Tablecolumnheadings"/>
              <w:jc w:val="left"/>
            </w:pPr>
          </w:p>
        </w:tc>
        <w:tc>
          <w:tcPr>
            <w:tcW w:w="1148" w:type="dxa"/>
            <w:tcBorders>
              <w:top w:val="single" w:sz="4" w:space="0" w:color="auto"/>
              <w:bottom w:val="single" w:sz="4" w:space="0" w:color="auto"/>
            </w:tcBorders>
            <w:vAlign w:val="bottom"/>
          </w:tcPr>
          <w:p w:rsidR="005848BD" w:rsidRPr="00D517FD" w:rsidRDefault="005848BD" w:rsidP="001C67CE">
            <w:pPr>
              <w:pStyle w:val="Tablecolumnheadings"/>
              <w:ind w:left="42" w:hanging="42"/>
            </w:pPr>
            <w:r w:rsidRPr="00D517FD">
              <w:t xml:space="preserve">Implementation </w:t>
            </w:r>
            <w:r w:rsidR="001C67CE" w:rsidRPr="00D517FD">
              <w:t>progress</w:t>
            </w:r>
          </w:p>
        </w:tc>
        <w:tc>
          <w:tcPr>
            <w:tcW w:w="1092" w:type="dxa"/>
            <w:tcBorders>
              <w:top w:val="single" w:sz="4" w:space="0" w:color="auto"/>
              <w:bottom w:val="single" w:sz="4" w:space="0" w:color="auto"/>
            </w:tcBorders>
            <w:noWrap/>
            <w:vAlign w:val="bottom"/>
          </w:tcPr>
          <w:p w:rsidR="005848BD" w:rsidRPr="00D517FD" w:rsidRDefault="005848BD" w:rsidP="001C67CE">
            <w:pPr>
              <w:pStyle w:val="Tablecolumnheadings"/>
              <w:ind w:left="42" w:hanging="42"/>
            </w:pPr>
            <w:r w:rsidRPr="00D517FD">
              <w:t xml:space="preserve">Achieving </w:t>
            </w:r>
            <w:r w:rsidR="001C67CE" w:rsidRPr="00D517FD">
              <w:t>objectives</w:t>
            </w:r>
          </w:p>
        </w:tc>
        <w:tc>
          <w:tcPr>
            <w:tcW w:w="1092" w:type="dxa"/>
            <w:tcBorders>
              <w:top w:val="single" w:sz="4" w:space="0" w:color="auto"/>
              <w:bottom w:val="single" w:sz="4" w:space="0" w:color="auto"/>
            </w:tcBorders>
            <w:noWrap/>
            <w:vAlign w:val="bottom"/>
          </w:tcPr>
          <w:p w:rsidR="005848BD" w:rsidRPr="00D517FD" w:rsidRDefault="001C67CE" w:rsidP="001C67CE">
            <w:pPr>
              <w:pStyle w:val="Tablecolumnheadings"/>
              <w:ind w:left="42" w:hanging="42"/>
            </w:pPr>
            <w:r w:rsidRPr="00D517FD">
              <w:t>Monitoring &amp; evaluation</w:t>
            </w:r>
          </w:p>
        </w:tc>
        <w:tc>
          <w:tcPr>
            <w:tcW w:w="1092" w:type="dxa"/>
            <w:tcBorders>
              <w:top w:val="single" w:sz="4" w:space="0" w:color="auto"/>
              <w:bottom w:val="single" w:sz="4" w:space="0" w:color="auto"/>
            </w:tcBorders>
            <w:noWrap/>
            <w:vAlign w:val="bottom"/>
          </w:tcPr>
          <w:p w:rsidR="005848BD" w:rsidRPr="00D517FD" w:rsidRDefault="005848BD" w:rsidP="001C67CE">
            <w:pPr>
              <w:pStyle w:val="Tablecolumnheadings"/>
              <w:ind w:left="42" w:hanging="42"/>
            </w:pPr>
            <w:r w:rsidRPr="00D517FD">
              <w:t>Sustainability</w:t>
            </w:r>
          </w:p>
        </w:tc>
      </w:tr>
      <w:tr w:rsidR="00572931" w:rsidRPr="00D517FD" w:rsidTr="00E02725">
        <w:trPr>
          <w:cantSplit/>
          <w:trHeight w:val="255"/>
        </w:trPr>
        <w:tc>
          <w:tcPr>
            <w:tcW w:w="3513" w:type="dxa"/>
            <w:tcBorders>
              <w:top w:val="single" w:sz="4" w:space="0" w:color="auto"/>
            </w:tcBorders>
            <w:vAlign w:val="bottom"/>
          </w:tcPr>
          <w:p w:rsidR="00572931" w:rsidRPr="00D517FD" w:rsidRDefault="00572931" w:rsidP="00572931">
            <w:pPr>
              <w:pStyle w:val="Tableunitsrow"/>
              <w:jc w:val="left"/>
            </w:pPr>
          </w:p>
        </w:tc>
        <w:tc>
          <w:tcPr>
            <w:tcW w:w="1148" w:type="dxa"/>
            <w:tcBorders>
              <w:top w:val="single" w:sz="4" w:space="0" w:color="auto"/>
            </w:tcBorders>
            <w:noWrap/>
            <w:vAlign w:val="bottom"/>
          </w:tcPr>
          <w:p w:rsidR="00572931" w:rsidRPr="00D517FD" w:rsidRDefault="00572931" w:rsidP="00572931">
            <w:pPr>
              <w:pStyle w:val="Tableunitsrow"/>
            </w:pPr>
            <w:r w:rsidRPr="00D517FD">
              <w:t>no.</w:t>
            </w:r>
          </w:p>
        </w:tc>
        <w:tc>
          <w:tcPr>
            <w:tcW w:w="1092" w:type="dxa"/>
            <w:tcBorders>
              <w:top w:val="single" w:sz="4" w:space="0" w:color="auto"/>
            </w:tcBorders>
            <w:noWrap/>
            <w:vAlign w:val="bottom"/>
          </w:tcPr>
          <w:p w:rsidR="00572931" w:rsidRPr="00D517FD" w:rsidRDefault="00572931" w:rsidP="00572931">
            <w:pPr>
              <w:pStyle w:val="Tableunitsrow"/>
            </w:pPr>
            <w:r w:rsidRPr="00D517FD">
              <w:t>no.</w:t>
            </w:r>
          </w:p>
        </w:tc>
        <w:tc>
          <w:tcPr>
            <w:tcW w:w="1092" w:type="dxa"/>
            <w:tcBorders>
              <w:top w:val="single" w:sz="4" w:space="0" w:color="auto"/>
            </w:tcBorders>
            <w:noWrap/>
            <w:vAlign w:val="bottom"/>
          </w:tcPr>
          <w:p w:rsidR="00572931" w:rsidRPr="00D517FD" w:rsidRDefault="00572931" w:rsidP="00572931">
            <w:pPr>
              <w:pStyle w:val="Tableunitsrow"/>
            </w:pPr>
            <w:r w:rsidRPr="00D517FD">
              <w:t>no.</w:t>
            </w:r>
          </w:p>
        </w:tc>
        <w:tc>
          <w:tcPr>
            <w:tcW w:w="1092" w:type="dxa"/>
            <w:tcBorders>
              <w:top w:val="single" w:sz="4" w:space="0" w:color="auto"/>
            </w:tcBorders>
            <w:noWrap/>
            <w:vAlign w:val="bottom"/>
          </w:tcPr>
          <w:p w:rsidR="00572931" w:rsidRPr="00D517FD" w:rsidRDefault="00572931" w:rsidP="00572931">
            <w:pPr>
              <w:pStyle w:val="Tableunitsrow"/>
            </w:pPr>
            <w:r w:rsidRPr="00D517FD">
              <w:t>no.</w:t>
            </w:r>
          </w:p>
        </w:tc>
      </w:tr>
      <w:tr w:rsidR="005848BD" w:rsidRPr="00D517FD" w:rsidTr="00E02725">
        <w:trPr>
          <w:cantSplit/>
          <w:trHeight w:val="255"/>
        </w:trPr>
        <w:tc>
          <w:tcPr>
            <w:tcW w:w="3513" w:type="dxa"/>
            <w:vAlign w:val="bottom"/>
          </w:tcPr>
          <w:p w:rsidR="005848BD" w:rsidRPr="00D517FD" w:rsidRDefault="005848BD" w:rsidP="00E038B5">
            <w:pPr>
              <w:pStyle w:val="Tableheading1"/>
              <w:spacing w:before="0"/>
            </w:pPr>
            <w:r w:rsidRPr="00D517FD">
              <w:t>Satisfactory</w:t>
            </w:r>
          </w:p>
        </w:tc>
        <w:tc>
          <w:tcPr>
            <w:tcW w:w="1148" w:type="dxa"/>
            <w:noWrap/>
            <w:vAlign w:val="bottom"/>
          </w:tcPr>
          <w:p w:rsidR="005848BD" w:rsidRPr="00D517FD" w:rsidRDefault="005848BD" w:rsidP="00E038B5">
            <w:pPr>
              <w:pStyle w:val="Tableheading1"/>
              <w:spacing w:before="0"/>
            </w:pPr>
          </w:p>
        </w:tc>
        <w:tc>
          <w:tcPr>
            <w:tcW w:w="1092" w:type="dxa"/>
            <w:noWrap/>
            <w:vAlign w:val="bottom"/>
          </w:tcPr>
          <w:p w:rsidR="005848BD" w:rsidRPr="00D517FD" w:rsidRDefault="005848BD" w:rsidP="00E038B5">
            <w:pPr>
              <w:pStyle w:val="Tableheading1"/>
              <w:spacing w:before="0"/>
            </w:pPr>
          </w:p>
        </w:tc>
        <w:tc>
          <w:tcPr>
            <w:tcW w:w="1092" w:type="dxa"/>
            <w:noWrap/>
            <w:vAlign w:val="bottom"/>
          </w:tcPr>
          <w:p w:rsidR="005848BD" w:rsidRPr="00D517FD" w:rsidRDefault="005848BD" w:rsidP="00E038B5">
            <w:pPr>
              <w:pStyle w:val="Tableheading1"/>
              <w:spacing w:before="0"/>
            </w:pPr>
          </w:p>
        </w:tc>
        <w:tc>
          <w:tcPr>
            <w:tcW w:w="1092" w:type="dxa"/>
            <w:noWrap/>
            <w:vAlign w:val="bottom"/>
          </w:tcPr>
          <w:p w:rsidR="005848BD" w:rsidRPr="00D517FD" w:rsidRDefault="005848BD" w:rsidP="00E038B5">
            <w:pPr>
              <w:pStyle w:val="Tableheading1"/>
              <w:spacing w:before="0"/>
            </w:pPr>
          </w:p>
        </w:tc>
      </w:tr>
      <w:tr w:rsidR="005848BD" w:rsidRPr="00D517FD" w:rsidTr="00E02725">
        <w:trPr>
          <w:cantSplit/>
          <w:trHeight w:val="255"/>
        </w:trPr>
        <w:tc>
          <w:tcPr>
            <w:tcW w:w="3513" w:type="dxa"/>
            <w:vAlign w:val="bottom"/>
          </w:tcPr>
          <w:p w:rsidR="005848BD" w:rsidRPr="00D517FD" w:rsidRDefault="005848BD" w:rsidP="001C67CE">
            <w:pPr>
              <w:pStyle w:val="Tablebody"/>
              <w:jc w:val="left"/>
            </w:pPr>
            <w:r w:rsidRPr="00D517FD">
              <w:t xml:space="preserve">6 </w:t>
            </w:r>
            <w:r w:rsidR="001C67CE" w:rsidRPr="00D517FD">
              <w:t>–</w:t>
            </w:r>
            <w:r w:rsidRPr="00D517FD">
              <w:t xml:space="preserve"> Very high quality</w:t>
            </w:r>
          </w:p>
        </w:tc>
        <w:tc>
          <w:tcPr>
            <w:tcW w:w="1148" w:type="dxa"/>
            <w:noWrap/>
            <w:vAlign w:val="bottom"/>
          </w:tcPr>
          <w:p w:rsidR="005848BD" w:rsidRPr="00D517FD" w:rsidRDefault="005848BD" w:rsidP="001C67CE">
            <w:pPr>
              <w:pStyle w:val="Tablebody"/>
              <w:ind w:left="42" w:hanging="42"/>
            </w:pPr>
            <w:r w:rsidRPr="00D517FD">
              <w:t>0</w:t>
            </w:r>
          </w:p>
        </w:tc>
        <w:tc>
          <w:tcPr>
            <w:tcW w:w="1092" w:type="dxa"/>
            <w:noWrap/>
            <w:vAlign w:val="bottom"/>
          </w:tcPr>
          <w:p w:rsidR="005848BD" w:rsidRPr="00D517FD" w:rsidRDefault="005848BD" w:rsidP="001C67CE">
            <w:pPr>
              <w:pStyle w:val="Tablebody"/>
              <w:ind w:left="42" w:hanging="42"/>
            </w:pPr>
            <w:r w:rsidRPr="00D517FD">
              <w:t>1</w:t>
            </w:r>
          </w:p>
        </w:tc>
        <w:tc>
          <w:tcPr>
            <w:tcW w:w="1092" w:type="dxa"/>
            <w:noWrap/>
            <w:vAlign w:val="bottom"/>
          </w:tcPr>
          <w:p w:rsidR="005848BD" w:rsidRPr="00D517FD" w:rsidRDefault="005848BD" w:rsidP="001C67CE">
            <w:pPr>
              <w:pStyle w:val="Tablebody"/>
              <w:ind w:left="42" w:hanging="42"/>
            </w:pPr>
            <w:r w:rsidRPr="00D517FD">
              <w:t>0</w:t>
            </w:r>
          </w:p>
        </w:tc>
        <w:tc>
          <w:tcPr>
            <w:tcW w:w="1092" w:type="dxa"/>
            <w:noWrap/>
            <w:vAlign w:val="bottom"/>
          </w:tcPr>
          <w:p w:rsidR="005848BD" w:rsidRPr="00D517FD" w:rsidRDefault="005848BD" w:rsidP="001C67CE">
            <w:pPr>
              <w:pStyle w:val="Tablebody"/>
              <w:ind w:left="42" w:hanging="42"/>
            </w:pPr>
            <w:r w:rsidRPr="00D517FD">
              <w:t>1</w:t>
            </w:r>
          </w:p>
        </w:tc>
      </w:tr>
      <w:tr w:rsidR="005848BD" w:rsidRPr="00D517FD" w:rsidTr="00E02725">
        <w:trPr>
          <w:cantSplit/>
          <w:trHeight w:val="255"/>
        </w:trPr>
        <w:tc>
          <w:tcPr>
            <w:tcW w:w="3513" w:type="dxa"/>
            <w:vAlign w:val="bottom"/>
          </w:tcPr>
          <w:p w:rsidR="005848BD" w:rsidRPr="00D517FD" w:rsidRDefault="005848BD" w:rsidP="001C67CE">
            <w:pPr>
              <w:pStyle w:val="Tablebody"/>
              <w:jc w:val="left"/>
            </w:pPr>
            <w:r w:rsidRPr="00D517FD">
              <w:t xml:space="preserve">5 </w:t>
            </w:r>
            <w:r w:rsidR="001C67CE" w:rsidRPr="00D517FD">
              <w:t>–</w:t>
            </w:r>
            <w:r w:rsidRPr="00D517FD">
              <w:t xml:space="preserve"> Good quality</w:t>
            </w:r>
          </w:p>
        </w:tc>
        <w:tc>
          <w:tcPr>
            <w:tcW w:w="1148" w:type="dxa"/>
            <w:noWrap/>
            <w:vAlign w:val="bottom"/>
          </w:tcPr>
          <w:p w:rsidR="005848BD" w:rsidRPr="00D517FD" w:rsidRDefault="005848BD" w:rsidP="001C67CE">
            <w:pPr>
              <w:pStyle w:val="Tablebody"/>
              <w:ind w:left="42" w:hanging="42"/>
            </w:pPr>
            <w:r w:rsidRPr="00D517FD">
              <w:t>6</w:t>
            </w:r>
          </w:p>
        </w:tc>
        <w:tc>
          <w:tcPr>
            <w:tcW w:w="1092" w:type="dxa"/>
            <w:noWrap/>
            <w:vAlign w:val="bottom"/>
          </w:tcPr>
          <w:p w:rsidR="005848BD" w:rsidRPr="00D517FD" w:rsidRDefault="005848BD" w:rsidP="001C67CE">
            <w:pPr>
              <w:pStyle w:val="Tablebody"/>
              <w:ind w:left="42" w:hanging="42"/>
            </w:pPr>
            <w:r w:rsidRPr="00D517FD">
              <w:t>6</w:t>
            </w:r>
          </w:p>
        </w:tc>
        <w:tc>
          <w:tcPr>
            <w:tcW w:w="1092" w:type="dxa"/>
            <w:noWrap/>
            <w:vAlign w:val="bottom"/>
          </w:tcPr>
          <w:p w:rsidR="005848BD" w:rsidRPr="00D517FD" w:rsidRDefault="005848BD" w:rsidP="001C67CE">
            <w:pPr>
              <w:pStyle w:val="Tablebody"/>
              <w:ind w:left="42" w:hanging="42"/>
            </w:pPr>
            <w:r w:rsidRPr="00D517FD">
              <w:t>7</w:t>
            </w:r>
          </w:p>
        </w:tc>
        <w:tc>
          <w:tcPr>
            <w:tcW w:w="1092" w:type="dxa"/>
            <w:noWrap/>
            <w:vAlign w:val="bottom"/>
          </w:tcPr>
          <w:p w:rsidR="005848BD" w:rsidRPr="00D517FD" w:rsidRDefault="005848BD" w:rsidP="001C67CE">
            <w:pPr>
              <w:pStyle w:val="Tablebody"/>
              <w:ind w:left="42" w:hanging="42"/>
            </w:pPr>
            <w:r w:rsidRPr="00D517FD">
              <w:t>2</w:t>
            </w:r>
          </w:p>
        </w:tc>
      </w:tr>
      <w:tr w:rsidR="005848BD" w:rsidRPr="00D517FD" w:rsidTr="00E02725">
        <w:trPr>
          <w:cantSplit/>
          <w:trHeight w:val="255"/>
        </w:trPr>
        <w:tc>
          <w:tcPr>
            <w:tcW w:w="3513" w:type="dxa"/>
            <w:vAlign w:val="bottom"/>
          </w:tcPr>
          <w:p w:rsidR="005848BD" w:rsidRPr="00D517FD" w:rsidRDefault="005848BD" w:rsidP="001C67CE">
            <w:pPr>
              <w:pStyle w:val="Tablebody"/>
              <w:jc w:val="left"/>
            </w:pPr>
            <w:r w:rsidRPr="00D517FD">
              <w:t xml:space="preserve">4 </w:t>
            </w:r>
            <w:r w:rsidR="001C67CE" w:rsidRPr="00D517FD">
              <w:t>–</w:t>
            </w:r>
            <w:r w:rsidRPr="00D517FD">
              <w:t xml:space="preserve"> Adequate quality; </w:t>
            </w:r>
            <w:r w:rsidR="00DA6DA4">
              <w:t xml:space="preserve">needs </w:t>
            </w:r>
            <w:r w:rsidRPr="00D517FD">
              <w:t xml:space="preserve">some work to improve </w:t>
            </w:r>
          </w:p>
        </w:tc>
        <w:tc>
          <w:tcPr>
            <w:tcW w:w="1148" w:type="dxa"/>
            <w:noWrap/>
            <w:vAlign w:val="bottom"/>
          </w:tcPr>
          <w:p w:rsidR="005848BD" w:rsidRPr="00D517FD" w:rsidRDefault="005848BD" w:rsidP="001C67CE">
            <w:pPr>
              <w:pStyle w:val="Tablebody"/>
              <w:ind w:left="42" w:hanging="42"/>
            </w:pPr>
            <w:r w:rsidRPr="00D517FD">
              <w:t>7</w:t>
            </w:r>
          </w:p>
        </w:tc>
        <w:tc>
          <w:tcPr>
            <w:tcW w:w="1092" w:type="dxa"/>
            <w:noWrap/>
            <w:vAlign w:val="bottom"/>
          </w:tcPr>
          <w:p w:rsidR="005848BD" w:rsidRPr="00D517FD" w:rsidRDefault="005848BD" w:rsidP="001C67CE">
            <w:pPr>
              <w:pStyle w:val="Tablebody"/>
              <w:ind w:left="42" w:hanging="42"/>
            </w:pPr>
            <w:r w:rsidRPr="00D517FD">
              <w:t>4</w:t>
            </w:r>
          </w:p>
        </w:tc>
        <w:tc>
          <w:tcPr>
            <w:tcW w:w="1092" w:type="dxa"/>
            <w:noWrap/>
            <w:vAlign w:val="bottom"/>
          </w:tcPr>
          <w:p w:rsidR="005848BD" w:rsidRPr="00D517FD" w:rsidRDefault="005848BD" w:rsidP="001C67CE">
            <w:pPr>
              <w:pStyle w:val="Tablebody"/>
              <w:ind w:left="42" w:hanging="42"/>
            </w:pPr>
            <w:r w:rsidRPr="00D517FD">
              <w:t>3</w:t>
            </w:r>
          </w:p>
        </w:tc>
        <w:tc>
          <w:tcPr>
            <w:tcW w:w="1092" w:type="dxa"/>
            <w:noWrap/>
            <w:vAlign w:val="bottom"/>
          </w:tcPr>
          <w:p w:rsidR="005848BD" w:rsidRPr="00D517FD" w:rsidRDefault="005848BD" w:rsidP="001C67CE">
            <w:pPr>
              <w:pStyle w:val="Tablebody"/>
              <w:ind w:left="42" w:hanging="42"/>
            </w:pPr>
            <w:r w:rsidRPr="00D517FD">
              <w:t>8</w:t>
            </w:r>
          </w:p>
        </w:tc>
      </w:tr>
      <w:tr w:rsidR="005848BD" w:rsidRPr="00D517FD" w:rsidTr="00E02725">
        <w:trPr>
          <w:cantSplit/>
          <w:trHeight w:val="255"/>
        </w:trPr>
        <w:tc>
          <w:tcPr>
            <w:tcW w:w="3513" w:type="dxa"/>
            <w:noWrap/>
            <w:vAlign w:val="bottom"/>
          </w:tcPr>
          <w:p w:rsidR="005848BD" w:rsidRPr="00D517FD" w:rsidRDefault="005848BD" w:rsidP="001C67CE">
            <w:pPr>
              <w:pStyle w:val="Tableheading1"/>
            </w:pPr>
            <w:r w:rsidRPr="00D517FD">
              <w:t xml:space="preserve">Less than satisfactory </w:t>
            </w:r>
          </w:p>
        </w:tc>
        <w:tc>
          <w:tcPr>
            <w:tcW w:w="1148" w:type="dxa"/>
            <w:noWrap/>
            <w:vAlign w:val="bottom"/>
          </w:tcPr>
          <w:p w:rsidR="005848BD" w:rsidRPr="00D517FD" w:rsidRDefault="005848BD" w:rsidP="001C67CE">
            <w:pPr>
              <w:pStyle w:val="Tableheading1"/>
            </w:pPr>
          </w:p>
        </w:tc>
        <w:tc>
          <w:tcPr>
            <w:tcW w:w="1092" w:type="dxa"/>
            <w:noWrap/>
            <w:vAlign w:val="bottom"/>
          </w:tcPr>
          <w:p w:rsidR="005848BD" w:rsidRPr="00D517FD" w:rsidRDefault="005848BD" w:rsidP="001C67CE">
            <w:pPr>
              <w:pStyle w:val="Tableheading1"/>
            </w:pPr>
          </w:p>
        </w:tc>
        <w:tc>
          <w:tcPr>
            <w:tcW w:w="1092" w:type="dxa"/>
            <w:noWrap/>
            <w:vAlign w:val="bottom"/>
          </w:tcPr>
          <w:p w:rsidR="005848BD" w:rsidRPr="00D517FD" w:rsidRDefault="005848BD" w:rsidP="001C67CE">
            <w:pPr>
              <w:pStyle w:val="Tableheading1"/>
            </w:pPr>
          </w:p>
        </w:tc>
        <w:tc>
          <w:tcPr>
            <w:tcW w:w="1092" w:type="dxa"/>
            <w:noWrap/>
            <w:vAlign w:val="bottom"/>
          </w:tcPr>
          <w:p w:rsidR="005848BD" w:rsidRPr="00D517FD" w:rsidRDefault="005848BD" w:rsidP="001C67CE">
            <w:pPr>
              <w:pStyle w:val="Tableheading1"/>
            </w:pPr>
          </w:p>
        </w:tc>
      </w:tr>
      <w:tr w:rsidR="005848BD" w:rsidRPr="00D517FD" w:rsidTr="00E02725">
        <w:trPr>
          <w:cantSplit/>
          <w:trHeight w:val="255"/>
        </w:trPr>
        <w:tc>
          <w:tcPr>
            <w:tcW w:w="3513" w:type="dxa"/>
            <w:noWrap/>
            <w:vAlign w:val="bottom"/>
          </w:tcPr>
          <w:p w:rsidR="005848BD" w:rsidRPr="00D517FD" w:rsidRDefault="005848BD" w:rsidP="001C67CE">
            <w:pPr>
              <w:pStyle w:val="Tablebody"/>
              <w:jc w:val="left"/>
            </w:pPr>
            <w:r w:rsidRPr="00D517FD">
              <w:t xml:space="preserve">3 </w:t>
            </w:r>
            <w:r w:rsidR="001C67CE" w:rsidRPr="00D517FD">
              <w:t>–</w:t>
            </w:r>
            <w:r w:rsidRPr="00D517FD">
              <w:t xml:space="preserve"> Less than adequate quality; needs significant work</w:t>
            </w:r>
          </w:p>
        </w:tc>
        <w:tc>
          <w:tcPr>
            <w:tcW w:w="1148" w:type="dxa"/>
            <w:noWrap/>
            <w:vAlign w:val="bottom"/>
          </w:tcPr>
          <w:p w:rsidR="005848BD" w:rsidRPr="00D517FD" w:rsidRDefault="005848BD" w:rsidP="001C67CE">
            <w:pPr>
              <w:pStyle w:val="Tablebody"/>
              <w:ind w:left="42" w:hanging="42"/>
            </w:pPr>
            <w:r w:rsidRPr="00D517FD">
              <w:t>1</w:t>
            </w:r>
          </w:p>
        </w:tc>
        <w:tc>
          <w:tcPr>
            <w:tcW w:w="1092" w:type="dxa"/>
            <w:noWrap/>
            <w:vAlign w:val="bottom"/>
          </w:tcPr>
          <w:p w:rsidR="005848BD" w:rsidRPr="00D517FD" w:rsidRDefault="005848BD" w:rsidP="001C67CE">
            <w:pPr>
              <w:pStyle w:val="Tablebody"/>
              <w:ind w:left="42" w:hanging="42"/>
            </w:pPr>
            <w:r w:rsidRPr="00D517FD">
              <w:t>1</w:t>
            </w:r>
          </w:p>
        </w:tc>
        <w:tc>
          <w:tcPr>
            <w:tcW w:w="1092" w:type="dxa"/>
            <w:noWrap/>
            <w:vAlign w:val="bottom"/>
          </w:tcPr>
          <w:p w:rsidR="005848BD" w:rsidRPr="00D517FD" w:rsidRDefault="005848BD" w:rsidP="001C67CE">
            <w:pPr>
              <w:pStyle w:val="Tablebody"/>
              <w:ind w:left="42" w:hanging="42"/>
            </w:pPr>
            <w:r w:rsidRPr="00D517FD">
              <w:t>2</w:t>
            </w:r>
          </w:p>
        </w:tc>
        <w:tc>
          <w:tcPr>
            <w:tcW w:w="1092" w:type="dxa"/>
            <w:noWrap/>
            <w:vAlign w:val="bottom"/>
          </w:tcPr>
          <w:p w:rsidR="005848BD" w:rsidRPr="00D517FD" w:rsidRDefault="005848BD" w:rsidP="001C67CE">
            <w:pPr>
              <w:pStyle w:val="Tablebody"/>
              <w:ind w:left="42" w:hanging="42"/>
            </w:pPr>
            <w:r w:rsidRPr="00D517FD">
              <w:t>2</w:t>
            </w:r>
          </w:p>
        </w:tc>
      </w:tr>
      <w:tr w:rsidR="005848BD" w:rsidRPr="00D517FD" w:rsidTr="00E02725">
        <w:trPr>
          <w:cantSplit/>
          <w:trHeight w:val="255"/>
        </w:trPr>
        <w:tc>
          <w:tcPr>
            <w:tcW w:w="3513" w:type="dxa"/>
            <w:noWrap/>
            <w:vAlign w:val="bottom"/>
          </w:tcPr>
          <w:p w:rsidR="005848BD" w:rsidRPr="00D517FD" w:rsidRDefault="005848BD" w:rsidP="001C67CE">
            <w:pPr>
              <w:pStyle w:val="Tablebody"/>
              <w:jc w:val="left"/>
            </w:pPr>
            <w:r w:rsidRPr="00D517FD">
              <w:t xml:space="preserve">2 </w:t>
            </w:r>
            <w:r w:rsidR="001C67CE" w:rsidRPr="00D517FD">
              <w:t>–</w:t>
            </w:r>
            <w:r w:rsidRPr="00D517FD">
              <w:t xml:space="preserve"> Poor quality; needs major work to improve</w:t>
            </w:r>
          </w:p>
        </w:tc>
        <w:tc>
          <w:tcPr>
            <w:tcW w:w="1148" w:type="dxa"/>
            <w:noWrap/>
            <w:vAlign w:val="bottom"/>
          </w:tcPr>
          <w:p w:rsidR="005848BD" w:rsidRPr="00D517FD" w:rsidRDefault="005848BD" w:rsidP="001C67CE">
            <w:pPr>
              <w:pStyle w:val="Tablebody"/>
              <w:ind w:left="42" w:hanging="42"/>
            </w:pPr>
            <w:r w:rsidRPr="00D517FD">
              <w:t>0</w:t>
            </w:r>
          </w:p>
        </w:tc>
        <w:tc>
          <w:tcPr>
            <w:tcW w:w="1092" w:type="dxa"/>
            <w:noWrap/>
            <w:vAlign w:val="bottom"/>
          </w:tcPr>
          <w:p w:rsidR="005848BD" w:rsidRPr="00D517FD" w:rsidRDefault="005848BD" w:rsidP="001C67CE">
            <w:pPr>
              <w:pStyle w:val="Tablebody"/>
              <w:ind w:left="42" w:hanging="42"/>
            </w:pPr>
            <w:r w:rsidRPr="00D517FD">
              <w:t>2</w:t>
            </w:r>
          </w:p>
        </w:tc>
        <w:tc>
          <w:tcPr>
            <w:tcW w:w="1092" w:type="dxa"/>
            <w:noWrap/>
            <w:vAlign w:val="bottom"/>
          </w:tcPr>
          <w:p w:rsidR="005848BD" w:rsidRPr="00D517FD" w:rsidRDefault="005848BD" w:rsidP="001C67CE">
            <w:pPr>
              <w:pStyle w:val="Tablebody"/>
              <w:ind w:left="42" w:hanging="42"/>
            </w:pPr>
            <w:r w:rsidRPr="00D517FD">
              <w:t>1</w:t>
            </w:r>
          </w:p>
        </w:tc>
        <w:tc>
          <w:tcPr>
            <w:tcW w:w="1092" w:type="dxa"/>
            <w:noWrap/>
            <w:vAlign w:val="bottom"/>
          </w:tcPr>
          <w:p w:rsidR="005848BD" w:rsidRPr="00D517FD" w:rsidRDefault="005848BD" w:rsidP="001C67CE">
            <w:pPr>
              <w:pStyle w:val="Tablebody"/>
              <w:ind w:left="42" w:hanging="42"/>
            </w:pPr>
            <w:r w:rsidRPr="00D517FD">
              <w:t>0</w:t>
            </w:r>
          </w:p>
        </w:tc>
      </w:tr>
      <w:tr w:rsidR="005848BD" w:rsidRPr="00D517FD" w:rsidTr="00E02725">
        <w:trPr>
          <w:cantSplit/>
          <w:trHeight w:val="255"/>
        </w:trPr>
        <w:tc>
          <w:tcPr>
            <w:tcW w:w="3513" w:type="dxa"/>
            <w:noWrap/>
            <w:vAlign w:val="bottom"/>
          </w:tcPr>
          <w:p w:rsidR="005848BD" w:rsidRPr="00D517FD" w:rsidRDefault="005848BD" w:rsidP="001C67CE">
            <w:pPr>
              <w:pStyle w:val="Tablebody"/>
              <w:jc w:val="left"/>
            </w:pPr>
            <w:r w:rsidRPr="00D517FD">
              <w:t xml:space="preserve">1 </w:t>
            </w:r>
            <w:r w:rsidR="001C67CE" w:rsidRPr="00D517FD">
              <w:t>–</w:t>
            </w:r>
            <w:r w:rsidRPr="00D517FD">
              <w:t xml:space="preserve"> Very poor quality; needs major overhaul</w:t>
            </w:r>
          </w:p>
        </w:tc>
        <w:tc>
          <w:tcPr>
            <w:tcW w:w="1148" w:type="dxa"/>
            <w:noWrap/>
            <w:vAlign w:val="bottom"/>
          </w:tcPr>
          <w:p w:rsidR="005848BD" w:rsidRPr="00D517FD" w:rsidRDefault="005848BD" w:rsidP="001C67CE">
            <w:pPr>
              <w:pStyle w:val="Tablebody"/>
              <w:ind w:left="42" w:hanging="42"/>
            </w:pPr>
            <w:r w:rsidRPr="00D517FD">
              <w:t>0</w:t>
            </w:r>
          </w:p>
        </w:tc>
        <w:tc>
          <w:tcPr>
            <w:tcW w:w="1092" w:type="dxa"/>
            <w:noWrap/>
            <w:vAlign w:val="bottom"/>
          </w:tcPr>
          <w:p w:rsidR="005848BD" w:rsidRPr="00D517FD" w:rsidRDefault="005848BD" w:rsidP="001C67CE">
            <w:pPr>
              <w:pStyle w:val="Tablebody"/>
              <w:ind w:left="42" w:hanging="42"/>
            </w:pPr>
            <w:r w:rsidRPr="00D517FD">
              <w:t>0</w:t>
            </w:r>
          </w:p>
        </w:tc>
        <w:tc>
          <w:tcPr>
            <w:tcW w:w="1092" w:type="dxa"/>
            <w:noWrap/>
            <w:vAlign w:val="bottom"/>
          </w:tcPr>
          <w:p w:rsidR="005848BD" w:rsidRPr="00D517FD" w:rsidRDefault="005848BD" w:rsidP="001C67CE">
            <w:pPr>
              <w:pStyle w:val="Tablebody"/>
              <w:ind w:left="42" w:hanging="42"/>
            </w:pPr>
            <w:r w:rsidRPr="00D517FD">
              <w:t>1</w:t>
            </w:r>
          </w:p>
        </w:tc>
        <w:tc>
          <w:tcPr>
            <w:tcW w:w="1092" w:type="dxa"/>
            <w:noWrap/>
            <w:vAlign w:val="bottom"/>
          </w:tcPr>
          <w:p w:rsidR="005848BD" w:rsidRPr="00D517FD" w:rsidRDefault="005848BD" w:rsidP="001C67CE">
            <w:pPr>
              <w:pStyle w:val="Tablebody"/>
              <w:ind w:left="42" w:hanging="42"/>
            </w:pPr>
            <w:r w:rsidRPr="00D517FD">
              <w:t>1</w:t>
            </w:r>
          </w:p>
        </w:tc>
      </w:tr>
      <w:tr w:rsidR="005848BD" w:rsidRPr="00D517FD" w:rsidTr="00E02725">
        <w:trPr>
          <w:cantSplit/>
          <w:trHeight w:val="270"/>
        </w:trPr>
        <w:tc>
          <w:tcPr>
            <w:tcW w:w="3513" w:type="dxa"/>
            <w:noWrap/>
            <w:vAlign w:val="bottom"/>
          </w:tcPr>
          <w:p w:rsidR="005848BD" w:rsidRPr="00D517FD" w:rsidRDefault="005848BD" w:rsidP="001C67CE">
            <w:pPr>
              <w:pStyle w:val="Tableheading1"/>
            </w:pPr>
            <w:r w:rsidRPr="00D517FD">
              <w:t>Total</w:t>
            </w:r>
          </w:p>
        </w:tc>
        <w:tc>
          <w:tcPr>
            <w:tcW w:w="1148" w:type="dxa"/>
            <w:noWrap/>
            <w:vAlign w:val="bottom"/>
          </w:tcPr>
          <w:p w:rsidR="005848BD" w:rsidRPr="00D517FD" w:rsidRDefault="005848BD" w:rsidP="001C67CE">
            <w:pPr>
              <w:pStyle w:val="Tableheading1"/>
              <w:jc w:val="right"/>
            </w:pPr>
            <w:r w:rsidRPr="00D517FD">
              <w:t>14</w:t>
            </w:r>
          </w:p>
        </w:tc>
        <w:tc>
          <w:tcPr>
            <w:tcW w:w="1092" w:type="dxa"/>
            <w:noWrap/>
            <w:vAlign w:val="bottom"/>
          </w:tcPr>
          <w:p w:rsidR="005848BD" w:rsidRPr="00D517FD" w:rsidRDefault="005848BD" w:rsidP="001C67CE">
            <w:pPr>
              <w:pStyle w:val="Tableheading1"/>
              <w:jc w:val="right"/>
            </w:pPr>
            <w:r w:rsidRPr="00D517FD">
              <w:t>14</w:t>
            </w:r>
          </w:p>
        </w:tc>
        <w:tc>
          <w:tcPr>
            <w:tcW w:w="1092" w:type="dxa"/>
            <w:noWrap/>
            <w:vAlign w:val="bottom"/>
          </w:tcPr>
          <w:p w:rsidR="005848BD" w:rsidRPr="00D517FD" w:rsidRDefault="005848BD" w:rsidP="001C67CE">
            <w:pPr>
              <w:pStyle w:val="Tableheading1"/>
              <w:jc w:val="right"/>
            </w:pPr>
            <w:r w:rsidRPr="00D517FD">
              <w:t>14</w:t>
            </w:r>
          </w:p>
        </w:tc>
        <w:tc>
          <w:tcPr>
            <w:tcW w:w="1092" w:type="dxa"/>
            <w:noWrap/>
            <w:vAlign w:val="bottom"/>
          </w:tcPr>
          <w:p w:rsidR="005848BD" w:rsidRPr="00D517FD" w:rsidRDefault="005848BD" w:rsidP="001C67CE">
            <w:pPr>
              <w:pStyle w:val="Tableheading1"/>
              <w:jc w:val="right"/>
            </w:pPr>
            <w:r w:rsidRPr="00D517FD">
              <w:t>14</w:t>
            </w:r>
          </w:p>
        </w:tc>
      </w:tr>
      <w:tr w:rsidR="005848BD" w:rsidRPr="00D517FD" w:rsidTr="00E02725">
        <w:trPr>
          <w:cantSplit/>
          <w:trHeight w:val="255"/>
        </w:trPr>
        <w:tc>
          <w:tcPr>
            <w:tcW w:w="3513" w:type="dxa"/>
            <w:noWrap/>
            <w:vAlign w:val="bottom"/>
          </w:tcPr>
          <w:p w:rsidR="005848BD" w:rsidRPr="00D517FD" w:rsidRDefault="005848BD" w:rsidP="001C67CE">
            <w:pPr>
              <w:pStyle w:val="Tablebody"/>
              <w:spacing w:before="120"/>
              <w:jc w:val="left"/>
            </w:pPr>
            <w:r w:rsidRPr="00D517FD">
              <w:t>Unsatisfactory (1,2,3)</w:t>
            </w:r>
          </w:p>
        </w:tc>
        <w:tc>
          <w:tcPr>
            <w:tcW w:w="1148" w:type="dxa"/>
            <w:noWrap/>
            <w:vAlign w:val="bottom"/>
          </w:tcPr>
          <w:p w:rsidR="005848BD" w:rsidRPr="00D517FD" w:rsidRDefault="005848BD" w:rsidP="001C67CE">
            <w:pPr>
              <w:pStyle w:val="Tablebody"/>
              <w:spacing w:before="120"/>
              <w:ind w:left="42" w:hanging="42"/>
            </w:pPr>
            <w:r w:rsidRPr="00D517FD">
              <w:t>1 (7%)</w:t>
            </w:r>
          </w:p>
        </w:tc>
        <w:tc>
          <w:tcPr>
            <w:tcW w:w="1092" w:type="dxa"/>
            <w:noWrap/>
            <w:vAlign w:val="bottom"/>
          </w:tcPr>
          <w:p w:rsidR="005848BD" w:rsidRPr="00D517FD" w:rsidRDefault="005848BD" w:rsidP="001C67CE">
            <w:pPr>
              <w:pStyle w:val="Tablebody"/>
              <w:spacing w:before="120"/>
              <w:ind w:left="42" w:hanging="42"/>
            </w:pPr>
            <w:r w:rsidRPr="00D517FD">
              <w:t>3 (21%)</w:t>
            </w:r>
          </w:p>
        </w:tc>
        <w:tc>
          <w:tcPr>
            <w:tcW w:w="1092" w:type="dxa"/>
            <w:noWrap/>
            <w:vAlign w:val="bottom"/>
          </w:tcPr>
          <w:p w:rsidR="005848BD" w:rsidRPr="00D517FD" w:rsidRDefault="005848BD" w:rsidP="001C67CE">
            <w:pPr>
              <w:pStyle w:val="Tablebody"/>
              <w:spacing w:before="120"/>
              <w:ind w:left="42" w:hanging="42"/>
            </w:pPr>
            <w:r w:rsidRPr="00D517FD">
              <w:t>4 (29%)</w:t>
            </w:r>
          </w:p>
        </w:tc>
        <w:tc>
          <w:tcPr>
            <w:tcW w:w="1092" w:type="dxa"/>
            <w:noWrap/>
            <w:vAlign w:val="bottom"/>
          </w:tcPr>
          <w:p w:rsidR="005848BD" w:rsidRPr="00D517FD" w:rsidRDefault="005848BD" w:rsidP="001C67CE">
            <w:pPr>
              <w:pStyle w:val="Tablebody"/>
              <w:spacing w:before="120"/>
              <w:ind w:left="42" w:hanging="42"/>
            </w:pPr>
            <w:r w:rsidRPr="00D517FD">
              <w:t>3 (21%)</w:t>
            </w:r>
          </w:p>
        </w:tc>
      </w:tr>
      <w:tr w:rsidR="005848BD" w:rsidRPr="00D517FD" w:rsidTr="00E02725">
        <w:trPr>
          <w:cantSplit/>
          <w:trHeight w:val="255"/>
        </w:trPr>
        <w:tc>
          <w:tcPr>
            <w:tcW w:w="3513" w:type="dxa"/>
            <w:noWrap/>
            <w:vAlign w:val="bottom"/>
          </w:tcPr>
          <w:p w:rsidR="005848BD" w:rsidRPr="00D517FD" w:rsidRDefault="001C67CE" w:rsidP="001C67CE">
            <w:pPr>
              <w:pStyle w:val="Tablebody"/>
              <w:spacing w:before="120"/>
              <w:jc w:val="left"/>
            </w:pPr>
            <w:r w:rsidRPr="00D517FD">
              <w:t xml:space="preserve">Satisfactory </w:t>
            </w:r>
            <w:r w:rsidR="005848BD" w:rsidRPr="00D517FD">
              <w:t>(4,5,6)</w:t>
            </w:r>
          </w:p>
        </w:tc>
        <w:tc>
          <w:tcPr>
            <w:tcW w:w="1148" w:type="dxa"/>
            <w:noWrap/>
            <w:vAlign w:val="bottom"/>
          </w:tcPr>
          <w:p w:rsidR="005848BD" w:rsidRPr="00D517FD" w:rsidRDefault="005848BD" w:rsidP="001C67CE">
            <w:pPr>
              <w:pStyle w:val="Tablebody"/>
              <w:spacing w:before="120"/>
              <w:ind w:left="42" w:hanging="42"/>
            </w:pPr>
            <w:r w:rsidRPr="00D517FD">
              <w:t>13 (93%)</w:t>
            </w:r>
          </w:p>
        </w:tc>
        <w:tc>
          <w:tcPr>
            <w:tcW w:w="1092" w:type="dxa"/>
            <w:noWrap/>
            <w:vAlign w:val="bottom"/>
          </w:tcPr>
          <w:p w:rsidR="005848BD" w:rsidRPr="00D517FD" w:rsidRDefault="005848BD" w:rsidP="001C67CE">
            <w:pPr>
              <w:pStyle w:val="Tablebody"/>
              <w:spacing w:before="120"/>
              <w:ind w:left="42" w:hanging="42"/>
            </w:pPr>
            <w:r w:rsidRPr="00D517FD">
              <w:t>11 (79%)</w:t>
            </w:r>
          </w:p>
        </w:tc>
        <w:tc>
          <w:tcPr>
            <w:tcW w:w="1092" w:type="dxa"/>
            <w:noWrap/>
            <w:vAlign w:val="bottom"/>
          </w:tcPr>
          <w:p w:rsidR="005848BD" w:rsidRPr="00D517FD" w:rsidRDefault="005848BD" w:rsidP="001C67CE">
            <w:pPr>
              <w:pStyle w:val="Tablebody"/>
              <w:spacing w:before="120"/>
              <w:ind w:left="42" w:hanging="42"/>
            </w:pPr>
            <w:r w:rsidRPr="00D517FD">
              <w:t>10 (71%)</w:t>
            </w:r>
          </w:p>
        </w:tc>
        <w:tc>
          <w:tcPr>
            <w:tcW w:w="1092" w:type="dxa"/>
            <w:noWrap/>
            <w:vAlign w:val="bottom"/>
          </w:tcPr>
          <w:p w:rsidR="005848BD" w:rsidRPr="00D517FD" w:rsidRDefault="005848BD" w:rsidP="001C67CE">
            <w:pPr>
              <w:pStyle w:val="Tablebody"/>
              <w:spacing w:before="120"/>
              <w:ind w:left="42" w:hanging="42"/>
            </w:pPr>
            <w:r w:rsidRPr="00D517FD">
              <w:t>11 (79%)</w:t>
            </w:r>
          </w:p>
        </w:tc>
      </w:tr>
      <w:tr w:rsidR="005848BD" w:rsidRPr="00D517FD" w:rsidTr="00E02725">
        <w:trPr>
          <w:cantSplit/>
          <w:trHeight w:val="255"/>
        </w:trPr>
        <w:tc>
          <w:tcPr>
            <w:tcW w:w="3513" w:type="dxa"/>
            <w:tcBorders>
              <w:bottom w:val="single" w:sz="4" w:space="0" w:color="auto"/>
            </w:tcBorders>
            <w:noWrap/>
            <w:vAlign w:val="bottom"/>
          </w:tcPr>
          <w:p w:rsidR="005848BD" w:rsidRPr="00D517FD" w:rsidRDefault="005848BD" w:rsidP="001C67CE">
            <w:pPr>
              <w:pStyle w:val="Tablebody"/>
              <w:spacing w:before="120"/>
              <w:jc w:val="left"/>
            </w:pPr>
            <w:r w:rsidRPr="00D517FD">
              <w:t xml:space="preserve">Special </w:t>
            </w:r>
            <w:r w:rsidR="001C67CE" w:rsidRPr="00D517FD">
              <w:t xml:space="preserve">category—requires improvement </w:t>
            </w:r>
            <w:r w:rsidRPr="00D517FD">
              <w:t>(1,2,3,4)</w:t>
            </w:r>
          </w:p>
        </w:tc>
        <w:tc>
          <w:tcPr>
            <w:tcW w:w="1148" w:type="dxa"/>
            <w:tcBorders>
              <w:bottom w:val="single" w:sz="4" w:space="0" w:color="auto"/>
            </w:tcBorders>
            <w:noWrap/>
            <w:vAlign w:val="bottom"/>
          </w:tcPr>
          <w:p w:rsidR="005848BD" w:rsidRPr="00D517FD" w:rsidRDefault="005848BD" w:rsidP="001C67CE">
            <w:pPr>
              <w:pStyle w:val="Tablebody"/>
              <w:spacing w:before="120"/>
              <w:ind w:left="42" w:hanging="42"/>
            </w:pPr>
            <w:r w:rsidRPr="00D517FD">
              <w:t>8 (57%)</w:t>
            </w:r>
          </w:p>
        </w:tc>
        <w:tc>
          <w:tcPr>
            <w:tcW w:w="1092" w:type="dxa"/>
            <w:tcBorders>
              <w:bottom w:val="single" w:sz="4" w:space="0" w:color="auto"/>
            </w:tcBorders>
            <w:noWrap/>
            <w:vAlign w:val="bottom"/>
          </w:tcPr>
          <w:p w:rsidR="005848BD" w:rsidRPr="00D517FD" w:rsidRDefault="005848BD" w:rsidP="001C67CE">
            <w:pPr>
              <w:pStyle w:val="Tablebody"/>
              <w:spacing w:before="120"/>
              <w:ind w:left="42" w:hanging="42"/>
            </w:pPr>
            <w:r w:rsidRPr="00D517FD">
              <w:t>7 (50%)</w:t>
            </w:r>
          </w:p>
        </w:tc>
        <w:tc>
          <w:tcPr>
            <w:tcW w:w="1092" w:type="dxa"/>
            <w:tcBorders>
              <w:bottom w:val="single" w:sz="4" w:space="0" w:color="auto"/>
            </w:tcBorders>
            <w:noWrap/>
            <w:vAlign w:val="bottom"/>
          </w:tcPr>
          <w:p w:rsidR="005848BD" w:rsidRPr="00D517FD" w:rsidRDefault="005848BD" w:rsidP="001C67CE">
            <w:pPr>
              <w:pStyle w:val="Tablebody"/>
              <w:spacing w:before="120"/>
              <w:ind w:left="42" w:hanging="42"/>
            </w:pPr>
            <w:r w:rsidRPr="00D517FD">
              <w:t>7 (50%)</w:t>
            </w:r>
          </w:p>
        </w:tc>
        <w:tc>
          <w:tcPr>
            <w:tcW w:w="1092" w:type="dxa"/>
            <w:tcBorders>
              <w:bottom w:val="single" w:sz="4" w:space="0" w:color="auto"/>
            </w:tcBorders>
            <w:noWrap/>
            <w:vAlign w:val="bottom"/>
          </w:tcPr>
          <w:p w:rsidR="005848BD" w:rsidRPr="00D517FD" w:rsidRDefault="005848BD" w:rsidP="001C67CE">
            <w:pPr>
              <w:pStyle w:val="Tablebody"/>
              <w:spacing w:before="120"/>
              <w:ind w:left="42" w:hanging="42"/>
            </w:pPr>
            <w:r w:rsidRPr="00D517FD">
              <w:t>11 (79%)</w:t>
            </w:r>
          </w:p>
        </w:tc>
      </w:tr>
    </w:tbl>
    <w:p w:rsidR="005848BD" w:rsidRPr="00D517FD" w:rsidRDefault="0008477A" w:rsidP="005848BD">
      <w:pPr>
        <w:pStyle w:val="BodyText"/>
      </w:pPr>
      <w:r>
        <w:t>In broad terms the</w:t>
      </w:r>
      <w:r w:rsidR="005848BD" w:rsidRPr="00D517FD">
        <w:t xml:space="preserve"> implementation progress </w:t>
      </w:r>
      <w:r>
        <w:t>of the activities was</w:t>
      </w:r>
      <w:r w:rsidRPr="00D517FD">
        <w:t xml:space="preserve"> </w:t>
      </w:r>
      <w:r w:rsidR="005848BD" w:rsidRPr="00D517FD">
        <w:t>mostly on track</w:t>
      </w:r>
      <w:r w:rsidR="004277F1">
        <w:t>, and</w:t>
      </w:r>
      <w:r w:rsidR="005848BD" w:rsidRPr="00D517FD">
        <w:t xml:space="preserve"> </w:t>
      </w:r>
      <w:r w:rsidR="004277F1">
        <w:t xml:space="preserve">monitoring </w:t>
      </w:r>
      <w:r>
        <w:t>and evaluation</w:t>
      </w:r>
      <w:r w:rsidR="005848BD" w:rsidRPr="00D517FD">
        <w:t xml:space="preserve">, achieving objectives and sustainability </w:t>
      </w:r>
      <w:r>
        <w:t>were</w:t>
      </w:r>
      <w:r w:rsidRPr="00D517FD">
        <w:t xml:space="preserve"> </w:t>
      </w:r>
      <w:r w:rsidR="005848BD" w:rsidRPr="00D517FD">
        <w:t>generally satisfactory.</w:t>
      </w:r>
      <w:r w:rsidR="00AA700F" w:rsidRPr="00D517FD">
        <w:t xml:space="preserve"> </w:t>
      </w:r>
      <w:r w:rsidR="005848BD" w:rsidRPr="00D517FD">
        <w:t xml:space="preserve">A small number of activities </w:t>
      </w:r>
      <w:r>
        <w:t>were</w:t>
      </w:r>
      <w:r w:rsidRPr="00D517FD">
        <w:t xml:space="preserve"> </w:t>
      </w:r>
      <w:r w:rsidR="005848BD" w:rsidRPr="00D517FD">
        <w:t xml:space="preserve">not able to provide evidence of progress in achieving objectives or sustainability due </w:t>
      </w:r>
      <w:r w:rsidRPr="00D517FD">
        <w:t xml:space="preserve">mainly </w:t>
      </w:r>
      <w:r w:rsidR="005848BD" w:rsidRPr="00D517FD">
        <w:t xml:space="preserve">to the inadequacy of </w:t>
      </w:r>
      <w:r w:rsidR="00DA6DA4">
        <w:t xml:space="preserve">their </w:t>
      </w:r>
      <w:r>
        <w:t>monitoring and evaluation</w:t>
      </w:r>
      <w:r w:rsidR="005848BD" w:rsidRPr="00D517FD">
        <w:t xml:space="preserve"> arrangements.</w:t>
      </w:r>
      <w:r w:rsidR="00AA700F" w:rsidRPr="00D517FD">
        <w:t xml:space="preserve"> </w:t>
      </w:r>
      <w:r w:rsidR="005848BD" w:rsidRPr="00D517FD">
        <w:t xml:space="preserve">Some activities also have unclear objectives or have not defined success, </w:t>
      </w:r>
      <w:r w:rsidR="00F6218E">
        <w:t>which made</w:t>
      </w:r>
      <w:r w:rsidR="00F6218E" w:rsidRPr="00D517FD">
        <w:t xml:space="preserve"> </w:t>
      </w:r>
      <w:r w:rsidR="005848BD" w:rsidRPr="00D517FD">
        <w:t>performance difficult to assess.</w:t>
      </w:r>
    </w:p>
    <w:p w:rsidR="005848BD" w:rsidRPr="00D517FD" w:rsidRDefault="005848BD" w:rsidP="00572931">
      <w:pPr>
        <w:pStyle w:val="Heading2nonumber"/>
      </w:pPr>
      <w:bookmarkStart w:id="27" w:name="_Toc360805218"/>
      <w:r w:rsidRPr="00D517FD">
        <w:t xml:space="preserve">Implementation </w:t>
      </w:r>
      <w:r w:rsidR="00572931" w:rsidRPr="00D517FD">
        <w:t>progress</w:t>
      </w:r>
      <w:bookmarkEnd w:id="27"/>
    </w:p>
    <w:p w:rsidR="005848BD" w:rsidRPr="00D517FD" w:rsidRDefault="005848BD" w:rsidP="005848BD">
      <w:pPr>
        <w:pStyle w:val="BodyText"/>
      </w:pPr>
      <w:r w:rsidRPr="00D517FD">
        <w:t xml:space="preserve">There </w:t>
      </w:r>
      <w:r w:rsidR="004277F1">
        <w:t>were</w:t>
      </w:r>
      <w:r w:rsidR="004277F1" w:rsidRPr="00D517FD">
        <w:t xml:space="preserve"> </w:t>
      </w:r>
      <w:r w:rsidRPr="00D517FD">
        <w:t xml:space="preserve">no general concerns about </w:t>
      </w:r>
      <w:r w:rsidR="00DA6DA4">
        <w:t>implementation</w:t>
      </w:r>
      <w:r w:rsidRPr="00D517FD">
        <w:t xml:space="preserve"> of the China </w:t>
      </w:r>
      <w:r w:rsidR="00F6218E" w:rsidRPr="00D517FD">
        <w:t>program</w:t>
      </w:r>
      <w:r w:rsidRPr="00D517FD">
        <w:t>.</w:t>
      </w:r>
      <w:r w:rsidR="00AA700F" w:rsidRPr="00D517FD">
        <w:t xml:space="preserve"> </w:t>
      </w:r>
      <w:r w:rsidRPr="00D517FD">
        <w:t xml:space="preserve">Six activities </w:t>
      </w:r>
      <w:r w:rsidR="004277F1">
        <w:t xml:space="preserve">were </w:t>
      </w:r>
      <w:r w:rsidRPr="00D517FD">
        <w:t xml:space="preserve">rated </w:t>
      </w:r>
      <w:r w:rsidR="004277F1">
        <w:t xml:space="preserve">as </w:t>
      </w:r>
      <w:r w:rsidRPr="00D517FD">
        <w:t xml:space="preserve">good, seven </w:t>
      </w:r>
      <w:r w:rsidR="004277F1">
        <w:t>were considered</w:t>
      </w:r>
      <w:r w:rsidR="004277F1" w:rsidRPr="00D517FD">
        <w:t xml:space="preserve"> </w:t>
      </w:r>
      <w:r w:rsidR="00DA6DA4">
        <w:t xml:space="preserve">to be </w:t>
      </w:r>
      <w:r w:rsidRPr="00D517FD">
        <w:t>adequate and only one</w:t>
      </w:r>
      <w:r w:rsidR="00DA6DA4">
        <w:t xml:space="preserve"> (</w:t>
      </w:r>
      <w:r w:rsidRPr="00D517FD">
        <w:t xml:space="preserve">the Karst Environment and Rehabilitation </w:t>
      </w:r>
      <w:r w:rsidR="00CC6782">
        <w:t>Project</w:t>
      </w:r>
      <w:r w:rsidR="00DA6DA4">
        <w:t xml:space="preserve">) </w:t>
      </w:r>
      <w:r w:rsidR="00D36537">
        <w:t xml:space="preserve">was </w:t>
      </w:r>
      <w:r w:rsidRPr="00D517FD">
        <w:t xml:space="preserve">rated </w:t>
      </w:r>
      <w:r w:rsidR="00D36537">
        <w:t xml:space="preserve">as </w:t>
      </w:r>
      <w:r w:rsidRPr="00D517FD">
        <w:t>less than adequate.</w:t>
      </w:r>
      <w:r w:rsidR="00AA700F" w:rsidRPr="00D517FD">
        <w:t xml:space="preserve"> </w:t>
      </w:r>
      <w:r w:rsidR="00D36537">
        <w:t>This project</w:t>
      </w:r>
      <w:r w:rsidR="00D36537" w:rsidRPr="00D517FD">
        <w:t xml:space="preserve"> </w:t>
      </w:r>
      <w:r w:rsidRPr="00D517FD">
        <w:t>was extended for two and a half years to allow some activities to be completed and project savings to be used.</w:t>
      </w:r>
    </w:p>
    <w:p w:rsidR="005848BD" w:rsidRPr="00D517FD" w:rsidRDefault="005848BD" w:rsidP="00572931">
      <w:pPr>
        <w:pStyle w:val="Heading2nonumber"/>
      </w:pPr>
      <w:bookmarkStart w:id="28" w:name="_Toc360805219"/>
      <w:r w:rsidRPr="00D517FD">
        <w:lastRenderedPageBreak/>
        <w:t xml:space="preserve">Achieving </w:t>
      </w:r>
      <w:r w:rsidR="00572931" w:rsidRPr="00D517FD">
        <w:t>objectives</w:t>
      </w:r>
      <w:bookmarkEnd w:id="28"/>
    </w:p>
    <w:p w:rsidR="005848BD" w:rsidRPr="00DA6DA4" w:rsidRDefault="00DA6DA4" w:rsidP="005848BD">
      <w:pPr>
        <w:pStyle w:val="BodyText"/>
        <w:rPr>
          <w:spacing w:val="-2"/>
        </w:rPr>
      </w:pPr>
      <w:r w:rsidRPr="00DA6DA4">
        <w:rPr>
          <w:spacing w:val="-2"/>
        </w:rPr>
        <w:t>In terms of achieving objectives, o</w:t>
      </w:r>
      <w:r w:rsidR="005848BD" w:rsidRPr="00DA6DA4">
        <w:rPr>
          <w:spacing w:val="-2"/>
        </w:rPr>
        <w:t xml:space="preserve">ne activity </w:t>
      </w:r>
      <w:r w:rsidR="004277F1" w:rsidRPr="00DA6DA4">
        <w:rPr>
          <w:spacing w:val="-2"/>
        </w:rPr>
        <w:t xml:space="preserve">was </w:t>
      </w:r>
      <w:r w:rsidR="005848BD" w:rsidRPr="00DA6DA4">
        <w:rPr>
          <w:spacing w:val="-2"/>
        </w:rPr>
        <w:t xml:space="preserve">rated </w:t>
      </w:r>
      <w:r w:rsidR="004277F1" w:rsidRPr="00DA6DA4">
        <w:rPr>
          <w:spacing w:val="-2"/>
        </w:rPr>
        <w:t xml:space="preserve">as </w:t>
      </w:r>
      <w:r w:rsidR="005848BD" w:rsidRPr="00DA6DA4">
        <w:rPr>
          <w:spacing w:val="-2"/>
        </w:rPr>
        <w:t xml:space="preserve">very high quality, six </w:t>
      </w:r>
      <w:r w:rsidR="004277F1" w:rsidRPr="00DA6DA4">
        <w:rPr>
          <w:spacing w:val="-2"/>
        </w:rPr>
        <w:t xml:space="preserve">as </w:t>
      </w:r>
      <w:r w:rsidR="005848BD" w:rsidRPr="00DA6DA4">
        <w:rPr>
          <w:spacing w:val="-2"/>
        </w:rPr>
        <w:t xml:space="preserve">good and four </w:t>
      </w:r>
      <w:r w:rsidR="004277F1" w:rsidRPr="00DA6DA4">
        <w:rPr>
          <w:spacing w:val="-2"/>
        </w:rPr>
        <w:t xml:space="preserve">as </w:t>
      </w:r>
      <w:r w:rsidR="005848BD" w:rsidRPr="00DA6DA4">
        <w:rPr>
          <w:spacing w:val="-2"/>
        </w:rPr>
        <w:t>adequate.</w:t>
      </w:r>
      <w:r w:rsidR="00AA700F" w:rsidRPr="00DA6DA4">
        <w:rPr>
          <w:spacing w:val="-2"/>
        </w:rPr>
        <w:t xml:space="preserve"> </w:t>
      </w:r>
      <w:r w:rsidR="005848BD" w:rsidRPr="00DA6DA4">
        <w:rPr>
          <w:spacing w:val="-2"/>
        </w:rPr>
        <w:t>However, one (</w:t>
      </w:r>
      <w:r w:rsidRPr="00DA6DA4">
        <w:rPr>
          <w:spacing w:val="-2"/>
        </w:rPr>
        <w:t xml:space="preserve">the </w:t>
      </w:r>
      <w:r w:rsidR="005848BD" w:rsidRPr="00DA6DA4">
        <w:rPr>
          <w:spacing w:val="-2"/>
        </w:rPr>
        <w:t xml:space="preserve">IFC Project Development Facility) </w:t>
      </w:r>
      <w:r w:rsidR="004277F1" w:rsidRPr="00DA6DA4">
        <w:rPr>
          <w:spacing w:val="-2"/>
        </w:rPr>
        <w:t xml:space="preserve">was </w:t>
      </w:r>
      <w:r w:rsidR="005848BD" w:rsidRPr="00DA6DA4">
        <w:rPr>
          <w:spacing w:val="-2"/>
        </w:rPr>
        <w:t xml:space="preserve">rated </w:t>
      </w:r>
      <w:r w:rsidR="004277F1" w:rsidRPr="00DA6DA4">
        <w:rPr>
          <w:spacing w:val="-2"/>
        </w:rPr>
        <w:t xml:space="preserve">as </w:t>
      </w:r>
      <w:r w:rsidR="005848BD" w:rsidRPr="00DA6DA4">
        <w:rPr>
          <w:spacing w:val="-2"/>
        </w:rPr>
        <w:t>less than adequate and two (</w:t>
      </w:r>
      <w:r w:rsidR="00D36537" w:rsidRPr="00DA6DA4">
        <w:rPr>
          <w:spacing w:val="-2"/>
        </w:rPr>
        <w:t xml:space="preserve">the Small Activities Scheme </w:t>
      </w:r>
      <w:r w:rsidR="005848BD" w:rsidRPr="00DA6DA4">
        <w:rPr>
          <w:spacing w:val="-2"/>
        </w:rPr>
        <w:t xml:space="preserve">and </w:t>
      </w:r>
      <w:r w:rsidRPr="00DA6DA4">
        <w:rPr>
          <w:spacing w:val="-2"/>
        </w:rPr>
        <w:t xml:space="preserve">the </w:t>
      </w:r>
      <w:r w:rsidR="00D36537" w:rsidRPr="00DA6DA4">
        <w:rPr>
          <w:spacing w:val="-2"/>
        </w:rPr>
        <w:t>Australian Development Scholarships</w:t>
      </w:r>
      <w:r w:rsidRPr="00DA6DA4">
        <w:rPr>
          <w:spacing w:val="-2"/>
        </w:rPr>
        <w:t xml:space="preserve"> program</w:t>
      </w:r>
      <w:r w:rsidR="005848BD" w:rsidRPr="00DA6DA4">
        <w:rPr>
          <w:spacing w:val="-2"/>
        </w:rPr>
        <w:t xml:space="preserve">) </w:t>
      </w:r>
      <w:r w:rsidR="004277F1" w:rsidRPr="00DA6DA4">
        <w:rPr>
          <w:spacing w:val="-2"/>
        </w:rPr>
        <w:t xml:space="preserve">were </w:t>
      </w:r>
      <w:r w:rsidR="005848BD" w:rsidRPr="00DA6DA4">
        <w:rPr>
          <w:spacing w:val="-2"/>
        </w:rPr>
        <w:t xml:space="preserve">rated </w:t>
      </w:r>
      <w:r w:rsidR="004277F1" w:rsidRPr="00DA6DA4">
        <w:rPr>
          <w:spacing w:val="-2"/>
        </w:rPr>
        <w:t xml:space="preserve">as </w:t>
      </w:r>
      <w:r w:rsidR="005848BD" w:rsidRPr="00DA6DA4">
        <w:rPr>
          <w:spacing w:val="-2"/>
        </w:rPr>
        <w:t>poor</w:t>
      </w:r>
      <w:r w:rsidR="004277F1" w:rsidRPr="00DA6DA4">
        <w:rPr>
          <w:spacing w:val="-2"/>
        </w:rPr>
        <w:t>,</w:t>
      </w:r>
      <w:r w:rsidR="005848BD" w:rsidRPr="00DA6DA4">
        <w:rPr>
          <w:spacing w:val="-2"/>
        </w:rPr>
        <w:t xml:space="preserve"> needing major work to improve.</w:t>
      </w:r>
      <w:r w:rsidR="00AA700F" w:rsidRPr="00DA6DA4">
        <w:rPr>
          <w:spacing w:val="-2"/>
        </w:rPr>
        <w:t xml:space="preserve"> </w:t>
      </w:r>
      <w:r w:rsidR="005848BD" w:rsidRPr="00DA6DA4">
        <w:rPr>
          <w:spacing w:val="-2"/>
        </w:rPr>
        <w:t xml:space="preserve">One of the main reasons behind the WET project’s success was the high priority accorded it by China’s </w:t>
      </w:r>
      <w:r w:rsidR="006D39F2" w:rsidRPr="00DA6DA4">
        <w:rPr>
          <w:spacing w:val="-2"/>
        </w:rPr>
        <w:t>Ministry of Water Resources</w:t>
      </w:r>
      <w:r w:rsidR="005848BD" w:rsidRPr="00DA6DA4">
        <w:rPr>
          <w:spacing w:val="-2"/>
        </w:rPr>
        <w:t>.</w:t>
      </w:r>
      <w:r w:rsidR="00AA700F" w:rsidRPr="00DA6DA4">
        <w:rPr>
          <w:spacing w:val="-2"/>
        </w:rPr>
        <w:t xml:space="preserve"> </w:t>
      </w:r>
      <w:r w:rsidR="006D39F2" w:rsidRPr="00DA6DA4">
        <w:rPr>
          <w:spacing w:val="-2"/>
        </w:rPr>
        <w:t xml:space="preserve">The ministry </w:t>
      </w:r>
      <w:r w:rsidR="005848BD" w:rsidRPr="00DA6DA4">
        <w:rPr>
          <w:spacing w:val="-2"/>
        </w:rPr>
        <w:t>was closely engaged in all aspects of the project’s preparation and implementation and, in consultation with the Australian implementing agents, identified clear, appropriate and measurable objectives.</w:t>
      </w:r>
      <w:r w:rsidR="00AA700F" w:rsidRPr="00DA6DA4">
        <w:rPr>
          <w:spacing w:val="-2"/>
        </w:rPr>
        <w:t xml:space="preserve"> </w:t>
      </w:r>
      <w:r w:rsidR="005848BD" w:rsidRPr="00DA6DA4">
        <w:rPr>
          <w:spacing w:val="-2"/>
        </w:rPr>
        <w:t xml:space="preserve">Further, the Australian team comprised government officials with the right mix of technical and interpersonal skills to form close working relationships with their government counterparts and to deliver a product considered extremely useful to </w:t>
      </w:r>
      <w:r w:rsidR="006D39F2" w:rsidRPr="00DA6DA4">
        <w:rPr>
          <w:spacing w:val="-2"/>
        </w:rPr>
        <w:t>Ministry of Water Resources</w:t>
      </w:r>
      <w:r w:rsidR="005848BD" w:rsidRPr="00DA6DA4">
        <w:rPr>
          <w:spacing w:val="-2"/>
        </w:rPr>
        <w:t xml:space="preserve">. </w:t>
      </w:r>
    </w:p>
    <w:p w:rsidR="005848BD" w:rsidRPr="00D517FD" w:rsidRDefault="005848BD" w:rsidP="005848BD">
      <w:pPr>
        <w:pStyle w:val="BodyText"/>
      </w:pPr>
      <w:r w:rsidRPr="00D517FD">
        <w:t>The poorer performing activities generally did not have a goal and/or purpose</w:t>
      </w:r>
      <w:r w:rsidR="00D36537">
        <w:t>,</w:t>
      </w:r>
      <w:r w:rsidRPr="00D517FD">
        <w:t xml:space="preserve"> did not have a strong cause and effect logic</w:t>
      </w:r>
      <w:r w:rsidR="00D36537">
        <w:t>,</w:t>
      </w:r>
      <w:r w:rsidRPr="00D517FD">
        <w:t xml:space="preserve"> and/or </w:t>
      </w:r>
      <w:r w:rsidR="00361A39">
        <w:t xml:space="preserve">had a vague or no definition of success, </w:t>
      </w:r>
      <w:r w:rsidR="00D36537">
        <w:t xml:space="preserve">which made it </w:t>
      </w:r>
      <w:r w:rsidRPr="00D517FD">
        <w:t>difficult to measure or assess success.</w:t>
      </w:r>
      <w:r w:rsidR="00AA700F" w:rsidRPr="00D517FD">
        <w:t xml:space="preserve"> </w:t>
      </w:r>
      <w:r w:rsidRPr="00D517FD">
        <w:t xml:space="preserve">In particular, </w:t>
      </w:r>
      <w:r w:rsidR="00361A39">
        <w:t xml:space="preserve">the </w:t>
      </w:r>
      <w:r w:rsidR="00B84061" w:rsidRPr="00D517FD">
        <w:t>Australian Development Scholarships</w:t>
      </w:r>
      <w:r w:rsidRPr="00D517FD">
        <w:t xml:space="preserve"> </w:t>
      </w:r>
      <w:r w:rsidR="00361A39">
        <w:t xml:space="preserve">program </w:t>
      </w:r>
      <w:r w:rsidRPr="00D517FD">
        <w:t xml:space="preserve">and </w:t>
      </w:r>
      <w:r w:rsidR="00361A39">
        <w:t xml:space="preserve">the </w:t>
      </w:r>
      <w:r w:rsidR="00B84061" w:rsidRPr="00D517FD">
        <w:t>Small Activities Scheme</w:t>
      </w:r>
      <w:r w:rsidRPr="00D517FD">
        <w:t xml:space="preserve"> do not have clear, appropriate and measurable objectives</w:t>
      </w:r>
      <w:r w:rsidR="00361A39">
        <w:t>, making</w:t>
      </w:r>
      <w:r w:rsidRPr="00D517FD">
        <w:t xml:space="preserve"> it difficult to assess their contribution to </w:t>
      </w:r>
      <w:r w:rsidR="00DA6DA4">
        <w:t xml:space="preserve">achieving the </w:t>
      </w:r>
      <w:r w:rsidRPr="00D517FD">
        <w:t>country strategy</w:t>
      </w:r>
      <w:r w:rsidR="00DA6DA4">
        <w:t>’s</w:t>
      </w:r>
      <w:r w:rsidRPr="00D517FD">
        <w:t xml:space="preserve"> objectives.</w:t>
      </w:r>
      <w:r w:rsidR="00AA700F" w:rsidRPr="00D517FD">
        <w:t xml:space="preserve"> </w:t>
      </w:r>
      <w:r w:rsidRPr="00D517FD">
        <w:t xml:space="preserve">Poorer performing activities also tended to report on outputs rather than </w:t>
      </w:r>
      <w:r w:rsidR="00361A39">
        <w:t xml:space="preserve">on </w:t>
      </w:r>
      <w:r w:rsidRPr="00D517FD">
        <w:t>outcomes and achievements</w:t>
      </w:r>
      <w:r w:rsidR="00361A39">
        <w:t>. This was the case of</w:t>
      </w:r>
      <w:r w:rsidR="00AA700F" w:rsidRPr="00D517FD">
        <w:t xml:space="preserve"> </w:t>
      </w:r>
      <w:r w:rsidRPr="00D517FD">
        <w:t>the IFC Project Development Facility.</w:t>
      </w:r>
      <w:r w:rsidR="00AA700F" w:rsidRPr="00D517FD">
        <w:t xml:space="preserve"> </w:t>
      </w:r>
      <w:r w:rsidRPr="00D517FD">
        <w:t xml:space="preserve">While its objectives were well defined, there was not enough evidence to indicate that they were being achieved or that the activities funded by this facility </w:t>
      </w:r>
      <w:r w:rsidR="00DA6DA4">
        <w:t>were</w:t>
      </w:r>
      <w:r w:rsidR="00DA6DA4" w:rsidRPr="00D517FD">
        <w:t xml:space="preserve"> </w:t>
      </w:r>
      <w:r w:rsidRPr="00D517FD">
        <w:t>likely to be sustainable.</w:t>
      </w:r>
    </w:p>
    <w:p w:rsidR="005848BD" w:rsidRPr="00D517FD" w:rsidRDefault="005848BD" w:rsidP="00572931">
      <w:pPr>
        <w:pStyle w:val="Heading2nonumber"/>
      </w:pPr>
      <w:bookmarkStart w:id="29" w:name="_Toc360805220"/>
      <w:r w:rsidRPr="00D517FD">
        <w:t xml:space="preserve">Monitoring and </w:t>
      </w:r>
      <w:r w:rsidR="00572931" w:rsidRPr="00D517FD">
        <w:t>evaluation</w:t>
      </w:r>
      <w:bookmarkEnd w:id="29"/>
    </w:p>
    <w:p w:rsidR="005848BD" w:rsidRPr="00D517FD" w:rsidRDefault="005848BD" w:rsidP="005848BD">
      <w:pPr>
        <w:pStyle w:val="BodyText"/>
      </w:pPr>
      <w:r w:rsidRPr="00D517FD">
        <w:t xml:space="preserve">Seven activities </w:t>
      </w:r>
      <w:r w:rsidR="00CC6782">
        <w:t xml:space="preserve">were </w:t>
      </w:r>
      <w:r w:rsidRPr="00D517FD">
        <w:t xml:space="preserve">rated </w:t>
      </w:r>
      <w:r w:rsidR="00CC6782">
        <w:t xml:space="preserve">as </w:t>
      </w:r>
      <w:r w:rsidR="00DA6DA4">
        <w:t xml:space="preserve">having </w:t>
      </w:r>
      <w:r w:rsidRPr="00D517FD">
        <w:t>good</w:t>
      </w:r>
      <w:r w:rsidR="00DA6DA4">
        <w:t>-</w:t>
      </w:r>
      <w:r w:rsidRPr="00D517FD">
        <w:t>quality</w:t>
      </w:r>
      <w:r w:rsidR="00DA6DA4">
        <w:t xml:space="preserve"> monitoring and evaluation</w:t>
      </w:r>
      <w:r w:rsidRPr="00D517FD">
        <w:t xml:space="preserve">, three </w:t>
      </w:r>
      <w:r w:rsidR="00CC6782">
        <w:t>as</w:t>
      </w:r>
      <w:r w:rsidR="00CC6782" w:rsidRPr="00D517FD">
        <w:t xml:space="preserve"> </w:t>
      </w:r>
      <w:r w:rsidRPr="00D517FD">
        <w:t>adequate, two (</w:t>
      </w:r>
      <w:r w:rsidR="00CC6782" w:rsidRPr="00D517FD">
        <w:t xml:space="preserve">the Karst Environment and Rehabilitation </w:t>
      </w:r>
      <w:r w:rsidR="00CC6782">
        <w:t xml:space="preserve">Project </w:t>
      </w:r>
      <w:r w:rsidRPr="00D517FD">
        <w:t xml:space="preserve">and </w:t>
      </w:r>
      <w:r w:rsidR="00CC6782">
        <w:t xml:space="preserve">the </w:t>
      </w:r>
      <w:r w:rsidRPr="00D517FD">
        <w:t>Clinton Foundation</w:t>
      </w:r>
      <w:r w:rsidR="00CC6782">
        <w:t>’s</w:t>
      </w:r>
      <w:r w:rsidRPr="00D517FD">
        <w:t xml:space="preserve"> HIV/AIDS </w:t>
      </w:r>
      <w:r w:rsidR="00371308" w:rsidRPr="00D517FD">
        <w:t>Treatment</w:t>
      </w:r>
      <w:r w:rsidR="00371308">
        <w:t xml:space="preserve"> Project</w:t>
      </w:r>
      <w:r w:rsidRPr="00D517FD">
        <w:t xml:space="preserve">) </w:t>
      </w:r>
      <w:r w:rsidR="00CC6782">
        <w:t>as</w:t>
      </w:r>
      <w:r w:rsidR="00CC6782" w:rsidRPr="00D517FD">
        <w:t xml:space="preserve"> </w:t>
      </w:r>
      <w:r w:rsidRPr="00D517FD">
        <w:t>less than adequate, one (</w:t>
      </w:r>
      <w:r w:rsidR="00DA6DA4">
        <w:t xml:space="preserve">the </w:t>
      </w:r>
      <w:r w:rsidR="00B84061" w:rsidRPr="00D517FD">
        <w:t>Australian Development Scholarships</w:t>
      </w:r>
      <w:r w:rsidR="00DA6DA4">
        <w:t xml:space="preserve"> program</w:t>
      </w:r>
      <w:r w:rsidRPr="00D517FD">
        <w:t xml:space="preserve">) </w:t>
      </w:r>
      <w:r w:rsidR="00CC6782">
        <w:t>as</w:t>
      </w:r>
      <w:r w:rsidR="00CC6782" w:rsidRPr="00D517FD">
        <w:t xml:space="preserve"> </w:t>
      </w:r>
      <w:r w:rsidRPr="00D517FD">
        <w:t>poor and one (</w:t>
      </w:r>
      <w:r w:rsidR="00DA6DA4">
        <w:t xml:space="preserve">the </w:t>
      </w:r>
      <w:r w:rsidR="00B84061" w:rsidRPr="00D517FD">
        <w:t>Small Activities Scheme</w:t>
      </w:r>
      <w:r w:rsidRPr="00D517FD">
        <w:t xml:space="preserve">) </w:t>
      </w:r>
      <w:r w:rsidR="00CC6782">
        <w:t>as</w:t>
      </w:r>
      <w:r w:rsidR="00CC6782" w:rsidRPr="00D517FD">
        <w:t xml:space="preserve"> </w:t>
      </w:r>
      <w:r w:rsidRPr="00D517FD">
        <w:t>very poor.</w:t>
      </w:r>
      <w:r w:rsidR="00AA700F" w:rsidRPr="00D517FD">
        <w:t xml:space="preserve"> </w:t>
      </w:r>
      <w:r w:rsidRPr="00D517FD">
        <w:t xml:space="preserve">The higher rating activities generally had good </w:t>
      </w:r>
      <w:r w:rsidR="00CC6782">
        <w:t>monitoring and evaluation</w:t>
      </w:r>
      <w:r w:rsidRPr="00D517FD">
        <w:t xml:space="preserve"> frameworks and other processes to gather information to measure, assess and report evidence of key results, achieving objectives and sustainability.</w:t>
      </w:r>
      <w:r w:rsidR="00AA700F" w:rsidRPr="00D517FD">
        <w:t xml:space="preserve"> </w:t>
      </w:r>
      <w:r w:rsidRPr="00D517FD">
        <w:t>Those activities that did not rate well generally provided insufficient information about key results, progress in achieving objectives or sustainability.</w:t>
      </w:r>
      <w:r w:rsidR="00AA700F" w:rsidRPr="00D517FD">
        <w:t xml:space="preserve"> </w:t>
      </w:r>
      <w:r w:rsidRPr="00D517FD">
        <w:t xml:space="preserve">While baseline information was often collected at the beginning of activities, no comparisons were made at the end of activities to enable </w:t>
      </w:r>
      <w:r w:rsidR="005F093A">
        <w:t xml:space="preserve">results to be </w:t>
      </w:r>
      <w:r w:rsidRPr="00D517FD">
        <w:t>objective</w:t>
      </w:r>
      <w:r w:rsidR="005F093A">
        <w:t>ly</w:t>
      </w:r>
      <w:r w:rsidRPr="00D517FD">
        <w:t xml:space="preserve"> assess</w:t>
      </w:r>
      <w:r w:rsidR="005F093A">
        <w:t>ed</w:t>
      </w:r>
      <w:r w:rsidRPr="00D517FD">
        <w:t>.</w:t>
      </w:r>
    </w:p>
    <w:p w:rsidR="005848BD" w:rsidRPr="00371308" w:rsidRDefault="00371308" w:rsidP="005848BD">
      <w:pPr>
        <w:pStyle w:val="BodyText"/>
        <w:rPr>
          <w:spacing w:val="-2"/>
        </w:rPr>
      </w:pPr>
      <w:r w:rsidRPr="00371308">
        <w:rPr>
          <w:spacing w:val="-2"/>
        </w:rPr>
        <w:t xml:space="preserve">The </w:t>
      </w:r>
      <w:r w:rsidR="00B84061" w:rsidRPr="00371308">
        <w:rPr>
          <w:spacing w:val="-2"/>
        </w:rPr>
        <w:t>Australian Development Scholarships</w:t>
      </w:r>
      <w:r w:rsidRPr="00371308">
        <w:rPr>
          <w:spacing w:val="-2"/>
        </w:rPr>
        <w:t xml:space="preserve"> program</w:t>
      </w:r>
      <w:r w:rsidR="005848BD" w:rsidRPr="00371308">
        <w:rPr>
          <w:spacing w:val="-2"/>
        </w:rPr>
        <w:t xml:space="preserve">, </w:t>
      </w:r>
      <w:r w:rsidRPr="00371308">
        <w:rPr>
          <w:spacing w:val="-2"/>
        </w:rPr>
        <w:t xml:space="preserve">the </w:t>
      </w:r>
      <w:r w:rsidR="00B84061" w:rsidRPr="00371308">
        <w:rPr>
          <w:spacing w:val="-2"/>
        </w:rPr>
        <w:t>Small Activities Scheme</w:t>
      </w:r>
      <w:r w:rsidR="005848BD" w:rsidRPr="00371308">
        <w:rPr>
          <w:spacing w:val="-2"/>
        </w:rPr>
        <w:t xml:space="preserve"> and </w:t>
      </w:r>
      <w:r w:rsidRPr="00371308">
        <w:rPr>
          <w:spacing w:val="-2"/>
        </w:rPr>
        <w:t xml:space="preserve">the </w:t>
      </w:r>
      <w:r w:rsidR="00D21845" w:rsidRPr="00D517FD">
        <w:t>Human Rights Technical Cooperation Program</w:t>
      </w:r>
      <w:r w:rsidR="00D21845">
        <w:t xml:space="preserve"> </w:t>
      </w:r>
      <w:r w:rsidR="005848BD" w:rsidRPr="00371308">
        <w:rPr>
          <w:spacing w:val="-2"/>
        </w:rPr>
        <w:t xml:space="preserve">were designed without </w:t>
      </w:r>
      <w:r w:rsidRPr="00371308">
        <w:rPr>
          <w:spacing w:val="-2"/>
        </w:rPr>
        <w:t>monitoring and evaluation</w:t>
      </w:r>
      <w:r w:rsidR="005848BD" w:rsidRPr="00371308">
        <w:rPr>
          <w:spacing w:val="-2"/>
        </w:rPr>
        <w:t xml:space="preserve"> frameworks, although </w:t>
      </w:r>
      <w:r w:rsidRPr="00371308">
        <w:rPr>
          <w:spacing w:val="-2"/>
        </w:rPr>
        <w:t xml:space="preserve">the </w:t>
      </w:r>
      <w:r w:rsidR="00D21845">
        <w:rPr>
          <w:spacing w:val="-2"/>
        </w:rPr>
        <w:t>human rights program</w:t>
      </w:r>
      <w:r w:rsidR="00D21845" w:rsidRPr="00371308">
        <w:rPr>
          <w:spacing w:val="-2"/>
        </w:rPr>
        <w:t xml:space="preserve"> </w:t>
      </w:r>
      <w:r w:rsidR="005848BD" w:rsidRPr="00371308">
        <w:rPr>
          <w:spacing w:val="-2"/>
        </w:rPr>
        <w:t>subsequently implemented arrangements to identify key results and progress in achieving objectives.</w:t>
      </w:r>
      <w:r w:rsidR="00AA700F" w:rsidRPr="00371308">
        <w:rPr>
          <w:spacing w:val="-2"/>
        </w:rPr>
        <w:t xml:space="preserve"> </w:t>
      </w:r>
      <w:r w:rsidR="005848BD" w:rsidRPr="00371308">
        <w:rPr>
          <w:spacing w:val="-2"/>
        </w:rPr>
        <w:t xml:space="preserve">The IFC Project Development Facility, </w:t>
      </w:r>
      <w:r w:rsidRPr="00371308">
        <w:rPr>
          <w:spacing w:val="-2"/>
        </w:rPr>
        <w:t xml:space="preserve">the </w:t>
      </w:r>
      <w:r w:rsidR="005848BD" w:rsidRPr="00371308">
        <w:rPr>
          <w:spacing w:val="-2"/>
        </w:rPr>
        <w:t>Clinton Foundation</w:t>
      </w:r>
      <w:r w:rsidRPr="00371308">
        <w:rPr>
          <w:spacing w:val="-2"/>
        </w:rPr>
        <w:t>’s</w:t>
      </w:r>
      <w:r w:rsidR="005848BD" w:rsidRPr="00371308">
        <w:rPr>
          <w:spacing w:val="-2"/>
        </w:rPr>
        <w:t xml:space="preserve"> HIV/AIDS Treatment Project and </w:t>
      </w:r>
      <w:r w:rsidRPr="00371308">
        <w:rPr>
          <w:spacing w:val="-2"/>
        </w:rPr>
        <w:t xml:space="preserve">the </w:t>
      </w:r>
      <w:r w:rsidR="00B84061" w:rsidRPr="00371308">
        <w:rPr>
          <w:spacing w:val="-2"/>
        </w:rPr>
        <w:t>Small Activities Scheme</w:t>
      </w:r>
      <w:r w:rsidR="005848BD" w:rsidRPr="00371308">
        <w:rPr>
          <w:spacing w:val="-2"/>
        </w:rPr>
        <w:t xml:space="preserve"> rely on the partner organi</w:t>
      </w:r>
      <w:r w:rsidRPr="00371308">
        <w:rPr>
          <w:spacing w:val="-2"/>
        </w:rPr>
        <w:t>s</w:t>
      </w:r>
      <w:r w:rsidR="005848BD" w:rsidRPr="00371308">
        <w:rPr>
          <w:spacing w:val="-2"/>
        </w:rPr>
        <w:t xml:space="preserve">ation’s systems for </w:t>
      </w:r>
      <w:r w:rsidRPr="00371308">
        <w:rPr>
          <w:spacing w:val="-2"/>
        </w:rPr>
        <w:t xml:space="preserve">monitoring and </w:t>
      </w:r>
      <w:r w:rsidRPr="00371308">
        <w:rPr>
          <w:spacing w:val="-2"/>
        </w:rPr>
        <w:lastRenderedPageBreak/>
        <w:t>evaluation</w:t>
      </w:r>
      <w:r w:rsidR="005848BD" w:rsidRPr="00371308">
        <w:rPr>
          <w:spacing w:val="-2"/>
        </w:rPr>
        <w:t>.</w:t>
      </w:r>
      <w:r w:rsidR="00AA700F" w:rsidRPr="00371308">
        <w:rPr>
          <w:spacing w:val="-2"/>
        </w:rPr>
        <w:t xml:space="preserve"> </w:t>
      </w:r>
      <w:r w:rsidR="005848BD" w:rsidRPr="00371308">
        <w:rPr>
          <w:spacing w:val="-2"/>
        </w:rPr>
        <w:t>These organi</w:t>
      </w:r>
      <w:r w:rsidRPr="00371308">
        <w:rPr>
          <w:spacing w:val="-2"/>
        </w:rPr>
        <w:t>s</w:t>
      </w:r>
      <w:r w:rsidR="005848BD" w:rsidRPr="00371308">
        <w:rPr>
          <w:spacing w:val="-2"/>
        </w:rPr>
        <w:t>ations do not always provide the types of information required by AusAID for its performance and quality reporting.</w:t>
      </w:r>
    </w:p>
    <w:p w:rsidR="005848BD" w:rsidRPr="00D517FD" w:rsidRDefault="005848BD" w:rsidP="005848BD">
      <w:pPr>
        <w:pStyle w:val="BodyText"/>
      </w:pPr>
      <w:r w:rsidRPr="00D517FD">
        <w:t xml:space="preserve">The facility form of aid raises a new set of </w:t>
      </w:r>
      <w:r w:rsidR="00371308">
        <w:t>monitoring and evaluation</w:t>
      </w:r>
      <w:r w:rsidR="00371308" w:rsidRPr="00D517FD">
        <w:t xml:space="preserve"> </w:t>
      </w:r>
      <w:r w:rsidRPr="00D517FD">
        <w:t>challenges posed by a range of small and disparate sub-activities.</w:t>
      </w:r>
      <w:r w:rsidR="00AA700F" w:rsidRPr="00D517FD">
        <w:t xml:space="preserve"> </w:t>
      </w:r>
      <w:r w:rsidRPr="00D517FD">
        <w:t xml:space="preserve">New approaches are being trialled and good progress is being made in developing </w:t>
      </w:r>
      <w:r w:rsidR="00371308">
        <w:t>monitoring and evaluation</w:t>
      </w:r>
      <w:r w:rsidR="00371308" w:rsidRPr="00D517FD">
        <w:t xml:space="preserve"> </w:t>
      </w:r>
      <w:r w:rsidRPr="00D517FD">
        <w:t>systems for the two new facilities.</w:t>
      </w:r>
      <w:r w:rsidR="00AA700F" w:rsidRPr="00D517FD">
        <w:t xml:space="preserve"> </w:t>
      </w:r>
      <w:r w:rsidRPr="00D517FD">
        <w:t xml:space="preserve">However, there needs to be early discussion between the three facilities and AusAID </w:t>
      </w:r>
      <w:r w:rsidR="00371308">
        <w:t>on</w:t>
      </w:r>
      <w:r w:rsidR="00371308" w:rsidRPr="00D517FD">
        <w:t xml:space="preserve"> </w:t>
      </w:r>
      <w:r w:rsidRPr="00D517FD">
        <w:t>shar</w:t>
      </w:r>
      <w:r w:rsidR="00371308">
        <w:t>ing</w:t>
      </w:r>
      <w:r w:rsidRPr="00D517FD">
        <w:t xml:space="preserve"> experience, promot</w:t>
      </w:r>
      <w:r w:rsidR="00371308">
        <w:t>ing</w:t>
      </w:r>
      <w:r w:rsidRPr="00D517FD">
        <w:t xml:space="preserve"> good practice and link</w:t>
      </w:r>
      <w:r w:rsidR="00371308">
        <w:t>ing</w:t>
      </w:r>
      <w:r w:rsidRPr="00D517FD">
        <w:t xml:space="preserve"> the facilit</w:t>
      </w:r>
      <w:r w:rsidR="00371308">
        <w:t>ie</w:t>
      </w:r>
      <w:r w:rsidRPr="00D517FD">
        <w:t>s</w:t>
      </w:r>
      <w:r w:rsidR="00371308">
        <w:t>’</w:t>
      </w:r>
      <w:r w:rsidRPr="00D517FD">
        <w:t xml:space="preserve"> </w:t>
      </w:r>
      <w:r w:rsidR="00371308">
        <w:t>monitoring and evaluation</w:t>
      </w:r>
      <w:r w:rsidR="00371308" w:rsidRPr="00D517FD">
        <w:t xml:space="preserve"> </w:t>
      </w:r>
      <w:r w:rsidRPr="00D517FD">
        <w:t xml:space="preserve">frameworks to the </w:t>
      </w:r>
      <w:r w:rsidR="00371308" w:rsidRPr="00D517FD">
        <w:t>country strategy</w:t>
      </w:r>
      <w:r w:rsidR="00551802">
        <w:t>’s</w:t>
      </w:r>
      <w:r w:rsidR="00371308" w:rsidRPr="00D517FD">
        <w:t xml:space="preserve"> performance framework </w:t>
      </w:r>
      <w:r w:rsidRPr="00D517FD">
        <w:t xml:space="preserve">and </w:t>
      </w:r>
      <w:r w:rsidR="00371308">
        <w:t xml:space="preserve">to </w:t>
      </w:r>
      <w:proofErr w:type="spellStart"/>
      <w:r w:rsidRPr="00D517FD">
        <w:t>AusAID’s</w:t>
      </w:r>
      <w:proofErr w:type="spellEnd"/>
      <w:r w:rsidRPr="00D517FD">
        <w:t xml:space="preserve"> performance and quality reporting systems.</w:t>
      </w:r>
      <w:r w:rsidR="00AA700F" w:rsidRPr="00D517FD">
        <w:t xml:space="preserve"> </w:t>
      </w:r>
      <w:r w:rsidRPr="00D517FD">
        <w:t xml:space="preserve">The facilities </w:t>
      </w:r>
      <w:r w:rsidR="00371308">
        <w:t xml:space="preserve">also </w:t>
      </w:r>
      <w:r w:rsidRPr="00D517FD">
        <w:t xml:space="preserve">will be assessing </w:t>
      </w:r>
      <w:r w:rsidR="00371308">
        <w:t xml:space="preserve">their </w:t>
      </w:r>
      <w:r w:rsidRPr="00D517FD">
        <w:t>contribution</w:t>
      </w:r>
      <w:r w:rsidR="00371308">
        <w:t>s</w:t>
      </w:r>
      <w:r w:rsidRPr="00D517FD">
        <w:t xml:space="preserve"> to program outcomes and placing greater reliance on partner government monitoring and evaluation systems to provide important information.</w:t>
      </w:r>
    </w:p>
    <w:p w:rsidR="005848BD" w:rsidRPr="00D517FD" w:rsidRDefault="005848BD" w:rsidP="00572931">
      <w:pPr>
        <w:pStyle w:val="Heading2nonumber"/>
      </w:pPr>
      <w:bookmarkStart w:id="30" w:name="_Toc360805221"/>
      <w:r w:rsidRPr="00D517FD">
        <w:t>Sustainability</w:t>
      </w:r>
      <w:bookmarkEnd w:id="30"/>
    </w:p>
    <w:p w:rsidR="005848BD" w:rsidRPr="00D517FD" w:rsidRDefault="00DA6DA4" w:rsidP="005848BD">
      <w:pPr>
        <w:pStyle w:val="BodyText"/>
      </w:pPr>
      <w:r>
        <w:t>In terms of the sustainability of their outcomes, o</w:t>
      </w:r>
      <w:r w:rsidR="005848BD" w:rsidRPr="00D517FD">
        <w:t>ne activity (</w:t>
      </w:r>
      <w:r w:rsidR="003C5169">
        <w:t xml:space="preserve">the </w:t>
      </w:r>
      <w:r w:rsidR="005848BD" w:rsidRPr="00D517FD">
        <w:t>WET</w:t>
      </w:r>
      <w:r w:rsidR="003C5169">
        <w:t xml:space="preserve"> project</w:t>
      </w:r>
      <w:r w:rsidR="005848BD" w:rsidRPr="00D517FD">
        <w:t xml:space="preserve">) </w:t>
      </w:r>
      <w:r w:rsidR="00F666B5">
        <w:t xml:space="preserve">was </w:t>
      </w:r>
      <w:r w:rsidR="005848BD" w:rsidRPr="00D517FD">
        <w:t xml:space="preserve">rated </w:t>
      </w:r>
      <w:r w:rsidR="00F666B5">
        <w:t xml:space="preserve">as </w:t>
      </w:r>
      <w:r w:rsidR="005848BD" w:rsidRPr="00D517FD">
        <w:t>very high quality, two (</w:t>
      </w:r>
      <w:r>
        <w:t xml:space="preserve">the </w:t>
      </w:r>
      <w:r w:rsidR="005848BD" w:rsidRPr="00D517FD">
        <w:t>Xinjiang HIV/AIDS Prevention</w:t>
      </w:r>
      <w:r>
        <w:t xml:space="preserve"> and Care Program</w:t>
      </w:r>
      <w:r w:rsidR="005848BD" w:rsidRPr="00D517FD">
        <w:t xml:space="preserve"> and </w:t>
      </w:r>
      <w:r w:rsidR="00F666B5">
        <w:t xml:space="preserve">the </w:t>
      </w:r>
      <w:r w:rsidR="00644F72" w:rsidRPr="00D517FD">
        <w:t>China HIV/AIDS Roadmap Technical Support Program</w:t>
      </w:r>
      <w:r w:rsidR="005848BD" w:rsidRPr="00D517FD">
        <w:t xml:space="preserve">) </w:t>
      </w:r>
      <w:r w:rsidR="00F666B5">
        <w:t>as</w:t>
      </w:r>
      <w:r w:rsidR="00F666B5" w:rsidRPr="00D517FD">
        <w:t xml:space="preserve"> </w:t>
      </w:r>
      <w:r w:rsidR="005848BD" w:rsidRPr="00D517FD">
        <w:t xml:space="preserve">good quality and eight </w:t>
      </w:r>
      <w:r w:rsidR="00F666B5">
        <w:t>as</w:t>
      </w:r>
      <w:r w:rsidR="00F666B5" w:rsidRPr="00D517FD">
        <w:t xml:space="preserve"> </w:t>
      </w:r>
      <w:r w:rsidR="005848BD" w:rsidRPr="00D517FD">
        <w:t>adequate quality.</w:t>
      </w:r>
      <w:r w:rsidR="00AA700F" w:rsidRPr="00D517FD">
        <w:t xml:space="preserve"> </w:t>
      </w:r>
      <w:r w:rsidR="005848BD" w:rsidRPr="00D517FD">
        <w:t xml:space="preserve">Two activities </w:t>
      </w:r>
      <w:r w:rsidR="00F666B5">
        <w:t xml:space="preserve">were </w:t>
      </w:r>
      <w:r w:rsidR="005848BD" w:rsidRPr="00D517FD">
        <w:t xml:space="preserve">rated </w:t>
      </w:r>
      <w:r w:rsidR="00F666B5">
        <w:t xml:space="preserve">as </w:t>
      </w:r>
      <w:r w:rsidR="005848BD" w:rsidRPr="00D517FD">
        <w:t xml:space="preserve">less than adequate and </w:t>
      </w:r>
      <w:r w:rsidR="00F666B5">
        <w:t xml:space="preserve">the </w:t>
      </w:r>
      <w:r w:rsidR="00B84061" w:rsidRPr="00D517FD">
        <w:t>Small Activities Scheme</w:t>
      </w:r>
      <w:r w:rsidR="005848BD" w:rsidRPr="00D517FD">
        <w:t xml:space="preserve"> </w:t>
      </w:r>
      <w:r w:rsidR="00F666B5">
        <w:t xml:space="preserve">was </w:t>
      </w:r>
      <w:r w:rsidR="005848BD" w:rsidRPr="00D517FD">
        <w:t xml:space="preserve">rated </w:t>
      </w:r>
      <w:r w:rsidR="00F666B5">
        <w:t xml:space="preserve">as </w:t>
      </w:r>
      <w:r w:rsidR="005848BD" w:rsidRPr="00D517FD">
        <w:t>very poor quality.</w:t>
      </w:r>
    </w:p>
    <w:p w:rsidR="005848BD" w:rsidRPr="00D517FD" w:rsidRDefault="005848BD" w:rsidP="005848BD">
      <w:pPr>
        <w:pStyle w:val="BodyText"/>
      </w:pPr>
      <w:r w:rsidRPr="00D517FD">
        <w:t xml:space="preserve">The key elements of </w:t>
      </w:r>
      <w:r w:rsidR="003C5169">
        <w:t xml:space="preserve">the </w:t>
      </w:r>
      <w:r w:rsidRPr="00D517FD">
        <w:t xml:space="preserve">WET </w:t>
      </w:r>
      <w:r w:rsidR="003C5169">
        <w:t xml:space="preserve">project </w:t>
      </w:r>
      <w:r w:rsidRPr="00D517FD">
        <w:t xml:space="preserve">that contributed to </w:t>
      </w:r>
      <w:r w:rsidR="00F666B5">
        <w:t xml:space="preserve">the </w:t>
      </w:r>
      <w:r w:rsidRPr="00D517FD">
        <w:t xml:space="preserve">sustainability </w:t>
      </w:r>
      <w:r w:rsidR="00F666B5">
        <w:t xml:space="preserve">of its outcomes </w:t>
      </w:r>
      <w:r w:rsidRPr="00D517FD">
        <w:t xml:space="preserve">were the high priority accorded by the Chinese </w:t>
      </w:r>
      <w:r w:rsidR="00F666B5" w:rsidRPr="00D517FD">
        <w:t>Government</w:t>
      </w:r>
      <w:r w:rsidR="00F666B5">
        <w:t>,</w:t>
      </w:r>
      <w:r w:rsidRPr="00D517FD">
        <w:t xml:space="preserve"> </w:t>
      </w:r>
      <w:proofErr w:type="spellStart"/>
      <w:r w:rsidR="00F666B5">
        <w:t>its</w:t>
      </w:r>
      <w:proofErr w:type="spellEnd"/>
      <w:r w:rsidR="00F666B5">
        <w:t xml:space="preserve"> </w:t>
      </w:r>
      <w:r w:rsidRPr="00D517FD">
        <w:t xml:space="preserve">clear, appropriate and measurable objectives and the involvement of Chinese and Australian government officials with the right mix of technical and interpersonal skills to deliver an extremely useful product for China’s </w:t>
      </w:r>
      <w:r w:rsidR="006D39F2" w:rsidRPr="00D517FD">
        <w:t>Ministry of Water Resources</w:t>
      </w:r>
      <w:r w:rsidRPr="00D517FD">
        <w:t>.</w:t>
      </w:r>
    </w:p>
    <w:p w:rsidR="005848BD" w:rsidRPr="00D517FD" w:rsidRDefault="005848BD" w:rsidP="005848BD">
      <w:pPr>
        <w:pStyle w:val="BodyText"/>
      </w:pPr>
      <w:r w:rsidRPr="00D517FD">
        <w:t xml:space="preserve">In contrast, </w:t>
      </w:r>
      <w:r w:rsidR="00F666B5">
        <w:t xml:space="preserve">the </w:t>
      </w:r>
      <w:r w:rsidR="00B84061" w:rsidRPr="00D517FD">
        <w:t>Small Activities Scheme</w:t>
      </w:r>
      <w:r w:rsidRPr="00D517FD">
        <w:rPr>
          <w:b/>
        </w:rPr>
        <w:t xml:space="preserve"> </w:t>
      </w:r>
      <w:r w:rsidRPr="00D517FD">
        <w:t>provides small grants for short-term activities implemented by not-for-profit organi</w:t>
      </w:r>
      <w:r w:rsidR="009760EE">
        <w:t>s</w:t>
      </w:r>
      <w:r w:rsidRPr="00D517FD">
        <w:t>ations to address often complex development problems requiring long-term solutions.</w:t>
      </w:r>
      <w:r w:rsidR="00AA700F" w:rsidRPr="00D517FD">
        <w:t xml:space="preserve"> </w:t>
      </w:r>
      <w:r w:rsidRPr="00D517FD">
        <w:t xml:space="preserve">It is unlikely that </w:t>
      </w:r>
      <w:r w:rsidR="009760EE">
        <w:t>the s</w:t>
      </w:r>
      <w:r w:rsidR="00B84061" w:rsidRPr="00D517FD">
        <w:t>cheme</w:t>
      </w:r>
      <w:r w:rsidRPr="00D517FD">
        <w:t xml:space="preserve"> is a suitable mechanism </w:t>
      </w:r>
      <w:r w:rsidR="009760EE">
        <w:t>for</w:t>
      </w:r>
      <w:r w:rsidR="009760EE" w:rsidRPr="00D517FD">
        <w:t xml:space="preserve"> </w:t>
      </w:r>
      <w:r w:rsidRPr="00D517FD">
        <w:t>address</w:t>
      </w:r>
      <w:r w:rsidR="009760EE">
        <w:t>ing</w:t>
      </w:r>
      <w:r w:rsidRPr="00D517FD">
        <w:t xml:space="preserve"> these problems and, unfortunately</w:t>
      </w:r>
      <w:r w:rsidR="009760EE">
        <w:t>,</w:t>
      </w:r>
      <w:r w:rsidRPr="00D517FD">
        <w:t xml:space="preserve"> </w:t>
      </w:r>
      <w:bookmarkStart w:id="31" w:name="OLE_LINK11"/>
      <w:r w:rsidRPr="00D517FD">
        <w:t xml:space="preserve">the lack of a formal </w:t>
      </w:r>
      <w:r w:rsidR="009760EE">
        <w:t>monitoring and evaluation</w:t>
      </w:r>
      <w:r w:rsidRPr="00D517FD">
        <w:t xml:space="preserve"> framework and system </w:t>
      </w:r>
      <w:bookmarkEnd w:id="31"/>
      <w:r w:rsidRPr="00D517FD">
        <w:t>meant that little information o</w:t>
      </w:r>
      <w:r w:rsidR="009760EE">
        <w:t>n</w:t>
      </w:r>
      <w:r w:rsidRPr="00D517FD">
        <w:t xml:space="preserve"> results </w:t>
      </w:r>
      <w:r w:rsidR="009760EE">
        <w:t>was</w:t>
      </w:r>
      <w:r w:rsidRPr="00D517FD">
        <w:t xml:space="preserve"> gathered and reported.</w:t>
      </w:r>
      <w:r w:rsidR="00AA700F" w:rsidRPr="00D517FD">
        <w:t xml:space="preserve"> </w:t>
      </w:r>
      <w:r w:rsidRPr="00D517FD">
        <w:t xml:space="preserve">With respect to </w:t>
      </w:r>
      <w:r w:rsidR="009760EE" w:rsidRPr="00D517FD">
        <w:t xml:space="preserve">the Karst Environment and Rehabilitation </w:t>
      </w:r>
      <w:r w:rsidR="009760EE">
        <w:t>Project</w:t>
      </w:r>
      <w:r w:rsidRPr="00D517FD">
        <w:t>, there is some concern about the sustainability of the environmental and poverty</w:t>
      </w:r>
      <w:r w:rsidR="009760EE">
        <w:t>-</w:t>
      </w:r>
      <w:r w:rsidRPr="00D517FD">
        <w:t>reduction aspects of this project at the community level because the success of income</w:t>
      </w:r>
      <w:r w:rsidR="009760EE">
        <w:t>-</w:t>
      </w:r>
      <w:r w:rsidRPr="00D517FD">
        <w:t>generating activities are overly reliant on a single source of funds and vulnerable to other production and marketing concerns.</w:t>
      </w:r>
    </w:p>
    <w:p w:rsidR="005848BD" w:rsidRPr="00D517FD" w:rsidRDefault="005848BD" w:rsidP="005848BD">
      <w:pPr>
        <w:pStyle w:val="BodyText"/>
      </w:pPr>
      <w:r w:rsidRPr="00D517FD">
        <w:t xml:space="preserve">The Qinghai Forestry Resource Management </w:t>
      </w:r>
      <w:r w:rsidRPr="009760EE">
        <w:t>Project raised</w:t>
      </w:r>
      <w:r w:rsidRPr="00D517FD">
        <w:t xml:space="preserve"> some sustainability concerns.</w:t>
      </w:r>
      <w:r w:rsidR="00AA700F" w:rsidRPr="00D517FD">
        <w:t xml:space="preserve"> </w:t>
      </w:r>
      <w:r w:rsidRPr="00D517FD">
        <w:t>While there has been strong county</w:t>
      </w:r>
      <w:r w:rsidR="009760EE">
        <w:t>-</w:t>
      </w:r>
      <w:r w:rsidRPr="00D517FD">
        <w:t>level support for continuing the project’s forestry trials, there is less commitment at the provincial level.</w:t>
      </w:r>
      <w:r w:rsidR="00AA700F" w:rsidRPr="00D517FD">
        <w:t xml:space="preserve"> </w:t>
      </w:r>
      <w:r w:rsidRPr="00D517FD">
        <w:t>There are indications that other donors might adopt aspects of the project’s participatory model, but if this does not happen it is possible that this model will not be replicated.</w:t>
      </w:r>
      <w:r w:rsidR="00AA700F" w:rsidRPr="00D517FD">
        <w:t xml:space="preserve"> </w:t>
      </w:r>
      <w:r w:rsidRPr="00D517FD">
        <w:t xml:space="preserve">To address this risk, </w:t>
      </w:r>
      <w:r w:rsidR="00935937">
        <w:t xml:space="preserve">the </w:t>
      </w:r>
      <w:r w:rsidR="00935937" w:rsidRPr="00D517FD">
        <w:t xml:space="preserve">Australia China </w:t>
      </w:r>
      <w:r w:rsidR="00935937">
        <w:t>Environment Development Program</w:t>
      </w:r>
      <w:r w:rsidRPr="00D517FD">
        <w:t xml:space="preserve"> is exploring opportunities for </w:t>
      </w:r>
      <w:r w:rsidR="009760EE">
        <w:lastRenderedPageBreak/>
        <w:t xml:space="preserve">pursuing </w:t>
      </w:r>
      <w:r w:rsidRPr="00D517FD">
        <w:t>the broader policy implications of the participatory model.</w:t>
      </w:r>
      <w:r w:rsidR="00AA700F" w:rsidRPr="00D517FD">
        <w:t xml:space="preserve"> </w:t>
      </w:r>
      <w:r w:rsidRPr="00D517FD">
        <w:t xml:space="preserve">Similarly, </w:t>
      </w:r>
      <w:r w:rsidR="009760EE">
        <w:t xml:space="preserve">the </w:t>
      </w:r>
      <w:r w:rsidR="00B84061" w:rsidRPr="00D517FD">
        <w:t>Australian Development Scholarships</w:t>
      </w:r>
      <w:r w:rsidRPr="00D517FD">
        <w:t xml:space="preserve"> </w:t>
      </w:r>
      <w:r w:rsidR="009760EE">
        <w:t xml:space="preserve">program </w:t>
      </w:r>
      <w:r w:rsidRPr="00D517FD">
        <w:t xml:space="preserve">is of concern with respect to sustainability because of the lack of information gathered and reported </w:t>
      </w:r>
      <w:r w:rsidR="009760EE">
        <w:t>about</w:t>
      </w:r>
      <w:r w:rsidR="009760EE" w:rsidRPr="00D517FD">
        <w:t xml:space="preserve"> </w:t>
      </w:r>
      <w:r w:rsidR="009760EE">
        <w:t xml:space="preserve">the contribution </w:t>
      </w:r>
      <w:r w:rsidRPr="00D517FD">
        <w:t>Australian</w:t>
      </w:r>
      <w:r w:rsidR="009760EE">
        <w:t>-</w:t>
      </w:r>
      <w:r w:rsidRPr="00D517FD">
        <w:t xml:space="preserve">trained scholars </w:t>
      </w:r>
      <w:r w:rsidR="009760EE">
        <w:t xml:space="preserve">make </w:t>
      </w:r>
      <w:r w:rsidRPr="00D517FD">
        <w:t>to the human resource needs of the program’s priority sectors</w:t>
      </w:r>
      <w:r w:rsidR="00DA6DA4">
        <w:t xml:space="preserve"> </w:t>
      </w:r>
      <w:r w:rsidR="00DA6DA4" w:rsidRPr="00D517FD">
        <w:t>after complet</w:t>
      </w:r>
      <w:r w:rsidR="00DA6DA4">
        <w:t>ing</w:t>
      </w:r>
      <w:r w:rsidR="00DA6DA4" w:rsidRPr="00D517FD">
        <w:t xml:space="preserve"> their studies</w:t>
      </w:r>
      <w:r w:rsidRPr="00D517FD">
        <w:t>.</w:t>
      </w:r>
      <w:r w:rsidR="00AA700F" w:rsidRPr="00D517FD">
        <w:t xml:space="preserve"> </w:t>
      </w:r>
    </w:p>
    <w:p w:rsidR="005848BD" w:rsidRPr="00D517FD" w:rsidRDefault="005848BD" w:rsidP="00572931">
      <w:pPr>
        <w:pStyle w:val="Heading2nonumber"/>
      </w:pPr>
      <w:bookmarkStart w:id="32" w:name="_Toc360805222"/>
      <w:r w:rsidRPr="00D517FD">
        <w:t xml:space="preserve">Gender, </w:t>
      </w:r>
      <w:r w:rsidR="00572931" w:rsidRPr="00D517FD">
        <w:t>partnerships and anticorruption</w:t>
      </w:r>
      <w:bookmarkEnd w:id="32"/>
    </w:p>
    <w:p w:rsidR="00A42EF1" w:rsidRDefault="009A70D4" w:rsidP="005848BD">
      <w:pPr>
        <w:pStyle w:val="BodyText"/>
      </w:pPr>
      <w:r>
        <w:t>R</w:t>
      </w:r>
      <w:r w:rsidR="005848BD" w:rsidRPr="00D517FD">
        <w:t xml:space="preserve">esults </w:t>
      </w:r>
      <w:r>
        <w:t>are consistently showing that</w:t>
      </w:r>
      <w:r w:rsidR="005848BD" w:rsidRPr="00D517FD">
        <w:t xml:space="preserve"> </w:t>
      </w:r>
      <w:r w:rsidR="005848BD" w:rsidRPr="009A70D4">
        <w:rPr>
          <w:b/>
        </w:rPr>
        <w:t>gender equality</w:t>
      </w:r>
      <w:r w:rsidR="005848BD" w:rsidRPr="00D517FD">
        <w:t xml:space="preserve"> </w:t>
      </w:r>
      <w:r>
        <w:t>is being integrated</w:t>
      </w:r>
      <w:r w:rsidR="005848BD" w:rsidRPr="00D517FD">
        <w:t xml:space="preserve"> in</w:t>
      </w:r>
      <w:r>
        <w:t>to</w:t>
      </w:r>
      <w:r w:rsidR="005848BD" w:rsidRPr="00D517FD">
        <w:t xml:space="preserve"> more established programs such as </w:t>
      </w:r>
      <w:r>
        <w:t xml:space="preserve">the </w:t>
      </w:r>
      <w:r w:rsidR="00A42EF1" w:rsidRPr="00D517FD">
        <w:t>Human Rights Technical Cooperation Program</w:t>
      </w:r>
      <w:r w:rsidR="00A42EF1">
        <w:t xml:space="preserve"> </w:t>
      </w:r>
      <w:r w:rsidR="005848BD" w:rsidRPr="00D517FD">
        <w:t xml:space="preserve">and </w:t>
      </w:r>
      <w:r>
        <w:t xml:space="preserve">the </w:t>
      </w:r>
      <w:r w:rsidRPr="00D517FD">
        <w:t>China Australia Governance Program</w:t>
      </w:r>
      <w:r>
        <w:t>,</w:t>
      </w:r>
      <w:r w:rsidR="005848BD" w:rsidRPr="00D517FD">
        <w:t xml:space="preserve"> which was recently recogni</w:t>
      </w:r>
      <w:r>
        <w:t>s</w:t>
      </w:r>
      <w:r w:rsidR="005848BD" w:rsidRPr="00D517FD">
        <w:t>ed as a good practice example by the Gender Thematic Group.</w:t>
      </w:r>
      <w:r w:rsidR="00AA700F" w:rsidRPr="00D517FD">
        <w:t xml:space="preserve"> </w:t>
      </w:r>
      <w:r w:rsidR="005848BD" w:rsidRPr="00D517FD">
        <w:t xml:space="preserve">The </w:t>
      </w:r>
      <w:r w:rsidR="00B84061" w:rsidRPr="00D517FD">
        <w:t>Australian Development Scholarships</w:t>
      </w:r>
      <w:r w:rsidR="005848BD" w:rsidRPr="00D517FD">
        <w:t xml:space="preserve"> program has had a stable gender balance for a number of years, while other programs are making progress but not reporting consistent results.</w:t>
      </w:r>
      <w:r w:rsidR="00AA700F" w:rsidRPr="00D517FD">
        <w:t xml:space="preserve"> </w:t>
      </w:r>
    </w:p>
    <w:p w:rsidR="005848BD" w:rsidRPr="00D517FD" w:rsidRDefault="005848BD" w:rsidP="005848BD">
      <w:pPr>
        <w:pStyle w:val="BodyText"/>
      </w:pPr>
      <w:r w:rsidRPr="00D517FD">
        <w:t>Gender</w:t>
      </w:r>
      <w:r w:rsidR="00A42EF1">
        <w:t xml:space="preserve"> equality</w:t>
      </w:r>
      <w:r w:rsidRPr="00D517FD">
        <w:t xml:space="preserve"> is incorporated into the quality aspects of the China </w:t>
      </w:r>
      <w:r w:rsidR="009A70D4">
        <w:t>aid p</w:t>
      </w:r>
      <w:r w:rsidRPr="00D517FD">
        <w:t xml:space="preserve">rogram’s activities through gender strategies for the Tibet Health Sector Support Program, the </w:t>
      </w:r>
      <w:r w:rsidR="009A70D4" w:rsidRPr="00D517FD">
        <w:t>China Australia Governance Program</w:t>
      </w:r>
      <w:r w:rsidR="009A70D4">
        <w:t xml:space="preserve"> </w:t>
      </w:r>
      <w:r w:rsidRPr="00D517FD">
        <w:t xml:space="preserve">and </w:t>
      </w:r>
      <w:r w:rsidR="009A70D4">
        <w:t xml:space="preserve">the </w:t>
      </w:r>
      <w:r w:rsidRPr="00D517FD">
        <w:t>China Australia Health and HIV/AIDS Facility</w:t>
      </w:r>
      <w:r w:rsidR="009A70D4">
        <w:t>, through</w:t>
      </w:r>
      <w:r w:rsidRPr="00D517FD">
        <w:t xml:space="preserve"> a gender response plan for the Xinjiang HIV/AIDS Prevention and Care Project and </w:t>
      </w:r>
      <w:r w:rsidR="009A70D4">
        <w:t xml:space="preserve">through </w:t>
      </w:r>
      <w:r w:rsidRPr="00D517FD">
        <w:t xml:space="preserve">a </w:t>
      </w:r>
      <w:r w:rsidR="00935937" w:rsidRPr="00D517FD">
        <w:t xml:space="preserve">social impact framework </w:t>
      </w:r>
      <w:r w:rsidRPr="00D517FD">
        <w:t xml:space="preserve">for the </w:t>
      </w:r>
      <w:r w:rsidR="00935937" w:rsidRPr="00D517FD">
        <w:t xml:space="preserve">Australia China </w:t>
      </w:r>
      <w:r w:rsidR="00935937">
        <w:t>Environment Development Program</w:t>
      </w:r>
      <w:r w:rsidRPr="00D517FD">
        <w:t>.</w:t>
      </w:r>
      <w:r w:rsidR="00AA700F" w:rsidRPr="00D517FD">
        <w:t xml:space="preserve"> </w:t>
      </w:r>
    </w:p>
    <w:p w:rsidR="005848BD" w:rsidRPr="00D517FD" w:rsidRDefault="005848BD" w:rsidP="005848BD">
      <w:pPr>
        <w:pStyle w:val="BodyText"/>
      </w:pPr>
      <w:r w:rsidRPr="00D517FD">
        <w:t xml:space="preserve">A number of activities are not able to provide evidence of progress in gender equality due </w:t>
      </w:r>
      <w:r w:rsidR="009E5D29" w:rsidRPr="00D517FD">
        <w:t xml:space="preserve">mainly </w:t>
      </w:r>
      <w:r w:rsidRPr="00D517FD">
        <w:t xml:space="preserve">to the inadequacy of </w:t>
      </w:r>
      <w:r w:rsidR="009E5D29">
        <w:t>monitoring and evaluation</w:t>
      </w:r>
      <w:r w:rsidRPr="00D517FD">
        <w:t xml:space="preserve"> arrangements.</w:t>
      </w:r>
      <w:r w:rsidR="00AA700F" w:rsidRPr="00D517FD">
        <w:t xml:space="preserve"> </w:t>
      </w:r>
      <w:r w:rsidRPr="00D517FD">
        <w:t xml:space="preserve">This should be addressed in the review of </w:t>
      </w:r>
      <w:r w:rsidR="009E5D29" w:rsidRPr="00D517FD">
        <w:t>country strategy</w:t>
      </w:r>
      <w:r w:rsidR="009E5D29">
        <w:t>’s</w:t>
      </w:r>
      <w:r w:rsidR="009E5D29" w:rsidRPr="00D517FD">
        <w:t xml:space="preserve"> performance framework </w:t>
      </w:r>
      <w:r w:rsidRPr="00D517FD">
        <w:t xml:space="preserve">and discussions about the </w:t>
      </w:r>
      <w:r w:rsidR="009E5D29">
        <w:t>monitoring and evaluation</w:t>
      </w:r>
      <w:r w:rsidR="009E5D29" w:rsidRPr="00D517FD">
        <w:t xml:space="preserve"> </w:t>
      </w:r>
      <w:r w:rsidRPr="00D517FD">
        <w:t xml:space="preserve">arrangements for the </w:t>
      </w:r>
      <w:r w:rsidR="00A42EF1">
        <w:t>health, environment and governance</w:t>
      </w:r>
      <w:r w:rsidR="00A42EF1" w:rsidRPr="00D517FD">
        <w:t xml:space="preserve"> </w:t>
      </w:r>
      <w:r w:rsidRPr="00D517FD">
        <w:t xml:space="preserve">facilities during 2008. </w:t>
      </w:r>
    </w:p>
    <w:p w:rsidR="009E5D29" w:rsidRDefault="00E25600" w:rsidP="005848BD">
      <w:pPr>
        <w:pStyle w:val="BodyText"/>
      </w:pPr>
      <w:r w:rsidRPr="00D517FD">
        <w:t xml:space="preserve">The </w:t>
      </w:r>
      <w:r>
        <w:t xml:space="preserve">China </w:t>
      </w:r>
      <w:r w:rsidRPr="00D517FD">
        <w:t xml:space="preserve">program has drawn increasingly on the expertise of other Australian government agencies in developing </w:t>
      </w:r>
      <w:r w:rsidRPr="00E25600">
        <w:rPr>
          <w:b/>
        </w:rPr>
        <w:t>partnerships</w:t>
      </w:r>
      <w:r w:rsidRPr="00D517FD">
        <w:t xml:space="preserve"> under the </w:t>
      </w:r>
      <w:r>
        <w:t>health, environment and governance</w:t>
      </w:r>
      <w:r w:rsidRPr="00D517FD">
        <w:t xml:space="preserve"> facilities</w:t>
      </w:r>
      <w:r>
        <w:t xml:space="preserve">. </w:t>
      </w:r>
      <w:r w:rsidR="00A55902" w:rsidRPr="00D517FD">
        <w:t xml:space="preserve">There is considerable evidence </w:t>
      </w:r>
      <w:r w:rsidR="00A55902">
        <w:t>that</w:t>
      </w:r>
      <w:r w:rsidR="00A55902" w:rsidRPr="00D517FD">
        <w:t xml:space="preserve"> Australia’s development cooperation </w:t>
      </w:r>
      <w:r w:rsidR="00A55902">
        <w:t xml:space="preserve">has </w:t>
      </w:r>
      <w:r w:rsidR="00A55902" w:rsidRPr="00D517FD">
        <w:t>enhanc</w:t>
      </w:r>
      <w:r w:rsidR="00A55902">
        <w:t>ed</w:t>
      </w:r>
      <w:r w:rsidR="00A55902" w:rsidRPr="00D517FD">
        <w:t xml:space="preserve"> the Australia</w:t>
      </w:r>
      <w:r w:rsidR="00A55902">
        <w:t>–</w:t>
      </w:r>
      <w:r w:rsidR="00A55902" w:rsidRPr="00D517FD">
        <w:t>China relationship in the governance sector</w:t>
      </w:r>
      <w:r>
        <w:t>, and t</w:t>
      </w:r>
      <w:r w:rsidR="00A55902" w:rsidRPr="00D517FD">
        <w:t>here are promising signs of broadening government</w:t>
      </w:r>
      <w:r w:rsidR="00A55902">
        <w:t>-</w:t>
      </w:r>
      <w:r w:rsidR="00A55902" w:rsidRPr="00D517FD">
        <w:t>to</w:t>
      </w:r>
      <w:r w:rsidR="00A55902">
        <w:t>-</w:t>
      </w:r>
      <w:r w:rsidR="00A55902" w:rsidRPr="00D517FD">
        <w:t xml:space="preserve">government cooperation in </w:t>
      </w:r>
      <w:r>
        <w:t xml:space="preserve">the </w:t>
      </w:r>
      <w:r w:rsidR="00A55902" w:rsidRPr="00D517FD">
        <w:t>health and environment</w:t>
      </w:r>
      <w:r>
        <w:t xml:space="preserve"> sectors</w:t>
      </w:r>
      <w:r w:rsidR="00A55902">
        <w:t xml:space="preserve">. </w:t>
      </w:r>
      <w:r w:rsidR="00A55902" w:rsidRPr="00D517FD">
        <w:t xml:space="preserve">There is also evidence of </w:t>
      </w:r>
      <w:r w:rsidR="00A55902">
        <w:t>‘</w:t>
      </w:r>
      <w:r w:rsidR="00A55902" w:rsidRPr="00D517FD">
        <w:t>deepening</w:t>
      </w:r>
      <w:r w:rsidR="00A55902">
        <w:t>’</w:t>
      </w:r>
      <w:r w:rsidR="00A55902" w:rsidRPr="00D517FD">
        <w:t xml:space="preserve"> relationships facilitated by strategies of progressive engagement</w:t>
      </w:r>
      <w:r w:rsidR="00A55902">
        <w:t xml:space="preserve"> between Australian and Chinese institutions</w:t>
      </w:r>
      <w:r w:rsidR="00A55902" w:rsidRPr="00D517FD">
        <w:t>.</w:t>
      </w:r>
    </w:p>
    <w:p w:rsidR="005848BD" w:rsidRPr="00D517FD" w:rsidRDefault="009E5D29" w:rsidP="005848BD">
      <w:pPr>
        <w:pStyle w:val="BodyText"/>
      </w:pPr>
      <w:r w:rsidRPr="009E5D29">
        <w:rPr>
          <w:b/>
        </w:rPr>
        <w:t>C</w:t>
      </w:r>
      <w:r w:rsidR="005848BD" w:rsidRPr="009E5D29">
        <w:rPr>
          <w:b/>
        </w:rPr>
        <w:t>orruption</w:t>
      </w:r>
      <w:r w:rsidR="005848BD" w:rsidRPr="00D517FD">
        <w:t xml:space="preserve"> </w:t>
      </w:r>
      <w:r>
        <w:t>w</w:t>
      </w:r>
      <w:r w:rsidR="005848BD" w:rsidRPr="00D517FD">
        <w:t xml:space="preserve">as not raised as an issue in the </w:t>
      </w:r>
      <w:r w:rsidRPr="00D517FD">
        <w:t xml:space="preserve">quality reporting system </w:t>
      </w:r>
      <w:r w:rsidR="005848BD" w:rsidRPr="00D517FD">
        <w:t xml:space="preserve">and no specific issues or risks </w:t>
      </w:r>
      <w:r>
        <w:t xml:space="preserve">were </w:t>
      </w:r>
      <w:r w:rsidR="005848BD" w:rsidRPr="00D517FD">
        <w:t xml:space="preserve">highlighted. The </w:t>
      </w:r>
      <w:r w:rsidRPr="00D517FD">
        <w:t xml:space="preserve">governance </w:t>
      </w:r>
      <w:r w:rsidR="005848BD" w:rsidRPr="00D517FD">
        <w:t>program works on this issue.</w:t>
      </w:r>
    </w:p>
    <w:sectPr w:rsidR="005848BD" w:rsidRPr="00D517FD" w:rsidSect="00E02725">
      <w:headerReference w:type="even" r:id="rId37"/>
      <w:headerReference w:type="default" r:id="rId38"/>
      <w:footerReference w:type="even" r:id="rId39"/>
      <w:footerReference w:type="default" r:id="rId40"/>
      <w:footnotePr>
        <w:numFmt w:val="lowerLetter"/>
      </w:footnotePr>
      <w:type w:val="continuous"/>
      <w:pgSz w:w="11907" w:h="16840" w:code="9"/>
      <w:pgMar w:top="2268" w:right="1985" w:bottom="1247" w:left="1985"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8AA" w:rsidRDefault="003808AA">
      <w:r>
        <w:separator/>
      </w:r>
    </w:p>
  </w:endnote>
  <w:endnote w:type="continuationSeparator" w:id="0">
    <w:p w:rsidR="003808AA" w:rsidRDefault="00380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8B5" w:rsidRDefault="00E038B5">
    <w:pPr>
      <w:pStyle w:val="Footer"/>
    </w:pPr>
    <w:r>
      <w:rPr>
        <w:rStyle w:val="PageNumber"/>
      </w:rPr>
      <w:fldChar w:fldCharType="begin"/>
    </w:r>
    <w:r>
      <w:rPr>
        <w:rStyle w:val="PageNumber"/>
      </w:rPr>
      <w:instrText xml:space="preserve"> PAGE </w:instrText>
    </w:r>
    <w:r>
      <w:rPr>
        <w:rStyle w:val="PageNumber"/>
      </w:rPr>
      <w:fldChar w:fldCharType="separate"/>
    </w:r>
    <w:r w:rsidR="00395B3E">
      <w:rPr>
        <w:rStyle w:val="PageNumber"/>
        <w:noProof/>
      </w:rPr>
      <w:t>2</w:t>
    </w:r>
    <w:r>
      <w:rPr>
        <w:rStyle w:val="PageNumber"/>
      </w:rPr>
      <w:fldChar w:fldCharType="end"/>
    </w:r>
    <w:r>
      <w:rPr>
        <w:rStyle w:val="PageNumber"/>
      </w:rPr>
      <w:tab/>
    </w:r>
  </w:p>
  <w:p w:rsidR="00E038B5" w:rsidRDefault="00E038B5">
    <w:pPr>
      <w:pStyle w:val="Footer"/>
      <w:spacing w:line="14" w:lineRule="exact"/>
      <w:ind w:left="0" w:right="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8B5" w:rsidRDefault="00E038B5">
    <w:pPr>
      <w:pStyle w:val="Footer"/>
    </w:pPr>
    <w:r>
      <w:tab/>
    </w:r>
    <w:r>
      <w:tab/>
    </w:r>
    <w:r>
      <w:rPr>
        <w:b/>
      </w:rPr>
      <w:t>A</w:t>
    </w:r>
    <w:r>
      <w:rPr>
        <w:b/>
        <w:caps w:val="0"/>
        <w:smallCaps/>
      </w:rPr>
      <w:t>us</w:t>
    </w:r>
    <w:r>
      <w:rPr>
        <w:b/>
      </w:rPr>
      <w:t>AID</w:t>
    </w:r>
    <w:r>
      <w:t> </w:t>
    </w:r>
    <w:r w:rsidR="003808AA">
      <w:fldChar w:fldCharType="begin"/>
    </w:r>
    <w:r w:rsidR="003808AA">
      <w:instrText xml:space="preserve"> STYLEREF Title \* MERGEFORMAT </w:instrText>
    </w:r>
    <w:r w:rsidR="003808AA">
      <w:fldChar w:fldCharType="separate"/>
    </w:r>
    <w:r w:rsidR="00DC5C07" w:rsidRPr="00DC5C07">
      <w:rPr>
        <w:b/>
        <w:bCs/>
        <w:noProof/>
        <w:lang w:val="en-US"/>
      </w:rPr>
      <w:t>Annual program performance report for China 2007–08</w:t>
    </w:r>
    <w:r w:rsidR="003808AA">
      <w:rPr>
        <w:b/>
        <w:bCs/>
        <w:noProof/>
        <w:lang w:val="en-US"/>
      </w:rPr>
      <w:fldChar w:fldCharType="end"/>
    </w:r>
    <w:r>
      <w:fldChar w:fldCharType="begin"/>
    </w:r>
    <w:r>
      <w:instrText xml:space="preserve"> STYLEREF  Subtitle </w:instrText>
    </w:r>
    <w:r>
      <w:fldChar w:fldCharType="separate"/>
    </w:r>
    <w:r w:rsidR="00DC5C07">
      <w:rPr>
        <w:b/>
        <w:bCs/>
        <w:noProof/>
        <w:lang w:val="en-US"/>
      </w:rPr>
      <w:t>Error! No text of specified style in document.</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DC5C07">
      <w:rPr>
        <w:rStyle w:val="PageNumber"/>
        <w:caps w:val="0"/>
        <w:noProof/>
      </w:rPr>
      <w:t>7</w:t>
    </w:r>
    <w:r>
      <w:rPr>
        <w:rStyle w:val="PageNumber"/>
        <w:caps w:val="0"/>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8B5" w:rsidRDefault="00E038B5">
    <w:pPr>
      <w:pStyle w:val="Footer"/>
    </w:pPr>
    <w:r>
      <w:rPr>
        <w:rStyle w:val="PageNumber"/>
      </w:rPr>
      <w:fldChar w:fldCharType="begin"/>
    </w:r>
    <w:r>
      <w:rPr>
        <w:rStyle w:val="PageNumber"/>
      </w:rPr>
      <w:instrText xml:space="preserve"> PAGE </w:instrText>
    </w:r>
    <w:r>
      <w:rPr>
        <w:rStyle w:val="PageNumber"/>
      </w:rPr>
      <w:fldChar w:fldCharType="separate"/>
    </w:r>
    <w:r w:rsidR="00DC5C07">
      <w:rPr>
        <w:rStyle w:val="PageNumber"/>
        <w:noProof/>
      </w:rPr>
      <w:t>8</w:t>
    </w:r>
    <w:r>
      <w:rPr>
        <w:rStyle w:val="PageNumber"/>
      </w:rPr>
      <w:fldChar w:fldCharType="end"/>
    </w:r>
    <w:r>
      <w:rPr>
        <w:rStyle w:val="PageNumber"/>
      </w:rPr>
      <w:tab/>
    </w:r>
    <w:r>
      <w:rPr>
        <w:b/>
      </w:rPr>
      <w:t>A</w:t>
    </w:r>
    <w:r>
      <w:rPr>
        <w:b/>
        <w:caps w:val="0"/>
        <w:smallCaps/>
      </w:rPr>
      <w:t>us</w:t>
    </w:r>
    <w:r>
      <w:rPr>
        <w:b/>
      </w:rPr>
      <w:t>AID</w:t>
    </w:r>
    <w:r>
      <w:t> </w:t>
    </w:r>
    <w:r w:rsidR="003808AA">
      <w:fldChar w:fldCharType="begin"/>
    </w:r>
    <w:r w:rsidR="003808AA">
      <w:instrText xml:space="preserve"> STYLEREF Title \* MERGEFORMAT </w:instrText>
    </w:r>
    <w:r w:rsidR="003808AA">
      <w:fldChar w:fldCharType="separate"/>
    </w:r>
    <w:r w:rsidR="00DC5C07" w:rsidRPr="00DC5C07">
      <w:rPr>
        <w:b/>
        <w:bCs/>
        <w:noProof/>
        <w:lang w:val="en-US"/>
      </w:rPr>
      <w:t>Annual program performance report for China 2007–08</w:t>
    </w:r>
    <w:r w:rsidR="003808AA">
      <w:rPr>
        <w:b/>
        <w:bCs/>
        <w:noProof/>
        <w:lang w:val="en-US"/>
      </w:rPr>
      <w:fldChar w:fldCharType="end"/>
    </w:r>
    <w:r>
      <w:fldChar w:fldCharType="begin"/>
    </w:r>
    <w:r>
      <w:instrText xml:space="preserve"> STYLEREF  Subtitle </w:instrText>
    </w:r>
    <w:r>
      <w:fldChar w:fldCharType="separate"/>
    </w:r>
    <w:r w:rsidR="00DC5C07">
      <w:rPr>
        <w:b/>
        <w:bCs/>
        <w:noProof/>
        <w:lang w:val="en-US"/>
      </w:rPr>
      <w:t>Error! No text of specified style in document.</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8B5" w:rsidRDefault="00E038B5">
    <w:pPr>
      <w:pStyle w:val="Footer"/>
    </w:pPr>
    <w:r>
      <w:tab/>
    </w:r>
    <w:r>
      <w:tab/>
    </w:r>
    <w:r>
      <w:rPr>
        <w:b/>
      </w:rPr>
      <w:t>A</w:t>
    </w:r>
    <w:r>
      <w:rPr>
        <w:b/>
        <w:caps w:val="0"/>
        <w:smallCaps/>
      </w:rPr>
      <w:t>us</w:t>
    </w:r>
    <w:r>
      <w:rPr>
        <w:b/>
      </w:rPr>
      <w:t>AID</w:t>
    </w:r>
    <w:r>
      <w:t> </w:t>
    </w:r>
    <w:r w:rsidR="003808AA">
      <w:fldChar w:fldCharType="begin"/>
    </w:r>
    <w:r w:rsidR="003808AA">
      <w:instrText xml:space="preserve"> STYLEREF Title \* MERGEFORMAT </w:instrText>
    </w:r>
    <w:r w:rsidR="003808AA">
      <w:fldChar w:fldCharType="separate"/>
    </w:r>
    <w:r w:rsidR="00DC5C07" w:rsidRPr="00DC5C07">
      <w:rPr>
        <w:b/>
        <w:bCs/>
        <w:noProof/>
        <w:lang w:val="en-US"/>
      </w:rPr>
      <w:t>Annual program performance report for China 2007–08</w:t>
    </w:r>
    <w:r w:rsidR="003808AA">
      <w:rPr>
        <w:b/>
        <w:bCs/>
        <w:noProof/>
        <w:lang w:val="en-US"/>
      </w:rPr>
      <w:fldChar w:fldCharType="end"/>
    </w:r>
    <w:r>
      <w:fldChar w:fldCharType="begin"/>
    </w:r>
    <w:r>
      <w:instrText xml:space="preserve"> STYLEREF  Subtitle </w:instrText>
    </w:r>
    <w:r>
      <w:fldChar w:fldCharType="separate"/>
    </w:r>
    <w:r w:rsidR="00DC5C07">
      <w:rPr>
        <w:b/>
        <w:bCs/>
        <w:noProof/>
        <w:lang w:val="en-US"/>
      </w:rPr>
      <w:t>Error! No text of specified style in document.</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DC5C07">
      <w:rPr>
        <w:rStyle w:val="PageNumber"/>
        <w:caps w:val="0"/>
        <w:noProof/>
      </w:rPr>
      <w:t>9</w:t>
    </w:r>
    <w:r>
      <w:rPr>
        <w:rStyle w:val="PageNumber"/>
        <w:caps w:val="0"/>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8B5" w:rsidRDefault="00E038B5" w:rsidP="008D14B5">
    <w:pPr>
      <w:pStyle w:val="Footer"/>
    </w:pPr>
    <w:r>
      <w:rPr>
        <w:rStyle w:val="PageNumber"/>
      </w:rPr>
      <w:fldChar w:fldCharType="begin"/>
    </w:r>
    <w:r>
      <w:rPr>
        <w:rStyle w:val="PageNumber"/>
      </w:rPr>
      <w:instrText xml:space="preserve"> PAGE </w:instrText>
    </w:r>
    <w:r>
      <w:rPr>
        <w:rStyle w:val="PageNumber"/>
      </w:rPr>
      <w:fldChar w:fldCharType="separate"/>
    </w:r>
    <w:r w:rsidR="00DC5C07">
      <w:rPr>
        <w:rStyle w:val="PageNumber"/>
        <w:noProof/>
      </w:rPr>
      <w:t>20</w:t>
    </w:r>
    <w:r>
      <w:rPr>
        <w:rStyle w:val="PageNumber"/>
      </w:rPr>
      <w:fldChar w:fldCharType="end"/>
    </w:r>
    <w:r>
      <w:rPr>
        <w:rStyle w:val="PageNumber"/>
      </w:rPr>
      <w:tab/>
    </w:r>
    <w:r>
      <w:rPr>
        <w:b/>
      </w:rPr>
      <w:t>A</w:t>
    </w:r>
    <w:r>
      <w:rPr>
        <w:b/>
        <w:caps w:val="0"/>
        <w:smallCaps/>
      </w:rPr>
      <w:t>us</w:t>
    </w:r>
    <w:r>
      <w:rPr>
        <w:b/>
      </w:rPr>
      <w:t>AID</w:t>
    </w:r>
    <w:r>
      <w:t> </w:t>
    </w:r>
    <w:r w:rsidR="003808AA">
      <w:fldChar w:fldCharType="begin"/>
    </w:r>
    <w:r w:rsidR="003808AA">
      <w:instrText xml:space="preserve"> STYLEREF Title \* MERGEFORMAT </w:instrText>
    </w:r>
    <w:r w:rsidR="003808AA">
      <w:fldChar w:fldCharType="separate"/>
    </w:r>
    <w:r w:rsidR="00DC5C07" w:rsidRPr="00DC5C07">
      <w:rPr>
        <w:b/>
        <w:bCs/>
        <w:noProof/>
        <w:lang w:val="en-US"/>
      </w:rPr>
      <w:t>Annual program performance report for China 2007–08</w:t>
    </w:r>
    <w:r w:rsidR="003808AA">
      <w:rPr>
        <w:b/>
        <w:bCs/>
        <w:noProof/>
        <w:lang w:val="en-US"/>
      </w:rPr>
      <w:fldChar w:fldCharType="end"/>
    </w:r>
    <w:r>
      <w:fldChar w:fldCharType="begin"/>
    </w:r>
    <w:r>
      <w:instrText xml:space="preserve"> STYLEREF  Subtitle </w:instrText>
    </w:r>
    <w:r>
      <w:fldChar w:fldCharType="separate"/>
    </w:r>
    <w:r w:rsidR="00DC5C07">
      <w:rPr>
        <w:b/>
        <w:bCs/>
        <w:noProof/>
        <w:lang w:val="en-US"/>
      </w:rPr>
      <w:t>Error! No text of specified style in document.</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8B5" w:rsidRDefault="00E038B5" w:rsidP="008D14B5">
    <w:pPr>
      <w:pStyle w:val="Footer"/>
    </w:pPr>
    <w:r>
      <w:tab/>
    </w:r>
    <w:r>
      <w:tab/>
    </w:r>
    <w:r>
      <w:rPr>
        <w:b/>
      </w:rPr>
      <w:t>A</w:t>
    </w:r>
    <w:r>
      <w:rPr>
        <w:b/>
        <w:caps w:val="0"/>
        <w:smallCaps/>
      </w:rPr>
      <w:t>us</w:t>
    </w:r>
    <w:r>
      <w:rPr>
        <w:b/>
      </w:rPr>
      <w:t>AID</w:t>
    </w:r>
    <w:r>
      <w:t> </w:t>
    </w:r>
    <w:r w:rsidR="003808AA">
      <w:fldChar w:fldCharType="begin"/>
    </w:r>
    <w:r w:rsidR="003808AA">
      <w:instrText xml:space="preserve"> STYLEREF Title \* MERGEFORMAT </w:instrText>
    </w:r>
    <w:r w:rsidR="003808AA">
      <w:fldChar w:fldCharType="separate"/>
    </w:r>
    <w:r w:rsidR="00DC5C07" w:rsidRPr="00DC5C07">
      <w:rPr>
        <w:b/>
        <w:bCs/>
        <w:noProof/>
        <w:lang w:val="en-US"/>
      </w:rPr>
      <w:t>Annual program performance report for China 2007–08</w:t>
    </w:r>
    <w:r w:rsidR="003808AA">
      <w:rPr>
        <w:b/>
        <w:bCs/>
        <w:noProof/>
        <w:lang w:val="en-US"/>
      </w:rPr>
      <w:fldChar w:fldCharType="end"/>
    </w:r>
    <w:r>
      <w:fldChar w:fldCharType="begin"/>
    </w:r>
    <w:r>
      <w:instrText xml:space="preserve"> STYLEREF  Subtitle </w:instrText>
    </w:r>
    <w:r>
      <w:fldChar w:fldCharType="separate"/>
    </w:r>
    <w:r w:rsidR="00DC5C07">
      <w:rPr>
        <w:b/>
        <w:bCs/>
        <w:noProof/>
        <w:lang w:val="en-US"/>
      </w:rPr>
      <w:t>Error! No text of specified style in document.</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DC5C07">
      <w:rPr>
        <w:rStyle w:val="PageNumber"/>
        <w:caps w:val="0"/>
        <w:noProof/>
      </w:rPr>
      <w:t>19</w:t>
    </w:r>
    <w:r>
      <w:rPr>
        <w:rStyle w:val="PageNumber"/>
        <w:caps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8B5" w:rsidRDefault="00E038B5">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8B5" w:rsidRDefault="00E038B5" w:rsidP="00494E8C">
    <w:pPr>
      <w:pStyle w:val="Footer"/>
    </w:pPr>
    <w:r>
      <w:rPr>
        <w:rStyle w:val="PageNumber"/>
      </w:rPr>
      <w:fldChar w:fldCharType="begin"/>
    </w:r>
    <w:r>
      <w:rPr>
        <w:rStyle w:val="PageNumber"/>
      </w:rPr>
      <w:instrText xml:space="preserve"> PAGE </w:instrText>
    </w:r>
    <w:r>
      <w:rPr>
        <w:rStyle w:val="PageNumber"/>
      </w:rPr>
      <w:fldChar w:fldCharType="separate"/>
    </w:r>
    <w:r w:rsidR="00DC5C07">
      <w:rPr>
        <w:rStyle w:val="PageNumber"/>
        <w:noProof/>
      </w:rPr>
      <w:t>2</w:t>
    </w:r>
    <w:r>
      <w:rPr>
        <w:rStyle w:val="PageNumber"/>
      </w:rPr>
      <w:fldChar w:fldCharType="end"/>
    </w:r>
    <w:r>
      <w:rPr>
        <w:rStyle w:val="PageNumber"/>
      </w:rPr>
      <w:tab/>
    </w:r>
    <w:r>
      <w:rPr>
        <w:b/>
      </w:rPr>
      <w:t>A</w:t>
    </w:r>
    <w:r>
      <w:rPr>
        <w:b/>
        <w:caps w:val="0"/>
        <w:smallCaps/>
      </w:rPr>
      <w:t>us</w:t>
    </w:r>
    <w:r>
      <w:rPr>
        <w:b/>
      </w:rPr>
      <w:t>AID</w:t>
    </w:r>
    <w:r>
      <w:t> </w:t>
    </w:r>
    <w:r w:rsidR="00494E8C" w:rsidRPr="00494E8C">
      <w:t>Annual program performance report for the Philippines 2007–08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8B5" w:rsidRDefault="00E038B5">
    <w:pPr>
      <w:pStyle w:val="Footer"/>
    </w:pPr>
    <w:r>
      <w:tab/>
    </w:r>
    <w:r>
      <w:tab/>
    </w:r>
    <w:r>
      <w:rPr>
        <w:b/>
      </w:rPr>
      <w:t>A</w:t>
    </w:r>
    <w:r>
      <w:rPr>
        <w:b/>
        <w:caps w:val="0"/>
        <w:smallCaps/>
      </w:rPr>
      <w:t>us</w:t>
    </w:r>
    <w:r>
      <w:rPr>
        <w:b/>
      </w:rPr>
      <w:t>AID</w:t>
    </w:r>
    <w:r>
      <w:t> </w:t>
    </w:r>
    <w:r w:rsidR="003808AA">
      <w:fldChar w:fldCharType="begin"/>
    </w:r>
    <w:r w:rsidR="003808AA">
      <w:instrText xml:space="preserve"> STYLEREF Title \* MERGEFORMAT </w:instrText>
    </w:r>
    <w:r w:rsidR="003808AA">
      <w:fldChar w:fldCharType="separate"/>
    </w:r>
    <w:r w:rsidR="00395B3E">
      <w:rPr>
        <w:noProof/>
      </w:rPr>
      <w:t>Annual program performance report for China 2007–08</w:t>
    </w:r>
    <w:r w:rsidR="003808AA">
      <w:rPr>
        <w:noProof/>
      </w:rP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395B3E">
      <w:rPr>
        <w:rStyle w:val="PageNumber"/>
        <w:caps w:val="0"/>
        <w:noProof/>
      </w:rPr>
      <w:t>3</w:t>
    </w:r>
    <w:r>
      <w:rPr>
        <w:rStyle w:val="PageNumber"/>
        <w:caps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8B5" w:rsidRDefault="00E038B5">
    <w:pPr>
      <w:pStyle w:val="Footer"/>
    </w:pPr>
    <w:r>
      <w:rPr>
        <w:rStyle w:val="PageNumber"/>
      </w:rPr>
      <w:fldChar w:fldCharType="begin"/>
    </w:r>
    <w:r>
      <w:rPr>
        <w:rStyle w:val="PageNumber"/>
      </w:rPr>
      <w:instrText xml:space="preserve"> PAGE </w:instrText>
    </w:r>
    <w:r>
      <w:rPr>
        <w:rStyle w:val="PageNumber"/>
      </w:rPr>
      <w:fldChar w:fldCharType="separate"/>
    </w:r>
    <w:r w:rsidR="00395B3E">
      <w:rPr>
        <w:rStyle w:val="PageNumber"/>
        <w:noProof/>
      </w:rPr>
      <w:t>4</w:t>
    </w:r>
    <w:r>
      <w:rPr>
        <w:rStyle w:val="PageNumber"/>
      </w:rPr>
      <w:fldChar w:fldCharType="end"/>
    </w:r>
    <w:r>
      <w:rPr>
        <w:rStyle w:val="PageNumber"/>
      </w:rPr>
      <w:tab/>
    </w:r>
    <w:r>
      <w:rPr>
        <w:b/>
      </w:rPr>
      <w:t>A</w:t>
    </w:r>
    <w:r>
      <w:rPr>
        <w:b/>
        <w:caps w:val="0"/>
        <w:smallCaps/>
      </w:rPr>
      <w:t>us</w:t>
    </w:r>
    <w:r>
      <w:rPr>
        <w:b/>
      </w:rPr>
      <w:t>AID</w:t>
    </w:r>
    <w:r>
      <w:t> </w:t>
    </w:r>
    <w:r w:rsidR="003808AA">
      <w:fldChar w:fldCharType="begin"/>
    </w:r>
    <w:r w:rsidR="003808AA">
      <w:instrText xml:space="preserve"> STYLEREF Title \* MERGEFORMAT </w:instrText>
    </w:r>
    <w:r w:rsidR="003808AA">
      <w:fldChar w:fldCharType="separate"/>
    </w:r>
    <w:r w:rsidR="00395B3E">
      <w:rPr>
        <w:noProof/>
      </w:rPr>
      <w:t>Annual program performance report for China 2007–08</w:t>
    </w:r>
    <w:r w:rsidR="003808AA">
      <w:rPr>
        <w:noProof/>
      </w:rPr>
      <w:fldChar w:fldCharType="end"/>
    </w:r>
    <w:r>
      <w:t xml:space="preserve">: </w:t>
    </w:r>
    <w:r>
      <w:fldChar w:fldCharType="begin"/>
    </w:r>
    <w:r>
      <w:instrText xml:space="preserve"> STYLEREF  Subtitle </w:instrTex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8B5" w:rsidRDefault="00B5676F">
    <w:pPr>
      <w:pStyle w:val="Footer"/>
    </w:pPr>
    <w:r>
      <w:rPr>
        <w:noProof/>
        <w:lang w:val="en-CA" w:eastAsia="en-CA"/>
      </w:rPr>
      <mc:AlternateContent>
        <mc:Choice Requires="wpg">
          <w:drawing>
            <wp:anchor distT="0" distB="0" distL="114300" distR="114300" simplePos="0" relativeHeight="251663360" behindDoc="1" locked="0" layoutInCell="1" allowOverlap="1" wp14:anchorId="4CD48788" wp14:editId="10604846">
              <wp:simplePos x="0" y="0"/>
              <wp:positionH relativeFrom="column">
                <wp:posOffset>-1270000</wp:posOffset>
              </wp:positionH>
              <wp:positionV relativeFrom="paragraph">
                <wp:posOffset>-10231755</wp:posOffset>
              </wp:positionV>
              <wp:extent cx="6480175" cy="10692130"/>
              <wp:effectExtent l="0" t="0" r="15875" b="1397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0692130"/>
                        <a:chOff x="-283" y="0"/>
                        <a:chExt cx="10205" cy="16838"/>
                      </a:xfrm>
                    </wpg:grpSpPr>
                    <wps:wsp>
                      <wps:cNvPr id="12" name="Line 2"/>
                      <wps:cNvCnPr/>
                      <wps:spPr bwMode="auto">
                        <a:xfrm>
                          <a:off x="-283" y="2268"/>
                          <a:ext cx="10205" cy="0"/>
                        </a:xfrm>
                        <a:prstGeom prst="line">
                          <a:avLst/>
                        </a:prstGeom>
                        <a:noFill/>
                        <a:ln w="7620">
                          <a:solidFill>
                            <a:srgbClr val="D4CBBE"/>
                          </a:solidFill>
                          <a:round/>
                          <a:headEnd/>
                          <a:tailEnd/>
                        </a:ln>
                        <a:extLst>
                          <a:ext uri="{909E8E84-426E-40DD-AFC4-6F175D3DCCD1}">
                            <a14:hiddenFill xmlns:a14="http://schemas.microsoft.com/office/drawing/2010/main">
                              <a:noFill/>
                            </a14:hiddenFill>
                          </a:ext>
                        </a:extLst>
                      </wps:spPr>
                      <wps:bodyPr/>
                    </wps:wsp>
                    <wps:wsp>
                      <wps:cNvPr id="13" name="Line 3"/>
                      <wps:cNvCnPr/>
                      <wps:spPr bwMode="auto">
                        <a:xfrm>
                          <a:off x="-283" y="3402"/>
                          <a:ext cx="10205" cy="0"/>
                        </a:xfrm>
                        <a:prstGeom prst="line">
                          <a:avLst/>
                        </a:prstGeom>
                        <a:noFill/>
                        <a:ln w="7620">
                          <a:solidFill>
                            <a:srgbClr val="D4CBBE"/>
                          </a:solidFill>
                          <a:round/>
                          <a:headEnd/>
                          <a:tailEnd/>
                        </a:ln>
                        <a:extLst>
                          <a:ext uri="{909E8E84-426E-40DD-AFC4-6F175D3DCCD1}">
                            <a14:hiddenFill xmlns:a14="http://schemas.microsoft.com/office/drawing/2010/main">
                              <a:noFill/>
                            </a14:hiddenFill>
                          </a:ext>
                        </a:extLst>
                      </wps:spPr>
                      <wps:bodyPr/>
                    </wps:wsp>
                    <wps:wsp>
                      <wps:cNvPr id="20" name="Line 4"/>
                      <wps:cNvCnPr/>
                      <wps:spPr bwMode="auto">
                        <a:xfrm>
                          <a:off x="-283" y="3515"/>
                          <a:ext cx="10205" cy="0"/>
                        </a:xfrm>
                        <a:prstGeom prst="line">
                          <a:avLst/>
                        </a:prstGeom>
                        <a:noFill/>
                        <a:ln w="50800">
                          <a:solidFill>
                            <a:srgbClr val="E2DBD2"/>
                          </a:solidFill>
                          <a:round/>
                          <a:headEnd/>
                          <a:tailEnd/>
                        </a:ln>
                        <a:extLst>
                          <a:ext uri="{909E8E84-426E-40DD-AFC4-6F175D3DCCD1}">
                            <a14:hiddenFill xmlns:a14="http://schemas.microsoft.com/office/drawing/2010/main">
                              <a:noFill/>
                            </a14:hiddenFill>
                          </a:ext>
                        </a:extLst>
                      </wps:spPr>
                      <wps:bodyPr/>
                    </wps:wsp>
                    <wps:wsp>
                      <wps:cNvPr id="21" name="Line 5"/>
                      <wps:cNvCnPr/>
                      <wps:spPr bwMode="auto">
                        <a:xfrm>
                          <a:off x="1872" y="0"/>
                          <a:ext cx="0" cy="16838"/>
                        </a:xfrm>
                        <a:prstGeom prst="line">
                          <a:avLst/>
                        </a:prstGeom>
                        <a:noFill/>
                        <a:ln w="7620">
                          <a:solidFill>
                            <a:srgbClr val="7F726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100pt;margin-top:-805.65pt;width:510.25pt;height:841.9pt;z-index:-251653120" coordorigin="-283" coordsize="10205,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">
              <v:line id="Line 2" o:spid="_x0000_s1027" style="position:absolute;visibility:visible;mso-wrap-style:square" from="-283,2268" to="9922,2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ws5MAAAADbAAAADwAAAGRycy9kb3ducmV2LnhtbERPTYvCMBC9C/6HMMJeRFNFXKlGUUHw&#10;sBd1EY9DM7bFZFKbWLv/fiMI3ubxPmexaq0RDdW+dKxgNExAEGdOl5wr+D3tBjMQPiBrNI5JwR95&#10;WC27nQWm2j35QM0x5CKGsE9RQRFClUrps4Is+qGriCN3dbXFEGGdS13jM4ZbI8dJMpUWS44NBVa0&#10;LSi7HR9WgTX+p2kf3+Z+Oe8Pp/WmP3G2r9RXr13PQQRqw0f8du91nD+G1y/xALn8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3MLOTAAAAA2wAAAA8AAAAAAAAAAAAAAAAA&#10;oQIAAGRycy9kb3ducmV2LnhtbFBLBQYAAAAABAAEAPkAAACOAwAAAAA=&#10;" strokecolor="#d4cbbe" strokeweight=".6pt"/>
              <v:line id="Line 3" o:spid="_x0000_s1028" style="position:absolute;visibility:visible;mso-wrap-style:square" from="-283,3402" to="9922,3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CJf8MAAADbAAAADwAAAGRycy9kb3ducmV2LnhtbERPTWvCQBC9F/wPyxS8hLqxLbakriEW&#10;BA9eoqX0OGSnSejubMyuMf33riB4m8f7nGU+WiMG6n3rWMF8loIgrpxuuVbwddg8vYPwAVmjcUwK&#10;/slDvpo8LDHT7swlDftQixjCPkMFTQhdJqWvGrLoZ64jjtyv6y2GCPta6h7PMdwa+ZymC2mx5djQ&#10;YEefDVV/+5NVYI3fDePpzRx/vrfloVgnr84mSk0fx+IDRKAx3MU391bH+S9w/SUeIFc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AiX/DAAAA2wAAAA8AAAAAAAAAAAAA&#10;AAAAoQIAAGRycy9kb3ducmV2LnhtbFBLBQYAAAAABAAEAPkAAACRAwAAAAA=&#10;" strokecolor="#d4cbbe" strokeweight=".6pt"/>
              <v:line id="Line 4" o:spid="_x0000_s1029" style="position:absolute;visibility:visible;mso-wrap-style:square" from="-283,3515" to="9922,3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XZ0sEAAADbAAAADwAAAGRycy9kb3ducmV2LnhtbERPTYvCMBC9C/sfwix403SrqFSjyIKg&#10;Bw+6wnocm7Gt20yyTdT6781B8Ph437NFa2pxo8ZXlhV89RMQxLnVFRcKDj+r3gSED8gaa8uk4EEe&#10;FvOPzgwzbe+8o9s+FCKGsM9QQRmCy6T0eUkGfd864sidbWMwRNgUUjd4j+GmlmmSjKTBimNDiY6+&#10;S8r/9lejYHCt0sN2M3Dj/+Oyvrjf8UYOT0p1P9vlFESgNrzFL/daK0j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ldnSwQAAANsAAAAPAAAAAAAAAAAAAAAA&#10;AKECAABkcnMvZG93bnJldi54bWxQSwUGAAAAAAQABAD5AAAAjwMAAAAA&#10;" strokecolor="#e2dbd2" strokeweight="4pt"/>
              <v:line id="Line 5" o:spid="_x0000_s1030" style="position:absolute;visibility:visible;mso-wrap-style:square" from="1872,0" to="1872,16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ZcIAAADbAAAADwAAAGRycy9kb3ducmV2LnhtbESPT4vCMBTE78J+h/AW9qZphZVajaUI&#10;ilf/wt7eNs+2bPPSbaLWb28EweMwM79h5llvGnGlztWWFcSjCARxYXXNpYLDfjVMQDiPrLGxTAru&#10;5CBbfAzmmGp74y1dd74UAcIuRQWV920qpSsqMuhGtiUO3tl2Bn2QXSl1h7cAN40cR9FEGqw5LFTY&#10;0rKi4m93MQom659lQtN8td1vvqe/9v+YnChW6uuzz2cgPPX+HX61N1rBOIbnl/AD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YZcIAAADbAAAADwAAAAAAAAAAAAAA&#10;AAChAgAAZHJzL2Rvd25yZXYueG1sUEsFBgAAAAAEAAQA+QAAAJADAAAAAA==&#10;" strokecolor="#7f7267" strokeweight=".6pt"/>
            </v:group>
          </w:pict>
        </mc:Fallback>
      </mc:AlternateContent>
    </w:r>
    <w:r w:rsidR="00E038B5">
      <w:tab/>
    </w:r>
    <w:r w:rsidR="00E038B5">
      <w:tab/>
    </w:r>
    <w:r w:rsidR="00E038B5">
      <w:rPr>
        <w:b/>
      </w:rPr>
      <w:t>A</w:t>
    </w:r>
    <w:r w:rsidR="00E038B5">
      <w:rPr>
        <w:b/>
        <w:caps w:val="0"/>
        <w:smallCaps/>
      </w:rPr>
      <w:t>us</w:t>
    </w:r>
    <w:r w:rsidR="00E038B5">
      <w:rPr>
        <w:b/>
      </w:rPr>
      <w:t>AID</w:t>
    </w:r>
    <w:r w:rsidR="00E038B5">
      <w:t> </w:t>
    </w:r>
    <w:r w:rsidR="003808AA">
      <w:fldChar w:fldCharType="begin"/>
    </w:r>
    <w:r w:rsidR="003808AA">
      <w:instrText xml:space="preserve"> STYLEREF Title \* MERGEFORMAT </w:instrText>
    </w:r>
    <w:r w:rsidR="003808AA">
      <w:fldChar w:fldCharType="separate"/>
    </w:r>
    <w:r w:rsidR="00DC5C07" w:rsidRPr="00DC5C07">
      <w:rPr>
        <w:b/>
        <w:bCs/>
        <w:noProof/>
        <w:lang w:val="en-US"/>
      </w:rPr>
      <w:t>Annual program performance report for China 2007–08</w:t>
    </w:r>
    <w:r w:rsidR="003808AA">
      <w:rPr>
        <w:b/>
        <w:bCs/>
        <w:noProof/>
        <w:lang w:val="en-US"/>
      </w:rPr>
      <w:fldChar w:fldCharType="end"/>
    </w:r>
    <w:r w:rsidR="00E038B5">
      <w:fldChar w:fldCharType="begin"/>
    </w:r>
    <w:r w:rsidR="00E038B5">
      <w:instrText xml:space="preserve"> STYLEREF  Subtitle </w:instrText>
    </w:r>
    <w:r w:rsidR="00E038B5">
      <w:fldChar w:fldCharType="separate"/>
    </w:r>
    <w:r w:rsidR="00DC5C07">
      <w:rPr>
        <w:b/>
        <w:bCs/>
        <w:noProof/>
        <w:lang w:val="en-US"/>
      </w:rPr>
      <w:t>Error! No text of specified style in document.</w:t>
    </w:r>
    <w:r w:rsidR="00E038B5">
      <w:fldChar w:fldCharType="end"/>
    </w:r>
    <w:r w:rsidR="00E038B5">
      <w:tab/>
    </w:r>
    <w:r w:rsidR="00E038B5">
      <w:rPr>
        <w:rStyle w:val="PageNumber"/>
        <w:caps w:val="0"/>
      </w:rPr>
      <w:fldChar w:fldCharType="begin"/>
    </w:r>
    <w:r w:rsidR="00E038B5">
      <w:rPr>
        <w:rStyle w:val="PageNumber"/>
        <w:caps w:val="0"/>
      </w:rPr>
      <w:instrText xml:space="preserve"> PAGE </w:instrText>
    </w:r>
    <w:r w:rsidR="00E038B5">
      <w:rPr>
        <w:rStyle w:val="PageNumber"/>
        <w:caps w:val="0"/>
      </w:rPr>
      <w:fldChar w:fldCharType="separate"/>
    </w:r>
    <w:r w:rsidR="00DC5C07">
      <w:rPr>
        <w:rStyle w:val="PageNumber"/>
        <w:caps w:val="0"/>
        <w:noProof/>
      </w:rPr>
      <w:t>3</w:t>
    </w:r>
    <w:r w:rsidR="00E038B5">
      <w:rPr>
        <w:rStyle w:val="PageNumber"/>
        <w:caps w:val="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8B5" w:rsidRDefault="00E038B5">
    <w:pPr>
      <w:pStyle w:val="Footer"/>
    </w:pPr>
    <w:r>
      <w:rPr>
        <w:rStyle w:val="PageNumber"/>
      </w:rPr>
      <w:fldChar w:fldCharType="begin"/>
    </w:r>
    <w:r>
      <w:rPr>
        <w:rStyle w:val="PageNumber"/>
      </w:rPr>
      <w:instrText xml:space="preserve"> PAGE </w:instrText>
    </w:r>
    <w:r>
      <w:rPr>
        <w:rStyle w:val="PageNumber"/>
      </w:rPr>
      <w:fldChar w:fldCharType="separate"/>
    </w:r>
    <w:r w:rsidR="00DC5C07">
      <w:rPr>
        <w:rStyle w:val="PageNumber"/>
        <w:noProof/>
      </w:rPr>
      <w:t>4</w:t>
    </w:r>
    <w:r>
      <w:rPr>
        <w:rStyle w:val="PageNumber"/>
      </w:rPr>
      <w:fldChar w:fldCharType="end"/>
    </w:r>
    <w:r>
      <w:rPr>
        <w:rStyle w:val="PageNumber"/>
      </w:rPr>
      <w:tab/>
    </w:r>
    <w:r>
      <w:rPr>
        <w:b/>
      </w:rPr>
      <w:t>A</w:t>
    </w:r>
    <w:r>
      <w:rPr>
        <w:b/>
        <w:caps w:val="0"/>
        <w:smallCaps/>
      </w:rPr>
      <w:t>us</w:t>
    </w:r>
    <w:r>
      <w:rPr>
        <w:b/>
      </w:rPr>
      <w:t>AID</w:t>
    </w:r>
    <w:r>
      <w:t> </w:t>
    </w:r>
    <w:r w:rsidR="003808AA">
      <w:fldChar w:fldCharType="begin"/>
    </w:r>
    <w:r w:rsidR="003808AA">
      <w:instrText xml:space="preserve"> STYLEREF Title \* MERGEFORMAT </w:instrText>
    </w:r>
    <w:r w:rsidR="003808AA">
      <w:fldChar w:fldCharType="separate"/>
    </w:r>
    <w:r w:rsidR="00DC5C07" w:rsidRPr="00DC5C07">
      <w:rPr>
        <w:b/>
        <w:bCs/>
        <w:noProof/>
        <w:lang w:val="en-US"/>
      </w:rPr>
      <w:t>Annual program performance report for China 2007–08</w:t>
    </w:r>
    <w:r w:rsidR="003808AA">
      <w:rPr>
        <w:b/>
        <w:bCs/>
        <w:noProof/>
        <w:lang w:val="en-US"/>
      </w:rPr>
      <w:fldChar w:fldCharType="end"/>
    </w:r>
    <w:r>
      <w:fldChar w:fldCharType="begin"/>
    </w:r>
    <w:r>
      <w:instrText xml:space="preserve"> STYLEREF  Subtitle </w:instrText>
    </w:r>
    <w:r>
      <w:fldChar w:fldCharType="separate"/>
    </w:r>
    <w:r w:rsidR="00DC5C07">
      <w:rPr>
        <w:b/>
        <w:bCs/>
        <w:noProof/>
        <w:lang w:val="en-US"/>
      </w:rPr>
      <w:t>Error! No text of specified style in document.</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8B5" w:rsidRDefault="00E038B5">
    <w:pPr>
      <w:pStyle w:val="Footer"/>
    </w:pPr>
    <w:r>
      <w:tab/>
    </w:r>
    <w:r>
      <w:tab/>
    </w:r>
    <w:r>
      <w:rPr>
        <w:b/>
      </w:rPr>
      <w:t>A</w:t>
    </w:r>
    <w:r>
      <w:rPr>
        <w:b/>
        <w:caps w:val="0"/>
        <w:smallCaps/>
      </w:rPr>
      <w:t>us</w:t>
    </w:r>
    <w:r>
      <w:rPr>
        <w:b/>
      </w:rPr>
      <w:t>AID</w:t>
    </w:r>
    <w:r>
      <w:t> </w:t>
    </w:r>
    <w:r w:rsidR="003808AA">
      <w:fldChar w:fldCharType="begin"/>
    </w:r>
    <w:r w:rsidR="003808AA">
      <w:instrText xml:space="preserve"> STYLER</w:instrText>
    </w:r>
    <w:r w:rsidR="003808AA">
      <w:instrText xml:space="preserve">EF Title \* MERGEFORMAT </w:instrText>
    </w:r>
    <w:r w:rsidR="003808AA">
      <w:fldChar w:fldCharType="separate"/>
    </w:r>
    <w:r w:rsidR="00395B3E">
      <w:rPr>
        <w:noProof/>
      </w:rPr>
      <w:t>Annual program performance report for China 2007–08</w:t>
    </w:r>
    <w:r w:rsidR="003808AA">
      <w:rPr>
        <w:noProof/>
      </w:rP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395B3E">
      <w:rPr>
        <w:rStyle w:val="PageNumber"/>
        <w:caps w:val="0"/>
        <w:noProof/>
      </w:rPr>
      <w:t>5</w:t>
    </w:r>
    <w:r>
      <w:rPr>
        <w:rStyle w:val="PageNumber"/>
        <w:caps w:val="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8B5" w:rsidRDefault="00E038B5">
    <w:pPr>
      <w:pStyle w:val="Footer"/>
    </w:pPr>
    <w:r>
      <w:rPr>
        <w:rStyle w:val="PageNumber"/>
      </w:rPr>
      <w:fldChar w:fldCharType="begin"/>
    </w:r>
    <w:r>
      <w:rPr>
        <w:rStyle w:val="PageNumber"/>
      </w:rPr>
      <w:instrText xml:space="preserve"> PAGE </w:instrText>
    </w:r>
    <w:r>
      <w:rPr>
        <w:rStyle w:val="PageNumber"/>
      </w:rPr>
      <w:fldChar w:fldCharType="separate"/>
    </w:r>
    <w:r w:rsidR="00DC5C07">
      <w:rPr>
        <w:rStyle w:val="PageNumber"/>
        <w:noProof/>
      </w:rPr>
      <w:t>6</w:t>
    </w:r>
    <w:r>
      <w:rPr>
        <w:rStyle w:val="PageNumber"/>
      </w:rPr>
      <w:fldChar w:fldCharType="end"/>
    </w:r>
    <w:r>
      <w:rPr>
        <w:rStyle w:val="PageNumber"/>
      </w:rPr>
      <w:tab/>
    </w:r>
    <w:r>
      <w:rPr>
        <w:b/>
      </w:rPr>
      <w:t>A</w:t>
    </w:r>
    <w:r>
      <w:rPr>
        <w:b/>
        <w:caps w:val="0"/>
        <w:smallCaps/>
      </w:rPr>
      <w:t>us</w:t>
    </w:r>
    <w:r>
      <w:rPr>
        <w:b/>
      </w:rPr>
      <w:t>AID</w:t>
    </w:r>
    <w:r>
      <w:t> </w:t>
    </w:r>
    <w:r w:rsidR="003808AA">
      <w:fldChar w:fldCharType="begin"/>
    </w:r>
    <w:r w:rsidR="003808AA">
      <w:instrText xml:space="preserve"> STYLEREF Title \* MERGEFORMAT </w:instrText>
    </w:r>
    <w:r w:rsidR="003808AA">
      <w:fldChar w:fldCharType="separate"/>
    </w:r>
    <w:r w:rsidR="00DC5C07" w:rsidRPr="00DC5C07">
      <w:rPr>
        <w:b/>
        <w:bCs/>
        <w:noProof/>
        <w:lang w:val="en-US"/>
      </w:rPr>
      <w:t>Annual program performance report for China 2007–08</w:t>
    </w:r>
    <w:r w:rsidR="003808AA">
      <w:rPr>
        <w:b/>
        <w:bCs/>
        <w:noProof/>
        <w:lang w:val="en-US"/>
      </w:rPr>
      <w:fldChar w:fldCharType="end"/>
    </w:r>
    <w:r>
      <w:fldChar w:fldCharType="begin"/>
    </w:r>
    <w:r>
      <w:instrText xml:space="preserve"> STYLEREF  Subtitle </w:instrText>
    </w:r>
    <w:r>
      <w:fldChar w:fldCharType="separate"/>
    </w:r>
    <w:r w:rsidR="00DC5C07">
      <w:rPr>
        <w:b/>
        <w:bCs/>
        <w:noProof/>
        <w:lang w:val="en-US"/>
      </w:rPr>
      <w:t>Error! No text of specified style in document.</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8AA" w:rsidRDefault="003808AA">
      <w:r>
        <w:separator/>
      </w:r>
    </w:p>
  </w:footnote>
  <w:footnote w:type="continuationSeparator" w:id="0">
    <w:p w:rsidR="003808AA" w:rsidRDefault="003808AA">
      <w:r>
        <w:continuationSeparator/>
      </w:r>
    </w:p>
  </w:footnote>
  <w:footnote w:id="1">
    <w:p w:rsidR="00E02725" w:rsidRPr="00E02725" w:rsidRDefault="00E02725">
      <w:pPr>
        <w:pStyle w:val="FootnoteText"/>
        <w:rPr>
          <w:lang w:val="en-CA"/>
        </w:rPr>
      </w:pPr>
      <w:r>
        <w:rPr>
          <w:rStyle w:val="FootnoteReference"/>
        </w:rPr>
        <w:footnoteRef/>
      </w:r>
      <w:r>
        <w:t xml:space="preserve"> </w:t>
      </w:r>
      <w:proofErr w:type="gramStart"/>
      <w:r>
        <w:t>B</w:t>
      </w:r>
      <w:r w:rsidRPr="00D517FD">
        <w:t>ased on 10 quality-at-implementation reports and four quality-at-completion reports.</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58A" w:rsidRDefault="000F758A">
    <w:pPr>
      <w:pStyle w:val="Header"/>
    </w:pPr>
    <w:r>
      <w:rPr>
        <w:noProof/>
        <w:lang w:val="en-CA" w:eastAsia="en-CA"/>
      </w:rPr>
      <mc:AlternateContent>
        <mc:Choice Requires="wpg">
          <w:drawing>
            <wp:anchor distT="0" distB="0" distL="114300" distR="114300" simplePos="0" relativeHeight="251659264" behindDoc="1" locked="0" layoutInCell="1" allowOverlap="1" wp14:anchorId="761513A3" wp14:editId="219F3E77">
              <wp:simplePos x="0" y="0"/>
              <wp:positionH relativeFrom="column">
                <wp:posOffset>1800225</wp:posOffset>
              </wp:positionH>
              <wp:positionV relativeFrom="paragraph">
                <wp:posOffset>34925</wp:posOffset>
              </wp:positionV>
              <wp:extent cx="114935" cy="10737850"/>
              <wp:effectExtent l="0" t="0" r="18415" b="25400"/>
              <wp:wrapNone/>
              <wp:docPr id="14" name="Group 14"/>
              <wp:cNvGraphicFramePr/>
              <a:graphic xmlns:a="http://schemas.openxmlformats.org/drawingml/2006/main">
                <a:graphicData uri="http://schemas.microsoft.com/office/word/2010/wordprocessingGroup">
                  <wpg:wgp>
                    <wpg:cNvGrpSpPr/>
                    <wpg:grpSpPr>
                      <a:xfrm>
                        <a:off x="0" y="0"/>
                        <a:ext cx="114935" cy="10737850"/>
                        <a:chOff x="0" y="0"/>
                        <a:chExt cx="115260" cy="10737850"/>
                      </a:xfrm>
                    </wpg:grpSpPr>
                    <wps:wsp>
                      <wps:cNvPr id="8" name="Straight Connector 8"/>
                      <wps:cNvCnPr/>
                      <wps:spPr>
                        <a:xfrm>
                          <a:off x="0" y="0"/>
                          <a:ext cx="0" cy="1073785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115260" y="261257"/>
                          <a:ext cx="0" cy="10433685"/>
                        </a:xfrm>
                        <a:prstGeom prst="line">
                          <a:avLst/>
                        </a:prstGeom>
                        <a:ln w="127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4" o:spid="_x0000_s1026" style="position:absolute;margin-left:141.75pt;margin-top:2.75pt;width:9.05pt;height:845.5pt;z-index:-251657216" coordsize="1152,107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">
              <v:line id="Straight Connector 8" o:spid="_x0000_s1027" style="position:absolute;visibility:visible;mso-wrap-style:square" from="0,0" to="0,107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40x8AAAADaAAAADwAAAGRycy9kb3ducmV2LnhtbERPS2sCMRC+C/0PYQQvUpNKEVmNIi2l&#10;Qi/1cehx2Iy7q5vJkoy6/ffNoeDx43sv171v1Y1iagJbeJkYUMRlcA1XFo6Hj+c5qCTIDtvAZOGX&#10;EqxXT4MlFi7ceUe3vVQqh3Aq0EIt0hVap7Imj2kSOuLMnUL0KBnGSruI9xzuWz01ZqY9Npwbauzo&#10;rabysr96C+Pt6/nK8dt8fm1E/zTmLIfxu7WjYb9ZgBLq5SH+d2+dhbw1X8k3Q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lONMfAAAAA2gAAAA8AAAAAAAAAAAAAAAAA&#10;oQIAAGRycy9kb3ducmV2LnhtbFBLBQYAAAAABAAEAPkAAACOAwAAAAA=&#10;" strokecolor="#d8d8d8 [2732]" strokeweight=".5pt"/>
              <v:line id="Straight Connector 9" o:spid="_x0000_s1028" style="position:absolute;visibility:visible;mso-wrap-style:square" from="1152,2612" to="1152,106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HkqcMAAADaAAAADwAAAGRycy9kb3ducmV2LnhtbESPT2sCMRTE74LfITyhF9GspUrdGkWF&#10;gnjyTw8eXzfP3cXNy5qk6/bbG0HwOMzMb5jZojWVaMj50rKC0TABQZxZXXKu4Of4PfgE4QOyxsoy&#10;KfgnD4t5tzPDVNsb76k5hFxECPsUFRQh1KmUPivIoB/amjh6Z+sMhihdLrXDW4SbSr4nyUQaLDku&#10;FFjTuqDscvgzCngVPprruXFJf6enp/Vm+3sZT5R667XLLxCB2vAKP9sbrWAKjyvxBs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B5KnDAAAA2gAAAA8AAAAAAAAAAAAA&#10;AAAAoQIAAGRycy9kb3ducmV2LnhtbFBLBQYAAAAABAAEAPkAAACRAwAAAAA=&#10;" strokecolor="#bfbfbf [2412]" strokeweight="1pt"/>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8B5" w:rsidRDefault="00E038B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8B5" w:rsidRDefault="00E038B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8B5" w:rsidRDefault="00E038B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8B5" w:rsidRDefault="00E038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8B5" w:rsidRDefault="00E038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8B5" w:rsidRDefault="00E038B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8B5" w:rsidRDefault="00E038B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8B5" w:rsidRDefault="00E038B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8B5" w:rsidRDefault="00E038B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8B5" w:rsidRDefault="00E038B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8B5" w:rsidRDefault="00E038B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8B5" w:rsidRDefault="00E038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D42840C"/>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BD0AD35C"/>
    <w:lvl w:ilvl="0">
      <w:start w:val="1"/>
      <w:numFmt w:val="decimal"/>
      <w:lvlText w:val="%1."/>
      <w:lvlJc w:val="left"/>
      <w:pPr>
        <w:tabs>
          <w:tab w:val="num" w:pos="360"/>
        </w:tabs>
        <w:ind w:left="360" w:hanging="360"/>
      </w:pPr>
      <w:rPr>
        <w:rFonts w:cs="Times New Roman"/>
      </w:rPr>
    </w:lvl>
  </w:abstractNum>
  <w:abstractNum w:abstractNumId="2">
    <w:nsid w:val="FFFFFF89"/>
    <w:multiLevelType w:val="singleLevel"/>
    <w:tmpl w:val="5E4C1E60"/>
    <w:lvl w:ilvl="0">
      <w:start w:val="1"/>
      <w:numFmt w:val="bullet"/>
      <w:lvlText w:val=""/>
      <w:lvlJc w:val="left"/>
      <w:pPr>
        <w:tabs>
          <w:tab w:val="num" w:pos="360"/>
        </w:tabs>
        <w:ind w:left="360" w:hanging="360"/>
      </w:pPr>
      <w:rPr>
        <w:rFonts w:ascii="Symbol" w:hAnsi="Symbol" w:hint="default"/>
      </w:rPr>
    </w:lvl>
  </w:abstractNum>
  <w:abstractNum w:abstractNumId="3">
    <w:nsid w:val="02F34B49"/>
    <w:multiLevelType w:val="multilevel"/>
    <w:tmpl w:val="08C25D86"/>
    <w:lvl w:ilvl="0">
      <w:start w:val="1"/>
      <w:numFmt w:val="decimal"/>
      <w:lvlText w:val="%1"/>
      <w:lvlJc w:val="right"/>
      <w:pPr>
        <w:tabs>
          <w:tab w:val="num" w:pos="0"/>
        </w:tabs>
        <w:ind w:hanging="284"/>
      </w:pPr>
      <w:rPr>
        <w:rFonts w:cs="Times New Roman"/>
        <w:b/>
        <w:i w:val="0"/>
        <w:color w:val="808080"/>
      </w:rPr>
    </w:lvl>
    <w:lvl w:ilvl="1">
      <w:start w:val="1"/>
      <w:numFmt w:val="decimal"/>
      <w:lvlText w:val="%1.%2"/>
      <w:lvlJc w:val="left"/>
      <w:pPr>
        <w:tabs>
          <w:tab w:val="num" w:pos="720"/>
        </w:tabs>
        <w:ind w:left="397" w:hanging="397"/>
      </w:pPr>
      <w:rPr>
        <w:rFonts w:cs="Times New Roman" w:hint="default"/>
      </w:rPr>
    </w:lvl>
    <w:lvl w:ilvl="2">
      <w:start w:val="1"/>
      <w:numFmt w:val="decimal"/>
      <w:lvlText w:val="%1.%2.%3"/>
      <w:lvlJc w:val="left"/>
      <w:pPr>
        <w:tabs>
          <w:tab w:val="num" w:pos="1080"/>
        </w:tabs>
        <w:ind w:left="567" w:hanging="567"/>
      </w:pPr>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upperLetter"/>
      <w:lvlText w:val="%7"/>
      <w:lvlJc w:val="right"/>
      <w:pPr>
        <w:tabs>
          <w:tab w:val="num" w:pos="0"/>
        </w:tabs>
        <w:ind w:hanging="284"/>
      </w:pPr>
      <w:rPr>
        <w:rFonts w:cs="Times New Roman"/>
        <w:color w:val="808080"/>
      </w:rPr>
    </w:lvl>
    <w:lvl w:ilvl="7">
      <w:start w:val="1"/>
      <w:numFmt w:val="decimal"/>
      <w:lvlText w:val="%7.%8"/>
      <w:lvlJc w:val="left"/>
      <w:pPr>
        <w:tabs>
          <w:tab w:val="num" w:pos="720"/>
        </w:tabs>
        <w:ind w:left="397" w:hanging="397"/>
      </w:pPr>
      <w:rPr>
        <w:rFonts w:cs="Times New Roman" w:hint="default"/>
      </w:rPr>
    </w:lvl>
    <w:lvl w:ilvl="8">
      <w:start w:val="1"/>
      <w:numFmt w:val="decimal"/>
      <w:lvlText w:val="%7.%8.%9"/>
      <w:lvlJc w:val="left"/>
      <w:pPr>
        <w:tabs>
          <w:tab w:val="num" w:pos="1080"/>
        </w:tabs>
        <w:ind w:left="567" w:hanging="567"/>
      </w:pPr>
      <w:rPr>
        <w:rFonts w:cs="Times New Roman" w:hint="default"/>
      </w:rPr>
    </w:lvl>
  </w:abstractNum>
  <w:abstractNum w:abstractNumId="4">
    <w:nsid w:val="04FE3381"/>
    <w:multiLevelType w:val="hybridMultilevel"/>
    <w:tmpl w:val="622CB90A"/>
    <w:lvl w:ilvl="0" w:tplc="71CC2DE8">
      <w:start w:val="1"/>
      <w:numFmt w:val="bullet"/>
      <w:pStyle w:val="HighlightBulletRed"/>
      <w:lvlText w:val=""/>
      <w:lvlJc w:val="left"/>
      <w:pPr>
        <w:tabs>
          <w:tab w:val="num" w:pos="567"/>
        </w:tabs>
        <w:ind w:left="567" w:hanging="567"/>
      </w:pPr>
      <w:rPr>
        <w:rFonts w:ascii="Wingdings" w:hAnsi="Wingdings" w:hint="default"/>
        <w:color w:val="FF0000"/>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F45BF3"/>
    <w:multiLevelType w:val="multilevel"/>
    <w:tmpl w:val="6B8C75B6"/>
    <w:lvl w:ilvl="0">
      <w:start w:val="1"/>
      <w:numFmt w:val="decimal"/>
      <w:lvlText w:val="%1"/>
      <w:lvlJc w:val="left"/>
      <w:pPr>
        <w:tabs>
          <w:tab w:val="num" w:pos="567"/>
        </w:tabs>
        <w:ind w:left="567" w:hanging="567"/>
      </w:pPr>
      <w:rPr>
        <w:rFonts w:cs="Times New Roman" w:hint="default"/>
        <w:b/>
        <w:i w:val="0"/>
        <w:color w:val="808080"/>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567"/>
        </w:tabs>
        <w:ind w:left="567" w:hanging="567"/>
      </w:pPr>
      <w:rPr>
        <w:rFonts w:cs="Times New Roman" w:hint="default"/>
      </w:rPr>
    </w:lvl>
    <w:lvl w:ilvl="3">
      <w:start w:val="1"/>
      <w:numFmt w:val="none"/>
      <w:suff w:val="nothing"/>
      <w:lvlText w:val=""/>
      <w:lvlJc w:val="left"/>
      <w:pPr>
        <w:ind w:left="284"/>
      </w:pPr>
      <w:rPr>
        <w:rFonts w:cs="Times New Roman" w:hint="default"/>
      </w:rPr>
    </w:lvl>
    <w:lvl w:ilvl="4">
      <w:start w:val="1"/>
      <w:numFmt w:val="none"/>
      <w:suff w:val="nothing"/>
      <w:lvlText w:val=""/>
      <w:lvlJc w:val="left"/>
      <w:pPr>
        <w:ind w:left="284"/>
      </w:pPr>
      <w:rPr>
        <w:rFonts w:cs="Times New Roman" w:hint="default"/>
      </w:rPr>
    </w:lvl>
    <w:lvl w:ilvl="5">
      <w:start w:val="1"/>
      <w:numFmt w:val="none"/>
      <w:lvlText w:val=""/>
      <w:lvlJc w:val="left"/>
      <w:pPr>
        <w:tabs>
          <w:tab w:val="num" w:pos="1436"/>
        </w:tabs>
        <w:ind w:left="1436" w:hanging="1152"/>
      </w:pPr>
      <w:rPr>
        <w:rFonts w:cs="Times New Roman" w:hint="default"/>
      </w:rPr>
    </w:lvl>
    <w:lvl w:ilvl="6">
      <w:start w:val="1"/>
      <w:numFmt w:val="upperLetter"/>
      <w:lvlText w:val="%7"/>
      <w:lvlJc w:val="right"/>
      <w:pPr>
        <w:tabs>
          <w:tab w:val="num" w:pos="284"/>
        </w:tabs>
        <w:ind w:left="284" w:hanging="284"/>
      </w:pPr>
      <w:rPr>
        <w:rFonts w:cs="Times New Roman" w:hint="default"/>
        <w:color w:val="808080"/>
      </w:rPr>
    </w:lvl>
    <w:lvl w:ilvl="7">
      <w:start w:val="1"/>
      <w:numFmt w:val="decimal"/>
      <w:lvlText w:val="%7.%8"/>
      <w:lvlJc w:val="left"/>
      <w:pPr>
        <w:tabs>
          <w:tab w:val="num" w:pos="1004"/>
        </w:tabs>
        <w:ind w:left="681" w:hanging="397"/>
      </w:pPr>
      <w:rPr>
        <w:rFonts w:cs="Times New Roman" w:hint="default"/>
      </w:rPr>
    </w:lvl>
    <w:lvl w:ilvl="8">
      <w:start w:val="1"/>
      <w:numFmt w:val="decimal"/>
      <w:lvlText w:val="%7.%8.%9"/>
      <w:lvlJc w:val="left"/>
      <w:pPr>
        <w:tabs>
          <w:tab w:val="num" w:pos="1364"/>
        </w:tabs>
        <w:ind w:left="851" w:hanging="567"/>
      </w:pPr>
      <w:rPr>
        <w:rFonts w:cs="Times New Roman" w:hint="default"/>
      </w:rPr>
    </w:lvl>
  </w:abstractNum>
  <w:abstractNum w:abstractNumId="6">
    <w:nsid w:val="0E1C0584"/>
    <w:multiLevelType w:val="singleLevel"/>
    <w:tmpl w:val="99CCA0BA"/>
    <w:lvl w:ilvl="0">
      <w:start w:val="1"/>
      <w:numFmt w:val="decimal"/>
      <w:pStyle w:val="Tablelistnumber"/>
      <w:lvlText w:val="%1."/>
      <w:lvlJc w:val="left"/>
      <w:pPr>
        <w:tabs>
          <w:tab w:val="num" w:pos="227"/>
        </w:tabs>
        <w:ind w:left="227" w:hanging="227"/>
      </w:pPr>
      <w:rPr>
        <w:rFonts w:cs="Times New Roman" w:hint="default"/>
      </w:rPr>
    </w:lvl>
  </w:abstractNum>
  <w:abstractNum w:abstractNumId="7">
    <w:nsid w:val="0FCD5BE7"/>
    <w:multiLevelType w:val="singleLevel"/>
    <w:tmpl w:val="1ECE39EA"/>
    <w:lvl w:ilvl="0">
      <w:start w:val="1"/>
      <w:numFmt w:val="bullet"/>
      <w:pStyle w:val="KeyPoints"/>
      <w:lvlText w:val=""/>
      <w:lvlJc w:val="left"/>
      <w:pPr>
        <w:tabs>
          <w:tab w:val="num" w:pos="360"/>
        </w:tabs>
        <w:ind w:left="284" w:hanging="284"/>
      </w:pPr>
      <w:rPr>
        <w:rFonts w:ascii="Symbol" w:hAnsi="Symbol" w:hint="default"/>
        <w:b/>
        <w:i w:val="0"/>
        <w:color w:val="808080"/>
      </w:rPr>
    </w:lvl>
  </w:abstractNum>
  <w:abstractNum w:abstractNumId="8">
    <w:nsid w:val="10106066"/>
    <w:multiLevelType w:val="singleLevel"/>
    <w:tmpl w:val="BB50947A"/>
    <w:lvl w:ilvl="0">
      <w:start w:val="1"/>
      <w:numFmt w:val="bullet"/>
      <w:pStyle w:val="ChartListBullet2"/>
      <w:lvlText w:val="–"/>
      <w:lvlJc w:val="left"/>
      <w:pPr>
        <w:tabs>
          <w:tab w:val="num" w:pos="454"/>
        </w:tabs>
        <w:ind w:left="454" w:hanging="227"/>
      </w:pPr>
      <w:rPr>
        <w:rFonts w:ascii="Arial" w:hAnsi="Arial" w:hint="default"/>
        <w:sz w:val="18"/>
      </w:rPr>
    </w:lvl>
  </w:abstractNum>
  <w:abstractNum w:abstractNumId="9">
    <w:nsid w:val="10264171"/>
    <w:multiLevelType w:val="multilevel"/>
    <w:tmpl w:val="15501856"/>
    <w:lvl w:ilvl="0">
      <w:start w:val="1"/>
      <w:numFmt w:val="decimal"/>
      <w:lvlText w:val="%1"/>
      <w:lvlJc w:val="right"/>
      <w:pPr>
        <w:tabs>
          <w:tab w:val="num" w:pos="0"/>
        </w:tabs>
        <w:ind w:hanging="284"/>
      </w:pPr>
      <w:rPr>
        <w:rFonts w:cs="Times New Roman" w:hint="default"/>
        <w:b/>
        <w:i w:val="0"/>
        <w:color w:val="7F7267"/>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567"/>
        </w:tabs>
        <w:ind w:left="567" w:hanging="567"/>
      </w:pPr>
      <w:rPr>
        <w:rFonts w:cs="Times New Roman" w:hint="default"/>
      </w:rPr>
    </w:lvl>
    <w:lvl w:ilvl="3">
      <w:start w:val="1"/>
      <w:numFmt w:val="none"/>
      <w:lvlRestart w:val="0"/>
      <w:suff w:val="nothing"/>
      <w:lvlText w:val=""/>
      <w:lvlJc w:val="left"/>
      <w:rPr>
        <w:rFonts w:cs="Times New Roman" w:hint="default"/>
      </w:rPr>
    </w:lvl>
    <w:lvl w:ilvl="4">
      <w:start w:val="1"/>
      <w:numFmt w:val="none"/>
      <w:lvlRestart w:val="0"/>
      <w:suff w:val="nothing"/>
      <w:lvlText w:val=""/>
      <w:lvlJc w:val="left"/>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upperLetter"/>
      <w:lvlRestart w:val="0"/>
      <w:lvlText w:val="%7"/>
      <w:lvlJc w:val="right"/>
      <w:pPr>
        <w:tabs>
          <w:tab w:val="num" w:pos="0"/>
        </w:tabs>
        <w:ind w:hanging="284"/>
      </w:pPr>
      <w:rPr>
        <w:rFonts w:cs="Times New Roman" w:hint="default"/>
        <w:b/>
        <w:i w:val="0"/>
        <w:color w:val="7F7267"/>
      </w:rPr>
    </w:lvl>
    <w:lvl w:ilvl="7">
      <w:start w:val="1"/>
      <w:numFmt w:val="decimal"/>
      <w:lvlText w:val="%7.%8"/>
      <w:lvlJc w:val="left"/>
      <w:pPr>
        <w:tabs>
          <w:tab w:val="num" w:pos="720"/>
        </w:tabs>
        <w:ind w:left="397" w:hanging="397"/>
      </w:pPr>
      <w:rPr>
        <w:rFonts w:cs="Times New Roman" w:hint="default"/>
      </w:rPr>
    </w:lvl>
    <w:lvl w:ilvl="8">
      <w:start w:val="1"/>
      <w:numFmt w:val="decimal"/>
      <w:lvlText w:val="%7.%8.%9"/>
      <w:lvlJc w:val="left"/>
      <w:pPr>
        <w:tabs>
          <w:tab w:val="num" w:pos="1080"/>
        </w:tabs>
        <w:ind w:left="567" w:hanging="567"/>
      </w:pPr>
      <w:rPr>
        <w:rFonts w:cs="Times New Roman" w:hint="default"/>
      </w:rPr>
    </w:lvl>
  </w:abstractNum>
  <w:abstractNum w:abstractNumId="10">
    <w:nsid w:val="10CF0732"/>
    <w:multiLevelType w:val="multilevel"/>
    <w:tmpl w:val="9CA85AF8"/>
    <w:lvl w:ilvl="0">
      <w:start w:val="1"/>
      <w:numFmt w:val="decimal"/>
      <w:lvlText w:val="%1"/>
      <w:lvlJc w:val="left"/>
      <w:pPr>
        <w:tabs>
          <w:tab w:val="num" w:pos="567"/>
        </w:tabs>
        <w:ind w:left="567" w:hanging="567"/>
      </w:pPr>
      <w:rPr>
        <w:rFonts w:cs="Times New Roman" w:hint="default"/>
        <w:b/>
        <w:i w:val="0"/>
        <w:color w:val="808080"/>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364"/>
        </w:tabs>
        <w:ind w:left="851" w:hanging="567"/>
      </w:pPr>
      <w:rPr>
        <w:rFonts w:cs="Times New Roman" w:hint="default"/>
      </w:rPr>
    </w:lvl>
    <w:lvl w:ilvl="3">
      <w:start w:val="1"/>
      <w:numFmt w:val="none"/>
      <w:suff w:val="nothing"/>
      <w:lvlText w:val=""/>
      <w:lvlJc w:val="left"/>
      <w:pPr>
        <w:ind w:left="284"/>
      </w:pPr>
      <w:rPr>
        <w:rFonts w:cs="Times New Roman" w:hint="default"/>
      </w:rPr>
    </w:lvl>
    <w:lvl w:ilvl="4">
      <w:start w:val="1"/>
      <w:numFmt w:val="none"/>
      <w:suff w:val="nothing"/>
      <w:lvlText w:val=""/>
      <w:lvlJc w:val="left"/>
      <w:pPr>
        <w:ind w:left="284"/>
      </w:pPr>
      <w:rPr>
        <w:rFonts w:cs="Times New Roman" w:hint="default"/>
      </w:rPr>
    </w:lvl>
    <w:lvl w:ilvl="5">
      <w:start w:val="1"/>
      <w:numFmt w:val="none"/>
      <w:lvlText w:val=""/>
      <w:lvlJc w:val="left"/>
      <w:pPr>
        <w:tabs>
          <w:tab w:val="num" w:pos="1436"/>
        </w:tabs>
        <w:ind w:left="1436" w:hanging="1152"/>
      </w:pPr>
      <w:rPr>
        <w:rFonts w:cs="Times New Roman" w:hint="default"/>
      </w:rPr>
    </w:lvl>
    <w:lvl w:ilvl="6">
      <w:start w:val="1"/>
      <w:numFmt w:val="upperLetter"/>
      <w:lvlText w:val="%7"/>
      <w:lvlJc w:val="right"/>
      <w:pPr>
        <w:tabs>
          <w:tab w:val="num" w:pos="284"/>
        </w:tabs>
        <w:ind w:left="284" w:hanging="284"/>
      </w:pPr>
      <w:rPr>
        <w:rFonts w:cs="Times New Roman" w:hint="default"/>
        <w:color w:val="808080"/>
      </w:rPr>
    </w:lvl>
    <w:lvl w:ilvl="7">
      <w:start w:val="1"/>
      <w:numFmt w:val="decimal"/>
      <w:lvlText w:val="%7.%8"/>
      <w:lvlJc w:val="left"/>
      <w:pPr>
        <w:tabs>
          <w:tab w:val="num" w:pos="1004"/>
        </w:tabs>
        <w:ind w:left="681" w:hanging="397"/>
      </w:pPr>
      <w:rPr>
        <w:rFonts w:cs="Times New Roman" w:hint="default"/>
      </w:rPr>
    </w:lvl>
    <w:lvl w:ilvl="8">
      <w:start w:val="1"/>
      <w:numFmt w:val="decimal"/>
      <w:lvlText w:val="%7.%8.%9"/>
      <w:lvlJc w:val="left"/>
      <w:pPr>
        <w:tabs>
          <w:tab w:val="num" w:pos="1364"/>
        </w:tabs>
        <w:ind w:left="851" w:hanging="567"/>
      </w:pPr>
      <w:rPr>
        <w:rFonts w:cs="Times New Roman" w:hint="default"/>
      </w:rPr>
    </w:lvl>
  </w:abstractNum>
  <w:abstractNum w:abstractNumId="11">
    <w:nsid w:val="141B01A7"/>
    <w:multiLevelType w:val="singleLevel"/>
    <w:tmpl w:val="065AED62"/>
    <w:lvl w:ilvl="0">
      <w:start w:val="1"/>
      <w:numFmt w:val="decimal"/>
      <w:pStyle w:val="ChartListNumber"/>
      <w:lvlText w:val="%1."/>
      <w:lvlJc w:val="left"/>
      <w:pPr>
        <w:tabs>
          <w:tab w:val="num" w:pos="227"/>
        </w:tabs>
        <w:ind w:left="227" w:hanging="227"/>
      </w:pPr>
      <w:rPr>
        <w:rFonts w:cs="Times New Roman" w:hint="default"/>
      </w:rPr>
    </w:lvl>
  </w:abstractNum>
  <w:abstractNum w:abstractNumId="12">
    <w:nsid w:val="174F7869"/>
    <w:multiLevelType w:val="multilevel"/>
    <w:tmpl w:val="4FA28044"/>
    <w:lvl w:ilvl="0">
      <w:start w:val="1"/>
      <w:numFmt w:val="decimal"/>
      <w:lvlText w:val="%1"/>
      <w:lvlJc w:val="right"/>
      <w:pPr>
        <w:tabs>
          <w:tab w:val="num" w:pos="0"/>
        </w:tabs>
        <w:ind w:hanging="284"/>
      </w:pPr>
      <w:rPr>
        <w:rFonts w:cs="Times New Roman" w:hint="default"/>
        <w:b/>
        <w:i w:val="0"/>
        <w:color w:val="7F7267"/>
      </w:rPr>
    </w:lvl>
    <w:lvl w:ilvl="1">
      <w:start w:val="1"/>
      <w:numFmt w:val="decimal"/>
      <w:lvlText w:val="%1.%2"/>
      <w:lvlJc w:val="left"/>
      <w:pPr>
        <w:tabs>
          <w:tab w:val="num" w:pos="720"/>
        </w:tabs>
        <w:ind w:left="397" w:hanging="397"/>
      </w:pPr>
      <w:rPr>
        <w:rFonts w:cs="Times New Roman" w:hint="default"/>
      </w:rPr>
    </w:lvl>
    <w:lvl w:ilvl="2">
      <w:start w:val="1"/>
      <w:numFmt w:val="decimal"/>
      <w:lvlText w:val="%1.%2.%3"/>
      <w:lvlJc w:val="left"/>
      <w:pPr>
        <w:tabs>
          <w:tab w:val="num" w:pos="567"/>
        </w:tabs>
        <w:ind w:left="567" w:hanging="567"/>
      </w:pPr>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upperLetter"/>
      <w:lvlText w:val="%7"/>
      <w:lvlJc w:val="right"/>
      <w:pPr>
        <w:tabs>
          <w:tab w:val="num" w:pos="0"/>
        </w:tabs>
        <w:ind w:hanging="284"/>
      </w:pPr>
      <w:rPr>
        <w:rFonts w:cs="Times New Roman" w:hint="default"/>
        <w:color w:val="808080"/>
      </w:rPr>
    </w:lvl>
    <w:lvl w:ilvl="7">
      <w:start w:val="1"/>
      <w:numFmt w:val="decimal"/>
      <w:lvlText w:val="%7.%8"/>
      <w:lvlJc w:val="left"/>
      <w:pPr>
        <w:tabs>
          <w:tab w:val="num" w:pos="720"/>
        </w:tabs>
        <w:ind w:left="397" w:hanging="397"/>
      </w:pPr>
      <w:rPr>
        <w:rFonts w:cs="Times New Roman" w:hint="default"/>
      </w:rPr>
    </w:lvl>
    <w:lvl w:ilvl="8">
      <w:start w:val="1"/>
      <w:numFmt w:val="decimal"/>
      <w:lvlText w:val="%7.%8.%9"/>
      <w:lvlJc w:val="left"/>
      <w:pPr>
        <w:tabs>
          <w:tab w:val="num" w:pos="1080"/>
        </w:tabs>
        <w:ind w:left="567" w:hanging="567"/>
      </w:pPr>
      <w:rPr>
        <w:rFonts w:cs="Times New Roman" w:hint="default"/>
      </w:rPr>
    </w:lvl>
  </w:abstractNum>
  <w:abstractNum w:abstractNumId="13">
    <w:nsid w:val="179571C7"/>
    <w:multiLevelType w:val="multilevel"/>
    <w:tmpl w:val="524EDAD0"/>
    <w:lvl w:ilvl="0">
      <w:start w:val="1"/>
      <w:numFmt w:val="decimal"/>
      <w:lvlText w:val="%1"/>
      <w:lvlJc w:val="left"/>
      <w:pPr>
        <w:tabs>
          <w:tab w:val="num" w:pos="567"/>
        </w:tabs>
        <w:ind w:left="567" w:hanging="567"/>
      </w:pPr>
      <w:rPr>
        <w:rFonts w:cs="Times New Roman" w:hint="default"/>
        <w:b/>
        <w:i w:val="0"/>
        <w:color w:val="808080"/>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567"/>
        </w:tabs>
        <w:ind w:left="567" w:hanging="567"/>
      </w:pPr>
      <w:rPr>
        <w:rFonts w:cs="Times New Roman" w:hint="default"/>
      </w:rPr>
    </w:lvl>
    <w:lvl w:ilvl="3">
      <w:start w:val="1"/>
      <w:numFmt w:val="none"/>
      <w:suff w:val="nothing"/>
      <w:lvlText w:val=""/>
      <w:lvlJc w:val="left"/>
      <w:pPr>
        <w:ind w:left="284"/>
      </w:pPr>
      <w:rPr>
        <w:rFonts w:cs="Times New Roman" w:hint="default"/>
      </w:rPr>
    </w:lvl>
    <w:lvl w:ilvl="4">
      <w:start w:val="1"/>
      <w:numFmt w:val="none"/>
      <w:suff w:val="nothing"/>
      <w:lvlText w:val=""/>
      <w:lvlJc w:val="left"/>
      <w:pPr>
        <w:ind w:left="284"/>
      </w:pPr>
      <w:rPr>
        <w:rFonts w:cs="Times New Roman" w:hint="default"/>
      </w:rPr>
    </w:lvl>
    <w:lvl w:ilvl="5">
      <w:start w:val="1"/>
      <w:numFmt w:val="none"/>
      <w:lvlText w:val=""/>
      <w:lvlJc w:val="left"/>
      <w:pPr>
        <w:tabs>
          <w:tab w:val="num" w:pos="1436"/>
        </w:tabs>
        <w:ind w:left="1436" w:hanging="1152"/>
      </w:pPr>
      <w:rPr>
        <w:rFonts w:cs="Times New Roman" w:hint="default"/>
      </w:rPr>
    </w:lvl>
    <w:lvl w:ilvl="6">
      <w:start w:val="1"/>
      <w:numFmt w:val="upperLetter"/>
      <w:lvlText w:val="%7"/>
      <w:lvlJc w:val="left"/>
      <w:pPr>
        <w:tabs>
          <w:tab w:val="num" w:pos="567"/>
        </w:tabs>
        <w:ind w:left="567" w:hanging="567"/>
      </w:pPr>
      <w:rPr>
        <w:rFonts w:cs="Times New Roman" w:hint="default"/>
        <w:color w:val="808080"/>
      </w:rPr>
    </w:lvl>
    <w:lvl w:ilvl="7">
      <w:start w:val="1"/>
      <w:numFmt w:val="decimal"/>
      <w:lvlText w:val="%7.%8"/>
      <w:lvlJc w:val="left"/>
      <w:pPr>
        <w:tabs>
          <w:tab w:val="num" w:pos="567"/>
        </w:tabs>
        <w:ind w:left="567" w:hanging="567"/>
      </w:pPr>
      <w:rPr>
        <w:rFonts w:cs="Times New Roman" w:hint="default"/>
      </w:rPr>
    </w:lvl>
    <w:lvl w:ilvl="8">
      <w:start w:val="1"/>
      <w:numFmt w:val="decimal"/>
      <w:lvlText w:val="%7.%8.%9"/>
      <w:lvlJc w:val="left"/>
      <w:pPr>
        <w:tabs>
          <w:tab w:val="num" w:pos="1364"/>
        </w:tabs>
        <w:ind w:left="851" w:hanging="567"/>
      </w:pPr>
      <w:rPr>
        <w:rFonts w:cs="Times New Roman" w:hint="default"/>
      </w:rPr>
    </w:lvl>
  </w:abstractNum>
  <w:abstractNum w:abstractNumId="14">
    <w:nsid w:val="209B02A7"/>
    <w:multiLevelType w:val="singleLevel"/>
    <w:tmpl w:val="A538EF8C"/>
    <w:lvl w:ilvl="0">
      <w:start w:val="1"/>
      <w:numFmt w:val="bullet"/>
      <w:pStyle w:val="ListBullet2"/>
      <w:lvlText w:val="–"/>
      <w:lvlJc w:val="left"/>
      <w:pPr>
        <w:tabs>
          <w:tab w:val="num" w:pos="644"/>
        </w:tabs>
        <w:ind w:left="567" w:hanging="283"/>
      </w:pPr>
      <w:rPr>
        <w:rFonts w:ascii="Garamond" w:hAnsi="Garamond" w:hint="default"/>
        <w:sz w:val="25"/>
      </w:rPr>
    </w:lvl>
  </w:abstractNum>
  <w:abstractNum w:abstractNumId="15">
    <w:nsid w:val="23594595"/>
    <w:multiLevelType w:val="multilevel"/>
    <w:tmpl w:val="6F16FC36"/>
    <w:lvl w:ilvl="0">
      <w:start w:val="1"/>
      <w:numFmt w:val="decimal"/>
      <w:lvlText w:val="%1"/>
      <w:lvlJc w:val="left"/>
      <w:pPr>
        <w:tabs>
          <w:tab w:val="num" w:pos="680"/>
        </w:tabs>
        <w:ind w:left="680" w:hanging="680"/>
      </w:pPr>
      <w:rPr>
        <w:rFonts w:cs="Times New Roman"/>
      </w:rPr>
    </w:lvl>
    <w:lvl w:ilvl="1">
      <w:start w:val="1"/>
      <w:numFmt w:val="none"/>
      <w:suff w:val="nothing"/>
      <w:lvlText w:val=""/>
      <w:lvlJc w:val="left"/>
      <w:rPr>
        <w:rFonts w:cs="Times New Roman"/>
      </w:rPr>
    </w:lvl>
    <w:lvl w:ilvl="2">
      <w:start w:val="1"/>
      <w:numFmt w:val="decimal"/>
      <w:suff w:val="nothing"/>
      <w:lvlText w:val="%3."/>
      <w:lvlJc w:val="left"/>
      <w:rPr>
        <w:rFonts w:cs="Times New Roman"/>
      </w:rPr>
    </w:lvl>
    <w:lvl w:ilvl="3">
      <w:start w:val="1"/>
      <w:numFmt w:val="none"/>
      <w:suff w:val="nothing"/>
      <w:lvlText w:val=""/>
      <w:lvlJc w:val="left"/>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24551AA1"/>
    <w:multiLevelType w:val="multilevel"/>
    <w:tmpl w:val="50E8539A"/>
    <w:lvl w:ilvl="0">
      <w:start w:val="1"/>
      <w:numFmt w:val="decimal"/>
      <w:lvlText w:val="%1"/>
      <w:lvlJc w:val="left"/>
      <w:pPr>
        <w:tabs>
          <w:tab w:val="num" w:pos="284"/>
        </w:tabs>
        <w:ind w:left="284" w:hanging="284"/>
      </w:pPr>
      <w:rPr>
        <w:rFonts w:cs="Times New Roman" w:hint="default"/>
        <w:b/>
        <w:i w:val="0"/>
        <w:color w:val="808080"/>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364"/>
        </w:tabs>
        <w:ind w:left="851" w:hanging="567"/>
      </w:pPr>
      <w:rPr>
        <w:rFonts w:cs="Times New Roman" w:hint="default"/>
      </w:rPr>
    </w:lvl>
    <w:lvl w:ilvl="3">
      <w:start w:val="1"/>
      <w:numFmt w:val="none"/>
      <w:suff w:val="nothing"/>
      <w:lvlText w:val=""/>
      <w:lvlJc w:val="left"/>
      <w:pPr>
        <w:ind w:left="284"/>
      </w:pPr>
      <w:rPr>
        <w:rFonts w:cs="Times New Roman" w:hint="default"/>
      </w:rPr>
    </w:lvl>
    <w:lvl w:ilvl="4">
      <w:start w:val="1"/>
      <w:numFmt w:val="none"/>
      <w:suff w:val="nothing"/>
      <w:lvlText w:val=""/>
      <w:lvlJc w:val="left"/>
      <w:pPr>
        <w:ind w:left="284"/>
      </w:pPr>
      <w:rPr>
        <w:rFonts w:cs="Times New Roman" w:hint="default"/>
      </w:rPr>
    </w:lvl>
    <w:lvl w:ilvl="5">
      <w:start w:val="1"/>
      <w:numFmt w:val="none"/>
      <w:lvlText w:val=""/>
      <w:lvlJc w:val="left"/>
      <w:pPr>
        <w:tabs>
          <w:tab w:val="num" w:pos="1436"/>
        </w:tabs>
        <w:ind w:left="1436" w:hanging="1152"/>
      </w:pPr>
      <w:rPr>
        <w:rFonts w:cs="Times New Roman" w:hint="default"/>
      </w:rPr>
    </w:lvl>
    <w:lvl w:ilvl="6">
      <w:start w:val="1"/>
      <w:numFmt w:val="upperLetter"/>
      <w:lvlText w:val="%7"/>
      <w:lvlJc w:val="right"/>
      <w:pPr>
        <w:tabs>
          <w:tab w:val="num" w:pos="284"/>
        </w:tabs>
        <w:ind w:left="284" w:hanging="284"/>
      </w:pPr>
      <w:rPr>
        <w:rFonts w:cs="Times New Roman" w:hint="default"/>
        <w:color w:val="808080"/>
      </w:rPr>
    </w:lvl>
    <w:lvl w:ilvl="7">
      <w:start w:val="1"/>
      <w:numFmt w:val="decimal"/>
      <w:lvlText w:val="%7.%8"/>
      <w:lvlJc w:val="left"/>
      <w:pPr>
        <w:tabs>
          <w:tab w:val="num" w:pos="1004"/>
        </w:tabs>
        <w:ind w:left="681" w:hanging="397"/>
      </w:pPr>
      <w:rPr>
        <w:rFonts w:cs="Times New Roman" w:hint="default"/>
      </w:rPr>
    </w:lvl>
    <w:lvl w:ilvl="8">
      <w:start w:val="1"/>
      <w:numFmt w:val="decimal"/>
      <w:lvlText w:val="%7.%8.%9"/>
      <w:lvlJc w:val="left"/>
      <w:pPr>
        <w:tabs>
          <w:tab w:val="num" w:pos="1364"/>
        </w:tabs>
        <w:ind w:left="851" w:hanging="567"/>
      </w:pPr>
      <w:rPr>
        <w:rFonts w:cs="Times New Roman" w:hint="default"/>
      </w:rPr>
    </w:lvl>
  </w:abstractNum>
  <w:abstractNum w:abstractNumId="17">
    <w:nsid w:val="29EB546C"/>
    <w:multiLevelType w:val="multilevel"/>
    <w:tmpl w:val="ADE6FCA2"/>
    <w:lvl w:ilvl="0">
      <w:start w:val="1"/>
      <w:numFmt w:val="decimal"/>
      <w:lvlText w:val="%1"/>
      <w:lvlJc w:val="right"/>
      <w:pPr>
        <w:tabs>
          <w:tab w:val="num" w:pos="0"/>
        </w:tabs>
        <w:ind w:hanging="284"/>
      </w:pPr>
      <w:rPr>
        <w:rFonts w:cs="Times New Roman" w:hint="default"/>
        <w:b/>
        <w:i w:val="0"/>
        <w:color w:val="7F7267"/>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567"/>
        </w:tabs>
        <w:ind w:left="567" w:hanging="567"/>
      </w:pPr>
      <w:rPr>
        <w:rFonts w:cs="Times New Roman" w:hint="default"/>
      </w:rPr>
    </w:lvl>
    <w:lvl w:ilvl="3">
      <w:start w:val="1"/>
      <w:numFmt w:val="none"/>
      <w:lvlRestart w:val="0"/>
      <w:suff w:val="nothing"/>
      <w:lvlText w:val=""/>
      <w:lvlJc w:val="left"/>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lvlText w:val=""/>
      <w:lvlJc w:val="left"/>
      <w:pPr>
        <w:tabs>
          <w:tab w:val="num" w:pos="1152"/>
        </w:tabs>
        <w:ind w:left="1152" w:hanging="1152"/>
      </w:pPr>
      <w:rPr>
        <w:rFonts w:cs="Times New Roman" w:hint="default"/>
      </w:rPr>
    </w:lvl>
    <w:lvl w:ilvl="6">
      <w:start w:val="1"/>
      <w:numFmt w:val="upperLetter"/>
      <w:lvlRestart w:val="0"/>
      <w:lvlText w:val="%7"/>
      <w:lvlJc w:val="right"/>
      <w:pPr>
        <w:tabs>
          <w:tab w:val="num" w:pos="0"/>
        </w:tabs>
        <w:ind w:hanging="284"/>
      </w:pPr>
      <w:rPr>
        <w:rFonts w:cs="Times New Roman" w:hint="default"/>
        <w:b/>
        <w:i w:val="0"/>
        <w:color w:val="7F7267"/>
      </w:rPr>
    </w:lvl>
    <w:lvl w:ilvl="7">
      <w:start w:val="1"/>
      <w:numFmt w:val="decimal"/>
      <w:lvlText w:val="%7.%8"/>
      <w:lvlJc w:val="left"/>
      <w:pPr>
        <w:tabs>
          <w:tab w:val="num" w:pos="720"/>
        </w:tabs>
        <w:ind w:left="397" w:hanging="397"/>
      </w:pPr>
      <w:rPr>
        <w:rFonts w:cs="Times New Roman" w:hint="default"/>
      </w:rPr>
    </w:lvl>
    <w:lvl w:ilvl="8">
      <w:start w:val="1"/>
      <w:numFmt w:val="decimal"/>
      <w:lvlText w:val="%7.%8.%9"/>
      <w:lvlJc w:val="left"/>
      <w:pPr>
        <w:tabs>
          <w:tab w:val="num" w:pos="1080"/>
        </w:tabs>
        <w:ind w:left="567" w:hanging="567"/>
      </w:pPr>
      <w:rPr>
        <w:rFonts w:cs="Times New Roman" w:hint="default"/>
      </w:rPr>
    </w:lvl>
  </w:abstractNum>
  <w:abstractNum w:abstractNumId="18">
    <w:nsid w:val="2B953D92"/>
    <w:multiLevelType w:val="singleLevel"/>
    <w:tmpl w:val="485C60EC"/>
    <w:lvl w:ilvl="0">
      <w:start w:val="1"/>
      <w:numFmt w:val="bullet"/>
      <w:pStyle w:val="Tablelistbullet"/>
      <w:lvlText w:val="•"/>
      <w:lvlJc w:val="left"/>
      <w:pPr>
        <w:tabs>
          <w:tab w:val="num" w:pos="227"/>
        </w:tabs>
        <w:ind w:left="227" w:hanging="227"/>
      </w:pPr>
      <w:rPr>
        <w:rFonts w:ascii="Arial" w:hAnsi="Arial" w:hint="default"/>
      </w:rPr>
    </w:lvl>
  </w:abstractNum>
  <w:abstractNum w:abstractNumId="19">
    <w:nsid w:val="2BA92617"/>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2D8502EA"/>
    <w:multiLevelType w:val="singleLevel"/>
    <w:tmpl w:val="C3760A7E"/>
    <w:lvl w:ilvl="0">
      <w:start w:val="1"/>
      <w:numFmt w:val="decimal"/>
      <w:pStyle w:val="BoxListNumber"/>
      <w:lvlText w:val="%1"/>
      <w:lvlJc w:val="left"/>
      <w:pPr>
        <w:tabs>
          <w:tab w:val="num" w:pos="445"/>
        </w:tabs>
        <w:ind w:left="369" w:hanging="284"/>
      </w:pPr>
      <w:rPr>
        <w:rFonts w:cs="Times New Roman" w:hint="default"/>
      </w:rPr>
    </w:lvl>
  </w:abstractNum>
  <w:abstractNum w:abstractNumId="21">
    <w:nsid w:val="31721E67"/>
    <w:multiLevelType w:val="multilevel"/>
    <w:tmpl w:val="341A1E92"/>
    <w:lvl w:ilvl="0">
      <w:start w:val="1"/>
      <w:numFmt w:val="decimal"/>
      <w:lvlText w:val="%1."/>
      <w:lvlJc w:val="left"/>
      <w:pPr>
        <w:tabs>
          <w:tab w:val="num" w:pos="2880"/>
        </w:tabs>
        <w:ind w:left="2880" w:hanging="360"/>
      </w:pPr>
      <w:rPr>
        <w:rFonts w:cs="Times New Roman" w:hint="default"/>
      </w:rPr>
    </w:lvl>
    <w:lvl w:ilvl="1">
      <w:start w:val="5"/>
      <w:numFmt w:val="decimal"/>
      <w:isLgl/>
      <w:lvlText w:val="%1.%2"/>
      <w:lvlJc w:val="left"/>
      <w:pPr>
        <w:tabs>
          <w:tab w:val="num" w:pos="2880"/>
        </w:tabs>
        <w:ind w:left="2880" w:hanging="360"/>
      </w:pPr>
      <w:rPr>
        <w:rFonts w:cs="Times New Roman" w:hint="default"/>
      </w:rPr>
    </w:lvl>
    <w:lvl w:ilvl="2">
      <w:start w:val="1"/>
      <w:numFmt w:val="decimal"/>
      <w:isLgl/>
      <w:lvlText w:val="%1.%2.%3"/>
      <w:lvlJc w:val="left"/>
      <w:pPr>
        <w:tabs>
          <w:tab w:val="num" w:pos="3240"/>
        </w:tabs>
        <w:ind w:left="324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3600"/>
        </w:tabs>
        <w:ind w:left="3600" w:hanging="1080"/>
      </w:pPr>
      <w:rPr>
        <w:rFonts w:cs="Times New Roman" w:hint="default"/>
      </w:rPr>
    </w:lvl>
    <w:lvl w:ilvl="5">
      <w:start w:val="1"/>
      <w:numFmt w:val="decimal"/>
      <w:isLgl/>
      <w:lvlText w:val="%1.%2.%3.%4.%5.%6"/>
      <w:lvlJc w:val="left"/>
      <w:pPr>
        <w:tabs>
          <w:tab w:val="num" w:pos="3600"/>
        </w:tabs>
        <w:ind w:left="3600" w:hanging="108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800"/>
      </w:pPr>
      <w:rPr>
        <w:rFonts w:cs="Times New Roman" w:hint="default"/>
      </w:rPr>
    </w:lvl>
  </w:abstractNum>
  <w:abstractNum w:abstractNumId="22">
    <w:nsid w:val="38667170"/>
    <w:multiLevelType w:val="singleLevel"/>
    <w:tmpl w:val="EEC227AC"/>
    <w:lvl w:ilvl="0">
      <w:start w:val="1"/>
      <w:numFmt w:val="bullet"/>
      <w:pStyle w:val="ListBullet"/>
      <w:lvlText w:val=""/>
      <w:lvlJc w:val="left"/>
      <w:pPr>
        <w:ind w:left="360" w:hanging="360"/>
      </w:pPr>
      <w:rPr>
        <w:rFonts w:ascii="Wingdings" w:hAnsi="Wingdings" w:hint="default"/>
        <w:sz w:val="18"/>
      </w:rPr>
    </w:lvl>
  </w:abstractNum>
  <w:abstractNum w:abstractNumId="23">
    <w:nsid w:val="399A0F42"/>
    <w:multiLevelType w:val="singleLevel"/>
    <w:tmpl w:val="601EE8BE"/>
    <w:lvl w:ilvl="0">
      <w:start w:val="1"/>
      <w:numFmt w:val="decimal"/>
      <w:pStyle w:val="Equation"/>
      <w:lvlText w:val="(%1)"/>
      <w:lvlJc w:val="left"/>
      <w:pPr>
        <w:tabs>
          <w:tab w:val="num" w:pos="567"/>
        </w:tabs>
        <w:ind w:left="567" w:hanging="567"/>
      </w:pPr>
      <w:rPr>
        <w:rFonts w:cs="Times New Roman"/>
      </w:rPr>
    </w:lvl>
  </w:abstractNum>
  <w:abstractNum w:abstractNumId="24">
    <w:nsid w:val="3AFD49CA"/>
    <w:multiLevelType w:val="multilevel"/>
    <w:tmpl w:val="EECA5526"/>
    <w:lvl w:ilvl="0">
      <w:start w:val="1"/>
      <w:numFmt w:val="decimal"/>
      <w:lvlText w:val="%1"/>
      <w:lvlJc w:val="right"/>
      <w:pPr>
        <w:tabs>
          <w:tab w:val="num" w:pos="0"/>
        </w:tabs>
        <w:ind w:hanging="284"/>
      </w:pPr>
      <w:rPr>
        <w:rFonts w:cs="Times New Roman" w:hint="default"/>
        <w:b/>
        <w:i w:val="0"/>
        <w:color w:val="7F7267"/>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080"/>
        </w:tabs>
        <w:ind w:left="567" w:hanging="567"/>
      </w:pPr>
      <w:rPr>
        <w:rFonts w:cs="Times New Roman" w:hint="default"/>
      </w:rPr>
    </w:lvl>
    <w:lvl w:ilvl="3">
      <w:start w:val="1"/>
      <w:numFmt w:val="none"/>
      <w:lvlRestart w:val="0"/>
      <w:suff w:val="nothing"/>
      <w:lvlText w:val=""/>
      <w:lvlJc w:val="left"/>
      <w:rPr>
        <w:rFonts w:cs="Times New Roman" w:hint="default"/>
      </w:rPr>
    </w:lvl>
    <w:lvl w:ilvl="4">
      <w:start w:val="1"/>
      <w:numFmt w:val="none"/>
      <w:lvlRestart w:val="0"/>
      <w:suff w:val="nothing"/>
      <w:lvlText w:val=""/>
      <w:lvlJc w:val="left"/>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upperLetter"/>
      <w:lvlRestart w:val="0"/>
      <w:lvlText w:val="%7"/>
      <w:lvlJc w:val="right"/>
      <w:pPr>
        <w:tabs>
          <w:tab w:val="num" w:pos="0"/>
        </w:tabs>
        <w:ind w:hanging="284"/>
      </w:pPr>
      <w:rPr>
        <w:rFonts w:cs="Times New Roman" w:hint="default"/>
        <w:b/>
        <w:i w:val="0"/>
        <w:color w:val="7F7267"/>
      </w:rPr>
    </w:lvl>
    <w:lvl w:ilvl="7">
      <w:start w:val="1"/>
      <w:numFmt w:val="decimal"/>
      <w:lvlText w:val="%7.%8"/>
      <w:lvlJc w:val="left"/>
      <w:pPr>
        <w:tabs>
          <w:tab w:val="num" w:pos="720"/>
        </w:tabs>
        <w:ind w:left="397" w:hanging="397"/>
      </w:pPr>
      <w:rPr>
        <w:rFonts w:cs="Times New Roman" w:hint="default"/>
      </w:rPr>
    </w:lvl>
    <w:lvl w:ilvl="8">
      <w:start w:val="1"/>
      <w:numFmt w:val="decimal"/>
      <w:lvlText w:val="%7.%8.%9"/>
      <w:lvlJc w:val="left"/>
      <w:pPr>
        <w:tabs>
          <w:tab w:val="num" w:pos="1080"/>
        </w:tabs>
        <w:ind w:left="567" w:hanging="567"/>
      </w:pPr>
      <w:rPr>
        <w:rFonts w:cs="Times New Roman" w:hint="default"/>
      </w:rPr>
    </w:lvl>
  </w:abstractNum>
  <w:abstractNum w:abstractNumId="25">
    <w:nsid w:val="3B5B56F5"/>
    <w:multiLevelType w:val="hybridMultilevel"/>
    <w:tmpl w:val="687A744C"/>
    <w:lvl w:ilvl="0" w:tplc="FFFFFFFF">
      <w:start w:val="1"/>
      <w:numFmt w:val="bullet"/>
      <w:pStyle w:val="ChartListBullet"/>
      <w:lvlText w:val="•"/>
      <w:lvlJc w:val="left"/>
      <w:pPr>
        <w:tabs>
          <w:tab w:val="num" w:pos="227"/>
        </w:tabs>
        <w:ind w:left="227" w:hanging="227"/>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3EA0395B"/>
    <w:multiLevelType w:val="multilevel"/>
    <w:tmpl w:val="EECA5526"/>
    <w:lvl w:ilvl="0">
      <w:start w:val="1"/>
      <w:numFmt w:val="decimal"/>
      <w:lvlText w:val="%1"/>
      <w:lvlJc w:val="right"/>
      <w:pPr>
        <w:tabs>
          <w:tab w:val="num" w:pos="0"/>
        </w:tabs>
        <w:ind w:hanging="284"/>
      </w:pPr>
      <w:rPr>
        <w:rFonts w:cs="Times New Roman" w:hint="default"/>
        <w:b/>
        <w:i w:val="0"/>
        <w:color w:val="7F7267"/>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080"/>
        </w:tabs>
        <w:ind w:left="567" w:hanging="567"/>
      </w:pPr>
      <w:rPr>
        <w:rFonts w:cs="Times New Roman" w:hint="default"/>
      </w:rPr>
    </w:lvl>
    <w:lvl w:ilvl="3">
      <w:start w:val="1"/>
      <w:numFmt w:val="none"/>
      <w:lvlRestart w:val="0"/>
      <w:suff w:val="nothing"/>
      <w:lvlText w:val=""/>
      <w:lvlJc w:val="left"/>
      <w:rPr>
        <w:rFonts w:cs="Times New Roman" w:hint="default"/>
      </w:rPr>
    </w:lvl>
    <w:lvl w:ilvl="4">
      <w:start w:val="1"/>
      <w:numFmt w:val="none"/>
      <w:lvlRestart w:val="0"/>
      <w:suff w:val="nothing"/>
      <w:lvlText w:val=""/>
      <w:lvlJc w:val="left"/>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upperLetter"/>
      <w:lvlRestart w:val="0"/>
      <w:lvlText w:val="%7"/>
      <w:lvlJc w:val="right"/>
      <w:pPr>
        <w:tabs>
          <w:tab w:val="num" w:pos="0"/>
        </w:tabs>
        <w:ind w:hanging="284"/>
      </w:pPr>
      <w:rPr>
        <w:rFonts w:cs="Times New Roman" w:hint="default"/>
        <w:b/>
        <w:i w:val="0"/>
        <w:color w:val="7F7267"/>
      </w:rPr>
    </w:lvl>
    <w:lvl w:ilvl="7">
      <w:start w:val="1"/>
      <w:numFmt w:val="decimal"/>
      <w:lvlText w:val="%7.%8"/>
      <w:lvlJc w:val="left"/>
      <w:pPr>
        <w:tabs>
          <w:tab w:val="num" w:pos="720"/>
        </w:tabs>
        <w:ind w:left="397" w:hanging="397"/>
      </w:pPr>
      <w:rPr>
        <w:rFonts w:cs="Times New Roman" w:hint="default"/>
      </w:rPr>
    </w:lvl>
    <w:lvl w:ilvl="8">
      <w:start w:val="1"/>
      <w:numFmt w:val="decimal"/>
      <w:lvlText w:val="%7.%8.%9"/>
      <w:lvlJc w:val="left"/>
      <w:pPr>
        <w:tabs>
          <w:tab w:val="num" w:pos="1080"/>
        </w:tabs>
        <w:ind w:left="567" w:hanging="567"/>
      </w:pPr>
      <w:rPr>
        <w:rFonts w:cs="Times New Roman" w:hint="default"/>
      </w:rPr>
    </w:lvl>
  </w:abstractNum>
  <w:abstractNum w:abstractNumId="27">
    <w:nsid w:val="3F706E5D"/>
    <w:multiLevelType w:val="multilevel"/>
    <w:tmpl w:val="613A6D9C"/>
    <w:lvl w:ilvl="0">
      <w:start w:val="1"/>
      <w:numFmt w:val="decimal"/>
      <w:pStyle w:val="Heading1"/>
      <w:lvlText w:val="%1"/>
      <w:lvlJc w:val="left"/>
      <w:pPr>
        <w:tabs>
          <w:tab w:val="num" w:pos="567"/>
        </w:tabs>
        <w:ind w:left="567" w:hanging="567"/>
      </w:pPr>
      <w:rPr>
        <w:rFonts w:cs="Times New Roman" w:hint="default"/>
        <w:b/>
        <w:i w:val="0"/>
        <w:color w:val="808080"/>
      </w:rPr>
    </w:lvl>
    <w:lvl w:ilvl="1">
      <w:start w:val="1"/>
      <w:numFmt w:val="decimal"/>
      <w:pStyle w:val="Heading2"/>
      <w:lvlText w:val="%1.%2"/>
      <w:lvlJc w:val="left"/>
      <w:pPr>
        <w:tabs>
          <w:tab w:val="num" w:pos="567"/>
        </w:tabs>
        <w:ind w:left="567" w:hanging="567"/>
      </w:pPr>
      <w:rPr>
        <w:rFonts w:cs="Times New Roman" w:hint="default"/>
      </w:rPr>
    </w:lvl>
    <w:lvl w:ilvl="2">
      <w:start w:val="1"/>
      <w:numFmt w:val="decimal"/>
      <w:pStyle w:val="Heading3"/>
      <w:lvlText w:val="%1.%2.%3"/>
      <w:lvlJc w:val="left"/>
      <w:pPr>
        <w:tabs>
          <w:tab w:val="num" w:pos="567"/>
        </w:tabs>
        <w:ind w:left="567" w:hanging="567"/>
      </w:pPr>
      <w:rPr>
        <w:rFonts w:cs="Times New Roman" w:hint="default"/>
      </w:rPr>
    </w:lvl>
    <w:lvl w:ilvl="3">
      <w:start w:val="1"/>
      <w:numFmt w:val="none"/>
      <w:pStyle w:val="Heading4"/>
      <w:suff w:val="nothing"/>
      <w:lvlText w:val=""/>
      <w:lvlJc w:val="left"/>
      <w:pPr>
        <w:ind w:left="284"/>
      </w:pPr>
      <w:rPr>
        <w:rFonts w:cs="Times New Roman" w:hint="default"/>
      </w:rPr>
    </w:lvl>
    <w:lvl w:ilvl="4">
      <w:start w:val="1"/>
      <w:numFmt w:val="none"/>
      <w:pStyle w:val="Heading5"/>
      <w:suff w:val="nothing"/>
      <w:lvlText w:val=""/>
      <w:lvlJc w:val="left"/>
      <w:pPr>
        <w:ind w:left="284"/>
      </w:pPr>
      <w:rPr>
        <w:rFonts w:cs="Times New Roman" w:hint="default"/>
      </w:rPr>
    </w:lvl>
    <w:lvl w:ilvl="5">
      <w:start w:val="1"/>
      <w:numFmt w:val="none"/>
      <w:lvlText w:val=""/>
      <w:lvlJc w:val="left"/>
      <w:pPr>
        <w:tabs>
          <w:tab w:val="num" w:pos="1436"/>
        </w:tabs>
        <w:ind w:left="1436" w:hanging="1152"/>
      </w:pPr>
      <w:rPr>
        <w:rFonts w:cs="Times New Roman" w:hint="default"/>
      </w:rPr>
    </w:lvl>
    <w:lvl w:ilvl="6">
      <w:start w:val="1"/>
      <w:numFmt w:val="upperLetter"/>
      <w:pStyle w:val="Heading7"/>
      <w:lvlText w:val="%7"/>
      <w:lvlJc w:val="left"/>
      <w:pPr>
        <w:tabs>
          <w:tab w:val="num" w:pos="567"/>
        </w:tabs>
        <w:ind w:left="567" w:hanging="567"/>
      </w:pPr>
      <w:rPr>
        <w:rFonts w:cs="Times New Roman" w:hint="default"/>
        <w:color w:val="808080"/>
      </w:rPr>
    </w:lvl>
    <w:lvl w:ilvl="7">
      <w:start w:val="1"/>
      <w:numFmt w:val="decimal"/>
      <w:pStyle w:val="Heading8"/>
      <w:lvlText w:val="%7.%8"/>
      <w:lvlJc w:val="left"/>
      <w:pPr>
        <w:tabs>
          <w:tab w:val="num" w:pos="1004"/>
        </w:tabs>
        <w:ind w:left="681" w:hanging="397"/>
      </w:pPr>
      <w:rPr>
        <w:rFonts w:cs="Times New Roman" w:hint="default"/>
      </w:rPr>
    </w:lvl>
    <w:lvl w:ilvl="8">
      <w:start w:val="1"/>
      <w:numFmt w:val="decimal"/>
      <w:pStyle w:val="Heading9"/>
      <w:lvlText w:val="%7.%8.%9"/>
      <w:lvlJc w:val="left"/>
      <w:pPr>
        <w:tabs>
          <w:tab w:val="num" w:pos="1364"/>
        </w:tabs>
        <w:ind w:left="851" w:hanging="567"/>
      </w:pPr>
      <w:rPr>
        <w:rFonts w:cs="Times New Roman" w:hint="default"/>
      </w:rPr>
    </w:lvl>
  </w:abstractNum>
  <w:abstractNum w:abstractNumId="28">
    <w:nsid w:val="47F128E6"/>
    <w:multiLevelType w:val="multilevel"/>
    <w:tmpl w:val="08C25D86"/>
    <w:lvl w:ilvl="0">
      <w:start w:val="1"/>
      <w:numFmt w:val="decimal"/>
      <w:lvlText w:val="%1"/>
      <w:lvlJc w:val="right"/>
      <w:pPr>
        <w:tabs>
          <w:tab w:val="num" w:pos="0"/>
        </w:tabs>
        <w:ind w:hanging="284"/>
      </w:pPr>
      <w:rPr>
        <w:rFonts w:cs="Times New Roman"/>
        <w:b/>
        <w:i w:val="0"/>
        <w:color w:val="808080"/>
      </w:rPr>
    </w:lvl>
    <w:lvl w:ilvl="1">
      <w:start w:val="1"/>
      <w:numFmt w:val="decimal"/>
      <w:lvlText w:val="%1.%2"/>
      <w:lvlJc w:val="left"/>
      <w:pPr>
        <w:tabs>
          <w:tab w:val="num" w:pos="720"/>
        </w:tabs>
        <w:ind w:left="397" w:hanging="397"/>
      </w:pPr>
      <w:rPr>
        <w:rFonts w:cs="Times New Roman" w:hint="default"/>
      </w:rPr>
    </w:lvl>
    <w:lvl w:ilvl="2">
      <w:start w:val="1"/>
      <w:numFmt w:val="decimal"/>
      <w:lvlText w:val="%1.%2.%3"/>
      <w:lvlJc w:val="left"/>
      <w:pPr>
        <w:tabs>
          <w:tab w:val="num" w:pos="1080"/>
        </w:tabs>
        <w:ind w:left="567" w:hanging="567"/>
      </w:pPr>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upperLetter"/>
      <w:lvlText w:val="%7"/>
      <w:lvlJc w:val="right"/>
      <w:pPr>
        <w:tabs>
          <w:tab w:val="num" w:pos="0"/>
        </w:tabs>
        <w:ind w:hanging="284"/>
      </w:pPr>
      <w:rPr>
        <w:rFonts w:cs="Times New Roman"/>
        <w:color w:val="808080"/>
      </w:rPr>
    </w:lvl>
    <w:lvl w:ilvl="7">
      <w:start w:val="1"/>
      <w:numFmt w:val="decimal"/>
      <w:lvlText w:val="%7.%8"/>
      <w:lvlJc w:val="left"/>
      <w:pPr>
        <w:tabs>
          <w:tab w:val="num" w:pos="720"/>
        </w:tabs>
        <w:ind w:left="397" w:hanging="397"/>
      </w:pPr>
      <w:rPr>
        <w:rFonts w:cs="Times New Roman" w:hint="default"/>
      </w:rPr>
    </w:lvl>
    <w:lvl w:ilvl="8">
      <w:start w:val="1"/>
      <w:numFmt w:val="decimal"/>
      <w:lvlText w:val="%7.%8.%9"/>
      <w:lvlJc w:val="left"/>
      <w:pPr>
        <w:tabs>
          <w:tab w:val="num" w:pos="1080"/>
        </w:tabs>
        <w:ind w:left="567" w:hanging="567"/>
      </w:pPr>
      <w:rPr>
        <w:rFonts w:cs="Times New Roman" w:hint="default"/>
      </w:rPr>
    </w:lvl>
  </w:abstractNum>
  <w:abstractNum w:abstractNumId="29">
    <w:nsid w:val="4811070C"/>
    <w:multiLevelType w:val="singleLevel"/>
    <w:tmpl w:val="8CA6607A"/>
    <w:lvl w:ilvl="0">
      <w:start w:val="1"/>
      <w:numFmt w:val="bullet"/>
      <w:pStyle w:val="Tablelistbullet2"/>
      <w:lvlText w:val="–"/>
      <w:lvlJc w:val="left"/>
      <w:pPr>
        <w:tabs>
          <w:tab w:val="num" w:pos="454"/>
        </w:tabs>
        <w:ind w:left="454" w:hanging="227"/>
      </w:pPr>
      <w:rPr>
        <w:rFonts w:ascii="Arial" w:hAnsi="Arial" w:hint="default"/>
      </w:rPr>
    </w:lvl>
  </w:abstractNum>
  <w:abstractNum w:abstractNumId="30">
    <w:nsid w:val="4C0343B5"/>
    <w:multiLevelType w:val="multilevel"/>
    <w:tmpl w:val="91ACEB24"/>
    <w:lvl w:ilvl="0">
      <w:start w:val="1"/>
      <w:numFmt w:val="decimal"/>
      <w:lvlText w:val="%1"/>
      <w:lvlJc w:val="left"/>
      <w:pPr>
        <w:tabs>
          <w:tab w:val="num" w:pos="284"/>
        </w:tabs>
        <w:ind w:left="284" w:hanging="284"/>
      </w:pPr>
      <w:rPr>
        <w:rFonts w:cs="Times New Roman" w:hint="default"/>
        <w:b/>
        <w:i w:val="0"/>
        <w:color w:val="808080"/>
      </w:rPr>
    </w:lvl>
    <w:lvl w:ilvl="1">
      <w:start w:val="1"/>
      <w:numFmt w:val="decimal"/>
      <w:lvlText w:val="%1.%2"/>
      <w:lvlJc w:val="left"/>
      <w:pPr>
        <w:tabs>
          <w:tab w:val="num" w:pos="1004"/>
        </w:tabs>
        <w:ind w:left="681" w:hanging="397"/>
      </w:pPr>
      <w:rPr>
        <w:rFonts w:cs="Times New Roman" w:hint="default"/>
      </w:rPr>
    </w:lvl>
    <w:lvl w:ilvl="2">
      <w:start w:val="1"/>
      <w:numFmt w:val="decimal"/>
      <w:lvlText w:val="%1.%2.%3"/>
      <w:lvlJc w:val="left"/>
      <w:pPr>
        <w:tabs>
          <w:tab w:val="num" w:pos="1364"/>
        </w:tabs>
        <w:ind w:left="851" w:hanging="567"/>
      </w:pPr>
      <w:rPr>
        <w:rFonts w:cs="Times New Roman" w:hint="default"/>
      </w:rPr>
    </w:lvl>
    <w:lvl w:ilvl="3">
      <w:start w:val="1"/>
      <w:numFmt w:val="none"/>
      <w:suff w:val="nothing"/>
      <w:lvlText w:val=""/>
      <w:lvlJc w:val="left"/>
      <w:pPr>
        <w:ind w:left="284"/>
      </w:pPr>
      <w:rPr>
        <w:rFonts w:cs="Times New Roman" w:hint="default"/>
      </w:rPr>
    </w:lvl>
    <w:lvl w:ilvl="4">
      <w:start w:val="1"/>
      <w:numFmt w:val="none"/>
      <w:suff w:val="nothing"/>
      <w:lvlText w:val=""/>
      <w:lvlJc w:val="left"/>
      <w:pPr>
        <w:ind w:left="284"/>
      </w:pPr>
      <w:rPr>
        <w:rFonts w:cs="Times New Roman" w:hint="default"/>
      </w:rPr>
    </w:lvl>
    <w:lvl w:ilvl="5">
      <w:start w:val="1"/>
      <w:numFmt w:val="none"/>
      <w:lvlText w:val=""/>
      <w:lvlJc w:val="left"/>
      <w:pPr>
        <w:tabs>
          <w:tab w:val="num" w:pos="1436"/>
        </w:tabs>
        <w:ind w:left="1436" w:hanging="1152"/>
      </w:pPr>
      <w:rPr>
        <w:rFonts w:cs="Times New Roman" w:hint="default"/>
      </w:rPr>
    </w:lvl>
    <w:lvl w:ilvl="6">
      <w:start w:val="1"/>
      <w:numFmt w:val="upperLetter"/>
      <w:lvlText w:val="%7"/>
      <w:lvlJc w:val="right"/>
      <w:pPr>
        <w:tabs>
          <w:tab w:val="num" w:pos="284"/>
        </w:tabs>
        <w:ind w:left="284" w:hanging="284"/>
      </w:pPr>
      <w:rPr>
        <w:rFonts w:cs="Times New Roman" w:hint="default"/>
        <w:color w:val="808080"/>
      </w:rPr>
    </w:lvl>
    <w:lvl w:ilvl="7">
      <w:start w:val="1"/>
      <w:numFmt w:val="decimal"/>
      <w:lvlText w:val="%7.%8"/>
      <w:lvlJc w:val="left"/>
      <w:pPr>
        <w:tabs>
          <w:tab w:val="num" w:pos="1004"/>
        </w:tabs>
        <w:ind w:left="681" w:hanging="397"/>
      </w:pPr>
      <w:rPr>
        <w:rFonts w:cs="Times New Roman" w:hint="default"/>
      </w:rPr>
    </w:lvl>
    <w:lvl w:ilvl="8">
      <w:start w:val="1"/>
      <w:numFmt w:val="decimal"/>
      <w:lvlText w:val="%7.%8.%9"/>
      <w:lvlJc w:val="left"/>
      <w:pPr>
        <w:tabs>
          <w:tab w:val="num" w:pos="1364"/>
        </w:tabs>
        <w:ind w:left="851" w:hanging="567"/>
      </w:pPr>
      <w:rPr>
        <w:rFonts w:cs="Times New Roman" w:hint="default"/>
      </w:rPr>
    </w:lvl>
  </w:abstractNum>
  <w:abstractNum w:abstractNumId="31">
    <w:nsid w:val="51FA393B"/>
    <w:multiLevelType w:val="hybridMultilevel"/>
    <w:tmpl w:val="7F24171A"/>
    <w:lvl w:ilvl="0" w:tplc="A3162952">
      <w:start w:val="1"/>
      <w:numFmt w:val="bullet"/>
      <w:pStyle w:val="HighlightBulletGreen"/>
      <w:lvlText w:val=""/>
      <w:lvlJc w:val="left"/>
      <w:pPr>
        <w:tabs>
          <w:tab w:val="num" w:pos="567"/>
        </w:tabs>
        <w:ind w:left="567" w:hanging="567"/>
      </w:pPr>
      <w:rPr>
        <w:rFonts w:ascii="Wingdings" w:hAnsi="Wingdings" w:hint="default"/>
        <w:color w:val="00DE00"/>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5F00D11"/>
    <w:multiLevelType w:val="multilevel"/>
    <w:tmpl w:val="08C25D86"/>
    <w:lvl w:ilvl="0">
      <w:start w:val="1"/>
      <w:numFmt w:val="decimal"/>
      <w:lvlText w:val="%1"/>
      <w:lvlJc w:val="right"/>
      <w:pPr>
        <w:tabs>
          <w:tab w:val="num" w:pos="0"/>
        </w:tabs>
        <w:ind w:hanging="284"/>
      </w:pPr>
      <w:rPr>
        <w:rFonts w:cs="Times New Roman"/>
        <w:b/>
        <w:i w:val="0"/>
        <w:color w:val="808080"/>
      </w:rPr>
    </w:lvl>
    <w:lvl w:ilvl="1">
      <w:start w:val="1"/>
      <w:numFmt w:val="decimal"/>
      <w:lvlText w:val="%1.%2"/>
      <w:lvlJc w:val="left"/>
      <w:pPr>
        <w:tabs>
          <w:tab w:val="num" w:pos="720"/>
        </w:tabs>
        <w:ind w:left="397" w:hanging="397"/>
      </w:pPr>
      <w:rPr>
        <w:rFonts w:cs="Times New Roman" w:hint="default"/>
      </w:rPr>
    </w:lvl>
    <w:lvl w:ilvl="2">
      <w:start w:val="1"/>
      <w:numFmt w:val="decimal"/>
      <w:lvlText w:val="%1.%2.%3"/>
      <w:lvlJc w:val="left"/>
      <w:pPr>
        <w:tabs>
          <w:tab w:val="num" w:pos="1080"/>
        </w:tabs>
        <w:ind w:left="567" w:hanging="567"/>
      </w:pPr>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upperLetter"/>
      <w:lvlText w:val="%7"/>
      <w:lvlJc w:val="right"/>
      <w:pPr>
        <w:tabs>
          <w:tab w:val="num" w:pos="0"/>
        </w:tabs>
        <w:ind w:hanging="284"/>
      </w:pPr>
      <w:rPr>
        <w:rFonts w:cs="Times New Roman"/>
        <w:color w:val="808080"/>
      </w:rPr>
    </w:lvl>
    <w:lvl w:ilvl="7">
      <w:start w:val="1"/>
      <w:numFmt w:val="decimal"/>
      <w:lvlText w:val="%7.%8"/>
      <w:lvlJc w:val="left"/>
      <w:pPr>
        <w:tabs>
          <w:tab w:val="num" w:pos="720"/>
        </w:tabs>
        <w:ind w:left="397" w:hanging="397"/>
      </w:pPr>
      <w:rPr>
        <w:rFonts w:cs="Times New Roman" w:hint="default"/>
      </w:rPr>
    </w:lvl>
    <w:lvl w:ilvl="8">
      <w:start w:val="1"/>
      <w:numFmt w:val="decimal"/>
      <w:lvlText w:val="%7.%8.%9"/>
      <w:lvlJc w:val="left"/>
      <w:pPr>
        <w:tabs>
          <w:tab w:val="num" w:pos="1080"/>
        </w:tabs>
        <w:ind w:left="567" w:hanging="567"/>
      </w:pPr>
      <w:rPr>
        <w:rFonts w:cs="Times New Roman" w:hint="default"/>
      </w:rPr>
    </w:lvl>
  </w:abstractNum>
  <w:abstractNum w:abstractNumId="33">
    <w:nsid w:val="64F264CF"/>
    <w:multiLevelType w:val="multilevel"/>
    <w:tmpl w:val="A596F552"/>
    <w:lvl w:ilvl="0">
      <w:start w:val="1"/>
      <w:numFmt w:val="none"/>
      <w:suff w:val="nothing"/>
      <w:lvlText w:val="%1"/>
      <w:lvlJc w:val="left"/>
      <w:rPr>
        <w:rFonts w:cs="Times New Roman"/>
        <w:b/>
        <w:i w:val="0"/>
        <w:color w:val="808080"/>
      </w:rPr>
    </w:lvl>
    <w:lvl w:ilvl="1">
      <w:start w:val="1"/>
      <w:numFmt w:val="decimal"/>
      <w:lvlText w:val="%1.%2"/>
      <w:lvlJc w:val="left"/>
      <w:pPr>
        <w:tabs>
          <w:tab w:val="num" w:pos="720"/>
        </w:tabs>
        <w:ind w:left="397" w:hanging="397"/>
      </w:pPr>
      <w:rPr>
        <w:rFonts w:cs="Times New Roman" w:hint="default"/>
      </w:rPr>
    </w:lvl>
    <w:lvl w:ilvl="2">
      <w:start w:val="1"/>
      <w:numFmt w:val="decimal"/>
      <w:lvlText w:val="%1.%2.%3"/>
      <w:lvlJc w:val="left"/>
      <w:pPr>
        <w:tabs>
          <w:tab w:val="num" w:pos="1080"/>
        </w:tabs>
        <w:ind w:left="567" w:hanging="567"/>
      </w:pPr>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upperLetter"/>
      <w:lvlText w:val="%7"/>
      <w:lvlJc w:val="right"/>
      <w:pPr>
        <w:tabs>
          <w:tab w:val="num" w:pos="0"/>
        </w:tabs>
        <w:ind w:hanging="284"/>
      </w:pPr>
      <w:rPr>
        <w:rFonts w:cs="Times New Roman" w:hint="default"/>
      </w:rPr>
    </w:lvl>
    <w:lvl w:ilvl="7">
      <w:start w:val="1"/>
      <w:numFmt w:val="decimal"/>
      <w:lvlText w:val="%7.%8"/>
      <w:lvlJc w:val="right"/>
      <w:pPr>
        <w:tabs>
          <w:tab w:val="num" w:pos="0"/>
        </w:tabs>
        <w:ind w:hanging="284"/>
      </w:pPr>
      <w:rPr>
        <w:rFonts w:cs="Times New Roman" w:hint="default"/>
      </w:rPr>
    </w:lvl>
    <w:lvl w:ilvl="8">
      <w:start w:val="1"/>
      <w:numFmt w:val="decimal"/>
      <w:lvlText w:val="%7.%8.%9"/>
      <w:lvlJc w:val="right"/>
      <w:pPr>
        <w:tabs>
          <w:tab w:val="num" w:pos="0"/>
        </w:tabs>
        <w:ind w:hanging="284"/>
      </w:pPr>
      <w:rPr>
        <w:rFonts w:cs="Times New Roman" w:hint="default"/>
      </w:rPr>
    </w:lvl>
  </w:abstractNum>
  <w:abstractNum w:abstractNumId="34">
    <w:nsid w:val="671F6F56"/>
    <w:multiLevelType w:val="singleLevel"/>
    <w:tmpl w:val="6A9A32F6"/>
    <w:lvl w:ilvl="0">
      <w:start w:val="1"/>
      <w:numFmt w:val="bullet"/>
      <w:pStyle w:val="BoxListBullet"/>
      <w:lvlText w:val="&gt;"/>
      <w:lvlJc w:val="left"/>
      <w:pPr>
        <w:tabs>
          <w:tab w:val="num" w:pos="445"/>
        </w:tabs>
        <w:ind w:left="369" w:hanging="284"/>
      </w:pPr>
      <w:rPr>
        <w:rFonts w:ascii="Symbol" w:hAnsi="Symbol" w:hint="default"/>
        <w:sz w:val="18"/>
      </w:rPr>
    </w:lvl>
  </w:abstractNum>
  <w:abstractNum w:abstractNumId="35">
    <w:nsid w:val="6A824108"/>
    <w:multiLevelType w:val="multilevel"/>
    <w:tmpl w:val="F9C2369C"/>
    <w:lvl w:ilvl="0">
      <w:start w:val="1"/>
      <w:numFmt w:val="decimal"/>
      <w:lvlText w:val="%1"/>
      <w:lvlJc w:val="right"/>
      <w:pPr>
        <w:tabs>
          <w:tab w:val="num" w:pos="0"/>
        </w:tabs>
        <w:ind w:hanging="284"/>
      </w:pPr>
      <w:rPr>
        <w:rFonts w:cs="Times New Roman" w:hint="default"/>
        <w:b/>
        <w:i w:val="0"/>
        <w:color w:val="808080"/>
      </w:rPr>
    </w:lvl>
    <w:lvl w:ilvl="1">
      <w:start w:val="1"/>
      <w:numFmt w:val="decimal"/>
      <w:lvlText w:val="%1.%2"/>
      <w:lvlJc w:val="left"/>
      <w:pPr>
        <w:tabs>
          <w:tab w:val="num" w:pos="720"/>
        </w:tabs>
        <w:ind w:left="397" w:hanging="397"/>
      </w:pPr>
      <w:rPr>
        <w:rFonts w:cs="Times New Roman" w:hint="default"/>
      </w:rPr>
    </w:lvl>
    <w:lvl w:ilvl="2">
      <w:start w:val="1"/>
      <w:numFmt w:val="decimal"/>
      <w:lvlText w:val="%1.%2.%3"/>
      <w:lvlJc w:val="left"/>
      <w:pPr>
        <w:tabs>
          <w:tab w:val="num" w:pos="1080"/>
        </w:tabs>
        <w:ind w:left="567" w:hanging="567"/>
      </w:pPr>
      <w:rPr>
        <w:rFonts w:cs="Times New Roman" w:hint="default"/>
      </w:rPr>
    </w:lvl>
    <w:lvl w:ilvl="3">
      <w:start w:val="1"/>
      <w:numFmt w:val="none"/>
      <w:lvlRestart w:val="0"/>
      <w:suff w:val="nothing"/>
      <w:lvlText w:val=""/>
      <w:lvlJc w:val="left"/>
      <w:rPr>
        <w:rFonts w:cs="Times New Roman" w:hint="default"/>
      </w:rPr>
    </w:lvl>
    <w:lvl w:ilvl="4">
      <w:start w:val="1"/>
      <w:numFmt w:val="none"/>
      <w:lvlRestart w:val="0"/>
      <w:suff w:val="nothing"/>
      <w:lvlText w:val=""/>
      <w:lvlJc w:val="left"/>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upperLetter"/>
      <w:lvlRestart w:val="0"/>
      <w:lvlText w:val="%7"/>
      <w:lvlJc w:val="right"/>
      <w:pPr>
        <w:tabs>
          <w:tab w:val="num" w:pos="284"/>
        </w:tabs>
        <w:ind w:left="284" w:hanging="284"/>
      </w:pPr>
      <w:rPr>
        <w:rFonts w:cs="Times New Roman" w:hint="default"/>
        <w:color w:val="808080"/>
      </w:rPr>
    </w:lvl>
    <w:lvl w:ilvl="7">
      <w:start w:val="1"/>
      <w:numFmt w:val="decimal"/>
      <w:lvlText w:val="%7.%8"/>
      <w:lvlJc w:val="left"/>
      <w:pPr>
        <w:tabs>
          <w:tab w:val="num" w:pos="720"/>
        </w:tabs>
        <w:ind w:left="397" w:hanging="397"/>
      </w:pPr>
      <w:rPr>
        <w:rFonts w:cs="Times New Roman" w:hint="default"/>
      </w:rPr>
    </w:lvl>
    <w:lvl w:ilvl="8">
      <w:start w:val="1"/>
      <w:numFmt w:val="decimal"/>
      <w:lvlText w:val="%7.%8.%9"/>
      <w:lvlJc w:val="left"/>
      <w:pPr>
        <w:tabs>
          <w:tab w:val="num" w:pos="1080"/>
        </w:tabs>
        <w:ind w:left="567" w:hanging="567"/>
      </w:pPr>
      <w:rPr>
        <w:rFonts w:cs="Times New Roman" w:hint="default"/>
      </w:rPr>
    </w:lvl>
  </w:abstractNum>
  <w:abstractNum w:abstractNumId="36">
    <w:nsid w:val="6C72215E"/>
    <w:multiLevelType w:val="singleLevel"/>
    <w:tmpl w:val="CE8A257C"/>
    <w:lvl w:ilvl="0">
      <w:numFmt w:val="bullet"/>
      <w:pStyle w:val="BoxListBullet2"/>
      <w:lvlText w:val="–"/>
      <w:lvlJc w:val="left"/>
      <w:pPr>
        <w:tabs>
          <w:tab w:val="num" w:pos="729"/>
        </w:tabs>
        <w:ind w:left="652" w:hanging="283"/>
      </w:pPr>
      <w:rPr>
        <w:rFonts w:ascii="Arial" w:hAnsi="Arial" w:hint="default"/>
      </w:rPr>
    </w:lvl>
  </w:abstractNum>
  <w:abstractNum w:abstractNumId="37">
    <w:nsid w:val="6CD273EF"/>
    <w:multiLevelType w:val="hybridMultilevel"/>
    <w:tmpl w:val="C98215D4"/>
    <w:lvl w:ilvl="0" w:tplc="74FAF788">
      <w:start w:val="1"/>
      <w:numFmt w:val="bullet"/>
      <w:pStyle w:val="HighlightBulletOrange"/>
      <w:lvlText w:val=""/>
      <w:lvlJc w:val="left"/>
      <w:pPr>
        <w:tabs>
          <w:tab w:val="num" w:pos="567"/>
        </w:tabs>
        <w:ind w:left="567" w:hanging="567"/>
      </w:pPr>
      <w:rPr>
        <w:rFonts w:ascii="Wingdings" w:hAnsi="Wingdings" w:hint="default"/>
        <w:color w:val="FF8A3B"/>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E01E77"/>
    <w:multiLevelType w:val="multilevel"/>
    <w:tmpl w:val="05CCA100"/>
    <w:lvl w:ilvl="0">
      <w:start w:val="1"/>
      <w:numFmt w:val="decimal"/>
      <w:lvlText w:val="%1"/>
      <w:lvlJc w:val="right"/>
      <w:pPr>
        <w:tabs>
          <w:tab w:val="num" w:pos="0"/>
        </w:tabs>
        <w:ind w:hanging="284"/>
      </w:pPr>
      <w:rPr>
        <w:rFonts w:cs="Times New Roman" w:hint="default"/>
        <w:b/>
        <w:i w:val="0"/>
        <w:color w:val="808080"/>
      </w:rPr>
    </w:lvl>
    <w:lvl w:ilvl="1">
      <w:start w:val="1"/>
      <w:numFmt w:val="decimal"/>
      <w:lvlText w:val="%1.%2"/>
      <w:lvlJc w:val="left"/>
      <w:pPr>
        <w:tabs>
          <w:tab w:val="num" w:pos="720"/>
        </w:tabs>
        <w:ind w:left="397" w:hanging="397"/>
      </w:pPr>
      <w:rPr>
        <w:rFonts w:cs="Times New Roman" w:hint="default"/>
      </w:rPr>
    </w:lvl>
    <w:lvl w:ilvl="2">
      <w:start w:val="1"/>
      <w:numFmt w:val="decimal"/>
      <w:lvlText w:val="%1.%2.%3"/>
      <w:lvlJc w:val="left"/>
      <w:pPr>
        <w:tabs>
          <w:tab w:val="num" w:pos="1080"/>
        </w:tabs>
        <w:ind w:left="567" w:hanging="567"/>
      </w:pPr>
      <w:rPr>
        <w:rFonts w:cs="Times New Roman" w:hint="default"/>
      </w:rPr>
    </w:lvl>
    <w:lvl w:ilvl="3">
      <w:start w:val="1"/>
      <w:numFmt w:val="none"/>
      <w:lvlRestart w:val="0"/>
      <w:suff w:val="nothing"/>
      <w:lvlText w:val=""/>
      <w:lvlJc w:val="left"/>
      <w:rPr>
        <w:rFonts w:cs="Times New Roman" w:hint="default"/>
      </w:rPr>
    </w:lvl>
    <w:lvl w:ilvl="4">
      <w:start w:val="1"/>
      <w:numFmt w:val="none"/>
      <w:lvlRestart w:val="0"/>
      <w:suff w:val="nothing"/>
      <w:lvlText w:val=""/>
      <w:lvlJc w:val="left"/>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upperLetter"/>
      <w:lvlRestart w:val="0"/>
      <w:lvlText w:val="%7"/>
      <w:lvlJc w:val="right"/>
      <w:pPr>
        <w:tabs>
          <w:tab w:val="num" w:pos="0"/>
        </w:tabs>
        <w:ind w:hanging="284"/>
      </w:pPr>
      <w:rPr>
        <w:rFonts w:cs="Times New Roman" w:hint="default"/>
        <w:b/>
        <w:i w:val="0"/>
        <w:color w:val="7F7267"/>
      </w:rPr>
    </w:lvl>
    <w:lvl w:ilvl="7">
      <w:start w:val="1"/>
      <w:numFmt w:val="decimal"/>
      <w:lvlText w:val="%7.%8"/>
      <w:lvlJc w:val="left"/>
      <w:pPr>
        <w:tabs>
          <w:tab w:val="num" w:pos="720"/>
        </w:tabs>
        <w:ind w:left="397" w:hanging="397"/>
      </w:pPr>
      <w:rPr>
        <w:rFonts w:cs="Times New Roman" w:hint="default"/>
      </w:rPr>
    </w:lvl>
    <w:lvl w:ilvl="8">
      <w:start w:val="1"/>
      <w:numFmt w:val="decimal"/>
      <w:lvlText w:val="%7.%8.%9"/>
      <w:lvlJc w:val="left"/>
      <w:pPr>
        <w:tabs>
          <w:tab w:val="num" w:pos="1080"/>
        </w:tabs>
        <w:ind w:left="567" w:hanging="567"/>
      </w:pPr>
      <w:rPr>
        <w:rFonts w:cs="Times New Roman" w:hint="default"/>
      </w:rPr>
    </w:lvl>
  </w:abstractNum>
  <w:abstractNum w:abstractNumId="39">
    <w:nsid w:val="6FE32227"/>
    <w:multiLevelType w:val="hybridMultilevel"/>
    <w:tmpl w:val="714A9B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2DF3831"/>
    <w:multiLevelType w:val="hybridMultilevel"/>
    <w:tmpl w:val="191E16D2"/>
    <w:lvl w:ilvl="0" w:tplc="ECB09B42">
      <w:start w:val="1"/>
      <w:numFmt w:val="decimal"/>
      <w:pStyle w:val="Caption"/>
      <w:lvlText w:val="Table %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74D01F91"/>
    <w:multiLevelType w:val="singleLevel"/>
    <w:tmpl w:val="9302296E"/>
    <w:lvl w:ilvl="0">
      <w:start w:val="1"/>
      <w:numFmt w:val="decimal"/>
      <w:pStyle w:val="ListNumber"/>
      <w:lvlText w:val="%1"/>
      <w:lvlJc w:val="left"/>
      <w:pPr>
        <w:tabs>
          <w:tab w:val="num" w:pos="360"/>
        </w:tabs>
        <w:ind w:left="284" w:hanging="284"/>
      </w:pPr>
      <w:rPr>
        <w:rFonts w:cs="Times New Roman"/>
      </w:rPr>
    </w:lvl>
  </w:abstractNum>
  <w:abstractNum w:abstractNumId="42">
    <w:nsid w:val="76E20003"/>
    <w:multiLevelType w:val="multilevel"/>
    <w:tmpl w:val="0818BE1E"/>
    <w:lvl w:ilvl="0">
      <w:start w:val="1"/>
      <w:numFmt w:val="decimal"/>
      <w:lvlText w:val="%1"/>
      <w:lvlJc w:val="right"/>
      <w:pPr>
        <w:tabs>
          <w:tab w:val="num" w:pos="0"/>
        </w:tabs>
        <w:ind w:hanging="284"/>
      </w:pPr>
      <w:rPr>
        <w:rFonts w:cs="Times New Roman" w:hint="default"/>
        <w:b/>
        <w:i w:val="0"/>
        <w:color w:val="7F7267"/>
      </w:rPr>
    </w:lvl>
    <w:lvl w:ilvl="1">
      <w:start w:val="1"/>
      <w:numFmt w:val="decimal"/>
      <w:lvlText w:val="%1.%2"/>
      <w:lvlJc w:val="left"/>
      <w:pPr>
        <w:tabs>
          <w:tab w:val="num" w:pos="720"/>
        </w:tabs>
        <w:ind w:left="397" w:hanging="397"/>
      </w:pPr>
      <w:rPr>
        <w:rFonts w:cs="Times New Roman" w:hint="default"/>
      </w:rPr>
    </w:lvl>
    <w:lvl w:ilvl="2">
      <w:start w:val="1"/>
      <w:numFmt w:val="decimal"/>
      <w:lvlText w:val="%1.%2.%3"/>
      <w:lvlJc w:val="left"/>
      <w:pPr>
        <w:tabs>
          <w:tab w:val="num" w:pos="1080"/>
        </w:tabs>
        <w:ind w:left="567" w:hanging="567"/>
      </w:pPr>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upperLetter"/>
      <w:lvlText w:val="%7"/>
      <w:lvlJc w:val="right"/>
      <w:pPr>
        <w:tabs>
          <w:tab w:val="num" w:pos="0"/>
        </w:tabs>
        <w:ind w:hanging="284"/>
      </w:pPr>
      <w:rPr>
        <w:rFonts w:cs="Times New Roman" w:hint="default"/>
        <w:color w:val="808080"/>
      </w:rPr>
    </w:lvl>
    <w:lvl w:ilvl="7">
      <w:start w:val="1"/>
      <w:numFmt w:val="decimal"/>
      <w:lvlText w:val="%7.%8"/>
      <w:lvlJc w:val="left"/>
      <w:pPr>
        <w:tabs>
          <w:tab w:val="num" w:pos="720"/>
        </w:tabs>
        <w:ind w:left="397" w:hanging="397"/>
      </w:pPr>
      <w:rPr>
        <w:rFonts w:cs="Times New Roman" w:hint="default"/>
      </w:rPr>
    </w:lvl>
    <w:lvl w:ilvl="8">
      <w:start w:val="1"/>
      <w:numFmt w:val="decimal"/>
      <w:lvlText w:val="%7.%8.%9"/>
      <w:lvlJc w:val="left"/>
      <w:pPr>
        <w:tabs>
          <w:tab w:val="num" w:pos="1080"/>
        </w:tabs>
        <w:ind w:left="567" w:hanging="567"/>
      </w:pPr>
      <w:rPr>
        <w:rFonts w:cs="Times New Roman" w:hint="default"/>
      </w:rPr>
    </w:lvl>
  </w:abstractNum>
  <w:num w:numId="1">
    <w:abstractNumId w:val="2"/>
  </w:num>
  <w:num w:numId="2">
    <w:abstractNumId w:val="0"/>
  </w:num>
  <w:num w:numId="3">
    <w:abstractNumId w:val="1"/>
  </w:num>
  <w:num w:numId="4">
    <w:abstractNumId w:val="2"/>
  </w:num>
  <w:num w:numId="5">
    <w:abstractNumId w:val="0"/>
  </w:num>
  <w:num w:numId="6">
    <w:abstractNumId w:val="1"/>
  </w:num>
  <w:num w:numId="7">
    <w:abstractNumId w:val="14"/>
  </w:num>
  <w:num w:numId="8">
    <w:abstractNumId w:val="7"/>
  </w:num>
  <w:num w:numId="9">
    <w:abstractNumId w:val="22"/>
  </w:num>
  <w:num w:numId="10">
    <w:abstractNumId w:val="41"/>
  </w:num>
  <w:num w:numId="11">
    <w:abstractNumId w:val="18"/>
  </w:num>
  <w:num w:numId="12">
    <w:abstractNumId w:val="29"/>
  </w:num>
  <w:num w:numId="13">
    <w:abstractNumId w:val="6"/>
  </w:num>
  <w:num w:numId="14">
    <w:abstractNumId w:val="23"/>
  </w:num>
  <w:num w:numId="15">
    <w:abstractNumId w:val="34"/>
  </w:num>
  <w:num w:numId="16">
    <w:abstractNumId w:val="36"/>
  </w:num>
  <w:num w:numId="17">
    <w:abstractNumId w:val="20"/>
  </w:num>
  <w:num w:numId="18">
    <w:abstractNumId w:val="8"/>
  </w:num>
  <w:num w:numId="19">
    <w:abstractNumId w:val="11"/>
  </w:num>
  <w:num w:numId="20">
    <w:abstractNumId w:val="33"/>
  </w:num>
  <w:num w:numId="21">
    <w:abstractNumId w:val="25"/>
  </w:num>
  <w:num w:numId="22">
    <w:abstractNumId w:val="17"/>
  </w:num>
  <w:num w:numId="23">
    <w:abstractNumId w:val="2"/>
  </w:num>
  <w:num w:numId="24">
    <w:abstractNumId w:val="28"/>
  </w:num>
  <w:num w:numId="25">
    <w:abstractNumId w:val="30"/>
  </w:num>
  <w:num w:numId="26">
    <w:abstractNumId w:val="16"/>
  </w:num>
  <w:num w:numId="27">
    <w:abstractNumId w:val="10"/>
  </w:num>
  <w:num w:numId="28">
    <w:abstractNumId w:val="5"/>
  </w:num>
  <w:num w:numId="29">
    <w:abstractNumId w:val="27"/>
  </w:num>
  <w:num w:numId="30">
    <w:abstractNumId w:val="13"/>
  </w:num>
  <w:num w:numId="31">
    <w:abstractNumId w:val="17"/>
  </w:num>
  <w:num w:numId="32">
    <w:abstractNumId w:val="32"/>
  </w:num>
  <w:num w:numId="33">
    <w:abstractNumId w:val="42"/>
  </w:num>
  <w:num w:numId="34">
    <w:abstractNumId w:val="12"/>
  </w:num>
  <w:num w:numId="35">
    <w:abstractNumId w:val="17"/>
  </w:num>
  <w:num w:numId="36">
    <w:abstractNumId w:val="15"/>
  </w:num>
  <w:num w:numId="37">
    <w:abstractNumId w:val="3"/>
  </w:num>
  <w:num w:numId="38">
    <w:abstractNumId w:val="35"/>
  </w:num>
  <w:num w:numId="39">
    <w:abstractNumId w:val="38"/>
  </w:num>
  <w:num w:numId="40">
    <w:abstractNumId w:val="19"/>
  </w:num>
  <w:num w:numId="41">
    <w:abstractNumId w:val="24"/>
  </w:num>
  <w:num w:numId="42">
    <w:abstractNumId w:val="26"/>
  </w:num>
  <w:num w:numId="43">
    <w:abstractNumId w:val="9"/>
  </w:num>
  <w:num w:numId="44">
    <w:abstractNumId w:val="37"/>
  </w:num>
  <w:num w:numId="45">
    <w:abstractNumId w:val="31"/>
  </w:num>
  <w:num w:numId="46">
    <w:abstractNumId w:val="4"/>
  </w:num>
  <w:num w:numId="47">
    <w:abstractNumId w:val="21"/>
  </w:num>
  <w:num w:numId="48">
    <w:abstractNumId w:val="39"/>
  </w:num>
  <w:num w:numId="49">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C40"/>
    <w:rsid w:val="000156B3"/>
    <w:rsid w:val="00021B0D"/>
    <w:rsid w:val="00054674"/>
    <w:rsid w:val="00054734"/>
    <w:rsid w:val="00057C94"/>
    <w:rsid w:val="0006036B"/>
    <w:rsid w:val="00065EC2"/>
    <w:rsid w:val="0008477A"/>
    <w:rsid w:val="000B7F22"/>
    <w:rsid w:val="000E5240"/>
    <w:rsid w:val="000F758A"/>
    <w:rsid w:val="00123986"/>
    <w:rsid w:val="00135865"/>
    <w:rsid w:val="00153470"/>
    <w:rsid w:val="00157BB7"/>
    <w:rsid w:val="00161101"/>
    <w:rsid w:val="00163BFB"/>
    <w:rsid w:val="0018310B"/>
    <w:rsid w:val="00194F6B"/>
    <w:rsid w:val="00196E6C"/>
    <w:rsid w:val="001B3F3C"/>
    <w:rsid w:val="001C67CE"/>
    <w:rsid w:val="001E1E96"/>
    <w:rsid w:val="001E74BE"/>
    <w:rsid w:val="00220D35"/>
    <w:rsid w:val="002435BC"/>
    <w:rsid w:val="002539E3"/>
    <w:rsid w:val="00260530"/>
    <w:rsid w:val="00261255"/>
    <w:rsid w:val="00265FA5"/>
    <w:rsid w:val="00274F0B"/>
    <w:rsid w:val="002A244B"/>
    <w:rsid w:val="002C239C"/>
    <w:rsid w:val="002C2FE0"/>
    <w:rsid w:val="002C4E3D"/>
    <w:rsid w:val="002E5704"/>
    <w:rsid w:val="002E5E16"/>
    <w:rsid w:val="002F18CC"/>
    <w:rsid w:val="002F20F8"/>
    <w:rsid w:val="00307455"/>
    <w:rsid w:val="00312AC7"/>
    <w:rsid w:val="003134C2"/>
    <w:rsid w:val="00351D39"/>
    <w:rsid w:val="00353733"/>
    <w:rsid w:val="003553B5"/>
    <w:rsid w:val="00361A39"/>
    <w:rsid w:val="00361D51"/>
    <w:rsid w:val="00371308"/>
    <w:rsid w:val="00375C4C"/>
    <w:rsid w:val="003808AA"/>
    <w:rsid w:val="00395B3E"/>
    <w:rsid w:val="003C5169"/>
    <w:rsid w:val="003D69E7"/>
    <w:rsid w:val="003E1D50"/>
    <w:rsid w:val="003F655A"/>
    <w:rsid w:val="003F693F"/>
    <w:rsid w:val="004031FE"/>
    <w:rsid w:val="00407C8F"/>
    <w:rsid w:val="00422682"/>
    <w:rsid w:val="004277F1"/>
    <w:rsid w:val="00433640"/>
    <w:rsid w:val="004656B5"/>
    <w:rsid w:val="00474183"/>
    <w:rsid w:val="00494E8C"/>
    <w:rsid w:val="004979BF"/>
    <w:rsid w:val="004A7B61"/>
    <w:rsid w:val="004B094F"/>
    <w:rsid w:val="004B4FBE"/>
    <w:rsid w:val="004B5CD1"/>
    <w:rsid w:val="004F085F"/>
    <w:rsid w:val="004F5578"/>
    <w:rsid w:val="004F6D31"/>
    <w:rsid w:val="005047B7"/>
    <w:rsid w:val="00510015"/>
    <w:rsid w:val="00535B1A"/>
    <w:rsid w:val="00541371"/>
    <w:rsid w:val="00551802"/>
    <w:rsid w:val="00563ECF"/>
    <w:rsid w:val="00572931"/>
    <w:rsid w:val="0058017F"/>
    <w:rsid w:val="005848BD"/>
    <w:rsid w:val="005A04A2"/>
    <w:rsid w:val="005A124B"/>
    <w:rsid w:val="005B1D9E"/>
    <w:rsid w:val="005C3932"/>
    <w:rsid w:val="005D5EE9"/>
    <w:rsid w:val="005F093A"/>
    <w:rsid w:val="0061303E"/>
    <w:rsid w:val="00636A0E"/>
    <w:rsid w:val="00644F72"/>
    <w:rsid w:val="00645BA9"/>
    <w:rsid w:val="00656CA4"/>
    <w:rsid w:val="0065776A"/>
    <w:rsid w:val="00696ED4"/>
    <w:rsid w:val="006A3CA6"/>
    <w:rsid w:val="006A5B2B"/>
    <w:rsid w:val="006D39F2"/>
    <w:rsid w:val="006F4CE9"/>
    <w:rsid w:val="00700E99"/>
    <w:rsid w:val="00712BBB"/>
    <w:rsid w:val="00737DA0"/>
    <w:rsid w:val="0074025A"/>
    <w:rsid w:val="0074593E"/>
    <w:rsid w:val="0075364A"/>
    <w:rsid w:val="00772366"/>
    <w:rsid w:val="00780E3C"/>
    <w:rsid w:val="007D0CCC"/>
    <w:rsid w:val="00816EA9"/>
    <w:rsid w:val="008247C0"/>
    <w:rsid w:val="00835CA6"/>
    <w:rsid w:val="00841C6C"/>
    <w:rsid w:val="00870AB6"/>
    <w:rsid w:val="00873A33"/>
    <w:rsid w:val="00873E94"/>
    <w:rsid w:val="00873F59"/>
    <w:rsid w:val="00877184"/>
    <w:rsid w:val="008A2BCA"/>
    <w:rsid w:val="008C41A5"/>
    <w:rsid w:val="008C759A"/>
    <w:rsid w:val="008D14B5"/>
    <w:rsid w:val="008F4948"/>
    <w:rsid w:val="008F4A51"/>
    <w:rsid w:val="008F505C"/>
    <w:rsid w:val="0090653E"/>
    <w:rsid w:val="00913510"/>
    <w:rsid w:val="00935937"/>
    <w:rsid w:val="009415A2"/>
    <w:rsid w:val="009443F6"/>
    <w:rsid w:val="00963E0D"/>
    <w:rsid w:val="00965197"/>
    <w:rsid w:val="00974B73"/>
    <w:rsid w:val="009760EE"/>
    <w:rsid w:val="00983D31"/>
    <w:rsid w:val="009A5830"/>
    <w:rsid w:val="009A70D4"/>
    <w:rsid w:val="009B2ED4"/>
    <w:rsid w:val="009C16F0"/>
    <w:rsid w:val="009D6A1E"/>
    <w:rsid w:val="009E2958"/>
    <w:rsid w:val="009E5D29"/>
    <w:rsid w:val="009F175A"/>
    <w:rsid w:val="009F200B"/>
    <w:rsid w:val="009F2582"/>
    <w:rsid w:val="009F3C40"/>
    <w:rsid w:val="00A103ED"/>
    <w:rsid w:val="00A42EF1"/>
    <w:rsid w:val="00A53128"/>
    <w:rsid w:val="00A55902"/>
    <w:rsid w:val="00A663FA"/>
    <w:rsid w:val="00AA700F"/>
    <w:rsid w:val="00AE3FFA"/>
    <w:rsid w:val="00AF3082"/>
    <w:rsid w:val="00B03B9F"/>
    <w:rsid w:val="00B32C85"/>
    <w:rsid w:val="00B5381C"/>
    <w:rsid w:val="00B5676F"/>
    <w:rsid w:val="00B75D58"/>
    <w:rsid w:val="00B84061"/>
    <w:rsid w:val="00B863BF"/>
    <w:rsid w:val="00B96389"/>
    <w:rsid w:val="00B9766C"/>
    <w:rsid w:val="00BA4E5E"/>
    <w:rsid w:val="00BC2FDC"/>
    <w:rsid w:val="00BE4655"/>
    <w:rsid w:val="00C055AC"/>
    <w:rsid w:val="00C12B2D"/>
    <w:rsid w:val="00C1522D"/>
    <w:rsid w:val="00C32EE7"/>
    <w:rsid w:val="00C42A19"/>
    <w:rsid w:val="00C4492D"/>
    <w:rsid w:val="00C50C91"/>
    <w:rsid w:val="00C5507E"/>
    <w:rsid w:val="00C740B1"/>
    <w:rsid w:val="00C762EF"/>
    <w:rsid w:val="00C76680"/>
    <w:rsid w:val="00C979F0"/>
    <w:rsid w:val="00CB1B1F"/>
    <w:rsid w:val="00CB55CF"/>
    <w:rsid w:val="00CC4428"/>
    <w:rsid w:val="00CC6782"/>
    <w:rsid w:val="00CD2BD3"/>
    <w:rsid w:val="00CE1A64"/>
    <w:rsid w:val="00CE6991"/>
    <w:rsid w:val="00CF0CE7"/>
    <w:rsid w:val="00D0329E"/>
    <w:rsid w:val="00D21845"/>
    <w:rsid w:val="00D22DF9"/>
    <w:rsid w:val="00D36537"/>
    <w:rsid w:val="00D517FD"/>
    <w:rsid w:val="00D51F29"/>
    <w:rsid w:val="00D76614"/>
    <w:rsid w:val="00DA42AA"/>
    <w:rsid w:val="00DA6DA4"/>
    <w:rsid w:val="00DC4714"/>
    <w:rsid w:val="00DC4B8B"/>
    <w:rsid w:val="00DC5C07"/>
    <w:rsid w:val="00DC5E42"/>
    <w:rsid w:val="00DC6501"/>
    <w:rsid w:val="00DE1970"/>
    <w:rsid w:val="00DE36A0"/>
    <w:rsid w:val="00DF7C7B"/>
    <w:rsid w:val="00E02725"/>
    <w:rsid w:val="00E038B5"/>
    <w:rsid w:val="00E25600"/>
    <w:rsid w:val="00E432E7"/>
    <w:rsid w:val="00E4448C"/>
    <w:rsid w:val="00E57469"/>
    <w:rsid w:val="00E72FF8"/>
    <w:rsid w:val="00EA2497"/>
    <w:rsid w:val="00EC0E3C"/>
    <w:rsid w:val="00EE18AF"/>
    <w:rsid w:val="00EF018F"/>
    <w:rsid w:val="00EF7E90"/>
    <w:rsid w:val="00F0526B"/>
    <w:rsid w:val="00F13829"/>
    <w:rsid w:val="00F169EE"/>
    <w:rsid w:val="00F22D0E"/>
    <w:rsid w:val="00F2448E"/>
    <w:rsid w:val="00F510B9"/>
    <w:rsid w:val="00F6218E"/>
    <w:rsid w:val="00F666B5"/>
    <w:rsid w:val="00F7770F"/>
    <w:rsid w:val="00F8301A"/>
    <w:rsid w:val="00F84AD9"/>
    <w:rsid w:val="00F9050C"/>
    <w:rsid w:val="00F92251"/>
    <w:rsid w:val="00FA0782"/>
    <w:rsid w:val="00FA45A2"/>
    <w:rsid w:val="00FA7642"/>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val="en-AU" w:eastAsia="en-AU"/>
    </w:rPr>
  </w:style>
  <w:style w:type="paragraph" w:styleId="Heading1">
    <w:name w:val="heading 1"/>
    <w:basedOn w:val="Normal"/>
    <w:next w:val="BodyText"/>
    <w:link w:val="Heading1Char"/>
    <w:uiPriority w:val="99"/>
    <w:qFormat/>
    <w:rsid w:val="00054674"/>
    <w:pPr>
      <w:keepNext/>
      <w:numPr>
        <w:numId w:val="29"/>
      </w:numPr>
      <w:tabs>
        <w:tab w:val="num" w:pos="0"/>
      </w:tabs>
      <w:spacing w:before="284" w:after="180" w:line="600" w:lineRule="exact"/>
      <w:ind w:hanging="284"/>
      <w:outlineLvl w:val="0"/>
    </w:pPr>
    <w:rPr>
      <w:rFonts w:ascii="Arial Narrow" w:hAnsi="Arial Narrow"/>
      <w:kern w:val="28"/>
      <w:sz w:val="40"/>
    </w:rPr>
  </w:style>
  <w:style w:type="paragraph" w:styleId="Heading2">
    <w:name w:val="heading 2"/>
    <w:basedOn w:val="Normal"/>
    <w:next w:val="BodyText"/>
    <w:link w:val="Heading2Char"/>
    <w:uiPriority w:val="99"/>
    <w:qFormat/>
    <w:rsid w:val="00196E6C"/>
    <w:pPr>
      <w:keepNext/>
      <w:numPr>
        <w:ilvl w:val="1"/>
        <w:numId w:val="29"/>
      </w:numPr>
      <w:spacing w:before="480" w:line="280" w:lineRule="exact"/>
      <w:outlineLvl w:val="1"/>
    </w:pPr>
    <w:rPr>
      <w:rFonts w:ascii="Arial Narrow" w:hAnsi="Arial Narrow"/>
      <w:b/>
      <w:caps/>
      <w:color w:val="7F7267"/>
      <w:sz w:val="22"/>
      <w:szCs w:val="22"/>
    </w:rPr>
  </w:style>
  <w:style w:type="paragraph" w:styleId="Heading3">
    <w:name w:val="heading 3"/>
    <w:basedOn w:val="Normal"/>
    <w:next w:val="BodyText"/>
    <w:link w:val="Heading3Char"/>
    <w:uiPriority w:val="99"/>
    <w:qFormat/>
    <w:rsid w:val="00054674"/>
    <w:pPr>
      <w:keepNext/>
      <w:numPr>
        <w:ilvl w:val="2"/>
        <w:numId w:val="29"/>
      </w:numPr>
      <w:spacing w:before="360" w:line="260" w:lineRule="exact"/>
      <w:outlineLvl w:val="2"/>
    </w:pPr>
    <w:rPr>
      <w:rFonts w:ascii="Arial Narrow" w:hAnsi="Arial Narrow"/>
      <w:caps/>
    </w:rPr>
  </w:style>
  <w:style w:type="paragraph" w:styleId="Heading4">
    <w:name w:val="heading 4"/>
    <w:basedOn w:val="BodyText"/>
    <w:next w:val="BodyText"/>
    <w:link w:val="Heading4Char"/>
    <w:uiPriority w:val="99"/>
    <w:qFormat/>
    <w:rsid w:val="00054674"/>
    <w:pPr>
      <w:keepNext/>
      <w:numPr>
        <w:ilvl w:val="3"/>
        <w:numId w:val="29"/>
      </w:numPr>
      <w:spacing w:before="360" w:line="300" w:lineRule="exact"/>
      <w:outlineLvl w:val="3"/>
    </w:pPr>
    <w:rPr>
      <w:b/>
    </w:rPr>
  </w:style>
  <w:style w:type="paragraph" w:styleId="Heading5">
    <w:name w:val="heading 5"/>
    <w:basedOn w:val="Heading4"/>
    <w:next w:val="BodyText"/>
    <w:link w:val="Heading5Char"/>
    <w:uiPriority w:val="99"/>
    <w:qFormat/>
    <w:rsid w:val="00054674"/>
    <w:pPr>
      <w:numPr>
        <w:ilvl w:val="4"/>
      </w:numPr>
      <w:outlineLvl w:val="4"/>
    </w:pPr>
    <w:rPr>
      <w:b w:val="0"/>
      <w:i/>
    </w:rPr>
  </w:style>
  <w:style w:type="paragraph" w:styleId="Heading7">
    <w:name w:val="heading 7"/>
    <w:basedOn w:val="Normal"/>
    <w:next w:val="BodyText"/>
    <w:link w:val="Heading7Char"/>
    <w:uiPriority w:val="99"/>
    <w:qFormat/>
    <w:rsid w:val="00054674"/>
    <w:pPr>
      <w:keepNext/>
      <w:numPr>
        <w:ilvl w:val="6"/>
        <w:numId w:val="29"/>
      </w:numPr>
      <w:tabs>
        <w:tab w:val="num" w:pos="0"/>
      </w:tabs>
      <w:spacing w:before="284" w:after="180" w:line="600" w:lineRule="exact"/>
      <w:ind w:hanging="284"/>
      <w:outlineLvl w:val="6"/>
    </w:pPr>
    <w:rPr>
      <w:rFonts w:ascii="Arial Narrow" w:hAnsi="Arial Narrow"/>
      <w:sz w:val="40"/>
    </w:rPr>
  </w:style>
  <w:style w:type="paragraph" w:styleId="Heading8">
    <w:name w:val="heading 8"/>
    <w:basedOn w:val="Normal"/>
    <w:next w:val="BodyText"/>
    <w:link w:val="Heading8Char"/>
    <w:uiPriority w:val="99"/>
    <w:qFormat/>
    <w:rsid w:val="00054674"/>
    <w:pPr>
      <w:keepNext/>
      <w:numPr>
        <w:ilvl w:val="7"/>
        <w:numId w:val="29"/>
      </w:numPr>
      <w:tabs>
        <w:tab w:val="left" w:pos="397"/>
        <w:tab w:val="num" w:pos="720"/>
      </w:tabs>
      <w:spacing w:before="480" w:line="280" w:lineRule="exact"/>
      <w:ind w:left="397"/>
      <w:outlineLvl w:val="7"/>
    </w:pPr>
    <w:rPr>
      <w:rFonts w:ascii="Arial Narrow" w:hAnsi="Arial Narrow"/>
      <w:b/>
      <w:caps/>
      <w:sz w:val="22"/>
    </w:rPr>
  </w:style>
  <w:style w:type="paragraph" w:styleId="Heading9">
    <w:name w:val="heading 9"/>
    <w:basedOn w:val="Normal"/>
    <w:next w:val="BodyText"/>
    <w:link w:val="Heading9Char"/>
    <w:uiPriority w:val="99"/>
    <w:qFormat/>
    <w:rsid w:val="00054674"/>
    <w:pPr>
      <w:keepNext/>
      <w:numPr>
        <w:ilvl w:val="8"/>
        <w:numId w:val="29"/>
      </w:numPr>
      <w:tabs>
        <w:tab w:val="num" w:pos="1080"/>
      </w:tabs>
      <w:spacing w:before="360" w:line="260" w:lineRule="exact"/>
      <w:ind w:left="567"/>
      <w:outlineLvl w:val="8"/>
    </w:pPr>
    <w:rPr>
      <w:rFonts w:ascii="Arial Narrow" w:hAnsi="Arial Narrow"/>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4674"/>
    <w:rPr>
      <w:rFonts w:ascii="Arial Narrow" w:hAnsi="Arial Narrow" w:cs="Times New Roman"/>
      <w:kern w:val="28"/>
      <w:sz w:val="40"/>
      <w:lang w:val="en-AU" w:eastAsia="en-AU" w:bidi="ar-SA"/>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AU" w:eastAsia="en-AU"/>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AU" w:eastAsia="en-AU"/>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AU" w:eastAsia="en-AU"/>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AU" w:eastAsia="en-AU"/>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AU" w:eastAsia="en-AU"/>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AU" w:eastAsia="en-AU"/>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val="en-AU" w:eastAsia="en-AU"/>
    </w:rPr>
  </w:style>
  <w:style w:type="paragraph" w:styleId="BodyText">
    <w:name w:val="Body Text"/>
    <w:basedOn w:val="Normal"/>
    <w:link w:val="BodyTextChar"/>
    <w:uiPriority w:val="99"/>
    <w:rsid w:val="00196E6C"/>
    <w:pPr>
      <w:spacing w:before="180" w:line="300" w:lineRule="atLeast"/>
    </w:pPr>
    <w:rPr>
      <w:rFonts w:ascii="Garamond" w:hAnsi="Garamond"/>
      <w:sz w:val="23"/>
      <w:szCs w:val="23"/>
    </w:rPr>
  </w:style>
  <w:style w:type="character" w:customStyle="1" w:styleId="BodyTextChar">
    <w:name w:val="Body Text Char"/>
    <w:basedOn w:val="DefaultParagraphFont"/>
    <w:link w:val="BodyText"/>
    <w:uiPriority w:val="99"/>
    <w:locked/>
    <w:rsid w:val="00196E6C"/>
    <w:rPr>
      <w:rFonts w:ascii="Garamond" w:hAnsi="Garamond" w:cs="Times New Roman"/>
      <w:sz w:val="23"/>
      <w:szCs w:val="23"/>
      <w:lang w:val="en-AU" w:eastAsia="en-AU" w:bidi="ar-SA"/>
    </w:rPr>
  </w:style>
  <w:style w:type="paragraph" w:styleId="ListBullet">
    <w:name w:val="List Bullet"/>
    <w:basedOn w:val="BodyText"/>
    <w:uiPriority w:val="99"/>
    <w:qFormat/>
    <w:rsid w:val="00E02725"/>
    <w:pPr>
      <w:numPr>
        <w:numId w:val="9"/>
      </w:numPr>
      <w:tabs>
        <w:tab w:val="left" w:pos="284"/>
      </w:tabs>
      <w:spacing w:before="80"/>
    </w:pPr>
  </w:style>
  <w:style w:type="paragraph" w:customStyle="1" w:styleId="BoxText">
    <w:name w:val="Box Text"/>
    <w:basedOn w:val="BodyText"/>
    <w:uiPriority w:val="99"/>
    <w:semiHidden/>
    <w:pPr>
      <w:ind w:left="85" w:right="85"/>
    </w:pPr>
  </w:style>
  <w:style w:type="paragraph" w:customStyle="1" w:styleId="AppHeading4">
    <w:name w:val="AppHeading 4"/>
    <w:basedOn w:val="Heading4"/>
    <w:next w:val="BodyText"/>
    <w:uiPriority w:val="99"/>
    <w:semiHidden/>
    <w:rsid w:val="00FA45A2"/>
    <w:pPr>
      <w:numPr>
        <w:ilvl w:val="0"/>
        <w:numId w:val="0"/>
      </w:numPr>
    </w:pPr>
  </w:style>
  <w:style w:type="paragraph" w:customStyle="1" w:styleId="AppHeading5">
    <w:name w:val="AppHeading 5"/>
    <w:basedOn w:val="Heading5"/>
    <w:next w:val="BodyText"/>
    <w:uiPriority w:val="99"/>
    <w:semiHidden/>
    <w:rsid w:val="00FA45A2"/>
    <w:pPr>
      <w:numPr>
        <w:ilvl w:val="0"/>
        <w:numId w:val="0"/>
      </w:numPr>
    </w:pPr>
  </w:style>
  <w:style w:type="paragraph" w:customStyle="1" w:styleId="Equation">
    <w:name w:val="Equation"/>
    <w:basedOn w:val="BodyText"/>
    <w:next w:val="BodyText"/>
    <w:uiPriority w:val="99"/>
    <w:semiHidden/>
    <w:pPr>
      <w:numPr>
        <w:numId w:val="14"/>
      </w:numPr>
      <w:spacing w:line="320" w:lineRule="atLeast"/>
    </w:pPr>
  </w:style>
  <w:style w:type="paragraph" w:customStyle="1" w:styleId="Chart">
    <w:name w:val="Chart"/>
    <w:basedOn w:val="BodyText"/>
    <w:next w:val="BodyText"/>
    <w:uiPriority w:val="99"/>
    <w:semiHidden/>
    <w:pPr>
      <w:spacing w:before="0" w:line="200" w:lineRule="atLeast"/>
      <w:jc w:val="center"/>
    </w:pPr>
  </w:style>
  <w:style w:type="paragraph" w:styleId="Caption">
    <w:name w:val="caption"/>
    <w:basedOn w:val="Normal"/>
    <w:next w:val="BodyText"/>
    <w:uiPriority w:val="99"/>
    <w:qFormat/>
    <w:rsid w:val="00E02725"/>
    <w:pPr>
      <w:keepNext/>
      <w:numPr>
        <w:numId w:val="49"/>
      </w:numPr>
      <w:spacing w:before="320" w:after="60" w:line="240" w:lineRule="exact"/>
    </w:pPr>
    <w:rPr>
      <w:rFonts w:ascii="Arial Narrow" w:hAnsi="Arial Narrow"/>
      <w:b/>
      <w:caps/>
    </w:rPr>
  </w:style>
  <w:style w:type="paragraph" w:customStyle="1" w:styleId="ChapterSummary">
    <w:name w:val="Chapter Summary"/>
    <w:basedOn w:val="BodyText"/>
    <w:next w:val="BodyText"/>
    <w:uiPriority w:val="99"/>
    <w:semiHidden/>
    <w:pPr>
      <w:spacing w:after="180"/>
    </w:pPr>
    <w:rPr>
      <w:b/>
      <w:color w:val="808080"/>
    </w:rPr>
  </w:style>
  <w:style w:type="paragraph" w:customStyle="1" w:styleId="ChartText">
    <w:name w:val="Chart Text"/>
    <w:basedOn w:val="BodyText"/>
    <w:uiPriority w:val="99"/>
    <w:semiHidden/>
    <w:pPr>
      <w:spacing w:before="100" w:line="190" w:lineRule="exact"/>
    </w:pPr>
    <w:rPr>
      <w:rFonts w:ascii="Arial Narrow" w:hAnsi="Arial Narrow"/>
      <w:sz w:val="17"/>
    </w:rPr>
  </w:style>
  <w:style w:type="paragraph" w:customStyle="1" w:styleId="ChartBoldText">
    <w:name w:val="Chart Bold Text"/>
    <w:basedOn w:val="ChartText"/>
    <w:next w:val="ChartText"/>
    <w:uiPriority w:val="99"/>
    <w:semiHidden/>
    <w:pPr>
      <w:spacing w:before="0"/>
      <w:jc w:val="center"/>
    </w:pPr>
    <w:rPr>
      <w:b/>
    </w:rPr>
  </w:style>
  <w:style w:type="paragraph" w:customStyle="1" w:styleId="ChartHighlight">
    <w:name w:val="Chart Highlight"/>
    <w:basedOn w:val="ChartBoldText"/>
    <w:uiPriority w:val="99"/>
    <w:semiHidden/>
    <w:pPr>
      <w:spacing w:line="210" w:lineRule="exact"/>
    </w:pPr>
    <w:rPr>
      <w:caps/>
      <w:sz w:val="19"/>
    </w:rPr>
  </w:style>
  <w:style w:type="paragraph" w:customStyle="1" w:styleId="ChartListBullet">
    <w:name w:val="Chart List Bullet"/>
    <w:basedOn w:val="Tablelistbullet"/>
    <w:uiPriority w:val="99"/>
    <w:semiHidden/>
    <w:pPr>
      <w:numPr>
        <w:numId w:val="21"/>
      </w:numPr>
      <w:tabs>
        <w:tab w:val="num" w:pos="454"/>
      </w:tabs>
      <w:spacing w:before="50" w:after="0" w:line="190" w:lineRule="exact"/>
      <w:ind w:left="454"/>
    </w:pPr>
  </w:style>
  <w:style w:type="paragraph" w:customStyle="1" w:styleId="Tablelistbullet">
    <w:name w:val="Table list bullet"/>
    <w:basedOn w:val="Tablebody"/>
    <w:uiPriority w:val="99"/>
    <w:pPr>
      <w:numPr>
        <w:numId w:val="11"/>
      </w:numPr>
      <w:jc w:val="left"/>
    </w:pPr>
  </w:style>
  <w:style w:type="paragraph" w:customStyle="1" w:styleId="Tablebody">
    <w:name w:val="Table body"/>
    <w:basedOn w:val="Normal"/>
    <w:uiPriority w:val="99"/>
    <w:pPr>
      <w:spacing w:before="60" w:after="30" w:line="210" w:lineRule="exact"/>
      <w:jc w:val="right"/>
    </w:pPr>
    <w:rPr>
      <w:rFonts w:ascii="Arial Narrow" w:hAnsi="Arial Narrow"/>
      <w:sz w:val="17"/>
    </w:rPr>
  </w:style>
  <w:style w:type="paragraph" w:styleId="ListBullet2">
    <w:name w:val="List Bullet 2"/>
    <w:basedOn w:val="ListBullet"/>
    <w:uiPriority w:val="99"/>
    <w:rsid w:val="00196E6C"/>
    <w:pPr>
      <w:numPr>
        <w:numId w:val="7"/>
      </w:numPr>
      <w:tabs>
        <w:tab w:val="clear" w:pos="284"/>
        <w:tab w:val="clear" w:pos="644"/>
        <w:tab w:val="left" w:pos="567"/>
      </w:tabs>
      <w:spacing w:before="40"/>
      <w:ind w:left="568" w:hanging="284"/>
    </w:pPr>
  </w:style>
  <w:style w:type="paragraph" w:customStyle="1" w:styleId="ChartListBullet2">
    <w:name w:val="Chart List Bullet 2"/>
    <w:basedOn w:val="ListBullet2"/>
    <w:uiPriority w:val="99"/>
    <w:semiHidden/>
    <w:pPr>
      <w:numPr>
        <w:numId w:val="18"/>
      </w:numPr>
      <w:tabs>
        <w:tab w:val="right" w:pos="454"/>
      </w:tabs>
      <w:spacing w:before="30" w:line="190" w:lineRule="exact"/>
    </w:pPr>
    <w:rPr>
      <w:rFonts w:ascii="Arial Narrow" w:hAnsi="Arial Narrow"/>
      <w:sz w:val="17"/>
    </w:rPr>
  </w:style>
  <w:style w:type="paragraph" w:customStyle="1" w:styleId="ChartListNumber">
    <w:name w:val="Chart List Number"/>
    <w:basedOn w:val="ChartText"/>
    <w:uiPriority w:val="99"/>
    <w:semiHidden/>
    <w:pPr>
      <w:numPr>
        <w:numId w:val="19"/>
      </w:numPr>
      <w:spacing w:before="60"/>
    </w:pPr>
  </w:style>
  <w:style w:type="character" w:styleId="CommentReference">
    <w:name w:val="annotation reference"/>
    <w:basedOn w:val="DefaultParagraphFont"/>
    <w:uiPriority w:val="99"/>
    <w:semiHidden/>
    <w:rPr>
      <w:rFonts w:ascii="Arial Narrow" w:hAnsi="Arial Narrow" w:cs="Times New Roman"/>
      <w:b/>
      <w:vanish/>
      <w:color w:val="FF00FF"/>
      <w:sz w:val="20"/>
    </w:rPr>
  </w:style>
  <w:style w:type="paragraph" w:styleId="CommentText">
    <w:name w:val="annotation text"/>
    <w:basedOn w:val="BodyText"/>
    <w:link w:val="CommentTextChar"/>
    <w:uiPriority w:val="99"/>
    <w:semiHidden/>
    <w:pPr>
      <w:spacing w:before="120" w:line="240" w:lineRule="exact"/>
      <w:ind w:left="567" w:hanging="567"/>
    </w:pPr>
  </w:style>
  <w:style w:type="character" w:customStyle="1" w:styleId="CommentTextChar">
    <w:name w:val="Comment Text Char"/>
    <w:basedOn w:val="DefaultParagraphFont"/>
    <w:link w:val="CommentText"/>
    <w:uiPriority w:val="99"/>
    <w:semiHidden/>
    <w:rPr>
      <w:sz w:val="20"/>
      <w:szCs w:val="20"/>
      <w:lang w:val="en-AU" w:eastAsia="en-AU"/>
    </w:rPr>
  </w:style>
  <w:style w:type="paragraph" w:customStyle="1" w:styleId="Contents">
    <w:name w:val="Contents"/>
    <w:basedOn w:val="Normal"/>
    <w:next w:val="TOC1"/>
    <w:uiPriority w:val="99"/>
    <w:semiHidden/>
    <w:pPr>
      <w:spacing w:before="284" w:after="480" w:line="600" w:lineRule="exact"/>
    </w:pPr>
    <w:rPr>
      <w:rFonts w:ascii="Arial Narrow" w:hAnsi="Arial Narrow"/>
      <w:sz w:val="40"/>
    </w:rPr>
  </w:style>
  <w:style w:type="paragraph" w:styleId="TOC1">
    <w:name w:val="toc 1"/>
    <w:basedOn w:val="BodyText"/>
    <w:next w:val="TOC2"/>
    <w:uiPriority w:val="39"/>
    <w:rsid w:val="009B2ED4"/>
    <w:pPr>
      <w:tabs>
        <w:tab w:val="left" w:pos="284"/>
        <w:tab w:val="right" w:pos="7938"/>
      </w:tabs>
      <w:spacing w:before="240" w:line="260" w:lineRule="exact"/>
      <w:ind w:left="284" w:right="567" w:hanging="284"/>
    </w:pPr>
    <w:rPr>
      <w:rFonts w:ascii="Arial Narrow" w:hAnsi="Arial Narrow"/>
      <w:b/>
      <w:caps/>
      <w:sz w:val="20"/>
    </w:rPr>
  </w:style>
  <w:style w:type="paragraph" w:styleId="TOC2">
    <w:name w:val="toc 2"/>
    <w:basedOn w:val="TOC1"/>
    <w:uiPriority w:val="39"/>
    <w:rsid w:val="00CE1A64"/>
    <w:pPr>
      <w:tabs>
        <w:tab w:val="clear" w:pos="284"/>
        <w:tab w:val="left" w:pos="737"/>
      </w:tabs>
      <w:spacing w:before="60"/>
      <w:ind w:firstLine="0"/>
    </w:pPr>
    <w:rPr>
      <w:b w:val="0"/>
      <w:caps w:val="0"/>
    </w:rPr>
  </w:style>
  <w:style w:type="paragraph" w:customStyle="1" w:styleId="Heading1nonumber">
    <w:name w:val="Heading 1 (no number)"/>
    <w:basedOn w:val="Heading1"/>
    <w:next w:val="BodyText"/>
    <w:link w:val="Heading1nonumberChar"/>
    <w:uiPriority w:val="99"/>
    <w:semiHidden/>
    <w:rsid w:val="002F20F8"/>
    <w:pPr>
      <w:numPr>
        <w:numId w:val="0"/>
      </w:numPr>
      <w:tabs>
        <w:tab w:val="num" w:pos="567"/>
      </w:tabs>
    </w:pPr>
  </w:style>
  <w:style w:type="paragraph" w:customStyle="1" w:styleId="Continued">
    <w:name w:val="Continued"/>
    <w:basedOn w:val="Normal"/>
    <w:next w:val="BodyText"/>
    <w:uiPriority w:val="99"/>
    <w:pPr>
      <w:spacing w:before="40" w:after="20" w:line="180" w:lineRule="exact"/>
      <w:jc w:val="right"/>
    </w:pPr>
    <w:rPr>
      <w:rFonts w:ascii="Arial" w:hAnsi="Arial"/>
      <w:sz w:val="14"/>
    </w:rPr>
  </w:style>
  <w:style w:type="paragraph" w:styleId="Date">
    <w:name w:val="Date"/>
    <w:basedOn w:val="Normal"/>
    <w:next w:val="Normal"/>
    <w:link w:val="DateChar"/>
    <w:uiPriority w:val="99"/>
    <w:semiHidden/>
    <w:rsid w:val="00B32C85"/>
    <w:pPr>
      <w:spacing w:before="400" w:line="280" w:lineRule="exact"/>
    </w:pPr>
    <w:rPr>
      <w:rFonts w:ascii="Arial Narrow" w:hAnsi="Arial Narrow"/>
      <w:caps/>
      <w:sz w:val="24"/>
      <w:szCs w:val="24"/>
    </w:rPr>
  </w:style>
  <w:style w:type="character" w:customStyle="1" w:styleId="DateChar">
    <w:name w:val="Date Char"/>
    <w:basedOn w:val="DefaultParagraphFont"/>
    <w:link w:val="Date"/>
    <w:uiPriority w:val="99"/>
    <w:semiHidden/>
    <w:rPr>
      <w:sz w:val="20"/>
      <w:szCs w:val="20"/>
      <w:lang w:val="en-AU" w:eastAsia="en-AU"/>
    </w:rPr>
  </w:style>
  <w:style w:type="character" w:customStyle="1" w:styleId="DraftingNote">
    <w:name w:val="Drafting Note"/>
    <w:basedOn w:val="DefaultParagraphFont"/>
    <w:uiPriority w:val="99"/>
    <w:rPr>
      <w:rFonts w:ascii="Garamond" w:hAnsi="Garamond" w:cs="Times New Roman"/>
      <w:b/>
      <w:color w:val="FF0000"/>
      <w:u w:val="dotted"/>
    </w:rPr>
  </w:style>
  <w:style w:type="paragraph" w:styleId="Footer">
    <w:name w:val="footer"/>
    <w:basedOn w:val="Normal"/>
    <w:link w:val="FooterChar"/>
    <w:uiPriority w:val="99"/>
    <w:semiHidden/>
    <w:rsid w:val="007D0CCC"/>
    <w:pPr>
      <w:tabs>
        <w:tab w:val="left" w:pos="0"/>
        <w:tab w:val="right" w:pos="7938"/>
        <w:tab w:val="right" w:pos="8448"/>
      </w:tabs>
      <w:spacing w:line="160" w:lineRule="exact"/>
      <w:ind w:left="-510" w:right="-510"/>
    </w:pPr>
    <w:rPr>
      <w:rFonts w:ascii="Arial Narrow" w:hAnsi="Arial Narrow"/>
      <w:caps/>
      <w:sz w:val="14"/>
    </w:rPr>
  </w:style>
  <w:style w:type="character" w:customStyle="1" w:styleId="FooterChar">
    <w:name w:val="Footer Char"/>
    <w:basedOn w:val="DefaultParagraphFont"/>
    <w:link w:val="Footer"/>
    <w:uiPriority w:val="99"/>
    <w:semiHidden/>
    <w:rPr>
      <w:sz w:val="20"/>
      <w:szCs w:val="20"/>
      <w:lang w:val="en-AU" w:eastAsia="en-AU"/>
    </w:rPr>
  </w:style>
  <w:style w:type="character" w:styleId="FootnoteReference">
    <w:name w:val="footnote reference"/>
    <w:basedOn w:val="DefaultParagraphFont"/>
    <w:uiPriority w:val="99"/>
    <w:rPr>
      <w:rFonts w:ascii="Arial Narrow" w:hAnsi="Arial Narrow" w:cs="Times New Roman"/>
      <w:position w:val="0"/>
      <w:sz w:val="19"/>
      <w:vertAlign w:val="superscript"/>
    </w:rPr>
  </w:style>
  <w:style w:type="paragraph" w:styleId="FootnoteText">
    <w:name w:val="footnote text"/>
    <w:basedOn w:val="BodyText"/>
    <w:link w:val="FootnoteTextChar"/>
    <w:uiPriority w:val="99"/>
    <w:rsid w:val="0074593E"/>
    <w:pPr>
      <w:tabs>
        <w:tab w:val="left" w:pos="284"/>
      </w:tabs>
      <w:spacing w:before="60" w:line="200" w:lineRule="atLeast"/>
      <w:ind w:left="227" w:hanging="227"/>
    </w:pPr>
    <w:rPr>
      <w:rFonts w:ascii="Arial Narrow" w:hAnsi="Arial Narrow"/>
      <w:sz w:val="16"/>
      <w:szCs w:val="16"/>
    </w:rPr>
  </w:style>
  <w:style w:type="character" w:customStyle="1" w:styleId="FootnoteTextChar">
    <w:name w:val="Footnote Text Char"/>
    <w:basedOn w:val="DefaultParagraphFont"/>
    <w:link w:val="FootnoteText"/>
    <w:uiPriority w:val="99"/>
    <w:semiHidden/>
    <w:rPr>
      <w:sz w:val="20"/>
      <w:szCs w:val="20"/>
      <w:lang w:val="en-AU" w:eastAsia="en-AU"/>
    </w:rPr>
  </w:style>
  <w:style w:type="paragraph" w:styleId="Header">
    <w:name w:val="header"/>
    <w:basedOn w:val="Normal"/>
    <w:link w:val="HeaderChar"/>
    <w:uiPriority w:val="99"/>
    <w:semiHidden/>
    <w:pPr>
      <w:spacing w:before="190" w:line="220" w:lineRule="exact"/>
    </w:pPr>
    <w:rPr>
      <w:rFonts w:ascii="Arial" w:hAnsi="Arial"/>
      <w:caps/>
      <w:sz w:val="14"/>
    </w:rPr>
  </w:style>
  <w:style w:type="character" w:customStyle="1" w:styleId="HeaderChar">
    <w:name w:val="Header Char"/>
    <w:basedOn w:val="DefaultParagraphFont"/>
    <w:link w:val="Header"/>
    <w:uiPriority w:val="99"/>
    <w:semiHidden/>
    <w:rPr>
      <w:sz w:val="20"/>
      <w:szCs w:val="20"/>
      <w:lang w:val="en-AU" w:eastAsia="en-AU"/>
    </w:rPr>
  </w:style>
  <w:style w:type="paragraph" w:customStyle="1" w:styleId="Heading2nonumber">
    <w:name w:val="Heading 2 (no number)"/>
    <w:basedOn w:val="Heading2"/>
    <w:next w:val="BodyText"/>
    <w:uiPriority w:val="99"/>
    <w:pPr>
      <w:numPr>
        <w:ilvl w:val="0"/>
        <w:numId w:val="0"/>
      </w:numPr>
    </w:pPr>
  </w:style>
  <w:style w:type="paragraph" w:customStyle="1" w:styleId="Heading3nonumber">
    <w:name w:val="Heading 3 (no number)"/>
    <w:basedOn w:val="Heading3"/>
    <w:next w:val="BodyText"/>
    <w:uiPriority w:val="99"/>
    <w:pPr>
      <w:numPr>
        <w:ilvl w:val="0"/>
        <w:numId w:val="0"/>
      </w:numPr>
    </w:pPr>
  </w:style>
  <w:style w:type="paragraph" w:customStyle="1" w:styleId="Heading8nonumber">
    <w:name w:val="Heading 8 (no number)"/>
    <w:basedOn w:val="Heading8"/>
    <w:next w:val="BodyText"/>
    <w:uiPriority w:val="99"/>
    <w:pPr>
      <w:numPr>
        <w:ilvl w:val="0"/>
        <w:numId w:val="0"/>
      </w:numPr>
    </w:pPr>
  </w:style>
  <w:style w:type="paragraph" w:customStyle="1" w:styleId="Heading9nonumber">
    <w:name w:val="Heading 9 (no number)"/>
    <w:basedOn w:val="Heading9"/>
    <w:next w:val="BodyText"/>
    <w:uiPriority w:val="99"/>
    <w:pPr>
      <w:numPr>
        <w:ilvl w:val="0"/>
        <w:numId w:val="0"/>
      </w:numPr>
    </w:pPr>
  </w:style>
  <w:style w:type="paragraph" w:customStyle="1" w:styleId="Invisiblepara">
    <w:name w:val="Invisible para"/>
    <w:basedOn w:val="Normal"/>
    <w:uiPriority w:val="99"/>
    <w:semiHidden/>
    <w:pPr>
      <w:keepNext/>
      <w:spacing w:before="320" w:line="80" w:lineRule="exact"/>
    </w:pPr>
    <w:rPr>
      <w:sz w:val="21"/>
    </w:rPr>
  </w:style>
  <w:style w:type="paragraph" w:customStyle="1" w:styleId="KeyPoints">
    <w:name w:val="Key Points"/>
    <w:basedOn w:val="BodyText"/>
    <w:uiPriority w:val="99"/>
    <w:semiHidden/>
    <w:pPr>
      <w:numPr>
        <w:numId w:val="8"/>
      </w:numPr>
      <w:tabs>
        <w:tab w:val="left" w:pos="284"/>
      </w:tabs>
    </w:pPr>
    <w:rPr>
      <w:b/>
      <w:color w:val="808080"/>
    </w:rPr>
  </w:style>
  <w:style w:type="paragraph" w:styleId="ListNumber">
    <w:name w:val="List Number"/>
    <w:basedOn w:val="ListBullet"/>
    <w:uiPriority w:val="99"/>
    <w:pPr>
      <w:numPr>
        <w:numId w:val="10"/>
      </w:numPr>
      <w:tabs>
        <w:tab w:val="clear" w:pos="360"/>
        <w:tab w:val="num" w:pos="644"/>
      </w:tabs>
      <w:ind w:left="567" w:hanging="283"/>
    </w:pPr>
  </w:style>
  <w:style w:type="paragraph" w:customStyle="1" w:styleId="Note">
    <w:name w:val="Note"/>
    <w:basedOn w:val="Normal"/>
    <w:next w:val="Source"/>
    <w:uiPriority w:val="99"/>
    <w:rsid w:val="005C3932"/>
    <w:pPr>
      <w:spacing w:before="40" w:line="180" w:lineRule="exact"/>
    </w:pPr>
    <w:rPr>
      <w:rFonts w:ascii="Arial Narrow" w:hAnsi="Arial Narrow"/>
      <w:sz w:val="14"/>
    </w:rPr>
  </w:style>
  <w:style w:type="character" w:customStyle="1" w:styleId="Notelabel">
    <w:name w:val="Note label"/>
    <w:basedOn w:val="DefaultParagraphFont"/>
    <w:uiPriority w:val="99"/>
    <w:rsid w:val="008D14B5"/>
    <w:rPr>
      <w:rFonts w:ascii="Arial Narrow" w:hAnsi="Arial Narrow" w:cs="Times New Roman"/>
      <w:b/>
      <w:color w:val="auto"/>
      <w:spacing w:val="0"/>
      <w:position w:val="0"/>
      <w:sz w:val="14"/>
      <w:szCs w:val="14"/>
    </w:rPr>
  </w:style>
  <w:style w:type="character" w:styleId="PageNumber">
    <w:name w:val="page number"/>
    <w:basedOn w:val="DefaultParagraphFont"/>
    <w:uiPriority w:val="99"/>
    <w:semiHidden/>
    <w:rPr>
      <w:rFonts w:ascii="Arial Narrow" w:hAnsi="Arial Narrow" w:cs="Times New Roman"/>
      <w:b/>
      <w:sz w:val="14"/>
    </w:rPr>
  </w:style>
  <w:style w:type="paragraph" w:customStyle="1" w:styleId="Author">
    <w:name w:val="Author"/>
    <w:basedOn w:val="Subtitle"/>
    <w:uiPriority w:val="99"/>
    <w:semiHidden/>
    <w:rsid w:val="00B32C85"/>
    <w:pPr>
      <w:spacing w:before="0" w:line="280" w:lineRule="exact"/>
    </w:pPr>
    <w:rPr>
      <w:sz w:val="24"/>
      <w:szCs w:val="24"/>
    </w:rPr>
  </w:style>
  <w:style w:type="paragraph" w:styleId="Subtitle">
    <w:name w:val="Subtitle"/>
    <w:basedOn w:val="Normal"/>
    <w:link w:val="SubtitleChar"/>
    <w:uiPriority w:val="99"/>
    <w:qFormat/>
    <w:rsid w:val="00CD2BD3"/>
    <w:pPr>
      <w:spacing w:before="400" w:line="360" w:lineRule="exact"/>
      <w:ind w:right="397"/>
    </w:pPr>
    <w:rPr>
      <w:rFonts w:ascii="Arial Narrow" w:hAnsi="Arial Narrow"/>
      <w:caps/>
      <w:sz w:val="32"/>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AU" w:eastAsia="en-AU"/>
    </w:rPr>
  </w:style>
  <w:style w:type="paragraph" w:styleId="Title">
    <w:name w:val="Title"/>
    <w:basedOn w:val="CoverTitle"/>
    <w:next w:val="Subtitle"/>
    <w:link w:val="TitleChar"/>
    <w:uiPriority w:val="99"/>
    <w:qFormat/>
    <w:rsid w:val="00494E8C"/>
  </w:style>
  <w:style w:type="character" w:customStyle="1" w:styleId="TitleChar">
    <w:name w:val="Title Char"/>
    <w:basedOn w:val="DefaultParagraphFont"/>
    <w:link w:val="Title"/>
    <w:uiPriority w:val="99"/>
    <w:rsid w:val="00494E8C"/>
    <w:rPr>
      <w:rFonts w:ascii="Arial Narrow" w:hAnsi="Arial Narrow"/>
      <w:kern w:val="28"/>
      <w:sz w:val="56"/>
      <w:szCs w:val="20"/>
      <w:lang w:val="en-AU" w:eastAsia="en-AU"/>
    </w:rPr>
  </w:style>
  <w:style w:type="paragraph" w:customStyle="1" w:styleId="Figure">
    <w:name w:val="Figure"/>
    <w:basedOn w:val="BodyText"/>
    <w:next w:val="BodyText"/>
    <w:uiPriority w:val="99"/>
    <w:semiHidden/>
    <w:pPr>
      <w:spacing w:before="0" w:line="200" w:lineRule="atLeast"/>
    </w:pPr>
    <w:rPr>
      <w:noProof/>
    </w:rPr>
  </w:style>
  <w:style w:type="paragraph" w:styleId="Quote">
    <w:name w:val="Quote"/>
    <w:basedOn w:val="BodyText"/>
    <w:next w:val="BodyText"/>
    <w:link w:val="QuoteChar"/>
    <w:uiPriority w:val="99"/>
    <w:qFormat/>
    <w:pPr>
      <w:spacing w:before="60" w:line="290" w:lineRule="exact"/>
      <w:ind w:left="284"/>
    </w:pPr>
    <w:rPr>
      <w:sz w:val="21"/>
    </w:rPr>
  </w:style>
  <w:style w:type="character" w:customStyle="1" w:styleId="QuoteChar">
    <w:name w:val="Quote Char"/>
    <w:basedOn w:val="DefaultParagraphFont"/>
    <w:link w:val="Quote"/>
    <w:uiPriority w:val="29"/>
    <w:rPr>
      <w:i/>
      <w:iCs/>
      <w:color w:val="000000" w:themeColor="text1"/>
      <w:sz w:val="20"/>
      <w:szCs w:val="20"/>
      <w:lang w:val="en-AU" w:eastAsia="en-AU"/>
    </w:rPr>
  </w:style>
  <w:style w:type="paragraph" w:customStyle="1" w:styleId="Reference">
    <w:name w:val="Reference"/>
    <w:basedOn w:val="BodyText"/>
    <w:uiPriority w:val="99"/>
    <w:pPr>
      <w:spacing w:before="80" w:line="260" w:lineRule="exact"/>
      <w:ind w:left="284" w:hanging="284"/>
    </w:pPr>
    <w:rPr>
      <w:sz w:val="19"/>
    </w:rPr>
  </w:style>
  <w:style w:type="paragraph" w:customStyle="1" w:styleId="Source">
    <w:name w:val="Source"/>
    <w:basedOn w:val="Note"/>
    <w:next w:val="BodyText"/>
    <w:uiPriority w:val="99"/>
    <w:pPr>
      <w:spacing w:after="60"/>
    </w:pPr>
  </w:style>
  <w:style w:type="character" w:customStyle="1" w:styleId="Subtitlebox">
    <w:name w:val="Subtitle box"/>
    <w:aliases w:val="chart &amp; table"/>
    <w:basedOn w:val="DefaultParagraphFont"/>
    <w:uiPriority w:val="99"/>
    <w:semiHidden/>
    <w:rPr>
      <w:rFonts w:ascii="Arial Narrow" w:hAnsi="Arial Narrow" w:cs="Times New Roman"/>
      <w:sz w:val="17"/>
    </w:rPr>
  </w:style>
  <w:style w:type="paragraph" w:customStyle="1" w:styleId="Tablecolumnheadings">
    <w:name w:val="Table column headings"/>
    <w:basedOn w:val="Tablebody"/>
    <w:uiPriority w:val="99"/>
    <w:pPr>
      <w:spacing w:before="80" w:after="80"/>
    </w:pPr>
    <w:rPr>
      <w:b/>
    </w:rPr>
  </w:style>
  <w:style w:type="paragraph" w:customStyle="1" w:styleId="Tableheading1">
    <w:name w:val="Table heading 1"/>
    <w:basedOn w:val="Tablebody"/>
    <w:next w:val="Tablebody"/>
    <w:uiPriority w:val="99"/>
    <w:rsid w:val="00196E6C"/>
    <w:pPr>
      <w:spacing w:before="120"/>
      <w:jc w:val="left"/>
    </w:pPr>
    <w:rPr>
      <w:b/>
      <w:color w:val="7F7267"/>
      <w:szCs w:val="17"/>
    </w:rPr>
  </w:style>
  <w:style w:type="paragraph" w:customStyle="1" w:styleId="Tableheading2">
    <w:name w:val="Table heading 2"/>
    <w:basedOn w:val="Tableheading1"/>
    <w:next w:val="Tablebody"/>
    <w:uiPriority w:val="99"/>
    <w:pPr>
      <w:spacing w:before="80"/>
    </w:pPr>
    <w:rPr>
      <w:b w:val="0"/>
    </w:rPr>
  </w:style>
  <w:style w:type="paragraph" w:customStyle="1" w:styleId="Tablelistbullet2">
    <w:name w:val="Table list bullet 2"/>
    <w:basedOn w:val="Tablebody"/>
    <w:uiPriority w:val="99"/>
    <w:pPr>
      <w:numPr>
        <w:numId w:val="12"/>
      </w:numPr>
      <w:jc w:val="left"/>
    </w:pPr>
  </w:style>
  <w:style w:type="paragraph" w:customStyle="1" w:styleId="Tablelistnumber">
    <w:name w:val="Table list number"/>
    <w:basedOn w:val="Tablebody"/>
    <w:uiPriority w:val="99"/>
    <w:pPr>
      <w:numPr>
        <w:numId w:val="13"/>
      </w:numPr>
      <w:jc w:val="left"/>
    </w:pPr>
  </w:style>
  <w:style w:type="paragraph" w:styleId="TableofFigures">
    <w:name w:val="table of figures"/>
    <w:basedOn w:val="TOC2"/>
    <w:next w:val="BodyText"/>
    <w:uiPriority w:val="99"/>
    <w:semiHidden/>
    <w:pPr>
      <w:tabs>
        <w:tab w:val="left" w:pos="851"/>
      </w:tabs>
      <w:ind w:left="851" w:hanging="851"/>
    </w:pPr>
  </w:style>
  <w:style w:type="paragraph" w:customStyle="1" w:styleId="Tableunitsrow">
    <w:name w:val="Table units row"/>
    <w:basedOn w:val="Tablecolumnheadings"/>
    <w:uiPriority w:val="99"/>
    <w:rPr>
      <w:b w:val="0"/>
    </w:rPr>
  </w:style>
  <w:style w:type="paragraph" w:styleId="TOC3">
    <w:name w:val="toc 3"/>
    <w:basedOn w:val="TOC2"/>
    <w:next w:val="BodyText"/>
    <w:uiPriority w:val="99"/>
    <w:semiHidden/>
    <w:pPr>
      <w:tabs>
        <w:tab w:val="clear" w:pos="737"/>
        <w:tab w:val="left" w:pos="1304"/>
      </w:tabs>
      <w:ind w:left="1304" w:hanging="567"/>
    </w:pPr>
  </w:style>
  <w:style w:type="paragraph" w:customStyle="1" w:styleId="BoxHeading1">
    <w:name w:val="Box Heading 1"/>
    <w:basedOn w:val="BoxText"/>
    <w:next w:val="BoxText"/>
    <w:uiPriority w:val="99"/>
    <w:rsid w:val="00196E6C"/>
    <w:pPr>
      <w:spacing w:line="240" w:lineRule="atLeast"/>
      <w:ind w:left="0" w:right="0"/>
    </w:pPr>
    <w:rPr>
      <w:rFonts w:ascii="Arial Narrow" w:hAnsi="Arial Narrow"/>
      <w:b/>
      <w:color w:val="7F7267"/>
      <w:sz w:val="20"/>
      <w:szCs w:val="20"/>
    </w:rPr>
  </w:style>
  <w:style w:type="paragraph" w:customStyle="1" w:styleId="BoxHeading2">
    <w:name w:val="Box Heading 2"/>
    <w:basedOn w:val="BoxHeading1"/>
    <w:next w:val="BoxText"/>
    <w:uiPriority w:val="99"/>
    <w:pPr>
      <w:spacing w:before="200"/>
    </w:pPr>
    <w:rPr>
      <w:b w:val="0"/>
    </w:rPr>
  </w:style>
  <w:style w:type="paragraph" w:customStyle="1" w:styleId="BoxListBullet">
    <w:name w:val="Box List Bullet"/>
    <w:basedOn w:val="BoxText"/>
    <w:uiPriority w:val="99"/>
    <w:semiHidden/>
    <w:pPr>
      <w:numPr>
        <w:numId w:val="15"/>
      </w:numPr>
      <w:tabs>
        <w:tab w:val="clear" w:pos="445"/>
        <w:tab w:val="left" w:pos="369"/>
      </w:tabs>
      <w:spacing w:before="60"/>
    </w:pPr>
  </w:style>
  <w:style w:type="paragraph" w:customStyle="1" w:styleId="BoxListBullet2">
    <w:name w:val="Box List Bullet 2"/>
    <w:basedOn w:val="BoxListBullet"/>
    <w:uiPriority w:val="99"/>
    <w:semiHidden/>
    <w:pPr>
      <w:numPr>
        <w:numId w:val="16"/>
      </w:numPr>
      <w:tabs>
        <w:tab w:val="clear" w:pos="369"/>
        <w:tab w:val="clear" w:pos="729"/>
        <w:tab w:val="num" w:pos="227"/>
        <w:tab w:val="left" w:pos="652"/>
      </w:tabs>
      <w:spacing w:before="20"/>
      <w:ind w:left="653" w:hanging="227"/>
    </w:pPr>
  </w:style>
  <w:style w:type="paragraph" w:customStyle="1" w:styleId="BoxListNumber">
    <w:name w:val="Box List Number"/>
    <w:basedOn w:val="BoxListBullet"/>
    <w:uiPriority w:val="99"/>
    <w:semiHidden/>
    <w:pPr>
      <w:numPr>
        <w:numId w:val="17"/>
      </w:numPr>
      <w:tabs>
        <w:tab w:val="clear" w:pos="445"/>
        <w:tab w:val="num" w:pos="567"/>
      </w:tabs>
      <w:ind w:left="567" w:hanging="567"/>
    </w:pPr>
  </w:style>
  <w:style w:type="paragraph" w:customStyle="1" w:styleId="BoxQuote">
    <w:name w:val="Box Quote"/>
    <w:basedOn w:val="BoxText"/>
    <w:next w:val="BoxText"/>
    <w:uiPriority w:val="99"/>
    <w:semiHidden/>
    <w:pPr>
      <w:spacing w:before="60" w:line="290" w:lineRule="exact"/>
      <w:ind w:left="369"/>
    </w:pPr>
    <w:rPr>
      <w:sz w:val="21"/>
    </w:rPr>
  </w:style>
  <w:style w:type="character" w:styleId="Hyperlink">
    <w:name w:val="Hyperlink"/>
    <w:basedOn w:val="DefaultParagraphFont"/>
    <w:uiPriority w:val="99"/>
    <w:rsid w:val="00D51F29"/>
    <w:rPr>
      <w:rFonts w:cs="Times New Roman"/>
      <w:color w:val="7F7267"/>
      <w:u w:val="none"/>
    </w:rPr>
  </w:style>
  <w:style w:type="character" w:customStyle="1" w:styleId="AppNotelabel">
    <w:name w:val="AppNote label"/>
    <w:basedOn w:val="Notelabel"/>
    <w:uiPriority w:val="99"/>
    <w:semiHidden/>
    <w:rPr>
      <w:rFonts w:ascii="Arial Narrow" w:hAnsi="Arial Narrow" w:cs="Times New Roman"/>
      <w:b/>
      <w:color w:val="auto"/>
      <w:spacing w:val="0"/>
      <w:position w:val="0"/>
      <w:sz w:val="14"/>
      <w:szCs w:val="14"/>
    </w:rPr>
  </w:style>
  <w:style w:type="paragraph" w:customStyle="1" w:styleId="Introtext">
    <w:name w:val="Intro text"/>
    <w:basedOn w:val="Heading3nonumber"/>
    <w:next w:val="Introtextfollower"/>
    <w:uiPriority w:val="99"/>
    <w:semiHidden/>
    <w:rsid w:val="00274F0B"/>
    <w:pPr>
      <w:spacing w:before="120" w:line="360" w:lineRule="exact"/>
    </w:pPr>
    <w:rPr>
      <w:sz w:val="24"/>
      <w:szCs w:val="24"/>
    </w:rPr>
  </w:style>
  <w:style w:type="paragraph" w:customStyle="1" w:styleId="Introtextfollower">
    <w:name w:val="Intro text follower"/>
    <w:basedOn w:val="BodyText"/>
    <w:uiPriority w:val="99"/>
    <w:semiHidden/>
    <w:pPr>
      <w:spacing w:before="120"/>
    </w:pPr>
    <w:rPr>
      <w:i/>
    </w:rPr>
  </w:style>
  <w:style w:type="paragraph" w:customStyle="1" w:styleId="1stpara">
    <w:name w:val="1st para"/>
    <w:basedOn w:val="BodyText"/>
    <w:next w:val="BodyText"/>
    <w:link w:val="1stparaChar"/>
    <w:uiPriority w:val="99"/>
    <w:semiHidden/>
    <w:rsid w:val="00353733"/>
    <w:pPr>
      <w:spacing w:before="420"/>
    </w:pPr>
  </w:style>
  <w:style w:type="paragraph" w:customStyle="1" w:styleId="BoxNote">
    <w:name w:val="Box Note"/>
    <w:basedOn w:val="Note"/>
    <w:uiPriority w:val="99"/>
    <w:semiHidden/>
    <w:pPr>
      <w:spacing w:before="300"/>
      <w:ind w:left="85" w:right="85"/>
    </w:pPr>
  </w:style>
  <w:style w:type="paragraph" w:customStyle="1" w:styleId="Highlight">
    <w:name w:val="Highlight"/>
    <w:basedOn w:val="Introtext"/>
    <w:next w:val="BodyText"/>
    <w:uiPriority w:val="99"/>
    <w:rsid w:val="00FA45A2"/>
    <w:pPr>
      <w:spacing w:before="420"/>
    </w:pPr>
    <w:rPr>
      <w:rFonts w:ascii="Garamond" w:hAnsi="Garamond"/>
      <w:i/>
      <w:caps w:val="0"/>
      <w:color w:val="7F7267"/>
    </w:rPr>
  </w:style>
  <w:style w:type="paragraph" w:customStyle="1" w:styleId="Photocaption">
    <w:name w:val="Photo caption"/>
    <w:basedOn w:val="Source"/>
    <w:next w:val="BodyText"/>
    <w:uiPriority w:val="99"/>
    <w:semiHidden/>
    <w:rsid w:val="00535B1A"/>
    <w:pPr>
      <w:spacing w:line="260" w:lineRule="exact"/>
    </w:pPr>
    <w:rPr>
      <w:rFonts w:ascii="Garamond" w:hAnsi="Garamond"/>
      <w:i/>
      <w:sz w:val="20"/>
    </w:rPr>
  </w:style>
  <w:style w:type="character" w:customStyle="1" w:styleId="1stparaChar">
    <w:name w:val="1st para Char"/>
    <w:basedOn w:val="BodyTextChar"/>
    <w:link w:val="1stpara"/>
    <w:uiPriority w:val="99"/>
    <w:locked/>
    <w:rsid w:val="00353733"/>
    <w:rPr>
      <w:rFonts w:ascii="Garamond" w:hAnsi="Garamond" w:cs="Times New Roman"/>
      <w:sz w:val="23"/>
      <w:szCs w:val="23"/>
      <w:lang w:val="en-AU" w:eastAsia="en-AU" w:bidi="ar-SA"/>
    </w:rPr>
  </w:style>
  <w:style w:type="paragraph" w:styleId="CommentSubject">
    <w:name w:val="annotation subject"/>
    <w:basedOn w:val="CommentText"/>
    <w:next w:val="CommentText"/>
    <w:link w:val="CommentSubjectChar"/>
    <w:uiPriority w:val="99"/>
    <w:semiHidden/>
    <w:rsid w:val="00B96389"/>
    <w:pPr>
      <w:spacing w:before="0" w:line="240" w:lineRule="auto"/>
      <w:ind w:left="0" w:firstLine="0"/>
    </w:pPr>
    <w:rPr>
      <w:rFonts w:ascii="Times New Roman" w:hAnsi="Times New Roman"/>
      <w:b/>
      <w:bCs/>
      <w:sz w:val="20"/>
    </w:rPr>
  </w:style>
  <w:style w:type="character" w:customStyle="1" w:styleId="CommentSubjectChar">
    <w:name w:val="Comment Subject Char"/>
    <w:basedOn w:val="CommentTextChar"/>
    <w:link w:val="CommentSubject"/>
    <w:uiPriority w:val="99"/>
    <w:semiHidden/>
    <w:rPr>
      <w:b/>
      <w:bCs/>
      <w:sz w:val="20"/>
      <w:szCs w:val="20"/>
      <w:lang w:val="en-AU" w:eastAsia="en-AU"/>
    </w:rPr>
  </w:style>
  <w:style w:type="paragraph" w:styleId="BalloonText">
    <w:name w:val="Balloon Text"/>
    <w:basedOn w:val="Normal"/>
    <w:link w:val="BalloonTextChar"/>
    <w:uiPriority w:val="99"/>
    <w:semiHidden/>
    <w:rsid w:val="00B9638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AU" w:eastAsia="en-AU"/>
    </w:rPr>
  </w:style>
  <w:style w:type="character" w:customStyle="1" w:styleId="Heading1nonumberChar">
    <w:name w:val="Heading 1 (no number) Char"/>
    <w:basedOn w:val="Heading1Char"/>
    <w:link w:val="Heading1nonumber"/>
    <w:uiPriority w:val="99"/>
    <w:locked/>
    <w:rsid w:val="002C4E3D"/>
    <w:rPr>
      <w:rFonts w:ascii="Arial Narrow" w:hAnsi="Arial Narrow" w:cs="Times New Roman"/>
      <w:kern w:val="28"/>
      <w:sz w:val="40"/>
      <w:lang w:val="en-AU" w:eastAsia="en-AU" w:bidi="ar-SA"/>
    </w:rPr>
  </w:style>
  <w:style w:type="paragraph" w:customStyle="1" w:styleId="HighlightBulletOrange">
    <w:name w:val="Highlight Bullet Orange"/>
    <w:basedOn w:val="BodyText"/>
    <w:next w:val="BodyText"/>
    <w:uiPriority w:val="99"/>
    <w:rsid w:val="0074593E"/>
    <w:pPr>
      <w:numPr>
        <w:numId w:val="44"/>
      </w:numPr>
    </w:pPr>
  </w:style>
  <w:style w:type="paragraph" w:customStyle="1" w:styleId="HighlightBulletGreen">
    <w:name w:val="Highlight Bullet Green"/>
    <w:basedOn w:val="HighlightBulletOrange"/>
    <w:uiPriority w:val="99"/>
    <w:rsid w:val="0074593E"/>
    <w:pPr>
      <w:numPr>
        <w:numId w:val="45"/>
      </w:numPr>
      <w:tabs>
        <w:tab w:val="num" w:pos="0"/>
      </w:tabs>
      <w:ind w:hanging="284"/>
    </w:pPr>
  </w:style>
  <w:style w:type="paragraph" w:customStyle="1" w:styleId="HighlightBulletRed">
    <w:name w:val="Highlight Bullet Red"/>
    <w:basedOn w:val="HighlightBulletOrange"/>
    <w:uiPriority w:val="99"/>
    <w:rsid w:val="0074593E"/>
    <w:pPr>
      <w:numPr>
        <w:numId w:val="46"/>
      </w:numPr>
      <w:tabs>
        <w:tab w:val="num" w:pos="0"/>
      </w:tabs>
      <w:ind w:hanging="284"/>
    </w:pPr>
  </w:style>
  <w:style w:type="paragraph" w:customStyle="1" w:styleId="CharChar">
    <w:name w:val="Char Char"/>
    <w:basedOn w:val="Normal"/>
    <w:uiPriority w:val="99"/>
    <w:rsid w:val="001E1E96"/>
    <w:pPr>
      <w:spacing w:before="180" w:line="280" w:lineRule="atLeast"/>
    </w:pPr>
    <w:rPr>
      <w:rFonts w:ascii="Arial" w:hAnsi="Arial"/>
      <w:sz w:val="22"/>
      <w:lang w:eastAsia="en-US"/>
    </w:rPr>
  </w:style>
  <w:style w:type="table" w:styleId="TableGrid">
    <w:name w:val="Table Grid"/>
    <w:basedOn w:val="TableNormal"/>
    <w:uiPriority w:val="99"/>
    <w:rsid w:val="009F3C4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
    <w:name w:val="Char Char1 Char"/>
    <w:basedOn w:val="Normal"/>
    <w:uiPriority w:val="99"/>
    <w:rsid w:val="009F3C40"/>
    <w:rPr>
      <w:rFonts w:ascii="Arial" w:hAnsi="Arial" w:cs="Arial"/>
      <w:sz w:val="22"/>
      <w:szCs w:val="22"/>
      <w:lang w:eastAsia="en-US"/>
    </w:rPr>
  </w:style>
  <w:style w:type="character" w:styleId="Emphasis">
    <w:name w:val="Emphasis"/>
    <w:basedOn w:val="DefaultParagraphFont"/>
    <w:uiPriority w:val="99"/>
    <w:qFormat/>
    <w:rsid w:val="00BC2FDC"/>
    <w:rPr>
      <w:rFonts w:cs="Times New Roman"/>
      <w:b/>
      <w:bCs/>
    </w:rPr>
  </w:style>
  <w:style w:type="paragraph" w:customStyle="1" w:styleId="CoverLink">
    <w:name w:val="Cover Link"/>
    <w:basedOn w:val="Subtitle"/>
    <w:qFormat/>
    <w:rsid w:val="00395B3E"/>
    <w:pPr>
      <w:spacing w:before="5280" w:after="200" w:line="276" w:lineRule="auto"/>
      <w:ind w:left="3402" w:right="0"/>
    </w:pPr>
    <w:rPr>
      <w:rFonts w:ascii="Garamond" w:hAnsi="Garamond"/>
      <w:caps w:val="0"/>
      <w:color w:val="000000"/>
      <w:sz w:val="23"/>
      <w:szCs w:val="23"/>
    </w:rPr>
  </w:style>
  <w:style w:type="paragraph" w:customStyle="1" w:styleId="CoverTitle">
    <w:name w:val="Cover Title"/>
    <w:qFormat/>
    <w:rsid w:val="00494E8C"/>
    <w:pPr>
      <w:spacing w:before="2640"/>
      <w:ind w:left="3402"/>
    </w:pPr>
    <w:rPr>
      <w:rFonts w:ascii="Arial Narrow" w:hAnsi="Arial Narrow"/>
      <w:kern w:val="28"/>
      <w:sz w:val="56"/>
      <w:szCs w:val="20"/>
      <w:lang w:val="en-AU" w:eastAsia="en-AU"/>
    </w:rPr>
  </w:style>
  <w:style w:type="paragraph" w:customStyle="1" w:styleId="CoverSubtitle">
    <w:name w:val="Cover Subtitle"/>
    <w:basedOn w:val="Subtitle"/>
    <w:qFormat/>
    <w:rsid w:val="00395B3E"/>
    <w:pPr>
      <w:spacing w:before="2280"/>
      <w:ind w:left="3402"/>
    </w:pPr>
    <w:rPr>
      <w:sz w:val="24"/>
      <w:szCs w:val="24"/>
    </w:rPr>
  </w:style>
  <w:style w:type="paragraph" w:customStyle="1" w:styleId="H1">
    <w:name w:val="H1"/>
    <w:basedOn w:val="Heading1"/>
    <w:next w:val="BlockText"/>
    <w:qFormat/>
    <w:rsid w:val="00B5676F"/>
    <w:pPr>
      <w:numPr>
        <w:numId w:val="0"/>
      </w:numPr>
      <w:tabs>
        <w:tab w:val="num" w:pos="567"/>
      </w:tabs>
      <w:spacing w:before="1320"/>
      <w:ind w:left="284"/>
    </w:pPr>
  </w:style>
  <w:style w:type="paragraph" w:styleId="BlockText">
    <w:name w:val="Block Text"/>
    <w:basedOn w:val="Normal"/>
    <w:uiPriority w:val="99"/>
    <w:semiHidden/>
    <w:unhideWhenUsed/>
    <w:rsid w:val="00B5676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val="en-AU" w:eastAsia="en-AU"/>
    </w:rPr>
  </w:style>
  <w:style w:type="paragraph" w:styleId="Heading1">
    <w:name w:val="heading 1"/>
    <w:basedOn w:val="Normal"/>
    <w:next w:val="BodyText"/>
    <w:link w:val="Heading1Char"/>
    <w:uiPriority w:val="99"/>
    <w:qFormat/>
    <w:rsid w:val="00054674"/>
    <w:pPr>
      <w:keepNext/>
      <w:numPr>
        <w:numId w:val="29"/>
      </w:numPr>
      <w:tabs>
        <w:tab w:val="num" w:pos="0"/>
      </w:tabs>
      <w:spacing w:before="284" w:after="180" w:line="600" w:lineRule="exact"/>
      <w:ind w:hanging="284"/>
      <w:outlineLvl w:val="0"/>
    </w:pPr>
    <w:rPr>
      <w:rFonts w:ascii="Arial Narrow" w:hAnsi="Arial Narrow"/>
      <w:kern w:val="28"/>
      <w:sz w:val="40"/>
    </w:rPr>
  </w:style>
  <w:style w:type="paragraph" w:styleId="Heading2">
    <w:name w:val="heading 2"/>
    <w:basedOn w:val="Normal"/>
    <w:next w:val="BodyText"/>
    <w:link w:val="Heading2Char"/>
    <w:uiPriority w:val="99"/>
    <w:qFormat/>
    <w:rsid w:val="00196E6C"/>
    <w:pPr>
      <w:keepNext/>
      <w:numPr>
        <w:ilvl w:val="1"/>
        <w:numId w:val="29"/>
      </w:numPr>
      <w:spacing w:before="480" w:line="280" w:lineRule="exact"/>
      <w:outlineLvl w:val="1"/>
    </w:pPr>
    <w:rPr>
      <w:rFonts w:ascii="Arial Narrow" w:hAnsi="Arial Narrow"/>
      <w:b/>
      <w:caps/>
      <w:color w:val="7F7267"/>
      <w:sz w:val="22"/>
      <w:szCs w:val="22"/>
    </w:rPr>
  </w:style>
  <w:style w:type="paragraph" w:styleId="Heading3">
    <w:name w:val="heading 3"/>
    <w:basedOn w:val="Normal"/>
    <w:next w:val="BodyText"/>
    <w:link w:val="Heading3Char"/>
    <w:uiPriority w:val="99"/>
    <w:qFormat/>
    <w:rsid w:val="00054674"/>
    <w:pPr>
      <w:keepNext/>
      <w:numPr>
        <w:ilvl w:val="2"/>
        <w:numId w:val="29"/>
      </w:numPr>
      <w:spacing w:before="360" w:line="260" w:lineRule="exact"/>
      <w:outlineLvl w:val="2"/>
    </w:pPr>
    <w:rPr>
      <w:rFonts w:ascii="Arial Narrow" w:hAnsi="Arial Narrow"/>
      <w:caps/>
    </w:rPr>
  </w:style>
  <w:style w:type="paragraph" w:styleId="Heading4">
    <w:name w:val="heading 4"/>
    <w:basedOn w:val="BodyText"/>
    <w:next w:val="BodyText"/>
    <w:link w:val="Heading4Char"/>
    <w:uiPriority w:val="99"/>
    <w:qFormat/>
    <w:rsid w:val="00054674"/>
    <w:pPr>
      <w:keepNext/>
      <w:numPr>
        <w:ilvl w:val="3"/>
        <w:numId w:val="29"/>
      </w:numPr>
      <w:spacing w:before="360" w:line="300" w:lineRule="exact"/>
      <w:outlineLvl w:val="3"/>
    </w:pPr>
    <w:rPr>
      <w:b/>
    </w:rPr>
  </w:style>
  <w:style w:type="paragraph" w:styleId="Heading5">
    <w:name w:val="heading 5"/>
    <w:basedOn w:val="Heading4"/>
    <w:next w:val="BodyText"/>
    <w:link w:val="Heading5Char"/>
    <w:uiPriority w:val="99"/>
    <w:qFormat/>
    <w:rsid w:val="00054674"/>
    <w:pPr>
      <w:numPr>
        <w:ilvl w:val="4"/>
      </w:numPr>
      <w:outlineLvl w:val="4"/>
    </w:pPr>
    <w:rPr>
      <w:b w:val="0"/>
      <w:i/>
    </w:rPr>
  </w:style>
  <w:style w:type="paragraph" w:styleId="Heading7">
    <w:name w:val="heading 7"/>
    <w:basedOn w:val="Normal"/>
    <w:next w:val="BodyText"/>
    <w:link w:val="Heading7Char"/>
    <w:uiPriority w:val="99"/>
    <w:qFormat/>
    <w:rsid w:val="00054674"/>
    <w:pPr>
      <w:keepNext/>
      <w:numPr>
        <w:ilvl w:val="6"/>
        <w:numId w:val="29"/>
      </w:numPr>
      <w:tabs>
        <w:tab w:val="num" w:pos="0"/>
      </w:tabs>
      <w:spacing w:before="284" w:after="180" w:line="600" w:lineRule="exact"/>
      <w:ind w:hanging="284"/>
      <w:outlineLvl w:val="6"/>
    </w:pPr>
    <w:rPr>
      <w:rFonts w:ascii="Arial Narrow" w:hAnsi="Arial Narrow"/>
      <w:sz w:val="40"/>
    </w:rPr>
  </w:style>
  <w:style w:type="paragraph" w:styleId="Heading8">
    <w:name w:val="heading 8"/>
    <w:basedOn w:val="Normal"/>
    <w:next w:val="BodyText"/>
    <w:link w:val="Heading8Char"/>
    <w:uiPriority w:val="99"/>
    <w:qFormat/>
    <w:rsid w:val="00054674"/>
    <w:pPr>
      <w:keepNext/>
      <w:numPr>
        <w:ilvl w:val="7"/>
        <w:numId w:val="29"/>
      </w:numPr>
      <w:tabs>
        <w:tab w:val="left" w:pos="397"/>
        <w:tab w:val="num" w:pos="720"/>
      </w:tabs>
      <w:spacing w:before="480" w:line="280" w:lineRule="exact"/>
      <w:ind w:left="397"/>
      <w:outlineLvl w:val="7"/>
    </w:pPr>
    <w:rPr>
      <w:rFonts w:ascii="Arial Narrow" w:hAnsi="Arial Narrow"/>
      <w:b/>
      <w:caps/>
      <w:sz w:val="22"/>
    </w:rPr>
  </w:style>
  <w:style w:type="paragraph" w:styleId="Heading9">
    <w:name w:val="heading 9"/>
    <w:basedOn w:val="Normal"/>
    <w:next w:val="BodyText"/>
    <w:link w:val="Heading9Char"/>
    <w:uiPriority w:val="99"/>
    <w:qFormat/>
    <w:rsid w:val="00054674"/>
    <w:pPr>
      <w:keepNext/>
      <w:numPr>
        <w:ilvl w:val="8"/>
        <w:numId w:val="29"/>
      </w:numPr>
      <w:tabs>
        <w:tab w:val="num" w:pos="1080"/>
      </w:tabs>
      <w:spacing w:before="360" w:line="260" w:lineRule="exact"/>
      <w:ind w:left="567"/>
      <w:outlineLvl w:val="8"/>
    </w:pPr>
    <w:rPr>
      <w:rFonts w:ascii="Arial Narrow" w:hAnsi="Arial Narrow"/>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4674"/>
    <w:rPr>
      <w:rFonts w:ascii="Arial Narrow" w:hAnsi="Arial Narrow" w:cs="Times New Roman"/>
      <w:kern w:val="28"/>
      <w:sz w:val="40"/>
      <w:lang w:val="en-AU" w:eastAsia="en-AU" w:bidi="ar-SA"/>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AU" w:eastAsia="en-AU"/>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AU" w:eastAsia="en-AU"/>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AU" w:eastAsia="en-AU"/>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AU" w:eastAsia="en-AU"/>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AU" w:eastAsia="en-AU"/>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AU" w:eastAsia="en-AU"/>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val="en-AU" w:eastAsia="en-AU"/>
    </w:rPr>
  </w:style>
  <w:style w:type="paragraph" w:styleId="BodyText">
    <w:name w:val="Body Text"/>
    <w:basedOn w:val="Normal"/>
    <w:link w:val="BodyTextChar"/>
    <w:uiPriority w:val="99"/>
    <w:rsid w:val="00196E6C"/>
    <w:pPr>
      <w:spacing w:before="180" w:line="300" w:lineRule="atLeast"/>
    </w:pPr>
    <w:rPr>
      <w:rFonts w:ascii="Garamond" w:hAnsi="Garamond"/>
      <w:sz w:val="23"/>
      <w:szCs w:val="23"/>
    </w:rPr>
  </w:style>
  <w:style w:type="character" w:customStyle="1" w:styleId="BodyTextChar">
    <w:name w:val="Body Text Char"/>
    <w:basedOn w:val="DefaultParagraphFont"/>
    <w:link w:val="BodyText"/>
    <w:uiPriority w:val="99"/>
    <w:locked/>
    <w:rsid w:val="00196E6C"/>
    <w:rPr>
      <w:rFonts w:ascii="Garamond" w:hAnsi="Garamond" w:cs="Times New Roman"/>
      <w:sz w:val="23"/>
      <w:szCs w:val="23"/>
      <w:lang w:val="en-AU" w:eastAsia="en-AU" w:bidi="ar-SA"/>
    </w:rPr>
  </w:style>
  <w:style w:type="paragraph" w:styleId="ListBullet">
    <w:name w:val="List Bullet"/>
    <w:basedOn w:val="BodyText"/>
    <w:uiPriority w:val="99"/>
    <w:qFormat/>
    <w:rsid w:val="00E02725"/>
    <w:pPr>
      <w:numPr>
        <w:numId w:val="9"/>
      </w:numPr>
      <w:tabs>
        <w:tab w:val="left" w:pos="284"/>
      </w:tabs>
      <w:spacing w:before="80"/>
    </w:pPr>
  </w:style>
  <w:style w:type="paragraph" w:customStyle="1" w:styleId="BoxText">
    <w:name w:val="Box Text"/>
    <w:basedOn w:val="BodyText"/>
    <w:uiPriority w:val="99"/>
    <w:semiHidden/>
    <w:pPr>
      <w:ind w:left="85" w:right="85"/>
    </w:pPr>
  </w:style>
  <w:style w:type="paragraph" w:customStyle="1" w:styleId="AppHeading4">
    <w:name w:val="AppHeading 4"/>
    <w:basedOn w:val="Heading4"/>
    <w:next w:val="BodyText"/>
    <w:uiPriority w:val="99"/>
    <w:semiHidden/>
    <w:rsid w:val="00FA45A2"/>
    <w:pPr>
      <w:numPr>
        <w:ilvl w:val="0"/>
        <w:numId w:val="0"/>
      </w:numPr>
    </w:pPr>
  </w:style>
  <w:style w:type="paragraph" w:customStyle="1" w:styleId="AppHeading5">
    <w:name w:val="AppHeading 5"/>
    <w:basedOn w:val="Heading5"/>
    <w:next w:val="BodyText"/>
    <w:uiPriority w:val="99"/>
    <w:semiHidden/>
    <w:rsid w:val="00FA45A2"/>
    <w:pPr>
      <w:numPr>
        <w:ilvl w:val="0"/>
        <w:numId w:val="0"/>
      </w:numPr>
    </w:pPr>
  </w:style>
  <w:style w:type="paragraph" w:customStyle="1" w:styleId="Equation">
    <w:name w:val="Equation"/>
    <w:basedOn w:val="BodyText"/>
    <w:next w:val="BodyText"/>
    <w:uiPriority w:val="99"/>
    <w:semiHidden/>
    <w:pPr>
      <w:numPr>
        <w:numId w:val="14"/>
      </w:numPr>
      <w:spacing w:line="320" w:lineRule="atLeast"/>
    </w:pPr>
  </w:style>
  <w:style w:type="paragraph" w:customStyle="1" w:styleId="Chart">
    <w:name w:val="Chart"/>
    <w:basedOn w:val="BodyText"/>
    <w:next w:val="BodyText"/>
    <w:uiPriority w:val="99"/>
    <w:semiHidden/>
    <w:pPr>
      <w:spacing w:before="0" w:line="200" w:lineRule="atLeast"/>
      <w:jc w:val="center"/>
    </w:pPr>
  </w:style>
  <w:style w:type="paragraph" w:styleId="Caption">
    <w:name w:val="caption"/>
    <w:basedOn w:val="Normal"/>
    <w:next w:val="BodyText"/>
    <w:uiPriority w:val="99"/>
    <w:qFormat/>
    <w:rsid w:val="00E02725"/>
    <w:pPr>
      <w:keepNext/>
      <w:numPr>
        <w:numId w:val="49"/>
      </w:numPr>
      <w:spacing w:before="320" w:after="60" w:line="240" w:lineRule="exact"/>
    </w:pPr>
    <w:rPr>
      <w:rFonts w:ascii="Arial Narrow" w:hAnsi="Arial Narrow"/>
      <w:b/>
      <w:caps/>
    </w:rPr>
  </w:style>
  <w:style w:type="paragraph" w:customStyle="1" w:styleId="ChapterSummary">
    <w:name w:val="Chapter Summary"/>
    <w:basedOn w:val="BodyText"/>
    <w:next w:val="BodyText"/>
    <w:uiPriority w:val="99"/>
    <w:semiHidden/>
    <w:pPr>
      <w:spacing w:after="180"/>
    </w:pPr>
    <w:rPr>
      <w:b/>
      <w:color w:val="808080"/>
    </w:rPr>
  </w:style>
  <w:style w:type="paragraph" w:customStyle="1" w:styleId="ChartText">
    <w:name w:val="Chart Text"/>
    <w:basedOn w:val="BodyText"/>
    <w:uiPriority w:val="99"/>
    <w:semiHidden/>
    <w:pPr>
      <w:spacing w:before="100" w:line="190" w:lineRule="exact"/>
    </w:pPr>
    <w:rPr>
      <w:rFonts w:ascii="Arial Narrow" w:hAnsi="Arial Narrow"/>
      <w:sz w:val="17"/>
    </w:rPr>
  </w:style>
  <w:style w:type="paragraph" w:customStyle="1" w:styleId="ChartBoldText">
    <w:name w:val="Chart Bold Text"/>
    <w:basedOn w:val="ChartText"/>
    <w:next w:val="ChartText"/>
    <w:uiPriority w:val="99"/>
    <w:semiHidden/>
    <w:pPr>
      <w:spacing w:before="0"/>
      <w:jc w:val="center"/>
    </w:pPr>
    <w:rPr>
      <w:b/>
    </w:rPr>
  </w:style>
  <w:style w:type="paragraph" w:customStyle="1" w:styleId="ChartHighlight">
    <w:name w:val="Chart Highlight"/>
    <w:basedOn w:val="ChartBoldText"/>
    <w:uiPriority w:val="99"/>
    <w:semiHidden/>
    <w:pPr>
      <w:spacing w:line="210" w:lineRule="exact"/>
    </w:pPr>
    <w:rPr>
      <w:caps/>
      <w:sz w:val="19"/>
    </w:rPr>
  </w:style>
  <w:style w:type="paragraph" w:customStyle="1" w:styleId="ChartListBullet">
    <w:name w:val="Chart List Bullet"/>
    <w:basedOn w:val="Tablelistbullet"/>
    <w:uiPriority w:val="99"/>
    <w:semiHidden/>
    <w:pPr>
      <w:numPr>
        <w:numId w:val="21"/>
      </w:numPr>
      <w:tabs>
        <w:tab w:val="num" w:pos="454"/>
      </w:tabs>
      <w:spacing w:before="50" w:after="0" w:line="190" w:lineRule="exact"/>
      <w:ind w:left="454"/>
    </w:pPr>
  </w:style>
  <w:style w:type="paragraph" w:customStyle="1" w:styleId="Tablelistbullet">
    <w:name w:val="Table list bullet"/>
    <w:basedOn w:val="Tablebody"/>
    <w:uiPriority w:val="99"/>
    <w:pPr>
      <w:numPr>
        <w:numId w:val="11"/>
      </w:numPr>
      <w:jc w:val="left"/>
    </w:pPr>
  </w:style>
  <w:style w:type="paragraph" w:customStyle="1" w:styleId="Tablebody">
    <w:name w:val="Table body"/>
    <w:basedOn w:val="Normal"/>
    <w:uiPriority w:val="99"/>
    <w:pPr>
      <w:spacing w:before="60" w:after="30" w:line="210" w:lineRule="exact"/>
      <w:jc w:val="right"/>
    </w:pPr>
    <w:rPr>
      <w:rFonts w:ascii="Arial Narrow" w:hAnsi="Arial Narrow"/>
      <w:sz w:val="17"/>
    </w:rPr>
  </w:style>
  <w:style w:type="paragraph" w:styleId="ListBullet2">
    <w:name w:val="List Bullet 2"/>
    <w:basedOn w:val="ListBullet"/>
    <w:uiPriority w:val="99"/>
    <w:rsid w:val="00196E6C"/>
    <w:pPr>
      <w:numPr>
        <w:numId w:val="7"/>
      </w:numPr>
      <w:tabs>
        <w:tab w:val="clear" w:pos="284"/>
        <w:tab w:val="clear" w:pos="644"/>
        <w:tab w:val="left" w:pos="567"/>
      </w:tabs>
      <w:spacing w:before="40"/>
      <w:ind w:left="568" w:hanging="284"/>
    </w:pPr>
  </w:style>
  <w:style w:type="paragraph" w:customStyle="1" w:styleId="ChartListBullet2">
    <w:name w:val="Chart List Bullet 2"/>
    <w:basedOn w:val="ListBullet2"/>
    <w:uiPriority w:val="99"/>
    <w:semiHidden/>
    <w:pPr>
      <w:numPr>
        <w:numId w:val="18"/>
      </w:numPr>
      <w:tabs>
        <w:tab w:val="right" w:pos="454"/>
      </w:tabs>
      <w:spacing w:before="30" w:line="190" w:lineRule="exact"/>
    </w:pPr>
    <w:rPr>
      <w:rFonts w:ascii="Arial Narrow" w:hAnsi="Arial Narrow"/>
      <w:sz w:val="17"/>
    </w:rPr>
  </w:style>
  <w:style w:type="paragraph" w:customStyle="1" w:styleId="ChartListNumber">
    <w:name w:val="Chart List Number"/>
    <w:basedOn w:val="ChartText"/>
    <w:uiPriority w:val="99"/>
    <w:semiHidden/>
    <w:pPr>
      <w:numPr>
        <w:numId w:val="19"/>
      </w:numPr>
      <w:spacing w:before="60"/>
    </w:pPr>
  </w:style>
  <w:style w:type="character" w:styleId="CommentReference">
    <w:name w:val="annotation reference"/>
    <w:basedOn w:val="DefaultParagraphFont"/>
    <w:uiPriority w:val="99"/>
    <w:semiHidden/>
    <w:rPr>
      <w:rFonts w:ascii="Arial Narrow" w:hAnsi="Arial Narrow" w:cs="Times New Roman"/>
      <w:b/>
      <w:vanish/>
      <w:color w:val="FF00FF"/>
      <w:sz w:val="20"/>
    </w:rPr>
  </w:style>
  <w:style w:type="paragraph" w:styleId="CommentText">
    <w:name w:val="annotation text"/>
    <w:basedOn w:val="BodyText"/>
    <w:link w:val="CommentTextChar"/>
    <w:uiPriority w:val="99"/>
    <w:semiHidden/>
    <w:pPr>
      <w:spacing w:before="120" w:line="240" w:lineRule="exact"/>
      <w:ind w:left="567" w:hanging="567"/>
    </w:pPr>
  </w:style>
  <w:style w:type="character" w:customStyle="1" w:styleId="CommentTextChar">
    <w:name w:val="Comment Text Char"/>
    <w:basedOn w:val="DefaultParagraphFont"/>
    <w:link w:val="CommentText"/>
    <w:uiPriority w:val="99"/>
    <w:semiHidden/>
    <w:rPr>
      <w:sz w:val="20"/>
      <w:szCs w:val="20"/>
      <w:lang w:val="en-AU" w:eastAsia="en-AU"/>
    </w:rPr>
  </w:style>
  <w:style w:type="paragraph" w:customStyle="1" w:styleId="Contents">
    <w:name w:val="Contents"/>
    <w:basedOn w:val="Normal"/>
    <w:next w:val="TOC1"/>
    <w:uiPriority w:val="99"/>
    <w:semiHidden/>
    <w:pPr>
      <w:spacing w:before="284" w:after="480" w:line="600" w:lineRule="exact"/>
    </w:pPr>
    <w:rPr>
      <w:rFonts w:ascii="Arial Narrow" w:hAnsi="Arial Narrow"/>
      <w:sz w:val="40"/>
    </w:rPr>
  </w:style>
  <w:style w:type="paragraph" w:styleId="TOC1">
    <w:name w:val="toc 1"/>
    <w:basedOn w:val="BodyText"/>
    <w:next w:val="TOC2"/>
    <w:uiPriority w:val="39"/>
    <w:rsid w:val="009B2ED4"/>
    <w:pPr>
      <w:tabs>
        <w:tab w:val="left" w:pos="284"/>
        <w:tab w:val="right" w:pos="7938"/>
      </w:tabs>
      <w:spacing w:before="240" w:line="260" w:lineRule="exact"/>
      <w:ind w:left="284" w:right="567" w:hanging="284"/>
    </w:pPr>
    <w:rPr>
      <w:rFonts w:ascii="Arial Narrow" w:hAnsi="Arial Narrow"/>
      <w:b/>
      <w:caps/>
      <w:sz w:val="20"/>
    </w:rPr>
  </w:style>
  <w:style w:type="paragraph" w:styleId="TOC2">
    <w:name w:val="toc 2"/>
    <w:basedOn w:val="TOC1"/>
    <w:uiPriority w:val="39"/>
    <w:rsid w:val="00CE1A64"/>
    <w:pPr>
      <w:tabs>
        <w:tab w:val="clear" w:pos="284"/>
        <w:tab w:val="left" w:pos="737"/>
      </w:tabs>
      <w:spacing w:before="60"/>
      <w:ind w:firstLine="0"/>
    </w:pPr>
    <w:rPr>
      <w:b w:val="0"/>
      <w:caps w:val="0"/>
    </w:rPr>
  </w:style>
  <w:style w:type="paragraph" w:customStyle="1" w:styleId="Heading1nonumber">
    <w:name w:val="Heading 1 (no number)"/>
    <w:basedOn w:val="Heading1"/>
    <w:next w:val="BodyText"/>
    <w:link w:val="Heading1nonumberChar"/>
    <w:uiPriority w:val="99"/>
    <w:semiHidden/>
    <w:rsid w:val="002F20F8"/>
    <w:pPr>
      <w:numPr>
        <w:numId w:val="0"/>
      </w:numPr>
      <w:tabs>
        <w:tab w:val="num" w:pos="567"/>
      </w:tabs>
    </w:pPr>
  </w:style>
  <w:style w:type="paragraph" w:customStyle="1" w:styleId="Continued">
    <w:name w:val="Continued"/>
    <w:basedOn w:val="Normal"/>
    <w:next w:val="BodyText"/>
    <w:uiPriority w:val="99"/>
    <w:pPr>
      <w:spacing w:before="40" w:after="20" w:line="180" w:lineRule="exact"/>
      <w:jc w:val="right"/>
    </w:pPr>
    <w:rPr>
      <w:rFonts w:ascii="Arial" w:hAnsi="Arial"/>
      <w:sz w:val="14"/>
    </w:rPr>
  </w:style>
  <w:style w:type="paragraph" w:styleId="Date">
    <w:name w:val="Date"/>
    <w:basedOn w:val="Normal"/>
    <w:next w:val="Normal"/>
    <w:link w:val="DateChar"/>
    <w:uiPriority w:val="99"/>
    <w:semiHidden/>
    <w:rsid w:val="00B32C85"/>
    <w:pPr>
      <w:spacing w:before="400" w:line="280" w:lineRule="exact"/>
    </w:pPr>
    <w:rPr>
      <w:rFonts w:ascii="Arial Narrow" w:hAnsi="Arial Narrow"/>
      <w:caps/>
      <w:sz w:val="24"/>
      <w:szCs w:val="24"/>
    </w:rPr>
  </w:style>
  <w:style w:type="character" w:customStyle="1" w:styleId="DateChar">
    <w:name w:val="Date Char"/>
    <w:basedOn w:val="DefaultParagraphFont"/>
    <w:link w:val="Date"/>
    <w:uiPriority w:val="99"/>
    <w:semiHidden/>
    <w:rPr>
      <w:sz w:val="20"/>
      <w:szCs w:val="20"/>
      <w:lang w:val="en-AU" w:eastAsia="en-AU"/>
    </w:rPr>
  </w:style>
  <w:style w:type="character" w:customStyle="1" w:styleId="DraftingNote">
    <w:name w:val="Drafting Note"/>
    <w:basedOn w:val="DefaultParagraphFont"/>
    <w:uiPriority w:val="99"/>
    <w:rPr>
      <w:rFonts w:ascii="Garamond" w:hAnsi="Garamond" w:cs="Times New Roman"/>
      <w:b/>
      <w:color w:val="FF0000"/>
      <w:u w:val="dotted"/>
    </w:rPr>
  </w:style>
  <w:style w:type="paragraph" w:styleId="Footer">
    <w:name w:val="footer"/>
    <w:basedOn w:val="Normal"/>
    <w:link w:val="FooterChar"/>
    <w:uiPriority w:val="99"/>
    <w:semiHidden/>
    <w:rsid w:val="007D0CCC"/>
    <w:pPr>
      <w:tabs>
        <w:tab w:val="left" w:pos="0"/>
        <w:tab w:val="right" w:pos="7938"/>
        <w:tab w:val="right" w:pos="8448"/>
      </w:tabs>
      <w:spacing w:line="160" w:lineRule="exact"/>
      <w:ind w:left="-510" w:right="-510"/>
    </w:pPr>
    <w:rPr>
      <w:rFonts w:ascii="Arial Narrow" w:hAnsi="Arial Narrow"/>
      <w:caps/>
      <w:sz w:val="14"/>
    </w:rPr>
  </w:style>
  <w:style w:type="character" w:customStyle="1" w:styleId="FooterChar">
    <w:name w:val="Footer Char"/>
    <w:basedOn w:val="DefaultParagraphFont"/>
    <w:link w:val="Footer"/>
    <w:uiPriority w:val="99"/>
    <w:semiHidden/>
    <w:rPr>
      <w:sz w:val="20"/>
      <w:szCs w:val="20"/>
      <w:lang w:val="en-AU" w:eastAsia="en-AU"/>
    </w:rPr>
  </w:style>
  <w:style w:type="character" w:styleId="FootnoteReference">
    <w:name w:val="footnote reference"/>
    <w:basedOn w:val="DefaultParagraphFont"/>
    <w:uiPriority w:val="99"/>
    <w:rPr>
      <w:rFonts w:ascii="Arial Narrow" w:hAnsi="Arial Narrow" w:cs="Times New Roman"/>
      <w:position w:val="0"/>
      <w:sz w:val="19"/>
      <w:vertAlign w:val="superscript"/>
    </w:rPr>
  </w:style>
  <w:style w:type="paragraph" w:styleId="FootnoteText">
    <w:name w:val="footnote text"/>
    <w:basedOn w:val="BodyText"/>
    <w:link w:val="FootnoteTextChar"/>
    <w:uiPriority w:val="99"/>
    <w:rsid w:val="0074593E"/>
    <w:pPr>
      <w:tabs>
        <w:tab w:val="left" w:pos="284"/>
      </w:tabs>
      <w:spacing w:before="60" w:line="200" w:lineRule="atLeast"/>
      <w:ind w:left="227" w:hanging="227"/>
    </w:pPr>
    <w:rPr>
      <w:rFonts w:ascii="Arial Narrow" w:hAnsi="Arial Narrow"/>
      <w:sz w:val="16"/>
      <w:szCs w:val="16"/>
    </w:rPr>
  </w:style>
  <w:style w:type="character" w:customStyle="1" w:styleId="FootnoteTextChar">
    <w:name w:val="Footnote Text Char"/>
    <w:basedOn w:val="DefaultParagraphFont"/>
    <w:link w:val="FootnoteText"/>
    <w:uiPriority w:val="99"/>
    <w:semiHidden/>
    <w:rPr>
      <w:sz w:val="20"/>
      <w:szCs w:val="20"/>
      <w:lang w:val="en-AU" w:eastAsia="en-AU"/>
    </w:rPr>
  </w:style>
  <w:style w:type="paragraph" w:styleId="Header">
    <w:name w:val="header"/>
    <w:basedOn w:val="Normal"/>
    <w:link w:val="HeaderChar"/>
    <w:uiPriority w:val="99"/>
    <w:semiHidden/>
    <w:pPr>
      <w:spacing w:before="190" w:line="220" w:lineRule="exact"/>
    </w:pPr>
    <w:rPr>
      <w:rFonts w:ascii="Arial" w:hAnsi="Arial"/>
      <w:caps/>
      <w:sz w:val="14"/>
    </w:rPr>
  </w:style>
  <w:style w:type="character" w:customStyle="1" w:styleId="HeaderChar">
    <w:name w:val="Header Char"/>
    <w:basedOn w:val="DefaultParagraphFont"/>
    <w:link w:val="Header"/>
    <w:uiPriority w:val="99"/>
    <w:semiHidden/>
    <w:rPr>
      <w:sz w:val="20"/>
      <w:szCs w:val="20"/>
      <w:lang w:val="en-AU" w:eastAsia="en-AU"/>
    </w:rPr>
  </w:style>
  <w:style w:type="paragraph" w:customStyle="1" w:styleId="Heading2nonumber">
    <w:name w:val="Heading 2 (no number)"/>
    <w:basedOn w:val="Heading2"/>
    <w:next w:val="BodyText"/>
    <w:uiPriority w:val="99"/>
    <w:pPr>
      <w:numPr>
        <w:ilvl w:val="0"/>
        <w:numId w:val="0"/>
      </w:numPr>
    </w:pPr>
  </w:style>
  <w:style w:type="paragraph" w:customStyle="1" w:styleId="Heading3nonumber">
    <w:name w:val="Heading 3 (no number)"/>
    <w:basedOn w:val="Heading3"/>
    <w:next w:val="BodyText"/>
    <w:uiPriority w:val="99"/>
    <w:pPr>
      <w:numPr>
        <w:ilvl w:val="0"/>
        <w:numId w:val="0"/>
      </w:numPr>
    </w:pPr>
  </w:style>
  <w:style w:type="paragraph" w:customStyle="1" w:styleId="Heading8nonumber">
    <w:name w:val="Heading 8 (no number)"/>
    <w:basedOn w:val="Heading8"/>
    <w:next w:val="BodyText"/>
    <w:uiPriority w:val="99"/>
    <w:pPr>
      <w:numPr>
        <w:ilvl w:val="0"/>
        <w:numId w:val="0"/>
      </w:numPr>
    </w:pPr>
  </w:style>
  <w:style w:type="paragraph" w:customStyle="1" w:styleId="Heading9nonumber">
    <w:name w:val="Heading 9 (no number)"/>
    <w:basedOn w:val="Heading9"/>
    <w:next w:val="BodyText"/>
    <w:uiPriority w:val="99"/>
    <w:pPr>
      <w:numPr>
        <w:ilvl w:val="0"/>
        <w:numId w:val="0"/>
      </w:numPr>
    </w:pPr>
  </w:style>
  <w:style w:type="paragraph" w:customStyle="1" w:styleId="Invisiblepara">
    <w:name w:val="Invisible para"/>
    <w:basedOn w:val="Normal"/>
    <w:uiPriority w:val="99"/>
    <w:semiHidden/>
    <w:pPr>
      <w:keepNext/>
      <w:spacing w:before="320" w:line="80" w:lineRule="exact"/>
    </w:pPr>
    <w:rPr>
      <w:sz w:val="21"/>
    </w:rPr>
  </w:style>
  <w:style w:type="paragraph" w:customStyle="1" w:styleId="KeyPoints">
    <w:name w:val="Key Points"/>
    <w:basedOn w:val="BodyText"/>
    <w:uiPriority w:val="99"/>
    <w:semiHidden/>
    <w:pPr>
      <w:numPr>
        <w:numId w:val="8"/>
      </w:numPr>
      <w:tabs>
        <w:tab w:val="left" w:pos="284"/>
      </w:tabs>
    </w:pPr>
    <w:rPr>
      <w:b/>
      <w:color w:val="808080"/>
    </w:rPr>
  </w:style>
  <w:style w:type="paragraph" w:styleId="ListNumber">
    <w:name w:val="List Number"/>
    <w:basedOn w:val="ListBullet"/>
    <w:uiPriority w:val="99"/>
    <w:pPr>
      <w:numPr>
        <w:numId w:val="10"/>
      </w:numPr>
      <w:tabs>
        <w:tab w:val="clear" w:pos="360"/>
        <w:tab w:val="num" w:pos="644"/>
      </w:tabs>
      <w:ind w:left="567" w:hanging="283"/>
    </w:pPr>
  </w:style>
  <w:style w:type="paragraph" w:customStyle="1" w:styleId="Note">
    <w:name w:val="Note"/>
    <w:basedOn w:val="Normal"/>
    <w:next w:val="Source"/>
    <w:uiPriority w:val="99"/>
    <w:rsid w:val="005C3932"/>
    <w:pPr>
      <w:spacing w:before="40" w:line="180" w:lineRule="exact"/>
    </w:pPr>
    <w:rPr>
      <w:rFonts w:ascii="Arial Narrow" w:hAnsi="Arial Narrow"/>
      <w:sz w:val="14"/>
    </w:rPr>
  </w:style>
  <w:style w:type="character" w:customStyle="1" w:styleId="Notelabel">
    <w:name w:val="Note label"/>
    <w:basedOn w:val="DefaultParagraphFont"/>
    <w:uiPriority w:val="99"/>
    <w:rsid w:val="008D14B5"/>
    <w:rPr>
      <w:rFonts w:ascii="Arial Narrow" w:hAnsi="Arial Narrow" w:cs="Times New Roman"/>
      <w:b/>
      <w:color w:val="auto"/>
      <w:spacing w:val="0"/>
      <w:position w:val="0"/>
      <w:sz w:val="14"/>
      <w:szCs w:val="14"/>
    </w:rPr>
  </w:style>
  <w:style w:type="character" w:styleId="PageNumber">
    <w:name w:val="page number"/>
    <w:basedOn w:val="DefaultParagraphFont"/>
    <w:uiPriority w:val="99"/>
    <w:semiHidden/>
    <w:rPr>
      <w:rFonts w:ascii="Arial Narrow" w:hAnsi="Arial Narrow" w:cs="Times New Roman"/>
      <w:b/>
      <w:sz w:val="14"/>
    </w:rPr>
  </w:style>
  <w:style w:type="paragraph" w:customStyle="1" w:styleId="Author">
    <w:name w:val="Author"/>
    <w:basedOn w:val="Subtitle"/>
    <w:uiPriority w:val="99"/>
    <w:semiHidden/>
    <w:rsid w:val="00B32C85"/>
    <w:pPr>
      <w:spacing w:before="0" w:line="280" w:lineRule="exact"/>
    </w:pPr>
    <w:rPr>
      <w:sz w:val="24"/>
      <w:szCs w:val="24"/>
    </w:rPr>
  </w:style>
  <w:style w:type="paragraph" w:styleId="Subtitle">
    <w:name w:val="Subtitle"/>
    <w:basedOn w:val="Normal"/>
    <w:link w:val="SubtitleChar"/>
    <w:uiPriority w:val="99"/>
    <w:qFormat/>
    <w:rsid w:val="00CD2BD3"/>
    <w:pPr>
      <w:spacing w:before="400" w:line="360" w:lineRule="exact"/>
      <w:ind w:right="397"/>
    </w:pPr>
    <w:rPr>
      <w:rFonts w:ascii="Arial Narrow" w:hAnsi="Arial Narrow"/>
      <w:caps/>
      <w:sz w:val="32"/>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AU" w:eastAsia="en-AU"/>
    </w:rPr>
  </w:style>
  <w:style w:type="paragraph" w:styleId="Title">
    <w:name w:val="Title"/>
    <w:basedOn w:val="CoverTitle"/>
    <w:next w:val="Subtitle"/>
    <w:link w:val="TitleChar"/>
    <w:uiPriority w:val="99"/>
    <w:qFormat/>
    <w:rsid w:val="00494E8C"/>
  </w:style>
  <w:style w:type="character" w:customStyle="1" w:styleId="TitleChar">
    <w:name w:val="Title Char"/>
    <w:basedOn w:val="DefaultParagraphFont"/>
    <w:link w:val="Title"/>
    <w:uiPriority w:val="99"/>
    <w:rsid w:val="00494E8C"/>
    <w:rPr>
      <w:rFonts w:ascii="Arial Narrow" w:hAnsi="Arial Narrow"/>
      <w:kern w:val="28"/>
      <w:sz w:val="56"/>
      <w:szCs w:val="20"/>
      <w:lang w:val="en-AU" w:eastAsia="en-AU"/>
    </w:rPr>
  </w:style>
  <w:style w:type="paragraph" w:customStyle="1" w:styleId="Figure">
    <w:name w:val="Figure"/>
    <w:basedOn w:val="BodyText"/>
    <w:next w:val="BodyText"/>
    <w:uiPriority w:val="99"/>
    <w:semiHidden/>
    <w:pPr>
      <w:spacing w:before="0" w:line="200" w:lineRule="atLeast"/>
    </w:pPr>
    <w:rPr>
      <w:noProof/>
    </w:rPr>
  </w:style>
  <w:style w:type="paragraph" w:styleId="Quote">
    <w:name w:val="Quote"/>
    <w:basedOn w:val="BodyText"/>
    <w:next w:val="BodyText"/>
    <w:link w:val="QuoteChar"/>
    <w:uiPriority w:val="99"/>
    <w:qFormat/>
    <w:pPr>
      <w:spacing w:before="60" w:line="290" w:lineRule="exact"/>
      <w:ind w:left="284"/>
    </w:pPr>
    <w:rPr>
      <w:sz w:val="21"/>
    </w:rPr>
  </w:style>
  <w:style w:type="character" w:customStyle="1" w:styleId="QuoteChar">
    <w:name w:val="Quote Char"/>
    <w:basedOn w:val="DefaultParagraphFont"/>
    <w:link w:val="Quote"/>
    <w:uiPriority w:val="29"/>
    <w:rPr>
      <w:i/>
      <w:iCs/>
      <w:color w:val="000000" w:themeColor="text1"/>
      <w:sz w:val="20"/>
      <w:szCs w:val="20"/>
      <w:lang w:val="en-AU" w:eastAsia="en-AU"/>
    </w:rPr>
  </w:style>
  <w:style w:type="paragraph" w:customStyle="1" w:styleId="Reference">
    <w:name w:val="Reference"/>
    <w:basedOn w:val="BodyText"/>
    <w:uiPriority w:val="99"/>
    <w:pPr>
      <w:spacing w:before="80" w:line="260" w:lineRule="exact"/>
      <w:ind w:left="284" w:hanging="284"/>
    </w:pPr>
    <w:rPr>
      <w:sz w:val="19"/>
    </w:rPr>
  </w:style>
  <w:style w:type="paragraph" w:customStyle="1" w:styleId="Source">
    <w:name w:val="Source"/>
    <w:basedOn w:val="Note"/>
    <w:next w:val="BodyText"/>
    <w:uiPriority w:val="99"/>
    <w:pPr>
      <w:spacing w:after="60"/>
    </w:pPr>
  </w:style>
  <w:style w:type="character" w:customStyle="1" w:styleId="Subtitlebox">
    <w:name w:val="Subtitle box"/>
    <w:aliases w:val="chart &amp; table"/>
    <w:basedOn w:val="DefaultParagraphFont"/>
    <w:uiPriority w:val="99"/>
    <w:semiHidden/>
    <w:rPr>
      <w:rFonts w:ascii="Arial Narrow" w:hAnsi="Arial Narrow" w:cs="Times New Roman"/>
      <w:sz w:val="17"/>
    </w:rPr>
  </w:style>
  <w:style w:type="paragraph" w:customStyle="1" w:styleId="Tablecolumnheadings">
    <w:name w:val="Table column headings"/>
    <w:basedOn w:val="Tablebody"/>
    <w:uiPriority w:val="99"/>
    <w:pPr>
      <w:spacing w:before="80" w:after="80"/>
    </w:pPr>
    <w:rPr>
      <w:b/>
    </w:rPr>
  </w:style>
  <w:style w:type="paragraph" w:customStyle="1" w:styleId="Tableheading1">
    <w:name w:val="Table heading 1"/>
    <w:basedOn w:val="Tablebody"/>
    <w:next w:val="Tablebody"/>
    <w:uiPriority w:val="99"/>
    <w:rsid w:val="00196E6C"/>
    <w:pPr>
      <w:spacing w:before="120"/>
      <w:jc w:val="left"/>
    </w:pPr>
    <w:rPr>
      <w:b/>
      <w:color w:val="7F7267"/>
      <w:szCs w:val="17"/>
    </w:rPr>
  </w:style>
  <w:style w:type="paragraph" w:customStyle="1" w:styleId="Tableheading2">
    <w:name w:val="Table heading 2"/>
    <w:basedOn w:val="Tableheading1"/>
    <w:next w:val="Tablebody"/>
    <w:uiPriority w:val="99"/>
    <w:pPr>
      <w:spacing w:before="80"/>
    </w:pPr>
    <w:rPr>
      <w:b w:val="0"/>
    </w:rPr>
  </w:style>
  <w:style w:type="paragraph" w:customStyle="1" w:styleId="Tablelistbullet2">
    <w:name w:val="Table list bullet 2"/>
    <w:basedOn w:val="Tablebody"/>
    <w:uiPriority w:val="99"/>
    <w:pPr>
      <w:numPr>
        <w:numId w:val="12"/>
      </w:numPr>
      <w:jc w:val="left"/>
    </w:pPr>
  </w:style>
  <w:style w:type="paragraph" w:customStyle="1" w:styleId="Tablelistnumber">
    <w:name w:val="Table list number"/>
    <w:basedOn w:val="Tablebody"/>
    <w:uiPriority w:val="99"/>
    <w:pPr>
      <w:numPr>
        <w:numId w:val="13"/>
      </w:numPr>
      <w:jc w:val="left"/>
    </w:pPr>
  </w:style>
  <w:style w:type="paragraph" w:styleId="TableofFigures">
    <w:name w:val="table of figures"/>
    <w:basedOn w:val="TOC2"/>
    <w:next w:val="BodyText"/>
    <w:uiPriority w:val="99"/>
    <w:semiHidden/>
    <w:pPr>
      <w:tabs>
        <w:tab w:val="left" w:pos="851"/>
      </w:tabs>
      <w:ind w:left="851" w:hanging="851"/>
    </w:pPr>
  </w:style>
  <w:style w:type="paragraph" w:customStyle="1" w:styleId="Tableunitsrow">
    <w:name w:val="Table units row"/>
    <w:basedOn w:val="Tablecolumnheadings"/>
    <w:uiPriority w:val="99"/>
    <w:rPr>
      <w:b w:val="0"/>
    </w:rPr>
  </w:style>
  <w:style w:type="paragraph" w:styleId="TOC3">
    <w:name w:val="toc 3"/>
    <w:basedOn w:val="TOC2"/>
    <w:next w:val="BodyText"/>
    <w:uiPriority w:val="99"/>
    <w:semiHidden/>
    <w:pPr>
      <w:tabs>
        <w:tab w:val="clear" w:pos="737"/>
        <w:tab w:val="left" w:pos="1304"/>
      </w:tabs>
      <w:ind w:left="1304" w:hanging="567"/>
    </w:pPr>
  </w:style>
  <w:style w:type="paragraph" w:customStyle="1" w:styleId="BoxHeading1">
    <w:name w:val="Box Heading 1"/>
    <w:basedOn w:val="BoxText"/>
    <w:next w:val="BoxText"/>
    <w:uiPriority w:val="99"/>
    <w:rsid w:val="00196E6C"/>
    <w:pPr>
      <w:spacing w:line="240" w:lineRule="atLeast"/>
      <w:ind w:left="0" w:right="0"/>
    </w:pPr>
    <w:rPr>
      <w:rFonts w:ascii="Arial Narrow" w:hAnsi="Arial Narrow"/>
      <w:b/>
      <w:color w:val="7F7267"/>
      <w:sz w:val="20"/>
      <w:szCs w:val="20"/>
    </w:rPr>
  </w:style>
  <w:style w:type="paragraph" w:customStyle="1" w:styleId="BoxHeading2">
    <w:name w:val="Box Heading 2"/>
    <w:basedOn w:val="BoxHeading1"/>
    <w:next w:val="BoxText"/>
    <w:uiPriority w:val="99"/>
    <w:pPr>
      <w:spacing w:before="200"/>
    </w:pPr>
    <w:rPr>
      <w:b w:val="0"/>
    </w:rPr>
  </w:style>
  <w:style w:type="paragraph" w:customStyle="1" w:styleId="BoxListBullet">
    <w:name w:val="Box List Bullet"/>
    <w:basedOn w:val="BoxText"/>
    <w:uiPriority w:val="99"/>
    <w:semiHidden/>
    <w:pPr>
      <w:numPr>
        <w:numId w:val="15"/>
      </w:numPr>
      <w:tabs>
        <w:tab w:val="clear" w:pos="445"/>
        <w:tab w:val="left" w:pos="369"/>
      </w:tabs>
      <w:spacing w:before="60"/>
    </w:pPr>
  </w:style>
  <w:style w:type="paragraph" w:customStyle="1" w:styleId="BoxListBullet2">
    <w:name w:val="Box List Bullet 2"/>
    <w:basedOn w:val="BoxListBullet"/>
    <w:uiPriority w:val="99"/>
    <w:semiHidden/>
    <w:pPr>
      <w:numPr>
        <w:numId w:val="16"/>
      </w:numPr>
      <w:tabs>
        <w:tab w:val="clear" w:pos="369"/>
        <w:tab w:val="clear" w:pos="729"/>
        <w:tab w:val="num" w:pos="227"/>
        <w:tab w:val="left" w:pos="652"/>
      </w:tabs>
      <w:spacing w:before="20"/>
      <w:ind w:left="653" w:hanging="227"/>
    </w:pPr>
  </w:style>
  <w:style w:type="paragraph" w:customStyle="1" w:styleId="BoxListNumber">
    <w:name w:val="Box List Number"/>
    <w:basedOn w:val="BoxListBullet"/>
    <w:uiPriority w:val="99"/>
    <w:semiHidden/>
    <w:pPr>
      <w:numPr>
        <w:numId w:val="17"/>
      </w:numPr>
      <w:tabs>
        <w:tab w:val="clear" w:pos="445"/>
        <w:tab w:val="num" w:pos="567"/>
      </w:tabs>
      <w:ind w:left="567" w:hanging="567"/>
    </w:pPr>
  </w:style>
  <w:style w:type="paragraph" w:customStyle="1" w:styleId="BoxQuote">
    <w:name w:val="Box Quote"/>
    <w:basedOn w:val="BoxText"/>
    <w:next w:val="BoxText"/>
    <w:uiPriority w:val="99"/>
    <w:semiHidden/>
    <w:pPr>
      <w:spacing w:before="60" w:line="290" w:lineRule="exact"/>
      <w:ind w:left="369"/>
    </w:pPr>
    <w:rPr>
      <w:sz w:val="21"/>
    </w:rPr>
  </w:style>
  <w:style w:type="character" w:styleId="Hyperlink">
    <w:name w:val="Hyperlink"/>
    <w:basedOn w:val="DefaultParagraphFont"/>
    <w:uiPriority w:val="99"/>
    <w:rsid w:val="00D51F29"/>
    <w:rPr>
      <w:rFonts w:cs="Times New Roman"/>
      <w:color w:val="7F7267"/>
      <w:u w:val="none"/>
    </w:rPr>
  </w:style>
  <w:style w:type="character" w:customStyle="1" w:styleId="AppNotelabel">
    <w:name w:val="AppNote label"/>
    <w:basedOn w:val="Notelabel"/>
    <w:uiPriority w:val="99"/>
    <w:semiHidden/>
    <w:rPr>
      <w:rFonts w:ascii="Arial Narrow" w:hAnsi="Arial Narrow" w:cs="Times New Roman"/>
      <w:b/>
      <w:color w:val="auto"/>
      <w:spacing w:val="0"/>
      <w:position w:val="0"/>
      <w:sz w:val="14"/>
      <w:szCs w:val="14"/>
    </w:rPr>
  </w:style>
  <w:style w:type="paragraph" w:customStyle="1" w:styleId="Introtext">
    <w:name w:val="Intro text"/>
    <w:basedOn w:val="Heading3nonumber"/>
    <w:next w:val="Introtextfollower"/>
    <w:uiPriority w:val="99"/>
    <w:semiHidden/>
    <w:rsid w:val="00274F0B"/>
    <w:pPr>
      <w:spacing w:before="120" w:line="360" w:lineRule="exact"/>
    </w:pPr>
    <w:rPr>
      <w:sz w:val="24"/>
      <w:szCs w:val="24"/>
    </w:rPr>
  </w:style>
  <w:style w:type="paragraph" w:customStyle="1" w:styleId="Introtextfollower">
    <w:name w:val="Intro text follower"/>
    <w:basedOn w:val="BodyText"/>
    <w:uiPriority w:val="99"/>
    <w:semiHidden/>
    <w:pPr>
      <w:spacing w:before="120"/>
    </w:pPr>
    <w:rPr>
      <w:i/>
    </w:rPr>
  </w:style>
  <w:style w:type="paragraph" w:customStyle="1" w:styleId="1stpara">
    <w:name w:val="1st para"/>
    <w:basedOn w:val="BodyText"/>
    <w:next w:val="BodyText"/>
    <w:link w:val="1stparaChar"/>
    <w:uiPriority w:val="99"/>
    <w:semiHidden/>
    <w:rsid w:val="00353733"/>
    <w:pPr>
      <w:spacing w:before="420"/>
    </w:pPr>
  </w:style>
  <w:style w:type="paragraph" w:customStyle="1" w:styleId="BoxNote">
    <w:name w:val="Box Note"/>
    <w:basedOn w:val="Note"/>
    <w:uiPriority w:val="99"/>
    <w:semiHidden/>
    <w:pPr>
      <w:spacing w:before="300"/>
      <w:ind w:left="85" w:right="85"/>
    </w:pPr>
  </w:style>
  <w:style w:type="paragraph" w:customStyle="1" w:styleId="Highlight">
    <w:name w:val="Highlight"/>
    <w:basedOn w:val="Introtext"/>
    <w:next w:val="BodyText"/>
    <w:uiPriority w:val="99"/>
    <w:rsid w:val="00FA45A2"/>
    <w:pPr>
      <w:spacing w:before="420"/>
    </w:pPr>
    <w:rPr>
      <w:rFonts w:ascii="Garamond" w:hAnsi="Garamond"/>
      <w:i/>
      <w:caps w:val="0"/>
      <w:color w:val="7F7267"/>
    </w:rPr>
  </w:style>
  <w:style w:type="paragraph" w:customStyle="1" w:styleId="Photocaption">
    <w:name w:val="Photo caption"/>
    <w:basedOn w:val="Source"/>
    <w:next w:val="BodyText"/>
    <w:uiPriority w:val="99"/>
    <w:semiHidden/>
    <w:rsid w:val="00535B1A"/>
    <w:pPr>
      <w:spacing w:line="260" w:lineRule="exact"/>
    </w:pPr>
    <w:rPr>
      <w:rFonts w:ascii="Garamond" w:hAnsi="Garamond"/>
      <w:i/>
      <w:sz w:val="20"/>
    </w:rPr>
  </w:style>
  <w:style w:type="character" w:customStyle="1" w:styleId="1stparaChar">
    <w:name w:val="1st para Char"/>
    <w:basedOn w:val="BodyTextChar"/>
    <w:link w:val="1stpara"/>
    <w:uiPriority w:val="99"/>
    <w:locked/>
    <w:rsid w:val="00353733"/>
    <w:rPr>
      <w:rFonts w:ascii="Garamond" w:hAnsi="Garamond" w:cs="Times New Roman"/>
      <w:sz w:val="23"/>
      <w:szCs w:val="23"/>
      <w:lang w:val="en-AU" w:eastAsia="en-AU" w:bidi="ar-SA"/>
    </w:rPr>
  </w:style>
  <w:style w:type="paragraph" w:styleId="CommentSubject">
    <w:name w:val="annotation subject"/>
    <w:basedOn w:val="CommentText"/>
    <w:next w:val="CommentText"/>
    <w:link w:val="CommentSubjectChar"/>
    <w:uiPriority w:val="99"/>
    <w:semiHidden/>
    <w:rsid w:val="00B96389"/>
    <w:pPr>
      <w:spacing w:before="0" w:line="240" w:lineRule="auto"/>
      <w:ind w:left="0" w:firstLine="0"/>
    </w:pPr>
    <w:rPr>
      <w:rFonts w:ascii="Times New Roman" w:hAnsi="Times New Roman"/>
      <w:b/>
      <w:bCs/>
      <w:sz w:val="20"/>
    </w:rPr>
  </w:style>
  <w:style w:type="character" w:customStyle="1" w:styleId="CommentSubjectChar">
    <w:name w:val="Comment Subject Char"/>
    <w:basedOn w:val="CommentTextChar"/>
    <w:link w:val="CommentSubject"/>
    <w:uiPriority w:val="99"/>
    <w:semiHidden/>
    <w:rPr>
      <w:b/>
      <w:bCs/>
      <w:sz w:val="20"/>
      <w:szCs w:val="20"/>
      <w:lang w:val="en-AU" w:eastAsia="en-AU"/>
    </w:rPr>
  </w:style>
  <w:style w:type="paragraph" w:styleId="BalloonText">
    <w:name w:val="Balloon Text"/>
    <w:basedOn w:val="Normal"/>
    <w:link w:val="BalloonTextChar"/>
    <w:uiPriority w:val="99"/>
    <w:semiHidden/>
    <w:rsid w:val="00B9638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AU" w:eastAsia="en-AU"/>
    </w:rPr>
  </w:style>
  <w:style w:type="character" w:customStyle="1" w:styleId="Heading1nonumberChar">
    <w:name w:val="Heading 1 (no number) Char"/>
    <w:basedOn w:val="Heading1Char"/>
    <w:link w:val="Heading1nonumber"/>
    <w:uiPriority w:val="99"/>
    <w:locked/>
    <w:rsid w:val="002C4E3D"/>
    <w:rPr>
      <w:rFonts w:ascii="Arial Narrow" w:hAnsi="Arial Narrow" w:cs="Times New Roman"/>
      <w:kern w:val="28"/>
      <w:sz w:val="40"/>
      <w:lang w:val="en-AU" w:eastAsia="en-AU" w:bidi="ar-SA"/>
    </w:rPr>
  </w:style>
  <w:style w:type="paragraph" w:customStyle="1" w:styleId="HighlightBulletOrange">
    <w:name w:val="Highlight Bullet Orange"/>
    <w:basedOn w:val="BodyText"/>
    <w:next w:val="BodyText"/>
    <w:uiPriority w:val="99"/>
    <w:rsid w:val="0074593E"/>
    <w:pPr>
      <w:numPr>
        <w:numId w:val="44"/>
      </w:numPr>
    </w:pPr>
  </w:style>
  <w:style w:type="paragraph" w:customStyle="1" w:styleId="HighlightBulletGreen">
    <w:name w:val="Highlight Bullet Green"/>
    <w:basedOn w:val="HighlightBulletOrange"/>
    <w:uiPriority w:val="99"/>
    <w:rsid w:val="0074593E"/>
    <w:pPr>
      <w:numPr>
        <w:numId w:val="45"/>
      </w:numPr>
      <w:tabs>
        <w:tab w:val="num" w:pos="0"/>
      </w:tabs>
      <w:ind w:hanging="284"/>
    </w:pPr>
  </w:style>
  <w:style w:type="paragraph" w:customStyle="1" w:styleId="HighlightBulletRed">
    <w:name w:val="Highlight Bullet Red"/>
    <w:basedOn w:val="HighlightBulletOrange"/>
    <w:uiPriority w:val="99"/>
    <w:rsid w:val="0074593E"/>
    <w:pPr>
      <w:numPr>
        <w:numId w:val="46"/>
      </w:numPr>
      <w:tabs>
        <w:tab w:val="num" w:pos="0"/>
      </w:tabs>
      <w:ind w:hanging="284"/>
    </w:pPr>
  </w:style>
  <w:style w:type="paragraph" w:customStyle="1" w:styleId="CharChar">
    <w:name w:val="Char Char"/>
    <w:basedOn w:val="Normal"/>
    <w:uiPriority w:val="99"/>
    <w:rsid w:val="001E1E96"/>
    <w:pPr>
      <w:spacing w:before="180" w:line="280" w:lineRule="atLeast"/>
    </w:pPr>
    <w:rPr>
      <w:rFonts w:ascii="Arial" w:hAnsi="Arial"/>
      <w:sz w:val="22"/>
      <w:lang w:eastAsia="en-US"/>
    </w:rPr>
  </w:style>
  <w:style w:type="table" w:styleId="TableGrid">
    <w:name w:val="Table Grid"/>
    <w:basedOn w:val="TableNormal"/>
    <w:uiPriority w:val="99"/>
    <w:rsid w:val="009F3C4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
    <w:name w:val="Char Char1 Char"/>
    <w:basedOn w:val="Normal"/>
    <w:uiPriority w:val="99"/>
    <w:rsid w:val="009F3C40"/>
    <w:rPr>
      <w:rFonts w:ascii="Arial" w:hAnsi="Arial" w:cs="Arial"/>
      <w:sz w:val="22"/>
      <w:szCs w:val="22"/>
      <w:lang w:eastAsia="en-US"/>
    </w:rPr>
  </w:style>
  <w:style w:type="character" w:styleId="Emphasis">
    <w:name w:val="Emphasis"/>
    <w:basedOn w:val="DefaultParagraphFont"/>
    <w:uiPriority w:val="99"/>
    <w:qFormat/>
    <w:rsid w:val="00BC2FDC"/>
    <w:rPr>
      <w:rFonts w:cs="Times New Roman"/>
      <w:b/>
      <w:bCs/>
    </w:rPr>
  </w:style>
  <w:style w:type="paragraph" w:customStyle="1" w:styleId="CoverLink">
    <w:name w:val="Cover Link"/>
    <w:basedOn w:val="Subtitle"/>
    <w:qFormat/>
    <w:rsid w:val="00395B3E"/>
    <w:pPr>
      <w:spacing w:before="5280" w:after="200" w:line="276" w:lineRule="auto"/>
      <w:ind w:left="3402" w:right="0"/>
    </w:pPr>
    <w:rPr>
      <w:rFonts w:ascii="Garamond" w:hAnsi="Garamond"/>
      <w:caps w:val="0"/>
      <w:color w:val="000000"/>
      <w:sz w:val="23"/>
      <w:szCs w:val="23"/>
    </w:rPr>
  </w:style>
  <w:style w:type="paragraph" w:customStyle="1" w:styleId="CoverTitle">
    <w:name w:val="Cover Title"/>
    <w:qFormat/>
    <w:rsid w:val="00494E8C"/>
    <w:pPr>
      <w:spacing w:before="2640"/>
      <w:ind w:left="3402"/>
    </w:pPr>
    <w:rPr>
      <w:rFonts w:ascii="Arial Narrow" w:hAnsi="Arial Narrow"/>
      <w:kern w:val="28"/>
      <w:sz w:val="56"/>
      <w:szCs w:val="20"/>
      <w:lang w:val="en-AU" w:eastAsia="en-AU"/>
    </w:rPr>
  </w:style>
  <w:style w:type="paragraph" w:customStyle="1" w:styleId="CoverSubtitle">
    <w:name w:val="Cover Subtitle"/>
    <w:basedOn w:val="Subtitle"/>
    <w:qFormat/>
    <w:rsid w:val="00395B3E"/>
    <w:pPr>
      <w:spacing w:before="2280"/>
      <w:ind w:left="3402"/>
    </w:pPr>
    <w:rPr>
      <w:sz w:val="24"/>
      <w:szCs w:val="24"/>
    </w:rPr>
  </w:style>
  <w:style w:type="paragraph" w:customStyle="1" w:styleId="H1">
    <w:name w:val="H1"/>
    <w:basedOn w:val="Heading1"/>
    <w:next w:val="BlockText"/>
    <w:qFormat/>
    <w:rsid w:val="00B5676F"/>
    <w:pPr>
      <w:numPr>
        <w:numId w:val="0"/>
      </w:numPr>
      <w:tabs>
        <w:tab w:val="num" w:pos="567"/>
      </w:tabs>
      <w:spacing w:before="1320"/>
      <w:ind w:left="284"/>
    </w:pPr>
  </w:style>
  <w:style w:type="paragraph" w:styleId="BlockText">
    <w:name w:val="Block Text"/>
    <w:basedOn w:val="Normal"/>
    <w:uiPriority w:val="99"/>
    <w:semiHidden/>
    <w:unhideWhenUsed/>
    <w:rsid w:val="00B5676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footer" Target="footer13.xml"/><Relationship Id="rId21" Type="http://schemas.openxmlformats.org/officeDocument/2006/relationships/header" Target="header4.xml"/><Relationship Id="rId34" Type="http://schemas.openxmlformats.org/officeDocument/2006/relationships/header" Target="header11.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ausaid.gov.au/"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header" Target="header12.xml"/><Relationship Id="rId40" Type="http://schemas.openxmlformats.org/officeDocument/2006/relationships/footer" Target="footer14.xml"/><Relationship Id="rId45"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www.ausaid.gov.au/publications" TargetMode="Externa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hyperlink" Target="http://www.ausaid.gov.au/" TargetMode="External"/><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g.gov.au/cca" TargetMode="Externa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header" Target="header13.xml"/><Relationship Id="rId20" Type="http://schemas.openxmlformats.org/officeDocument/2006/relationships/footer" Target="footer4.xml"/><Relationship Id="rId4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Templates\AusAID\AusAID%20long%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3F5AE65-D3DF-46DF-A79E-E3A3FB3D481D}"/>
</file>

<file path=customXml/itemProps2.xml><?xml version="1.0" encoding="utf-8"?>
<ds:datastoreItem xmlns:ds="http://schemas.openxmlformats.org/officeDocument/2006/customXml" ds:itemID="{D6963019-CED8-4D4B-8E37-9EC16861B00F}"/>
</file>

<file path=customXml/itemProps3.xml><?xml version="1.0" encoding="utf-8"?>
<ds:datastoreItem xmlns:ds="http://schemas.openxmlformats.org/officeDocument/2006/customXml" ds:itemID="{8E463F3C-48CD-4BBA-9F7A-0545A30A19E0}"/>
</file>

<file path=customXml/itemProps4.xml><?xml version="1.0" encoding="utf-8"?>
<ds:datastoreItem xmlns:ds="http://schemas.openxmlformats.org/officeDocument/2006/customXml" ds:itemID="{A443A1C5-FD81-4802-AE24-56F2724959B4}"/>
</file>

<file path=docProps/app.xml><?xml version="1.0" encoding="utf-8"?>
<Properties xmlns="http://schemas.openxmlformats.org/officeDocument/2006/extended-properties" xmlns:vt="http://schemas.openxmlformats.org/officeDocument/2006/docPropsVTypes">
  <Template>AusAID long report.dot</Template>
  <TotalTime>29</TotalTime>
  <Pages>20</Pages>
  <Words>6740</Words>
  <Characters>38424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ByWord Services</Company>
  <LinksUpToDate>false</LinksUpToDate>
  <CharactersWithSpaces>45074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program performance report for China 2007–08</dc:title>
  <dc:subject>Annual program performance report for China 2007–08</dc:subject>
  <dc:creator>Australian Government AusAID</dc:creator>
  <cp:keywords>AusAID; Annual program performance report; APPR; China; 2007; 2008;</cp:keywords>
  <cp:lastModifiedBy>aelrayes</cp:lastModifiedBy>
  <cp:revision>7</cp:revision>
  <cp:lastPrinted>2008-02-08T19:48:00Z</cp:lastPrinted>
  <dcterms:created xsi:type="dcterms:W3CDTF">2013-07-05T17:29:00Z</dcterms:created>
  <dcterms:modified xsi:type="dcterms:W3CDTF">2013-07-05T20:31:00Z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298000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xd_ProgID">
    <vt:lpwstr/>
  </property>
  <property fmtid="{D5CDD505-2E9C-101B-9397-08002B2CF9AE}" pid="15" name="RSS Feed Link">
    <vt:lpwstr/>
  </property>
  <property fmtid="{D5CDD505-2E9C-101B-9397-08002B2CF9AE}" pid="16" name="WCMSDocumentLink">
    <vt:lpwstr/>
  </property>
  <property fmtid="{D5CDD505-2E9C-101B-9397-08002B2CF9AE}" pid="17" name="WCMSReportDisclaimer">
    <vt:bool>false</vt:bool>
  </property>
  <property fmtid="{D5CDD505-2E9C-101B-9397-08002B2CF9AE}" pid="18" name="PublishingContactName">
    <vt:lpwstr/>
  </property>
  <property fmtid="{D5CDD505-2E9C-101B-9397-08002B2CF9AE}" pid="19" name="PublishingVariationRelationshipLinkFieldID">
    <vt:lpwstr/>
  </property>
  <property fmtid="{D5CDD505-2E9C-101B-9397-08002B2CF9AE}" pid="20" name="WCMSPublicationCategory">
    <vt:lpwstr/>
  </property>
  <property fmtid="{D5CDD505-2E9C-101B-9397-08002B2CF9AE}" pid="21" name="WCMSRegion">
    <vt:lpwstr/>
  </property>
  <property fmtid="{D5CDD505-2E9C-101B-9397-08002B2CF9AE}" pid="22" name="WCMSPublicationAuthor">
    <vt:lpwstr/>
  </property>
  <property fmtid="{D5CDD505-2E9C-101B-9397-08002B2CF9AE}" pid="23" name="WCMSElectronicMedia">
    <vt:bool>false</vt:bool>
  </property>
  <property fmtid="{D5CDD505-2E9C-101B-9397-08002B2CF9AE}" pid="24" name="_SourceUrl">
    <vt:lpwstr/>
  </property>
  <property fmtid="{D5CDD505-2E9C-101B-9397-08002B2CF9AE}" pid="25" name="_SharedFileIndex">
    <vt:lpwstr/>
  </property>
  <property fmtid="{D5CDD505-2E9C-101B-9397-08002B2CF9AE}" pid="26" name="Comments">
    <vt:lpwstr/>
  </property>
  <property fmtid="{D5CDD505-2E9C-101B-9397-08002B2CF9AE}" pid="27" name="PublishingPageLayout">
    <vt:lpwstr/>
  </property>
  <property fmtid="{D5CDD505-2E9C-101B-9397-08002B2CF9AE}" pid="28" name="WCMSCountry">
    <vt:lpwstr/>
  </property>
  <property fmtid="{D5CDD505-2E9C-101B-9397-08002B2CF9AE}" pid="29" name="WCMSSourceId">
    <vt:lpwstr/>
  </property>
  <property fmtid="{D5CDD505-2E9C-101B-9397-08002B2CF9AE}" pid="30" name="WCMSLatest">
    <vt:bool>false</vt:bool>
  </property>
  <property fmtid="{D5CDD505-2E9C-101B-9397-08002B2CF9AE}" pid="31" name="WCMSPublicationFormat">
    <vt:lpwstr/>
  </property>
  <property fmtid="{D5CDD505-2E9C-101B-9397-08002B2CF9AE}" pid="32" name="AusAIDPageSubjectMetadata">
    <vt:lpwstr/>
  </property>
  <property fmtid="{D5CDD505-2E9C-101B-9397-08002B2CF9AE}" pid="33" name="AusAIDCategoryMetadata">
    <vt:lpwstr/>
  </property>
  <property fmtid="{D5CDD505-2E9C-101B-9397-08002B2CF9AE}" pid="34" name="AusAIDDocumentTypeMetaData">
    <vt:lpwstr/>
  </property>
  <property fmtid="{D5CDD505-2E9C-101B-9397-08002B2CF9AE}" pid="35" name="WCMSLanguage">
    <vt:lpwstr/>
  </property>
  <property fmtid="{D5CDD505-2E9C-101B-9397-08002B2CF9AE}" pid="36" name="TemplateUrl">
    <vt:lpwstr/>
  </property>
  <property fmtid="{D5CDD505-2E9C-101B-9397-08002B2CF9AE}" pid="37" name="Audience">
    <vt:lpwstr/>
  </property>
  <property fmtid="{D5CDD505-2E9C-101B-9397-08002B2CF9AE}" pid="38" name="WCMSDescription">
    <vt:lpwstr/>
  </property>
  <property fmtid="{D5CDD505-2E9C-101B-9397-08002B2CF9AE}" pid="40" name="WCMSOtherCategory">
    <vt:lpwstr/>
  </property>
  <property fmtid="{D5CDD505-2E9C-101B-9397-08002B2CF9AE}" pid="41" name="AusAIDPageDescriptionMetadata">
    <vt:lpwstr/>
  </property>
  <property fmtid="{D5CDD505-2E9C-101B-9397-08002B2CF9AE}" pid="42" name="WCMSTheme">
    <vt:lpwstr/>
  </property>
  <property fmtid="{D5CDD505-2E9C-101B-9397-08002B2CF9AE}" pid="43" name="WCMSISBNISSN">
    <vt:lpwstr/>
  </property>
  <property fmtid="{D5CDD505-2E9C-101B-9397-08002B2CF9AE}" pid="44" name="PublishingContactPicture">
    <vt:lpwstr/>
  </property>
  <property fmtid="{D5CDD505-2E9C-101B-9397-08002B2CF9AE}" pid="45" name="PublishingVariationGroupID">
    <vt:lpwstr/>
  </property>
  <property fmtid="{D5CDD505-2E9C-101B-9397-08002B2CF9AE}" pid="46" name="AusAIDIdentifierMetadata">
    <vt:lpwstr/>
  </property>
</Properties>
</file>